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49651D">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1974669352"/>
        <w:docPartObj>
          <w:docPartGallery w:val="Table of Contents"/>
          <w:docPartUnique/>
        </w:docPartObj>
      </w:sdtPr>
      <w:sdtEndPr>
        <w:rPr>
          <w:b/>
          <w:bCs/>
        </w:rPr>
      </w:sdtEndPr>
      <w:sdtContent>
        <w:p w14:paraId="605E8FFC" w14:textId="53B6BC13" w:rsidR="006A7CC6" w:rsidRDefault="006A7CC6">
          <w:pPr>
            <w:pStyle w:val="TtulodeTDC"/>
          </w:pPr>
        </w:p>
        <w:p w14:paraId="233A15B2" w14:textId="0DE3865D" w:rsidR="00A153F6" w:rsidRDefault="006A7CC6">
          <w:pPr>
            <w:pStyle w:val="TDC1"/>
            <w:tabs>
              <w:tab w:val="right" w:leader="dot" w:pos="8921"/>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26636536" w:history="1">
            <w:r w:rsidR="00A153F6" w:rsidRPr="00903488">
              <w:rPr>
                <w:rStyle w:val="Hipervnculo"/>
                <w:noProof/>
              </w:rPr>
              <w:t>A N T E C E D E N T E S</w:t>
            </w:r>
            <w:r w:rsidR="00A153F6">
              <w:rPr>
                <w:noProof/>
                <w:webHidden/>
              </w:rPr>
              <w:tab/>
            </w:r>
            <w:r w:rsidR="00A153F6">
              <w:rPr>
                <w:noProof/>
                <w:webHidden/>
              </w:rPr>
              <w:fldChar w:fldCharType="begin"/>
            </w:r>
            <w:r w:rsidR="00A153F6">
              <w:rPr>
                <w:noProof/>
                <w:webHidden/>
              </w:rPr>
              <w:instrText xml:space="preserve"> PAGEREF _Toc226636536 \h </w:instrText>
            </w:r>
            <w:r w:rsidR="00A153F6">
              <w:rPr>
                <w:noProof/>
                <w:webHidden/>
              </w:rPr>
            </w:r>
            <w:r w:rsidR="00A153F6">
              <w:rPr>
                <w:noProof/>
                <w:webHidden/>
              </w:rPr>
              <w:fldChar w:fldCharType="separate"/>
            </w:r>
            <w:r w:rsidR="002A4EF5">
              <w:rPr>
                <w:noProof/>
                <w:webHidden/>
              </w:rPr>
              <w:t>2</w:t>
            </w:r>
            <w:r w:rsidR="00A153F6">
              <w:rPr>
                <w:noProof/>
                <w:webHidden/>
              </w:rPr>
              <w:fldChar w:fldCharType="end"/>
            </w:r>
          </w:hyperlink>
        </w:p>
        <w:p w14:paraId="065F0B55" w14:textId="38ECA42A"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37" w:history="1">
            <w:r w:rsidR="00A153F6" w:rsidRPr="00903488">
              <w:rPr>
                <w:rStyle w:val="Hipervnculo"/>
                <w:noProof/>
                <w:lang w:eastAsia="es-ES"/>
              </w:rPr>
              <w:t>I. Presentación de la solicitud de información</w:t>
            </w:r>
            <w:r w:rsidR="00A153F6">
              <w:rPr>
                <w:noProof/>
                <w:webHidden/>
              </w:rPr>
              <w:tab/>
            </w:r>
            <w:r w:rsidR="00A153F6">
              <w:rPr>
                <w:noProof/>
                <w:webHidden/>
              </w:rPr>
              <w:fldChar w:fldCharType="begin"/>
            </w:r>
            <w:r w:rsidR="00A153F6">
              <w:rPr>
                <w:noProof/>
                <w:webHidden/>
              </w:rPr>
              <w:instrText xml:space="preserve"> PAGEREF _Toc226636537 \h </w:instrText>
            </w:r>
            <w:r w:rsidR="00A153F6">
              <w:rPr>
                <w:noProof/>
                <w:webHidden/>
              </w:rPr>
            </w:r>
            <w:r w:rsidR="00A153F6">
              <w:rPr>
                <w:noProof/>
                <w:webHidden/>
              </w:rPr>
              <w:fldChar w:fldCharType="separate"/>
            </w:r>
            <w:r w:rsidR="002A4EF5">
              <w:rPr>
                <w:noProof/>
                <w:webHidden/>
              </w:rPr>
              <w:t>2</w:t>
            </w:r>
            <w:r w:rsidR="00A153F6">
              <w:rPr>
                <w:noProof/>
                <w:webHidden/>
              </w:rPr>
              <w:fldChar w:fldCharType="end"/>
            </w:r>
          </w:hyperlink>
        </w:p>
        <w:p w14:paraId="0742822A" w14:textId="1D3ACE56"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38" w:history="1">
            <w:r w:rsidR="00A153F6" w:rsidRPr="00903488">
              <w:rPr>
                <w:rStyle w:val="Hipervnculo"/>
                <w:noProof/>
                <w:lang w:eastAsia="es-ES"/>
              </w:rPr>
              <w:t>II. Solicitud de aclaración</w:t>
            </w:r>
            <w:r w:rsidR="00A153F6">
              <w:rPr>
                <w:noProof/>
                <w:webHidden/>
              </w:rPr>
              <w:tab/>
            </w:r>
            <w:r w:rsidR="00A153F6">
              <w:rPr>
                <w:noProof/>
                <w:webHidden/>
              </w:rPr>
              <w:fldChar w:fldCharType="begin"/>
            </w:r>
            <w:r w:rsidR="00A153F6">
              <w:rPr>
                <w:noProof/>
                <w:webHidden/>
              </w:rPr>
              <w:instrText xml:space="preserve"> PAGEREF _Toc226636538 \h </w:instrText>
            </w:r>
            <w:r w:rsidR="00A153F6">
              <w:rPr>
                <w:noProof/>
                <w:webHidden/>
              </w:rPr>
            </w:r>
            <w:r w:rsidR="00A153F6">
              <w:rPr>
                <w:noProof/>
                <w:webHidden/>
              </w:rPr>
              <w:fldChar w:fldCharType="separate"/>
            </w:r>
            <w:r w:rsidR="002A4EF5">
              <w:rPr>
                <w:noProof/>
                <w:webHidden/>
              </w:rPr>
              <w:t>3</w:t>
            </w:r>
            <w:r w:rsidR="00A153F6">
              <w:rPr>
                <w:noProof/>
                <w:webHidden/>
              </w:rPr>
              <w:fldChar w:fldCharType="end"/>
            </w:r>
          </w:hyperlink>
        </w:p>
        <w:p w14:paraId="1D884746" w14:textId="62D3FB72"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39" w:history="1">
            <w:r w:rsidR="00A153F6" w:rsidRPr="00903488">
              <w:rPr>
                <w:rStyle w:val="Hipervnculo"/>
                <w:noProof/>
                <w:lang w:eastAsia="es-ES"/>
              </w:rPr>
              <w:t>III. Desahogo de la aclaración</w:t>
            </w:r>
            <w:r w:rsidR="00A153F6">
              <w:rPr>
                <w:noProof/>
                <w:webHidden/>
              </w:rPr>
              <w:tab/>
            </w:r>
            <w:r w:rsidR="00A153F6">
              <w:rPr>
                <w:noProof/>
                <w:webHidden/>
              </w:rPr>
              <w:fldChar w:fldCharType="begin"/>
            </w:r>
            <w:r w:rsidR="00A153F6">
              <w:rPr>
                <w:noProof/>
                <w:webHidden/>
              </w:rPr>
              <w:instrText xml:space="preserve"> PAGEREF _Toc226636539 \h </w:instrText>
            </w:r>
            <w:r w:rsidR="00A153F6">
              <w:rPr>
                <w:noProof/>
                <w:webHidden/>
              </w:rPr>
            </w:r>
            <w:r w:rsidR="00A153F6">
              <w:rPr>
                <w:noProof/>
                <w:webHidden/>
              </w:rPr>
              <w:fldChar w:fldCharType="separate"/>
            </w:r>
            <w:r w:rsidR="002A4EF5">
              <w:rPr>
                <w:noProof/>
                <w:webHidden/>
              </w:rPr>
              <w:t>3</w:t>
            </w:r>
            <w:r w:rsidR="00A153F6">
              <w:rPr>
                <w:noProof/>
                <w:webHidden/>
              </w:rPr>
              <w:fldChar w:fldCharType="end"/>
            </w:r>
          </w:hyperlink>
        </w:p>
        <w:p w14:paraId="1022FCE2" w14:textId="3BBEC06C"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0" w:history="1">
            <w:r w:rsidR="00A153F6" w:rsidRPr="00903488">
              <w:rPr>
                <w:rStyle w:val="Hipervnculo"/>
                <w:rFonts w:cs="Tahoma"/>
                <w:noProof/>
              </w:rPr>
              <w:t>IV.</w:t>
            </w:r>
            <w:r w:rsidR="00A153F6" w:rsidRPr="00903488">
              <w:rPr>
                <w:rStyle w:val="Hipervnculo"/>
                <w:noProof/>
              </w:rPr>
              <w:t xml:space="preserve"> Respuesta del Sujeto Obligado</w:t>
            </w:r>
            <w:r w:rsidR="00A153F6">
              <w:rPr>
                <w:noProof/>
                <w:webHidden/>
              </w:rPr>
              <w:tab/>
            </w:r>
            <w:r w:rsidR="00A153F6">
              <w:rPr>
                <w:noProof/>
                <w:webHidden/>
              </w:rPr>
              <w:fldChar w:fldCharType="begin"/>
            </w:r>
            <w:r w:rsidR="00A153F6">
              <w:rPr>
                <w:noProof/>
                <w:webHidden/>
              </w:rPr>
              <w:instrText xml:space="preserve"> PAGEREF _Toc226636540 \h </w:instrText>
            </w:r>
            <w:r w:rsidR="00A153F6">
              <w:rPr>
                <w:noProof/>
                <w:webHidden/>
              </w:rPr>
            </w:r>
            <w:r w:rsidR="00A153F6">
              <w:rPr>
                <w:noProof/>
                <w:webHidden/>
              </w:rPr>
              <w:fldChar w:fldCharType="separate"/>
            </w:r>
            <w:r w:rsidR="002A4EF5">
              <w:rPr>
                <w:noProof/>
                <w:webHidden/>
              </w:rPr>
              <w:t>3</w:t>
            </w:r>
            <w:r w:rsidR="00A153F6">
              <w:rPr>
                <w:noProof/>
                <w:webHidden/>
              </w:rPr>
              <w:fldChar w:fldCharType="end"/>
            </w:r>
          </w:hyperlink>
        </w:p>
        <w:p w14:paraId="294C2346" w14:textId="4C16F9AC"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1" w:history="1">
            <w:r w:rsidR="00A153F6" w:rsidRPr="00903488">
              <w:rPr>
                <w:rStyle w:val="Hipervnculo"/>
                <w:noProof/>
              </w:rPr>
              <w:t>V. Interposición del Recurso de Revisión</w:t>
            </w:r>
            <w:r w:rsidR="00A153F6">
              <w:rPr>
                <w:noProof/>
                <w:webHidden/>
              </w:rPr>
              <w:tab/>
            </w:r>
            <w:r w:rsidR="00A153F6">
              <w:rPr>
                <w:noProof/>
                <w:webHidden/>
              </w:rPr>
              <w:fldChar w:fldCharType="begin"/>
            </w:r>
            <w:r w:rsidR="00A153F6">
              <w:rPr>
                <w:noProof/>
                <w:webHidden/>
              </w:rPr>
              <w:instrText xml:space="preserve"> PAGEREF _Toc226636541 \h </w:instrText>
            </w:r>
            <w:r w:rsidR="00A153F6">
              <w:rPr>
                <w:noProof/>
                <w:webHidden/>
              </w:rPr>
            </w:r>
            <w:r w:rsidR="00A153F6">
              <w:rPr>
                <w:noProof/>
                <w:webHidden/>
              </w:rPr>
              <w:fldChar w:fldCharType="separate"/>
            </w:r>
            <w:r w:rsidR="002A4EF5">
              <w:rPr>
                <w:noProof/>
                <w:webHidden/>
              </w:rPr>
              <w:t>4</w:t>
            </w:r>
            <w:r w:rsidR="00A153F6">
              <w:rPr>
                <w:noProof/>
                <w:webHidden/>
              </w:rPr>
              <w:fldChar w:fldCharType="end"/>
            </w:r>
          </w:hyperlink>
        </w:p>
        <w:p w14:paraId="68F1FE9B" w14:textId="3B956A74"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2" w:history="1">
            <w:r w:rsidR="00A153F6" w:rsidRPr="00903488">
              <w:rPr>
                <w:rStyle w:val="Hipervnculo"/>
                <w:noProof/>
              </w:rPr>
              <w:t>VI. Trámite del Recurso de Revisión ante este Instituto</w:t>
            </w:r>
            <w:r w:rsidR="00A153F6">
              <w:rPr>
                <w:noProof/>
                <w:webHidden/>
              </w:rPr>
              <w:tab/>
            </w:r>
            <w:r w:rsidR="00A153F6">
              <w:rPr>
                <w:noProof/>
                <w:webHidden/>
              </w:rPr>
              <w:fldChar w:fldCharType="begin"/>
            </w:r>
            <w:r w:rsidR="00A153F6">
              <w:rPr>
                <w:noProof/>
                <w:webHidden/>
              </w:rPr>
              <w:instrText xml:space="preserve"> PAGEREF _Toc226636542 \h </w:instrText>
            </w:r>
            <w:r w:rsidR="00A153F6">
              <w:rPr>
                <w:noProof/>
                <w:webHidden/>
              </w:rPr>
            </w:r>
            <w:r w:rsidR="00A153F6">
              <w:rPr>
                <w:noProof/>
                <w:webHidden/>
              </w:rPr>
              <w:fldChar w:fldCharType="separate"/>
            </w:r>
            <w:r w:rsidR="002A4EF5">
              <w:rPr>
                <w:noProof/>
                <w:webHidden/>
              </w:rPr>
              <w:t>5</w:t>
            </w:r>
            <w:r w:rsidR="00A153F6">
              <w:rPr>
                <w:noProof/>
                <w:webHidden/>
              </w:rPr>
              <w:fldChar w:fldCharType="end"/>
            </w:r>
          </w:hyperlink>
        </w:p>
        <w:p w14:paraId="26C179C5" w14:textId="592B5B00" w:rsidR="00A153F6" w:rsidRDefault="004A0F72">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36543" w:history="1">
            <w:r w:rsidR="00A153F6" w:rsidRPr="00903488">
              <w:rPr>
                <w:rStyle w:val="Hipervnculo"/>
                <w:noProof/>
              </w:rPr>
              <w:t>C O N S I D E R A N D O S</w:t>
            </w:r>
            <w:r w:rsidR="00A153F6">
              <w:rPr>
                <w:noProof/>
                <w:webHidden/>
              </w:rPr>
              <w:tab/>
            </w:r>
            <w:r w:rsidR="00A153F6">
              <w:rPr>
                <w:noProof/>
                <w:webHidden/>
              </w:rPr>
              <w:fldChar w:fldCharType="begin"/>
            </w:r>
            <w:r w:rsidR="00A153F6">
              <w:rPr>
                <w:noProof/>
                <w:webHidden/>
              </w:rPr>
              <w:instrText xml:space="preserve"> PAGEREF _Toc226636543 \h </w:instrText>
            </w:r>
            <w:r w:rsidR="00A153F6">
              <w:rPr>
                <w:noProof/>
                <w:webHidden/>
              </w:rPr>
            </w:r>
            <w:r w:rsidR="00A153F6">
              <w:rPr>
                <w:noProof/>
                <w:webHidden/>
              </w:rPr>
              <w:fldChar w:fldCharType="separate"/>
            </w:r>
            <w:r w:rsidR="002A4EF5">
              <w:rPr>
                <w:noProof/>
                <w:webHidden/>
              </w:rPr>
              <w:t>7</w:t>
            </w:r>
            <w:r w:rsidR="00A153F6">
              <w:rPr>
                <w:noProof/>
                <w:webHidden/>
              </w:rPr>
              <w:fldChar w:fldCharType="end"/>
            </w:r>
          </w:hyperlink>
        </w:p>
        <w:p w14:paraId="67693EE6" w14:textId="3A49AC79"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4" w:history="1">
            <w:r w:rsidR="00A153F6" w:rsidRPr="00903488">
              <w:rPr>
                <w:rStyle w:val="Hipervnculo"/>
                <w:noProof/>
              </w:rPr>
              <w:t>PRIMERO. Competencia</w:t>
            </w:r>
            <w:r w:rsidR="00A153F6">
              <w:rPr>
                <w:noProof/>
                <w:webHidden/>
              </w:rPr>
              <w:tab/>
            </w:r>
            <w:r w:rsidR="00A153F6">
              <w:rPr>
                <w:noProof/>
                <w:webHidden/>
              </w:rPr>
              <w:fldChar w:fldCharType="begin"/>
            </w:r>
            <w:r w:rsidR="00A153F6">
              <w:rPr>
                <w:noProof/>
                <w:webHidden/>
              </w:rPr>
              <w:instrText xml:space="preserve"> PAGEREF _Toc226636544 \h </w:instrText>
            </w:r>
            <w:r w:rsidR="00A153F6">
              <w:rPr>
                <w:noProof/>
                <w:webHidden/>
              </w:rPr>
            </w:r>
            <w:r w:rsidR="00A153F6">
              <w:rPr>
                <w:noProof/>
                <w:webHidden/>
              </w:rPr>
              <w:fldChar w:fldCharType="separate"/>
            </w:r>
            <w:r w:rsidR="002A4EF5">
              <w:rPr>
                <w:noProof/>
                <w:webHidden/>
              </w:rPr>
              <w:t>7</w:t>
            </w:r>
            <w:r w:rsidR="00A153F6">
              <w:rPr>
                <w:noProof/>
                <w:webHidden/>
              </w:rPr>
              <w:fldChar w:fldCharType="end"/>
            </w:r>
          </w:hyperlink>
        </w:p>
        <w:p w14:paraId="4B9EF092" w14:textId="0F7C1D56"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5" w:history="1">
            <w:r w:rsidR="00A153F6" w:rsidRPr="00903488">
              <w:rPr>
                <w:rStyle w:val="Hipervnculo"/>
                <w:noProof/>
              </w:rPr>
              <w:t>SEGUNDO. Causales de improcedencia y sobreseimiento</w:t>
            </w:r>
            <w:r w:rsidR="00A153F6">
              <w:rPr>
                <w:noProof/>
                <w:webHidden/>
              </w:rPr>
              <w:tab/>
            </w:r>
            <w:r w:rsidR="00A153F6">
              <w:rPr>
                <w:noProof/>
                <w:webHidden/>
              </w:rPr>
              <w:fldChar w:fldCharType="begin"/>
            </w:r>
            <w:r w:rsidR="00A153F6">
              <w:rPr>
                <w:noProof/>
                <w:webHidden/>
              </w:rPr>
              <w:instrText xml:space="preserve"> PAGEREF _Toc226636545 \h </w:instrText>
            </w:r>
            <w:r w:rsidR="00A153F6">
              <w:rPr>
                <w:noProof/>
                <w:webHidden/>
              </w:rPr>
            </w:r>
            <w:r w:rsidR="00A153F6">
              <w:rPr>
                <w:noProof/>
                <w:webHidden/>
              </w:rPr>
              <w:fldChar w:fldCharType="separate"/>
            </w:r>
            <w:r w:rsidR="002A4EF5">
              <w:rPr>
                <w:noProof/>
                <w:webHidden/>
              </w:rPr>
              <w:t>7</w:t>
            </w:r>
            <w:r w:rsidR="00A153F6">
              <w:rPr>
                <w:noProof/>
                <w:webHidden/>
              </w:rPr>
              <w:fldChar w:fldCharType="end"/>
            </w:r>
          </w:hyperlink>
        </w:p>
        <w:p w14:paraId="2B7FE3E9" w14:textId="567901CB"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6" w:history="1">
            <w:r w:rsidR="00A153F6" w:rsidRPr="00903488">
              <w:rPr>
                <w:rStyle w:val="Hipervnculo"/>
                <w:noProof/>
              </w:rPr>
              <w:t>TERCERO. Determinación de la Controversia</w:t>
            </w:r>
            <w:r w:rsidR="00A153F6">
              <w:rPr>
                <w:noProof/>
                <w:webHidden/>
              </w:rPr>
              <w:tab/>
            </w:r>
            <w:r w:rsidR="00A153F6">
              <w:rPr>
                <w:noProof/>
                <w:webHidden/>
              </w:rPr>
              <w:fldChar w:fldCharType="begin"/>
            </w:r>
            <w:r w:rsidR="00A153F6">
              <w:rPr>
                <w:noProof/>
                <w:webHidden/>
              </w:rPr>
              <w:instrText xml:space="preserve"> PAGEREF _Toc226636546 \h </w:instrText>
            </w:r>
            <w:r w:rsidR="00A153F6">
              <w:rPr>
                <w:noProof/>
                <w:webHidden/>
              </w:rPr>
            </w:r>
            <w:r w:rsidR="00A153F6">
              <w:rPr>
                <w:noProof/>
                <w:webHidden/>
              </w:rPr>
              <w:fldChar w:fldCharType="separate"/>
            </w:r>
            <w:r w:rsidR="002A4EF5">
              <w:rPr>
                <w:noProof/>
                <w:webHidden/>
              </w:rPr>
              <w:t>9</w:t>
            </w:r>
            <w:r w:rsidR="00A153F6">
              <w:rPr>
                <w:noProof/>
                <w:webHidden/>
              </w:rPr>
              <w:fldChar w:fldCharType="end"/>
            </w:r>
          </w:hyperlink>
        </w:p>
        <w:p w14:paraId="6457376F" w14:textId="31B508DC"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7" w:history="1">
            <w:r w:rsidR="00A153F6" w:rsidRPr="00903488">
              <w:rPr>
                <w:rStyle w:val="Hipervnculo"/>
                <w:noProof/>
              </w:rPr>
              <w:t>CUARTO. Marco normativo aplicable en materia de transparencia y acceso a la información pública</w:t>
            </w:r>
            <w:r w:rsidR="00A153F6">
              <w:rPr>
                <w:noProof/>
                <w:webHidden/>
              </w:rPr>
              <w:tab/>
            </w:r>
            <w:r w:rsidR="00A153F6">
              <w:rPr>
                <w:noProof/>
                <w:webHidden/>
              </w:rPr>
              <w:fldChar w:fldCharType="begin"/>
            </w:r>
            <w:r w:rsidR="00A153F6">
              <w:rPr>
                <w:noProof/>
                <w:webHidden/>
              </w:rPr>
              <w:instrText xml:space="preserve"> PAGEREF _Toc226636547 \h </w:instrText>
            </w:r>
            <w:r w:rsidR="00A153F6">
              <w:rPr>
                <w:noProof/>
                <w:webHidden/>
              </w:rPr>
            </w:r>
            <w:r w:rsidR="00A153F6">
              <w:rPr>
                <w:noProof/>
                <w:webHidden/>
              </w:rPr>
              <w:fldChar w:fldCharType="separate"/>
            </w:r>
            <w:r w:rsidR="002A4EF5">
              <w:rPr>
                <w:noProof/>
                <w:webHidden/>
              </w:rPr>
              <w:t>11</w:t>
            </w:r>
            <w:r w:rsidR="00A153F6">
              <w:rPr>
                <w:noProof/>
                <w:webHidden/>
              </w:rPr>
              <w:fldChar w:fldCharType="end"/>
            </w:r>
          </w:hyperlink>
        </w:p>
        <w:p w14:paraId="00F69CB5" w14:textId="140FEF76"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8" w:history="1">
            <w:r w:rsidR="00A153F6" w:rsidRPr="00903488">
              <w:rPr>
                <w:rStyle w:val="Hipervnculo"/>
                <w:noProof/>
              </w:rPr>
              <w:t>QUINTO. Estudio de Fondo</w:t>
            </w:r>
            <w:r w:rsidR="00A153F6">
              <w:rPr>
                <w:noProof/>
                <w:webHidden/>
              </w:rPr>
              <w:tab/>
            </w:r>
            <w:r w:rsidR="00A153F6">
              <w:rPr>
                <w:noProof/>
                <w:webHidden/>
              </w:rPr>
              <w:fldChar w:fldCharType="begin"/>
            </w:r>
            <w:r w:rsidR="00A153F6">
              <w:rPr>
                <w:noProof/>
                <w:webHidden/>
              </w:rPr>
              <w:instrText xml:space="preserve"> PAGEREF _Toc226636548 \h </w:instrText>
            </w:r>
            <w:r w:rsidR="00A153F6">
              <w:rPr>
                <w:noProof/>
                <w:webHidden/>
              </w:rPr>
            </w:r>
            <w:r w:rsidR="00A153F6">
              <w:rPr>
                <w:noProof/>
                <w:webHidden/>
              </w:rPr>
              <w:fldChar w:fldCharType="separate"/>
            </w:r>
            <w:r w:rsidR="002A4EF5">
              <w:rPr>
                <w:noProof/>
                <w:webHidden/>
              </w:rPr>
              <w:t>12</w:t>
            </w:r>
            <w:r w:rsidR="00A153F6">
              <w:rPr>
                <w:noProof/>
                <w:webHidden/>
              </w:rPr>
              <w:fldChar w:fldCharType="end"/>
            </w:r>
          </w:hyperlink>
        </w:p>
        <w:p w14:paraId="0FE67724" w14:textId="2998B15B" w:rsidR="00A153F6" w:rsidRDefault="004A0F72">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6549" w:history="1">
            <w:r w:rsidR="00A153F6" w:rsidRPr="00903488">
              <w:rPr>
                <w:rStyle w:val="Hipervnculo"/>
                <w:noProof/>
              </w:rPr>
              <w:t>SEXTO. Decisión</w:t>
            </w:r>
            <w:r w:rsidR="00A153F6">
              <w:rPr>
                <w:noProof/>
                <w:webHidden/>
              </w:rPr>
              <w:tab/>
            </w:r>
            <w:r w:rsidR="00A153F6">
              <w:rPr>
                <w:noProof/>
                <w:webHidden/>
              </w:rPr>
              <w:fldChar w:fldCharType="begin"/>
            </w:r>
            <w:r w:rsidR="00A153F6">
              <w:rPr>
                <w:noProof/>
                <w:webHidden/>
              </w:rPr>
              <w:instrText xml:space="preserve"> PAGEREF _Toc226636549 \h </w:instrText>
            </w:r>
            <w:r w:rsidR="00A153F6">
              <w:rPr>
                <w:noProof/>
                <w:webHidden/>
              </w:rPr>
            </w:r>
            <w:r w:rsidR="00A153F6">
              <w:rPr>
                <w:noProof/>
                <w:webHidden/>
              </w:rPr>
              <w:fldChar w:fldCharType="separate"/>
            </w:r>
            <w:r w:rsidR="002A4EF5">
              <w:rPr>
                <w:noProof/>
                <w:webHidden/>
              </w:rPr>
              <w:t>31</w:t>
            </w:r>
            <w:r w:rsidR="00A153F6">
              <w:rPr>
                <w:noProof/>
                <w:webHidden/>
              </w:rPr>
              <w:fldChar w:fldCharType="end"/>
            </w:r>
          </w:hyperlink>
        </w:p>
        <w:p w14:paraId="17755A14" w14:textId="54ADDF4A" w:rsidR="00A153F6" w:rsidRDefault="004A0F72">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36550" w:history="1">
            <w:r w:rsidR="00A153F6" w:rsidRPr="00903488">
              <w:rPr>
                <w:rStyle w:val="Hipervnculo"/>
                <w:noProof/>
              </w:rPr>
              <w:t>R E S U E L V E</w:t>
            </w:r>
            <w:r w:rsidR="00A153F6">
              <w:rPr>
                <w:noProof/>
                <w:webHidden/>
              </w:rPr>
              <w:tab/>
            </w:r>
            <w:r w:rsidR="00A153F6">
              <w:rPr>
                <w:noProof/>
                <w:webHidden/>
              </w:rPr>
              <w:fldChar w:fldCharType="begin"/>
            </w:r>
            <w:r w:rsidR="00A153F6">
              <w:rPr>
                <w:noProof/>
                <w:webHidden/>
              </w:rPr>
              <w:instrText xml:space="preserve"> PAGEREF _Toc226636550 \h </w:instrText>
            </w:r>
            <w:r w:rsidR="00A153F6">
              <w:rPr>
                <w:noProof/>
                <w:webHidden/>
              </w:rPr>
            </w:r>
            <w:r w:rsidR="00A153F6">
              <w:rPr>
                <w:noProof/>
                <w:webHidden/>
              </w:rPr>
              <w:fldChar w:fldCharType="separate"/>
            </w:r>
            <w:r w:rsidR="002A4EF5">
              <w:rPr>
                <w:noProof/>
                <w:webHidden/>
              </w:rPr>
              <w:t>32</w:t>
            </w:r>
            <w:r w:rsidR="00A153F6">
              <w:rPr>
                <w:noProof/>
                <w:webHidden/>
              </w:rPr>
              <w:fldChar w:fldCharType="end"/>
            </w:r>
          </w:hyperlink>
        </w:p>
        <w:p w14:paraId="26C6A2AC" w14:textId="0C0D6083" w:rsidR="006A7CC6" w:rsidRDefault="006A7CC6">
          <w:r>
            <w:rPr>
              <w:b/>
              <w:bCs/>
              <w:lang w:val="es-ES"/>
            </w:rPr>
            <w:fldChar w:fldCharType="end"/>
          </w:r>
        </w:p>
      </w:sdtContent>
    </w:sdt>
    <w:p w14:paraId="411B5995" w14:textId="3C1D1BE1" w:rsidR="00C4052B" w:rsidRDefault="00C4052B" w:rsidP="0049651D">
      <w:pPr>
        <w:tabs>
          <w:tab w:val="left" w:pos="8931"/>
        </w:tabs>
        <w:spacing w:after="0" w:line="360" w:lineRule="auto"/>
      </w:pPr>
    </w:p>
    <w:p w14:paraId="43C34F88" w14:textId="36CEECD3" w:rsidR="006A7CC6" w:rsidRDefault="006A7CC6" w:rsidP="0049651D">
      <w:pPr>
        <w:tabs>
          <w:tab w:val="left" w:pos="8931"/>
        </w:tabs>
        <w:spacing w:after="0" w:line="360" w:lineRule="auto"/>
      </w:pPr>
    </w:p>
    <w:p w14:paraId="3B601B04" w14:textId="70F9436A" w:rsidR="006A7CC6" w:rsidRDefault="006A7CC6" w:rsidP="0049651D">
      <w:pPr>
        <w:tabs>
          <w:tab w:val="left" w:pos="8931"/>
        </w:tabs>
        <w:spacing w:after="0" w:line="360" w:lineRule="auto"/>
      </w:pPr>
    </w:p>
    <w:p w14:paraId="259C26FB" w14:textId="72902D31" w:rsidR="006A7CC6" w:rsidRDefault="006A7CC6" w:rsidP="0049651D">
      <w:pPr>
        <w:tabs>
          <w:tab w:val="left" w:pos="8931"/>
        </w:tabs>
        <w:spacing w:after="0" w:line="360" w:lineRule="auto"/>
      </w:pPr>
    </w:p>
    <w:p w14:paraId="2022B1FB" w14:textId="6E12A35A" w:rsidR="006A7CC6" w:rsidRDefault="006A7CC6" w:rsidP="0049651D">
      <w:pPr>
        <w:tabs>
          <w:tab w:val="left" w:pos="8931"/>
        </w:tabs>
        <w:spacing w:after="0" w:line="360" w:lineRule="auto"/>
      </w:pPr>
    </w:p>
    <w:p w14:paraId="5C11A43C" w14:textId="2BD68B68" w:rsidR="006A7CC6" w:rsidRDefault="006A7CC6" w:rsidP="0049651D">
      <w:pPr>
        <w:tabs>
          <w:tab w:val="left" w:pos="8931"/>
        </w:tabs>
        <w:spacing w:after="0" w:line="360" w:lineRule="auto"/>
      </w:pPr>
    </w:p>
    <w:p w14:paraId="60AEE70D" w14:textId="30E2C87F" w:rsidR="006A7CC6" w:rsidRDefault="006A7CC6" w:rsidP="0049651D">
      <w:pPr>
        <w:tabs>
          <w:tab w:val="left" w:pos="8931"/>
        </w:tabs>
        <w:spacing w:after="0" w:line="360" w:lineRule="auto"/>
      </w:pPr>
    </w:p>
    <w:p w14:paraId="073283C3" w14:textId="37F5783A" w:rsidR="006A7CC6" w:rsidRDefault="006A7CC6" w:rsidP="0049651D">
      <w:pPr>
        <w:tabs>
          <w:tab w:val="left" w:pos="8931"/>
        </w:tabs>
        <w:spacing w:after="0" w:line="360" w:lineRule="auto"/>
      </w:pPr>
    </w:p>
    <w:p w14:paraId="5F121F3C" w14:textId="55453CA7" w:rsidR="006A7CC6" w:rsidRDefault="006A7CC6" w:rsidP="0049651D">
      <w:pPr>
        <w:tabs>
          <w:tab w:val="left" w:pos="8931"/>
        </w:tabs>
        <w:spacing w:after="0" w:line="360" w:lineRule="auto"/>
      </w:pPr>
    </w:p>
    <w:p w14:paraId="7F38981D" w14:textId="77777777" w:rsidR="00A55E82" w:rsidRPr="0050318E" w:rsidRDefault="00A55E82" w:rsidP="0049651D">
      <w:pPr>
        <w:tabs>
          <w:tab w:val="left" w:pos="8931"/>
        </w:tabs>
        <w:spacing w:after="0" w:line="360" w:lineRule="auto"/>
      </w:pPr>
    </w:p>
    <w:p w14:paraId="3FB7EB5E" w14:textId="1B449666" w:rsidR="005C690F" w:rsidRPr="0050318E" w:rsidRDefault="007D6307" w:rsidP="0049651D">
      <w:pPr>
        <w:tabs>
          <w:tab w:val="left" w:pos="8931"/>
        </w:tabs>
        <w:spacing w:after="0" w:line="360" w:lineRule="auto"/>
      </w:pPr>
      <w:r w:rsidRPr="0050318E">
        <w:t xml:space="preserve">Resolución del Pleno del Instituto de Transparencia, Acceso a la Información Pública y Protección de Datos Personales del Estado de México y Municipios, con domicilio en Metepec, Estado de México, de </w:t>
      </w:r>
      <w:r w:rsidR="00EF0C39" w:rsidRPr="0050318E">
        <w:t xml:space="preserve">fecha </w:t>
      </w:r>
      <w:r w:rsidR="00656628">
        <w:t>ocho de abril de dos mil veintiséis.</w:t>
      </w:r>
    </w:p>
    <w:p w14:paraId="0DCD3B82" w14:textId="77777777" w:rsidR="005C690F" w:rsidRPr="0050318E" w:rsidRDefault="005C690F" w:rsidP="0049651D">
      <w:pPr>
        <w:spacing w:after="0" w:line="360" w:lineRule="auto"/>
        <w:rPr>
          <w:b/>
        </w:rPr>
      </w:pPr>
    </w:p>
    <w:p w14:paraId="1570B336" w14:textId="1D880B13" w:rsidR="005C690F" w:rsidRPr="0050318E" w:rsidRDefault="007D6307" w:rsidP="0049651D">
      <w:pPr>
        <w:spacing w:after="0" w:line="360" w:lineRule="auto"/>
        <w:rPr>
          <w:color w:val="0D0D0D"/>
        </w:rPr>
      </w:pPr>
      <w:r w:rsidRPr="0050318E">
        <w:rPr>
          <w:b/>
        </w:rPr>
        <w:t xml:space="preserve">VISTO </w:t>
      </w:r>
      <w:r w:rsidRPr="0050318E">
        <w:t xml:space="preserve">el expediente electrónico conformado con motivo del Recurso de Revisión </w:t>
      </w:r>
      <w:r w:rsidR="00656628" w:rsidRPr="00E1542E">
        <w:rPr>
          <w:b/>
        </w:rPr>
        <w:t>07831</w:t>
      </w:r>
      <w:r w:rsidR="00026C6B" w:rsidRPr="00E1542E">
        <w:rPr>
          <w:b/>
        </w:rPr>
        <w:t>/INFOEM/IP/RR/202</w:t>
      </w:r>
      <w:r w:rsidR="00C11A18" w:rsidRPr="00E1542E">
        <w:rPr>
          <w:b/>
        </w:rPr>
        <w:t>5</w:t>
      </w:r>
      <w:r w:rsidRPr="0050318E">
        <w:t>, interpuesto</w:t>
      </w:r>
      <w:r w:rsidR="00426354" w:rsidRPr="0050318E">
        <w:t xml:space="preserve"> por</w:t>
      </w:r>
      <w:r w:rsidR="007B4717" w:rsidRPr="0050318E">
        <w:t xml:space="preserve"> </w:t>
      </w:r>
      <w:r w:rsidR="00D906B2" w:rsidRPr="0050318E">
        <w:t>la persona</w:t>
      </w:r>
      <w:r w:rsidRPr="0050318E">
        <w:t xml:space="preserve"> </w:t>
      </w:r>
      <w:r w:rsidRPr="0050318E">
        <w:rPr>
          <w:color w:val="0D0D0D"/>
        </w:rPr>
        <w:t>Recurrente o Particular, en contra de la respuesta del Sujeto Obligado</w:t>
      </w:r>
      <w:r w:rsidR="00705FBB" w:rsidRPr="0050318E">
        <w:rPr>
          <w:color w:val="0D0D0D"/>
        </w:rPr>
        <w:t xml:space="preserve">, </w:t>
      </w:r>
      <w:r w:rsidR="00705FBB" w:rsidRPr="00E1542E">
        <w:rPr>
          <w:b/>
          <w:color w:val="0D0D0D"/>
        </w:rPr>
        <w:t xml:space="preserve">Ayuntamiento de </w:t>
      </w:r>
      <w:r w:rsidR="00656628" w:rsidRPr="00E1542E">
        <w:rPr>
          <w:b/>
        </w:rPr>
        <w:t>Otzolotepec</w:t>
      </w:r>
      <w:r w:rsidR="00EF0C39" w:rsidRPr="00E1542E">
        <w:rPr>
          <w:b/>
        </w:rPr>
        <w:t>,</w:t>
      </w:r>
      <w:r w:rsidRPr="0050318E">
        <w:rPr>
          <w:color w:val="0D0D0D"/>
        </w:rPr>
        <w:t xml:space="preserve"> a la solicitud de acceso a la información pública</w:t>
      </w:r>
      <w:r w:rsidR="00800641" w:rsidRPr="0050318E">
        <w:rPr>
          <w:color w:val="0D0D0D"/>
        </w:rPr>
        <w:t xml:space="preserve"> </w:t>
      </w:r>
      <w:r w:rsidR="00656628" w:rsidRPr="00656628">
        <w:t>00264/OTZOLOTE/IP/2025</w:t>
      </w:r>
      <w:r w:rsidRPr="0050318E">
        <w:rPr>
          <w:color w:val="000000"/>
        </w:rPr>
        <w:t xml:space="preserve">, </w:t>
      </w:r>
      <w:r w:rsidRPr="0050318E">
        <w:rPr>
          <w:color w:val="0D0D0D"/>
        </w:rPr>
        <w:t>se emite la presente Resolución, con base en los Antecedentes y Considerandos que se exponen a continuación:</w:t>
      </w:r>
    </w:p>
    <w:p w14:paraId="1F97CEF3" w14:textId="77777777" w:rsidR="005C690F" w:rsidRPr="0050318E" w:rsidRDefault="005C690F" w:rsidP="0049651D">
      <w:pPr>
        <w:spacing w:after="0" w:line="360" w:lineRule="auto"/>
        <w:rPr>
          <w:b/>
        </w:rPr>
      </w:pPr>
    </w:p>
    <w:p w14:paraId="1DEAF9D3" w14:textId="24D35555" w:rsidR="005C690F" w:rsidRPr="0050318E" w:rsidRDefault="00CD6238" w:rsidP="0049651D">
      <w:pPr>
        <w:pStyle w:val="Ttulo1"/>
        <w:spacing w:before="0" w:after="0" w:line="360" w:lineRule="auto"/>
        <w:jc w:val="center"/>
        <w:rPr>
          <w:sz w:val="22"/>
          <w:szCs w:val="22"/>
        </w:rPr>
      </w:pPr>
      <w:bookmarkStart w:id="0" w:name="_Toc191568337"/>
      <w:bookmarkStart w:id="1" w:name="_Toc226636536"/>
      <w:r w:rsidRPr="0050318E">
        <w:rPr>
          <w:sz w:val="22"/>
          <w:szCs w:val="22"/>
        </w:rPr>
        <w:t>A N T E C E D E N T E S</w:t>
      </w:r>
      <w:bookmarkEnd w:id="0"/>
      <w:bookmarkEnd w:id="1"/>
    </w:p>
    <w:p w14:paraId="5A7EDA4F" w14:textId="77777777" w:rsidR="005C690F" w:rsidRPr="0050318E" w:rsidRDefault="005C690F" w:rsidP="0049651D">
      <w:pPr>
        <w:spacing w:after="0" w:line="360" w:lineRule="auto"/>
        <w:jc w:val="center"/>
        <w:rPr>
          <w:b/>
        </w:rPr>
      </w:pPr>
    </w:p>
    <w:p w14:paraId="4930DAB9" w14:textId="095C66A3" w:rsidR="00E22EA8" w:rsidRPr="0050318E" w:rsidRDefault="00E22EA8" w:rsidP="0049651D">
      <w:pPr>
        <w:pStyle w:val="Ttulo2"/>
        <w:spacing w:before="0" w:after="0" w:line="360" w:lineRule="auto"/>
        <w:rPr>
          <w:sz w:val="22"/>
          <w:szCs w:val="22"/>
          <w:lang w:eastAsia="es-ES"/>
        </w:rPr>
      </w:pPr>
      <w:bookmarkStart w:id="2" w:name="_Toc191568338"/>
      <w:bookmarkStart w:id="3" w:name="_Toc226636537"/>
      <w:r w:rsidRPr="0050318E">
        <w:rPr>
          <w:sz w:val="22"/>
          <w:szCs w:val="22"/>
          <w:lang w:eastAsia="es-ES"/>
        </w:rPr>
        <w:t>I. Presentación de la solicitud de información</w:t>
      </w:r>
      <w:bookmarkEnd w:id="2"/>
      <w:bookmarkEnd w:id="3"/>
    </w:p>
    <w:p w14:paraId="7243DA53" w14:textId="77777777" w:rsidR="00E22EA8" w:rsidRPr="0050318E" w:rsidRDefault="00E22EA8" w:rsidP="0049651D">
      <w:pPr>
        <w:tabs>
          <w:tab w:val="left" w:pos="567"/>
        </w:tabs>
        <w:spacing w:after="0" w:line="360" w:lineRule="auto"/>
        <w:rPr>
          <w:rFonts w:eastAsia="Times New Roman" w:cs="Tahoma"/>
          <w:lang w:eastAsia="es-ES"/>
        </w:rPr>
      </w:pPr>
    </w:p>
    <w:p w14:paraId="301B8A4E" w14:textId="48E9E5F1" w:rsidR="00E22EA8" w:rsidRPr="0050318E" w:rsidRDefault="00D906B2" w:rsidP="0049651D">
      <w:pPr>
        <w:spacing w:after="0" w:line="360" w:lineRule="auto"/>
        <w:rPr>
          <w:rFonts w:eastAsia="Times New Roman" w:cs="Tahoma"/>
          <w:lang w:eastAsia="es-ES"/>
        </w:rPr>
      </w:pPr>
      <w:r w:rsidRPr="0050318E">
        <w:rPr>
          <w:rFonts w:eastAsia="Times New Roman" w:cs="Tahoma"/>
          <w:lang w:eastAsia="es-ES"/>
        </w:rPr>
        <w:t>El</w:t>
      </w:r>
      <w:r w:rsidR="00D52EC1" w:rsidRPr="0050318E">
        <w:rPr>
          <w:rFonts w:eastAsia="Times New Roman" w:cs="Tahoma"/>
          <w:lang w:eastAsia="es-ES"/>
        </w:rPr>
        <w:t xml:space="preserve"> </w:t>
      </w:r>
      <w:r w:rsidR="00656628">
        <w:rPr>
          <w:rFonts w:eastAsia="Times New Roman" w:cs="Tahoma"/>
          <w:lang w:eastAsia="es-ES"/>
        </w:rPr>
        <w:t>veinte de mayo</w:t>
      </w:r>
      <w:r w:rsidR="008E0DC4" w:rsidRPr="0050318E">
        <w:rPr>
          <w:rFonts w:eastAsia="Times New Roman" w:cs="Tahoma"/>
          <w:lang w:eastAsia="es-ES"/>
        </w:rPr>
        <w:t xml:space="preserve"> de dos mil veinticinco</w:t>
      </w:r>
      <w:r w:rsidR="00E22EA8" w:rsidRPr="0050318E">
        <w:rPr>
          <w:rFonts w:eastAsia="Times New Roman" w:cs="Tahoma"/>
          <w:lang w:eastAsia="es-ES"/>
        </w:rPr>
        <w:t>, el Particular presentó una solicitud de acceso a la información pública, a través del Sistema de Acceso a la Información Mexiquense (SAIMEX), ante</w:t>
      </w:r>
      <w:r w:rsidR="000B3C56" w:rsidRPr="0050318E">
        <w:rPr>
          <w:rFonts w:eastAsia="Times New Roman" w:cs="Tahoma"/>
          <w:lang w:eastAsia="es-ES"/>
        </w:rPr>
        <w:t xml:space="preserve"> </w:t>
      </w:r>
      <w:r w:rsidR="00DC175C" w:rsidRPr="0050318E">
        <w:rPr>
          <w:rFonts w:eastAsia="Times New Roman" w:cs="Tahoma"/>
          <w:lang w:eastAsia="es-ES"/>
        </w:rPr>
        <w:t>el</w:t>
      </w:r>
      <w:r w:rsidR="00DC175C" w:rsidRPr="0050318E">
        <w:t xml:space="preserve"> </w:t>
      </w:r>
      <w:r w:rsidR="00705FBB" w:rsidRPr="0050318E">
        <w:t xml:space="preserve">Ayuntamiento de </w:t>
      </w:r>
      <w:r w:rsidR="00656628">
        <w:t>Otzolotepec</w:t>
      </w:r>
      <w:r w:rsidR="00426354" w:rsidRPr="0050318E">
        <w:rPr>
          <w:rFonts w:eastAsia="Calibri" w:cs="Tahoma"/>
        </w:rPr>
        <w:t xml:space="preserve">, </w:t>
      </w:r>
      <w:r w:rsidR="00E22EA8" w:rsidRPr="0050318E">
        <w:rPr>
          <w:rFonts w:eastAsia="Calibri" w:cs="Tahoma"/>
        </w:rPr>
        <w:t xml:space="preserve">en los siguientes términos: </w:t>
      </w:r>
    </w:p>
    <w:p w14:paraId="2B959865" w14:textId="77777777" w:rsidR="00E22EA8" w:rsidRPr="0050318E" w:rsidRDefault="00E22EA8" w:rsidP="0049651D">
      <w:pPr>
        <w:spacing w:after="0" w:line="360" w:lineRule="auto"/>
        <w:rPr>
          <w:rFonts w:eastAsia="Calibri" w:cs="Tahoma"/>
        </w:rPr>
      </w:pPr>
    </w:p>
    <w:p w14:paraId="25042E2A" w14:textId="28F2C99C" w:rsidR="00E22EA8" w:rsidRPr="0050318E" w:rsidRDefault="00125F26" w:rsidP="0049651D">
      <w:pPr>
        <w:tabs>
          <w:tab w:val="left" w:pos="4667"/>
        </w:tabs>
        <w:spacing w:after="0" w:line="360" w:lineRule="auto"/>
        <w:ind w:left="567" w:right="567"/>
        <w:rPr>
          <w:rFonts w:eastAsia="Times New Roman" w:cs="Tahoma"/>
          <w:b/>
          <w:i/>
          <w:iCs/>
          <w:sz w:val="20"/>
          <w:szCs w:val="20"/>
          <w:lang w:eastAsia="es-ES"/>
        </w:rPr>
      </w:pPr>
      <w:r w:rsidRPr="0050318E">
        <w:rPr>
          <w:rFonts w:eastAsia="Times New Roman" w:cs="Tahoma"/>
          <w:b/>
          <w:i/>
          <w:iCs/>
          <w:sz w:val="20"/>
          <w:szCs w:val="20"/>
          <w:lang w:eastAsia="es-ES"/>
        </w:rPr>
        <w:t>“</w:t>
      </w:r>
      <w:r w:rsidR="00E22EA8" w:rsidRPr="0050318E">
        <w:rPr>
          <w:rFonts w:eastAsia="Times New Roman" w:cs="Tahoma"/>
          <w:b/>
          <w:i/>
          <w:iCs/>
          <w:sz w:val="20"/>
          <w:szCs w:val="20"/>
          <w:lang w:eastAsia="es-ES"/>
        </w:rPr>
        <w:t>DESCRIPCIÓN CLARA Y PRECISA DE LA INFORMACIÓN SOLICITADA.</w:t>
      </w:r>
    </w:p>
    <w:p w14:paraId="2C6BC213" w14:textId="659518C1" w:rsidR="00E22EA8" w:rsidRPr="0050318E" w:rsidRDefault="00656628" w:rsidP="0049651D">
      <w:pPr>
        <w:tabs>
          <w:tab w:val="left" w:pos="4667"/>
        </w:tabs>
        <w:spacing w:after="0" w:line="360" w:lineRule="auto"/>
        <w:ind w:left="567" w:right="567"/>
        <w:rPr>
          <w:rFonts w:eastAsia="Times New Roman" w:cs="Tahoma"/>
          <w:bCs/>
          <w:i/>
          <w:iCs/>
          <w:sz w:val="20"/>
          <w:szCs w:val="20"/>
          <w:lang w:eastAsia="es-ES"/>
        </w:rPr>
      </w:pPr>
      <w:r w:rsidRPr="00656628">
        <w:rPr>
          <w:i/>
          <w:iCs/>
          <w:sz w:val="20"/>
          <w:szCs w:val="20"/>
        </w:rPr>
        <w:t>SE SOLICITA A LA PRESIDENTA MUNICIPAL INSTRUIR A QUIEN CORRESPONDA ENTREGAR POR MEDIO DIGITAL, (TESORERO MUNICIPAL) LOS PAGOS DE BASES PARA ADQUISICIO DE BIENES O SERVICIOS O BIEN PARA LA CONTRATACION DE OBRA PUBLICA. O BIEN LA MANIFESTACION EXPRESA DE NO CONTAR CON NINGUN REGISTRO O INGRESO POR TAL CONCEPTO #OTZOCONTRALACORRUPCION#</w:t>
      </w:r>
      <w:r w:rsidR="00B37C62" w:rsidRPr="00B37C62">
        <w:rPr>
          <w:i/>
          <w:iCs/>
          <w:sz w:val="20"/>
          <w:szCs w:val="20"/>
        </w:rPr>
        <w:t>.</w:t>
      </w:r>
      <w:r w:rsidR="00E22EA8" w:rsidRPr="0050318E">
        <w:rPr>
          <w:i/>
          <w:iCs/>
          <w:sz w:val="20"/>
          <w:szCs w:val="20"/>
        </w:rPr>
        <w:t>”</w:t>
      </w:r>
      <w:r w:rsidR="00426354" w:rsidRPr="0050318E">
        <w:rPr>
          <w:i/>
          <w:iCs/>
          <w:sz w:val="20"/>
          <w:szCs w:val="20"/>
        </w:rPr>
        <w:t xml:space="preserve"> (Sic.)</w:t>
      </w:r>
    </w:p>
    <w:p w14:paraId="3D010AF3" w14:textId="77777777" w:rsidR="00E22EA8" w:rsidRDefault="00E22EA8" w:rsidP="0049651D">
      <w:pPr>
        <w:tabs>
          <w:tab w:val="left" w:pos="4667"/>
        </w:tabs>
        <w:spacing w:after="0" w:line="360" w:lineRule="auto"/>
        <w:ind w:left="567" w:right="567"/>
        <w:rPr>
          <w:rFonts w:eastAsia="Times New Roman" w:cs="Tahoma"/>
          <w:b/>
          <w:bCs/>
          <w:i/>
          <w:iCs/>
          <w:sz w:val="20"/>
          <w:lang w:eastAsia="es-ES"/>
        </w:rPr>
      </w:pPr>
    </w:p>
    <w:p w14:paraId="4BD82DB7" w14:textId="77777777" w:rsidR="00C34ACB" w:rsidRPr="0050318E" w:rsidRDefault="00C34ACB" w:rsidP="0049651D">
      <w:pPr>
        <w:tabs>
          <w:tab w:val="left" w:pos="4667"/>
        </w:tabs>
        <w:spacing w:after="0" w:line="360" w:lineRule="auto"/>
        <w:ind w:left="567" w:right="567"/>
        <w:rPr>
          <w:rFonts w:eastAsia="Times New Roman" w:cs="Tahoma"/>
          <w:b/>
          <w:bCs/>
          <w:i/>
          <w:iCs/>
          <w:sz w:val="20"/>
          <w:lang w:eastAsia="es-ES"/>
        </w:rPr>
      </w:pPr>
    </w:p>
    <w:p w14:paraId="6C0DE105" w14:textId="3FEE2196" w:rsidR="00E22EA8" w:rsidRPr="0050318E" w:rsidRDefault="00125F26" w:rsidP="0049651D">
      <w:pPr>
        <w:tabs>
          <w:tab w:val="left" w:pos="4667"/>
        </w:tabs>
        <w:spacing w:after="0" w:line="360" w:lineRule="auto"/>
        <w:ind w:left="567" w:right="567"/>
        <w:rPr>
          <w:rFonts w:eastAsia="Times New Roman" w:cs="Tahoma"/>
          <w:b/>
          <w:bCs/>
          <w:i/>
          <w:iCs/>
          <w:sz w:val="20"/>
          <w:lang w:eastAsia="es-ES"/>
        </w:rPr>
      </w:pPr>
      <w:r w:rsidRPr="0050318E">
        <w:rPr>
          <w:rFonts w:eastAsia="Times New Roman" w:cs="Tahoma"/>
          <w:b/>
          <w:bCs/>
          <w:i/>
          <w:iCs/>
          <w:sz w:val="20"/>
          <w:lang w:eastAsia="es-ES"/>
        </w:rPr>
        <w:t>“</w:t>
      </w:r>
      <w:r w:rsidR="00E22EA8" w:rsidRPr="0050318E">
        <w:rPr>
          <w:rFonts w:eastAsia="Times New Roman" w:cs="Tahoma"/>
          <w:b/>
          <w:bCs/>
          <w:i/>
          <w:iCs/>
          <w:sz w:val="20"/>
          <w:lang w:eastAsia="es-ES"/>
        </w:rPr>
        <w:t>MODALIDAD DE ENTREGA</w:t>
      </w:r>
    </w:p>
    <w:p w14:paraId="0ECE13DD" w14:textId="4A758259" w:rsidR="002F5AA8" w:rsidRPr="0050318E" w:rsidRDefault="00BB6693" w:rsidP="0049651D">
      <w:pPr>
        <w:spacing w:after="0" w:line="360" w:lineRule="auto"/>
        <w:ind w:left="567" w:right="567"/>
        <w:rPr>
          <w:rFonts w:eastAsia="Times New Roman" w:cs="Arial"/>
          <w:bCs/>
          <w:i/>
          <w:iCs/>
          <w:sz w:val="20"/>
          <w:lang w:eastAsia="es-ES"/>
        </w:rPr>
      </w:pPr>
      <w:r w:rsidRPr="0050318E">
        <w:rPr>
          <w:rFonts w:eastAsia="Times New Roman" w:cs="Arial"/>
          <w:bCs/>
          <w:i/>
          <w:iCs/>
          <w:sz w:val="20"/>
          <w:lang w:eastAsia="es-ES"/>
        </w:rPr>
        <w:t>A través del SAIMEX</w:t>
      </w:r>
      <w:r w:rsidR="00E22EA8" w:rsidRPr="0050318E">
        <w:rPr>
          <w:rFonts w:eastAsia="Times New Roman" w:cs="Arial"/>
          <w:bCs/>
          <w:i/>
          <w:iCs/>
          <w:sz w:val="20"/>
          <w:lang w:eastAsia="es-ES"/>
        </w:rPr>
        <w:t>”</w:t>
      </w:r>
    </w:p>
    <w:p w14:paraId="171A7ADF" w14:textId="77777777" w:rsidR="00426354" w:rsidRDefault="00426354" w:rsidP="0049651D">
      <w:pPr>
        <w:spacing w:after="0" w:line="360" w:lineRule="auto"/>
        <w:ind w:left="567" w:right="567"/>
        <w:rPr>
          <w:rFonts w:eastAsia="Times New Roman" w:cs="Arial"/>
          <w:bCs/>
          <w:i/>
          <w:iCs/>
          <w:sz w:val="20"/>
          <w:lang w:eastAsia="es-ES"/>
        </w:rPr>
      </w:pPr>
    </w:p>
    <w:p w14:paraId="21D9A975" w14:textId="77777777" w:rsidR="00DE5965" w:rsidRPr="006A7CC6" w:rsidRDefault="00DE5965" w:rsidP="006A7CC6">
      <w:pPr>
        <w:pStyle w:val="Ttulo2"/>
        <w:spacing w:before="0" w:after="0" w:line="360" w:lineRule="auto"/>
        <w:rPr>
          <w:sz w:val="22"/>
          <w:szCs w:val="22"/>
          <w:lang w:eastAsia="es-ES"/>
        </w:rPr>
      </w:pPr>
      <w:bookmarkStart w:id="4" w:name="_Toc226636538"/>
      <w:r w:rsidRPr="006A7CC6">
        <w:rPr>
          <w:sz w:val="22"/>
          <w:szCs w:val="22"/>
          <w:lang w:eastAsia="es-ES"/>
        </w:rPr>
        <w:t>II. Solicitud de aclaración</w:t>
      </w:r>
      <w:bookmarkEnd w:id="4"/>
    </w:p>
    <w:p w14:paraId="7CEC349A" w14:textId="77777777" w:rsidR="00DE5965" w:rsidRDefault="00DE5965" w:rsidP="0049651D">
      <w:pPr>
        <w:spacing w:after="0" w:line="360" w:lineRule="auto"/>
        <w:ind w:right="567"/>
        <w:rPr>
          <w:rFonts w:eastAsia="Times New Roman" w:cs="Arial"/>
          <w:b/>
          <w:bCs/>
          <w:iCs/>
          <w:lang w:eastAsia="es-ES"/>
        </w:rPr>
      </w:pPr>
    </w:p>
    <w:p w14:paraId="13EAD38E" w14:textId="5CCEF119" w:rsidR="00DE5965" w:rsidRDefault="00DE5965" w:rsidP="0049651D">
      <w:pPr>
        <w:spacing w:after="0" w:line="360" w:lineRule="auto"/>
        <w:rPr>
          <w:rFonts w:eastAsia="Times New Roman" w:cs="Arial"/>
          <w:bCs/>
          <w:iCs/>
          <w:lang w:eastAsia="es-ES"/>
        </w:rPr>
      </w:pPr>
      <w:r w:rsidRPr="00DE5965">
        <w:rPr>
          <w:rFonts w:eastAsia="Times New Roman" w:cs="Arial"/>
          <w:bCs/>
          <w:iCs/>
          <w:lang w:eastAsia="es-ES"/>
        </w:rPr>
        <w:t xml:space="preserve">Con fecha </w:t>
      </w:r>
      <w:r>
        <w:rPr>
          <w:rFonts w:eastAsia="Times New Roman" w:cs="Arial"/>
          <w:bCs/>
          <w:iCs/>
          <w:lang w:eastAsia="es-ES"/>
        </w:rPr>
        <w:t>veintitrés de mayo</w:t>
      </w:r>
      <w:r w:rsidRPr="00DE5965">
        <w:rPr>
          <w:rFonts w:eastAsia="Times New Roman" w:cs="Arial"/>
          <w:bCs/>
          <w:iCs/>
          <w:lang w:eastAsia="es-ES"/>
        </w:rPr>
        <w:t xml:space="preserve"> de dos mil veinticinco, la Unidad de Transparencia del Sujeto Obligado, notificó al Particular, </w:t>
      </w:r>
      <w:r>
        <w:rPr>
          <w:rFonts w:eastAsia="Times New Roman" w:cs="Arial"/>
          <w:bCs/>
          <w:iCs/>
          <w:lang w:eastAsia="es-ES"/>
        </w:rPr>
        <w:t>la</w:t>
      </w:r>
      <w:r w:rsidRPr="00DE5965">
        <w:rPr>
          <w:rFonts w:eastAsia="Times New Roman" w:cs="Arial"/>
          <w:bCs/>
          <w:iCs/>
          <w:lang w:eastAsia="es-ES"/>
        </w:rPr>
        <w:t xml:space="preserve"> solicitud de aclaración al requerimiento de información en los términos siguientes:</w:t>
      </w:r>
    </w:p>
    <w:p w14:paraId="602C86DA" w14:textId="57E9ECDE" w:rsidR="00DE5965" w:rsidRPr="00DE5965" w:rsidRDefault="00DE5965" w:rsidP="0049651D">
      <w:pPr>
        <w:spacing w:after="0" w:line="360" w:lineRule="auto"/>
        <w:ind w:right="567"/>
        <w:rPr>
          <w:rFonts w:eastAsia="Times New Roman" w:cs="Arial"/>
          <w:bCs/>
          <w:iCs/>
          <w:lang w:eastAsia="es-ES"/>
        </w:rPr>
      </w:pPr>
    </w:p>
    <w:p w14:paraId="65744561" w14:textId="3EDF0FD1" w:rsidR="00DE5965" w:rsidRPr="00DE5965" w:rsidRDefault="00DE5965" w:rsidP="0049651D">
      <w:pPr>
        <w:pStyle w:val="Prrafodelista"/>
        <w:spacing w:line="360" w:lineRule="auto"/>
        <w:ind w:right="567"/>
        <w:rPr>
          <w:rFonts w:cs="Arial"/>
          <w:bCs/>
          <w:i/>
          <w:iCs/>
          <w:sz w:val="20"/>
        </w:rPr>
      </w:pPr>
      <w:r>
        <w:rPr>
          <w:rFonts w:cs="Arial"/>
          <w:bCs/>
          <w:i/>
          <w:iCs/>
          <w:sz w:val="20"/>
        </w:rPr>
        <w:t>“</w:t>
      </w:r>
      <w:r w:rsidRPr="00DE5965">
        <w:rPr>
          <w:rFonts w:cs="Arial"/>
          <w:bCs/>
          <w:i/>
          <w:iCs/>
          <w:sz w:val="20"/>
        </w:rPr>
        <w:t xml:space="preserve">Con fundamento en el artículo 159 de la Ley de Transparencia y Acceso a la Información Pública del Estado de México y Municipios, se solicita de la manera más atenta, indique de manera precisa el trienio </w:t>
      </w:r>
      <w:r>
        <w:rPr>
          <w:rFonts w:cs="Arial"/>
          <w:bCs/>
          <w:i/>
          <w:iCs/>
          <w:sz w:val="20"/>
        </w:rPr>
        <w:t xml:space="preserve">y año referente a su solicitud. </w:t>
      </w:r>
      <w:r w:rsidRPr="00DE5965">
        <w:rPr>
          <w:rFonts w:cs="Arial"/>
          <w:bCs/>
          <w:i/>
          <w:iCs/>
          <w:sz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2C2AAAE" w14:textId="4B7352CC" w:rsidR="00DE5965" w:rsidRDefault="00DE5965" w:rsidP="0049651D">
      <w:pPr>
        <w:spacing w:after="0" w:line="360" w:lineRule="auto"/>
        <w:ind w:right="567"/>
        <w:rPr>
          <w:rFonts w:eastAsia="Times New Roman" w:cs="Arial"/>
          <w:bCs/>
          <w:iCs/>
          <w:lang w:eastAsia="es-ES"/>
        </w:rPr>
      </w:pPr>
    </w:p>
    <w:p w14:paraId="22EFCE86" w14:textId="344FB9EA" w:rsidR="00DE5965" w:rsidRPr="006A7CC6" w:rsidRDefault="007E6145" w:rsidP="006A7CC6">
      <w:pPr>
        <w:pStyle w:val="Ttulo2"/>
        <w:spacing w:before="0" w:after="0" w:line="360" w:lineRule="auto"/>
        <w:rPr>
          <w:sz w:val="22"/>
          <w:szCs w:val="22"/>
          <w:lang w:eastAsia="es-ES"/>
        </w:rPr>
      </w:pPr>
      <w:bookmarkStart w:id="5" w:name="_Toc226636539"/>
      <w:r w:rsidRPr="006A7CC6">
        <w:rPr>
          <w:sz w:val="22"/>
          <w:szCs w:val="22"/>
          <w:lang w:eastAsia="es-ES"/>
        </w:rPr>
        <w:t>III. Desahogo de la a</w:t>
      </w:r>
      <w:r w:rsidR="00DE5965" w:rsidRPr="006A7CC6">
        <w:rPr>
          <w:sz w:val="22"/>
          <w:szCs w:val="22"/>
          <w:lang w:eastAsia="es-ES"/>
        </w:rPr>
        <w:t>claración</w:t>
      </w:r>
      <w:bookmarkEnd w:id="5"/>
    </w:p>
    <w:p w14:paraId="74C09515" w14:textId="77777777" w:rsidR="00DE5965" w:rsidRDefault="00DE5965" w:rsidP="0049651D">
      <w:pPr>
        <w:spacing w:after="0" w:line="360" w:lineRule="auto"/>
        <w:ind w:right="567"/>
        <w:rPr>
          <w:rFonts w:eastAsia="Times New Roman" w:cs="Arial"/>
          <w:bCs/>
          <w:iCs/>
          <w:lang w:eastAsia="es-ES"/>
        </w:rPr>
      </w:pPr>
    </w:p>
    <w:p w14:paraId="4342AF9F" w14:textId="6A4B0283" w:rsidR="00DE5965" w:rsidRDefault="00DE5965" w:rsidP="0049651D">
      <w:pPr>
        <w:spacing w:after="0" w:line="360" w:lineRule="auto"/>
        <w:rPr>
          <w:rFonts w:eastAsia="Times New Roman" w:cs="Arial"/>
          <w:bCs/>
          <w:iCs/>
          <w:lang w:eastAsia="es-ES"/>
        </w:rPr>
      </w:pPr>
      <w:r w:rsidRPr="00DE5965">
        <w:rPr>
          <w:rFonts w:eastAsia="Times New Roman" w:cs="Arial"/>
          <w:bCs/>
          <w:iCs/>
          <w:lang w:eastAsia="es-ES"/>
        </w:rPr>
        <w:t xml:space="preserve">Con fecha </w:t>
      </w:r>
      <w:r>
        <w:rPr>
          <w:rFonts w:eastAsia="Times New Roman" w:cs="Arial"/>
          <w:bCs/>
          <w:iCs/>
          <w:lang w:eastAsia="es-ES"/>
        </w:rPr>
        <w:t>veintiocho de mayo</w:t>
      </w:r>
      <w:r w:rsidRPr="00DE5965">
        <w:rPr>
          <w:rFonts w:eastAsia="Times New Roman" w:cs="Arial"/>
          <w:bCs/>
          <w:iCs/>
          <w:lang w:eastAsia="es-ES"/>
        </w:rPr>
        <w:t xml:space="preserve"> de dos mil veintic</w:t>
      </w:r>
      <w:r>
        <w:rPr>
          <w:rFonts w:eastAsia="Times New Roman" w:cs="Arial"/>
          <w:bCs/>
          <w:iCs/>
          <w:lang w:eastAsia="es-ES"/>
        </w:rPr>
        <w:t xml:space="preserve">inco, el Particular desahogó la solicitud </w:t>
      </w:r>
      <w:r w:rsidRPr="00DE5965">
        <w:rPr>
          <w:rFonts w:eastAsia="Times New Roman" w:cs="Arial"/>
          <w:bCs/>
          <w:iCs/>
          <w:lang w:eastAsia="es-ES"/>
        </w:rPr>
        <w:t>de aclaración presentada por el Ente Recurrido, en té</w:t>
      </w:r>
      <w:r>
        <w:rPr>
          <w:rFonts w:eastAsia="Times New Roman" w:cs="Arial"/>
          <w:bCs/>
          <w:iCs/>
          <w:lang w:eastAsia="es-ES"/>
        </w:rPr>
        <w:t xml:space="preserve">rminos idénticos, conforme a lo </w:t>
      </w:r>
      <w:r w:rsidRPr="00DE5965">
        <w:rPr>
          <w:rFonts w:eastAsia="Times New Roman" w:cs="Arial"/>
          <w:bCs/>
          <w:iCs/>
          <w:lang w:eastAsia="es-ES"/>
        </w:rPr>
        <w:t>siguiente:</w:t>
      </w:r>
    </w:p>
    <w:p w14:paraId="0500C221" w14:textId="77777777" w:rsidR="00DE5965" w:rsidRPr="00DE5965" w:rsidRDefault="00DE5965" w:rsidP="0049651D">
      <w:pPr>
        <w:spacing w:after="0" w:line="360" w:lineRule="auto"/>
        <w:ind w:right="567"/>
        <w:rPr>
          <w:rFonts w:eastAsia="Times New Roman" w:cs="Arial"/>
          <w:bCs/>
          <w:iCs/>
          <w:lang w:eastAsia="es-ES"/>
        </w:rPr>
      </w:pPr>
    </w:p>
    <w:p w14:paraId="264E4BAA" w14:textId="77777777" w:rsidR="00DE5965" w:rsidRPr="00DE5965" w:rsidRDefault="00DE5965" w:rsidP="0049651D">
      <w:pPr>
        <w:spacing w:after="0" w:line="360" w:lineRule="auto"/>
        <w:ind w:left="567" w:right="567"/>
        <w:rPr>
          <w:rFonts w:eastAsia="Times New Roman" w:cs="Arial"/>
          <w:b/>
          <w:bCs/>
          <w:i/>
          <w:iCs/>
          <w:lang w:eastAsia="es-ES"/>
        </w:rPr>
      </w:pPr>
      <w:r w:rsidRPr="00DE5965">
        <w:rPr>
          <w:rFonts w:eastAsia="Times New Roman" w:cs="Arial"/>
          <w:b/>
          <w:bCs/>
          <w:i/>
          <w:iCs/>
          <w:lang w:eastAsia="es-ES"/>
        </w:rPr>
        <w:t>“DATOS A COMPLETAR, CORREGIR, AMPLIAR O ACLARAR</w:t>
      </w:r>
    </w:p>
    <w:p w14:paraId="711AA29C" w14:textId="4EB4A800" w:rsidR="00DE5965" w:rsidRPr="00DE5965" w:rsidRDefault="00DE5965" w:rsidP="0049651D">
      <w:pPr>
        <w:spacing w:after="0" w:line="360" w:lineRule="auto"/>
        <w:ind w:left="567" w:right="567"/>
        <w:rPr>
          <w:rFonts w:eastAsia="Times New Roman" w:cs="Arial"/>
          <w:bCs/>
          <w:i/>
          <w:iCs/>
          <w:sz w:val="20"/>
          <w:lang w:eastAsia="es-ES"/>
        </w:rPr>
      </w:pPr>
      <w:r>
        <w:rPr>
          <w:rFonts w:eastAsia="Times New Roman" w:cs="Arial"/>
          <w:bCs/>
          <w:i/>
          <w:iCs/>
          <w:sz w:val="20"/>
          <w:lang w:eastAsia="es-ES"/>
        </w:rPr>
        <w:t>I</w:t>
      </w:r>
      <w:r w:rsidRPr="00DE5965">
        <w:rPr>
          <w:rFonts w:eastAsia="Times New Roman" w:cs="Arial"/>
          <w:bCs/>
          <w:i/>
          <w:iCs/>
          <w:sz w:val="20"/>
          <w:lang w:eastAsia="es-ES"/>
        </w:rPr>
        <w:t xml:space="preserve">NFORMACION DE LA ACTUAL ADMINISTRACION 2025-2025, REFERENTE A LOS MESES DE ENERO, FEBRERO, MARZO, ABRIL DEL PRESENTE AÑO 2025....” (Sic) </w:t>
      </w:r>
    </w:p>
    <w:p w14:paraId="7F842ED4" w14:textId="77777777" w:rsidR="00DE5965" w:rsidRPr="0050318E" w:rsidRDefault="00DE5965" w:rsidP="0049651D">
      <w:pPr>
        <w:spacing w:after="0" w:line="360" w:lineRule="auto"/>
        <w:ind w:right="567"/>
        <w:rPr>
          <w:rFonts w:eastAsia="Times New Roman" w:cs="Arial"/>
          <w:bCs/>
          <w:i/>
          <w:iCs/>
          <w:sz w:val="20"/>
          <w:lang w:eastAsia="es-ES"/>
        </w:rPr>
      </w:pPr>
    </w:p>
    <w:p w14:paraId="0A604AAC" w14:textId="4165F566" w:rsidR="00E22EA8" w:rsidRPr="0050318E" w:rsidRDefault="00DE5965" w:rsidP="0049651D">
      <w:pPr>
        <w:pStyle w:val="Ttulo2"/>
        <w:spacing w:before="0" w:after="0" w:line="360" w:lineRule="auto"/>
        <w:rPr>
          <w:sz w:val="22"/>
          <w:szCs w:val="22"/>
        </w:rPr>
      </w:pPr>
      <w:bookmarkStart w:id="6" w:name="_Toc191568339"/>
      <w:bookmarkStart w:id="7" w:name="_Toc226636540"/>
      <w:r>
        <w:rPr>
          <w:rFonts w:cs="Tahoma"/>
          <w:sz w:val="22"/>
          <w:szCs w:val="22"/>
        </w:rPr>
        <w:t>IV</w:t>
      </w:r>
      <w:r w:rsidR="00E22EA8" w:rsidRPr="0050318E">
        <w:rPr>
          <w:rFonts w:cs="Tahoma"/>
          <w:sz w:val="22"/>
          <w:szCs w:val="22"/>
        </w:rPr>
        <w:t>.</w:t>
      </w:r>
      <w:r w:rsidR="00E22EA8" w:rsidRPr="0050318E">
        <w:rPr>
          <w:sz w:val="22"/>
          <w:szCs w:val="22"/>
        </w:rPr>
        <w:t xml:space="preserve"> Respuesta del Sujeto Obligado</w:t>
      </w:r>
      <w:bookmarkEnd w:id="6"/>
      <w:bookmarkEnd w:id="7"/>
    </w:p>
    <w:p w14:paraId="10CE94A9" w14:textId="77777777" w:rsidR="00C06004" w:rsidRPr="0050318E" w:rsidRDefault="00C06004" w:rsidP="0049651D">
      <w:pPr>
        <w:autoSpaceDE w:val="0"/>
        <w:autoSpaceDN w:val="0"/>
        <w:adjustRightInd w:val="0"/>
        <w:spacing w:after="0" w:line="360" w:lineRule="auto"/>
        <w:rPr>
          <w:b/>
          <w:bCs/>
        </w:rPr>
      </w:pPr>
    </w:p>
    <w:p w14:paraId="33F16143" w14:textId="0C300A80" w:rsidR="00B37C62" w:rsidRDefault="00011477" w:rsidP="0049651D">
      <w:pPr>
        <w:spacing w:after="0" w:line="360" w:lineRule="auto"/>
      </w:pPr>
      <w:r w:rsidRPr="0050318E">
        <w:lastRenderedPageBreak/>
        <w:t xml:space="preserve">El </w:t>
      </w:r>
      <w:r w:rsidR="00DE5965">
        <w:t>diecinueve de junio</w:t>
      </w:r>
      <w:r w:rsidR="00CD4DE8" w:rsidRPr="0050318E">
        <w:t xml:space="preserve"> de dos mil veinticinco</w:t>
      </w:r>
      <w:r w:rsidR="00E22EA8" w:rsidRPr="0050318E">
        <w:t xml:space="preserve">, el Sujeto Obligado notificó, a través del Sistema de Acceso a la Información Mexiquense (SAIMEX), la respuesta a la solicitud de acceso a la información pública, </w:t>
      </w:r>
      <w:r w:rsidR="004D1D8F" w:rsidRPr="0050318E">
        <w:t>a través de</w:t>
      </w:r>
      <w:r w:rsidR="00426354" w:rsidRPr="0050318E">
        <w:t xml:space="preserve">l </w:t>
      </w:r>
      <w:r w:rsidR="00B37C62">
        <w:t>siguiente documento:</w:t>
      </w:r>
    </w:p>
    <w:p w14:paraId="3F9D2FA6" w14:textId="77777777" w:rsidR="00B37C62" w:rsidRDefault="00B37C62" w:rsidP="0049651D">
      <w:pPr>
        <w:spacing w:after="0" w:line="360" w:lineRule="auto"/>
      </w:pPr>
    </w:p>
    <w:p w14:paraId="76D970F6" w14:textId="716BF867" w:rsidR="00D121C6" w:rsidRDefault="00B37C62" w:rsidP="0049651D">
      <w:pPr>
        <w:pStyle w:val="Prrafodelista"/>
        <w:numPr>
          <w:ilvl w:val="0"/>
          <w:numId w:val="6"/>
        </w:numPr>
        <w:spacing w:line="360" w:lineRule="auto"/>
      </w:pPr>
      <w:r>
        <w:t>O</w:t>
      </w:r>
      <w:r w:rsidR="00426354" w:rsidRPr="0050318E">
        <w:t xml:space="preserve">ficio </w:t>
      </w:r>
      <w:r w:rsidR="007114AC">
        <w:t>con</w:t>
      </w:r>
      <w:r w:rsidR="00426354" w:rsidRPr="0050318E">
        <w:t xml:space="preserve"> número</w:t>
      </w:r>
      <w:r w:rsidR="007114AC">
        <w:t xml:space="preserve"> </w:t>
      </w:r>
      <w:r w:rsidR="00DE5965">
        <w:t>OTZ/TM/1143/2025</w:t>
      </w:r>
      <w:r>
        <w:t xml:space="preserve">, del </w:t>
      </w:r>
      <w:r w:rsidR="00DE5965">
        <w:t>cinco de junio</w:t>
      </w:r>
      <w:r>
        <w:t xml:space="preserve"> de dos mil veinticinco</w:t>
      </w:r>
      <w:r w:rsidR="00426354" w:rsidRPr="0050318E">
        <w:t xml:space="preserve">, suscrito por </w:t>
      </w:r>
      <w:r w:rsidR="00DB08D3">
        <w:t>el</w:t>
      </w:r>
      <w:r w:rsidR="00426354" w:rsidRPr="0050318E">
        <w:t xml:space="preserve"> </w:t>
      </w:r>
      <w:r w:rsidR="00DE5965">
        <w:t>Tesorero Municipal</w:t>
      </w:r>
      <w:r w:rsidR="00D121C6">
        <w:t xml:space="preserve"> </w:t>
      </w:r>
      <w:r w:rsidR="00426354" w:rsidRPr="0050318E">
        <w:t xml:space="preserve">y dirigido al </w:t>
      </w:r>
      <w:r w:rsidR="00C544C7">
        <w:t xml:space="preserve">Titular de la </w:t>
      </w:r>
      <w:r w:rsidR="00C544C7" w:rsidRPr="00461683">
        <w:t>Unidad de Transparencia</w:t>
      </w:r>
      <w:r w:rsidR="00461683" w:rsidRPr="00461683">
        <w:t xml:space="preserve">, </w:t>
      </w:r>
      <w:r w:rsidR="00426354" w:rsidRPr="00461683">
        <w:t xml:space="preserve">por medio del cual </w:t>
      </w:r>
      <w:r>
        <w:t>refiere lo siguiente:</w:t>
      </w:r>
      <w:r w:rsidR="00461683">
        <w:t xml:space="preserve"> </w:t>
      </w:r>
      <w:r>
        <w:t xml:space="preserve"> </w:t>
      </w:r>
    </w:p>
    <w:p w14:paraId="7088C1CB" w14:textId="77777777" w:rsidR="00B37C62" w:rsidRDefault="00B37C62" w:rsidP="0049651D">
      <w:pPr>
        <w:pStyle w:val="Prrafodelista"/>
        <w:spacing w:line="360" w:lineRule="auto"/>
      </w:pPr>
    </w:p>
    <w:p w14:paraId="179593EC" w14:textId="5B19F57F" w:rsidR="00B37C62" w:rsidRDefault="00B37C62" w:rsidP="0049651D">
      <w:pPr>
        <w:spacing w:after="0" w:line="360" w:lineRule="auto"/>
        <w:ind w:left="360"/>
        <w:rPr>
          <w:i/>
          <w:sz w:val="20"/>
        </w:rPr>
      </w:pPr>
      <w:r>
        <w:t>“</w:t>
      </w:r>
      <w:r w:rsidR="002479E0">
        <w:rPr>
          <w:i/>
          <w:sz w:val="20"/>
        </w:rPr>
        <w:t>Derivado de la solicitud, se anexan facturas de ingresos en versión publica, por concepto de pagos de bases para adquisición de bienes o servicios, así como por la contratación de obra pública...”</w:t>
      </w:r>
    </w:p>
    <w:p w14:paraId="667F86F2" w14:textId="77777777" w:rsidR="00B7318F" w:rsidRDefault="00B7318F" w:rsidP="0049651D">
      <w:pPr>
        <w:spacing w:after="0" w:line="360" w:lineRule="auto"/>
        <w:ind w:left="360"/>
        <w:rPr>
          <w:i/>
          <w:sz w:val="20"/>
        </w:rPr>
      </w:pPr>
    </w:p>
    <w:p w14:paraId="172065BF" w14:textId="4BF97071" w:rsidR="00B37C62" w:rsidRDefault="00B37C62" w:rsidP="0049651D">
      <w:pPr>
        <w:pStyle w:val="Prrafodelista"/>
        <w:numPr>
          <w:ilvl w:val="0"/>
          <w:numId w:val="6"/>
        </w:numPr>
        <w:spacing w:line="360" w:lineRule="auto"/>
      </w:pPr>
      <w:r>
        <w:t>Remit</w:t>
      </w:r>
      <w:r w:rsidR="00B7318F">
        <w:t>ió</w:t>
      </w:r>
      <w:r w:rsidR="002479E0">
        <w:t xml:space="preserve"> 15</w:t>
      </w:r>
      <w:r>
        <w:t xml:space="preserve"> facturas correspondientes a </w:t>
      </w:r>
      <w:r w:rsidR="002479E0">
        <w:t>pagos por invitación restringida, adquisición de bases, y por concurso a invitación restringida.</w:t>
      </w:r>
    </w:p>
    <w:p w14:paraId="2E567998" w14:textId="77777777" w:rsidR="002479E0" w:rsidRDefault="002479E0" w:rsidP="0049651D">
      <w:pPr>
        <w:pStyle w:val="Prrafodelista"/>
        <w:spacing w:line="360" w:lineRule="auto"/>
      </w:pPr>
    </w:p>
    <w:p w14:paraId="3B5B845B" w14:textId="0B05C529" w:rsidR="002479E0" w:rsidRPr="00B37C62" w:rsidRDefault="002479E0" w:rsidP="0049651D">
      <w:pPr>
        <w:pStyle w:val="Prrafodelista"/>
        <w:numPr>
          <w:ilvl w:val="0"/>
          <w:numId w:val="6"/>
        </w:numPr>
        <w:spacing w:line="360" w:lineRule="auto"/>
      </w:pPr>
      <w:r>
        <w:t>Anexa el acuerdo de la nonagésima sesión, por medio del cual se aprueba la versión pública de los datos contenidos en las facturas.</w:t>
      </w:r>
    </w:p>
    <w:p w14:paraId="322ED99D" w14:textId="1B471111" w:rsidR="00D25C63" w:rsidRPr="0050318E" w:rsidRDefault="00D25C63" w:rsidP="0049651D">
      <w:pPr>
        <w:spacing w:after="0" w:line="360" w:lineRule="auto"/>
      </w:pPr>
    </w:p>
    <w:p w14:paraId="7E7FBB31" w14:textId="579E163B" w:rsidR="00E22EA8" w:rsidRPr="0050318E" w:rsidRDefault="00AC3C10" w:rsidP="0049651D">
      <w:pPr>
        <w:pStyle w:val="Ttulo2"/>
        <w:spacing w:before="0" w:after="0" w:line="360" w:lineRule="auto"/>
        <w:rPr>
          <w:sz w:val="22"/>
          <w:szCs w:val="22"/>
        </w:rPr>
      </w:pPr>
      <w:bookmarkStart w:id="8" w:name="_Toc191568340"/>
      <w:bookmarkStart w:id="9" w:name="_Toc226636541"/>
      <w:r>
        <w:rPr>
          <w:sz w:val="22"/>
          <w:szCs w:val="22"/>
        </w:rPr>
        <w:t>V</w:t>
      </w:r>
      <w:r w:rsidR="00E22EA8" w:rsidRPr="0050318E">
        <w:rPr>
          <w:sz w:val="22"/>
          <w:szCs w:val="22"/>
        </w:rPr>
        <w:t>. Interposición del Recurso de Revisión</w:t>
      </w:r>
      <w:bookmarkEnd w:id="8"/>
      <w:bookmarkEnd w:id="9"/>
    </w:p>
    <w:p w14:paraId="053D45CF" w14:textId="77777777" w:rsidR="00E22EA8" w:rsidRPr="0050318E" w:rsidRDefault="00E22EA8" w:rsidP="0049651D">
      <w:pPr>
        <w:spacing w:after="0" w:line="360" w:lineRule="auto"/>
        <w:rPr>
          <w:b/>
        </w:rPr>
      </w:pPr>
    </w:p>
    <w:p w14:paraId="65D9C732" w14:textId="45720627" w:rsidR="007114AC" w:rsidRPr="00C27754" w:rsidRDefault="007114AC" w:rsidP="0049651D">
      <w:pPr>
        <w:spacing w:after="0" w:line="360" w:lineRule="auto"/>
        <w:rPr>
          <w:rFonts w:eastAsia="Times New Roman" w:cs="Tahoma"/>
          <w:bCs/>
          <w:color w:val="auto"/>
          <w:lang w:val="es-ES" w:eastAsia="es-ES"/>
        </w:rPr>
      </w:pPr>
      <w:r>
        <w:rPr>
          <w:rFonts w:eastAsia="Times New Roman" w:cs="Tahoma"/>
          <w:bCs/>
          <w:color w:val="auto"/>
          <w:lang w:val="es-ES" w:eastAsia="es-ES"/>
        </w:rPr>
        <w:t>Con fecha</w:t>
      </w:r>
      <w:r w:rsidR="00FE0829">
        <w:rPr>
          <w:rFonts w:eastAsia="Times New Roman" w:cs="Tahoma"/>
          <w:bCs/>
          <w:color w:val="auto"/>
          <w:lang w:val="es-ES" w:eastAsia="es-ES"/>
        </w:rPr>
        <w:t xml:space="preserve"> </w:t>
      </w:r>
      <w:r w:rsidR="00AC3C10">
        <w:rPr>
          <w:rFonts w:eastAsia="Times New Roman" w:cs="Tahoma"/>
          <w:bCs/>
          <w:color w:val="auto"/>
          <w:lang w:val="es-ES" w:eastAsia="es-ES"/>
        </w:rPr>
        <w:t>veintiséis de junio</w:t>
      </w:r>
      <w:r>
        <w:rPr>
          <w:rFonts w:eastAsia="Times New Roman" w:cs="Tahoma"/>
          <w:bCs/>
          <w:color w:val="auto"/>
          <w:lang w:val="es-ES" w:eastAsia="es-ES"/>
        </w:rPr>
        <w:t xml:space="preserve"> de dos mil veinticinco, </w:t>
      </w:r>
      <w:r w:rsidR="00FE0829">
        <w:rPr>
          <w:rFonts w:eastAsia="Times New Roman" w:cs="Tahoma"/>
          <w:bCs/>
          <w:color w:val="auto"/>
          <w:lang w:val="es-ES" w:eastAsia="es-ES"/>
        </w:rPr>
        <w:t xml:space="preserve">se recibió en este Instituto, </w:t>
      </w:r>
      <w:r w:rsidRPr="0092230F">
        <w:rPr>
          <w:rFonts w:eastAsia="Times New Roman" w:cs="Tahoma"/>
          <w:bCs/>
          <w:color w:val="auto"/>
          <w:lang w:eastAsia="es-ES"/>
        </w:rPr>
        <w:t xml:space="preserve">a través del </w:t>
      </w:r>
      <w:r w:rsidRPr="0092230F">
        <w:rPr>
          <w:rFonts w:eastAsia="Times New Roman" w:cs="Tahoma"/>
          <w:bCs/>
          <w:color w:val="auto"/>
          <w:lang w:val="es-ES" w:eastAsia="es-ES"/>
        </w:rPr>
        <w:t>Sistema de Acceso a la Información Mexiquense (SAIMEX)</w:t>
      </w:r>
      <w:r w:rsidRPr="0092230F">
        <w:rPr>
          <w:rFonts w:eastAsia="Times New Roman" w:cs="Tahoma"/>
          <w:bCs/>
          <w:color w:val="auto"/>
          <w:lang w:eastAsia="es-ES"/>
        </w:rPr>
        <w:t>, el Recurso de Revisión interpuesto por la persona Recurrente, en contra de la respuesta del Sujeto Obligado</w:t>
      </w:r>
      <w:r w:rsidR="00FE0829">
        <w:rPr>
          <w:rFonts w:eastAsia="Times New Roman" w:cs="Tahoma"/>
          <w:bCs/>
          <w:color w:val="auto"/>
          <w:lang w:eastAsia="es-ES"/>
        </w:rPr>
        <w:t xml:space="preserve"> </w:t>
      </w:r>
      <w:r w:rsidRPr="0092230F">
        <w:rPr>
          <w:rFonts w:eastAsia="Times New Roman" w:cs="Tahoma"/>
          <w:bCs/>
          <w:color w:val="auto"/>
          <w:lang w:eastAsia="es-ES"/>
        </w:rPr>
        <w:t>en los siguientes términos:</w:t>
      </w:r>
      <w:r>
        <w:rPr>
          <w:rFonts w:eastAsia="Times New Roman" w:cs="Tahoma"/>
          <w:bCs/>
          <w:color w:val="auto"/>
          <w:lang w:eastAsia="es-ES"/>
        </w:rPr>
        <w:t xml:space="preserve"> </w:t>
      </w:r>
    </w:p>
    <w:p w14:paraId="499DDBDB" w14:textId="77777777" w:rsidR="008E5E71" w:rsidRDefault="008E5E71" w:rsidP="0049651D">
      <w:pPr>
        <w:spacing w:after="0" w:line="360" w:lineRule="auto"/>
        <w:ind w:left="567" w:right="567"/>
        <w:rPr>
          <w:b/>
          <w:bCs/>
          <w:i/>
          <w:sz w:val="20"/>
          <w:szCs w:val="20"/>
        </w:rPr>
      </w:pPr>
    </w:p>
    <w:p w14:paraId="1B2CCD45" w14:textId="5DEE4CE2" w:rsidR="00E22EA8" w:rsidRPr="0050318E" w:rsidRDefault="00B8023D" w:rsidP="0049651D">
      <w:pPr>
        <w:spacing w:after="0" w:line="360" w:lineRule="auto"/>
        <w:ind w:left="567" w:right="567"/>
        <w:rPr>
          <w:bCs/>
          <w:i/>
          <w:sz w:val="20"/>
          <w:szCs w:val="20"/>
        </w:rPr>
      </w:pPr>
      <w:r>
        <w:rPr>
          <w:b/>
          <w:bCs/>
          <w:i/>
          <w:sz w:val="20"/>
          <w:szCs w:val="20"/>
        </w:rPr>
        <w:t>“</w:t>
      </w:r>
      <w:r w:rsidR="00E22EA8" w:rsidRPr="0050318E">
        <w:rPr>
          <w:b/>
          <w:bCs/>
          <w:i/>
          <w:sz w:val="20"/>
          <w:szCs w:val="20"/>
        </w:rPr>
        <w:t>ACTO IMPUGNADO</w:t>
      </w:r>
    </w:p>
    <w:p w14:paraId="20CB87D1" w14:textId="0C9F3594" w:rsidR="00E22EA8" w:rsidRPr="0050318E" w:rsidRDefault="00AC3C10" w:rsidP="0049651D">
      <w:pPr>
        <w:spacing w:after="0" w:line="360" w:lineRule="auto"/>
        <w:ind w:left="567" w:right="567"/>
        <w:rPr>
          <w:i/>
          <w:sz w:val="20"/>
          <w:szCs w:val="20"/>
        </w:rPr>
      </w:pPr>
      <w:r w:rsidRPr="00AC3C10">
        <w:rPr>
          <w:i/>
          <w:iCs/>
          <w:sz w:val="20"/>
          <w:szCs w:val="20"/>
        </w:rPr>
        <w:t xml:space="preserve">Se impugna la forma en que se entrega la información, toda vez que si bien es cierto que se hace entrega la información solicitada, también lo es que se bloquean rubros que de ninguna manera se </w:t>
      </w:r>
      <w:r w:rsidRPr="00AC3C10">
        <w:rPr>
          <w:i/>
          <w:iCs/>
          <w:sz w:val="20"/>
          <w:szCs w:val="20"/>
        </w:rPr>
        <w:lastRenderedPageBreak/>
        <w:t>pueden clasificar como confidenciales, pues no contienen información que la ley asi lo considere. Tal es el caso de las fechas de timbrado, la forma de pago, cajero, No. de certificado y el codigo QR. Datos que no es procedente hacer el testado, pues no contienen información que pongan en riesgo a nadie y que no contempla la Ley como confidenciales.</w:t>
      </w:r>
      <w:r w:rsidR="00334B72">
        <w:rPr>
          <w:i/>
          <w:iCs/>
          <w:sz w:val="20"/>
          <w:szCs w:val="20"/>
        </w:rPr>
        <w:t>” (</w:t>
      </w:r>
      <w:r w:rsidR="007114AC">
        <w:rPr>
          <w:i/>
          <w:iCs/>
          <w:sz w:val="20"/>
          <w:szCs w:val="20"/>
        </w:rPr>
        <w:t>Sic.)</w:t>
      </w:r>
    </w:p>
    <w:p w14:paraId="3B2615CC" w14:textId="77777777" w:rsidR="00E22EA8" w:rsidRPr="0050318E" w:rsidRDefault="00E22EA8" w:rsidP="0049651D">
      <w:pPr>
        <w:spacing w:after="0" w:line="360" w:lineRule="auto"/>
        <w:ind w:left="567" w:right="567"/>
        <w:rPr>
          <w:i/>
          <w:sz w:val="20"/>
          <w:szCs w:val="20"/>
        </w:rPr>
      </w:pPr>
    </w:p>
    <w:p w14:paraId="3F1F07C7" w14:textId="546AF0D0" w:rsidR="00E22EA8" w:rsidRPr="0050318E" w:rsidRDefault="00B8023D" w:rsidP="0049651D">
      <w:pPr>
        <w:spacing w:after="0" w:line="360" w:lineRule="auto"/>
        <w:ind w:left="567" w:right="567"/>
        <w:rPr>
          <w:b/>
          <w:i/>
          <w:sz w:val="20"/>
          <w:szCs w:val="20"/>
        </w:rPr>
      </w:pPr>
      <w:r>
        <w:rPr>
          <w:b/>
          <w:i/>
          <w:sz w:val="20"/>
          <w:szCs w:val="20"/>
        </w:rPr>
        <w:t>“</w:t>
      </w:r>
      <w:r w:rsidR="00E22EA8" w:rsidRPr="0050318E">
        <w:rPr>
          <w:b/>
          <w:i/>
          <w:sz w:val="20"/>
          <w:szCs w:val="20"/>
        </w:rPr>
        <w:t>RAZONES O MOTIVOS DE LA INCONFORMIDAD</w:t>
      </w:r>
    </w:p>
    <w:p w14:paraId="01179437" w14:textId="6E52750D" w:rsidR="00E22EA8" w:rsidRPr="0050318E" w:rsidRDefault="00AC3C10" w:rsidP="0049651D">
      <w:pPr>
        <w:spacing w:after="0" w:line="360" w:lineRule="auto"/>
        <w:ind w:left="567" w:right="567" w:firstLine="33"/>
        <w:rPr>
          <w:i/>
          <w:sz w:val="20"/>
          <w:szCs w:val="20"/>
        </w:rPr>
      </w:pPr>
      <w:r w:rsidRPr="00AC3C10">
        <w:rPr>
          <w:i/>
          <w:iCs/>
          <w:sz w:val="20"/>
          <w:szCs w:val="20"/>
        </w:rPr>
        <w:t>Se impugna la forma en que se entrega la información, toda vez que si bien es cierto que se hace entrega la información solicitada, también lo es que se bloquean rubros que de ninguna manera se pueden clasificar como confidenciales, pues no contienen información que la ley asi lo considere. Tal es el caso de las fechas de timbrado, la forma de pago, cajero, No. de certificado y el codigo QR. Datos que no es procedente hacer el testado, pues no contienen información que pongan en riesgo a nadie y que no contempla la Ley como confidenciales.</w:t>
      </w:r>
      <w:r w:rsidR="00E22EA8" w:rsidRPr="0050318E">
        <w:rPr>
          <w:i/>
          <w:iCs/>
          <w:sz w:val="20"/>
          <w:szCs w:val="20"/>
        </w:rPr>
        <w:t>”</w:t>
      </w:r>
      <w:r w:rsidR="00E22EA8" w:rsidRPr="0050318E">
        <w:rPr>
          <w:i/>
          <w:sz w:val="20"/>
          <w:szCs w:val="20"/>
        </w:rPr>
        <w:t xml:space="preserve"> </w:t>
      </w:r>
      <w:r w:rsidR="00606B1A" w:rsidRPr="0050318E">
        <w:rPr>
          <w:i/>
          <w:sz w:val="20"/>
          <w:szCs w:val="20"/>
        </w:rPr>
        <w:t>(Sic.)</w:t>
      </w:r>
    </w:p>
    <w:p w14:paraId="0BC3C43D" w14:textId="77777777" w:rsidR="00632A70" w:rsidRPr="0050318E" w:rsidRDefault="00632A70" w:rsidP="0049651D">
      <w:pPr>
        <w:spacing w:after="0" w:line="360" w:lineRule="auto"/>
        <w:ind w:left="567" w:right="567" w:firstLine="33"/>
        <w:rPr>
          <w:i/>
          <w:sz w:val="20"/>
          <w:szCs w:val="20"/>
        </w:rPr>
      </w:pPr>
    </w:p>
    <w:p w14:paraId="009DB65C" w14:textId="6D50AED1" w:rsidR="00E22EA8" w:rsidRPr="0050318E" w:rsidRDefault="00E22EA8" w:rsidP="0049651D">
      <w:pPr>
        <w:pStyle w:val="Ttulo2"/>
        <w:spacing w:before="0" w:after="0" w:line="360" w:lineRule="auto"/>
        <w:rPr>
          <w:sz w:val="22"/>
          <w:szCs w:val="22"/>
        </w:rPr>
      </w:pPr>
      <w:bookmarkStart w:id="10" w:name="_Toc191568341"/>
      <w:bookmarkStart w:id="11" w:name="_Toc226636542"/>
      <w:r w:rsidRPr="0050318E">
        <w:rPr>
          <w:sz w:val="22"/>
          <w:szCs w:val="22"/>
        </w:rPr>
        <w:t>V</w:t>
      </w:r>
      <w:r w:rsidR="00AC3C10">
        <w:rPr>
          <w:sz w:val="22"/>
          <w:szCs w:val="22"/>
        </w:rPr>
        <w:t>I</w:t>
      </w:r>
      <w:r w:rsidRPr="0050318E">
        <w:rPr>
          <w:sz w:val="22"/>
          <w:szCs w:val="22"/>
        </w:rPr>
        <w:t>. Trámite del Recurso de Revisión ante este Instituto</w:t>
      </w:r>
      <w:bookmarkEnd w:id="10"/>
      <w:bookmarkEnd w:id="11"/>
    </w:p>
    <w:p w14:paraId="5C9B63F8" w14:textId="77777777" w:rsidR="009B2DAB" w:rsidRPr="0050318E" w:rsidRDefault="009B2DAB" w:rsidP="0049651D">
      <w:pPr>
        <w:spacing w:after="0" w:line="360" w:lineRule="auto"/>
        <w:rPr>
          <w:b/>
          <w:bCs/>
        </w:rPr>
      </w:pPr>
    </w:p>
    <w:p w14:paraId="173768ED" w14:textId="3E34DDF0" w:rsidR="00E22EA8" w:rsidRPr="0050318E" w:rsidRDefault="00E22EA8" w:rsidP="0049651D">
      <w:pPr>
        <w:spacing w:after="0" w:line="360" w:lineRule="auto"/>
        <w:rPr>
          <w:bCs/>
        </w:rPr>
      </w:pPr>
      <w:r w:rsidRPr="0050318E">
        <w:rPr>
          <w:b/>
          <w:bCs/>
        </w:rPr>
        <w:t>a) Turno del Medio de Impugnación.</w:t>
      </w:r>
      <w:r w:rsidR="000A706F" w:rsidRPr="0050318E">
        <w:rPr>
          <w:bCs/>
        </w:rPr>
        <w:t xml:space="preserve"> El</w:t>
      </w:r>
      <w:r w:rsidR="00E64E18" w:rsidRPr="0050318E">
        <w:rPr>
          <w:bCs/>
        </w:rPr>
        <w:t xml:space="preserve"> </w:t>
      </w:r>
      <w:r w:rsidR="00AC3C10">
        <w:t>veintiséis de junio</w:t>
      </w:r>
      <w:r w:rsidR="00E64E18" w:rsidRPr="0050318E">
        <w:t xml:space="preserve"> de dos mil veinticinco</w:t>
      </w:r>
      <w:r w:rsidRPr="0050318E">
        <w:rPr>
          <w:bCs/>
        </w:rPr>
        <w:t xml:space="preserve">, el </w:t>
      </w:r>
      <w:r w:rsidRPr="0050318E">
        <w:rPr>
          <w:lang w:val="es-ES"/>
        </w:rPr>
        <w:t>Sistema de Acceso a la Información Mexiquense (SAIMEX),</w:t>
      </w:r>
      <w:r w:rsidRPr="0050318E">
        <w:rPr>
          <w:bCs/>
        </w:rPr>
        <w:t xml:space="preserve"> asignó el número de expediente </w:t>
      </w:r>
      <w:r w:rsidR="00AC3C10">
        <w:rPr>
          <w:b/>
          <w:bCs/>
        </w:rPr>
        <w:t>07831</w:t>
      </w:r>
      <w:r w:rsidR="00A753B3" w:rsidRPr="0050318E">
        <w:rPr>
          <w:b/>
          <w:bCs/>
        </w:rPr>
        <w:t>/INFOEM/IP/RR/202</w:t>
      </w:r>
      <w:r w:rsidR="00E64E18" w:rsidRPr="0050318E">
        <w:rPr>
          <w:b/>
          <w:bCs/>
        </w:rPr>
        <w:t>5</w:t>
      </w:r>
      <w:r w:rsidRPr="0050318E">
        <w:rPr>
          <w:bCs/>
        </w:rPr>
        <w:t xml:space="preserve">, al medio de impugnación que nos ocupa, con base en el sistema aprobado por el Pleno de este </w:t>
      </w:r>
      <w:r w:rsidR="00B65BCA" w:rsidRPr="0050318E">
        <w:rPr>
          <w:bCs/>
        </w:rPr>
        <w:t>Organismo</w:t>
      </w:r>
      <w:r w:rsidRPr="0050318E">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50318E" w:rsidRDefault="005914EE" w:rsidP="0049651D">
      <w:pPr>
        <w:spacing w:after="0" w:line="360" w:lineRule="auto"/>
        <w:rPr>
          <w:b/>
          <w:bCs/>
        </w:rPr>
      </w:pPr>
    </w:p>
    <w:p w14:paraId="61891480" w14:textId="172F24AC" w:rsidR="00E22EA8" w:rsidRPr="0050318E" w:rsidRDefault="00E22EA8" w:rsidP="0049651D">
      <w:pPr>
        <w:spacing w:after="0" w:line="360" w:lineRule="auto"/>
      </w:pPr>
      <w:r w:rsidRPr="0050318E">
        <w:rPr>
          <w:b/>
          <w:bCs/>
        </w:rPr>
        <w:t>b) Admisión del Recurso de Revisión</w:t>
      </w:r>
      <w:r w:rsidRPr="0050318E">
        <w:rPr>
          <w:b/>
          <w:bCs/>
          <w:lang w:val="es-ES_tradnl"/>
        </w:rPr>
        <w:t xml:space="preserve">. </w:t>
      </w:r>
      <w:r w:rsidRPr="0050318E">
        <w:rPr>
          <w:bCs/>
          <w:lang w:val="es-ES_tradnl"/>
        </w:rPr>
        <w:t>El</w:t>
      </w:r>
      <w:r w:rsidR="00E64E18" w:rsidRPr="0050318E">
        <w:rPr>
          <w:bCs/>
          <w:lang w:val="es-ES_tradnl"/>
        </w:rPr>
        <w:t xml:space="preserve"> </w:t>
      </w:r>
      <w:r w:rsidR="00AC3C10">
        <w:rPr>
          <w:lang w:val="es-ES_tradnl"/>
        </w:rPr>
        <w:t>primero de julio</w:t>
      </w:r>
      <w:r w:rsidR="00E64E18" w:rsidRPr="0050318E">
        <w:t xml:space="preserve"> de dos mil veinticinco</w:t>
      </w:r>
      <w:r w:rsidRPr="0050318E">
        <w:rPr>
          <w:bCs/>
          <w:lang w:val="es-ES_tradnl"/>
        </w:rPr>
        <w:t xml:space="preserve">, se acordó la admisión del Recurso de Revisión interpuesto por </w:t>
      </w:r>
      <w:r w:rsidR="00261B92" w:rsidRPr="0050318E">
        <w:rPr>
          <w:bCs/>
          <w:lang w:val="es-ES_tradnl"/>
        </w:rPr>
        <w:t>la persona</w:t>
      </w:r>
      <w:r w:rsidRPr="0050318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0318E">
        <w:rPr>
          <w:bCs/>
          <w:lang w:val="es-ES_tradnl"/>
        </w:rPr>
        <w:t>el</w:t>
      </w:r>
      <w:r w:rsidR="000A706F" w:rsidRPr="0050318E">
        <w:rPr>
          <w:bCs/>
          <w:lang w:val="es-ES_tradnl"/>
        </w:rPr>
        <w:t xml:space="preserve"> mismo día</w:t>
      </w:r>
      <w:r w:rsidRPr="0050318E">
        <w:rPr>
          <w:bCs/>
          <w:lang w:val="es-ES_tradnl"/>
        </w:rPr>
        <w:t xml:space="preserve">, a través del Sistema de Acceso a la Información Mexiquense </w:t>
      </w:r>
      <w:r w:rsidRPr="0050318E">
        <w:rPr>
          <w:bCs/>
          <w:lang w:val="es-ES_tradnl"/>
        </w:rPr>
        <w:lastRenderedPageBreak/>
        <w:t>(SAIMEX), en el que se les otorgó un plazo de siete días hábiles posteriores a la misma, para que manifestaran lo que a su derecho conviniera y formularan alegatos.</w:t>
      </w:r>
    </w:p>
    <w:p w14:paraId="2E72BE73" w14:textId="069E8AB9" w:rsidR="00D121C6" w:rsidRPr="00AC3C10" w:rsidRDefault="00BF58E8" w:rsidP="0049651D">
      <w:pPr>
        <w:spacing w:after="0" w:line="360" w:lineRule="auto"/>
        <w:rPr>
          <w:rFonts w:eastAsia="Times New Roman" w:cs="Tahoma"/>
          <w:iCs/>
          <w:lang w:val="es-ES"/>
        </w:rPr>
      </w:pPr>
      <w:bookmarkStart w:id="12" w:name="_Hlk182976945"/>
      <w:r>
        <w:rPr>
          <w:rFonts w:eastAsia="Times New Roman" w:cs="Tahoma"/>
          <w:iCs/>
          <w:lang w:val="es-ES"/>
        </w:rPr>
        <w:t xml:space="preserve"> </w:t>
      </w:r>
    </w:p>
    <w:p w14:paraId="0B081901" w14:textId="11D1C5CE" w:rsidR="00AC3C10" w:rsidRDefault="00AC3C10" w:rsidP="0049651D">
      <w:pPr>
        <w:spacing w:after="0" w:line="360" w:lineRule="auto"/>
        <w:rPr>
          <w:rFonts w:cs="Tahoma"/>
          <w:color w:val="auto"/>
          <w:lang w:val="es-ES_tradnl"/>
        </w:rPr>
      </w:pPr>
      <w:r w:rsidRPr="00992530">
        <w:rPr>
          <w:rFonts w:cs="Tahoma"/>
          <w:b/>
          <w:color w:val="auto"/>
          <w:lang w:val="es-ES_tradnl"/>
        </w:rPr>
        <w:t>c) Informe Justificado</w:t>
      </w:r>
      <w:r w:rsidRPr="00992530">
        <w:rPr>
          <w:rFonts w:cs="Tahoma"/>
          <w:color w:val="auto"/>
          <w:lang w:val="es-ES_tradnl"/>
        </w:rPr>
        <w:t xml:space="preserve">. El </w:t>
      </w:r>
      <w:r>
        <w:rPr>
          <w:rFonts w:cs="Tahoma"/>
          <w:color w:val="auto"/>
          <w:lang w:val="es-ES_tradnl"/>
        </w:rPr>
        <w:t>once de agosto</w:t>
      </w:r>
      <w:r w:rsidRPr="00992530">
        <w:rPr>
          <w:rFonts w:cs="Tahoma"/>
          <w:color w:val="auto"/>
          <w:lang w:val="es-ES_tradnl"/>
        </w:rPr>
        <w:t xml:space="preserve"> de d</w:t>
      </w:r>
      <w:r>
        <w:rPr>
          <w:rFonts w:cs="Tahoma"/>
          <w:color w:val="auto"/>
          <w:lang w:val="es-ES_tradnl"/>
        </w:rPr>
        <w:t xml:space="preserve">os mil veinticinco, a través de </w:t>
      </w:r>
      <w:r w:rsidRPr="00992530">
        <w:rPr>
          <w:rFonts w:cs="Tahoma"/>
          <w:color w:val="auto"/>
          <w:lang w:val="es-ES_tradnl"/>
        </w:rPr>
        <w:t xml:space="preserve">Sistema de Acceso a la Información Mexiquense (SAIMEX), </w:t>
      </w:r>
      <w:r>
        <w:rPr>
          <w:rFonts w:cs="Tahoma"/>
          <w:color w:val="auto"/>
          <w:lang w:val="es-ES_tradnl"/>
        </w:rPr>
        <w:t xml:space="preserve">se recibió en este instituto el </w:t>
      </w:r>
      <w:r w:rsidRPr="00992530">
        <w:rPr>
          <w:rFonts w:cs="Tahoma"/>
          <w:color w:val="auto"/>
          <w:lang w:val="es-ES_tradnl"/>
        </w:rPr>
        <w:t xml:space="preserve">Informe Justificado por parte del Sujeto Obligado, </w:t>
      </w:r>
      <w:r>
        <w:rPr>
          <w:rFonts w:cs="Tahoma"/>
          <w:color w:val="auto"/>
          <w:lang w:val="es-ES_tradnl"/>
        </w:rPr>
        <w:t>por medio del cual ratifica su respuesta i</w:t>
      </w:r>
      <w:r w:rsidR="007E6145">
        <w:rPr>
          <w:rFonts w:cs="Tahoma"/>
          <w:color w:val="auto"/>
          <w:lang w:val="es-ES_tradnl"/>
        </w:rPr>
        <w:t>nicial y digitaliza una imagen sobre que son los datos personales.</w:t>
      </w:r>
    </w:p>
    <w:p w14:paraId="17C998EB" w14:textId="77777777" w:rsidR="00AC3C10" w:rsidRDefault="00AC3C10" w:rsidP="0049651D">
      <w:pPr>
        <w:spacing w:after="0" w:line="360" w:lineRule="auto"/>
        <w:rPr>
          <w:rFonts w:eastAsia="Times New Roman" w:cs="Tahoma"/>
          <w:iCs/>
          <w:lang w:val="es-ES"/>
        </w:rPr>
      </w:pPr>
    </w:p>
    <w:p w14:paraId="31FE7CD7" w14:textId="21A01D99" w:rsidR="00AC3C10" w:rsidRDefault="00AC3C10" w:rsidP="0049651D">
      <w:pPr>
        <w:spacing w:after="0" w:line="360" w:lineRule="auto"/>
        <w:rPr>
          <w:rFonts w:cs="Tahoma"/>
          <w:color w:val="auto"/>
          <w:lang w:val="es-ES_tradnl"/>
        </w:rPr>
      </w:pPr>
      <w:r w:rsidRPr="00992530">
        <w:rPr>
          <w:rFonts w:cs="Tahoma"/>
          <w:b/>
          <w:color w:val="auto"/>
          <w:lang w:val="es-ES_tradnl"/>
        </w:rPr>
        <w:t>d) Vista del Informe Justificado</w:t>
      </w:r>
      <w:r w:rsidRPr="00992530">
        <w:rPr>
          <w:rFonts w:cs="Tahoma"/>
          <w:color w:val="auto"/>
          <w:lang w:val="es-ES_tradnl"/>
        </w:rPr>
        <w:t xml:space="preserve">. El </w:t>
      </w:r>
      <w:r>
        <w:rPr>
          <w:rFonts w:cs="Tahoma"/>
          <w:color w:val="auto"/>
          <w:lang w:val="es-ES_tradnl"/>
        </w:rPr>
        <w:t>veinticinco de marzo de dos mil veintiséis, se dictó acuerdo p</w:t>
      </w:r>
      <w:r w:rsidRPr="00992530">
        <w:rPr>
          <w:rFonts w:cs="Tahoma"/>
          <w:color w:val="auto"/>
          <w:lang w:val="es-ES_tradnl"/>
        </w:rPr>
        <w:t>or medio del cual se puso a la vista del Recurrente el Infor</w:t>
      </w:r>
      <w:r>
        <w:rPr>
          <w:rFonts w:cs="Tahoma"/>
          <w:color w:val="auto"/>
          <w:lang w:val="es-ES_tradnl"/>
        </w:rPr>
        <w:t xml:space="preserve">me Justificado entregado por el </w:t>
      </w:r>
      <w:r w:rsidRPr="00992530">
        <w:rPr>
          <w:rFonts w:cs="Tahoma"/>
          <w:color w:val="auto"/>
          <w:lang w:val="es-ES_tradnl"/>
        </w:rPr>
        <w:t>Sujeto Obligado, el cual fue notificado a las partes, el mis</w:t>
      </w:r>
      <w:r>
        <w:rPr>
          <w:rFonts w:cs="Tahoma"/>
          <w:color w:val="auto"/>
          <w:lang w:val="es-ES_tradnl"/>
        </w:rPr>
        <w:t xml:space="preserve">mo día, mes y año, a través del </w:t>
      </w:r>
      <w:r w:rsidRPr="00992530">
        <w:rPr>
          <w:rFonts w:cs="Tahoma"/>
          <w:color w:val="auto"/>
          <w:lang w:val="es-ES_tradnl"/>
        </w:rPr>
        <w:t>Sistema de Acceso a la Información Mexiquense (SAIMEX).</w:t>
      </w:r>
    </w:p>
    <w:p w14:paraId="34C64465" w14:textId="77777777" w:rsidR="00AC3C10" w:rsidRDefault="00AC3C10" w:rsidP="0049651D">
      <w:pPr>
        <w:spacing w:after="0" w:line="360" w:lineRule="auto"/>
        <w:rPr>
          <w:rFonts w:eastAsia="Times New Roman" w:cs="Tahoma"/>
          <w:iCs/>
          <w:lang w:val="es-ES"/>
        </w:rPr>
      </w:pPr>
    </w:p>
    <w:bookmarkEnd w:id="12"/>
    <w:p w14:paraId="12C543C9" w14:textId="4C80029F" w:rsidR="00AC3C10" w:rsidRDefault="00AC3C10" w:rsidP="0049651D">
      <w:pPr>
        <w:spacing w:after="0" w:line="360" w:lineRule="auto"/>
        <w:contextualSpacing/>
        <w:rPr>
          <w:color w:val="auto"/>
        </w:rPr>
      </w:pPr>
      <w:r>
        <w:rPr>
          <w:rFonts w:eastAsia="Batang" w:cs="Tahoma"/>
          <w:b/>
          <w:color w:val="auto"/>
        </w:rPr>
        <w:t>e)</w:t>
      </w:r>
      <w:r w:rsidRPr="00EE2207">
        <w:rPr>
          <w:rFonts w:eastAsia="Batang" w:cs="Tahoma"/>
          <w:b/>
          <w:color w:val="auto"/>
        </w:rPr>
        <w:t xml:space="preserve"> </w:t>
      </w:r>
      <w:r w:rsidRPr="00EE2207">
        <w:rPr>
          <w:b/>
          <w:bCs/>
          <w:color w:val="auto"/>
        </w:rPr>
        <w:t xml:space="preserve">Ampliación de plazo para resolver. </w:t>
      </w:r>
      <w:r w:rsidRPr="00AC3C10">
        <w:rPr>
          <w:bCs/>
          <w:color w:val="auto"/>
        </w:rPr>
        <w:t xml:space="preserve">El </w:t>
      </w:r>
      <w:r w:rsidR="006A7CC6">
        <w:rPr>
          <w:rFonts w:cs="Tahoma"/>
          <w:color w:val="auto"/>
          <w:lang w:val="es-ES_tradnl"/>
        </w:rPr>
        <w:t>veintiséis</w:t>
      </w:r>
      <w:r>
        <w:rPr>
          <w:rFonts w:cs="Tahoma"/>
          <w:color w:val="auto"/>
          <w:lang w:val="es-ES_tradnl"/>
        </w:rPr>
        <w:t xml:space="preserve"> de marzo de dos mil veintiséis</w:t>
      </w:r>
      <w:r w:rsidRPr="00EE2207">
        <w:rPr>
          <w:color w:val="auto"/>
        </w:rPr>
        <w:t xml:space="preserve">, el Comisionado Ponente, con fundamento en lo dispuesto por el artículo 181, párrafo tercero, de la Ley de Transparencia y Acceso a la Información Pública del Estado de México y Municipios, acordó ampliar por un periodo </w:t>
      </w:r>
      <w:r>
        <w:rPr>
          <w:color w:val="auto"/>
        </w:rPr>
        <w:t>razonable</w:t>
      </w:r>
      <w:r w:rsidRPr="00EE2207">
        <w:rPr>
          <w:color w:val="auto"/>
        </w:rPr>
        <w:t xml:space="preserve">, el plazo para resolver el Recurso de Revisión que nos ocupa; acto que fue notificado a las partes, mediante el Sistema de Acceso a la Información Mexiquense (SAIMEX, </w:t>
      </w:r>
      <w:r>
        <w:rPr>
          <w:color w:val="auto"/>
        </w:rPr>
        <w:t>el mismo día.</w:t>
      </w:r>
    </w:p>
    <w:p w14:paraId="096EFF3A" w14:textId="77777777" w:rsidR="006F2F47" w:rsidRDefault="006F2F47" w:rsidP="0049651D">
      <w:pPr>
        <w:spacing w:after="0" w:line="360" w:lineRule="auto"/>
        <w:rPr>
          <w:rFonts w:eastAsia="Times New Roman" w:cs="Tahoma"/>
          <w:b/>
          <w:color w:val="auto"/>
          <w:szCs w:val="24"/>
          <w:lang w:eastAsia="es-ES"/>
        </w:rPr>
      </w:pPr>
    </w:p>
    <w:p w14:paraId="5CA409A3" w14:textId="04989C64" w:rsidR="004C21E6" w:rsidRDefault="00AC3C10" w:rsidP="0049651D">
      <w:pPr>
        <w:spacing w:after="0" w:line="360" w:lineRule="auto"/>
        <w:rPr>
          <w:lang w:val="es-ES"/>
        </w:rPr>
      </w:pPr>
      <w:r>
        <w:rPr>
          <w:rFonts w:eastAsia="Times New Roman" w:cs="Tahoma"/>
          <w:b/>
          <w:color w:val="auto"/>
          <w:szCs w:val="24"/>
          <w:lang w:eastAsia="es-ES"/>
        </w:rPr>
        <w:t>f</w:t>
      </w:r>
      <w:r w:rsidR="00334B72" w:rsidRPr="00334B72">
        <w:rPr>
          <w:rFonts w:eastAsia="Times New Roman" w:cs="Tahoma"/>
          <w:b/>
          <w:color w:val="auto"/>
          <w:szCs w:val="24"/>
          <w:lang w:eastAsia="es-ES"/>
        </w:rPr>
        <w:t xml:space="preserve">) </w:t>
      </w:r>
      <w:r w:rsidR="00E22EA8" w:rsidRPr="0050318E">
        <w:rPr>
          <w:rFonts w:eastAsia="Times New Roman" w:cs="Tahoma"/>
          <w:b/>
          <w:szCs w:val="24"/>
          <w:lang w:eastAsia="es-ES"/>
        </w:rPr>
        <w:t>Cierre de instrucción.</w:t>
      </w:r>
      <w:r w:rsidR="00E22EA8" w:rsidRPr="0050318E">
        <w:rPr>
          <w:rFonts w:eastAsia="Times New Roman" w:cs="Tahoma"/>
          <w:szCs w:val="24"/>
          <w:lang w:eastAsia="es-ES"/>
        </w:rPr>
        <w:t xml:space="preserve"> </w:t>
      </w:r>
      <w:r w:rsidRPr="00992530">
        <w:rPr>
          <w:rFonts w:cs="Tahoma"/>
          <w:color w:val="auto"/>
          <w:lang w:val="es-ES_tradnl"/>
        </w:rPr>
        <w:t xml:space="preserve">El </w:t>
      </w:r>
      <w:r w:rsidR="006A7CC6">
        <w:rPr>
          <w:rFonts w:cs="Tahoma"/>
          <w:color w:val="auto"/>
          <w:lang w:val="es-ES_tradnl"/>
        </w:rPr>
        <w:t>ocho</w:t>
      </w:r>
      <w:r>
        <w:rPr>
          <w:rFonts w:cs="Tahoma"/>
          <w:color w:val="auto"/>
          <w:lang w:val="es-ES_tradnl"/>
        </w:rPr>
        <w:t xml:space="preserve"> de abril de dos mil veintiséis</w:t>
      </w:r>
      <w:r w:rsidR="00E22EA8" w:rsidRPr="0050318E">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50318E">
        <w:rPr>
          <w:lang w:val="es-ES"/>
        </w:rPr>
        <w:t>acto que fue notificado a las partes, mediante el Sistema de Acceso a la Información Mexiquense (SAIMEX), el mismo día.</w:t>
      </w:r>
    </w:p>
    <w:p w14:paraId="1C132216" w14:textId="0DFE51C4" w:rsidR="005C690F" w:rsidRPr="0050318E" w:rsidRDefault="007D6307" w:rsidP="0049651D">
      <w:pPr>
        <w:spacing w:after="0" w:line="360" w:lineRule="auto"/>
        <w:rPr>
          <w:color w:val="000000"/>
        </w:rPr>
      </w:pPr>
      <w:r w:rsidRPr="0050318E">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6134F431" w14:textId="77777777" w:rsidR="00AC3C10" w:rsidRPr="0050318E" w:rsidRDefault="00AC3C10" w:rsidP="0049651D">
      <w:pPr>
        <w:spacing w:after="0" w:line="360" w:lineRule="auto"/>
        <w:rPr>
          <w:color w:val="000000"/>
        </w:rPr>
      </w:pPr>
    </w:p>
    <w:p w14:paraId="250F6589" w14:textId="3F880C72" w:rsidR="005C690F" w:rsidRPr="0050318E" w:rsidRDefault="00CD6238" w:rsidP="0049651D">
      <w:pPr>
        <w:pStyle w:val="Ttulo1"/>
        <w:spacing w:before="0" w:after="0" w:line="360" w:lineRule="auto"/>
        <w:jc w:val="center"/>
        <w:rPr>
          <w:sz w:val="22"/>
          <w:szCs w:val="22"/>
        </w:rPr>
      </w:pPr>
      <w:bookmarkStart w:id="13" w:name="_Toc191568342"/>
      <w:bookmarkStart w:id="14" w:name="_Toc226636543"/>
      <w:r w:rsidRPr="0050318E">
        <w:rPr>
          <w:sz w:val="22"/>
          <w:szCs w:val="22"/>
        </w:rPr>
        <w:t>C O N S I D E R A N D O S</w:t>
      </w:r>
      <w:bookmarkEnd w:id="13"/>
      <w:bookmarkEnd w:id="14"/>
    </w:p>
    <w:p w14:paraId="0248AF24" w14:textId="77777777" w:rsidR="006F2F47" w:rsidRPr="0050318E" w:rsidRDefault="006F2F47" w:rsidP="0049651D">
      <w:pPr>
        <w:spacing w:after="0" w:line="360" w:lineRule="auto"/>
        <w:jc w:val="center"/>
        <w:rPr>
          <w:b/>
          <w:color w:val="000000"/>
        </w:rPr>
      </w:pPr>
    </w:p>
    <w:p w14:paraId="36BFFC7E" w14:textId="2F0F17EA" w:rsidR="005C690F" w:rsidRPr="0050318E" w:rsidRDefault="007D6307" w:rsidP="0049651D">
      <w:pPr>
        <w:pStyle w:val="Ttulo2"/>
        <w:spacing w:before="0" w:after="0" w:line="360" w:lineRule="auto"/>
        <w:rPr>
          <w:sz w:val="22"/>
          <w:szCs w:val="22"/>
        </w:rPr>
      </w:pPr>
      <w:bookmarkStart w:id="15" w:name="_Toc191568343"/>
      <w:bookmarkStart w:id="16" w:name="_Toc226636544"/>
      <w:r w:rsidRPr="0050318E">
        <w:rPr>
          <w:sz w:val="22"/>
          <w:szCs w:val="22"/>
        </w:rPr>
        <w:t xml:space="preserve">PRIMERO. </w:t>
      </w:r>
      <w:r w:rsidR="00CD6238" w:rsidRPr="0050318E">
        <w:rPr>
          <w:sz w:val="22"/>
          <w:szCs w:val="22"/>
        </w:rPr>
        <w:t>Competencia</w:t>
      </w:r>
      <w:bookmarkEnd w:id="15"/>
      <w:bookmarkEnd w:id="16"/>
    </w:p>
    <w:p w14:paraId="552342DA" w14:textId="77777777" w:rsidR="007A1ACB" w:rsidRPr="0050318E" w:rsidRDefault="007A1ACB" w:rsidP="0049651D">
      <w:pPr>
        <w:spacing w:after="0" w:line="360" w:lineRule="auto"/>
        <w:rPr>
          <w:b/>
          <w:color w:val="000000"/>
        </w:rPr>
      </w:pPr>
    </w:p>
    <w:p w14:paraId="4225FD09" w14:textId="681BA41C" w:rsidR="005C690F" w:rsidRDefault="00096F5C" w:rsidP="0049651D">
      <w:pPr>
        <w:spacing w:after="0" w:line="360" w:lineRule="auto"/>
        <w:rPr>
          <w:rFonts w:eastAsia="Times New Roman" w:cs="Tahoma"/>
          <w:bCs/>
          <w:lang w:eastAsia="es-ES"/>
        </w:rPr>
      </w:pPr>
      <w:bookmarkStart w:id="17" w:name="_heading=h.30j0zll" w:colFirst="0" w:colLast="0"/>
      <w:bookmarkEnd w:id="17"/>
      <w:r w:rsidRPr="00096F5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773ACD4" w14:textId="77777777" w:rsidR="00096F5C" w:rsidRPr="0050318E" w:rsidRDefault="00096F5C" w:rsidP="0049651D">
      <w:pPr>
        <w:spacing w:after="0" w:line="360" w:lineRule="auto"/>
        <w:rPr>
          <w:b/>
          <w:color w:val="000000"/>
        </w:rPr>
      </w:pPr>
    </w:p>
    <w:p w14:paraId="46691DD5" w14:textId="4C1C70AD" w:rsidR="005C690F" w:rsidRPr="0050318E" w:rsidRDefault="007D6307" w:rsidP="0049651D">
      <w:pPr>
        <w:pStyle w:val="Ttulo2"/>
        <w:spacing w:before="0" w:after="0" w:line="360" w:lineRule="auto"/>
        <w:rPr>
          <w:sz w:val="22"/>
          <w:szCs w:val="22"/>
        </w:rPr>
      </w:pPr>
      <w:bookmarkStart w:id="18" w:name="_Toc191568344"/>
      <w:bookmarkStart w:id="19" w:name="_Toc226636545"/>
      <w:r w:rsidRPr="0050318E">
        <w:rPr>
          <w:sz w:val="22"/>
          <w:szCs w:val="22"/>
        </w:rPr>
        <w:t>SEGUNDO. Causales de</w:t>
      </w:r>
      <w:r w:rsidR="00CD6238" w:rsidRPr="0050318E">
        <w:rPr>
          <w:sz w:val="22"/>
          <w:szCs w:val="22"/>
        </w:rPr>
        <w:t xml:space="preserve"> improcedencia y sobreseimiento</w:t>
      </w:r>
      <w:bookmarkEnd w:id="18"/>
      <w:bookmarkEnd w:id="19"/>
    </w:p>
    <w:p w14:paraId="49AA4CDE" w14:textId="77777777" w:rsidR="005C690F" w:rsidRPr="0050318E" w:rsidRDefault="005C690F" w:rsidP="0049651D">
      <w:pPr>
        <w:spacing w:after="0" w:line="360" w:lineRule="auto"/>
        <w:rPr>
          <w:color w:val="000000"/>
        </w:rPr>
      </w:pPr>
    </w:p>
    <w:p w14:paraId="2553CE58" w14:textId="77777777" w:rsidR="005C690F" w:rsidRPr="0050318E" w:rsidRDefault="007D6307" w:rsidP="0049651D">
      <w:pPr>
        <w:spacing w:after="0" w:line="360" w:lineRule="auto"/>
        <w:rPr>
          <w:color w:val="000000"/>
        </w:rPr>
      </w:pPr>
      <w:r w:rsidRPr="0050318E">
        <w:rPr>
          <w:color w:val="000000"/>
        </w:rPr>
        <w:t xml:space="preserve">De las constancias que forma parte del Recurso de Revisión que se analiza, se advierte que previo al estudio del fondo de la </w:t>
      </w:r>
      <w:r w:rsidRPr="0050318E">
        <w:rPr>
          <w:i/>
          <w:color w:val="000000"/>
        </w:rPr>
        <w:t>litis</w:t>
      </w:r>
      <w:r w:rsidRPr="0050318E">
        <w:rPr>
          <w:color w:val="000000"/>
        </w:rPr>
        <w:t>, es necesario estudiar las causales de improcedencia y sobreseimiento que se adviertan, para determinar lo que en Derecho proceda.</w:t>
      </w:r>
    </w:p>
    <w:p w14:paraId="35A30074" w14:textId="77777777" w:rsidR="009B2DAB" w:rsidRPr="0050318E" w:rsidRDefault="009B2DAB" w:rsidP="0049651D">
      <w:pPr>
        <w:spacing w:after="0" w:line="360" w:lineRule="auto"/>
        <w:rPr>
          <w:color w:val="000000"/>
        </w:rPr>
      </w:pPr>
    </w:p>
    <w:p w14:paraId="3066DF0C" w14:textId="77777777" w:rsidR="005C690F" w:rsidRPr="0050318E" w:rsidRDefault="007D6307" w:rsidP="0049651D">
      <w:pPr>
        <w:spacing w:after="0" w:line="360" w:lineRule="auto"/>
        <w:rPr>
          <w:b/>
        </w:rPr>
      </w:pPr>
      <w:r w:rsidRPr="0050318E">
        <w:rPr>
          <w:b/>
        </w:rPr>
        <w:lastRenderedPageBreak/>
        <w:t>Causales de improcedencia</w:t>
      </w:r>
    </w:p>
    <w:p w14:paraId="75878DC6" w14:textId="77777777" w:rsidR="005C690F" w:rsidRPr="0050318E" w:rsidRDefault="005C690F" w:rsidP="0049651D">
      <w:pPr>
        <w:spacing w:after="0" w:line="360" w:lineRule="auto"/>
      </w:pPr>
    </w:p>
    <w:p w14:paraId="6C56CA88" w14:textId="77777777" w:rsidR="005C690F" w:rsidRPr="0050318E" w:rsidRDefault="007D6307" w:rsidP="0049651D">
      <w:pPr>
        <w:spacing w:after="0" w:line="360" w:lineRule="auto"/>
        <w:rPr>
          <w:color w:val="000000"/>
        </w:rPr>
      </w:pPr>
      <w:r w:rsidRPr="0050318E">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0318E" w:rsidRDefault="005C690F" w:rsidP="0049651D">
      <w:pPr>
        <w:spacing w:after="0" w:line="360" w:lineRule="auto"/>
        <w:rPr>
          <w:color w:val="000000"/>
        </w:rPr>
      </w:pPr>
    </w:p>
    <w:p w14:paraId="3FF1B775" w14:textId="71BDC8A3" w:rsidR="005C690F" w:rsidRPr="0050318E" w:rsidRDefault="007D6307" w:rsidP="0049651D">
      <w:pPr>
        <w:spacing w:after="0" w:line="360" w:lineRule="auto"/>
        <w:rPr>
          <w:color w:val="000000"/>
        </w:rPr>
      </w:pPr>
      <w:r w:rsidRPr="0050318E">
        <w:rPr>
          <w:color w:val="000000"/>
        </w:rPr>
        <w:t>En el presente caso, </w:t>
      </w:r>
      <w:r w:rsidRPr="0050318E">
        <w:rPr>
          <w:b/>
          <w:color w:val="000000"/>
        </w:rPr>
        <w:t>no se actualiza ninguna de las causales de improcedencia</w:t>
      </w:r>
      <w:r w:rsidRPr="0050318E">
        <w:rPr>
          <w:color w:val="000000"/>
        </w:rPr>
        <w:t> establecidas en el ordenamiento jurídico previamente señalado, toda vez que: este Instituto no tiene conocimiento de que se encuentre en trámite algún medio de defensa presentado por la</w:t>
      </w:r>
      <w:r w:rsidR="00261B92" w:rsidRPr="0050318E">
        <w:rPr>
          <w:color w:val="000000"/>
        </w:rPr>
        <w:t xml:space="preserve"> persona</w:t>
      </w:r>
      <w:r w:rsidRPr="0050318E">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50318E" w:rsidRDefault="008D3B3F" w:rsidP="0049651D">
      <w:pPr>
        <w:spacing w:after="0" w:line="360" w:lineRule="auto"/>
        <w:rPr>
          <w:color w:val="000000"/>
        </w:rPr>
      </w:pPr>
    </w:p>
    <w:p w14:paraId="2BF1CF5B" w14:textId="73A2B15F" w:rsidR="005C690F" w:rsidRPr="0050318E" w:rsidRDefault="007D6307" w:rsidP="0049651D">
      <w:pPr>
        <w:spacing w:after="0" w:line="360" w:lineRule="auto"/>
      </w:pPr>
      <w:r w:rsidRPr="0050318E">
        <w:t>Por lo cual, se actualiza la causal de procedencia del Recurso de Revisión señal</w:t>
      </w:r>
      <w:r w:rsidR="00261DF6" w:rsidRPr="0050318E">
        <w:t>ada en el artículo 179, fracci</w:t>
      </w:r>
      <w:r w:rsidR="00230B8F" w:rsidRPr="0050318E">
        <w:t xml:space="preserve">ón </w:t>
      </w:r>
      <w:r w:rsidR="00BF58E8">
        <w:t>I</w:t>
      </w:r>
      <w:r w:rsidR="004241E9">
        <w:t>I</w:t>
      </w:r>
      <w:r w:rsidRPr="0050318E">
        <w:t>, de la Ley en cita, pues la p</w:t>
      </w:r>
      <w:r w:rsidR="00261B92" w:rsidRPr="0050318E">
        <w:t>ersona</w:t>
      </w:r>
      <w:r w:rsidRPr="0050318E">
        <w:t xml:space="preserve"> Recurrente se inconformó </w:t>
      </w:r>
      <w:r w:rsidR="001B2090" w:rsidRPr="0050318E">
        <w:t xml:space="preserve">de la </w:t>
      </w:r>
      <w:r w:rsidR="004241E9">
        <w:t>clasificación de la información</w:t>
      </w:r>
      <w:r w:rsidR="00935F24">
        <w:t xml:space="preserve">. </w:t>
      </w:r>
    </w:p>
    <w:p w14:paraId="7B59B025" w14:textId="77777777" w:rsidR="00712ED6" w:rsidRPr="0050318E" w:rsidRDefault="00712ED6" w:rsidP="0049651D">
      <w:pPr>
        <w:spacing w:after="0" w:line="360" w:lineRule="auto"/>
      </w:pPr>
    </w:p>
    <w:p w14:paraId="55FF691A" w14:textId="6D373E30" w:rsidR="005C690F" w:rsidRPr="0050318E" w:rsidRDefault="007D6307" w:rsidP="0049651D">
      <w:pPr>
        <w:spacing w:after="0" w:line="360" w:lineRule="auto"/>
        <w:rPr>
          <w:color w:val="0D0D0D"/>
        </w:rPr>
      </w:pPr>
      <w:r w:rsidRPr="0050318E">
        <w:rPr>
          <w:b/>
          <w:color w:val="0D0D0D"/>
        </w:rPr>
        <w:t>Ca</w:t>
      </w:r>
      <w:r w:rsidR="00CD6238" w:rsidRPr="0050318E">
        <w:rPr>
          <w:b/>
          <w:color w:val="0D0D0D"/>
        </w:rPr>
        <w:t>usales de sobreseimiento</w:t>
      </w:r>
    </w:p>
    <w:p w14:paraId="426FEE7A" w14:textId="77777777" w:rsidR="005C690F" w:rsidRPr="0050318E" w:rsidRDefault="005C690F" w:rsidP="0049651D">
      <w:pPr>
        <w:spacing w:after="0" w:line="360" w:lineRule="auto"/>
        <w:rPr>
          <w:color w:val="0D0D0D"/>
        </w:rPr>
      </w:pPr>
    </w:p>
    <w:p w14:paraId="5B1C849A" w14:textId="77777777" w:rsidR="005C690F" w:rsidRDefault="007D6307" w:rsidP="0049651D">
      <w:pPr>
        <w:spacing w:after="0" w:line="360" w:lineRule="auto"/>
        <w:rPr>
          <w:color w:val="0D0D0D"/>
        </w:rPr>
      </w:pPr>
      <w:r w:rsidRPr="0050318E">
        <w:rPr>
          <w:color w:val="0D0D0D"/>
        </w:rPr>
        <w:t>Por ser de previo y especial pronunciamiento, este Instituto analiza si se actualiza alguna causal de sobreseimiento.</w:t>
      </w:r>
    </w:p>
    <w:p w14:paraId="7BB9EEA5" w14:textId="77777777" w:rsidR="00096F5C" w:rsidRPr="0050318E" w:rsidRDefault="00096F5C" w:rsidP="0049651D">
      <w:pPr>
        <w:spacing w:after="0" w:line="360" w:lineRule="auto"/>
        <w:rPr>
          <w:color w:val="0D0D0D"/>
        </w:rPr>
      </w:pPr>
    </w:p>
    <w:p w14:paraId="616B549A" w14:textId="34585935" w:rsidR="005C690F" w:rsidRPr="0050318E" w:rsidRDefault="007D6307" w:rsidP="0049651D">
      <w:pPr>
        <w:spacing w:after="0" w:line="360" w:lineRule="auto"/>
        <w:rPr>
          <w:color w:val="000000"/>
        </w:rPr>
      </w:pPr>
      <w:r w:rsidRPr="0050318E">
        <w:rPr>
          <w:color w:val="0D0D0D"/>
        </w:rPr>
        <w:t>Sobre el tema, e</w:t>
      </w:r>
      <w:r w:rsidRPr="0050318E">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50318E">
        <w:rPr>
          <w:color w:val="000000"/>
        </w:rPr>
        <w:t xml:space="preserve">persona </w:t>
      </w:r>
      <w:r w:rsidRPr="0050318E">
        <w:rPr>
          <w:color w:val="000000"/>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50318E" w:rsidRDefault="00712ED6" w:rsidP="0049651D">
      <w:pPr>
        <w:spacing w:after="0" w:line="360" w:lineRule="auto"/>
        <w:rPr>
          <w:color w:val="000000"/>
        </w:rPr>
      </w:pPr>
    </w:p>
    <w:p w14:paraId="338973DD" w14:textId="77777777" w:rsidR="005C690F" w:rsidRPr="0050318E" w:rsidRDefault="007D6307" w:rsidP="0049651D">
      <w:pPr>
        <w:spacing w:after="0" w:line="360" w:lineRule="auto"/>
        <w:rPr>
          <w:color w:val="0D0D0D"/>
        </w:rPr>
      </w:pPr>
      <w:r w:rsidRPr="0050318E">
        <w:rPr>
          <w:color w:val="0D0D0D"/>
        </w:rPr>
        <w:t xml:space="preserve">Por tales motivos, se considera procedente entrar al fondo del presente asunto. </w:t>
      </w:r>
    </w:p>
    <w:p w14:paraId="3B2EB888" w14:textId="77777777" w:rsidR="005C690F" w:rsidRPr="0050318E" w:rsidRDefault="005C690F" w:rsidP="0049651D">
      <w:pPr>
        <w:spacing w:after="0" w:line="360" w:lineRule="auto"/>
        <w:rPr>
          <w:b/>
          <w:color w:val="000000"/>
        </w:rPr>
      </w:pPr>
    </w:p>
    <w:p w14:paraId="0A6A0BAE" w14:textId="184EF292" w:rsidR="005C690F" w:rsidRPr="0050318E" w:rsidRDefault="007D6307" w:rsidP="0049651D">
      <w:pPr>
        <w:pStyle w:val="Ttulo2"/>
        <w:spacing w:before="0" w:after="0" w:line="360" w:lineRule="auto"/>
        <w:rPr>
          <w:sz w:val="22"/>
          <w:szCs w:val="22"/>
        </w:rPr>
      </w:pPr>
      <w:bookmarkStart w:id="20" w:name="_Toc191568345"/>
      <w:bookmarkStart w:id="21" w:name="_Toc226636546"/>
      <w:r w:rsidRPr="0050318E">
        <w:rPr>
          <w:sz w:val="22"/>
          <w:szCs w:val="22"/>
        </w:rPr>
        <w:t>TERCERO. De</w:t>
      </w:r>
      <w:r w:rsidR="00CD6238" w:rsidRPr="0050318E">
        <w:rPr>
          <w:sz w:val="22"/>
          <w:szCs w:val="22"/>
        </w:rPr>
        <w:t>terminación de la Controversia</w:t>
      </w:r>
      <w:bookmarkEnd w:id="20"/>
      <w:bookmarkEnd w:id="21"/>
    </w:p>
    <w:p w14:paraId="4A0739CB" w14:textId="77777777" w:rsidR="00897A05" w:rsidRPr="0050318E" w:rsidRDefault="00897A05" w:rsidP="0049651D">
      <w:pPr>
        <w:spacing w:after="0" w:line="360" w:lineRule="auto"/>
        <w:rPr>
          <w:b/>
          <w:color w:val="000000"/>
        </w:rPr>
      </w:pPr>
    </w:p>
    <w:p w14:paraId="3A0B3E07" w14:textId="33CD6F68" w:rsidR="008E5DDF" w:rsidRPr="0050318E" w:rsidRDefault="007C7BAF" w:rsidP="0049651D">
      <w:pPr>
        <w:spacing w:after="0" w:line="360" w:lineRule="auto"/>
        <w:rPr>
          <w:rFonts w:cs="Tahoma"/>
        </w:rPr>
      </w:pPr>
      <w:r w:rsidRPr="0050318E">
        <w:rPr>
          <w:rFonts w:cs="Tahoma"/>
        </w:rPr>
        <w:t>Con el objetivo de ilustrar la controversia planteada, resulta conveniente precisar, q</w:t>
      </w:r>
      <w:r w:rsidR="008E5DDF">
        <w:rPr>
          <w:rFonts w:cs="Tahoma"/>
        </w:rPr>
        <w:t xml:space="preserve">ue una vez realizado el estudio </w:t>
      </w:r>
      <w:r w:rsidRPr="0050318E">
        <w:rPr>
          <w:rFonts w:cs="Tahoma"/>
        </w:rPr>
        <w:t>de las constancias que integran el expediente en el que se actúa, se desprende que el Particular requirió</w:t>
      </w:r>
      <w:r w:rsidR="002F0526" w:rsidRPr="0050318E">
        <w:rPr>
          <w:rFonts w:cs="Tahoma"/>
        </w:rPr>
        <w:t xml:space="preserve"> </w:t>
      </w:r>
      <w:r w:rsidR="00E55A97">
        <w:rPr>
          <w:rFonts w:cs="Tahoma"/>
        </w:rPr>
        <w:t>los pagos de bases para adquisición de bienes y servicios, o bien para la contratación de obra pública, en su defecto la manifestación expresa de no contar con ningún registro o ingreso por tal concepto del primero de enero al treinta y uno de abril de dos mil veinticinco.</w:t>
      </w:r>
    </w:p>
    <w:p w14:paraId="09C44CEE" w14:textId="77777777" w:rsidR="00F56168" w:rsidRPr="0050318E" w:rsidRDefault="00F56168" w:rsidP="0049651D">
      <w:pPr>
        <w:spacing w:after="0" w:line="360" w:lineRule="auto"/>
        <w:rPr>
          <w:rFonts w:cs="Tahoma"/>
        </w:rPr>
      </w:pPr>
    </w:p>
    <w:p w14:paraId="5DF5ED32" w14:textId="58599773" w:rsidR="00B67947" w:rsidRDefault="007C7BAF" w:rsidP="0049651D">
      <w:pPr>
        <w:spacing w:after="0" w:line="360" w:lineRule="auto"/>
        <w:rPr>
          <w:rFonts w:eastAsia="Calibri" w:cs="Tahoma"/>
        </w:rPr>
      </w:pPr>
      <w:r w:rsidRPr="00935F24">
        <w:rPr>
          <w:color w:val="000000"/>
        </w:rPr>
        <w:t>En respuesta, el Sujeto Obligado, a través de</w:t>
      </w:r>
      <w:r w:rsidR="005E5558" w:rsidRPr="00935F24">
        <w:rPr>
          <w:color w:val="000000"/>
        </w:rPr>
        <w:t xml:space="preserve"> la </w:t>
      </w:r>
      <w:r w:rsidR="00BA3380">
        <w:rPr>
          <w:color w:val="000000"/>
        </w:rPr>
        <w:t>Tesorería Municipal</w:t>
      </w:r>
      <w:r w:rsidR="00CA1B45" w:rsidRPr="00935F24">
        <w:rPr>
          <w:color w:val="000000"/>
        </w:rPr>
        <w:t xml:space="preserve"> </w:t>
      </w:r>
      <w:r w:rsidR="00935F24" w:rsidRPr="00935F24">
        <w:rPr>
          <w:color w:val="000000"/>
        </w:rPr>
        <w:t xml:space="preserve">proporcionó </w:t>
      </w:r>
      <w:r w:rsidR="008A0975">
        <w:rPr>
          <w:color w:val="000000"/>
        </w:rPr>
        <w:t xml:space="preserve">varias facturas </w:t>
      </w:r>
      <w:r w:rsidR="00BA3380">
        <w:rPr>
          <w:color w:val="000000"/>
        </w:rPr>
        <w:t>testadas en casi toda su totalidad</w:t>
      </w:r>
      <w:r w:rsidR="00CA1B45" w:rsidRPr="00935F24">
        <w:rPr>
          <w:color w:val="000000"/>
        </w:rPr>
        <w:t>;</w:t>
      </w:r>
      <w:r w:rsidR="004A35B7" w:rsidRPr="00935F24">
        <w:t xml:space="preserve"> </w:t>
      </w:r>
      <w:r w:rsidRPr="00935F24">
        <w:rPr>
          <w:rFonts w:cs="Tahoma"/>
          <w:lang w:val="es-ES"/>
        </w:rPr>
        <w:t xml:space="preserve">ante dicha </w:t>
      </w:r>
      <w:r w:rsidR="004A35B7" w:rsidRPr="00935F24">
        <w:rPr>
          <w:rFonts w:cs="Tahoma"/>
          <w:lang w:val="es-ES"/>
        </w:rPr>
        <w:t>respuesta</w:t>
      </w:r>
      <w:r w:rsidRPr="00935F24">
        <w:rPr>
          <w:rFonts w:cs="Tahoma"/>
          <w:lang w:val="es-ES"/>
        </w:rPr>
        <w:t xml:space="preserve">, el Particular se inconformó </w:t>
      </w:r>
      <w:r w:rsidR="00966BF0" w:rsidRPr="00935F24">
        <w:rPr>
          <w:rFonts w:cs="Tahoma"/>
          <w:lang w:val="es-ES"/>
        </w:rPr>
        <w:t xml:space="preserve">de </w:t>
      </w:r>
      <w:r w:rsidR="005E5558" w:rsidRPr="00935F24">
        <w:rPr>
          <w:rFonts w:cs="Tahoma"/>
          <w:lang w:val="es-ES"/>
        </w:rPr>
        <w:t xml:space="preserve">la </w:t>
      </w:r>
      <w:r w:rsidR="00071578">
        <w:rPr>
          <w:rFonts w:cs="Tahoma"/>
          <w:lang w:val="es-ES"/>
        </w:rPr>
        <w:t>clasificación de la información</w:t>
      </w:r>
      <w:r w:rsidR="00C34ACB">
        <w:rPr>
          <w:rFonts w:cs="Tahoma"/>
          <w:lang w:val="es-ES"/>
        </w:rPr>
        <w:t>, al señalar que si bien le habían remitido la información solicitada, se le habían testado datos de naturaleza pública</w:t>
      </w:r>
      <w:r w:rsidR="00011608" w:rsidRPr="00935F24">
        <w:rPr>
          <w:rFonts w:cs="Tahoma"/>
          <w:lang w:val="es-ES"/>
        </w:rPr>
        <w:t>,</w:t>
      </w:r>
      <w:r w:rsidRPr="00935F24">
        <w:rPr>
          <w:rFonts w:cs="Tahoma"/>
          <w:lang w:val="es-ES"/>
        </w:rPr>
        <w:t xml:space="preserve"> lo cual </w:t>
      </w:r>
      <w:r w:rsidRPr="00935F24">
        <w:rPr>
          <w:rFonts w:eastAsia="Calibri" w:cs="Tahoma"/>
        </w:rPr>
        <w:t xml:space="preserve">actualiza la causal de procedencia prevista en la fracción </w:t>
      </w:r>
      <w:r w:rsidR="00935F24" w:rsidRPr="00935F24">
        <w:rPr>
          <w:rFonts w:eastAsia="Calibri" w:cs="Tahoma"/>
        </w:rPr>
        <w:t>I</w:t>
      </w:r>
      <w:r w:rsidR="00C34ACB">
        <w:rPr>
          <w:rFonts w:eastAsia="Calibri" w:cs="Tahoma"/>
        </w:rPr>
        <w:t>I</w:t>
      </w:r>
      <w:r w:rsidRPr="00935F24">
        <w:rPr>
          <w:rFonts w:eastAsia="Calibri" w:cs="Tahoma"/>
        </w:rPr>
        <w:t xml:space="preserve">, del artículo 179 de la Ley de Transparencia y Acceso a </w:t>
      </w:r>
      <w:r w:rsidRPr="00935F24">
        <w:rPr>
          <w:rFonts w:eastAsia="Calibri" w:cs="Tahoma"/>
        </w:rPr>
        <w:lastRenderedPageBreak/>
        <w:t>la Información Pública del Estado de México y Municipios</w:t>
      </w:r>
      <w:r w:rsidRPr="00935F24">
        <w:rPr>
          <w:color w:val="0D0D0D"/>
        </w:rPr>
        <w:t xml:space="preserve">. </w:t>
      </w:r>
      <w:r w:rsidRPr="00935F24">
        <w:rPr>
          <w:rFonts w:eastAsia="Calibri" w:cs="Tahoma"/>
        </w:rPr>
        <w:t>Así, las cosas, una vez admitido y notificado el Recurso de Revisión</w:t>
      </w:r>
      <w:r w:rsidR="00522A47" w:rsidRPr="00935F24">
        <w:rPr>
          <w:rFonts w:eastAsia="Calibri" w:cs="Tahoma"/>
        </w:rPr>
        <w:t xml:space="preserve"> a las partes, </w:t>
      </w:r>
      <w:r w:rsidR="00BA3380">
        <w:rPr>
          <w:rFonts w:eastAsia="Calibri" w:cs="Tahoma"/>
        </w:rPr>
        <w:t>el sujeto obligad</w:t>
      </w:r>
      <w:r w:rsidR="00071578">
        <w:rPr>
          <w:rFonts w:eastAsia="Calibri" w:cs="Tahoma"/>
        </w:rPr>
        <w:t>o ratifico su respuesta inicial y digitalizo una imagen sobre los datos personales.</w:t>
      </w:r>
    </w:p>
    <w:p w14:paraId="21604944" w14:textId="77777777" w:rsidR="00445C19" w:rsidRPr="00B7318F" w:rsidRDefault="00445C19" w:rsidP="0049651D">
      <w:pPr>
        <w:spacing w:after="0" w:line="360" w:lineRule="auto"/>
        <w:rPr>
          <w:color w:val="000000"/>
        </w:rPr>
      </w:pPr>
    </w:p>
    <w:p w14:paraId="75DDA657" w14:textId="36DA1CA5" w:rsidR="00445C19" w:rsidRPr="00B7318F" w:rsidRDefault="00445C19" w:rsidP="0049651D">
      <w:pPr>
        <w:spacing w:after="0" w:line="360" w:lineRule="auto"/>
        <w:rPr>
          <w:color w:val="000000"/>
        </w:rPr>
      </w:pPr>
      <w:r w:rsidRPr="00B7318F">
        <w:rPr>
          <w:color w:val="000000"/>
        </w:rPr>
        <w:t xml:space="preserve">Conforme a lo analizado, se puede advertir que el ahora Recurrente </w:t>
      </w:r>
      <w:r w:rsidR="00C34ACB">
        <w:rPr>
          <w:color w:val="000000"/>
        </w:rPr>
        <w:t>de los documentos entregados, sino de los datos testados en estos</w:t>
      </w:r>
      <w:r w:rsidRPr="00B7318F">
        <w:rPr>
          <w:color w:val="000000"/>
        </w:rPr>
        <w:t xml:space="preserve">;  por lo que no se hará pronunciamiento alguno de la información </w:t>
      </w:r>
      <w:r w:rsidR="00C34ACB">
        <w:rPr>
          <w:color w:val="000000"/>
        </w:rPr>
        <w:t>proporcionada</w:t>
      </w:r>
      <w:r w:rsidRPr="00B7318F">
        <w:rPr>
          <w:color w:val="000000"/>
        </w:rPr>
        <w:t xml:space="preserve">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53435316" w14:textId="77777777" w:rsidR="00445C19" w:rsidRPr="00B7318F" w:rsidRDefault="00445C19" w:rsidP="0049651D">
      <w:pPr>
        <w:spacing w:after="0" w:line="360" w:lineRule="auto"/>
        <w:rPr>
          <w:color w:val="000000"/>
        </w:rPr>
      </w:pPr>
      <w:r w:rsidRPr="00B7318F">
        <w:rPr>
          <w:color w:val="000000"/>
        </w:rPr>
        <w:t> </w:t>
      </w:r>
    </w:p>
    <w:p w14:paraId="58D75A04" w14:textId="77777777" w:rsidR="00445C19" w:rsidRPr="00B7318F" w:rsidRDefault="00445C19" w:rsidP="0049651D">
      <w:pPr>
        <w:spacing w:after="0" w:line="360" w:lineRule="auto"/>
        <w:rPr>
          <w:color w:val="000000"/>
        </w:rPr>
      </w:pPr>
      <w:r w:rsidRPr="00B7318F">
        <w:rPr>
          <w:color w:val="000000"/>
        </w:rPr>
        <w:t>De la misma manera resulta aplicable el criterio sostenido por el Poder Judicial de la Federación de rubro </w:t>
      </w:r>
      <w:r w:rsidRPr="00393089">
        <w:rPr>
          <w:b/>
          <w:color w:val="000000"/>
        </w:rPr>
        <w:t>ACTOS CONSENTIDOS TÁCITAMENTE</w:t>
      </w:r>
      <w:r w:rsidRPr="00B7318F">
        <w:rPr>
          <w:color w:val="000000"/>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8A5424A" w14:textId="77777777" w:rsidR="00445C19" w:rsidRPr="00B7318F" w:rsidRDefault="00445C19" w:rsidP="0049651D">
      <w:pPr>
        <w:spacing w:after="0" w:line="360" w:lineRule="auto"/>
        <w:rPr>
          <w:color w:val="000000"/>
        </w:rPr>
      </w:pPr>
      <w:r w:rsidRPr="00B7318F">
        <w:rPr>
          <w:color w:val="000000"/>
        </w:rPr>
        <w:t> </w:t>
      </w:r>
    </w:p>
    <w:p w14:paraId="56ECEDDE" w14:textId="77777777" w:rsidR="00445C19" w:rsidRPr="00B7318F" w:rsidRDefault="00445C19" w:rsidP="0049651D">
      <w:pPr>
        <w:spacing w:after="0" w:line="360" w:lineRule="auto"/>
        <w:rPr>
          <w:color w:val="000000"/>
        </w:rPr>
      </w:pPr>
      <w:r w:rsidRPr="00B7318F">
        <w:rPr>
          <w:color w:val="000000"/>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3730CACD" w14:textId="6889C1E0" w:rsidR="00445C19" w:rsidRPr="00B7318F" w:rsidRDefault="00445C19" w:rsidP="0049651D">
      <w:pPr>
        <w:spacing w:after="0" w:line="360" w:lineRule="auto"/>
        <w:rPr>
          <w:color w:val="000000"/>
        </w:rPr>
      </w:pPr>
      <w:r w:rsidRPr="00B7318F">
        <w:rPr>
          <w:color w:val="000000"/>
        </w:rPr>
        <w:lastRenderedPageBreak/>
        <w:t xml:space="preserve"> Asimismo, resulta relevante traer a colación el Criterio </w:t>
      </w:r>
      <w:r w:rsidR="00B7318F" w:rsidRPr="00B7318F">
        <w:rPr>
          <w:color w:val="000000"/>
        </w:rPr>
        <w:t>Orientador</w:t>
      </w:r>
      <w:r w:rsidRPr="00B7318F">
        <w:rPr>
          <w:color w:val="000000"/>
        </w:rPr>
        <w:t xml:space="preserve">, con clave de control SO/001/2020, de la Segunda Época, emitido por el Instituto Nacional de Transparencia, Acceso a la Información y Protección de Datos Personales, </w:t>
      </w:r>
      <w:r w:rsidR="00B7318F" w:rsidRPr="00B7318F">
        <w:rPr>
          <w:color w:val="000000"/>
        </w:rPr>
        <w:t>el cual establece que</w:t>
      </w:r>
      <w:r w:rsidRPr="00B7318F">
        <w:rPr>
          <w:color w:val="000000"/>
        </w:rPr>
        <w:t xml:space="preserve"> es improcedente entrar al análisis de las partes de la respuesta del Sujeto Obligado que no fueron impugnadas por el Recurrente; por lo que, en el presente caso, se tiene por consentida la información entregada por el Sujeto Obligado, para atender lo referente a </w:t>
      </w:r>
      <w:r w:rsidR="00393089" w:rsidRPr="00B7318F">
        <w:rPr>
          <w:color w:val="000000"/>
        </w:rPr>
        <w:t xml:space="preserve">la temporalidad y </w:t>
      </w:r>
      <w:r w:rsidR="00393089">
        <w:rPr>
          <w:color w:val="000000"/>
        </w:rPr>
        <w:t>pagos remitidos</w:t>
      </w:r>
      <w:r w:rsidR="00393089" w:rsidRPr="00B7318F">
        <w:rPr>
          <w:color w:val="000000"/>
        </w:rPr>
        <w:t xml:space="preserve"> </w:t>
      </w:r>
      <w:r w:rsidR="00B86A55" w:rsidRPr="00B7318F">
        <w:rPr>
          <w:color w:val="000000"/>
        </w:rPr>
        <w:t xml:space="preserve">por parte del Ayuntamiento de </w:t>
      </w:r>
      <w:r w:rsidR="00393089">
        <w:rPr>
          <w:color w:val="000000"/>
        </w:rPr>
        <w:t>Otzolotepec</w:t>
      </w:r>
      <w:r w:rsidRPr="00B7318F">
        <w:rPr>
          <w:color w:val="000000"/>
        </w:rPr>
        <w:t xml:space="preserve">; y únicamente se entrará al análisis </w:t>
      </w:r>
      <w:r w:rsidR="00B86A55" w:rsidRPr="00B7318F">
        <w:rPr>
          <w:color w:val="000000"/>
        </w:rPr>
        <w:t xml:space="preserve">de la </w:t>
      </w:r>
      <w:r w:rsidR="00393089">
        <w:rPr>
          <w:color w:val="000000"/>
        </w:rPr>
        <w:t>versión publica</w:t>
      </w:r>
      <w:r w:rsidR="00B86A55" w:rsidRPr="00B7318F">
        <w:rPr>
          <w:color w:val="000000"/>
        </w:rPr>
        <w:t xml:space="preserve"> de los documentos remitidos.</w:t>
      </w:r>
    </w:p>
    <w:p w14:paraId="787219CF" w14:textId="77777777" w:rsidR="008A0975" w:rsidRPr="0050318E" w:rsidRDefault="008A0975" w:rsidP="0049651D">
      <w:pPr>
        <w:spacing w:after="0" w:line="360" w:lineRule="auto"/>
        <w:rPr>
          <w:color w:val="000000"/>
        </w:rPr>
      </w:pPr>
    </w:p>
    <w:p w14:paraId="22C5958E" w14:textId="77777777" w:rsidR="007C7BAF" w:rsidRPr="00B7318F" w:rsidRDefault="007C7BAF" w:rsidP="0049651D">
      <w:pPr>
        <w:spacing w:after="0" w:line="360" w:lineRule="auto"/>
        <w:rPr>
          <w:color w:val="000000"/>
        </w:rPr>
      </w:pPr>
      <w:r w:rsidRPr="00B7318F">
        <w:rPr>
          <w:color w:val="000000"/>
        </w:rP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50318E" w:rsidRDefault="007C7BAF" w:rsidP="0049651D">
      <w:pPr>
        <w:spacing w:after="0" w:line="360" w:lineRule="auto"/>
        <w:rPr>
          <w:b/>
          <w:color w:val="000000"/>
        </w:rPr>
      </w:pPr>
    </w:p>
    <w:p w14:paraId="36DCBD9D" w14:textId="5B125308" w:rsidR="005C690F" w:rsidRPr="0050318E" w:rsidRDefault="007D6307" w:rsidP="0049651D">
      <w:pPr>
        <w:pStyle w:val="Ttulo2"/>
        <w:spacing w:before="0" w:after="0" w:line="360" w:lineRule="auto"/>
        <w:rPr>
          <w:sz w:val="22"/>
          <w:szCs w:val="22"/>
        </w:rPr>
      </w:pPr>
      <w:bookmarkStart w:id="22" w:name="_Toc191568346"/>
      <w:bookmarkStart w:id="23" w:name="_Toc226636547"/>
      <w:r w:rsidRPr="0050318E">
        <w:rPr>
          <w:sz w:val="22"/>
          <w:szCs w:val="22"/>
        </w:rPr>
        <w:t xml:space="preserve">CUARTO. Marco normativo aplicable en materia de transparencia y </w:t>
      </w:r>
      <w:r w:rsidR="00CD6238" w:rsidRPr="0050318E">
        <w:rPr>
          <w:sz w:val="22"/>
          <w:szCs w:val="22"/>
        </w:rPr>
        <w:t>acceso a la información pública</w:t>
      </w:r>
      <w:bookmarkEnd w:id="22"/>
      <w:bookmarkEnd w:id="23"/>
    </w:p>
    <w:p w14:paraId="4D62F8F1" w14:textId="77777777" w:rsidR="005C690F" w:rsidRPr="0050318E" w:rsidRDefault="005C690F" w:rsidP="0049651D">
      <w:pPr>
        <w:spacing w:after="0" w:line="360" w:lineRule="auto"/>
        <w:rPr>
          <w:color w:val="000000"/>
        </w:rPr>
      </w:pPr>
    </w:p>
    <w:p w14:paraId="68F50546" w14:textId="77777777" w:rsidR="005C690F" w:rsidRPr="0050318E" w:rsidRDefault="007D6307" w:rsidP="0049651D">
      <w:pPr>
        <w:spacing w:after="0" w:line="360" w:lineRule="auto"/>
        <w:rPr>
          <w:color w:val="000000"/>
        </w:rPr>
      </w:pPr>
      <w:r w:rsidRPr="0050318E">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D83276" w14:textId="77777777" w:rsidR="005C690F" w:rsidRPr="0050318E" w:rsidRDefault="005C690F" w:rsidP="0049651D">
      <w:pPr>
        <w:spacing w:after="0" w:line="360" w:lineRule="auto"/>
        <w:rPr>
          <w:color w:val="000000"/>
        </w:rPr>
      </w:pPr>
    </w:p>
    <w:p w14:paraId="73149F26" w14:textId="77777777" w:rsidR="005C690F" w:rsidRPr="0050318E" w:rsidRDefault="007D6307" w:rsidP="0049651D">
      <w:pPr>
        <w:spacing w:after="0" w:line="360" w:lineRule="auto"/>
        <w:rPr>
          <w:color w:val="000000"/>
        </w:rPr>
      </w:pPr>
      <w:r w:rsidRPr="0050318E">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50318E" w:rsidRDefault="005C690F" w:rsidP="0049651D">
      <w:pPr>
        <w:spacing w:after="0" w:line="360" w:lineRule="auto"/>
        <w:rPr>
          <w:color w:val="000000"/>
        </w:rPr>
      </w:pPr>
    </w:p>
    <w:p w14:paraId="69458899" w14:textId="77777777" w:rsidR="005C690F" w:rsidRPr="0050318E" w:rsidRDefault="007D6307" w:rsidP="0049651D">
      <w:pPr>
        <w:spacing w:after="0" w:line="360" w:lineRule="auto"/>
        <w:rPr>
          <w:color w:val="000000"/>
        </w:rPr>
      </w:pPr>
      <w:r w:rsidRPr="0050318E">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0318E" w:rsidRDefault="005C690F" w:rsidP="0049651D">
      <w:pPr>
        <w:spacing w:after="0" w:line="360" w:lineRule="auto"/>
        <w:rPr>
          <w:color w:val="000000"/>
        </w:rPr>
      </w:pPr>
    </w:p>
    <w:p w14:paraId="3D8EBDEC" w14:textId="77777777" w:rsidR="005C690F" w:rsidRPr="0050318E" w:rsidRDefault="007D6307" w:rsidP="0049651D">
      <w:pPr>
        <w:spacing w:after="0" w:line="360" w:lineRule="auto"/>
        <w:rPr>
          <w:color w:val="000000"/>
        </w:rPr>
      </w:pPr>
      <w:r w:rsidRPr="0050318E">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50318E" w:rsidRDefault="005C690F" w:rsidP="0049651D">
      <w:pPr>
        <w:spacing w:after="0" w:line="360" w:lineRule="auto"/>
        <w:rPr>
          <w:color w:val="000000"/>
        </w:rPr>
      </w:pPr>
    </w:p>
    <w:p w14:paraId="5BD9CB2E" w14:textId="77777777" w:rsidR="005C690F" w:rsidRPr="0050318E" w:rsidRDefault="007D6307" w:rsidP="0049651D">
      <w:pPr>
        <w:spacing w:after="0" w:line="360" w:lineRule="auto"/>
        <w:rPr>
          <w:color w:val="000000"/>
        </w:rPr>
      </w:pPr>
      <w:r w:rsidRPr="0050318E">
        <w:rPr>
          <w:color w:val="000000"/>
        </w:rPr>
        <w:t>El artículo 12, que, quienes generen, recopilen, administren, manejen, procesen, archiven o conserven información pública serán responsables de la misma.</w:t>
      </w:r>
    </w:p>
    <w:p w14:paraId="6BD1FFBB" w14:textId="77777777" w:rsidR="007C02D1" w:rsidRPr="0050318E" w:rsidRDefault="007C02D1" w:rsidP="0049651D">
      <w:pPr>
        <w:spacing w:after="0" w:line="360" w:lineRule="auto"/>
        <w:rPr>
          <w:color w:val="000000"/>
        </w:rPr>
      </w:pPr>
    </w:p>
    <w:p w14:paraId="3D899A16" w14:textId="77777777" w:rsidR="005C690F" w:rsidRDefault="007D6307" w:rsidP="0049651D">
      <w:pPr>
        <w:widowControl w:val="0"/>
        <w:spacing w:after="0" w:line="360" w:lineRule="auto"/>
        <w:rPr>
          <w:color w:val="000000"/>
        </w:rPr>
      </w:pPr>
      <w:r w:rsidRPr="0050318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DA5A6AD" w14:textId="77777777" w:rsidR="00296FF6" w:rsidRPr="0050318E" w:rsidRDefault="00296FF6" w:rsidP="0049651D">
      <w:pPr>
        <w:widowControl w:val="0"/>
        <w:spacing w:after="0" w:line="360" w:lineRule="auto"/>
        <w:rPr>
          <w:color w:val="000000"/>
        </w:rPr>
      </w:pPr>
    </w:p>
    <w:p w14:paraId="70E5B643" w14:textId="378E2A57" w:rsidR="00B04A35" w:rsidRPr="0050318E" w:rsidRDefault="007D6307" w:rsidP="0049651D">
      <w:pPr>
        <w:spacing w:after="0" w:line="360" w:lineRule="auto"/>
        <w:rPr>
          <w:color w:val="000000"/>
        </w:rPr>
      </w:pPr>
      <w:r w:rsidRPr="0050318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5FA1FB" w14:textId="77777777" w:rsidR="00B4388B" w:rsidRDefault="00B4388B" w:rsidP="0049651D">
      <w:pPr>
        <w:spacing w:after="0" w:line="360" w:lineRule="auto"/>
      </w:pPr>
    </w:p>
    <w:p w14:paraId="3AF871E5" w14:textId="6FEB966D" w:rsidR="005C690F" w:rsidRPr="0050318E" w:rsidRDefault="00CD6238" w:rsidP="0049651D">
      <w:pPr>
        <w:pStyle w:val="Ttulo2"/>
        <w:spacing w:before="0" w:after="0" w:line="360" w:lineRule="auto"/>
        <w:rPr>
          <w:sz w:val="22"/>
          <w:szCs w:val="22"/>
        </w:rPr>
      </w:pPr>
      <w:bookmarkStart w:id="24" w:name="_Toc191568347"/>
      <w:bookmarkStart w:id="25" w:name="_Toc226636548"/>
      <w:r w:rsidRPr="0050318E">
        <w:rPr>
          <w:sz w:val="22"/>
          <w:szCs w:val="22"/>
        </w:rPr>
        <w:t>Q</w:t>
      </w:r>
      <w:r w:rsidR="0044017B" w:rsidRPr="0050318E">
        <w:rPr>
          <w:sz w:val="22"/>
          <w:szCs w:val="22"/>
        </w:rPr>
        <w:t>UINTO</w:t>
      </w:r>
      <w:r w:rsidRPr="0050318E">
        <w:rPr>
          <w:sz w:val="22"/>
          <w:szCs w:val="22"/>
        </w:rPr>
        <w:t>. Estudio de Fondo</w:t>
      </w:r>
      <w:bookmarkEnd w:id="24"/>
      <w:bookmarkEnd w:id="25"/>
    </w:p>
    <w:p w14:paraId="2596B212" w14:textId="77777777" w:rsidR="00A56228" w:rsidRPr="0050318E" w:rsidRDefault="00A56228" w:rsidP="0049651D">
      <w:pPr>
        <w:spacing w:after="0" w:line="360" w:lineRule="auto"/>
        <w:rPr>
          <w:b/>
          <w:color w:val="000000"/>
        </w:rPr>
      </w:pPr>
    </w:p>
    <w:p w14:paraId="5F490A49" w14:textId="056C6B02" w:rsidR="007F4407" w:rsidRPr="0050318E" w:rsidRDefault="0064067B" w:rsidP="0049651D">
      <w:pPr>
        <w:spacing w:after="0" w:line="360" w:lineRule="auto"/>
        <w:rPr>
          <w:rFonts w:eastAsia="Times New Roman" w:cs="Tahoma"/>
          <w:bCs/>
          <w:iCs/>
          <w:lang w:eastAsia="es-ES"/>
        </w:rPr>
      </w:pPr>
      <w:r w:rsidRPr="0050318E">
        <w:rPr>
          <w:color w:val="000000"/>
        </w:rPr>
        <w:t>Expuestas las posturas de las partes, se procede al análisis de los agravios hechos valer por la persona Recurrente</w:t>
      </w:r>
      <w:r w:rsidR="00731FB9" w:rsidRPr="0050318E">
        <w:t xml:space="preserve">, </w:t>
      </w:r>
      <w:r w:rsidR="001E6F95">
        <w:t>referente a</w:t>
      </w:r>
      <w:r w:rsidR="00C34ACB">
        <w:t xml:space="preserve"> la clasificación de los datos en las facturas proporcionadas; por lo que, de su revisión se logra vislumbrar que clasificó los siguientes:</w:t>
      </w:r>
    </w:p>
    <w:p w14:paraId="0B4BC8D3" w14:textId="77777777" w:rsidR="007427D1" w:rsidRDefault="007427D1" w:rsidP="0049651D">
      <w:pPr>
        <w:spacing w:after="0" w:line="360" w:lineRule="auto"/>
        <w:rPr>
          <w:color w:val="000000"/>
        </w:rPr>
      </w:pPr>
    </w:p>
    <w:p w14:paraId="7563EEA9" w14:textId="301D91DC" w:rsidR="007427D1" w:rsidRDefault="007427D1" w:rsidP="0049651D">
      <w:pPr>
        <w:numPr>
          <w:ilvl w:val="0"/>
          <w:numId w:val="9"/>
        </w:numPr>
        <w:spacing w:after="0" w:line="360" w:lineRule="auto"/>
        <w:ind w:left="993" w:hanging="426"/>
        <w:jc w:val="left"/>
        <w:rPr>
          <w:color w:val="000000"/>
        </w:rPr>
      </w:pPr>
      <w:r>
        <w:rPr>
          <w:color w:val="000000"/>
        </w:rPr>
        <w:t>Nombre del proveedor o contratista</w:t>
      </w:r>
      <w:r w:rsidR="00694889">
        <w:rPr>
          <w:color w:val="000000"/>
        </w:rPr>
        <w:t xml:space="preserve"> o Razón Social</w:t>
      </w:r>
      <w:r w:rsidR="00C34ACB">
        <w:rPr>
          <w:color w:val="000000"/>
        </w:rPr>
        <w:t xml:space="preserve"> (incluye participantes)</w:t>
      </w:r>
      <w:r w:rsidR="00694889">
        <w:rPr>
          <w:color w:val="000000"/>
        </w:rPr>
        <w:t>.</w:t>
      </w:r>
    </w:p>
    <w:p w14:paraId="15C7C973" w14:textId="77777777" w:rsidR="007427D1" w:rsidRDefault="007427D1" w:rsidP="0049651D">
      <w:pPr>
        <w:numPr>
          <w:ilvl w:val="0"/>
          <w:numId w:val="9"/>
        </w:numPr>
        <w:spacing w:after="0" w:line="360" w:lineRule="auto"/>
        <w:ind w:left="993" w:hanging="426"/>
        <w:jc w:val="left"/>
        <w:rPr>
          <w:color w:val="000000"/>
        </w:rPr>
      </w:pPr>
      <w:r>
        <w:rPr>
          <w:color w:val="000000"/>
        </w:rPr>
        <w:t>Registro Federal de Contribuyentes (RFC) de proveedores o contratista;</w:t>
      </w:r>
    </w:p>
    <w:p w14:paraId="2C880497" w14:textId="77777777" w:rsidR="007427D1" w:rsidRDefault="007427D1" w:rsidP="0049651D">
      <w:pPr>
        <w:numPr>
          <w:ilvl w:val="0"/>
          <w:numId w:val="9"/>
        </w:numPr>
        <w:spacing w:after="0" w:line="360" w:lineRule="auto"/>
        <w:ind w:left="993" w:hanging="426"/>
        <w:jc w:val="left"/>
        <w:rPr>
          <w:color w:val="000000"/>
        </w:rPr>
      </w:pPr>
      <w:r>
        <w:rPr>
          <w:color w:val="000000"/>
        </w:rPr>
        <w:t>Código Bidimensional o QR;</w:t>
      </w:r>
    </w:p>
    <w:p w14:paraId="7924D717" w14:textId="19A82F6A" w:rsidR="007427D1" w:rsidRDefault="007427D1" w:rsidP="0049651D">
      <w:pPr>
        <w:numPr>
          <w:ilvl w:val="0"/>
          <w:numId w:val="9"/>
        </w:numPr>
        <w:spacing w:after="0" w:line="360" w:lineRule="auto"/>
        <w:ind w:left="993" w:hanging="426"/>
        <w:jc w:val="left"/>
        <w:rPr>
          <w:color w:val="000000"/>
        </w:rPr>
      </w:pPr>
      <w:r>
        <w:rPr>
          <w:color w:val="000000"/>
        </w:rPr>
        <w:t>Domicilio Fiscal del proveedor</w:t>
      </w:r>
      <w:r w:rsidR="00C34ACB">
        <w:rPr>
          <w:color w:val="000000"/>
        </w:rPr>
        <w:t xml:space="preserve"> o contratista</w:t>
      </w:r>
      <w:r>
        <w:rPr>
          <w:color w:val="000000"/>
        </w:rPr>
        <w:t>;</w:t>
      </w:r>
    </w:p>
    <w:p w14:paraId="14332514" w14:textId="7805A1A1" w:rsidR="007427D1" w:rsidRDefault="007427D1" w:rsidP="0049651D">
      <w:pPr>
        <w:numPr>
          <w:ilvl w:val="0"/>
          <w:numId w:val="9"/>
        </w:numPr>
        <w:spacing w:after="0" w:line="360" w:lineRule="auto"/>
        <w:ind w:left="993" w:hanging="426"/>
        <w:jc w:val="left"/>
        <w:rPr>
          <w:color w:val="000000"/>
        </w:rPr>
      </w:pPr>
      <w:r>
        <w:rPr>
          <w:color w:val="000000"/>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00B7318F">
        <w:rPr>
          <w:color w:val="000000"/>
        </w:rPr>
        <w:t>;</w:t>
      </w:r>
    </w:p>
    <w:p w14:paraId="092234AE" w14:textId="78D58B0B" w:rsidR="007427D1" w:rsidRDefault="007427D1" w:rsidP="0049651D">
      <w:pPr>
        <w:numPr>
          <w:ilvl w:val="0"/>
          <w:numId w:val="9"/>
        </w:numPr>
        <w:spacing w:after="0" w:line="360" w:lineRule="auto"/>
        <w:ind w:left="993" w:hanging="426"/>
        <w:jc w:val="left"/>
        <w:rPr>
          <w:color w:val="000000"/>
        </w:rPr>
      </w:pPr>
      <w:r>
        <w:rPr>
          <w:color w:val="000000"/>
        </w:rPr>
        <w:t>Folio del Comprobante Fiscal Digital por Internet</w:t>
      </w:r>
      <w:r w:rsidR="00B7318F">
        <w:rPr>
          <w:color w:val="000000"/>
        </w:rPr>
        <w:t>, y</w:t>
      </w:r>
    </w:p>
    <w:p w14:paraId="79C719AB" w14:textId="23A57230" w:rsidR="007C4E71" w:rsidRDefault="00B7318F" w:rsidP="0049651D">
      <w:pPr>
        <w:numPr>
          <w:ilvl w:val="0"/>
          <w:numId w:val="9"/>
        </w:numPr>
        <w:spacing w:after="0" w:line="360" w:lineRule="auto"/>
        <w:ind w:left="993" w:hanging="426"/>
        <w:jc w:val="left"/>
        <w:rPr>
          <w:color w:val="000000"/>
        </w:rPr>
      </w:pPr>
      <w:r>
        <w:rPr>
          <w:color w:val="000000"/>
        </w:rPr>
        <w:t>Cuenta e institución bancaria de proveedor.</w:t>
      </w:r>
    </w:p>
    <w:p w14:paraId="1D1A5788" w14:textId="642FC00F" w:rsidR="007C4E71" w:rsidRPr="007C4E71" w:rsidRDefault="007C4E71" w:rsidP="0049651D">
      <w:pPr>
        <w:numPr>
          <w:ilvl w:val="0"/>
          <w:numId w:val="9"/>
        </w:numPr>
        <w:spacing w:after="0" w:line="360" w:lineRule="auto"/>
        <w:ind w:left="993" w:hanging="426"/>
        <w:jc w:val="left"/>
        <w:rPr>
          <w:color w:val="000000"/>
        </w:rPr>
      </w:pPr>
      <w:r>
        <w:rPr>
          <w:color w:val="000000"/>
        </w:rPr>
        <w:t>Cajero</w:t>
      </w:r>
      <w:r w:rsidR="00C34ACB">
        <w:rPr>
          <w:color w:val="000000"/>
        </w:rPr>
        <w:t>.</w:t>
      </w:r>
    </w:p>
    <w:p w14:paraId="004BA479" w14:textId="77777777" w:rsidR="007427D1" w:rsidRDefault="007427D1" w:rsidP="0049651D">
      <w:pPr>
        <w:spacing w:after="0" w:line="360" w:lineRule="auto"/>
        <w:rPr>
          <w:color w:val="000000"/>
        </w:rPr>
      </w:pPr>
    </w:p>
    <w:p w14:paraId="70F15E57" w14:textId="77777777" w:rsidR="007427D1" w:rsidRDefault="007427D1" w:rsidP="0049651D">
      <w:pPr>
        <w:spacing w:after="0" w:line="360" w:lineRule="auto"/>
        <w:rPr>
          <w:color w:val="000000"/>
        </w:rPr>
      </w:pPr>
      <w:r>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6BD2C22" w14:textId="77777777" w:rsidR="007427D1" w:rsidRDefault="007427D1" w:rsidP="0049651D">
      <w:pPr>
        <w:spacing w:after="0" w:line="360" w:lineRule="auto"/>
        <w:rPr>
          <w:color w:val="000000"/>
        </w:rPr>
      </w:pPr>
    </w:p>
    <w:p w14:paraId="52531E98" w14:textId="77777777" w:rsidR="007427D1" w:rsidRDefault="007427D1" w:rsidP="0049651D">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59C98C00" w14:textId="77777777" w:rsidR="007427D1" w:rsidRDefault="007427D1" w:rsidP="0049651D">
      <w:pPr>
        <w:spacing w:after="0" w:line="360" w:lineRule="auto"/>
        <w:rPr>
          <w:color w:val="000000"/>
        </w:rPr>
      </w:pPr>
    </w:p>
    <w:p w14:paraId="240CD396" w14:textId="77777777" w:rsidR="007427D1" w:rsidRDefault="007427D1" w:rsidP="0049651D">
      <w:pPr>
        <w:numPr>
          <w:ilvl w:val="0"/>
          <w:numId w:val="10"/>
        </w:numPr>
        <w:pBdr>
          <w:top w:val="nil"/>
          <w:left w:val="nil"/>
          <w:bottom w:val="nil"/>
          <w:right w:val="nil"/>
          <w:between w:val="nil"/>
        </w:pBdr>
        <w:spacing w:after="0" w:line="360" w:lineRule="auto"/>
        <w:rPr>
          <w:color w:val="000000"/>
        </w:rPr>
      </w:pPr>
      <w:r>
        <w:rPr>
          <w:color w:val="000000"/>
        </w:rPr>
        <w:lastRenderedPageBreak/>
        <w:t xml:space="preserve">Se trate de datos personales o información privada; esto es, información concerniente a una persona física o jurídico colectiva y que esta sea identificada o identificable. </w:t>
      </w:r>
    </w:p>
    <w:p w14:paraId="1B1DF770" w14:textId="77777777" w:rsidR="007427D1" w:rsidRDefault="007427D1" w:rsidP="0049651D">
      <w:pPr>
        <w:numPr>
          <w:ilvl w:val="0"/>
          <w:numId w:val="10"/>
        </w:numPr>
        <w:pBdr>
          <w:top w:val="nil"/>
          <w:left w:val="nil"/>
          <w:bottom w:val="nil"/>
          <w:right w:val="nil"/>
          <w:between w:val="nil"/>
        </w:pBdr>
        <w:spacing w:after="0" w:line="360" w:lineRule="auto"/>
        <w:jc w:val="left"/>
        <w:rPr>
          <w:color w:val="000000"/>
        </w:rPr>
      </w:pPr>
      <w:r>
        <w:rPr>
          <w:color w:val="000000"/>
        </w:rPr>
        <w:t xml:space="preserve">Para la difusión de los datos, se requiera el consentimiento del titular. </w:t>
      </w:r>
    </w:p>
    <w:p w14:paraId="67AA4446" w14:textId="77777777" w:rsidR="007427D1" w:rsidRDefault="007427D1" w:rsidP="0049651D">
      <w:pPr>
        <w:spacing w:after="0" w:line="360" w:lineRule="auto"/>
        <w:rPr>
          <w:color w:val="000000"/>
        </w:rPr>
      </w:pPr>
    </w:p>
    <w:p w14:paraId="0A0A214D" w14:textId="77777777" w:rsidR="007427D1" w:rsidRDefault="007427D1" w:rsidP="0049651D">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1AC41B7" w14:textId="77777777" w:rsidR="007427D1" w:rsidRDefault="007427D1" w:rsidP="0049651D">
      <w:pPr>
        <w:spacing w:after="0" w:line="360" w:lineRule="auto"/>
        <w:rPr>
          <w:color w:val="000000"/>
        </w:rPr>
      </w:pPr>
    </w:p>
    <w:p w14:paraId="0861F2E9" w14:textId="77777777" w:rsidR="007427D1" w:rsidRDefault="007427D1" w:rsidP="0049651D">
      <w:pPr>
        <w:spacing w:after="0" w:line="360" w:lineRule="auto"/>
        <w:rPr>
          <w:color w:val="000000"/>
        </w:rPr>
      </w:pPr>
      <w:r>
        <w:rPr>
          <w:color w:val="000000"/>
        </w:rPr>
        <w:t>Además, en el artículo 5° de dicho ordenamiento jurídico, establece que es la Ley aplicable para todo tratamiento de datos personales.</w:t>
      </w:r>
    </w:p>
    <w:p w14:paraId="30B07790" w14:textId="77777777" w:rsidR="007427D1" w:rsidRDefault="007427D1" w:rsidP="0049651D">
      <w:pPr>
        <w:spacing w:after="0" w:line="360" w:lineRule="auto"/>
        <w:rPr>
          <w:color w:val="000000"/>
        </w:rPr>
      </w:pPr>
    </w:p>
    <w:p w14:paraId="7CE79B83" w14:textId="77777777" w:rsidR="007427D1" w:rsidRDefault="007427D1" w:rsidP="0049651D">
      <w:pPr>
        <w:spacing w:after="0" w:line="360" w:lineRule="auto"/>
        <w:rPr>
          <w:color w:val="000000"/>
        </w:rPr>
      </w:pPr>
      <w:r>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C45E660" w14:textId="77777777" w:rsidR="007427D1" w:rsidRDefault="007427D1" w:rsidP="0049651D">
      <w:pPr>
        <w:spacing w:after="0" w:line="360" w:lineRule="auto"/>
        <w:rPr>
          <w:color w:val="000000"/>
        </w:rPr>
      </w:pPr>
    </w:p>
    <w:p w14:paraId="00A3DF66" w14:textId="77777777" w:rsidR="007427D1" w:rsidRDefault="007427D1" w:rsidP="0049651D">
      <w:pPr>
        <w:spacing w:after="0" w:line="360" w:lineRule="auto"/>
        <w:rPr>
          <w:color w:val="000000"/>
        </w:rPr>
      </w:pPr>
      <w:r>
        <w:rPr>
          <w:color w:val="000000"/>
        </w:rPr>
        <w:t xml:space="preserve">En este sentido, un dato personal es cualquier información que pueda hacer a una persona física o jurídica colectiva identificada e identificable; por lo que, bajo dicha circunstancia, se </w:t>
      </w:r>
      <w:r>
        <w:rPr>
          <w:color w:val="000000"/>
        </w:rPr>
        <w:lastRenderedPageBreak/>
        <w:t>analizarán si los datos mencionados, deben ser considerados confidenciales, en términos del artículo 143, fracción I, de la Ley de Transparencia y Acceso a la Información Pública del Estado de México y Municipios, o públicos.</w:t>
      </w:r>
    </w:p>
    <w:p w14:paraId="29BDFC76" w14:textId="77777777" w:rsidR="007427D1" w:rsidRDefault="007427D1" w:rsidP="0049651D">
      <w:pPr>
        <w:spacing w:after="0" w:line="360" w:lineRule="auto"/>
        <w:rPr>
          <w:b/>
          <w:color w:val="000000"/>
        </w:rPr>
      </w:pPr>
    </w:p>
    <w:p w14:paraId="788AFB61" w14:textId="757D4807" w:rsidR="007427D1" w:rsidRPr="00C119EF" w:rsidRDefault="007427D1" w:rsidP="0049651D">
      <w:pPr>
        <w:numPr>
          <w:ilvl w:val="0"/>
          <w:numId w:val="4"/>
        </w:numPr>
        <w:spacing w:after="0" w:line="360" w:lineRule="auto"/>
        <w:contextualSpacing/>
        <w:jc w:val="left"/>
        <w:rPr>
          <w:rFonts w:eastAsia="Calibri" w:cs="Tahoma"/>
          <w:b/>
          <w:bCs/>
        </w:rPr>
      </w:pPr>
      <w:r w:rsidRPr="00C119EF">
        <w:rPr>
          <w:rFonts w:eastAsia="Calibri" w:cs="Tahoma"/>
          <w:b/>
          <w:bCs/>
        </w:rPr>
        <w:t>Nombre de personas físicas proveedores</w:t>
      </w:r>
      <w:r w:rsidR="00C34ACB">
        <w:rPr>
          <w:rFonts w:eastAsia="Calibri" w:cs="Tahoma"/>
          <w:b/>
          <w:bCs/>
        </w:rPr>
        <w:t xml:space="preserve"> o contratistas (incluidos participantes)</w:t>
      </w:r>
      <w:r w:rsidRPr="00C119EF">
        <w:rPr>
          <w:rFonts w:eastAsia="Calibri" w:cs="Tahoma"/>
          <w:b/>
          <w:bCs/>
        </w:rPr>
        <w:t>.</w:t>
      </w:r>
    </w:p>
    <w:p w14:paraId="06DAACA5" w14:textId="77777777" w:rsidR="007427D1" w:rsidRPr="00C119EF" w:rsidRDefault="007427D1" w:rsidP="0049651D">
      <w:pPr>
        <w:spacing w:after="0" w:line="360" w:lineRule="auto"/>
        <w:rPr>
          <w:rFonts w:eastAsia="Calibri" w:cs="Tahoma"/>
          <w:b/>
          <w:bCs/>
        </w:rPr>
      </w:pPr>
    </w:p>
    <w:p w14:paraId="0E1DDD22" w14:textId="77777777" w:rsidR="007427D1" w:rsidRPr="00C119EF" w:rsidRDefault="007427D1" w:rsidP="0049651D">
      <w:pPr>
        <w:spacing w:after="0" w:line="360" w:lineRule="auto"/>
        <w:ind w:right="-93"/>
        <w:rPr>
          <w:rFonts w:eastAsia="Calibri" w:cs="Tahoma"/>
          <w:bCs/>
          <w:lang w:val="es-ES_tradnl"/>
        </w:rPr>
      </w:pPr>
      <w:r w:rsidRPr="00C119EF">
        <w:rPr>
          <w:rFonts w:eastAsia="Calibri" w:cs="Tahoma"/>
          <w:bCs/>
        </w:rPr>
        <w:t xml:space="preserve">Al respecto, cabe precisar que el nombre se integra </w:t>
      </w:r>
      <w:r w:rsidRPr="00C119EF">
        <w:rPr>
          <w:rFonts w:eastAsia="Calibri"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119EF">
        <w:rPr>
          <w:rFonts w:eastAsia="Calibri" w:cs="Tahoma"/>
          <w:bCs/>
          <w:i/>
          <w:lang w:val="es-ES_tradnl"/>
        </w:rPr>
        <w:t>per se</w:t>
      </w:r>
      <w:r w:rsidRPr="00C119EF">
        <w:rPr>
          <w:rFonts w:eastAsia="Calibri" w:cs="Tahoma"/>
          <w:bCs/>
          <w:lang w:val="es-ES_tradnl"/>
        </w:rPr>
        <w:t xml:space="preserve"> es un elemento que hace a una persona física identificada o identificable.</w:t>
      </w:r>
    </w:p>
    <w:p w14:paraId="2AB914C1" w14:textId="77777777" w:rsidR="007427D1" w:rsidRPr="00C119EF" w:rsidRDefault="007427D1" w:rsidP="0049651D">
      <w:pPr>
        <w:spacing w:after="0" w:line="360" w:lineRule="auto"/>
        <w:ind w:right="-93"/>
        <w:rPr>
          <w:rFonts w:eastAsia="Calibri" w:cs="Tahoma"/>
          <w:bCs/>
          <w:lang w:val="es-ES_tradnl"/>
        </w:rPr>
      </w:pPr>
    </w:p>
    <w:p w14:paraId="195DFAD2" w14:textId="4F757F65" w:rsidR="007427D1" w:rsidRPr="00C119EF" w:rsidRDefault="007427D1" w:rsidP="0049651D">
      <w:pPr>
        <w:spacing w:after="0" w:line="360" w:lineRule="auto"/>
        <w:ind w:right="-93"/>
        <w:rPr>
          <w:rFonts w:eastAsia="Calibri" w:cs="Tahoma"/>
          <w:bCs/>
          <w:lang w:val="es-ES_tradnl"/>
        </w:rPr>
      </w:pPr>
      <w:r w:rsidRPr="00C119EF">
        <w:rPr>
          <w:rFonts w:eastAsia="Calibri" w:cs="Tahoma"/>
          <w:bCs/>
          <w:lang w:val="es-ES_tradnl"/>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C119EF">
        <w:rPr>
          <w:rFonts w:eastAsia="Calibri" w:cs="Tahoma"/>
          <w:b/>
          <w:bCs/>
          <w:lang w:val="es-ES_tradnl"/>
        </w:rPr>
        <w:t>los nombres de aquellos que reciben recursos públicos (proveedores</w:t>
      </w:r>
      <w:r w:rsidR="0049651D">
        <w:rPr>
          <w:rFonts w:eastAsia="Calibri" w:cs="Tahoma"/>
          <w:b/>
          <w:bCs/>
          <w:lang w:val="es-ES_tradnl"/>
        </w:rPr>
        <w:t xml:space="preserve"> o contratistas</w:t>
      </w:r>
      <w:r w:rsidRPr="00C119EF">
        <w:rPr>
          <w:rFonts w:eastAsia="Calibri" w:cs="Tahoma"/>
          <w:b/>
          <w:bCs/>
          <w:lang w:val="es-ES_tradnl"/>
        </w:rPr>
        <w:t>),</w:t>
      </w:r>
      <w:r w:rsidRPr="00C119EF">
        <w:rPr>
          <w:rFonts w:eastAsia="Calibri" w:cs="Tahoma"/>
          <w:bCs/>
          <w:lang w:val="es-ES_tradnl"/>
        </w:rPr>
        <w:t xml:space="preserve"> ya que la difusión de dicho dato constituye una obligación de transparencia por parte de los sujetos obligados.</w:t>
      </w:r>
    </w:p>
    <w:p w14:paraId="456C0170" w14:textId="77777777" w:rsidR="007427D1" w:rsidRPr="00C119EF" w:rsidRDefault="007427D1" w:rsidP="0049651D">
      <w:pPr>
        <w:spacing w:after="0" w:line="360" w:lineRule="auto"/>
        <w:ind w:right="-93"/>
        <w:rPr>
          <w:rFonts w:eastAsia="Calibri" w:cs="Tahoma"/>
          <w:bCs/>
          <w:lang w:val="es-ES_tradnl"/>
        </w:rPr>
      </w:pPr>
    </w:p>
    <w:p w14:paraId="5B7FF389" w14:textId="77777777" w:rsidR="007427D1" w:rsidRPr="00C119EF" w:rsidRDefault="007427D1" w:rsidP="0049651D">
      <w:pPr>
        <w:spacing w:after="0" w:line="360" w:lineRule="auto"/>
        <w:ind w:right="-93"/>
        <w:rPr>
          <w:rFonts w:eastAsia="Calibri" w:cs="Tahoma"/>
          <w:b/>
          <w:bCs/>
          <w:lang w:val="es-ES_tradnl"/>
        </w:rPr>
      </w:pPr>
      <w:r w:rsidRPr="00C119EF">
        <w:rPr>
          <w:rFonts w:eastAsia="Calibri" w:cs="Tahoma"/>
          <w:bCs/>
          <w:lang w:val="es-ES_tradnl"/>
        </w:rPr>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C119EF">
        <w:rPr>
          <w:rFonts w:eastAsia="Calibri" w:cs="Tahoma"/>
          <w:b/>
          <w:bCs/>
          <w:lang w:val="es-ES_tradnl"/>
        </w:rPr>
        <w:t>Padrón de proveedores y contratistas.</w:t>
      </w:r>
    </w:p>
    <w:p w14:paraId="56AEC468" w14:textId="77777777" w:rsidR="007427D1" w:rsidRPr="00C119EF" w:rsidRDefault="007427D1" w:rsidP="0049651D">
      <w:pPr>
        <w:spacing w:after="0" w:line="360" w:lineRule="auto"/>
        <w:ind w:right="-93"/>
        <w:rPr>
          <w:rFonts w:eastAsia="Calibri" w:cs="Tahoma"/>
          <w:b/>
          <w:bCs/>
          <w:lang w:val="es-ES_tradnl"/>
        </w:rPr>
      </w:pPr>
    </w:p>
    <w:p w14:paraId="09B1AA5E" w14:textId="77777777" w:rsidR="007427D1" w:rsidRPr="00C119EF" w:rsidRDefault="007427D1" w:rsidP="0049651D">
      <w:pPr>
        <w:spacing w:after="0" w:line="360" w:lineRule="auto"/>
        <w:ind w:right="-93"/>
        <w:rPr>
          <w:rFonts w:eastAsia="Calibri" w:cs="Tahoma"/>
          <w:bCs/>
          <w:lang w:val="es-ES_tradnl"/>
        </w:rPr>
      </w:pPr>
      <w:r w:rsidRPr="00C119EF">
        <w:rPr>
          <w:rFonts w:eastAsia="Calibri" w:cs="Tahoma"/>
          <w:bCs/>
          <w:lang w:val="es-ES_tradnl"/>
        </w:rPr>
        <w:lastRenderedPageBreak/>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FE190CA" w14:textId="77777777" w:rsidR="007427D1" w:rsidRPr="00C119EF" w:rsidRDefault="007427D1" w:rsidP="0049651D">
      <w:pPr>
        <w:spacing w:after="0" w:line="360" w:lineRule="auto"/>
        <w:ind w:right="-93"/>
        <w:rPr>
          <w:rFonts w:eastAsia="Calibri" w:cs="Tahoma"/>
          <w:bCs/>
          <w:lang w:val="es-ES_tradnl"/>
        </w:rPr>
      </w:pPr>
    </w:p>
    <w:p w14:paraId="0B7CA1E0" w14:textId="77777777" w:rsidR="007427D1" w:rsidRPr="00C119EF" w:rsidRDefault="007427D1" w:rsidP="0049651D">
      <w:pPr>
        <w:spacing w:after="0" w:line="360" w:lineRule="auto"/>
        <w:ind w:right="-93"/>
        <w:rPr>
          <w:rFonts w:eastAsia="Calibri" w:cs="Tahoma"/>
          <w:b/>
          <w:bCs/>
          <w:lang w:val="es-ES_tradnl"/>
        </w:rPr>
      </w:pPr>
      <w:r w:rsidRPr="00C119EF">
        <w:rPr>
          <w:rFonts w:ascii="Times New Roman" w:eastAsia="Times New Roman" w:hAnsi="Times New Roman" w:cs="Times New Roman"/>
          <w:noProof/>
          <w:sz w:val="20"/>
          <w:szCs w:val="20"/>
        </w:rPr>
        <w:drawing>
          <wp:inline distT="0" distB="0" distL="0" distR="0" wp14:anchorId="0118CE20" wp14:editId="2FA8594C">
            <wp:extent cx="5743575" cy="752475"/>
            <wp:effectExtent l="0" t="0" r="9525" b="9525"/>
            <wp:docPr id="115905814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a:extLst>
                        <a:ext uri="{28A0092B-C50C-407E-A947-70E740481C1C}">
                          <a14:useLocalDpi xmlns:a14="http://schemas.microsoft.com/office/drawing/2010/main" val="0"/>
                        </a:ext>
                      </a:extLst>
                    </a:blip>
                    <a:srcRect b="84505"/>
                    <a:stretch>
                      <a:fillRect/>
                    </a:stretch>
                  </pic:blipFill>
                  <pic:spPr bwMode="auto">
                    <a:xfrm>
                      <a:off x="0" y="0"/>
                      <a:ext cx="5743575" cy="752475"/>
                    </a:xfrm>
                    <a:prstGeom prst="rect">
                      <a:avLst/>
                    </a:prstGeom>
                    <a:noFill/>
                    <a:ln>
                      <a:noFill/>
                    </a:ln>
                  </pic:spPr>
                </pic:pic>
              </a:graphicData>
            </a:graphic>
          </wp:inline>
        </w:drawing>
      </w:r>
    </w:p>
    <w:p w14:paraId="475AD808" w14:textId="77777777" w:rsidR="007427D1" w:rsidRPr="00C119EF" w:rsidRDefault="007427D1" w:rsidP="0049651D">
      <w:pPr>
        <w:spacing w:after="0" w:line="360" w:lineRule="auto"/>
        <w:ind w:right="-93"/>
        <w:rPr>
          <w:rFonts w:eastAsia="Calibri" w:cs="Tahoma"/>
          <w:b/>
          <w:bCs/>
          <w:lang w:val="es-ES_tradnl"/>
        </w:rPr>
      </w:pPr>
      <w:r w:rsidRPr="00C119EF">
        <w:rPr>
          <w:rFonts w:ascii="Times New Roman" w:eastAsia="Times New Roman" w:hAnsi="Times New Roman" w:cs="Times New Roman"/>
          <w:noProof/>
          <w:sz w:val="20"/>
          <w:szCs w:val="20"/>
        </w:rPr>
        <w:drawing>
          <wp:inline distT="0" distB="0" distL="0" distR="0" wp14:anchorId="687690E0" wp14:editId="27A0C5AB">
            <wp:extent cx="5743575" cy="495300"/>
            <wp:effectExtent l="0" t="0" r="9525"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a:extLst>
                        <a:ext uri="{28A0092B-C50C-407E-A947-70E740481C1C}">
                          <a14:useLocalDpi xmlns:a14="http://schemas.microsoft.com/office/drawing/2010/main" val="0"/>
                        </a:ext>
                      </a:extLst>
                    </a:blip>
                    <a:srcRect t="89838" b="-38"/>
                    <a:stretch>
                      <a:fillRect/>
                    </a:stretch>
                  </pic:blipFill>
                  <pic:spPr bwMode="auto">
                    <a:xfrm>
                      <a:off x="0" y="0"/>
                      <a:ext cx="5743575" cy="495300"/>
                    </a:xfrm>
                    <a:prstGeom prst="rect">
                      <a:avLst/>
                    </a:prstGeom>
                    <a:noFill/>
                    <a:ln>
                      <a:noFill/>
                    </a:ln>
                  </pic:spPr>
                </pic:pic>
              </a:graphicData>
            </a:graphic>
          </wp:inline>
        </w:drawing>
      </w:r>
    </w:p>
    <w:p w14:paraId="031E7397" w14:textId="77777777" w:rsidR="007427D1" w:rsidRPr="00C119EF" w:rsidRDefault="007427D1" w:rsidP="0049651D">
      <w:pPr>
        <w:spacing w:after="0" w:line="360" w:lineRule="auto"/>
        <w:ind w:right="-93"/>
        <w:rPr>
          <w:rFonts w:eastAsia="Calibri" w:cs="Tahoma"/>
          <w:b/>
          <w:bCs/>
          <w:lang w:val="es-ES_tradnl"/>
        </w:rPr>
      </w:pPr>
    </w:p>
    <w:p w14:paraId="424522AD" w14:textId="77777777" w:rsidR="007427D1" w:rsidRPr="00C119EF" w:rsidRDefault="007427D1" w:rsidP="0049651D">
      <w:pPr>
        <w:spacing w:after="0" w:line="360" w:lineRule="auto"/>
        <w:ind w:right="-93"/>
        <w:rPr>
          <w:rFonts w:eastAsia="Calibri" w:cs="Tahoma"/>
          <w:b/>
          <w:bCs/>
          <w:lang w:val="es-ES_tradnl"/>
        </w:rPr>
      </w:pPr>
      <w:r w:rsidRPr="00C119EF">
        <w:rPr>
          <w:rFonts w:eastAsia="Calibri" w:cs="Tahoma"/>
          <w:bCs/>
          <w:lang w:val="es-ES_tradnl"/>
        </w:rPr>
        <w:t xml:space="preserve">Por lo tanto, la Ley de Transparencia y Acceso a la Información Pública del Estado de México y Municipios, considera que </w:t>
      </w:r>
      <w:r w:rsidRPr="00C119EF">
        <w:rPr>
          <w:rFonts w:eastAsia="Calibri" w:cs="Tahoma"/>
          <w:b/>
          <w:bCs/>
          <w:lang w:val="es-ES_tradnl"/>
        </w:rPr>
        <w:t xml:space="preserve">los datos de aquellas personas que recibieron recursos públicos, por regla general, </w:t>
      </w:r>
      <w:r w:rsidRPr="00C119EF">
        <w:rPr>
          <w:rFonts w:eastAsia="Calibri" w:cs="Tahoma"/>
          <w:bCs/>
          <w:lang w:val="es-ES_tradnl"/>
        </w:rPr>
        <w:t xml:space="preserve">son de naturaleza pública, ya que su publicidad orienta a cumplir los objetivos que persigue la Ley; toda vez, </w:t>
      </w:r>
      <w:r w:rsidRPr="00C119EF">
        <w:rPr>
          <w:rFonts w:eastAsia="Calibri" w:cs="Tahoma"/>
          <w:b/>
          <w:bCs/>
          <w:lang w:val="es-ES_tradnl"/>
        </w:rPr>
        <w:t>que ayuda a transparentar a quienes se les han otorgado recursos públicos, así como, porque razones se les otorgaron dichos montos.</w:t>
      </w:r>
    </w:p>
    <w:p w14:paraId="715010E0" w14:textId="77777777" w:rsidR="007427D1" w:rsidRPr="00C119EF" w:rsidRDefault="007427D1" w:rsidP="0049651D">
      <w:pPr>
        <w:spacing w:after="0" w:line="360" w:lineRule="auto"/>
        <w:rPr>
          <w:rFonts w:eastAsia="Calibri" w:cs="Tahoma"/>
          <w:b/>
          <w:bCs/>
        </w:rPr>
      </w:pPr>
    </w:p>
    <w:p w14:paraId="27A463E7" w14:textId="4C0B669E" w:rsidR="007427D1" w:rsidRDefault="007427D1" w:rsidP="0049651D">
      <w:pPr>
        <w:spacing w:after="0" w:line="360" w:lineRule="auto"/>
        <w:rPr>
          <w:rFonts w:eastAsia="Calibri" w:cs="Tahoma"/>
          <w:bCs/>
        </w:rPr>
      </w:pPr>
      <w:r w:rsidRPr="00C119EF">
        <w:rPr>
          <w:rFonts w:eastAsia="Calibri" w:cs="Tahoma"/>
          <w:bCs/>
        </w:rPr>
        <w:t>Por lo que, se considera que no procede la clasificación del nombre de los proveedores</w:t>
      </w:r>
      <w:r w:rsidR="0049651D">
        <w:rPr>
          <w:rFonts w:eastAsia="Calibri" w:cs="Tahoma"/>
          <w:bCs/>
        </w:rPr>
        <w:t xml:space="preserve"> o contratistas</w:t>
      </w:r>
      <w:r w:rsidRPr="00C119EF">
        <w:rPr>
          <w:rFonts w:eastAsia="Calibri" w:cs="Tahoma"/>
          <w:bCs/>
        </w:rPr>
        <w:t>, en términos del artículo 143, fracción I de la Ley de Transparencia y Acceso a la Información Pública del Estado de México y Municipios.</w:t>
      </w:r>
    </w:p>
    <w:p w14:paraId="624083F2" w14:textId="77777777" w:rsidR="00AE3106" w:rsidRDefault="00AE3106" w:rsidP="0049651D">
      <w:pPr>
        <w:spacing w:after="0" w:line="360" w:lineRule="auto"/>
        <w:rPr>
          <w:rFonts w:eastAsia="Calibri" w:cs="Tahoma"/>
          <w:bCs/>
        </w:rPr>
      </w:pPr>
    </w:p>
    <w:p w14:paraId="768C436E" w14:textId="167FCD9B" w:rsidR="00C34ACB" w:rsidRDefault="00C34ACB" w:rsidP="0049651D">
      <w:pPr>
        <w:spacing w:after="0" w:line="360" w:lineRule="auto"/>
        <w:rPr>
          <w:rFonts w:eastAsia="Calibri" w:cs="Tahoma"/>
          <w:bCs/>
        </w:rPr>
      </w:pPr>
      <w:r>
        <w:rPr>
          <w:rFonts w:eastAsia="Calibri" w:cs="Tahoma"/>
          <w:bCs/>
        </w:rPr>
        <w:t xml:space="preserve">Por lo que hace a los participantes que no ganaron un proceso de adjudicación también será público, pues forma parte de la </w:t>
      </w:r>
      <w:r w:rsidR="0049651D">
        <w:rPr>
          <w:rFonts w:eastAsia="Calibri" w:cs="Tahoma"/>
          <w:bCs/>
        </w:rPr>
        <w:t xml:space="preserve">obligación de transparencia establecida en el artículo 92, </w:t>
      </w:r>
      <w:r w:rsidR="0049651D">
        <w:rPr>
          <w:rFonts w:eastAsia="Calibri" w:cs="Tahoma"/>
          <w:bCs/>
        </w:rPr>
        <w:lastRenderedPageBreak/>
        <w:t>fracción XXIX, de la Ley de Transparencia y Acceso a la Información Pública del Estado de México y Municipios.</w:t>
      </w:r>
    </w:p>
    <w:p w14:paraId="71A3BCA1" w14:textId="77777777" w:rsidR="00C34ACB" w:rsidRPr="00840809" w:rsidRDefault="00C34ACB" w:rsidP="0049651D">
      <w:pPr>
        <w:spacing w:after="0" w:line="360" w:lineRule="auto"/>
        <w:rPr>
          <w:rFonts w:eastAsia="Calibri" w:cs="Tahoma"/>
          <w:bCs/>
        </w:rPr>
      </w:pPr>
    </w:p>
    <w:p w14:paraId="68995893" w14:textId="61B22DB2" w:rsidR="007427D1" w:rsidRPr="00C119EF" w:rsidRDefault="007427D1" w:rsidP="0049651D">
      <w:pPr>
        <w:numPr>
          <w:ilvl w:val="0"/>
          <w:numId w:val="4"/>
        </w:numPr>
        <w:spacing w:after="0" w:line="360" w:lineRule="auto"/>
        <w:contextualSpacing/>
        <w:jc w:val="left"/>
        <w:rPr>
          <w:rFonts w:eastAsia="Calibri" w:cs="Tahoma"/>
          <w:b/>
          <w:bCs/>
        </w:rPr>
      </w:pPr>
      <w:r w:rsidRPr="00C119EF">
        <w:rPr>
          <w:rFonts w:eastAsia="Calibri" w:cs="Tahoma"/>
          <w:b/>
          <w:bCs/>
        </w:rPr>
        <w:t>Denominación o razón Social de proveedores</w:t>
      </w:r>
      <w:r w:rsidR="0049651D">
        <w:rPr>
          <w:rFonts w:eastAsia="Calibri" w:cs="Tahoma"/>
          <w:b/>
          <w:bCs/>
        </w:rPr>
        <w:t xml:space="preserve"> o contratistas</w:t>
      </w:r>
      <w:r w:rsidRPr="00C119EF">
        <w:rPr>
          <w:rFonts w:eastAsia="Calibri" w:cs="Tahoma"/>
          <w:b/>
          <w:bCs/>
        </w:rPr>
        <w:t xml:space="preserve"> personas morales.</w:t>
      </w:r>
    </w:p>
    <w:p w14:paraId="5DE8006D" w14:textId="77777777" w:rsidR="007427D1" w:rsidRPr="00C119EF" w:rsidRDefault="007427D1" w:rsidP="0049651D">
      <w:pPr>
        <w:spacing w:after="0" w:line="360" w:lineRule="auto"/>
        <w:rPr>
          <w:rFonts w:eastAsia="Calibri" w:cs="Tahoma"/>
          <w:b/>
          <w:bCs/>
        </w:rPr>
      </w:pPr>
    </w:p>
    <w:p w14:paraId="28654D8F" w14:textId="77777777" w:rsidR="007427D1" w:rsidRPr="00C119EF" w:rsidRDefault="007427D1" w:rsidP="0049651D">
      <w:pPr>
        <w:spacing w:after="0" w:line="360" w:lineRule="auto"/>
        <w:rPr>
          <w:rFonts w:eastAsia="Calibri" w:cs="Tahoma"/>
          <w:bCs/>
        </w:rPr>
      </w:pPr>
      <w:r w:rsidRPr="00C119EF">
        <w:rPr>
          <w:rFonts w:eastAsia="Calibri" w:cs="Tahoma"/>
          <w:bCs/>
        </w:rPr>
        <w:t xml:space="preserve">Al respecto, se considera que la denominación o razón social de una persona moral, es pública, pues dichos datos se encuentran inscritos en el Registro Público del Comercio; lo anterior, toma sustento en el </w:t>
      </w:r>
      <w:r w:rsidRPr="00C119EF">
        <w:rPr>
          <w:rFonts w:eastAsia="Calibri" w:cs="Tahoma"/>
          <w:bCs/>
          <w:lang w:val="es-ES"/>
        </w:rPr>
        <w:t xml:space="preserve">Criterio de Interpretación, de la Segunda Época, con número de registro </w:t>
      </w:r>
      <w:r w:rsidRPr="00C119EF">
        <w:rPr>
          <w:rFonts w:eastAsia="Calibri" w:cs="Tahoma"/>
          <w:bCs/>
        </w:rPr>
        <w:t>SO/008/2019, emitido por el Instituto Nacional de Transparencia, Acceso a la Información y Protección de Datos Personales, que precisa lo siguiente:</w:t>
      </w:r>
    </w:p>
    <w:p w14:paraId="515D395F" w14:textId="77777777" w:rsidR="007427D1" w:rsidRPr="00C119EF" w:rsidRDefault="007427D1" w:rsidP="0049651D">
      <w:pPr>
        <w:spacing w:after="0" w:line="360" w:lineRule="auto"/>
        <w:rPr>
          <w:rFonts w:eastAsia="Calibri" w:cs="Tahoma"/>
          <w:bCs/>
        </w:rPr>
      </w:pPr>
    </w:p>
    <w:p w14:paraId="006EC3DD" w14:textId="77777777" w:rsidR="007427D1" w:rsidRPr="00C119EF" w:rsidRDefault="007427D1" w:rsidP="0049651D">
      <w:pPr>
        <w:spacing w:after="0" w:line="360" w:lineRule="auto"/>
        <w:ind w:left="567" w:right="567"/>
        <w:rPr>
          <w:rFonts w:eastAsia="Calibri" w:cs="Tahoma"/>
          <w:bCs/>
          <w:i/>
          <w:sz w:val="20"/>
          <w:szCs w:val="20"/>
        </w:rPr>
      </w:pPr>
      <w:r w:rsidRPr="00C119EF">
        <w:rPr>
          <w:rFonts w:eastAsia="Calibri" w:cs="Tahoma"/>
          <w:b/>
          <w:bCs/>
          <w:i/>
          <w:sz w:val="20"/>
          <w:szCs w:val="20"/>
        </w:rPr>
        <w:t xml:space="preserve">“Razón social y RFC de personas morales. </w:t>
      </w:r>
      <w:r w:rsidRPr="00C119EF">
        <w:rPr>
          <w:rFonts w:eastAsia="Calibri" w:cs="Tahoma"/>
          <w:i/>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45C9A4D" w14:textId="77777777" w:rsidR="007427D1" w:rsidRPr="00C119EF" w:rsidRDefault="007427D1" w:rsidP="0049651D">
      <w:pPr>
        <w:spacing w:after="0" w:line="360" w:lineRule="auto"/>
        <w:rPr>
          <w:rFonts w:eastAsia="Calibri" w:cs="Tahoma"/>
          <w:b/>
          <w:bCs/>
        </w:rPr>
      </w:pPr>
    </w:p>
    <w:p w14:paraId="5F984B79" w14:textId="77777777" w:rsidR="007427D1" w:rsidRPr="00C119EF" w:rsidRDefault="007427D1" w:rsidP="0049651D">
      <w:pPr>
        <w:spacing w:after="0" w:line="360" w:lineRule="auto"/>
        <w:rPr>
          <w:rFonts w:eastAsia="Calibri" w:cs="Tahoma"/>
          <w:bCs/>
          <w:lang w:val="es-ES_tradnl"/>
        </w:rPr>
      </w:pPr>
      <w:r w:rsidRPr="00C119EF">
        <w:rPr>
          <w:rFonts w:eastAsia="Calibri" w:cs="Tahoma"/>
          <w:bCs/>
        </w:rPr>
        <w:t xml:space="preserve">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w:t>
      </w:r>
      <w:r w:rsidRPr="00C119EF">
        <w:rPr>
          <w:rFonts w:eastAsia="Calibri" w:cs="Tahoma"/>
          <w:bCs/>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70943B95" w14:textId="77777777" w:rsidR="007427D1" w:rsidRPr="00C119EF" w:rsidRDefault="007427D1" w:rsidP="0049651D">
      <w:pPr>
        <w:spacing w:after="0" w:line="360" w:lineRule="auto"/>
        <w:rPr>
          <w:rFonts w:eastAsia="Calibri" w:cs="Tahoma"/>
          <w:bCs/>
          <w:lang w:val="es-ES_tradnl"/>
        </w:rPr>
      </w:pPr>
    </w:p>
    <w:p w14:paraId="32A813A1" w14:textId="51342A78" w:rsidR="0049651D" w:rsidRDefault="007427D1" w:rsidP="0049651D">
      <w:pPr>
        <w:spacing w:after="0" w:line="360" w:lineRule="auto"/>
        <w:rPr>
          <w:rFonts w:eastAsia="Calibri" w:cs="Tahoma"/>
          <w:bCs/>
        </w:rPr>
      </w:pPr>
      <w:r w:rsidRPr="00C119EF">
        <w:rPr>
          <w:rFonts w:eastAsia="Calibri" w:cs="Tahoma"/>
          <w:bCs/>
          <w:lang w:val="es-ES_tradnl"/>
        </w:rPr>
        <w:lastRenderedPageBreak/>
        <w:t xml:space="preserve">Por lo tanto, no procede la clasificación de la denominación o razón social de los proveedores </w:t>
      </w:r>
      <w:r w:rsidR="0049651D">
        <w:rPr>
          <w:rFonts w:eastAsia="Calibri" w:cs="Tahoma"/>
          <w:bCs/>
          <w:lang w:val="es-ES_tradnl"/>
        </w:rPr>
        <w:t xml:space="preserve">o contratistas </w:t>
      </w:r>
      <w:r w:rsidRPr="00C119EF">
        <w:rPr>
          <w:rFonts w:eastAsia="Calibri" w:cs="Tahoma"/>
          <w:bCs/>
          <w:lang w:val="es-ES_tradnl"/>
        </w:rPr>
        <w:t>personas morales, en términos del artículo 143, fracción I de la Ley de Transparencia y Acceso a la Información Pública del Estado de México y Municipios</w:t>
      </w:r>
      <w:r w:rsidR="0049651D">
        <w:rPr>
          <w:rFonts w:eastAsia="Calibri" w:cs="Tahoma"/>
          <w:bCs/>
          <w:lang w:val="es-ES_tradnl"/>
        </w:rPr>
        <w:t xml:space="preserve">; como ya se analizó previamente, la misma suerte corre el nombre de los participantes, tomando en consideración que forma parte </w:t>
      </w:r>
      <w:r w:rsidR="0049651D">
        <w:rPr>
          <w:rFonts w:eastAsia="Calibri" w:cs="Tahoma"/>
          <w:bCs/>
        </w:rPr>
        <w:t>de la obligación de transparencia establecida en el artículo 92, fracción XXIX, de la Ley de Transparencia y Acceso a la Información Pública del Estado de México y Municipios.</w:t>
      </w:r>
    </w:p>
    <w:p w14:paraId="01BEA464" w14:textId="7505C41A" w:rsidR="007427D1" w:rsidRPr="00C119EF" w:rsidRDefault="007427D1" w:rsidP="0049651D">
      <w:pPr>
        <w:spacing w:after="0" w:line="360" w:lineRule="auto"/>
        <w:rPr>
          <w:rFonts w:eastAsia="Calibri" w:cs="Tahoma"/>
          <w:bCs/>
        </w:rPr>
      </w:pPr>
    </w:p>
    <w:p w14:paraId="08A99684" w14:textId="77777777" w:rsidR="007427D1" w:rsidRDefault="007427D1" w:rsidP="0049651D">
      <w:pPr>
        <w:numPr>
          <w:ilvl w:val="0"/>
          <w:numId w:val="11"/>
        </w:numPr>
        <w:pBdr>
          <w:top w:val="nil"/>
          <w:left w:val="nil"/>
          <w:bottom w:val="nil"/>
          <w:right w:val="nil"/>
          <w:between w:val="nil"/>
        </w:pBdr>
        <w:spacing w:after="0" w:line="360" w:lineRule="auto"/>
        <w:jc w:val="left"/>
        <w:rPr>
          <w:b/>
          <w:color w:val="000000"/>
        </w:rPr>
      </w:pPr>
      <w:r>
        <w:rPr>
          <w:b/>
          <w:color w:val="000000"/>
        </w:rPr>
        <w:t>Registro Federal de Contribuyentes del proveedor o contratista</w:t>
      </w:r>
    </w:p>
    <w:p w14:paraId="6CFFFB4A" w14:textId="77777777" w:rsidR="007427D1" w:rsidRDefault="007427D1" w:rsidP="0049651D">
      <w:pPr>
        <w:spacing w:after="0" w:line="360" w:lineRule="auto"/>
        <w:rPr>
          <w:color w:val="000000"/>
        </w:rPr>
      </w:pPr>
    </w:p>
    <w:p w14:paraId="3358436B" w14:textId="77777777" w:rsidR="007427D1" w:rsidRDefault="007427D1" w:rsidP="0049651D">
      <w:pPr>
        <w:spacing w:after="0" w:line="360" w:lineRule="auto"/>
        <w:rPr>
          <w:b/>
          <w:color w:val="000000"/>
        </w:rPr>
      </w:pPr>
      <w:r>
        <w:rPr>
          <w:b/>
          <w:color w:val="000000"/>
        </w:rPr>
        <w:t>Persona física</w:t>
      </w:r>
    </w:p>
    <w:p w14:paraId="5C1F2447" w14:textId="77777777" w:rsidR="007427D1" w:rsidRDefault="007427D1" w:rsidP="0049651D">
      <w:pPr>
        <w:spacing w:after="0" w:line="360" w:lineRule="auto"/>
        <w:rPr>
          <w:color w:val="000000"/>
        </w:rPr>
      </w:pPr>
    </w:p>
    <w:p w14:paraId="31BFB1C7" w14:textId="77777777" w:rsidR="007427D1" w:rsidRDefault="007427D1" w:rsidP="0049651D">
      <w:pPr>
        <w:spacing w:after="0" w:line="360" w:lineRule="auto"/>
        <w:rPr>
          <w:color w:val="000000"/>
        </w:rPr>
      </w:pPr>
      <w:r>
        <w:rPr>
          <w:color w:val="000000"/>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2213EE0B" w14:textId="77777777" w:rsidR="007427D1" w:rsidRDefault="007427D1" w:rsidP="0049651D">
      <w:pPr>
        <w:spacing w:after="0" w:line="360" w:lineRule="auto"/>
        <w:rPr>
          <w:color w:val="000000"/>
        </w:rPr>
      </w:pPr>
    </w:p>
    <w:p w14:paraId="719FF229" w14:textId="77777777" w:rsidR="007427D1" w:rsidRDefault="007427D1" w:rsidP="0049651D">
      <w:pPr>
        <w:spacing w:after="0" w:line="360" w:lineRule="auto"/>
        <w:rPr>
          <w:color w:val="000000"/>
        </w:rPr>
      </w:pPr>
      <w:r>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221B4B55" w14:textId="77777777" w:rsidR="007427D1" w:rsidRDefault="007427D1" w:rsidP="0049651D">
      <w:pPr>
        <w:spacing w:after="0" w:line="360" w:lineRule="auto"/>
        <w:rPr>
          <w:color w:val="000000"/>
        </w:rPr>
      </w:pPr>
      <w:r>
        <w:rPr>
          <w:color w:val="000000"/>
        </w:rPr>
        <w:lastRenderedPageBreak/>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0C25BEB8" w14:textId="77777777" w:rsidR="007427D1" w:rsidRDefault="007427D1" w:rsidP="0049651D">
      <w:pPr>
        <w:spacing w:after="0" w:line="360" w:lineRule="auto"/>
        <w:rPr>
          <w:color w:val="000000"/>
        </w:rPr>
      </w:pPr>
    </w:p>
    <w:p w14:paraId="1F124D39" w14:textId="77777777" w:rsidR="007427D1" w:rsidRDefault="007427D1" w:rsidP="0049651D">
      <w:pPr>
        <w:tabs>
          <w:tab w:val="center" w:pos="4522"/>
        </w:tabs>
        <w:spacing w:after="0" w:line="360" w:lineRule="auto"/>
        <w:rPr>
          <w:color w:val="000000"/>
        </w:rPr>
      </w:pPr>
      <w:r>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1C2935E9" w14:textId="77777777" w:rsidR="007427D1" w:rsidRDefault="007427D1" w:rsidP="0049651D">
      <w:pPr>
        <w:tabs>
          <w:tab w:val="center" w:pos="4522"/>
        </w:tabs>
        <w:spacing w:after="0" w:line="360" w:lineRule="auto"/>
        <w:rPr>
          <w:color w:val="000000"/>
        </w:rPr>
      </w:pPr>
    </w:p>
    <w:p w14:paraId="7405F9F1" w14:textId="77777777" w:rsidR="007427D1" w:rsidRDefault="007427D1" w:rsidP="0049651D">
      <w:pPr>
        <w:tabs>
          <w:tab w:val="center" w:pos="4522"/>
        </w:tabs>
        <w:spacing w:after="0" w:line="360" w:lineRule="auto"/>
        <w:ind w:left="567" w:right="567"/>
        <w:rPr>
          <w:i/>
          <w:color w:val="000000"/>
          <w:sz w:val="20"/>
          <w:szCs w:val="20"/>
        </w:rPr>
      </w:pPr>
      <w:r>
        <w:rPr>
          <w:b/>
          <w:i/>
          <w:color w:val="000000"/>
          <w:sz w:val="20"/>
          <w:szCs w:val="20"/>
        </w:rPr>
        <w:t xml:space="preserve">“Registro Federal de Contribuyentes (RFC) de personas físicas proveedores o contratistas. </w:t>
      </w:r>
      <w:r>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4528BA3" w14:textId="77777777" w:rsidR="007427D1" w:rsidRDefault="007427D1" w:rsidP="0049651D">
      <w:pPr>
        <w:tabs>
          <w:tab w:val="center" w:pos="4522"/>
        </w:tabs>
        <w:spacing w:after="0" w:line="360" w:lineRule="auto"/>
        <w:rPr>
          <w:color w:val="000000"/>
        </w:rPr>
      </w:pPr>
    </w:p>
    <w:p w14:paraId="0DC3B413" w14:textId="77777777" w:rsidR="007427D1" w:rsidRDefault="007427D1" w:rsidP="0049651D">
      <w:pPr>
        <w:tabs>
          <w:tab w:val="center" w:pos="4522"/>
        </w:tabs>
        <w:spacing w:after="0" w:line="360" w:lineRule="auto"/>
        <w:rPr>
          <w:color w:val="000000"/>
        </w:rPr>
      </w:pPr>
      <w:r>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2344D63E" w14:textId="77777777" w:rsidR="0049651D" w:rsidRDefault="0049651D" w:rsidP="0049651D">
      <w:pPr>
        <w:tabs>
          <w:tab w:val="center" w:pos="4522"/>
        </w:tabs>
        <w:spacing w:after="0" w:line="360" w:lineRule="auto"/>
        <w:rPr>
          <w:color w:val="000000"/>
        </w:rPr>
      </w:pPr>
    </w:p>
    <w:p w14:paraId="62CDDD69" w14:textId="1EB0C5A4" w:rsidR="0049651D" w:rsidRDefault="0049651D" w:rsidP="0049651D">
      <w:pPr>
        <w:tabs>
          <w:tab w:val="center" w:pos="4522"/>
        </w:tabs>
        <w:spacing w:after="0" w:line="360" w:lineRule="auto"/>
        <w:rPr>
          <w:b/>
          <w:color w:val="000000"/>
          <w:u w:val="single"/>
        </w:rPr>
      </w:pPr>
      <w:r>
        <w:rPr>
          <w:color w:val="000000"/>
        </w:rPr>
        <w:t xml:space="preserve">Ahora bien, para el caso de participantes que no ganaron el procedimiento de adjudicación, es necesario señalar que estos no recibieron recursos públicos, ni generaron alguna </w:t>
      </w:r>
      <w:r>
        <w:rPr>
          <w:color w:val="000000"/>
        </w:rPr>
        <w:lastRenderedPageBreak/>
        <w:t>obligación contractual con el Sujeto Obligado, por lo que, se considera que su Registro Federal de Contribuyentes es clasificado, en términos del artículo señalado en el párrafo anterior.</w:t>
      </w:r>
    </w:p>
    <w:p w14:paraId="27DFF7CC" w14:textId="77777777" w:rsidR="007427D1" w:rsidRDefault="007427D1" w:rsidP="0049651D">
      <w:pPr>
        <w:tabs>
          <w:tab w:val="center" w:pos="4522"/>
        </w:tabs>
        <w:spacing w:after="0" w:line="360" w:lineRule="auto"/>
        <w:rPr>
          <w:b/>
          <w:color w:val="000000"/>
        </w:rPr>
      </w:pPr>
    </w:p>
    <w:p w14:paraId="56321E1B" w14:textId="77777777" w:rsidR="007427D1" w:rsidRDefault="007427D1" w:rsidP="0049651D">
      <w:pPr>
        <w:tabs>
          <w:tab w:val="center" w:pos="4522"/>
        </w:tabs>
        <w:spacing w:after="0" w:line="360" w:lineRule="auto"/>
        <w:rPr>
          <w:b/>
          <w:color w:val="000000"/>
        </w:rPr>
      </w:pPr>
      <w:r>
        <w:rPr>
          <w:b/>
          <w:color w:val="000000"/>
        </w:rPr>
        <w:t>Persona Moral</w:t>
      </w:r>
    </w:p>
    <w:p w14:paraId="5BB9D935" w14:textId="77777777" w:rsidR="007427D1" w:rsidRDefault="007427D1" w:rsidP="0049651D">
      <w:pPr>
        <w:tabs>
          <w:tab w:val="center" w:pos="4522"/>
        </w:tabs>
        <w:spacing w:after="0" w:line="360" w:lineRule="auto"/>
        <w:rPr>
          <w:color w:val="000000"/>
        </w:rPr>
      </w:pPr>
    </w:p>
    <w:p w14:paraId="03CEB993" w14:textId="77777777" w:rsidR="007427D1" w:rsidRDefault="007427D1" w:rsidP="0049651D">
      <w:pPr>
        <w:tabs>
          <w:tab w:val="center" w:pos="4522"/>
        </w:tabs>
        <w:spacing w:after="0" w:line="360" w:lineRule="auto"/>
        <w:rPr>
          <w:color w:val="000000"/>
        </w:rPr>
      </w:pPr>
      <w:r>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2CB1DE6C" w14:textId="77777777" w:rsidR="007427D1" w:rsidRDefault="007427D1" w:rsidP="0049651D">
      <w:pPr>
        <w:tabs>
          <w:tab w:val="center" w:pos="4522"/>
        </w:tabs>
        <w:spacing w:after="0" w:line="360" w:lineRule="auto"/>
        <w:rPr>
          <w:color w:val="000000"/>
        </w:rPr>
      </w:pPr>
    </w:p>
    <w:p w14:paraId="3EAE9A8B" w14:textId="77777777" w:rsidR="007427D1" w:rsidRDefault="007427D1" w:rsidP="0049651D">
      <w:pPr>
        <w:tabs>
          <w:tab w:val="center" w:pos="4522"/>
        </w:tabs>
        <w:spacing w:after="0" w:line="360" w:lineRule="auto"/>
        <w:rPr>
          <w:color w:val="000000"/>
        </w:rPr>
      </w:pPr>
      <w:r>
        <w:rPr>
          <w:color w:val="000000"/>
        </w:rPr>
        <w:t>Por ende, la información correspondiente al Registro Federal de Contribuyentes de una persona moral da cuenta del cumplimiento o no en sus obligaciones fiscales; por tanto, no se actualiza su clasificación como confidencial.</w:t>
      </w:r>
    </w:p>
    <w:p w14:paraId="4B6BA102" w14:textId="77777777" w:rsidR="007427D1" w:rsidRDefault="007427D1" w:rsidP="0049651D">
      <w:pPr>
        <w:tabs>
          <w:tab w:val="center" w:pos="4522"/>
        </w:tabs>
        <w:spacing w:after="0" w:line="360" w:lineRule="auto"/>
        <w:rPr>
          <w:color w:val="000000"/>
        </w:rPr>
      </w:pPr>
    </w:p>
    <w:p w14:paraId="7B0CB3BF" w14:textId="77777777" w:rsidR="007427D1" w:rsidRDefault="007427D1" w:rsidP="0049651D">
      <w:pPr>
        <w:tabs>
          <w:tab w:val="center" w:pos="4522"/>
        </w:tabs>
        <w:spacing w:after="0" w:line="360" w:lineRule="auto"/>
        <w:rPr>
          <w:color w:val="000000"/>
        </w:rPr>
      </w:pPr>
      <w:r>
        <w:rPr>
          <w:color w:val="000000"/>
        </w:rPr>
        <w:t xml:space="preserve">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w:t>
      </w:r>
      <w:r>
        <w:rPr>
          <w:color w:val="000000"/>
        </w:rPr>
        <w:lastRenderedPageBreak/>
        <w:t>es público, al no referir a hechos o actos de carácter económico, contable, jurídico o administrativo que sean útiles o representen una ventaja a sus competidores.</w:t>
      </w:r>
    </w:p>
    <w:p w14:paraId="134F5F26" w14:textId="77777777" w:rsidR="0049651D" w:rsidRDefault="0049651D" w:rsidP="0049651D">
      <w:pPr>
        <w:tabs>
          <w:tab w:val="center" w:pos="4522"/>
        </w:tabs>
        <w:spacing w:after="0" w:line="360" w:lineRule="auto"/>
        <w:rPr>
          <w:color w:val="000000"/>
        </w:rPr>
      </w:pPr>
    </w:p>
    <w:p w14:paraId="3158A76A" w14:textId="77777777" w:rsidR="007427D1" w:rsidRDefault="007427D1" w:rsidP="0049651D">
      <w:pPr>
        <w:tabs>
          <w:tab w:val="center" w:pos="4522"/>
        </w:tabs>
        <w:spacing w:after="0" w:line="360" w:lineRule="auto"/>
        <w:rPr>
          <w:color w:val="000000"/>
        </w:rPr>
      </w:pPr>
      <w:r>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523B412B" w14:textId="77777777" w:rsidR="0049651D" w:rsidRDefault="0049651D" w:rsidP="0049651D">
      <w:pPr>
        <w:tabs>
          <w:tab w:val="center" w:pos="4522"/>
        </w:tabs>
        <w:spacing w:after="0" w:line="360" w:lineRule="auto"/>
        <w:rPr>
          <w:color w:val="000000"/>
        </w:rPr>
      </w:pPr>
    </w:p>
    <w:p w14:paraId="5AB9605E" w14:textId="46663B2F" w:rsidR="0049651D" w:rsidRDefault="0049651D" w:rsidP="0049651D">
      <w:pPr>
        <w:tabs>
          <w:tab w:val="center" w:pos="4522"/>
        </w:tabs>
        <w:spacing w:after="0" w:line="360" w:lineRule="auto"/>
        <w:rPr>
          <w:b/>
          <w:color w:val="000000"/>
          <w:u w:val="single"/>
        </w:rPr>
      </w:pPr>
      <w:r>
        <w:rPr>
          <w:color w:val="000000"/>
        </w:rPr>
        <w:t>Ahora bien, como se analizó previamente, para el caso de participantes que no ganaron el procedimiento de adjudicación y por lo tanto, no recibieron recursos públicos, ni generaron alguna obligación contractual con el Sujeto Obligado, se considera que su Registro Federal de Contribuyentes es clasificado, en términos del artículo señalado en el párrafo anterior.</w:t>
      </w:r>
    </w:p>
    <w:p w14:paraId="311B5F41" w14:textId="77777777" w:rsidR="007427D1" w:rsidRDefault="007427D1" w:rsidP="0049651D">
      <w:pPr>
        <w:spacing w:after="0" w:line="360" w:lineRule="auto"/>
        <w:jc w:val="left"/>
        <w:rPr>
          <w:b/>
          <w:color w:val="000000"/>
        </w:rPr>
      </w:pPr>
    </w:p>
    <w:p w14:paraId="022220FA" w14:textId="77777777" w:rsidR="007427D1" w:rsidRPr="003337D2" w:rsidRDefault="007427D1" w:rsidP="0049651D">
      <w:pPr>
        <w:numPr>
          <w:ilvl w:val="0"/>
          <w:numId w:val="11"/>
        </w:numPr>
        <w:pBdr>
          <w:top w:val="nil"/>
          <w:left w:val="nil"/>
          <w:bottom w:val="nil"/>
          <w:right w:val="nil"/>
          <w:between w:val="nil"/>
        </w:pBdr>
        <w:spacing w:after="0" w:line="360" w:lineRule="auto"/>
        <w:jc w:val="left"/>
        <w:rPr>
          <w:b/>
          <w:color w:val="000000"/>
        </w:rPr>
      </w:pPr>
      <w:r w:rsidRPr="003337D2">
        <w:rPr>
          <w:b/>
          <w:color w:val="000000"/>
        </w:rPr>
        <w:t>Código Bidimensional o QR</w:t>
      </w:r>
    </w:p>
    <w:p w14:paraId="7257BA8F" w14:textId="77777777" w:rsidR="007427D1" w:rsidRPr="003337D2" w:rsidRDefault="007427D1" w:rsidP="0049651D">
      <w:pPr>
        <w:spacing w:after="0" w:line="360" w:lineRule="auto"/>
        <w:jc w:val="left"/>
        <w:rPr>
          <w:b/>
          <w:color w:val="000000"/>
        </w:rPr>
      </w:pPr>
    </w:p>
    <w:p w14:paraId="2A9CF272" w14:textId="77777777" w:rsidR="007427D1" w:rsidRPr="003337D2" w:rsidRDefault="007427D1" w:rsidP="0049651D">
      <w:pPr>
        <w:spacing w:after="0" w:line="360" w:lineRule="auto"/>
        <w:rPr>
          <w:color w:val="000000"/>
        </w:rPr>
      </w:pPr>
      <w:r w:rsidRPr="003337D2">
        <w:rPr>
          <w:color w:val="000000"/>
        </w:rPr>
        <w:t>En principio, resulta necesario señalar que los comprobantes fiscales digitales por Internet,</w:t>
      </w:r>
    </w:p>
    <w:p w14:paraId="620DB895" w14:textId="77777777" w:rsidR="007427D1" w:rsidRPr="003337D2" w:rsidRDefault="007427D1" w:rsidP="0049651D">
      <w:pPr>
        <w:spacing w:after="0" w:line="360" w:lineRule="auto"/>
        <w:rPr>
          <w:color w:val="000000"/>
        </w:rPr>
      </w:pPr>
      <w:r w:rsidRPr="003337D2">
        <w:rPr>
          <w:color w:val="000000"/>
        </w:rPr>
        <w:t>deben de incluir un código bidimensional conforme al formato QR Code (Quick Response</w:t>
      </w:r>
    </w:p>
    <w:p w14:paraId="2BC15669" w14:textId="77777777" w:rsidR="0049651D" w:rsidRDefault="007427D1" w:rsidP="0049651D">
      <w:pPr>
        <w:spacing w:after="0" w:line="360" w:lineRule="auto"/>
        <w:rPr>
          <w:color w:val="000000"/>
        </w:rPr>
      </w:pPr>
      <w:r w:rsidRPr="003337D2">
        <w:rPr>
          <w:color w:val="000000"/>
        </w:rPr>
        <w:t>Code), el cual contiene el Registro Federal de Contribuyentes del receptor, del emisor, o de</w:t>
      </w:r>
      <w:r>
        <w:rPr>
          <w:color w:val="000000"/>
        </w:rPr>
        <w:t xml:space="preserve"> </w:t>
      </w:r>
      <w:r w:rsidRPr="003337D2">
        <w:rPr>
          <w:color w:val="000000"/>
        </w:rPr>
        <w:t>ambos; lo anterior, conforme al Anexo 20 de la Segunda Resolución de modificación a la</w:t>
      </w:r>
      <w:r>
        <w:rPr>
          <w:color w:val="000000"/>
        </w:rPr>
        <w:t xml:space="preserve"> </w:t>
      </w:r>
      <w:r w:rsidRPr="003337D2">
        <w:rPr>
          <w:color w:val="000000"/>
        </w:rPr>
        <w:t>Resolución Miscelánea Fiscal. Incluso con la</w:t>
      </w:r>
      <w:r>
        <w:rPr>
          <w:color w:val="000000"/>
        </w:rPr>
        <w:t xml:space="preserve"> </w:t>
      </w:r>
      <w:r w:rsidRPr="003337D2">
        <w:rPr>
          <w:color w:val="000000"/>
        </w:rPr>
        <w:t>captura de dicho código, a través de la aplicación móvil del Servicio de Administración</w:t>
      </w:r>
      <w:r>
        <w:rPr>
          <w:color w:val="000000"/>
        </w:rPr>
        <w:t xml:space="preserve"> </w:t>
      </w:r>
      <w:r w:rsidRPr="003337D2">
        <w:rPr>
          <w:color w:val="000000"/>
        </w:rPr>
        <w:t>Tributaria, permite el acceso al Registro Federal de Contribuyentes, como del Sujeto</w:t>
      </w:r>
      <w:r>
        <w:rPr>
          <w:color w:val="000000"/>
        </w:rPr>
        <w:t xml:space="preserve"> </w:t>
      </w:r>
      <w:r w:rsidRPr="003337D2">
        <w:rPr>
          <w:color w:val="000000"/>
        </w:rPr>
        <w:t xml:space="preserve">Obligado, como del proveedor, persona física o moral. </w:t>
      </w:r>
    </w:p>
    <w:p w14:paraId="73E35D61" w14:textId="77777777" w:rsidR="0049651D" w:rsidRDefault="0049651D" w:rsidP="0049651D">
      <w:pPr>
        <w:spacing w:after="0" w:line="360" w:lineRule="auto"/>
        <w:rPr>
          <w:color w:val="000000"/>
        </w:rPr>
      </w:pPr>
    </w:p>
    <w:p w14:paraId="436F1CAC" w14:textId="5E72B23D" w:rsidR="007427D1" w:rsidRDefault="007427D1" w:rsidP="0049651D">
      <w:pPr>
        <w:spacing w:after="0" w:line="360" w:lineRule="auto"/>
        <w:rPr>
          <w:color w:val="000000"/>
        </w:rPr>
      </w:pPr>
      <w:r w:rsidRPr="003337D2">
        <w:rPr>
          <w:color w:val="000000"/>
        </w:rPr>
        <w:t>En ese orden de ideas, toda vez que</w:t>
      </w:r>
      <w:r>
        <w:rPr>
          <w:color w:val="000000"/>
        </w:rPr>
        <w:t xml:space="preserve"> </w:t>
      </w:r>
      <w:r w:rsidRPr="003337D2">
        <w:rPr>
          <w:color w:val="000000"/>
        </w:rPr>
        <w:t>el código bidimensional sólo permite el acceso al Registro Federal de Contribuyentes del</w:t>
      </w:r>
      <w:r>
        <w:rPr>
          <w:color w:val="000000"/>
        </w:rPr>
        <w:t xml:space="preserve"> </w:t>
      </w:r>
      <w:r w:rsidRPr="003337D2">
        <w:rPr>
          <w:color w:val="000000"/>
        </w:rPr>
        <w:t>proveedor</w:t>
      </w:r>
      <w:r w:rsidR="0049651D">
        <w:rPr>
          <w:color w:val="000000"/>
        </w:rPr>
        <w:t xml:space="preserve"> o contratista</w:t>
      </w:r>
      <w:r w:rsidRPr="003337D2">
        <w:rPr>
          <w:color w:val="000000"/>
        </w:rPr>
        <w:t xml:space="preserve"> y del Sujeto Obligado, los cuales guardan la naturaleza pública, se considera que</w:t>
      </w:r>
      <w:r>
        <w:rPr>
          <w:color w:val="000000"/>
        </w:rPr>
        <w:t xml:space="preserve"> </w:t>
      </w:r>
      <w:r w:rsidRPr="003337D2">
        <w:rPr>
          <w:color w:val="000000"/>
        </w:rPr>
        <w:t xml:space="preserve">no se actualiza la causal de clasificación </w:t>
      </w:r>
      <w:r w:rsidRPr="003337D2">
        <w:rPr>
          <w:color w:val="000000"/>
        </w:rPr>
        <w:lastRenderedPageBreak/>
        <w:t>prevista en el artículo 143, fracción I de la Ley de la</w:t>
      </w:r>
      <w:r>
        <w:rPr>
          <w:color w:val="000000"/>
        </w:rPr>
        <w:t xml:space="preserve"> </w:t>
      </w:r>
      <w:r w:rsidRPr="003337D2">
        <w:rPr>
          <w:color w:val="000000"/>
        </w:rPr>
        <w:t>materia, toda vez que únicamente da cuenta de datos que como se analizó en párrafos</w:t>
      </w:r>
      <w:r>
        <w:rPr>
          <w:color w:val="000000"/>
        </w:rPr>
        <w:t xml:space="preserve"> </w:t>
      </w:r>
      <w:r w:rsidRPr="003337D2">
        <w:rPr>
          <w:color w:val="000000"/>
        </w:rPr>
        <w:t>anteriores, no son susceptibles a testar.</w:t>
      </w:r>
    </w:p>
    <w:p w14:paraId="5B102455" w14:textId="77777777" w:rsidR="0049651D" w:rsidRDefault="0049651D" w:rsidP="0049651D">
      <w:pPr>
        <w:spacing w:after="0" w:line="360" w:lineRule="auto"/>
        <w:rPr>
          <w:color w:val="000000"/>
        </w:rPr>
      </w:pPr>
    </w:p>
    <w:p w14:paraId="077F14EE" w14:textId="0864997F" w:rsidR="0049651D" w:rsidRPr="003337D2" w:rsidRDefault="0049651D" w:rsidP="0049651D">
      <w:pPr>
        <w:spacing w:after="0" w:line="360" w:lineRule="auto"/>
        <w:rPr>
          <w:color w:val="000000"/>
        </w:rPr>
      </w:pPr>
      <w:r>
        <w:rPr>
          <w:color w:val="000000"/>
        </w:rPr>
        <w:t>Sin embargo, como ya se mencionó, para el caso de participantes personas físicas o morales, que no ganaron el procedimiento de adjudicación, al ser su Registro Federal de Contribuyentes clasificado, corre la misma suerte el Código Bidimensional, pues de esta manera se protege el primer dato mencionado.</w:t>
      </w:r>
    </w:p>
    <w:p w14:paraId="18ABC595" w14:textId="77777777" w:rsidR="007427D1" w:rsidRDefault="007427D1" w:rsidP="0049651D">
      <w:pPr>
        <w:spacing w:after="0" w:line="360" w:lineRule="auto"/>
        <w:jc w:val="left"/>
        <w:rPr>
          <w:b/>
          <w:color w:val="000000"/>
        </w:rPr>
      </w:pPr>
    </w:p>
    <w:p w14:paraId="10C7A977" w14:textId="77777777" w:rsidR="007427D1" w:rsidRDefault="007427D1" w:rsidP="0049651D">
      <w:pPr>
        <w:numPr>
          <w:ilvl w:val="0"/>
          <w:numId w:val="11"/>
        </w:numPr>
        <w:pBdr>
          <w:top w:val="nil"/>
          <w:left w:val="nil"/>
          <w:bottom w:val="nil"/>
          <w:right w:val="nil"/>
          <w:between w:val="nil"/>
        </w:pBdr>
        <w:spacing w:after="0" w:line="360" w:lineRule="auto"/>
        <w:jc w:val="left"/>
        <w:rPr>
          <w:b/>
          <w:color w:val="000000"/>
        </w:rPr>
      </w:pPr>
      <w:r>
        <w:rPr>
          <w:b/>
          <w:color w:val="000000"/>
        </w:rPr>
        <w:t>Domicilio Fiscal o legal para recibir y oír notificaciones (proveedor o contratista persona física o moral).</w:t>
      </w:r>
    </w:p>
    <w:p w14:paraId="56BD06E2" w14:textId="77777777" w:rsidR="007427D1" w:rsidRDefault="007427D1" w:rsidP="0049651D">
      <w:pPr>
        <w:tabs>
          <w:tab w:val="center" w:pos="4522"/>
        </w:tabs>
        <w:spacing w:after="0" w:line="360" w:lineRule="auto"/>
        <w:rPr>
          <w:color w:val="000000"/>
        </w:rPr>
      </w:pPr>
    </w:p>
    <w:p w14:paraId="2CBDDEF9" w14:textId="77777777" w:rsidR="007427D1" w:rsidRDefault="007427D1" w:rsidP="0049651D">
      <w:pPr>
        <w:tabs>
          <w:tab w:val="center" w:pos="4522"/>
        </w:tabs>
        <w:spacing w:after="0" w:line="360" w:lineRule="auto"/>
        <w:rPr>
          <w:color w:val="000000"/>
        </w:rPr>
      </w:pPr>
      <w:r>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0B1FCC41" w14:textId="77777777" w:rsidR="007427D1" w:rsidRDefault="007427D1" w:rsidP="0049651D">
      <w:pPr>
        <w:tabs>
          <w:tab w:val="center" w:pos="4522"/>
        </w:tabs>
        <w:spacing w:after="0" w:line="360" w:lineRule="auto"/>
        <w:rPr>
          <w:color w:val="000000"/>
        </w:rPr>
      </w:pPr>
    </w:p>
    <w:p w14:paraId="5DEB8C43" w14:textId="77777777" w:rsidR="007427D1" w:rsidRDefault="007427D1" w:rsidP="0049651D">
      <w:pPr>
        <w:tabs>
          <w:tab w:val="center" w:pos="4522"/>
        </w:tabs>
        <w:spacing w:after="0" w:line="360" w:lineRule="auto"/>
        <w:rPr>
          <w:color w:val="000000"/>
        </w:rPr>
      </w:pPr>
      <w:r>
        <w:rPr>
          <w:color w:val="000000"/>
        </w:rPr>
        <w:t>De la misma manera, lo establece los diversos 29 y 33 del Código Civil Federal, al precisar que el domicilio de personas físicas</w:t>
      </w:r>
      <w:r>
        <w:rPr>
          <w:b/>
          <w:color w:val="000000"/>
        </w:rPr>
        <w:t xml:space="preserve">, es el lugar donde residen habitualmente, el lugar del centro principal de sus negocios, donde residan o el lugar donde se encuentren; </w:t>
      </w:r>
      <w:r>
        <w:rPr>
          <w:color w:val="000000"/>
        </w:rPr>
        <w:t>mientras que, de las personas morales, aquel donde se halle su administración.</w:t>
      </w:r>
    </w:p>
    <w:p w14:paraId="3070DE73" w14:textId="77777777" w:rsidR="007427D1" w:rsidRDefault="007427D1" w:rsidP="0049651D">
      <w:pPr>
        <w:tabs>
          <w:tab w:val="center" w:pos="4522"/>
        </w:tabs>
        <w:spacing w:after="0" w:line="360" w:lineRule="auto"/>
        <w:rPr>
          <w:b/>
          <w:color w:val="000000"/>
        </w:rPr>
      </w:pPr>
    </w:p>
    <w:p w14:paraId="7512C222" w14:textId="77777777" w:rsidR="007427D1" w:rsidRDefault="007427D1" w:rsidP="0049651D">
      <w:pPr>
        <w:tabs>
          <w:tab w:val="center" w:pos="4522"/>
        </w:tabs>
        <w:spacing w:after="0" w:line="360" w:lineRule="auto"/>
        <w:rPr>
          <w:color w:val="000000"/>
        </w:rPr>
      </w:pPr>
      <w:r>
        <w:rPr>
          <w:color w:val="000000"/>
        </w:rPr>
        <w:t>Además, respecto al domicilio fiscal, resulta necesario traer el artículo 10 del Código Fiscal de la Federación, que establece que, tratándose de personas físicas, corresponderá dicho dato:</w:t>
      </w:r>
    </w:p>
    <w:p w14:paraId="6BAE82D1" w14:textId="77777777" w:rsidR="007427D1" w:rsidRDefault="007427D1" w:rsidP="0049651D">
      <w:pPr>
        <w:tabs>
          <w:tab w:val="center" w:pos="4522"/>
        </w:tabs>
        <w:spacing w:after="0" w:line="360" w:lineRule="auto"/>
        <w:rPr>
          <w:color w:val="000000"/>
        </w:rPr>
      </w:pPr>
    </w:p>
    <w:p w14:paraId="20DD7E7E" w14:textId="77777777" w:rsidR="007427D1" w:rsidRDefault="007427D1" w:rsidP="0049651D">
      <w:pPr>
        <w:numPr>
          <w:ilvl w:val="0"/>
          <w:numId w:val="12"/>
        </w:numPr>
        <w:pBdr>
          <w:top w:val="nil"/>
          <w:left w:val="nil"/>
          <w:bottom w:val="nil"/>
          <w:right w:val="nil"/>
          <w:between w:val="nil"/>
        </w:pBdr>
        <w:tabs>
          <w:tab w:val="center" w:pos="4522"/>
        </w:tabs>
        <w:spacing w:after="0" w:line="360" w:lineRule="auto"/>
        <w:jc w:val="left"/>
        <w:rPr>
          <w:color w:val="000000"/>
        </w:rPr>
      </w:pPr>
      <w:r>
        <w:rPr>
          <w:color w:val="000000"/>
        </w:rPr>
        <w:t>El lugar donde realizan actividades empresariales, el local, en que se encuentre el principal asiente de sus negocios, y</w:t>
      </w:r>
    </w:p>
    <w:p w14:paraId="6C4A7745" w14:textId="77777777" w:rsidR="007427D1" w:rsidRDefault="007427D1" w:rsidP="0049651D">
      <w:pPr>
        <w:tabs>
          <w:tab w:val="center" w:pos="4522"/>
        </w:tabs>
        <w:spacing w:after="0" w:line="360" w:lineRule="auto"/>
        <w:rPr>
          <w:color w:val="000000"/>
        </w:rPr>
      </w:pPr>
    </w:p>
    <w:p w14:paraId="7FCE878D" w14:textId="77777777" w:rsidR="007427D1" w:rsidRDefault="007427D1" w:rsidP="0049651D">
      <w:pPr>
        <w:numPr>
          <w:ilvl w:val="0"/>
          <w:numId w:val="12"/>
        </w:numPr>
        <w:pBdr>
          <w:top w:val="nil"/>
          <w:left w:val="nil"/>
          <w:bottom w:val="nil"/>
          <w:right w:val="nil"/>
          <w:between w:val="nil"/>
        </w:pBdr>
        <w:tabs>
          <w:tab w:val="center" w:pos="4522"/>
        </w:tabs>
        <w:spacing w:after="0" w:line="360" w:lineRule="auto"/>
        <w:jc w:val="left"/>
        <w:rPr>
          <w:color w:val="000000"/>
        </w:rPr>
      </w:pPr>
      <w:r>
        <w:rPr>
          <w:color w:val="000000"/>
        </w:rPr>
        <w:t>La casa habitación, cuando no cuenta con un local o lugar donde realice las acciones previamente señaladas.</w:t>
      </w:r>
    </w:p>
    <w:p w14:paraId="3133253C" w14:textId="77777777" w:rsidR="007427D1" w:rsidRDefault="007427D1" w:rsidP="0049651D">
      <w:pPr>
        <w:tabs>
          <w:tab w:val="center" w:pos="4522"/>
        </w:tabs>
        <w:spacing w:after="0" w:line="360" w:lineRule="auto"/>
        <w:rPr>
          <w:color w:val="000000"/>
        </w:rPr>
      </w:pPr>
    </w:p>
    <w:p w14:paraId="12282FC3" w14:textId="77777777" w:rsidR="007427D1" w:rsidRDefault="007427D1" w:rsidP="0049651D">
      <w:pPr>
        <w:tabs>
          <w:tab w:val="center" w:pos="4522"/>
        </w:tabs>
        <w:spacing w:after="0" w:line="360" w:lineRule="auto"/>
        <w:rPr>
          <w:color w:val="000000"/>
        </w:rPr>
      </w:pPr>
      <w:r>
        <w:rPr>
          <w:color w:val="000000"/>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2ABD11D3" w14:textId="77777777" w:rsidR="007427D1" w:rsidRDefault="007427D1" w:rsidP="0049651D">
      <w:pPr>
        <w:tabs>
          <w:tab w:val="center" w:pos="4522"/>
        </w:tabs>
        <w:spacing w:after="0" w:line="360" w:lineRule="auto"/>
        <w:rPr>
          <w:color w:val="000000"/>
        </w:rPr>
      </w:pPr>
    </w:p>
    <w:p w14:paraId="32619828" w14:textId="77777777" w:rsidR="007427D1" w:rsidRDefault="007427D1" w:rsidP="0049651D">
      <w:pPr>
        <w:tabs>
          <w:tab w:val="center" w:pos="4522"/>
        </w:tabs>
        <w:spacing w:after="0" w:line="360" w:lineRule="auto"/>
        <w:rPr>
          <w:color w:val="000000"/>
        </w:rPr>
      </w:pPr>
      <w:r>
        <w:rPr>
          <w:color w:val="000000"/>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6516FB77" w14:textId="77777777" w:rsidR="007427D1" w:rsidRDefault="007427D1" w:rsidP="0049651D">
      <w:pPr>
        <w:tabs>
          <w:tab w:val="center" w:pos="4522"/>
        </w:tabs>
        <w:spacing w:after="0" w:line="360" w:lineRule="auto"/>
        <w:rPr>
          <w:color w:val="000000"/>
        </w:rPr>
      </w:pPr>
    </w:p>
    <w:p w14:paraId="3DB9E244" w14:textId="77777777" w:rsidR="007427D1" w:rsidRDefault="007427D1" w:rsidP="0049651D">
      <w:pPr>
        <w:tabs>
          <w:tab w:val="center" w:pos="4522"/>
        </w:tabs>
        <w:spacing w:after="0" w:line="360" w:lineRule="auto"/>
        <w:rPr>
          <w:color w:val="000000"/>
        </w:rPr>
      </w:pPr>
      <w:r>
        <w:rPr>
          <w:color w:val="000000"/>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1F2A22F9" w14:textId="77777777" w:rsidR="007427D1" w:rsidRDefault="007427D1" w:rsidP="0049651D">
      <w:pPr>
        <w:tabs>
          <w:tab w:val="center" w:pos="4522"/>
        </w:tabs>
        <w:spacing w:after="0" w:line="360" w:lineRule="auto"/>
        <w:rPr>
          <w:color w:val="000000"/>
        </w:rPr>
      </w:pPr>
    </w:p>
    <w:p w14:paraId="46405ACA" w14:textId="79F38469" w:rsidR="0049651D" w:rsidRDefault="007427D1" w:rsidP="0049651D">
      <w:pPr>
        <w:tabs>
          <w:tab w:val="center" w:pos="4522"/>
        </w:tabs>
        <w:spacing w:after="0" w:line="360" w:lineRule="auto"/>
        <w:rPr>
          <w:color w:val="000000"/>
        </w:rPr>
      </w:pPr>
      <w:r>
        <w:rPr>
          <w:color w:val="000000"/>
        </w:rPr>
        <w:t>De tal suerte que, tratándose de proveedores</w:t>
      </w:r>
      <w:r w:rsidR="0049651D">
        <w:rPr>
          <w:color w:val="000000"/>
        </w:rPr>
        <w:t xml:space="preserve"> o contratistas</w:t>
      </w:r>
      <w:r>
        <w:rPr>
          <w:color w:val="000000"/>
        </w:rPr>
        <w:t xml:space="preserve"> (personas físicas o jurídico-colectivas), el domicilio fiscal, no actualiza la causal de clasificación, establecida en el artículo </w:t>
      </w:r>
      <w:r>
        <w:rPr>
          <w:color w:val="000000"/>
        </w:rPr>
        <w:lastRenderedPageBreak/>
        <w:t>143, fracción I de la Ley de Transparencia y Acceso a la Información Pública del Estado de México y Municipios.</w:t>
      </w:r>
      <w:r w:rsidR="0049651D">
        <w:rPr>
          <w:color w:val="000000"/>
        </w:rPr>
        <w:t xml:space="preserve"> Sin embargo, para el caso de personas físicas o morales que no ganaron el procedimiento de adjudicación, su información actualiza la causal de confidencialidad, pues como ya se ha ido mencionado, estos no recibieron recursos públicos, ni tienen alguna obligación contractual con el Sujeto Obligado.</w:t>
      </w:r>
    </w:p>
    <w:p w14:paraId="2EEE04ED" w14:textId="77777777" w:rsidR="0049651D" w:rsidRDefault="0049651D" w:rsidP="0049651D">
      <w:pPr>
        <w:tabs>
          <w:tab w:val="center" w:pos="4522"/>
        </w:tabs>
        <w:spacing w:after="0" w:line="360" w:lineRule="auto"/>
        <w:rPr>
          <w:color w:val="000000"/>
        </w:rPr>
      </w:pPr>
    </w:p>
    <w:p w14:paraId="3BDAF60F" w14:textId="6C8BCF99" w:rsidR="007427D1" w:rsidRDefault="007427D1" w:rsidP="0049651D">
      <w:pPr>
        <w:numPr>
          <w:ilvl w:val="0"/>
          <w:numId w:val="8"/>
        </w:numPr>
        <w:pBdr>
          <w:top w:val="nil"/>
          <w:left w:val="nil"/>
          <w:bottom w:val="nil"/>
          <w:right w:val="nil"/>
          <w:between w:val="nil"/>
        </w:pBdr>
        <w:tabs>
          <w:tab w:val="center" w:pos="4522"/>
        </w:tabs>
        <w:spacing w:after="0" w:line="360" w:lineRule="auto"/>
        <w:jc w:val="left"/>
        <w:rPr>
          <w:b/>
          <w:color w:val="000000"/>
        </w:rPr>
      </w:pPr>
      <w:r>
        <w:rPr>
          <w:b/>
          <w:color w:val="000000"/>
        </w:rPr>
        <w:t>Cuenta bancaria y clave interbancaria del proveedor</w:t>
      </w:r>
      <w:r w:rsidR="0049651D">
        <w:rPr>
          <w:b/>
          <w:color w:val="000000"/>
        </w:rPr>
        <w:t>, contratista o participante.</w:t>
      </w:r>
    </w:p>
    <w:p w14:paraId="5A1E666E" w14:textId="77777777" w:rsidR="007427D1" w:rsidRDefault="007427D1" w:rsidP="0049651D">
      <w:pPr>
        <w:tabs>
          <w:tab w:val="center" w:pos="4522"/>
        </w:tabs>
        <w:spacing w:after="0" w:line="360" w:lineRule="auto"/>
        <w:rPr>
          <w:b/>
          <w:color w:val="000000"/>
        </w:rPr>
      </w:pPr>
    </w:p>
    <w:p w14:paraId="5B4C60A7" w14:textId="77777777" w:rsidR="007427D1" w:rsidRDefault="007427D1" w:rsidP="0049651D">
      <w:pPr>
        <w:tabs>
          <w:tab w:val="center" w:pos="4522"/>
        </w:tabs>
        <w:spacing w:after="0" w:line="360" w:lineRule="auto"/>
        <w:rPr>
          <w:color w:val="000000"/>
        </w:rPr>
      </w:pPr>
      <w:r>
        <w:rPr>
          <w:color w:val="000000"/>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1C24C694" w14:textId="77777777" w:rsidR="007427D1" w:rsidRDefault="007427D1" w:rsidP="0049651D">
      <w:pPr>
        <w:tabs>
          <w:tab w:val="center" w:pos="4522"/>
        </w:tabs>
        <w:spacing w:after="0" w:line="360" w:lineRule="auto"/>
        <w:rPr>
          <w:color w:val="000000"/>
        </w:rPr>
      </w:pPr>
      <w:r>
        <w:rPr>
          <w:color w:val="000000"/>
        </w:rPr>
        <w:t> </w:t>
      </w:r>
    </w:p>
    <w:p w14:paraId="49E2E26C" w14:textId="77777777" w:rsidR="007427D1" w:rsidRDefault="007427D1" w:rsidP="0049651D">
      <w:pPr>
        <w:tabs>
          <w:tab w:val="center" w:pos="4522"/>
        </w:tabs>
        <w:spacing w:after="0" w:line="360" w:lineRule="auto"/>
        <w:rPr>
          <w:color w:val="000000"/>
        </w:rPr>
      </w:pPr>
      <w:r>
        <w:rPr>
          <w:color w:val="000000"/>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14:paraId="20152E17" w14:textId="77777777" w:rsidR="007427D1" w:rsidRDefault="007427D1" w:rsidP="0049651D">
      <w:pPr>
        <w:tabs>
          <w:tab w:val="center" w:pos="4522"/>
        </w:tabs>
        <w:spacing w:after="0" w:line="360" w:lineRule="auto"/>
        <w:rPr>
          <w:color w:val="000000"/>
        </w:rPr>
      </w:pPr>
      <w:r>
        <w:rPr>
          <w:color w:val="000000"/>
        </w:rPr>
        <w:t> </w:t>
      </w:r>
    </w:p>
    <w:p w14:paraId="6795EE90" w14:textId="77777777" w:rsidR="007427D1" w:rsidRDefault="007427D1" w:rsidP="0049651D">
      <w:pPr>
        <w:tabs>
          <w:tab w:val="center" w:pos="4522"/>
        </w:tabs>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Pr>
          <w:i/>
          <w:color w:val="000000"/>
          <w:sz w:val="20"/>
          <w:szCs w:val="20"/>
        </w:rPr>
        <w:lastRenderedPageBreak/>
        <w:t>clasificada con fundamento en los artículos 116 de la Ley General de Transparencia y Acceso a la Información Pública y 113 de la Ley Federal de Transparencia y Acceso a la Información Pública.”</w:t>
      </w:r>
    </w:p>
    <w:p w14:paraId="7DEDEBB7" w14:textId="77777777" w:rsidR="007427D1" w:rsidRDefault="007427D1" w:rsidP="0049651D">
      <w:pPr>
        <w:tabs>
          <w:tab w:val="center" w:pos="4522"/>
        </w:tabs>
        <w:spacing w:after="0" w:line="360" w:lineRule="auto"/>
        <w:rPr>
          <w:color w:val="000000"/>
        </w:rPr>
      </w:pPr>
      <w:r>
        <w:rPr>
          <w:color w:val="000000"/>
        </w:rPr>
        <w:t> </w:t>
      </w:r>
    </w:p>
    <w:p w14:paraId="2B78D0C8" w14:textId="77777777" w:rsidR="007427D1" w:rsidRDefault="007427D1" w:rsidP="0049651D">
      <w:pPr>
        <w:tabs>
          <w:tab w:val="center" w:pos="4522"/>
        </w:tabs>
        <w:spacing w:after="0" w:line="360" w:lineRule="auto"/>
        <w:rPr>
          <w:color w:val="000000"/>
        </w:rPr>
      </w:pPr>
      <w:r>
        <w:rPr>
          <w:color w:val="000000"/>
        </w:rPr>
        <w:t xml:space="preserve">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proveedor y procede su eliminación de conformidad con el artículo 143, fracción I, de la Ley de Transparencia y Acceso a la Información Pública del Estado de México y Municipios.  </w:t>
      </w:r>
    </w:p>
    <w:p w14:paraId="54EE4187" w14:textId="77777777" w:rsidR="007427D1" w:rsidRDefault="007427D1" w:rsidP="0049651D">
      <w:pPr>
        <w:tabs>
          <w:tab w:val="center" w:pos="4522"/>
        </w:tabs>
        <w:spacing w:after="0" w:line="360" w:lineRule="auto"/>
        <w:rPr>
          <w:color w:val="000000"/>
        </w:rPr>
      </w:pPr>
    </w:p>
    <w:p w14:paraId="01EA1692" w14:textId="77777777" w:rsidR="007427D1" w:rsidRPr="00B0167F" w:rsidRDefault="007427D1" w:rsidP="0049651D">
      <w:pPr>
        <w:pStyle w:val="Prrafodelista"/>
        <w:numPr>
          <w:ilvl w:val="0"/>
          <w:numId w:val="13"/>
        </w:numPr>
        <w:tabs>
          <w:tab w:val="center" w:pos="4522"/>
        </w:tabs>
        <w:spacing w:line="360" w:lineRule="auto"/>
        <w:rPr>
          <w:b/>
          <w:bCs/>
          <w:color w:val="000000"/>
        </w:rPr>
      </w:pPr>
      <w:r w:rsidRPr="00B0167F">
        <w:rPr>
          <w:b/>
          <w:bCs/>
          <w:color w:val="000000"/>
        </w:rPr>
        <w:t xml:space="preserve">Folio del Comprobante Fiscal Digital por Internet </w:t>
      </w:r>
    </w:p>
    <w:p w14:paraId="0C70912B" w14:textId="77777777" w:rsidR="007427D1" w:rsidRDefault="007427D1" w:rsidP="0049651D">
      <w:pPr>
        <w:tabs>
          <w:tab w:val="center" w:pos="4522"/>
        </w:tabs>
        <w:spacing w:after="0" w:line="360" w:lineRule="auto"/>
        <w:rPr>
          <w:color w:val="000000"/>
        </w:rPr>
      </w:pPr>
    </w:p>
    <w:p w14:paraId="557DE5F4" w14:textId="77777777" w:rsidR="007427D1" w:rsidRDefault="007427D1" w:rsidP="0049651D">
      <w:pPr>
        <w:tabs>
          <w:tab w:val="center" w:pos="4522"/>
        </w:tabs>
        <w:spacing w:after="0" w:line="360" w:lineRule="auto"/>
        <w:rPr>
          <w:color w:val="000000"/>
        </w:rPr>
      </w:pPr>
      <w:r w:rsidRPr="00B0167F">
        <w:rPr>
          <w:color w:val="000000"/>
        </w:rPr>
        <w:t>Dicho dato, es una clave o digito, para identificar a la factura, compuesto de una serie de números, y algunos casos, letras o separaciones por guiones, por lo que, no es un dato que contenga información confidencial, o bien, que revele hechos o actos de carácter económico, contable, jurídico o administrativo que sean útiles o representen una ventaja a sus competidores. Conforme a lo anterior, dicho dato, lo único que hace identificable, es a la factura de que se trate, pues son datos meramente de control e identificación, por lo que, no se consideran datos clasificados en términos del artículo 143, fracción I de la Ley de Transparencia y Acceso a la Información Pública del Estado de México y Municipios, al no ser datos confidenciales; lo anterior toma sustento, en que los nombres de las partes, en las facturas, en el presente caso son de naturaleza pública.</w:t>
      </w:r>
    </w:p>
    <w:p w14:paraId="43D83F36" w14:textId="77777777" w:rsidR="007C4E71" w:rsidRDefault="007C4E71" w:rsidP="0049651D">
      <w:pPr>
        <w:tabs>
          <w:tab w:val="center" w:pos="4522"/>
        </w:tabs>
        <w:spacing w:after="0" w:line="360" w:lineRule="auto"/>
        <w:rPr>
          <w:color w:val="000000"/>
        </w:rPr>
      </w:pPr>
    </w:p>
    <w:p w14:paraId="1EF890EF" w14:textId="77777777" w:rsidR="00D53F31" w:rsidRPr="001A6C0E" w:rsidRDefault="00D53F31" w:rsidP="00D53F31">
      <w:pPr>
        <w:numPr>
          <w:ilvl w:val="0"/>
          <w:numId w:val="16"/>
        </w:numPr>
        <w:spacing w:line="360" w:lineRule="auto"/>
        <w:contextualSpacing/>
        <w:rPr>
          <w:rFonts w:eastAsia="Times New Roman" w:cs="Tahoma"/>
          <w:b/>
          <w:color w:val="auto"/>
          <w:lang w:eastAsia="es-ES"/>
        </w:rPr>
      </w:pPr>
      <w:r w:rsidRPr="001A6C0E">
        <w:rPr>
          <w:rFonts w:eastAsia="Times New Roman" w:cs="Tahoma"/>
          <w:b/>
          <w:bCs/>
          <w:color w:val="auto"/>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7516A521" w14:textId="77777777" w:rsidR="00D53F31" w:rsidRPr="001A6C0E" w:rsidRDefault="00D53F31" w:rsidP="00D53F31">
      <w:pPr>
        <w:spacing w:line="360" w:lineRule="auto"/>
        <w:contextualSpacing/>
        <w:rPr>
          <w:rFonts w:eastAsia="Calibri" w:cs="Tahoma"/>
          <w:bCs/>
          <w:color w:val="auto"/>
          <w:lang w:val="es-ES"/>
        </w:rPr>
      </w:pPr>
      <w:r w:rsidRPr="001A6C0E">
        <w:rPr>
          <w:rFonts w:eastAsia="Calibri" w:cs="Tahoma"/>
          <w:bCs/>
          <w:color w:val="auto"/>
          <w:lang w:val="es-E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0C9E1EC" w14:textId="77777777" w:rsidR="00D53F31" w:rsidRPr="001A6C0E" w:rsidRDefault="00D53F31" w:rsidP="00D53F31">
      <w:pPr>
        <w:spacing w:line="360" w:lineRule="auto"/>
        <w:contextualSpacing/>
        <w:rPr>
          <w:rFonts w:eastAsia="Calibri" w:cs="Tahoma"/>
          <w:bCs/>
          <w:color w:val="auto"/>
          <w:lang w:val="es-ES"/>
        </w:rPr>
      </w:pPr>
    </w:p>
    <w:p w14:paraId="5BECC2AB" w14:textId="2E08696F" w:rsidR="00D53F31" w:rsidRPr="001A6C0E" w:rsidRDefault="00D53F31" w:rsidP="00D53F31">
      <w:pPr>
        <w:spacing w:line="360" w:lineRule="auto"/>
        <w:contextualSpacing/>
        <w:rPr>
          <w:rFonts w:eastAsia="Calibri" w:cs="Tahoma"/>
          <w:bCs/>
          <w:color w:val="auto"/>
          <w:lang w:val="es-ES"/>
        </w:rPr>
      </w:pPr>
      <w:r w:rsidRPr="001A6C0E">
        <w:rPr>
          <w:rFonts w:eastAsia="Calibri" w:cs="Tahoma"/>
          <w:bCs/>
          <w:color w:val="auto"/>
          <w:lang w:val="es-ES"/>
        </w:rPr>
        <w:t>Las cadenas originales y sellos que se agregan a las facturas, tienen una secuencia de generación determinados</w:t>
      </w:r>
      <w:r>
        <w:rPr>
          <w:rFonts w:eastAsia="Calibri" w:cs="Tahoma"/>
          <w:bCs/>
          <w:color w:val="auto"/>
          <w:lang w:val="es-ES"/>
        </w:rPr>
        <w:t>,</w:t>
      </w:r>
      <w:r w:rsidRPr="001A6C0E">
        <w:rPr>
          <w:rFonts w:eastAsia="Calibri" w:cs="Tahoma"/>
          <w:bCs/>
          <w:color w:val="auto"/>
          <w:lang w:val="es-ES"/>
        </w:rPr>
        <w:t xml:space="preserve"> con base en el ANEXO 20 de la Segunda Resolución de modificaciones a la Resolución Miscelánea Fiscal, que precisa los datos de los que se componen los elementos de seguridad y se puntualiza que dicha información está encriptada.</w:t>
      </w:r>
    </w:p>
    <w:p w14:paraId="24F51335" w14:textId="77777777" w:rsidR="00D53F31" w:rsidRPr="001A6C0E" w:rsidRDefault="00D53F31" w:rsidP="00D53F31">
      <w:pPr>
        <w:spacing w:line="360" w:lineRule="auto"/>
        <w:contextualSpacing/>
        <w:rPr>
          <w:rFonts w:eastAsia="Calibri" w:cs="Tahoma"/>
          <w:bCs/>
          <w:color w:val="auto"/>
          <w:lang w:val="es-ES"/>
        </w:rPr>
      </w:pPr>
    </w:p>
    <w:p w14:paraId="68EEAB92"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t>“Elementos utilizados en la generación de Sellos Digitales:</w:t>
      </w:r>
    </w:p>
    <w:p w14:paraId="2738FFA5"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t>•</w:t>
      </w:r>
      <w:r w:rsidRPr="001A6C0E">
        <w:rPr>
          <w:rFonts w:eastAsia="Calibri" w:cs="Tahoma"/>
          <w:bCs/>
          <w:i/>
          <w:color w:val="auto"/>
          <w:sz w:val="20"/>
          <w:lang w:val="es-ES"/>
        </w:rPr>
        <w:tab/>
        <w:t>Cadena Original, el elemento a sellar, en este caso de un comprobante fiscal digital a través de Internet.</w:t>
      </w:r>
    </w:p>
    <w:p w14:paraId="50B41D3B"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t>•</w:t>
      </w:r>
      <w:r w:rsidRPr="001A6C0E">
        <w:rPr>
          <w:rFonts w:eastAsia="Calibri" w:cs="Tahoma"/>
          <w:bCs/>
          <w:i/>
          <w:color w:val="auto"/>
          <w:sz w:val="20"/>
          <w:lang w:val="es-ES"/>
        </w:rPr>
        <w:tab/>
        <w:t>Certificado de Sello Digital y su correspondiente clave privada.</w:t>
      </w:r>
    </w:p>
    <w:p w14:paraId="28D2346E"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t>•</w:t>
      </w:r>
      <w:r w:rsidRPr="001A6C0E">
        <w:rPr>
          <w:rFonts w:eastAsia="Calibri" w:cs="Tahoma"/>
          <w:bCs/>
          <w:i/>
          <w:color w:val="auto"/>
          <w:sz w:val="20"/>
          <w:lang w:val="es-ES"/>
        </w:rPr>
        <w:tab/>
        <w:t>Algoritmos de criptografía de clave pública para firma electrónica avanzada.</w:t>
      </w:r>
    </w:p>
    <w:p w14:paraId="23322B31"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t>•</w:t>
      </w:r>
      <w:r w:rsidRPr="001A6C0E">
        <w:rPr>
          <w:rFonts w:eastAsia="Calibri" w:cs="Tahoma"/>
          <w:bCs/>
          <w:i/>
          <w:color w:val="auto"/>
          <w:sz w:val="20"/>
          <w:lang w:val="es-ES"/>
        </w:rPr>
        <w:tab/>
        <w:t>Especificaciones de conversión de la firma electrónica avanzada a Base 64.</w:t>
      </w:r>
    </w:p>
    <w:p w14:paraId="56AFB85D"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t>Para la generación de sellos digitales se utiliza criptografía de clave pública aplicada a una cadena original.</w:t>
      </w:r>
    </w:p>
    <w:p w14:paraId="2E409F27" w14:textId="77777777" w:rsidR="00D53F31" w:rsidRPr="001A6C0E" w:rsidRDefault="00D53F31" w:rsidP="00D53F31">
      <w:pPr>
        <w:spacing w:after="0" w:line="360" w:lineRule="auto"/>
        <w:ind w:left="567" w:right="539"/>
        <w:contextualSpacing/>
        <w:rPr>
          <w:rFonts w:eastAsia="Calibri" w:cs="Tahoma"/>
          <w:bCs/>
          <w:i/>
          <w:color w:val="auto"/>
          <w:sz w:val="20"/>
          <w:lang w:val="es-ES"/>
        </w:rPr>
      </w:pPr>
    </w:p>
    <w:p w14:paraId="00266D12"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lastRenderedPageBreak/>
        <w:t>Criptografía de la Clave Pública</w:t>
      </w:r>
    </w:p>
    <w:p w14:paraId="5D32ED1B" w14:textId="77777777" w:rsidR="00D53F31" w:rsidRPr="001A6C0E" w:rsidRDefault="00D53F31" w:rsidP="00D53F31">
      <w:pPr>
        <w:spacing w:after="0" w:line="360" w:lineRule="auto"/>
        <w:ind w:left="567" w:right="539"/>
        <w:contextualSpacing/>
        <w:rPr>
          <w:rFonts w:eastAsia="Calibri" w:cs="Tahoma"/>
          <w:bCs/>
          <w:i/>
          <w:color w:val="auto"/>
          <w:sz w:val="20"/>
          <w:lang w:val="es-ES"/>
        </w:rPr>
      </w:pPr>
      <w:r w:rsidRPr="001A6C0E">
        <w:rPr>
          <w:rFonts w:eastAsia="Calibri" w:cs="Tahoma"/>
          <w:bCs/>
          <w:i/>
          <w:color w:val="auto"/>
          <w:sz w:val="20"/>
          <w:lang w:val="es-ES"/>
        </w:rPr>
        <w:t xml:space="preserve">La criptografía de Clave Pública se basa en la generación de una pareja de números muy grandes relacionados íntimamente entre sí, de tal manera que una operación de </w:t>
      </w:r>
      <w:proofErr w:type="spellStart"/>
      <w:r w:rsidRPr="001A6C0E">
        <w:rPr>
          <w:rFonts w:eastAsia="Calibri" w:cs="Tahoma"/>
          <w:bCs/>
          <w:i/>
          <w:color w:val="auto"/>
          <w:sz w:val="20"/>
          <w:lang w:val="es-ES"/>
        </w:rPr>
        <w:t>encripción</w:t>
      </w:r>
      <w:proofErr w:type="spellEnd"/>
      <w:r w:rsidRPr="001A6C0E">
        <w:rPr>
          <w:rFonts w:eastAsia="Calibri" w:cs="Tahoma"/>
          <w:bCs/>
          <w:i/>
          <w:color w:val="auto"/>
          <w:sz w:val="20"/>
          <w:lang w:val="es-ES"/>
        </w:rPr>
        <w:t xml:space="preserve"> sobre un mensaje tomando como clave de </w:t>
      </w:r>
      <w:proofErr w:type="spellStart"/>
      <w:r w:rsidRPr="001A6C0E">
        <w:rPr>
          <w:rFonts w:eastAsia="Calibri" w:cs="Tahoma"/>
          <w:bCs/>
          <w:i/>
          <w:color w:val="auto"/>
          <w:sz w:val="20"/>
          <w:lang w:val="es-ES"/>
        </w:rPr>
        <w:t>encripción</w:t>
      </w:r>
      <w:proofErr w:type="spellEnd"/>
      <w:r w:rsidRPr="001A6C0E">
        <w:rPr>
          <w:rFonts w:eastAsia="Calibri" w:cs="Tahoma"/>
          <w:bCs/>
          <w:i/>
          <w:color w:val="auto"/>
          <w:sz w:val="20"/>
          <w:lang w:val="es-ES"/>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05BF0D0A" w14:textId="77777777" w:rsidR="00D53F31" w:rsidRPr="001A6C0E" w:rsidRDefault="00D53F31" w:rsidP="00D53F31">
      <w:pPr>
        <w:spacing w:line="360" w:lineRule="auto"/>
        <w:contextualSpacing/>
        <w:rPr>
          <w:rFonts w:eastAsia="Calibri" w:cs="Tahoma"/>
          <w:bCs/>
          <w:color w:val="auto"/>
          <w:lang w:val="es-ES"/>
        </w:rPr>
      </w:pPr>
    </w:p>
    <w:p w14:paraId="0D63ED89" w14:textId="0495EDDA" w:rsidR="00D53F31" w:rsidRPr="001A6C0E" w:rsidRDefault="00D53F31" w:rsidP="00D53F31">
      <w:pPr>
        <w:spacing w:line="360" w:lineRule="auto"/>
        <w:contextualSpacing/>
        <w:rPr>
          <w:rFonts w:eastAsia="Calibri" w:cs="Tahoma"/>
          <w:bCs/>
          <w:color w:val="auto"/>
          <w:lang w:val="es-ES"/>
        </w:rPr>
      </w:pPr>
      <w:r w:rsidRPr="001A6C0E">
        <w:rPr>
          <w:rFonts w:eastAsia="Calibri" w:cs="Tahoma"/>
          <w:bCs/>
          <w:color w:val="auto"/>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D9C5D63" w14:textId="77777777" w:rsidR="00D53F31" w:rsidRPr="001A6C0E" w:rsidRDefault="00D53F31" w:rsidP="00D53F31">
      <w:pPr>
        <w:spacing w:line="360" w:lineRule="auto"/>
        <w:contextualSpacing/>
        <w:rPr>
          <w:rFonts w:eastAsia="Calibri" w:cs="Tahoma"/>
          <w:bCs/>
          <w:color w:val="auto"/>
          <w:lang w:val="es-ES"/>
        </w:rPr>
      </w:pPr>
    </w:p>
    <w:p w14:paraId="02B776C9" w14:textId="5093F232" w:rsidR="00D53F31" w:rsidRPr="001A6C0E" w:rsidRDefault="00D53F31" w:rsidP="00D53F31">
      <w:pPr>
        <w:spacing w:line="360" w:lineRule="auto"/>
        <w:contextualSpacing/>
        <w:rPr>
          <w:rFonts w:eastAsia="Calibri" w:cs="Tahoma"/>
          <w:bCs/>
          <w:color w:val="auto"/>
          <w:lang w:val="es-ES"/>
        </w:rPr>
      </w:pPr>
      <w:r w:rsidRPr="001A6C0E">
        <w:rPr>
          <w:rFonts w:eastAsia="Calibri" w:cs="Tahoma"/>
          <w:bCs/>
          <w:color w:val="auto"/>
          <w:lang w:val="es-ES"/>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0" w:history="1">
        <w:r w:rsidRPr="001A6C0E">
          <w:rPr>
            <w:rStyle w:val="Hipervnculo"/>
            <w:rFonts w:eastAsia="Calibri" w:cs="Tahoma"/>
            <w:bCs/>
          </w:rPr>
          <w:t>https://portalanterior.ine.mx/archivos2/tutoriales/sistemas/ApoyoInstitucional/SIF/docs/candidatos/folioFiscalFactura.pdf</w:t>
        </w:r>
      </w:hyperlink>
      <w:r w:rsidRPr="001A6C0E">
        <w:rPr>
          <w:rFonts w:eastAsia="Calibri" w:cs="Tahoma"/>
          <w:bCs/>
          <w:color w:val="auto"/>
          <w:lang w:val="es-ES"/>
        </w:rPr>
        <w:t>), en la cual se advierte que únicamente se encuentra conformado por números, se muestra a continuación:</w:t>
      </w:r>
    </w:p>
    <w:p w14:paraId="5354AC00" w14:textId="77777777" w:rsidR="00D53F31" w:rsidRPr="001A6C0E" w:rsidRDefault="00D53F31" w:rsidP="00D53F31">
      <w:pPr>
        <w:spacing w:line="360" w:lineRule="auto"/>
        <w:contextualSpacing/>
        <w:rPr>
          <w:rFonts w:eastAsia="Calibri" w:cs="Tahoma"/>
          <w:bCs/>
          <w:color w:val="auto"/>
          <w:lang w:val="es-ES"/>
        </w:rPr>
      </w:pPr>
    </w:p>
    <w:p w14:paraId="72575191" w14:textId="77777777" w:rsidR="00D53F31" w:rsidRPr="001A6C0E" w:rsidRDefault="00D53F31" w:rsidP="00D53F31">
      <w:pPr>
        <w:spacing w:line="360" w:lineRule="auto"/>
        <w:contextualSpacing/>
        <w:jc w:val="center"/>
        <w:rPr>
          <w:rFonts w:eastAsia="Calibri" w:cs="Tahoma"/>
          <w:bCs/>
          <w:color w:val="auto"/>
          <w:lang w:val="es-ES"/>
        </w:rPr>
      </w:pPr>
      <w:r w:rsidRPr="001A6C0E">
        <w:rPr>
          <w:noProof/>
        </w:rPr>
        <mc:AlternateContent>
          <mc:Choice Requires="wps">
            <w:drawing>
              <wp:anchor distT="0" distB="0" distL="114300" distR="114300" simplePos="0" relativeHeight="251659264" behindDoc="0" locked="0" layoutInCell="1" allowOverlap="1" wp14:anchorId="50867FE8" wp14:editId="245FF921">
                <wp:simplePos x="0" y="0"/>
                <wp:positionH relativeFrom="column">
                  <wp:posOffset>1014205</wp:posOffset>
                </wp:positionH>
                <wp:positionV relativeFrom="paragraph">
                  <wp:posOffset>575227</wp:posOffset>
                </wp:positionV>
                <wp:extent cx="2557173" cy="219075"/>
                <wp:effectExtent l="12700" t="12700" r="8255" b="9525"/>
                <wp:wrapNone/>
                <wp:docPr id="29" name="Rectángulo 9"/>
                <wp:cNvGraphicFramePr/>
                <a:graphic xmlns:a="http://schemas.openxmlformats.org/drawingml/2006/main">
                  <a:graphicData uri="http://schemas.microsoft.com/office/word/2010/wordprocessingShape">
                    <wps:wsp>
                      <wps:cNvSpPr/>
                      <wps:spPr>
                        <a:xfrm>
                          <a:off x="0" y="0"/>
                          <a:ext cx="2557173" cy="219075"/>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38D8E" id="Rectángulo 9" o:spid="_x0000_s1026" style="position:absolute;margin-left:79.85pt;margin-top:45.3pt;width:201.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" filled="f" strokecolor="windowText" strokeweight="2.25pt"/>
            </w:pict>
          </mc:Fallback>
        </mc:AlternateContent>
      </w:r>
      <w:r w:rsidRPr="001A6C0E">
        <w:rPr>
          <w:rFonts w:eastAsia="Times New Roman" w:cs="Times New Roman"/>
          <w:noProof/>
          <w:color w:val="auto"/>
        </w:rPr>
        <w:drawing>
          <wp:inline distT="0" distB="0" distL="0" distR="0" wp14:anchorId="534B69A4" wp14:editId="0F20AC6C">
            <wp:extent cx="3867150" cy="752475"/>
            <wp:effectExtent l="0" t="0" r="0" b="9525"/>
            <wp:docPr id="868327140" name="Imagen 6"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27140" name="Imagen 6" descr="Interfaz de usuario gráfica, Aplicación&#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752475"/>
                    </a:xfrm>
                    <a:prstGeom prst="rect">
                      <a:avLst/>
                    </a:prstGeom>
                    <a:noFill/>
                    <a:ln>
                      <a:noFill/>
                    </a:ln>
                  </pic:spPr>
                </pic:pic>
              </a:graphicData>
            </a:graphic>
          </wp:inline>
        </w:drawing>
      </w:r>
    </w:p>
    <w:p w14:paraId="4AF49236" w14:textId="77777777" w:rsidR="00D53F31" w:rsidRPr="001A6C0E" w:rsidRDefault="00D53F31" w:rsidP="00D53F31">
      <w:pPr>
        <w:spacing w:line="360" w:lineRule="auto"/>
        <w:contextualSpacing/>
        <w:rPr>
          <w:rFonts w:eastAsia="Calibri" w:cs="Tahoma"/>
          <w:bCs/>
          <w:color w:val="auto"/>
          <w:lang w:val="es-ES"/>
        </w:rPr>
      </w:pPr>
      <w:r w:rsidRPr="001A6C0E">
        <w:rPr>
          <w:rFonts w:eastAsia="Calibri" w:cs="Tahoma"/>
          <w:bCs/>
          <w:color w:val="auto"/>
          <w:lang w:val="es-ES"/>
        </w:rPr>
        <w:lastRenderedPageBreak/>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1A6C0E">
        <w:rPr>
          <w:rFonts w:eastAsia="Calibri" w:cs="Tahoma"/>
          <w:b/>
          <w:bCs/>
          <w:color w:val="auto"/>
          <w:lang w:val="es-ES"/>
        </w:rPr>
        <w:t>Máxime que permite corroborar la legitimidad a la factura, pues amparan la utilización de los certificados de sellos digitales válidos.</w:t>
      </w:r>
    </w:p>
    <w:p w14:paraId="239A01AD" w14:textId="77777777" w:rsidR="00D53F31" w:rsidRPr="001A6C0E" w:rsidRDefault="00D53F31" w:rsidP="00D53F31">
      <w:pPr>
        <w:spacing w:line="360" w:lineRule="auto"/>
        <w:contextualSpacing/>
        <w:rPr>
          <w:rFonts w:eastAsia="Calibri" w:cs="Tahoma"/>
          <w:bCs/>
          <w:color w:val="auto"/>
          <w:lang w:val="es-ES"/>
        </w:rPr>
      </w:pPr>
    </w:p>
    <w:p w14:paraId="663F1E71" w14:textId="22A4F854" w:rsidR="00D53F31" w:rsidRPr="001A6C0E" w:rsidRDefault="00D53F31" w:rsidP="00D53F31">
      <w:pPr>
        <w:spacing w:line="360" w:lineRule="auto"/>
        <w:contextualSpacing/>
        <w:rPr>
          <w:rFonts w:eastAsia="Calibri" w:cs="Tahoma"/>
          <w:bCs/>
          <w:color w:val="auto"/>
          <w:lang w:val="es-ES"/>
        </w:rPr>
      </w:pPr>
      <w:r w:rsidRPr="001A6C0E">
        <w:rPr>
          <w:rFonts w:eastAsia="Calibri" w:cs="Tahoma"/>
          <w:bCs/>
          <w:color w:val="auto"/>
          <w:lang w:val="es-ES"/>
        </w:rPr>
        <w:t>Ahora bien, por lo que hace Folio Fiscal</w:t>
      </w:r>
      <w:r>
        <w:rPr>
          <w:rFonts w:eastAsia="Calibri" w:cs="Tahoma"/>
          <w:bCs/>
          <w:color w:val="auto"/>
          <w:lang w:val="es-ES"/>
        </w:rPr>
        <w:t xml:space="preserve"> o UIIDD</w:t>
      </w:r>
      <w:r w:rsidRPr="001A6C0E">
        <w:rPr>
          <w:rFonts w:eastAsia="Calibri" w:cs="Tahoma"/>
          <w:bCs/>
          <w:color w:val="auto"/>
          <w:lang w:val="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E7FB1AA" w14:textId="77777777" w:rsidR="00D53F31" w:rsidRPr="001A6C0E" w:rsidRDefault="00D53F31" w:rsidP="00D53F31">
      <w:pPr>
        <w:spacing w:line="360" w:lineRule="auto"/>
        <w:contextualSpacing/>
        <w:rPr>
          <w:rFonts w:eastAsia="Calibri" w:cs="Tahoma"/>
          <w:bCs/>
          <w:color w:val="auto"/>
          <w:lang w:val="es-ES"/>
        </w:rPr>
      </w:pPr>
    </w:p>
    <w:p w14:paraId="23CF8DB8" w14:textId="77777777" w:rsidR="00D53F31" w:rsidRPr="001A6C0E" w:rsidRDefault="00D53F31" w:rsidP="00D53F31">
      <w:pPr>
        <w:spacing w:line="360" w:lineRule="auto"/>
        <w:contextualSpacing/>
        <w:jc w:val="center"/>
        <w:rPr>
          <w:rFonts w:eastAsia="Calibri" w:cs="Tahoma"/>
          <w:bCs/>
          <w:color w:val="auto"/>
          <w:lang w:val="es-ES"/>
        </w:rPr>
      </w:pPr>
      <w:r w:rsidRPr="001A6C0E">
        <w:rPr>
          <w:rFonts w:eastAsia="Times New Roman" w:cs="Times New Roman"/>
          <w:noProof/>
          <w:color w:val="auto"/>
        </w:rPr>
        <w:drawing>
          <wp:inline distT="0" distB="0" distL="0" distR="0" wp14:anchorId="738357AA" wp14:editId="5A4A22A1">
            <wp:extent cx="3441243" cy="787179"/>
            <wp:effectExtent l="0" t="0" r="635" b="635"/>
            <wp:docPr id="679709460" name="Imagen 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09460" name="Imagen 5" descr="Texto&#10;&#10;El contenido generado por IA puede ser incorrecto."/>
                    <pic:cNvPicPr>
                      <a:picLocks noChangeAspect="1" noChangeArrowheads="1"/>
                    </pic:cNvPicPr>
                  </pic:nvPicPr>
                  <pic:blipFill rotWithShape="1">
                    <a:blip r:embed="rId12">
                      <a:extLst>
                        <a:ext uri="{28A0092B-C50C-407E-A947-70E740481C1C}">
                          <a14:useLocalDpi xmlns:a14="http://schemas.microsoft.com/office/drawing/2010/main" val="0"/>
                        </a:ext>
                      </a:extLst>
                    </a:blip>
                    <a:srcRect b="46314"/>
                    <a:stretch/>
                  </pic:blipFill>
                  <pic:spPr bwMode="auto">
                    <a:xfrm>
                      <a:off x="0" y="0"/>
                      <a:ext cx="3666461" cy="838697"/>
                    </a:xfrm>
                    <a:prstGeom prst="rect">
                      <a:avLst/>
                    </a:prstGeom>
                    <a:noFill/>
                    <a:ln>
                      <a:noFill/>
                    </a:ln>
                    <a:extLst>
                      <a:ext uri="{53640926-AAD7-44D8-BBD7-CCE9431645EC}">
                        <a14:shadowObscured xmlns:a14="http://schemas.microsoft.com/office/drawing/2010/main"/>
                      </a:ext>
                    </a:extLst>
                  </pic:spPr>
                </pic:pic>
              </a:graphicData>
            </a:graphic>
          </wp:inline>
        </w:drawing>
      </w:r>
    </w:p>
    <w:p w14:paraId="6C7C7FD7" w14:textId="77777777" w:rsidR="00D53F31" w:rsidRPr="001A6C0E" w:rsidRDefault="00D53F31" w:rsidP="00D53F31">
      <w:pPr>
        <w:spacing w:line="360" w:lineRule="auto"/>
        <w:contextualSpacing/>
        <w:rPr>
          <w:rFonts w:eastAsia="Times New Roman" w:cs="Times New Roman"/>
          <w:b/>
          <w:color w:val="auto"/>
          <w:u w:val="single"/>
          <w:lang w:val="es-ES" w:eastAsia="es-ES"/>
        </w:rPr>
      </w:pPr>
    </w:p>
    <w:p w14:paraId="7F415D8D" w14:textId="77777777" w:rsidR="00D53F31" w:rsidRPr="001A6C0E" w:rsidRDefault="00D53F31" w:rsidP="00D53F31">
      <w:pPr>
        <w:spacing w:line="360" w:lineRule="auto"/>
        <w:contextualSpacing/>
        <w:rPr>
          <w:rFonts w:eastAsia="Times New Roman" w:cs="Times New Roman"/>
          <w:color w:val="auto"/>
          <w:lang w:val="es-ES" w:eastAsia="es-ES"/>
        </w:rPr>
      </w:pPr>
      <w:r w:rsidRPr="001A6C0E">
        <w:rPr>
          <w:rFonts w:eastAsia="Times New Roman" w:cs="Times New Roman"/>
          <w:color w:val="auto"/>
          <w:lang w:val="es-ES" w:eastAsia="es-E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1A6C0E">
        <w:rPr>
          <w:rFonts w:eastAsia="Times New Roman" w:cs="Times New Roman"/>
          <w:color w:val="auto"/>
          <w:lang w:val="es-ES" w:eastAsia="es-ES"/>
        </w:rPr>
        <w:lastRenderedPageBreak/>
        <w:t>tampoco actualiza la clasificación, en términos del artículo 143, fracción I de la Ley de la materia.</w:t>
      </w:r>
    </w:p>
    <w:p w14:paraId="09AEF392" w14:textId="77777777" w:rsidR="00D53F31" w:rsidRPr="001A6C0E" w:rsidRDefault="00D53F31" w:rsidP="00D53F31">
      <w:pPr>
        <w:spacing w:line="360" w:lineRule="auto"/>
        <w:contextualSpacing/>
        <w:rPr>
          <w:rFonts w:eastAsia="Times New Roman" w:cs="Times New Roman"/>
          <w:b/>
          <w:color w:val="auto"/>
          <w:u w:val="single"/>
          <w:lang w:val="es-ES" w:eastAsia="es-ES"/>
        </w:rPr>
      </w:pPr>
    </w:p>
    <w:p w14:paraId="17C2D992" w14:textId="77777777" w:rsidR="00D53F31" w:rsidRPr="001A6C0E" w:rsidRDefault="00D53F31" w:rsidP="00D53F31">
      <w:pPr>
        <w:spacing w:line="360" w:lineRule="auto"/>
        <w:contextualSpacing/>
        <w:rPr>
          <w:rFonts w:eastAsia="Times New Roman" w:cs="Times New Roman"/>
          <w:color w:val="auto"/>
          <w:lang w:val="es-ES" w:eastAsia="es-ES"/>
        </w:rPr>
      </w:pPr>
      <w:r w:rsidRPr="001A6C0E">
        <w:rPr>
          <w:rFonts w:eastAsia="Times New Roman" w:cs="Times New Roman"/>
          <w:color w:val="auto"/>
          <w:lang w:val="es-ES" w:eastAsia="es-ES"/>
        </w:rPr>
        <w:t>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29216BFD" w14:textId="77777777" w:rsidR="00D53F31" w:rsidRPr="001A6C0E" w:rsidRDefault="00D53F31" w:rsidP="00D53F31">
      <w:pPr>
        <w:spacing w:line="360" w:lineRule="auto"/>
        <w:contextualSpacing/>
        <w:rPr>
          <w:rFonts w:eastAsia="Times New Roman" w:cs="Times New Roman"/>
          <w:color w:val="auto"/>
          <w:lang w:val="es-ES" w:eastAsia="es-ES"/>
        </w:rPr>
      </w:pPr>
    </w:p>
    <w:p w14:paraId="02389A5C" w14:textId="77777777" w:rsidR="00D53F31" w:rsidRPr="001A6C0E" w:rsidRDefault="00D53F31" w:rsidP="00D53F31">
      <w:pPr>
        <w:spacing w:line="360" w:lineRule="auto"/>
        <w:contextualSpacing/>
        <w:rPr>
          <w:rFonts w:eastAsia="Times New Roman" w:cs="Times New Roman"/>
          <w:color w:val="auto"/>
          <w:lang w:val="es-ES" w:eastAsia="es-ES"/>
        </w:rPr>
      </w:pPr>
      <w:r w:rsidRPr="001A6C0E">
        <w:rPr>
          <w:rFonts w:eastAsia="Calibri" w:cs="Tahoma"/>
          <w:bCs/>
          <w:color w:val="auto"/>
          <w:lang w:val="es-ES"/>
        </w:rPr>
        <w:t xml:space="preserve">Finalmente, en caso de que los sellos digitales del emisor y del Servicio de Administración Tributaria, cadena original del complemento de certificación digital, números de serie de los certificados de sellos digitales, folio fiscal, </w:t>
      </w:r>
      <w:r w:rsidRPr="001A6C0E">
        <w:rPr>
          <w:rFonts w:eastAsia="Calibri" w:cs="Tahoma"/>
          <w:b/>
          <w:bCs/>
          <w:color w:val="auto"/>
          <w:lang w:val="es-ES"/>
        </w:rPr>
        <w:t>se advierta que contenga</w:t>
      </w:r>
      <w:r w:rsidRPr="001A6C0E">
        <w:rPr>
          <w:rFonts w:eastAsia="Calibri" w:cs="Tahoma"/>
          <w:bCs/>
          <w:color w:val="auto"/>
          <w:lang w:val="es-ES"/>
        </w:rPr>
        <w:t xml:space="preserve"> </w:t>
      </w:r>
      <w:r w:rsidRPr="001A6C0E">
        <w:rPr>
          <w:rFonts w:eastAsia="Calibri" w:cs="Tahoma"/>
          <w:b/>
          <w:bCs/>
          <w:color w:val="auto"/>
          <w:lang w:val="es-ES"/>
        </w:rPr>
        <w:t>un dato personal</w:t>
      </w:r>
      <w:r w:rsidRPr="001A6C0E">
        <w:rPr>
          <w:rFonts w:eastAsia="Calibri" w:cs="Tahoma"/>
          <w:bCs/>
          <w:color w:val="auto"/>
          <w:lang w:val="es-ES"/>
        </w:rPr>
        <w:t xml:space="preserve"> como la Clave Única de Registro de Población, que pueda hacer identificable al titular del dato personal, deberá clasificarse al tenerse como dato personal y por ende información confidencial.</w:t>
      </w:r>
    </w:p>
    <w:p w14:paraId="3F4D9922" w14:textId="77777777" w:rsidR="00D53F31" w:rsidRDefault="00D53F31" w:rsidP="0049651D">
      <w:pPr>
        <w:tabs>
          <w:tab w:val="center" w:pos="4522"/>
        </w:tabs>
        <w:spacing w:after="0" w:line="360" w:lineRule="auto"/>
        <w:rPr>
          <w:color w:val="000000"/>
        </w:rPr>
      </w:pPr>
    </w:p>
    <w:p w14:paraId="6AEBACD9" w14:textId="13885E8E" w:rsidR="007C4E71" w:rsidRDefault="007C4E71" w:rsidP="0049651D">
      <w:pPr>
        <w:pStyle w:val="Prrafodelista"/>
        <w:numPr>
          <w:ilvl w:val="0"/>
          <w:numId w:val="13"/>
        </w:numPr>
        <w:tabs>
          <w:tab w:val="center" w:pos="4522"/>
        </w:tabs>
        <w:spacing w:line="360" w:lineRule="auto"/>
        <w:rPr>
          <w:b/>
          <w:color w:val="000000"/>
        </w:rPr>
      </w:pPr>
      <w:r w:rsidRPr="007C4E71">
        <w:rPr>
          <w:b/>
          <w:color w:val="000000"/>
        </w:rPr>
        <w:t>Cajero</w:t>
      </w:r>
      <w:r>
        <w:rPr>
          <w:b/>
          <w:color w:val="000000"/>
        </w:rPr>
        <w:t>.</w:t>
      </w:r>
    </w:p>
    <w:p w14:paraId="762D6A39" w14:textId="77777777" w:rsidR="007C4E71" w:rsidRDefault="007C4E71" w:rsidP="0049651D">
      <w:pPr>
        <w:pStyle w:val="Prrafodelista"/>
        <w:tabs>
          <w:tab w:val="center" w:pos="4522"/>
        </w:tabs>
        <w:spacing w:line="360" w:lineRule="auto"/>
        <w:rPr>
          <w:b/>
          <w:color w:val="000000"/>
        </w:rPr>
      </w:pPr>
    </w:p>
    <w:p w14:paraId="3E2E7CA0" w14:textId="71F8ABED" w:rsidR="00D53F31" w:rsidRPr="00D53F31" w:rsidRDefault="007C4E71" w:rsidP="00D53F31">
      <w:pPr>
        <w:tabs>
          <w:tab w:val="center" w:pos="4522"/>
        </w:tabs>
        <w:spacing w:after="0" w:line="360" w:lineRule="auto"/>
        <w:rPr>
          <w:color w:val="000000"/>
        </w:rPr>
      </w:pPr>
      <w:r w:rsidRPr="007C4E71">
        <w:rPr>
          <w:color w:val="000000"/>
        </w:rPr>
        <w:t xml:space="preserve">El término </w:t>
      </w:r>
      <w:r>
        <w:rPr>
          <w:color w:val="000000"/>
        </w:rPr>
        <w:t xml:space="preserve">cajero, deviene del nombre de la persona encargada de realizar las transacciones </w:t>
      </w:r>
      <w:r w:rsidRPr="007C4E71">
        <w:rPr>
          <w:color w:val="000000"/>
        </w:rPr>
        <w:t>financieras y comerciales en establecimientos</w:t>
      </w:r>
      <w:r w:rsidR="0049651D">
        <w:rPr>
          <w:color w:val="000000"/>
        </w:rPr>
        <w:t>; por lo que,</w:t>
      </w:r>
      <w:r w:rsidRPr="007C4E71">
        <w:rPr>
          <w:color w:val="000000"/>
        </w:rPr>
        <w:t xml:space="preserve"> son responsables de procesar pagos, gestionar devoluciones y mantener un registro preciso de las transacciones</w:t>
      </w:r>
      <w:r w:rsidR="0049651D">
        <w:rPr>
          <w:color w:val="000000"/>
        </w:rPr>
        <w:t>; en el presente caso se trata de personal de la Tesorería Municipal, pues el Ayuntamiento es el que emite el comprobante de pago.</w:t>
      </w:r>
      <w:r w:rsidR="00D53F31">
        <w:rPr>
          <w:color w:val="000000"/>
        </w:rPr>
        <w:t xml:space="preserve"> </w:t>
      </w:r>
      <w:r w:rsidR="00D53F31">
        <w:t>En ese contexto, la Ley de Transparencia y Acceso a la Información Pública del Estado de México y Municipios ha establecido que el nombre completo de servidores públicos, constituye una obligación de transparencia por parte de los sujetos obligados.</w:t>
      </w:r>
    </w:p>
    <w:p w14:paraId="14E4AFF1" w14:textId="77777777" w:rsidR="00D53F31" w:rsidRDefault="00D53F31" w:rsidP="00D53F31">
      <w:pPr>
        <w:spacing w:after="0" w:line="360" w:lineRule="auto"/>
        <w:rPr>
          <w:b/>
          <w:bCs/>
        </w:rPr>
      </w:pPr>
      <w:r>
        <w:lastRenderedPageBreak/>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Pr>
          <w:b/>
          <w:bCs/>
        </w:rPr>
        <w:t>el nombre del servidor público.</w:t>
      </w:r>
    </w:p>
    <w:p w14:paraId="243E78B5" w14:textId="77777777" w:rsidR="00D53F31" w:rsidRDefault="00D53F31" w:rsidP="00D53F31">
      <w:pPr>
        <w:spacing w:after="0" w:line="360" w:lineRule="auto"/>
      </w:pPr>
    </w:p>
    <w:p w14:paraId="0BA98E86" w14:textId="77777777" w:rsidR="00D53F31" w:rsidRDefault="00D53F31" w:rsidP="00D53F31">
      <w:pPr>
        <w:spacing w:after="0" w:line="360" w:lineRule="auto"/>
        <w:rPr>
          <w:b/>
          <w:bCs/>
        </w:rPr>
      </w:pPr>
      <w:r>
        <w:t xml:space="preserve">Conforme a lo anterior, el Sujeto Obligado tiene la obligación de publicar y hacer del conocimiento de la ciudadanía, el nombre completo de todos sus servidores públicos, por lo que, se logra advertir que el dato es público; así, se considera que Ente Recurrido deberá </w:t>
      </w:r>
      <w:r>
        <w:rPr>
          <w:b/>
          <w:bCs/>
        </w:rPr>
        <w:t>proporcionar dicho dato.</w:t>
      </w:r>
    </w:p>
    <w:p w14:paraId="59EBAF7A" w14:textId="77777777" w:rsidR="007427D1" w:rsidRDefault="007427D1" w:rsidP="0049651D">
      <w:pPr>
        <w:tabs>
          <w:tab w:val="center" w:pos="4522"/>
        </w:tabs>
        <w:spacing w:after="0" w:line="360" w:lineRule="auto"/>
        <w:rPr>
          <w:color w:val="000000"/>
        </w:rPr>
      </w:pPr>
    </w:p>
    <w:p w14:paraId="41B7B0D0" w14:textId="77777777" w:rsidR="007427D1" w:rsidRPr="00B0167F" w:rsidRDefault="007427D1" w:rsidP="0049651D">
      <w:pPr>
        <w:pStyle w:val="Prrafodelista"/>
        <w:numPr>
          <w:ilvl w:val="0"/>
          <w:numId w:val="13"/>
        </w:numPr>
        <w:tabs>
          <w:tab w:val="center" w:pos="4522"/>
        </w:tabs>
        <w:spacing w:line="360" w:lineRule="auto"/>
        <w:rPr>
          <w:b/>
          <w:bCs/>
          <w:color w:val="000000"/>
        </w:rPr>
      </w:pPr>
      <w:r w:rsidRPr="00B0167F">
        <w:rPr>
          <w:b/>
          <w:bCs/>
          <w:color w:val="000000"/>
        </w:rPr>
        <w:t xml:space="preserve">Lugar de Expedición de la factura </w:t>
      </w:r>
    </w:p>
    <w:p w14:paraId="3F06FF11" w14:textId="77777777" w:rsidR="007427D1" w:rsidRDefault="007427D1" w:rsidP="0049651D">
      <w:pPr>
        <w:tabs>
          <w:tab w:val="center" w:pos="4522"/>
        </w:tabs>
        <w:spacing w:after="0" w:line="360" w:lineRule="auto"/>
        <w:rPr>
          <w:color w:val="000000"/>
        </w:rPr>
      </w:pPr>
    </w:p>
    <w:p w14:paraId="0A741169" w14:textId="77777777" w:rsidR="007427D1" w:rsidRDefault="007427D1" w:rsidP="0049651D">
      <w:pPr>
        <w:tabs>
          <w:tab w:val="center" w:pos="4522"/>
        </w:tabs>
        <w:spacing w:after="0" w:line="360" w:lineRule="auto"/>
        <w:rPr>
          <w:color w:val="000000"/>
        </w:rPr>
      </w:pPr>
      <w:r w:rsidRPr="00B0167F">
        <w:rPr>
          <w:color w:val="000000"/>
        </w:rPr>
        <w:t>El lugar de expedición es un dato que se debe llenar dentro de las facturas y que corresponde al código postal del lugar de expedición del comprobante digital fiscal por internet (domicilio de la matriz o de la sucursal), mismo que debe concordar con el domicilio fiscal o de</w:t>
      </w:r>
      <w:r>
        <w:rPr>
          <w:color w:val="000000"/>
        </w:rPr>
        <w:t xml:space="preserve"> </w:t>
      </w:r>
      <w:r w:rsidRPr="00B0167F">
        <w:rPr>
          <w:color w:val="000000"/>
        </w:rPr>
        <w:t>expedición de la factura, que tal como se señaló previamente, dichos datos son de naturaleza pública. Por tal circunstancia, el dato en análisis ayuda a verificar que este coincida con el domicilio de la empresa, el cual es público, corre los mismos efectos y, por lo tanto, no actualiza la causal de clasificación establecida en el artículo 143, fracción I, de la Ley de Transparencia y Acceso a la Información Pública del Estado de México y Municipios.</w:t>
      </w:r>
    </w:p>
    <w:p w14:paraId="21CCA1A5" w14:textId="77777777" w:rsidR="007427D1" w:rsidRDefault="007427D1" w:rsidP="0049651D">
      <w:pPr>
        <w:tabs>
          <w:tab w:val="center" w:pos="4522"/>
        </w:tabs>
        <w:spacing w:after="0" w:line="360" w:lineRule="auto"/>
        <w:rPr>
          <w:color w:val="000000"/>
        </w:rPr>
      </w:pPr>
    </w:p>
    <w:p w14:paraId="558021B8" w14:textId="505A867F" w:rsidR="00D53F31" w:rsidRDefault="00D53F31" w:rsidP="0049651D">
      <w:pPr>
        <w:tabs>
          <w:tab w:val="center" w:pos="4522"/>
        </w:tabs>
        <w:spacing w:after="0" w:line="360" w:lineRule="auto"/>
        <w:rPr>
          <w:color w:val="000000"/>
        </w:rPr>
      </w:pPr>
      <w:r>
        <w:rPr>
          <w:color w:val="000000"/>
        </w:rPr>
        <w:t xml:space="preserve">Conforme a lo anterior, se logra vislumbrar que el Sujeto Obligado clasificó datos de naturaleza pública, lo cual da como resultado quue el agravio sea </w:t>
      </w:r>
      <w:r>
        <w:rPr>
          <w:b/>
          <w:bCs/>
          <w:color w:val="000000"/>
        </w:rPr>
        <w:t>FUNDADO</w:t>
      </w:r>
      <w:r>
        <w:rPr>
          <w:color w:val="000000"/>
        </w:rPr>
        <w:t xml:space="preserve">; por lo que, para atender el requerimiento de información, deberá proporcionar las facturas proporcionadas en respuesta, en donde teste los datos confidenciales, conforme a lo </w:t>
      </w:r>
      <w:r>
        <w:rPr>
          <w:color w:val="000000"/>
        </w:rPr>
        <w:lastRenderedPageBreak/>
        <w:t>analizado en párrafos previos, dejando los visibles principalmente los datos de proveedores y contratistas.</w:t>
      </w:r>
    </w:p>
    <w:p w14:paraId="55788658" w14:textId="77777777" w:rsidR="00D53F31" w:rsidRDefault="00D53F31" w:rsidP="0049651D">
      <w:pPr>
        <w:tabs>
          <w:tab w:val="center" w:pos="4522"/>
        </w:tabs>
        <w:spacing w:after="0" w:line="360" w:lineRule="auto"/>
        <w:rPr>
          <w:color w:val="000000"/>
        </w:rPr>
      </w:pPr>
    </w:p>
    <w:p w14:paraId="5F714244" w14:textId="6D79BB73" w:rsidR="00C41A57" w:rsidRDefault="007427D1" w:rsidP="0049651D">
      <w:pPr>
        <w:spacing w:after="0" w:line="360" w:lineRule="auto"/>
        <w:rPr>
          <w:color w:val="000000"/>
        </w:rPr>
      </w:pPr>
      <w:r>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39B86FA" w14:textId="17080B4A" w:rsidR="0036253E" w:rsidRPr="00C41A57" w:rsidRDefault="0036253E" w:rsidP="0049651D">
      <w:pPr>
        <w:spacing w:after="0" w:line="360" w:lineRule="auto"/>
        <w:rPr>
          <w:rFonts w:eastAsia="Times New Roman" w:cs="Tahoma"/>
          <w:bCs/>
          <w:color w:val="0D0D0D"/>
          <w:szCs w:val="24"/>
          <w:lang w:eastAsia="es-ES"/>
        </w:rPr>
      </w:pPr>
    </w:p>
    <w:p w14:paraId="269E772A" w14:textId="630B7409" w:rsidR="00023BBD" w:rsidRPr="0050318E" w:rsidRDefault="00023BBD" w:rsidP="0049651D">
      <w:pPr>
        <w:pStyle w:val="Ttulo2"/>
        <w:spacing w:before="0" w:after="0" w:line="360" w:lineRule="auto"/>
        <w:rPr>
          <w:sz w:val="22"/>
          <w:szCs w:val="22"/>
        </w:rPr>
      </w:pPr>
      <w:bookmarkStart w:id="26" w:name="_Toc191568348"/>
      <w:bookmarkStart w:id="27" w:name="_Toc226636549"/>
      <w:r w:rsidRPr="0050318E">
        <w:rPr>
          <w:sz w:val="22"/>
          <w:szCs w:val="22"/>
        </w:rPr>
        <w:t>SEXTO. Decisión</w:t>
      </w:r>
      <w:bookmarkEnd w:id="26"/>
      <w:bookmarkEnd w:id="27"/>
    </w:p>
    <w:p w14:paraId="284E5323" w14:textId="77777777" w:rsidR="00023BBD" w:rsidRPr="0050318E" w:rsidRDefault="00023BBD" w:rsidP="0049651D">
      <w:pPr>
        <w:spacing w:after="0" w:line="360" w:lineRule="auto"/>
        <w:contextualSpacing/>
        <w:rPr>
          <w:rFonts w:eastAsia="Calibri" w:cs="Tahoma"/>
          <w:b/>
        </w:rPr>
      </w:pPr>
    </w:p>
    <w:p w14:paraId="5FD82720" w14:textId="336CCD42" w:rsidR="00023BBD" w:rsidRPr="00595465" w:rsidRDefault="00023BBD" w:rsidP="0049651D">
      <w:pPr>
        <w:spacing w:after="0" w:line="360" w:lineRule="auto"/>
      </w:pPr>
      <w:r w:rsidRPr="0050318E">
        <w:t xml:space="preserve">De acuerdo con lo expuesto y, con fundamento en el artículo 186, fracción III, de la Ley de Transparencia y Acceso a la Información Pública del Estado de México y Municipios, este Instituto considera procedente </w:t>
      </w:r>
      <w:r w:rsidR="00C95A8A">
        <w:rPr>
          <w:b/>
        </w:rPr>
        <w:t>MODIFI</w:t>
      </w:r>
      <w:r w:rsidRPr="0050318E">
        <w:rPr>
          <w:b/>
        </w:rPr>
        <w:t xml:space="preserve">CAR </w:t>
      </w:r>
      <w:r w:rsidRPr="0050318E">
        <w:t xml:space="preserve">la respuesta del </w:t>
      </w:r>
      <w:r w:rsidR="00C95A8A" w:rsidRPr="00C95A8A">
        <w:t xml:space="preserve">Ayuntamiento </w:t>
      </w:r>
      <w:r w:rsidR="00E457F0">
        <w:t xml:space="preserve">de </w:t>
      </w:r>
      <w:r w:rsidR="009F5DDA">
        <w:t>Otzolotepec</w:t>
      </w:r>
      <w:r w:rsidRPr="0050318E">
        <w:rPr>
          <w:b/>
        </w:rPr>
        <w:t xml:space="preserve"> </w:t>
      </w:r>
      <w:r w:rsidRPr="0050318E">
        <w:t xml:space="preserve">a efecto de que </w:t>
      </w:r>
      <w:r w:rsidR="00E457F0">
        <w:t>entregue las facturas emitidas en respuesta</w:t>
      </w:r>
      <w:r w:rsidR="00595465">
        <w:rPr>
          <w:i/>
          <w:iCs/>
        </w:rPr>
        <w:t xml:space="preserve">, </w:t>
      </w:r>
      <w:r w:rsidR="00595465">
        <w:t>en versión pública.</w:t>
      </w:r>
    </w:p>
    <w:p w14:paraId="43E190CB" w14:textId="77777777" w:rsidR="00C95A8A" w:rsidRDefault="00C95A8A" w:rsidP="0049651D">
      <w:pPr>
        <w:spacing w:after="0" w:line="360" w:lineRule="auto"/>
      </w:pPr>
    </w:p>
    <w:p w14:paraId="7DE94745" w14:textId="243A0B20" w:rsidR="00023BBD" w:rsidRPr="0050318E" w:rsidRDefault="00023BBD" w:rsidP="0049651D">
      <w:pPr>
        <w:spacing w:after="0" w:line="360" w:lineRule="auto"/>
        <w:contextualSpacing/>
        <w:rPr>
          <w:rFonts w:eastAsia="Calibri" w:cs="Tahoma"/>
          <w:b/>
          <w:bCs/>
        </w:rPr>
      </w:pPr>
      <w:r w:rsidRPr="0050318E">
        <w:rPr>
          <w:rFonts w:eastAsia="Calibri" w:cs="Tahoma"/>
          <w:b/>
          <w:bCs/>
        </w:rPr>
        <w:t>Términos de la Resolución para conocimiento del Particular</w:t>
      </w:r>
    </w:p>
    <w:p w14:paraId="44130D05" w14:textId="77777777" w:rsidR="00A37912" w:rsidRPr="0050318E" w:rsidRDefault="00A37912" w:rsidP="0049651D">
      <w:pPr>
        <w:spacing w:after="0" w:line="360" w:lineRule="auto"/>
        <w:contextualSpacing/>
        <w:rPr>
          <w:rFonts w:eastAsia="Calibri" w:cs="Tahoma"/>
          <w:b/>
          <w:bCs/>
        </w:rPr>
      </w:pPr>
    </w:p>
    <w:p w14:paraId="3D6657C1" w14:textId="1C0B244F" w:rsidR="00E457F0" w:rsidRDefault="00023BBD" w:rsidP="0049651D">
      <w:pPr>
        <w:spacing w:after="0" w:line="360" w:lineRule="auto"/>
      </w:pPr>
      <w:r w:rsidRPr="0050318E">
        <w:t xml:space="preserve">Se le hace del conocimiento a la persona Recurrente que, en el presente asunto, se le da la razón, pues </w:t>
      </w:r>
      <w:r w:rsidR="00992901" w:rsidRPr="0050318E">
        <w:t xml:space="preserve">el Sujeto Obligado, </w:t>
      </w:r>
      <w:r w:rsidR="00C95A8A" w:rsidRPr="00C95A8A">
        <w:rPr>
          <w:rFonts w:eastAsia="Calibri" w:cs="Tahoma"/>
          <w:bCs/>
          <w:iCs/>
          <w:color w:val="auto"/>
          <w:lang w:val="es-ES" w:eastAsia="en-US"/>
        </w:rPr>
        <w:t xml:space="preserve">entregó la información de </w:t>
      </w:r>
      <w:r w:rsidR="009F5DDA">
        <w:rPr>
          <w:rFonts w:eastAsia="Calibri" w:cs="Tahoma"/>
          <w:bCs/>
          <w:iCs/>
          <w:color w:val="auto"/>
          <w:lang w:val="es-ES" w:eastAsia="en-US"/>
        </w:rPr>
        <w:t>manera incorrecta</w:t>
      </w:r>
      <w:r w:rsidR="00962C51" w:rsidRPr="0050318E">
        <w:t xml:space="preserve">, </w:t>
      </w:r>
      <w:r w:rsidR="00992901" w:rsidRPr="0050318E">
        <w:t>por lo que, deberá hacer la entrega de la información solicitad</w:t>
      </w:r>
      <w:r w:rsidR="00C95A8A">
        <w:t xml:space="preserve">a </w:t>
      </w:r>
      <w:r w:rsidR="009F5DDA">
        <w:t>de manera correcta.</w:t>
      </w:r>
      <w:r w:rsidR="00C95A8A">
        <w:t xml:space="preserve"> </w:t>
      </w:r>
    </w:p>
    <w:p w14:paraId="51C9D074" w14:textId="77777777" w:rsidR="00E457F0" w:rsidRDefault="00E457F0" w:rsidP="0049651D">
      <w:pPr>
        <w:spacing w:after="0" w:line="360" w:lineRule="auto"/>
      </w:pPr>
    </w:p>
    <w:p w14:paraId="61C50A55" w14:textId="1A4160F4" w:rsidR="00023BBD" w:rsidRDefault="00023BBD" w:rsidP="0049651D">
      <w:pPr>
        <w:spacing w:after="0" w:line="360" w:lineRule="auto"/>
        <w:rPr>
          <w:color w:val="000000"/>
        </w:rPr>
      </w:pPr>
      <w:r w:rsidRPr="0050318E">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9314250" w14:textId="77777777" w:rsidR="00E457F0" w:rsidRPr="0050318E" w:rsidRDefault="00E457F0" w:rsidP="0049651D">
      <w:pPr>
        <w:spacing w:after="0" w:line="360" w:lineRule="auto"/>
      </w:pPr>
    </w:p>
    <w:p w14:paraId="2915D3C0" w14:textId="2028159D" w:rsidR="00023BBD" w:rsidRPr="0050318E" w:rsidRDefault="00023BBD" w:rsidP="0049651D">
      <w:pPr>
        <w:spacing w:after="0" w:line="360" w:lineRule="auto"/>
        <w:contextualSpacing/>
        <w:rPr>
          <w:rFonts w:eastAsia="Calibri"/>
        </w:rPr>
      </w:pPr>
      <w:r w:rsidRPr="0050318E">
        <w:rPr>
          <w:rFonts w:eastAsia="Calibri"/>
        </w:rPr>
        <w:lastRenderedPageBreak/>
        <w:t>Por lo expuesto y fundado, este Pleno:</w:t>
      </w:r>
    </w:p>
    <w:p w14:paraId="75930DFA" w14:textId="77777777" w:rsidR="00A37912" w:rsidRPr="0050318E" w:rsidRDefault="00A37912" w:rsidP="0049651D">
      <w:pPr>
        <w:spacing w:after="0" w:line="360" w:lineRule="auto"/>
        <w:contextualSpacing/>
        <w:rPr>
          <w:rFonts w:eastAsia="Calibri"/>
        </w:rPr>
      </w:pPr>
    </w:p>
    <w:p w14:paraId="456932CF" w14:textId="77777777" w:rsidR="00023BBD" w:rsidRPr="0050318E" w:rsidRDefault="00023BBD" w:rsidP="0049651D">
      <w:pPr>
        <w:pStyle w:val="Ttulo1"/>
        <w:spacing w:before="0" w:after="0" w:line="360" w:lineRule="auto"/>
        <w:jc w:val="center"/>
        <w:rPr>
          <w:sz w:val="22"/>
          <w:szCs w:val="22"/>
        </w:rPr>
      </w:pPr>
      <w:bookmarkStart w:id="28" w:name="_Toc191568349"/>
      <w:bookmarkStart w:id="29" w:name="_Toc226636550"/>
      <w:r w:rsidRPr="0050318E">
        <w:rPr>
          <w:sz w:val="22"/>
          <w:szCs w:val="22"/>
        </w:rPr>
        <w:t>R E S U E L V E</w:t>
      </w:r>
      <w:bookmarkEnd w:id="28"/>
      <w:bookmarkEnd w:id="29"/>
    </w:p>
    <w:p w14:paraId="5CA20C9A" w14:textId="77777777" w:rsidR="00A37912" w:rsidRPr="0050318E" w:rsidRDefault="00A37912" w:rsidP="0049651D">
      <w:pPr>
        <w:spacing w:after="0" w:line="360" w:lineRule="auto"/>
        <w:contextualSpacing/>
        <w:rPr>
          <w:rFonts w:eastAsia="Calibri"/>
          <w:b/>
          <w:bCs/>
        </w:rPr>
      </w:pPr>
    </w:p>
    <w:p w14:paraId="73A6414B" w14:textId="3EBAB6A3" w:rsidR="00023BBD" w:rsidRPr="0050318E" w:rsidRDefault="00023BBD" w:rsidP="0049651D">
      <w:pPr>
        <w:spacing w:after="0" w:line="360" w:lineRule="auto"/>
        <w:contextualSpacing/>
        <w:rPr>
          <w:bCs/>
        </w:rPr>
      </w:pPr>
      <w:r w:rsidRPr="0050318E">
        <w:rPr>
          <w:rFonts w:cs="Tahoma"/>
          <w:b/>
          <w:bCs/>
        </w:rPr>
        <w:t xml:space="preserve">PRIMERO. </w:t>
      </w:r>
      <w:r w:rsidRPr="0050318E">
        <w:rPr>
          <w:rFonts w:cs="Tahoma"/>
          <w:bCs/>
        </w:rPr>
        <w:t xml:space="preserve">Se </w:t>
      </w:r>
      <w:r w:rsidR="00C95A8A">
        <w:rPr>
          <w:rFonts w:cs="Tahoma"/>
          <w:b/>
          <w:bCs/>
        </w:rPr>
        <w:t>MODIFI</w:t>
      </w:r>
      <w:r w:rsidRPr="0050318E">
        <w:rPr>
          <w:rFonts w:cs="Tahoma"/>
          <w:b/>
          <w:bCs/>
        </w:rPr>
        <w:t xml:space="preserve">CA </w:t>
      </w:r>
      <w:r w:rsidRPr="0050318E">
        <w:rPr>
          <w:rFonts w:cs="Tahoma"/>
          <w:bCs/>
        </w:rPr>
        <w:t xml:space="preserve">la respuesta entregada por el </w:t>
      </w:r>
      <w:r w:rsidR="00C95A8A" w:rsidRPr="00C95A8A">
        <w:rPr>
          <w:rFonts w:cs="Tahoma"/>
          <w:bCs/>
        </w:rPr>
        <w:t xml:space="preserve">Ayuntamiento de </w:t>
      </w:r>
      <w:r w:rsidR="00EC41EC">
        <w:rPr>
          <w:rFonts w:cs="Tahoma"/>
          <w:bCs/>
        </w:rPr>
        <w:t>Otzolotepec</w:t>
      </w:r>
      <w:r w:rsidRPr="0050318E">
        <w:rPr>
          <w:rFonts w:cs="Tahoma"/>
          <w:bCs/>
        </w:rPr>
        <w:t>, a la solicitud de información</w:t>
      </w:r>
      <w:r w:rsidR="003D35DB" w:rsidRPr="0050318E">
        <w:t xml:space="preserve"> </w:t>
      </w:r>
      <w:r w:rsidR="00EC41EC">
        <w:t>00264/OTZOLOTE/IP/2025</w:t>
      </w:r>
      <w:r w:rsidRPr="0050318E">
        <w:rPr>
          <w:bCs/>
        </w:rPr>
        <w:t xml:space="preserve">, por resultar </w:t>
      </w:r>
      <w:r w:rsidRPr="0050318E">
        <w:rPr>
          <w:b/>
          <w:bCs/>
        </w:rPr>
        <w:t>FUNDADAS</w:t>
      </w:r>
      <w:r w:rsidRPr="0050318E">
        <w:rPr>
          <w:rFonts w:cs="Tahoma"/>
          <w:b/>
          <w:bCs/>
        </w:rPr>
        <w:t xml:space="preserve"> </w:t>
      </w:r>
      <w:r w:rsidRPr="0050318E">
        <w:rPr>
          <w:rFonts w:eastAsia="Calibri" w:cs="Tahoma"/>
          <w:bCs/>
        </w:rPr>
        <w:t>las razones o motivos de inconformidad hechos valer por el Recurrente</w:t>
      </w:r>
      <w:r w:rsidRPr="0050318E">
        <w:rPr>
          <w:rFonts w:cs="Tahoma"/>
          <w:bCs/>
        </w:rPr>
        <w:t xml:space="preserve">, </w:t>
      </w:r>
      <w:r w:rsidRPr="0050318E">
        <w:rPr>
          <w:rFonts w:eastAsia="Calibri" w:cs="Tahoma"/>
          <w:bCs/>
        </w:rPr>
        <w:t>en términos de los considerandos QUINTO y SEXTO de la presente Resolución.</w:t>
      </w:r>
    </w:p>
    <w:p w14:paraId="4C23DF18" w14:textId="77777777" w:rsidR="00023BBD" w:rsidRPr="0050318E" w:rsidRDefault="00023BBD" w:rsidP="0049651D">
      <w:pPr>
        <w:spacing w:after="0" w:line="360" w:lineRule="auto"/>
        <w:contextualSpacing/>
        <w:rPr>
          <w:rFonts w:eastAsia="Times New Roman" w:cs="Tahoma"/>
          <w:bCs/>
          <w:lang w:eastAsia="es-ES"/>
        </w:rPr>
      </w:pPr>
    </w:p>
    <w:p w14:paraId="17327782" w14:textId="1828503E" w:rsidR="00023BBD" w:rsidRPr="0050318E" w:rsidRDefault="00023BBD" w:rsidP="0049651D">
      <w:pPr>
        <w:spacing w:after="0" w:line="360" w:lineRule="auto"/>
      </w:pPr>
      <w:r w:rsidRPr="0050318E">
        <w:rPr>
          <w:rFonts w:cs="Tahoma"/>
          <w:b/>
          <w:bCs/>
        </w:rPr>
        <w:t xml:space="preserve">SEGUNDO. </w:t>
      </w:r>
      <w:r w:rsidRPr="0050318E">
        <w:t xml:space="preserve">Se </w:t>
      </w:r>
      <w:r w:rsidRPr="0050318E">
        <w:rPr>
          <w:b/>
        </w:rPr>
        <w:t>ORDENA</w:t>
      </w:r>
      <w:r w:rsidRPr="0050318E">
        <w:t xml:space="preserve"> al Ente Recurrido</w:t>
      </w:r>
      <w:r w:rsidRPr="0050318E">
        <w:rPr>
          <w:b/>
        </w:rPr>
        <w:t xml:space="preserve">, </w:t>
      </w:r>
      <w:r w:rsidRPr="0050318E">
        <w:t>a efecto de que entregue a través del Sistema de Acceso a la Información Mexiquense (SAIMEX), en</w:t>
      </w:r>
      <w:r w:rsidR="00B7318F">
        <w:t xml:space="preserve"> su caso, en</w:t>
      </w:r>
      <w:r w:rsidRPr="0050318E">
        <w:t xml:space="preserve"> versión pública,</w:t>
      </w:r>
      <w:r w:rsidR="00EC41EC">
        <w:t xml:space="preserve"> </w:t>
      </w:r>
      <w:r w:rsidR="004B27E7" w:rsidRPr="0050318E">
        <w:t>lo siguiente</w:t>
      </w:r>
      <w:r w:rsidRPr="0050318E">
        <w:t>:</w:t>
      </w:r>
    </w:p>
    <w:p w14:paraId="3BB3E9FF" w14:textId="77777777" w:rsidR="000D0301" w:rsidRPr="0050318E" w:rsidRDefault="000D0301" w:rsidP="0049651D">
      <w:pPr>
        <w:spacing w:after="0" w:line="360" w:lineRule="auto"/>
      </w:pPr>
    </w:p>
    <w:p w14:paraId="59F02725" w14:textId="177FB27F" w:rsidR="00377047" w:rsidRPr="00595465" w:rsidRDefault="00E457F0" w:rsidP="0049651D">
      <w:pPr>
        <w:pStyle w:val="Prrafodelista"/>
        <w:numPr>
          <w:ilvl w:val="0"/>
          <w:numId w:val="1"/>
        </w:numPr>
        <w:spacing w:line="360" w:lineRule="auto"/>
        <w:rPr>
          <w:i/>
          <w:iCs/>
          <w:color w:val="000000"/>
        </w:rPr>
      </w:pPr>
      <w:r>
        <w:rPr>
          <w:color w:val="000000"/>
        </w:rPr>
        <w:t>Las Facturas entregadas</w:t>
      </w:r>
      <w:r w:rsidR="00595465">
        <w:rPr>
          <w:color w:val="000000"/>
        </w:rPr>
        <w:t xml:space="preserve"> en respuesta</w:t>
      </w:r>
      <w:r w:rsidR="00D53F31">
        <w:rPr>
          <w:color w:val="000000"/>
        </w:rPr>
        <w:t>, en términoso del Considerando QUINTO</w:t>
      </w:r>
      <w:r w:rsidR="00595465">
        <w:rPr>
          <w:color w:val="000000"/>
        </w:rPr>
        <w:t>.</w:t>
      </w:r>
    </w:p>
    <w:p w14:paraId="29FBD103" w14:textId="77777777" w:rsidR="00E361ED" w:rsidRPr="0050318E" w:rsidRDefault="00E361ED" w:rsidP="0049651D">
      <w:pPr>
        <w:pStyle w:val="Prrafodelista"/>
        <w:spacing w:line="360" w:lineRule="auto"/>
        <w:rPr>
          <w:color w:val="000000"/>
        </w:rPr>
      </w:pPr>
    </w:p>
    <w:p w14:paraId="54A6FCDD" w14:textId="1765B838" w:rsidR="00023BBD" w:rsidRPr="0050318E" w:rsidRDefault="00023BBD" w:rsidP="0049651D">
      <w:pPr>
        <w:spacing w:after="0" w:line="360" w:lineRule="auto"/>
        <w:rPr>
          <w:rFonts w:cs="Tahoma"/>
          <w:bCs/>
          <w:iCs/>
          <w:lang w:eastAsia="es-ES"/>
        </w:rPr>
      </w:pPr>
      <w:r w:rsidRPr="0050318E">
        <w:rPr>
          <w:color w:val="000000"/>
        </w:rPr>
        <w:t xml:space="preserve">Además, </w:t>
      </w:r>
      <w:r w:rsidR="006059DA" w:rsidRPr="0050318E">
        <w:rPr>
          <w:rFonts w:cs="Tahoma"/>
          <w:bCs/>
          <w:iCs/>
          <w:lang w:eastAsia="es-ES"/>
        </w:rPr>
        <w:t>deberá proporcionar el Acuerdo de Clasificación donde el Comité de Transparencia, confirme la eliminación de los datos</w:t>
      </w:r>
      <w:r w:rsidR="00595465">
        <w:rPr>
          <w:rFonts w:cs="Tahoma"/>
          <w:bCs/>
          <w:iCs/>
          <w:lang w:eastAsia="es-ES"/>
        </w:rPr>
        <w:t>, conforme a lo analizado en le Considerando QUINTO</w:t>
      </w:r>
      <w:r w:rsidR="006059DA" w:rsidRPr="0050318E">
        <w:rPr>
          <w:rFonts w:cs="Tahoma"/>
          <w:bCs/>
          <w:iCs/>
          <w:lang w:eastAsia="es-ES"/>
        </w:rPr>
        <w:t>, en la versión pública, de conformidad con los artículos 49, fracciones II y VIII y 132, fracción II de la Ley de Transparencia y Acceso a la Información Pública del Estado de México y Municipios.</w:t>
      </w:r>
    </w:p>
    <w:p w14:paraId="2496561D" w14:textId="77777777" w:rsidR="002822A3" w:rsidRPr="0050318E" w:rsidRDefault="002822A3" w:rsidP="0049651D">
      <w:pPr>
        <w:spacing w:after="0" w:line="360" w:lineRule="auto"/>
        <w:ind w:right="-91"/>
        <w:contextualSpacing/>
        <w:rPr>
          <w:rFonts w:eastAsia="Calibri" w:cs="Tahoma"/>
          <w:b/>
          <w:bCs/>
        </w:rPr>
      </w:pPr>
    </w:p>
    <w:p w14:paraId="253F8D91" w14:textId="51D49033" w:rsidR="00023BBD" w:rsidRPr="0050318E" w:rsidRDefault="00023BBD" w:rsidP="0049651D">
      <w:pPr>
        <w:spacing w:after="0" w:line="360" w:lineRule="auto"/>
        <w:ind w:right="-28"/>
        <w:contextualSpacing/>
        <w:rPr>
          <w:rFonts w:cs="Tahoma"/>
          <w:b/>
          <w:iCs/>
        </w:rPr>
      </w:pPr>
      <w:r w:rsidRPr="0050318E">
        <w:rPr>
          <w:rFonts w:eastAsia="Calibri" w:cs="Tahoma"/>
          <w:b/>
          <w:bCs/>
        </w:rPr>
        <w:t xml:space="preserve">TERCERO. </w:t>
      </w:r>
      <w:r w:rsidRPr="0050318E">
        <w:rPr>
          <w:rFonts w:cs="Tahoma"/>
          <w:b/>
          <w:bCs/>
          <w:iCs/>
        </w:rPr>
        <w:t>NOTIFÍQUESE</w:t>
      </w:r>
      <w:r w:rsidR="00006A45" w:rsidRPr="0050318E">
        <w:rPr>
          <w:rFonts w:cs="Tahoma"/>
          <w:b/>
          <w:bCs/>
          <w:iCs/>
        </w:rPr>
        <w:t xml:space="preserve"> POR SAIMEX</w:t>
      </w:r>
      <w:r w:rsidRPr="0050318E">
        <w:rPr>
          <w:rFonts w:cs="Tahoma"/>
          <w:b/>
          <w:bCs/>
          <w:iCs/>
        </w:rPr>
        <w:t xml:space="preserve"> </w:t>
      </w:r>
      <w:r w:rsidRPr="0050318E">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50318E">
        <w:rPr>
          <w:rFonts w:cs="Tahoma"/>
          <w:bCs/>
          <w:iCs/>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226C101" w14:textId="77777777" w:rsidR="00023BBD" w:rsidRPr="0050318E" w:rsidRDefault="00023BBD" w:rsidP="0049651D">
      <w:pPr>
        <w:spacing w:after="0" w:line="360" w:lineRule="auto"/>
        <w:ind w:right="-28"/>
        <w:contextualSpacing/>
        <w:rPr>
          <w:rFonts w:eastAsia="Calibri" w:cs="Tahoma"/>
          <w:color w:val="000000"/>
          <w:lang w:val="es-ES"/>
        </w:rPr>
      </w:pPr>
    </w:p>
    <w:p w14:paraId="73C70838" w14:textId="29CCAFE5" w:rsidR="00023BBD" w:rsidRPr="0050318E" w:rsidRDefault="00023BBD" w:rsidP="0049651D">
      <w:pPr>
        <w:spacing w:after="0" w:line="360" w:lineRule="auto"/>
        <w:contextualSpacing/>
        <w:rPr>
          <w:rFonts w:eastAsia="Calibri" w:cs="Tahoma"/>
          <w:iCs/>
          <w:color w:val="000000"/>
        </w:rPr>
      </w:pPr>
      <w:r w:rsidRPr="0050318E">
        <w:rPr>
          <w:rFonts w:eastAsia="Calibri" w:cs="Tahoma"/>
          <w:iCs/>
          <w:color w:val="000000"/>
        </w:rPr>
        <w:t xml:space="preserve">De conformidad con el artículo 198 de la </w:t>
      </w:r>
      <w:r w:rsidR="00595465" w:rsidRPr="0050318E">
        <w:rPr>
          <w:rFonts w:cs="Tahoma"/>
          <w:bCs/>
          <w:iCs/>
        </w:rPr>
        <w:t>Ley de Transparencia y Acceso a la Información Pública del Estado de México y Municipios</w:t>
      </w:r>
      <w:r w:rsidRPr="0050318E">
        <w:rPr>
          <w:rFonts w:eastAsia="Calibri" w:cs="Tahoma"/>
          <w:iCs/>
          <w:color w:val="000000"/>
        </w:rPr>
        <w:t>, de considerarlo procedente, el Sujeto Obligado de manera fundada y motivada, podrá solicitar una ampliación de plazo para el cumplimiento de la presente resolución.</w:t>
      </w:r>
    </w:p>
    <w:p w14:paraId="359349C6" w14:textId="77777777" w:rsidR="00023BBD" w:rsidRPr="0050318E" w:rsidRDefault="00023BBD" w:rsidP="0049651D">
      <w:pPr>
        <w:spacing w:after="0" w:line="360" w:lineRule="auto"/>
        <w:contextualSpacing/>
        <w:rPr>
          <w:rFonts w:eastAsia="Calibri" w:cs="Tahoma"/>
          <w:color w:val="000000"/>
          <w:lang w:val="es-ES"/>
        </w:rPr>
      </w:pPr>
    </w:p>
    <w:p w14:paraId="6E820D77" w14:textId="79DF8AD1" w:rsidR="00023BBD" w:rsidRDefault="00023BBD" w:rsidP="0049651D">
      <w:pPr>
        <w:spacing w:after="0" w:line="360" w:lineRule="auto"/>
        <w:contextualSpacing/>
        <w:rPr>
          <w:rFonts w:cs="Tahoma"/>
        </w:rPr>
      </w:pPr>
      <w:r w:rsidRPr="0050318E">
        <w:rPr>
          <w:rFonts w:eastAsia="Calibri" w:cs="Tahoma"/>
          <w:b/>
        </w:rPr>
        <w:t>CUARTO</w:t>
      </w:r>
      <w:r w:rsidRPr="0050318E">
        <w:rPr>
          <w:rFonts w:eastAsia="Calibri" w:cs="Tahoma"/>
          <w:b/>
          <w:bCs/>
        </w:rPr>
        <w:t xml:space="preserve">. </w:t>
      </w:r>
      <w:r w:rsidRPr="0050318E">
        <w:rPr>
          <w:rFonts w:cs="Tahoma"/>
          <w:b/>
        </w:rPr>
        <w:t>NOTIFÍQUESE</w:t>
      </w:r>
      <w:r w:rsidR="00006A45" w:rsidRPr="0050318E">
        <w:rPr>
          <w:rFonts w:cs="Tahoma"/>
          <w:b/>
        </w:rPr>
        <w:t xml:space="preserve"> POR SAIMEX</w:t>
      </w:r>
      <w:r w:rsidRPr="0050318E">
        <w:rPr>
          <w:rFonts w:cs="Tahoma"/>
        </w:rPr>
        <w:t xml:space="preserve"> a</w:t>
      </w:r>
      <w:r w:rsidR="00006A45" w:rsidRPr="0050318E">
        <w:rPr>
          <w:rFonts w:cs="Tahoma"/>
        </w:rPr>
        <w:t xml:space="preserve"> la persona</w:t>
      </w:r>
      <w:r w:rsidRPr="0050318E">
        <w:rPr>
          <w:rFonts w:cs="Tahoma"/>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940FEF" w14:textId="77777777" w:rsidR="003F1E2A" w:rsidRDefault="003F1E2A" w:rsidP="0049651D">
      <w:pPr>
        <w:spacing w:after="0" w:line="360" w:lineRule="auto"/>
        <w:contextualSpacing/>
        <w:rPr>
          <w:rFonts w:cs="Tahoma"/>
        </w:rPr>
      </w:pPr>
    </w:p>
    <w:p w14:paraId="7FC456C3" w14:textId="26C10514" w:rsidR="00023BBD" w:rsidRDefault="00023BBD" w:rsidP="0049651D">
      <w:pPr>
        <w:spacing w:after="0" w:line="360" w:lineRule="auto"/>
        <w:contextualSpacing/>
        <w:rPr>
          <w:rFonts w:eastAsia="Calibri" w:cs="Tahoma"/>
          <w:bCs/>
        </w:rPr>
      </w:pPr>
      <w:r w:rsidRPr="0050318E">
        <w:rPr>
          <w:rFonts w:eastAsia="Calibri" w:cs="Tahoma"/>
          <w:bCs/>
        </w:rPr>
        <w:t>ASÍ LO RESUELVE, POR </w:t>
      </w:r>
      <w:r w:rsidRPr="0050318E">
        <w:rPr>
          <w:rFonts w:eastAsia="Calibri" w:cs="Tahoma"/>
          <w:b/>
          <w:bCs/>
        </w:rPr>
        <w:t>UNANIMIDAD</w:t>
      </w:r>
      <w:r w:rsidRPr="0050318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9558A" w:rsidRPr="0050318E">
        <w:rPr>
          <w:rFonts w:eastAsia="Calibri" w:cs="Tahoma"/>
          <w:bCs/>
        </w:rPr>
        <w:t xml:space="preserve"> </w:t>
      </w:r>
      <w:r w:rsidRPr="0050318E">
        <w:rPr>
          <w:rFonts w:eastAsia="Calibri" w:cs="Tahoma"/>
          <w:bCs/>
        </w:rPr>
        <w:t xml:space="preserve">Y GUADALUPE RAMÍREZ PEÑA, EN LA </w:t>
      </w:r>
      <w:r w:rsidR="00E1542E">
        <w:rPr>
          <w:rFonts w:eastAsia="Calibri" w:cs="Tahoma"/>
          <w:bCs/>
        </w:rPr>
        <w:t>DÉ</w:t>
      </w:r>
      <w:bookmarkStart w:id="30" w:name="_GoBack"/>
      <w:bookmarkEnd w:id="30"/>
      <w:r w:rsidR="00EC41EC">
        <w:rPr>
          <w:rFonts w:eastAsia="Calibri" w:cs="Tahoma"/>
          <w:bCs/>
        </w:rPr>
        <w:t xml:space="preserve">CIMA SEGUNDA </w:t>
      </w:r>
      <w:r w:rsidRPr="0050318E">
        <w:rPr>
          <w:rFonts w:eastAsia="Calibri" w:cs="Tahoma"/>
          <w:bCs/>
        </w:rPr>
        <w:t>SESIÓN ORDINARIA, CELEBRADA E</w:t>
      </w:r>
      <w:r w:rsidR="00377047" w:rsidRPr="0050318E">
        <w:rPr>
          <w:rFonts w:eastAsia="Calibri" w:cs="Tahoma"/>
          <w:bCs/>
        </w:rPr>
        <w:t xml:space="preserve">L </w:t>
      </w:r>
      <w:r w:rsidR="00EC41EC">
        <w:rPr>
          <w:rFonts w:eastAsia="Calibri" w:cs="Tahoma"/>
          <w:bCs/>
        </w:rPr>
        <w:t>OCHO DE ABRIL DE DOS MIL VEINTIS</w:t>
      </w:r>
      <w:r w:rsidR="00A153F6">
        <w:rPr>
          <w:rFonts w:eastAsia="Calibri" w:cs="Tahoma"/>
          <w:bCs/>
        </w:rPr>
        <w:t>É</w:t>
      </w:r>
      <w:r w:rsidR="00EC41EC">
        <w:rPr>
          <w:rFonts w:eastAsia="Calibri" w:cs="Tahoma"/>
          <w:bCs/>
        </w:rPr>
        <w:t>IS</w:t>
      </w:r>
      <w:r w:rsidRPr="0050318E">
        <w:rPr>
          <w:rFonts w:eastAsia="Calibri" w:cs="Tahoma"/>
          <w:bCs/>
        </w:rPr>
        <w:t>, ANTE EL SECRETARIO TÉCNICO DEL PLENO, ALEXIS TAPIA RAMÍRE</w:t>
      </w:r>
      <w:r w:rsidR="00C95A8A">
        <w:rPr>
          <w:rFonts w:eastAsia="Calibri" w:cs="Tahoma"/>
          <w:bCs/>
        </w:rPr>
        <w:t>Z.</w:t>
      </w:r>
    </w:p>
    <w:p w14:paraId="63246C51" w14:textId="075C39F1" w:rsidR="00C95A8A" w:rsidRDefault="00C95A8A" w:rsidP="0049651D">
      <w:pPr>
        <w:spacing w:after="0" w:line="360" w:lineRule="auto"/>
        <w:contextualSpacing/>
        <w:rPr>
          <w:rFonts w:eastAsia="Calibri" w:cs="Tahoma"/>
          <w:bCs/>
        </w:rPr>
      </w:pPr>
    </w:p>
    <w:p w14:paraId="78279635" w14:textId="21BA7048" w:rsidR="00C95A8A" w:rsidRDefault="00C95A8A" w:rsidP="0049651D">
      <w:pPr>
        <w:spacing w:after="0" w:line="360" w:lineRule="auto"/>
        <w:rPr>
          <w:rFonts w:eastAsia="Calibri" w:cs="Tahoma"/>
          <w:bCs/>
        </w:rPr>
      </w:pPr>
      <w:r>
        <w:rPr>
          <w:rFonts w:eastAsia="Calibri" w:cs="Tahoma"/>
          <w:bCs/>
        </w:rPr>
        <w:br w:type="page"/>
      </w:r>
    </w:p>
    <w:p w14:paraId="7D0F9D5B" w14:textId="77777777" w:rsidR="003F1E2A" w:rsidRDefault="003F1E2A" w:rsidP="0049651D">
      <w:pPr>
        <w:spacing w:after="0" w:line="360" w:lineRule="auto"/>
        <w:rPr>
          <w:rFonts w:eastAsia="Calibri" w:cs="Tahoma"/>
          <w:bCs/>
        </w:rPr>
      </w:pPr>
    </w:p>
    <w:p w14:paraId="5B149901" w14:textId="77777777" w:rsidR="003F1E2A" w:rsidRDefault="003F1E2A" w:rsidP="0049651D">
      <w:pPr>
        <w:spacing w:after="0" w:line="360" w:lineRule="auto"/>
        <w:rPr>
          <w:rFonts w:eastAsia="Calibri" w:cs="Tahoma"/>
          <w:bCs/>
        </w:rPr>
      </w:pPr>
    </w:p>
    <w:p w14:paraId="08724BE8" w14:textId="77777777" w:rsidR="00C95A8A" w:rsidRDefault="00C95A8A" w:rsidP="0049651D">
      <w:pPr>
        <w:spacing w:after="0" w:line="360" w:lineRule="auto"/>
        <w:contextualSpacing/>
        <w:rPr>
          <w:rFonts w:cs="Tahoma"/>
          <w:b/>
          <w:bCs/>
        </w:rPr>
      </w:pPr>
    </w:p>
    <w:p w14:paraId="74E8DB3F" w14:textId="77777777" w:rsidR="00C556AB" w:rsidRDefault="00C556AB" w:rsidP="0049651D">
      <w:pPr>
        <w:spacing w:after="0" w:line="360" w:lineRule="auto"/>
      </w:pPr>
    </w:p>
    <w:p w14:paraId="1A555613" w14:textId="77777777" w:rsidR="00023BBD" w:rsidRPr="00E64957" w:rsidRDefault="00023BBD" w:rsidP="0049651D">
      <w:pPr>
        <w:spacing w:after="0" w:line="360" w:lineRule="auto"/>
      </w:pPr>
    </w:p>
    <w:p w14:paraId="2DB71CAF" w14:textId="49BEE08C" w:rsidR="001D4F21" w:rsidRDefault="001D4F21" w:rsidP="0049651D">
      <w:pPr>
        <w:spacing w:after="0" w:line="360" w:lineRule="auto"/>
        <w:rPr>
          <w:color w:val="000000"/>
        </w:rPr>
      </w:pPr>
    </w:p>
    <w:p w14:paraId="38B4EF2E" w14:textId="77777777" w:rsidR="001D4F21" w:rsidRDefault="001D4F21" w:rsidP="0049651D">
      <w:pPr>
        <w:spacing w:after="0" w:line="360" w:lineRule="auto"/>
        <w:rPr>
          <w:color w:val="000000"/>
        </w:rPr>
      </w:pPr>
    </w:p>
    <w:p w14:paraId="4201A0A0" w14:textId="77777777" w:rsidR="00E864E9" w:rsidRDefault="00E864E9" w:rsidP="0049651D">
      <w:pPr>
        <w:tabs>
          <w:tab w:val="right" w:pos="8931"/>
        </w:tabs>
        <w:spacing w:after="0" w:line="360" w:lineRule="auto"/>
      </w:pPr>
    </w:p>
    <w:p w14:paraId="543728D1" w14:textId="77777777" w:rsidR="00E864E9" w:rsidRDefault="00E864E9" w:rsidP="0049651D">
      <w:pPr>
        <w:tabs>
          <w:tab w:val="right" w:pos="8931"/>
        </w:tabs>
        <w:spacing w:after="0" w:line="360" w:lineRule="auto"/>
      </w:pPr>
    </w:p>
    <w:p w14:paraId="0E4439D0" w14:textId="5248D3C9" w:rsidR="007B58B9" w:rsidRDefault="007B58B9" w:rsidP="0049651D">
      <w:pPr>
        <w:spacing w:after="0" w:line="360" w:lineRule="auto"/>
      </w:pPr>
    </w:p>
    <w:p w14:paraId="26916C77" w14:textId="77777777" w:rsidR="00A37EDE" w:rsidRDefault="00A37EDE" w:rsidP="0049651D">
      <w:pPr>
        <w:spacing w:after="0" w:line="360" w:lineRule="auto"/>
      </w:pPr>
    </w:p>
    <w:p w14:paraId="54B081BB" w14:textId="77777777" w:rsidR="0050318E" w:rsidRDefault="0050318E" w:rsidP="0049651D">
      <w:pPr>
        <w:spacing w:after="0" w:line="360" w:lineRule="auto"/>
      </w:pPr>
    </w:p>
    <w:p w14:paraId="44BF27D0" w14:textId="77777777" w:rsidR="0050318E" w:rsidRDefault="0050318E" w:rsidP="0049651D">
      <w:pPr>
        <w:spacing w:after="0" w:line="360" w:lineRule="auto"/>
      </w:pPr>
    </w:p>
    <w:p w14:paraId="7467253C" w14:textId="77777777" w:rsidR="0050318E" w:rsidRDefault="0050318E" w:rsidP="0049651D">
      <w:pPr>
        <w:spacing w:after="0" w:line="360" w:lineRule="auto"/>
      </w:pPr>
    </w:p>
    <w:p w14:paraId="340C645C" w14:textId="77777777" w:rsidR="0050318E" w:rsidRDefault="0050318E" w:rsidP="0049651D">
      <w:pPr>
        <w:spacing w:after="0" w:line="360" w:lineRule="auto"/>
      </w:pPr>
    </w:p>
    <w:p w14:paraId="5A72F71C" w14:textId="77777777" w:rsidR="0050318E" w:rsidRDefault="0050318E" w:rsidP="0049651D">
      <w:pPr>
        <w:spacing w:after="0" w:line="360" w:lineRule="auto"/>
      </w:pPr>
    </w:p>
    <w:p w14:paraId="077ED746" w14:textId="77777777" w:rsidR="0050318E" w:rsidRDefault="0050318E" w:rsidP="0049651D">
      <w:pPr>
        <w:spacing w:after="0" w:line="360" w:lineRule="auto"/>
      </w:pPr>
    </w:p>
    <w:p w14:paraId="281553B3" w14:textId="77777777" w:rsidR="0050318E" w:rsidRDefault="0050318E" w:rsidP="0049651D">
      <w:pPr>
        <w:spacing w:after="0" w:line="360" w:lineRule="auto"/>
      </w:pPr>
    </w:p>
    <w:p w14:paraId="5538C781" w14:textId="77777777" w:rsidR="0050318E" w:rsidRPr="007B58B9" w:rsidRDefault="0050318E" w:rsidP="0049651D">
      <w:pPr>
        <w:spacing w:after="0" w:line="360" w:lineRule="auto"/>
      </w:pPr>
    </w:p>
    <w:sectPr w:rsidR="0050318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C8120" w14:textId="77777777" w:rsidR="004A0F72" w:rsidRDefault="004A0F72">
      <w:pPr>
        <w:spacing w:after="0" w:line="240" w:lineRule="auto"/>
      </w:pPr>
      <w:r>
        <w:separator/>
      </w:r>
    </w:p>
  </w:endnote>
  <w:endnote w:type="continuationSeparator" w:id="0">
    <w:p w14:paraId="357431C6" w14:textId="77777777" w:rsidR="004A0F72" w:rsidRDefault="004A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380CF8" w:rsidRDefault="00380CF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2A4EF5">
      <w:rPr>
        <w:b/>
        <w:color w:val="000000"/>
        <w:sz w:val="24"/>
        <w:szCs w:val="24"/>
      </w:rPr>
      <w:fldChar w:fldCharType="separate"/>
    </w:r>
    <w:r w:rsidR="002A4EF5">
      <w:rPr>
        <w:b/>
        <w:noProof/>
        <w:color w:val="000000"/>
        <w:sz w:val="24"/>
        <w:szCs w:val="24"/>
      </w:rPr>
      <w:t>34</w:t>
    </w:r>
    <w:r>
      <w:rPr>
        <w:b/>
        <w:color w:val="000000"/>
        <w:sz w:val="24"/>
        <w:szCs w:val="24"/>
      </w:rPr>
      <w:fldChar w:fldCharType="end"/>
    </w:r>
  </w:p>
  <w:p w14:paraId="7EB9860B" w14:textId="77777777" w:rsidR="00380CF8" w:rsidRDefault="00380CF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380CF8" w:rsidRDefault="00380CF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4EF5">
      <w:rPr>
        <w:b/>
        <w:noProof/>
        <w:color w:val="000000"/>
        <w:sz w:val="24"/>
        <w:szCs w:val="24"/>
      </w:rPr>
      <w:t>33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4EF5">
      <w:rPr>
        <w:b/>
        <w:noProof/>
        <w:color w:val="000000"/>
        <w:sz w:val="24"/>
        <w:szCs w:val="24"/>
      </w:rPr>
      <w:t>34</w:t>
    </w:r>
    <w:r>
      <w:rPr>
        <w:b/>
        <w:color w:val="000000"/>
        <w:sz w:val="24"/>
        <w:szCs w:val="24"/>
      </w:rPr>
      <w:fldChar w:fldCharType="end"/>
    </w:r>
  </w:p>
  <w:p w14:paraId="0D7FA8D9" w14:textId="77777777" w:rsidR="00380CF8" w:rsidRDefault="00380CF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380CF8" w:rsidRDefault="00380CF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4EF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4EF5">
      <w:rPr>
        <w:b/>
        <w:noProof/>
        <w:color w:val="000000"/>
        <w:sz w:val="24"/>
        <w:szCs w:val="24"/>
      </w:rPr>
      <w:t>34</w:t>
    </w:r>
    <w:r>
      <w:rPr>
        <w:b/>
        <w:color w:val="000000"/>
        <w:sz w:val="24"/>
        <w:szCs w:val="24"/>
      </w:rPr>
      <w:fldChar w:fldCharType="end"/>
    </w:r>
  </w:p>
  <w:p w14:paraId="6796AF5F" w14:textId="77777777" w:rsidR="00380CF8" w:rsidRDefault="00380CF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618C1" w14:textId="77777777" w:rsidR="004A0F72" w:rsidRDefault="004A0F72">
      <w:pPr>
        <w:spacing w:after="0" w:line="240" w:lineRule="auto"/>
      </w:pPr>
      <w:r>
        <w:separator/>
      </w:r>
    </w:p>
  </w:footnote>
  <w:footnote w:type="continuationSeparator" w:id="0">
    <w:p w14:paraId="65F3BFE0" w14:textId="77777777" w:rsidR="004A0F72" w:rsidRDefault="004A0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380CF8" w:rsidRDefault="00380CF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80CF8" w14:paraId="10C29E94" w14:textId="77777777">
      <w:trPr>
        <w:trHeight w:val="132"/>
      </w:trPr>
      <w:tc>
        <w:tcPr>
          <w:tcW w:w="2691" w:type="dxa"/>
        </w:tcPr>
        <w:p w14:paraId="7D85A4B8" w14:textId="77777777" w:rsidR="00380CF8" w:rsidRDefault="00380CF8">
          <w:pPr>
            <w:tabs>
              <w:tab w:val="right" w:pos="8838"/>
            </w:tabs>
            <w:ind w:right="-105"/>
            <w:rPr>
              <w:b/>
            </w:rPr>
          </w:pPr>
          <w:r>
            <w:rPr>
              <w:b/>
            </w:rPr>
            <w:t>Recurso de Revisión:</w:t>
          </w:r>
        </w:p>
      </w:tc>
      <w:tc>
        <w:tcPr>
          <w:tcW w:w="3405" w:type="dxa"/>
        </w:tcPr>
        <w:p w14:paraId="0B0D1A9D" w14:textId="77777777" w:rsidR="00380CF8" w:rsidRDefault="00380CF8">
          <w:pPr>
            <w:tabs>
              <w:tab w:val="right" w:pos="8838"/>
            </w:tabs>
            <w:ind w:left="-28" w:right="-32"/>
          </w:pPr>
          <w:r>
            <w:t>03846/INFOEM/IP/RR/2020</w:t>
          </w:r>
        </w:p>
      </w:tc>
    </w:tr>
    <w:tr w:rsidR="00380CF8" w14:paraId="2F47AC72" w14:textId="77777777">
      <w:trPr>
        <w:trHeight w:val="261"/>
      </w:trPr>
      <w:tc>
        <w:tcPr>
          <w:tcW w:w="2691" w:type="dxa"/>
        </w:tcPr>
        <w:p w14:paraId="154A4752" w14:textId="77777777" w:rsidR="00380CF8" w:rsidRDefault="00380CF8">
          <w:pPr>
            <w:tabs>
              <w:tab w:val="right" w:pos="8838"/>
            </w:tabs>
            <w:ind w:right="-105"/>
            <w:rPr>
              <w:b/>
            </w:rPr>
          </w:pPr>
          <w:r>
            <w:rPr>
              <w:b/>
            </w:rPr>
            <w:t>Sujeto Obligado:</w:t>
          </w:r>
        </w:p>
      </w:tc>
      <w:tc>
        <w:tcPr>
          <w:tcW w:w="3405" w:type="dxa"/>
        </w:tcPr>
        <w:p w14:paraId="5D9EC711" w14:textId="77777777" w:rsidR="00380CF8" w:rsidRDefault="00380CF8">
          <w:pPr>
            <w:tabs>
              <w:tab w:val="right" w:pos="8838"/>
            </w:tabs>
            <w:ind w:right="-32"/>
          </w:pPr>
          <w:r>
            <w:t>Ayuntamiento de Temascalcingo</w:t>
          </w:r>
        </w:p>
      </w:tc>
    </w:tr>
    <w:tr w:rsidR="00380CF8" w14:paraId="11FBB450" w14:textId="77777777">
      <w:trPr>
        <w:trHeight w:val="261"/>
      </w:trPr>
      <w:tc>
        <w:tcPr>
          <w:tcW w:w="2691" w:type="dxa"/>
        </w:tcPr>
        <w:p w14:paraId="6BAF6003" w14:textId="77777777" w:rsidR="00380CF8" w:rsidRDefault="00380CF8">
          <w:pPr>
            <w:tabs>
              <w:tab w:val="right" w:pos="8838"/>
            </w:tabs>
            <w:ind w:right="-105"/>
            <w:rPr>
              <w:b/>
            </w:rPr>
          </w:pPr>
          <w:r>
            <w:rPr>
              <w:b/>
            </w:rPr>
            <w:t>Comisionado Ponente:</w:t>
          </w:r>
        </w:p>
      </w:tc>
      <w:tc>
        <w:tcPr>
          <w:tcW w:w="3405" w:type="dxa"/>
        </w:tcPr>
        <w:p w14:paraId="420341AF" w14:textId="77777777" w:rsidR="00380CF8" w:rsidRDefault="00380CF8">
          <w:pPr>
            <w:tabs>
              <w:tab w:val="right" w:pos="8838"/>
            </w:tabs>
            <w:ind w:right="-32"/>
            <w:rPr>
              <w:b/>
            </w:rPr>
          </w:pPr>
          <w:r>
            <w:t>Luis Gustavo Parra Noriega</w:t>
          </w:r>
        </w:p>
      </w:tc>
    </w:tr>
  </w:tbl>
  <w:p w14:paraId="00411D75" w14:textId="77777777" w:rsidR="00380CF8" w:rsidRDefault="004A0F72">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380CF8" w:rsidRDefault="004A0F72">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229"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536"/>
    </w:tblGrid>
    <w:tr w:rsidR="00380CF8" w14:paraId="40D5D5A3" w14:textId="77777777" w:rsidTr="00C34ACB">
      <w:trPr>
        <w:trHeight w:val="138"/>
      </w:trPr>
      <w:tc>
        <w:tcPr>
          <w:tcW w:w="2693" w:type="dxa"/>
          <w:vAlign w:val="center"/>
        </w:tcPr>
        <w:p w14:paraId="43377EBE" w14:textId="77777777" w:rsidR="00380CF8" w:rsidRDefault="00380CF8" w:rsidP="008C266D">
          <w:pPr>
            <w:tabs>
              <w:tab w:val="right" w:pos="8838"/>
            </w:tabs>
            <w:ind w:left="-108" w:right="-105"/>
            <w:jc w:val="left"/>
            <w:rPr>
              <w:b/>
            </w:rPr>
          </w:pPr>
        </w:p>
        <w:p w14:paraId="1DB5C8D0" w14:textId="7E98B3D2" w:rsidR="00380CF8" w:rsidRDefault="00380CF8" w:rsidP="008C266D">
          <w:pPr>
            <w:tabs>
              <w:tab w:val="right" w:pos="8838"/>
            </w:tabs>
            <w:ind w:left="-108" w:right="-105"/>
            <w:jc w:val="left"/>
            <w:rPr>
              <w:b/>
            </w:rPr>
          </w:pPr>
          <w:r>
            <w:rPr>
              <w:b/>
            </w:rPr>
            <w:t>Recurso de Revisión:</w:t>
          </w:r>
        </w:p>
      </w:tc>
      <w:tc>
        <w:tcPr>
          <w:tcW w:w="4536" w:type="dxa"/>
        </w:tcPr>
        <w:p w14:paraId="5BCC69C4" w14:textId="77777777" w:rsidR="00380CF8" w:rsidRPr="00EF0C39" w:rsidRDefault="00380CF8" w:rsidP="008C266D">
          <w:pPr>
            <w:tabs>
              <w:tab w:val="right" w:pos="8838"/>
            </w:tabs>
            <w:ind w:right="57"/>
          </w:pPr>
        </w:p>
        <w:p w14:paraId="61E59D71" w14:textId="00D0AD1E" w:rsidR="00380CF8" w:rsidRPr="00EF0C39" w:rsidRDefault="00380CF8" w:rsidP="00B37C62">
          <w:pPr>
            <w:tabs>
              <w:tab w:val="right" w:pos="8838"/>
            </w:tabs>
            <w:ind w:right="57"/>
          </w:pPr>
          <w:r>
            <w:t>07831</w:t>
          </w:r>
          <w:r w:rsidRPr="00026C6B">
            <w:t>/INFOEM/IP/RR/202</w:t>
          </w:r>
          <w:r>
            <w:t>5</w:t>
          </w:r>
        </w:p>
      </w:tc>
    </w:tr>
    <w:tr w:rsidR="00380CF8" w14:paraId="7A281F30" w14:textId="77777777" w:rsidTr="00C34ACB">
      <w:trPr>
        <w:trHeight w:val="273"/>
      </w:trPr>
      <w:tc>
        <w:tcPr>
          <w:tcW w:w="2693" w:type="dxa"/>
        </w:tcPr>
        <w:p w14:paraId="6671A308" w14:textId="77777777" w:rsidR="00380CF8" w:rsidRDefault="00380CF8" w:rsidP="008C266D">
          <w:pPr>
            <w:tabs>
              <w:tab w:val="right" w:pos="8838"/>
            </w:tabs>
            <w:ind w:left="-108" w:right="-105"/>
            <w:rPr>
              <w:b/>
            </w:rPr>
          </w:pPr>
          <w:r>
            <w:rPr>
              <w:b/>
            </w:rPr>
            <w:t>Sujeto Obligado:</w:t>
          </w:r>
        </w:p>
      </w:tc>
      <w:tc>
        <w:tcPr>
          <w:tcW w:w="4536" w:type="dxa"/>
        </w:tcPr>
        <w:p w14:paraId="30885B6D" w14:textId="2121A1B4" w:rsidR="00380CF8" w:rsidRPr="00EF0C39" w:rsidRDefault="00380CF8" w:rsidP="00656628">
          <w:pPr>
            <w:tabs>
              <w:tab w:val="right" w:pos="8838"/>
            </w:tabs>
            <w:ind w:right="1167"/>
          </w:pPr>
          <w:r w:rsidRPr="00B37C62">
            <w:t xml:space="preserve">Ayuntamiento de </w:t>
          </w:r>
          <w:r>
            <w:t>Otzolotepec</w:t>
          </w:r>
        </w:p>
      </w:tc>
    </w:tr>
    <w:tr w:rsidR="00380CF8" w14:paraId="00C22F2F" w14:textId="77777777" w:rsidTr="00C34ACB">
      <w:trPr>
        <w:trHeight w:val="273"/>
      </w:trPr>
      <w:tc>
        <w:tcPr>
          <w:tcW w:w="2693" w:type="dxa"/>
        </w:tcPr>
        <w:p w14:paraId="70417649" w14:textId="77777777" w:rsidR="00380CF8" w:rsidRDefault="00380CF8" w:rsidP="008C266D">
          <w:pPr>
            <w:tabs>
              <w:tab w:val="right" w:pos="8838"/>
            </w:tabs>
            <w:ind w:left="-108" w:right="-105"/>
            <w:rPr>
              <w:b/>
            </w:rPr>
          </w:pPr>
          <w:r>
            <w:rPr>
              <w:b/>
            </w:rPr>
            <w:t>Comisionado Ponente:</w:t>
          </w:r>
        </w:p>
      </w:tc>
      <w:tc>
        <w:tcPr>
          <w:tcW w:w="4536" w:type="dxa"/>
        </w:tcPr>
        <w:p w14:paraId="5E6EB38B" w14:textId="77777777" w:rsidR="00380CF8" w:rsidRPr="00EF0C39" w:rsidRDefault="00380CF8" w:rsidP="008C266D">
          <w:pPr>
            <w:tabs>
              <w:tab w:val="right" w:pos="8838"/>
            </w:tabs>
            <w:ind w:right="-170"/>
          </w:pPr>
          <w:r w:rsidRPr="00EF0C39">
            <w:t>Luis Gustavo Parra Noriega</w:t>
          </w:r>
        </w:p>
        <w:p w14:paraId="1A63C67B" w14:textId="77777777" w:rsidR="00380CF8" w:rsidRPr="00EF0C39" w:rsidRDefault="00380CF8" w:rsidP="008C266D">
          <w:pPr>
            <w:tabs>
              <w:tab w:val="right" w:pos="8838"/>
            </w:tabs>
            <w:ind w:right="-170"/>
            <w:rPr>
              <w:b/>
            </w:rPr>
          </w:pPr>
        </w:p>
      </w:tc>
    </w:tr>
  </w:tbl>
  <w:p w14:paraId="3498D107" w14:textId="7E17876C" w:rsidR="00380CF8" w:rsidRDefault="00380CF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380CF8" w:rsidRDefault="00380CF8">
    <w:pPr>
      <w:widowControl w:val="0"/>
      <w:pBdr>
        <w:top w:val="nil"/>
        <w:left w:val="nil"/>
        <w:bottom w:val="nil"/>
        <w:right w:val="nil"/>
        <w:between w:val="nil"/>
      </w:pBdr>
      <w:spacing w:after="0" w:line="276" w:lineRule="auto"/>
      <w:jc w:val="left"/>
      <w:rPr>
        <w:color w:val="000000"/>
      </w:rPr>
    </w:pPr>
  </w:p>
  <w:tbl>
    <w:tblPr>
      <w:tblStyle w:val="1"/>
      <w:tblW w:w="694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4"/>
    </w:tblGrid>
    <w:tr w:rsidR="00380CF8" w14:paraId="6B3232BD" w14:textId="77777777" w:rsidTr="00C34ACB">
      <w:trPr>
        <w:trHeight w:val="132"/>
      </w:trPr>
      <w:tc>
        <w:tcPr>
          <w:tcW w:w="2551" w:type="dxa"/>
        </w:tcPr>
        <w:p w14:paraId="38F16E2F" w14:textId="77777777" w:rsidR="00380CF8" w:rsidRDefault="00380CF8">
          <w:pPr>
            <w:tabs>
              <w:tab w:val="right" w:pos="8838"/>
            </w:tabs>
            <w:ind w:right="-105"/>
            <w:rPr>
              <w:b/>
            </w:rPr>
          </w:pPr>
          <w:r>
            <w:rPr>
              <w:b/>
            </w:rPr>
            <w:t>Recurso de Revisión:</w:t>
          </w:r>
        </w:p>
      </w:tc>
      <w:tc>
        <w:tcPr>
          <w:tcW w:w="4394" w:type="dxa"/>
        </w:tcPr>
        <w:p w14:paraId="211CDC0A" w14:textId="6AF05F77" w:rsidR="00380CF8" w:rsidRPr="00026C6B" w:rsidRDefault="00380CF8" w:rsidP="00026C6B">
          <w:r>
            <w:t>07831</w:t>
          </w:r>
          <w:r w:rsidRPr="00026C6B">
            <w:t>/INFOEM/IP/RR/202</w:t>
          </w:r>
          <w:r>
            <w:t>5</w:t>
          </w:r>
        </w:p>
      </w:tc>
    </w:tr>
    <w:tr w:rsidR="00380CF8" w14:paraId="6AA3CC58" w14:textId="77777777" w:rsidTr="00C34ACB">
      <w:trPr>
        <w:trHeight w:val="132"/>
      </w:trPr>
      <w:tc>
        <w:tcPr>
          <w:tcW w:w="2551" w:type="dxa"/>
          <w:shd w:val="clear" w:color="auto" w:fill="auto"/>
        </w:tcPr>
        <w:p w14:paraId="7FD164F5" w14:textId="77777777" w:rsidR="00380CF8" w:rsidRDefault="00380CF8">
          <w:pPr>
            <w:tabs>
              <w:tab w:val="left" w:pos="1875"/>
            </w:tabs>
            <w:ind w:right="-105"/>
            <w:rPr>
              <w:b/>
            </w:rPr>
          </w:pPr>
          <w:r>
            <w:rPr>
              <w:b/>
            </w:rPr>
            <w:t>Recurrente:</w:t>
          </w:r>
          <w:r>
            <w:rPr>
              <w:b/>
            </w:rPr>
            <w:tab/>
          </w:r>
        </w:p>
      </w:tc>
      <w:tc>
        <w:tcPr>
          <w:tcW w:w="4394" w:type="dxa"/>
          <w:shd w:val="clear" w:color="auto" w:fill="auto"/>
        </w:tcPr>
        <w:p w14:paraId="1F1B0537" w14:textId="5E7A44F8" w:rsidR="00380CF8" w:rsidRPr="00C544C7" w:rsidRDefault="00380CF8" w:rsidP="007114AC">
          <w:pPr>
            <w:tabs>
              <w:tab w:val="left" w:pos="2728"/>
              <w:tab w:val="right" w:pos="8838"/>
            </w:tabs>
            <w:ind w:right="1026"/>
          </w:pPr>
        </w:p>
      </w:tc>
    </w:tr>
    <w:tr w:rsidR="00380CF8" w14:paraId="5113CAA6" w14:textId="77777777" w:rsidTr="00C34ACB">
      <w:trPr>
        <w:trHeight w:val="261"/>
      </w:trPr>
      <w:tc>
        <w:tcPr>
          <w:tcW w:w="2551" w:type="dxa"/>
        </w:tcPr>
        <w:p w14:paraId="28E3431B" w14:textId="30EC7C18" w:rsidR="00380CF8" w:rsidRDefault="00380CF8">
          <w:pPr>
            <w:tabs>
              <w:tab w:val="right" w:pos="8838"/>
            </w:tabs>
            <w:ind w:right="-105"/>
            <w:rPr>
              <w:b/>
            </w:rPr>
          </w:pPr>
          <w:r>
            <w:rPr>
              <w:b/>
            </w:rPr>
            <w:t>Sujeto Obligado:</w:t>
          </w:r>
        </w:p>
      </w:tc>
      <w:tc>
        <w:tcPr>
          <w:tcW w:w="4394" w:type="dxa"/>
        </w:tcPr>
        <w:p w14:paraId="3192354E" w14:textId="4752889B" w:rsidR="00380CF8" w:rsidRPr="00026C6B" w:rsidRDefault="00380CF8" w:rsidP="00656628">
          <w:pPr>
            <w:ind w:right="1168"/>
          </w:pPr>
          <w:r w:rsidRPr="00B37C62">
            <w:t xml:space="preserve">Ayuntamiento de </w:t>
          </w:r>
          <w:r>
            <w:t>Otzolotepec</w:t>
          </w:r>
        </w:p>
      </w:tc>
    </w:tr>
    <w:tr w:rsidR="00380CF8" w14:paraId="5D4C2A35" w14:textId="77777777" w:rsidTr="00C34ACB">
      <w:trPr>
        <w:trHeight w:val="261"/>
      </w:trPr>
      <w:tc>
        <w:tcPr>
          <w:tcW w:w="2551" w:type="dxa"/>
        </w:tcPr>
        <w:p w14:paraId="7F522FEC" w14:textId="77777777" w:rsidR="00380CF8" w:rsidRDefault="00380CF8">
          <w:pPr>
            <w:tabs>
              <w:tab w:val="right" w:pos="8838"/>
            </w:tabs>
            <w:ind w:right="-105"/>
            <w:rPr>
              <w:b/>
            </w:rPr>
          </w:pPr>
          <w:r>
            <w:rPr>
              <w:b/>
            </w:rPr>
            <w:t>Comisionado Ponente:</w:t>
          </w:r>
        </w:p>
      </w:tc>
      <w:tc>
        <w:tcPr>
          <w:tcW w:w="4394" w:type="dxa"/>
        </w:tcPr>
        <w:p w14:paraId="0F0566F9" w14:textId="77777777" w:rsidR="00380CF8" w:rsidRPr="00EF0C39" w:rsidRDefault="00380CF8" w:rsidP="00C46A25">
          <w:pPr>
            <w:tabs>
              <w:tab w:val="right" w:pos="8838"/>
            </w:tabs>
            <w:ind w:right="-32"/>
            <w:rPr>
              <w:b/>
            </w:rPr>
          </w:pPr>
          <w:r w:rsidRPr="00EF0C39">
            <w:t>Luis Gustavo Parra Noriega</w:t>
          </w:r>
        </w:p>
      </w:tc>
    </w:tr>
  </w:tbl>
  <w:p w14:paraId="4DFC2598" w14:textId="77777777" w:rsidR="00380CF8" w:rsidRDefault="004A0F72">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FCF"/>
    <w:multiLevelType w:val="hybridMultilevel"/>
    <w:tmpl w:val="52EA31C6"/>
    <w:lvl w:ilvl="0" w:tplc="B0A8C0A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BA5C36"/>
    <w:multiLevelType w:val="hybridMultilevel"/>
    <w:tmpl w:val="8C983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0176E"/>
    <w:multiLevelType w:val="multilevel"/>
    <w:tmpl w:val="3EBC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223DA2"/>
    <w:multiLevelType w:val="hybridMultilevel"/>
    <w:tmpl w:val="8E90D67C"/>
    <w:lvl w:ilvl="0" w:tplc="192E580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76014D6"/>
    <w:multiLevelType w:val="hybridMultilevel"/>
    <w:tmpl w:val="A0846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933CC7"/>
    <w:multiLevelType w:val="hybridMultilevel"/>
    <w:tmpl w:val="DCA4F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CB0680"/>
    <w:multiLevelType w:val="hybridMultilevel"/>
    <w:tmpl w:val="F83A8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0"/>
  </w:num>
  <w:num w:numId="7">
    <w:abstractNumId w:val="10"/>
  </w:num>
  <w:num w:numId="8">
    <w:abstractNumId w:val="2"/>
  </w:num>
  <w:num w:numId="9">
    <w:abstractNumId w:val="8"/>
  </w:num>
  <w:num w:numId="10">
    <w:abstractNumId w:val="7"/>
  </w:num>
  <w:num w:numId="11">
    <w:abstractNumId w:val="4"/>
  </w:num>
  <w:num w:numId="12">
    <w:abstractNumId w:val="5"/>
  </w:num>
  <w:num w:numId="13">
    <w:abstractNumId w:val="11"/>
  </w:num>
  <w:num w:numId="14">
    <w:abstractNumId w:val="9"/>
  </w:num>
  <w:num w:numId="15">
    <w:abstractNumId w:val="12"/>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2A34"/>
    <w:rsid w:val="00014EE2"/>
    <w:rsid w:val="00016290"/>
    <w:rsid w:val="000201B0"/>
    <w:rsid w:val="00021BE0"/>
    <w:rsid w:val="00023BBD"/>
    <w:rsid w:val="0002588C"/>
    <w:rsid w:val="00026B5A"/>
    <w:rsid w:val="00026C6B"/>
    <w:rsid w:val="0003084A"/>
    <w:rsid w:val="000316C2"/>
    <w:rsid w:val="00032C91"/>
    <w:rsid w:val="00033026"/>
    <w:rsid w:val="0003318A"/>
    <w:rsid w:val="00033683"/>
    <w:rsid w:val="00033F2C"/>
    <w:rsid w:val="0003782D"/>
    <w:rsid w:val="0004134C"/>
    <w:rsid w:val="000426D2"/>
    <w:rsid w:val="00050E2E"/>
    <w:rsid w:val="000602BA"/>
    <w:rsid w:val="00061123"/>
    <w:rsid w:val="000709AA"/>
    <w:rsid w:val="00071578"/>
    <w:rsid w:val="000735F0"/>
    <w:rsid w:val="00075996"/>
    <w:rsid w:val="00075A71"/>
    <w:rsid w:val="00075CAF"/>
    <w:rsid w:val="00081D01"/>
    <w:rsid w:val="0008295C"/>
    <w:rsid w:val="00082B5B"/>
    <w:rsid w:val="00083169"/>
    <w:rsid w:val="00083600"/>
    <w:rsid w:val="000866B0"/>
    <w:rsid w:val="00087074"/>
    <w:rsid w:val="00087EDB"/>
    <w:rsid w:val="0009167E"/>
    <w:rsid w:val="00092501"/>
    <w:rsid w:val="000946F3"/>
    <w:rsid w:val="00095FB6"/>
    <w:rsid w:val="00096C21"/>
    <w:rsid w:val="00096CFE"/>
    <w:rsid w:val="00096F5C"/>
    <w:rsid w:val="00097C52"/>
    <w:rsid w:val="000A2EA2"/>
    <w:rsid w:val="000A354D"/>
    <w:rsid w:val="000A3910"/>
    <w:rsid w:val="000A5B44"/>
    <w:rsid w:val="000A706F"/>
    <w:rsid w:val="000B2470"/>
    <w:rsid w:val="000B3514"/>
    <w:rsid w:val="000B3C56"/>
    <w:rsid w:val="000B4503"/>
    <w:rsid w:val="000B49C4"/>
    <w:rsid w:val="000C0CBE"/>
    <w:rsid w:val="000C10A2"/>
    <w:rsid w:val="000C4A35"/>
    <w:rsid w:val="000C567D"/>
    <w:rsid w:val="000C7650"/>
    <w:rsid w:val="000C7D5D"/>
    <w:rsid w:val="000D0301"/>
    <w:rsid w:val="000D04D2"/>
    <w:rsid w:val="000D1EFD"/>
    <w:rsid w:val="000D257F"/>
    <w:rsid w:val="000D3AD3"/>
    <w:rsid w:val="000D46ED"/>
    <w:rsid w:val="000D6774"/>
    <w:rsid w:val="000D7457"/>
    <w:rsid w:val="000E3169"/>
    <w:rsid w:val="000F3B49"/>
    <w:rsid w:val="000F4583"/>
    <w:rsid w:val="000F4AC1"/>
    <w:rsid w:val="000F562C"/>
    <w:rsid w:val="000F6219"/>
    <w:rsid w:val="000F6E36"/>
    <w:rsid w:val="001055EA"/>
    <w:rsid w:val="001061B1"/>
    <w:rsid w:val="001065C6"/>
    <w:rsid w:val="0011010D"/>
    <w:rsid w:val="00112FAB"/>
    <w:rsid w:val="001135C1"/>
    <w:rsid w:val="00115992"/>
    <w:rsid w:val="00116C35"/>
    <w:rsid w:val="00122ED0"/>
    <w:rsid w:val="00122FBD"/>
    <w:rsid w:val="00123FD7"/>
    <w:rsid w:val="00124AF7"/>
    <w:rsid w:val="00125905"/>
    <w:rsid w:val="00125F26"/>
    <w:rsid w:val="0012618B"/>
    <w:rsid w:val="00126AD3"/>
    <w:rsid w:val="001325F3"/>
    <w:rsid w:val="00132F29"/>
    <w:rsid w:val="00134465"/>
    <w:rsid w:val="00134FDE"/>
    <w:rsid w:val="001418BD"/>
    <w:rsid w:val="00141BAD"/>
    <w:rsid w:val="001425CB"/>
    <w:rsid w:val="001434E7"/>
    <w:rsid w:val="001479C0"/>
    <w:rsid w:val="001502AB"/>
    <w:rsid w:val="001507E8"/>
    <w:rsid w:val="00153139"/>
    <w:rsid w:val="001548D6"/>
    <w:rsid w:val="001558BD"/>
    <w:rsid w:val="00155BD1"/>
    <w:rsid w:val="001566D4"/>
    <w:rsid w:val="0016373E"/>
    <w:rsid w:val="00165AB2"/>
    <w:rsid w:val="00166452"/>
    <w:rsid w:val="00166907"/>
    <w:rsid w:val="00166A42"/>
    <w:rsid w:val="00170ACC"/>
    <w:rsid w:val="001710E2"/>
    <w:rsid w:val="0017245F"/>
    <w:rsid w:val="00172F3A"/>
    <w:rsid w:val="00175910"/>
    <w:rsid w:val="00181D59"/>
    <w:rsid w:val="00184025"/>
    <w:rsid w:val="00184ED6"/>
    <w:rsid w:val="00192C48"/>
    <w:rsid w:val="00192CC1"/>
    <w:rsid w:val="00195EC3"/>
    <w:rsid w:val="0019787E"/>
    <w:rsid w:val="001A0321"/>
    <w:rsid w:val="001A1D84"/>
    <w:rsid w:val="001A2062"/>
    <w:rsid w:val="001A5B6F"/>
    <w:rsid w:val="001B2090"/>
    <w:rsid w:val="001B34AA"/>
    <w:rsid w:val="001B7EFB"/>
    <w:rsid w:val="001C638A"/>
    <w:rsid w:val="001D1635"/>
    <w:rsid w:val="001D24CD"/>
    <w:rsid w:val="001D3FB9"/>
    <w:rsid w:val="001D4F21"/>
    <w:rsid w:val="001D5DBE"/>
    <w:rsid w:val="001D7D0E"/>
    <w:rsid w:val="001E4284"/>
    <w:rsid w:val="001E4ECA"/>
    <w:rsid w:val="001E6077"/>
    <w:rsid w:val="001E6F95"/>
    <w:rsid w:val="001F285F"/>
    <w:rsid w:val="001F6FD5"/>
    <w:rsid w:val="002025F4"/>
    <w:rsid w:val="00203F8C"/>
    <w:rsid w:val="00204DE3"/>
    <w:rsid w:val="0020727C"/>
    <w:rsid w:val="00211CD8"/>
    <w:rsid w:val="002129FB"/>
    <w:rsid w:val="002217AE"/>
    <w:rsid w:val="002227ED"/>
    <w:rsid w:val="00223487"/>
    <w:rsid w:val="002238B8"/>
    <w:rsid w:val="00227456"/>
    <w:rsid w:val="00230985"/>
    <w:rsid w:val="00230B8F"/>
    <w:rsid w:val="00243764"/>
    <w:rsid w:val="00245341"/>
    <w:rsid w:val="002475DE"/>
    <w:rsid w:val="002479E0"/>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80625"/>
    <w:rsid w:val="00280CF8"/>
    <w:rsid w:val="00282176"/>
    <w:rsid w:val="002822A3"/>
    <w:rsid w:val="00287374"/>
    <w:rsid w:val="0029130B"/>
    <w:rsid w:val="00291318"/>
    <w:rsid w:val="002922B8"/>
    <w:rsid w:val="0029310D"/>
    <w:rsid w:val="00293A22"/>
    <w:rsid w:val="00294C03"/>
    <w:rsid w:val="00295482"/>
    <w:rsid w:val="0029558A"/>
    <w:rsid w:val="00296FF6"/>
    <w:rsid w:val="0029784D"/>
    <w:rsid w:val="002A02CD"/>
    <w:rsid w:val="002A4EF5"/>
    <w:rsid w:val="002A5DEB"/>
    <w:rsid w:val="002B5A2D"/>
    <w:rsid w:val="002B772B"/>
    <w:rsid w:val="002C0C3A"/>
    <w:rsid w:val="002C4A39"/>
    <w:rsid w:val="002C7C43"/>
    <w:rsid w:val="002D2107"/>
    <w:rsid w:val="002D2619"/>
    <w:rsid w:val="002D2A77"/>
    <w:rsid w:val="002E2627"/>
    <w:rsid w:val="002E34B7"/>
    <w:rsid w:val="002E5C60"/>
    <w:rsid w:val="002E6125"/>
    <w:rsid w:val="002F0526"/>
    <w:rsid w:val="002F08A1"/>
    <w:rsid w:val="002F12B4"/>
    <w:rsid w:val="002F44A5"/>
    <w:rsid w:val="002F5845"/>
    <w:rsid w:val="002F5AA8"/>
    <w:rsid w:val="002F5CFB"/>
    <w:rsid w:val="002F72B7"/>
    <w:rsid w:val="0030116D"/>
    <w:rsid w:val="00302BCB"/>
    <w:rsid w:val="003037BC"/>
    <w:rsid w:val="00303A1B"/>
    <w:rsid w:val="00303BA0"/>
    <w:rsid w:val="00306F19"/>
    <w:rsid w:val="00310366"/>
    <w:rsid w:val="00310A3F"/>
    <w:rsid w:val="00311CAF"/>
    <w:rsid w:val="00311E2D"/>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B72"/>
    <w:rsid w:val="003366FB"/>
    <w:rsid w:val="0033681E"/>
    <w:rsid w:val="00336E20"/>
    <w:rsid w:val="00341669"/>
    <w:rsid w:val="00342465"/>
    <w:rsid w:val="00345E3B"/>
    <w:rsid w:val="00351790"/>
    <w:rsid w:val="00353296"/>
    <w:rsid w:val="0035368D"/>
    <w:rsid w:val="00354255"/>
    <w:rsid w:val="00356E1B"/>
    <w:rsid w:val="003602C9"/>
    <w:rsid w:val="0036042F"/>
    <w:rsid w:val="0036253E"/>
    <w:rsid w:val="003663BF"/>
    <w:rsid w:val="00366BB8"/>
    <w:rsid w:val="00376AEF"/>
    <w:rsid w:val="00377047"/>
    <w:rsid w:val="00380CF8"/>
    <w:rsid w:val="00381132"/>
    <w:rsid w:val="003814AE"/>
    <w:rsid w:val="0038398F"/>
    <w:rsid w:val="00384E94"/>
    <w:rsid w:val="003876F1"/>
    <w:rsid w:val="00390A24"/>
    <w:rsid w:val="00391317"/>
    <w:rsid w:val="00393089"/>
    <w:rsid w:val="0039615C"/>
    <w:rsid w:val="003A2B31"/>
    <w:rsid w:val="003A47C4"/>
    <w:rsid w:val="003A4CF8"/>
    <w:rsid w:val="003A4EEC"/>
    <w:rsid w:val="003B0134"/>
    <w:rsid w:val="003B3C6F"/>
    <w:rsid w:val="003B5A66"/>
    <w:rsid w:val="003B6F0C"/>
    <w:rsid w:val="003C13CD"/>
    <w:rsid w:val="003C28F2"/>
    <w:rsid w:val="003C7338"/>
    <w:rsid w:val="003D0D51"/>
    <w:rsid w:val="003D1DC8"/>
    <w:rsid w:val="003D25DC"/>
    <w:rsid w:val="003D35DB"/>
    <w:rsid w:val="003D6C3F"/>
    <w:rsid w:val="003E1C9F"/>
    <w:rsid w:val="003E20C8"/>
    <w:rsid w:val="003E2C3E"/>
    <w:rsid w:val="003E33FE"/>
    <w:rsid w:val="003E540A"/>
    <w:rsid w:val="003F0A87"/>
    <w:rsid w:val="003F1D74"/>
    <w:rsid w:val="003F1E2A"/>
    <w:rsid w:val="003F2BF4"/>
    <w:rsid w:val="003F4AF8"/>
    <w:rsid w:val="003F4C6D"/>
    <w:rsid w:val="003F5F91"/>
    <w:rsid w:val="003F6C55"/>
    <w:rsid w:val="00402A95"/>
    <w:rsid w:val="004107B3"/>
    <w:rsid w:val="0041096D"/>
    <w:rsid w:val="00417AAE"/>
    <w:rsid w:val="00420209"/>
    <w:rsid w:val="004214D5"/>
    <w:rsid w:val="00422311"/>
    <w:rsid w:val="004241E9"/>
    <w:rsid w:val="00426354"/>
    <w:rsid w:val="004326F9"/>
    <w:rsid w:val="004352C6"/>
    <w:rsid w:val="00436F80"/>
    <w:rsid w:val="0044017B"/>
    <w:rsid w:val="00442432"/>
    <w:rsid w:val="0044320C"/>
    <w:rsid w:val="00443B1A"/>
    <w:rsid w:val="0044451C"/>
    <w:rsid w:val="00445C19"/>
    <w:rsid w:val="00446A18"/>
    <w:rsid w:val="00446CA3"/>
    <w:rsid w:val="0045046D"/>
    <w:rsid w:val="00455EA5"/>
    <w:rsid w:val="00456B23"/>
    <w:rsid w:val="00461683"/>
    <w:rsid w:val="00461DF2"/>
    <w:rsid w:val="004649E0"/>
    <w:rsid w:val="0046687A"/>
    <w:rsid w:val="00470696"/>
    <w:rsid w:val="00471E99"/>
    <w:rsid w:val="004721AA"/>
    <w:rsid w:val="00473151"/>
    <w:rsid w:val="00474793"/>
    <w:rsid w:val="00475E62"/>
    <w:rsid w:val="004771F0"/>
    <w:rsid w:val="00481F23"/>
    <w:rsid w:val="00483320"/>
    <w:rsid w:val="00484E27"/>
    <w:rsid w:val="0049651D"/>
    <w:rsid w:val="0049788F"/>
    <w:rsid w:val="004A0F72"/>
    <w:rsid w:val="004A10E6"/>
    <w:rsid w:val="004A35B7"/>
    <w:rsid w:val="004B0C65"/>
    <w:rsid w:val="004B27E7"/>
    <w:rsid w:val="004B33EF"/>
    <w:rsid w:val="004B58D3"/>
    <w:rsid w:val="004B7343"/>
    <w:rsid w:val="004B73FB"/>
    <w:rsid w:val="004C21E6"/>
    <w:rsid w:val="004C2E98"/>
    <w:rsid w:val="004C465F"/>
    <w:rsid w:val="004C6321"/>
    <w:rsid w:val="004D1D8F"/>
    <w:rsid w:val="004D243B"/>
    <w:rsid w:val="004D63D9"/>
    <w:rsid w:val="004E0AD6"/>
    <w:rsid w:val="004E22FF"/>
    <w:rsid w:val="004E47CC"/>
    <w:rsid w:val="004F0490"/>
    <w:rsid w:val="004F56D3"/>
    <w:rsid w:val="004F59FB"/>
    <w:rsid w:val="004F76F4"/>
    <w:rsid w:val="004F7F19"/>
    <w:rsid w:val="00500B4F"/>
    <w:rsid w:val="005018D0"/>
    <w:rsid w:val="0050318E"/>
    <w:rsid w:val="00503493"/>
    <w:rsid w:val="00506126"/>
    <w:rsid w:val="0051107B"/>
    <w:rsid w:val="00512046"/>
    <w:rsid w:val="00512879"/>
    <w:rsid w:val="0051497B"/>
    <w:rsid w:val="00515399"/>
    <w:rsid w:val="005171AE"/>
    <w:rsid w:val="00521F1D"/>
    <w:rsid w:val="00521F47"/>
    <w:rsid w:val="00522A47"/>
    <w:rsid w:val="00523008"/>
    <w:rsid w:val="00524283"/>
    <w:rsid w:val="00525A14"/>
    <w:rsid w:val="00525AB7"/>
    <w:rsid w:val="00526EC4"/>
    <w:rsid w:val="00527563"/>
    <w:rsid w:val="005302BB"/>
    <w:rsid w:val="00530B10"/>
    <w:rsid w:val="0053198B"/>
    <w:rsid w:val="00531A8A"/>
    <w:rsid w:val="00532EC7"/>
    <w:rsid w:val="00535A8D"/>
    <w:rsid w:val="00537C32"/>
    <w:rsid w:val="00545D04"/>
    <w:rsid w:val="00550C0B"/>
    <w:rsid w:val="005520E3"/>
    <w:rsid w:val="00552C67"/>
    <w:rsid w:val="005569DD"/>
    <w:rsid w:val="00562D89"/>
    <w:rsid w:val="0056443F"/>
    <w:rsid w:val="00572946"/>
    <w:rsid w:val="005732F8"/>
    <w:rsid w:val="00580345"/>
    <w:rsid w:val="005816DE"/>
    <w:rsid w:val="00582FC0"/>
    <w:rsid w:val="00585C29"/>
    <w:rsid w:val="005867CC"/>
    <w:rsid w:val="0058767A"/>
    <w:rsid w:val="00590FB7"/>
    <w:rsid w:val="005914EE"/>
    <w:rsid w:val="00595465"/>
    <w:rsid w:val="005A0A77"/>
    <w:rsid w:val="005A39F4"/>
    <w:rsid w:val="005A70B4"/>
    <w:rsid w:val="005A79D9"/>
    <w:rsid w:val="005A7C36"/>
    <w:rsid w:val="005B21C9"/>
    <w:rsid w:val="005B6BFA"/>
    <w:rsid w:val="005C03D2"/>
    <w:rsid w:val="005C087C"/>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04"/>
    <w:rsid w:val="005D73EF"/>
    <w:rsid w:val="005E16CC"/>
    <w:rsid w:val="005E5558"/>
    <w:rsid w:val="005F199D"/>
    <w:rsid w:val="005F36FE"/>
    <w:rsid w:val="005F38B6"/>
    <w:rsid w:val="005F4B93"/>
    <w:rsid w:val="005F5498"/>
    <w:rsid w:val="005F773E"/>
    <w:rsid w:val="005F785A"/>
    <w:rsid w:val="00600A20"/>
    <w:rsid w:val="00602E5C"/>
    <w:rsid w:val="006033D0"/>
    <w:rsid w:val="006037C1"/>
    <w:rsid w:val="006059DA"/>
    <w:rsid w:val="00606B1A"/>
    <w:rsid w:val="006207EF"/>
    <w:rsid w:val="00621F2D"/>
    <w:rsid w:val="00622401"/>
    <w:rsid w:val="00622CFB"/>
    <w:rsid w:val="006241B8"/>
    <w:rsid w:val="006242F2"/>
    <w:rsid w:val="00624488"/>
    <w:rsid w:val="006245B4"/>
    <w:rsid w:val="006271E6"/>
    <w:rsid w:val="006272E2"/>
    <w:rsid w:val="00627513"/>
    <w:rsid w:val="00631035"/>
    <w:rsid w:val="00631EA9"/>
    <w:rsid w:val="00632A70"/>
    <w:rsid w:val="00632F61"/>
    <w:rsid w:val="00635A27"/>
    <w:rsid w:val="0064067B"/>
    <w:rsid w:val="006418B3"/>
    <w:rsid w:val="00644B2E"/>
    <w:rsid w:val="00654DE3"/>
    <w:rsid w:val="00655B7F"/>
    <w:rsid w:val="00656628"/>
    <w:rsid w:val="006573B9"/>
    <w:rsid w:val="00660AAD"/>
    <w:rsid w:val="00661603"/>
    <w:rsid w:val="0066178F"/>
    <w:rsid w:val="00661B94"/>
    <w:rsid w:val="00662C70"/>
    <w:rsid w:val="00662D89"/>
    <w:rsid w:val="006652DD"/>
    <w:rsid w:val="0066640F"/>
    <w:rsid w:val="006664D4"/>
    <w:rsid w:val="00667F81"/>
    <w:rsid w:val="00670EAA"/>
    <w:rsid w:val="006715A0"/>
    <w:rsid w:val="00671B38"/>
    <w:rsid w:val="00671BB1"/>
    <w:rsid w:val="006731C7"/>
    <w:rsid w:val="00673306"/>
    <w:rsid w:val="00674E18"/>
    <w:rsid w:val="00680F20"/>
    <w:rsid w:val="00684E69"/>
    <w:rsid w:val="00686110"/>
    <w:rsid w:val="00687BCB"/>
    <w:rsid w:val="00690202"/>
    <w:rsid w:val="0069037C"/>
    <w:rsid w:val="00692763"/>
    <w:rsid w:val="00692CEE"/>
    <w:rsid w:val="00694889"/>
    <w:rsid w:val="00694971"/>
    <w:rsid w:val="0069657C"/>
    <w:rsid w:val="006A0CDD"/>
    <w:rsid w:val="006A7CC6"/>
    <w:rsid w:val="006B083B"/>
    <w:rsid w:val="006B3839"/>
    <w:rsid w:val="006B4C0B"/>
    <w:rsid w:val="006C0BD7"/>
    <w:rsid w:val="006C25E4"/>
    <w:rsid w:val="006C3470"/>
    <w:rsid w:val="006C43E9"/>
    <w:rsid w:val="006C6EBC"/>
    <w:rsid w:val="006C7CD1"/>
    <w:rsid w:val="006C7E76"/>
    <w:rsid w:val="006D16BD"/>
    <w:rsid w:val="006D1CE7"/>
    <w:rsid w:val="006D2366"/>
    <w:rsid w:val="006D2960"/>
    <w:rsid w:val="006D49E4"/>
    <w:rsid w:val="006D65A5"/>
    <w:rsid w:val="006D6790"/>
    <w:rsid w:val="006E33C5"/>
    <w:rsid w:val="006E72D4"/>
    <w:rsid w:val="006E7C4E"/>
    <w:rsid w:val="006E7CFC"/>
    <w:rsid w:val="006F134A"/>
    <w:rsid w:val="006F1838"/>
    <w:rsid w:val="006F272D"/>
    <w:rsid w:val="006F2F47"/>
    <w:rsid w:val="006F4CC9"/>
    <w:rsid w:val="006F79F1"/>
    <w:rsid w:val="006F7CBF"/>
    <w:rsid w:val="007001B2"/>
    <w:rsid w:val="00702D5F"/>
    <w:rsid w:val="007041F9"/>
    <w:rsid w:val="00704B14"/>
    <w:rsid w:val="00705FBB"/>
    <w:rsid w:val="0070680E"/>
    <w:rsid w:val="0071036C"/>
    <w:rsid w:val="007114AC"/>
    <w:rsid w:val="00712ED6"/>
    <w:rsid w:val="00716DFD"/>
    <w:rsid w:val="00717D87"/>
    <w:rsid w:val="007248C4"/>
    <w:rsid w:val="007279D2"/>
    <w:rsid w:val="0073003B"/>
    <w:rsid w:val="00730D6D"/>
    <w:rsid w:val="00731FB9"/>
    <w:rsid w:val="007331D2"/>
    <w:rsid w:val="00741DC7"/>
    <w:rsid w:val="007427D1"/>
    <w:rsid w:val="007428C7"/>
    <w:rsid w:val="0074523A"/>
    <w:rsid w:val="0074690A"/>
    <w:rsid w:val="00747CDF"/>
    <w:rsid w:val="00751A94"/>
    <w:rsid w:val="00754B31"/>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121F"/>
    <w:rsid w:val="00792220"/>
    <w:rsid w:val="00792309"/>
    <w:rsid w:val="00796030"/>
    <w:rsid w:val="007962A6"/>
    <w:rsid w:val="00796712"/>
    <w:rsid w:val="007A097D"/>
    <w:rsid w:val="007A0BC3"/>
    <w:rsid w:val="007A1ACB"/>
    <w:rsid w:val="007A1DFA"/>
    <w:rsid w:val="007A2872"/>
    <w:rsid w:val="007A3334"/>
    <w:rsid w:val="007A540E"/>
    <w:rsid w:val="007A6A27"/>
    <w:rsid w:val="007B0293"/>
    <w:rsid w:val="007B38A7"/>
    <w:rsid w:val="007B4143"/>
    <w:rsid w:val="007B4717"/>
    <w:rsid w:val="007B4E28"/>
    <w:rsid w:val="007B58B9"/>
    <w:rsid w:val="007B5B46"/>
    <w:rsid w:val="007B5CE4"/>
    <w:rsid w:val="007B65AB"/>
    <w:rsid w:val="007B6F45"/>
    <w:rsid w:val="007B7A5B"/>
    <w:rsid w:val="007C02D1"/>
    <w:rsid w:val="007C1C17"/>
    <w:rsid w:val="007C4E71"/>
    <w:rsid w:val="007C636E"/>
    <w:rsid w:val="007C76F2"/>
    <w:rsid w:val="007C7BAF"/>
    <w:rsid w:val="007D04B8"/>
    <w:rsid w:val="007D086D"/>
    <w:rsid w:val="007D354B"/>
    <w:rsid w:val="007D6307"/>
    <w:rsid w:val="007E0603"/>
    <w:rsid w:val="007E172B"/>
    <w:rsid w:val="007E1EF5"/>
    <w:rsid w:val="007E25E4"/>
    <w:rsid w:val="007E6145"/>
    <w:rsid w:val="007E64DE"/>
    <w:rsid w:val="007E6532"/>
    <w:rsid w:val="007E65E1"/>
    <w:rsid w:val="007E6DC6"/>
    <w:rsid w:val="007E7B3F"/>
    <w:rsid w:val="007F4407"/>
    <w:rsid w:val="007F6273"/>
    <w:rsid w:val="007F75BA"/>
    <w:rsid w:val="00800641"/>
    <w:rsid w:val="008027F2"/>
    <w:rsid w:val="00803119"/>
    <w:rsid w:val="00803884"/>
    <w:rsid w:val="0081186D"/>
    <w:rsid w:val="00812FF1"/>
    <w:rsid w:val="0081756A"/>
    <w:rsid w:val="008201FA"/>
    <w:rsid w:val="008234EA"/>
    <w:rsid w:val="00826071"/>
    <w:rsid w:val="00826E84"/>
    <w:rsid w:val="00830986"/>
    <w:rsid w:val="00836749"/>
    <w:rsid w:val="008416D9"/>
    <w:rsid w:val="008441D0"/>
    <w:rsid w:val="00850BF6"/>
    <w:rsid w:val="00850FBA"/>
    <w:rsid w:val="00853828"/>
    <w:rsid w:val="00853AA3"/>
    <w:rsid w:val="008546E5"/>
    <w:rsid w:val="0085490B"/>
    <w:rsid w:val="008614CC"/>
    <w:rsid w:val="0086265B"/>
    <w:rsid w:val="0086309F"/>
    <w:rsid w:val="008638A5"/>
    <w:rsid w:val="00864C7E"/>
    <w:rsid w:val="008659CE"/>
    <w:rsid w:val="008758D4"/>
    <w:rsid w:val="00877B42"/>
    <w:rsid w:val="00881288"/>
    <w:rsid w:val="0088400C"/>
    <w:rsid w:val="00884148"/>
    <w:rsid w:val="00884812"/>
    <w:rsid w:val="00884B61"/>
    <w:rsid w:val="008870EB"/>
    <w:rsid w:val="008932E1"/>
    <w:rsid w:val="008956AA"/>
    <w:rsid w:val="00897A05"/>
    <w:rsid w:val="008A0975"/>
    <w:rsid w:val="008A1159"/>
    <w:rsid w:val="008A1573"/>
    <w:rsid w:val="008A233A"/>
    <w:rsid w:val="008A460F"/>
    <w:rsid w:val="008A51B9"/>
    <w:rsid w:val="008A60AE"/>
    <w:rsid w:val="008A64DD"/>
    <w:rsid w:val="008B21BC"/>
    <w:rsid w:val="008B270A"/>
    <w:rsid w:val="008B7D4E"/>
    <w:rsid w:val="008C1F18"/>
    <w:rsid w:val="008C266D"/>
    <w:rsid w:val="008C37E8"/>
    <w:rsid w:val="008C40B1"/>
    <w:rsid w:val="008C6CC5"/>
    <w:rsid w:val="008D28E1"/>
    <w:rsid w:val="008D3B3F"/>
    <w:rsid w:val="008D43A8"/>
    <w:rsid w:val="008D46FC"/>
    <w:rsid w:val="008D58F4"/>
    <w:rsid w:val="008D7C22"/>
    <w:rsid w:val="008D7C42"/>
    <w:rsid w:val="008E0D53"/>
    <w:rsid w:val="008E0DC4"/>
    <w:rsid w:val="008E5DDF"/>
    <w:rsid w:val="008E5E71"/>
    <w:rsid w:val="008E7959"/>
    <w:rsid w:val="008F0749"/>
    <w:rsid w:val="008F4E82"/>
    <w:rsid w:val="008F5A51"/>
    <w:rsid w:val="00900916"/>
    <w:rsid w:val="009019A8"/>
    <w:rsid w:val="0090431D"/>
    <w:rsid w:val="009048A7"/>
    <w:rsid w:val="00905638"/>
    <w:rsid w:val="00910872"/>
    <w:rsid w:val="00913AC7"/>
    <w:rsid w:val="00915E1E"/>
    <w:rsid w:val="00916347"/>
    <w:rsid w:val="00922F61"/>
    <w:rsid w:val="00924042"/>
    <w:rsid w:val="00926758"/>
    <w:rsid w:val="00927131"/>
    <w:rsid w:val="009319F4"/>
    <w:rsid w:val="00933E27"/>
    <w:rsid w:val="00934D26"/>
    <w:rsid w:val="00935F24"/>
    <w:rsid w:val="00937325"/>
    <w:rsid w:val="00937C87"/>
    <w:rsid w:val="00940831"/>
    <w:rsid w:val="00943435"/>
    <w:rsid w:val="00945CB8"/>
    <w:rsid w:val="009502F9"/>
    <w:rsid w:val="00950D76"/>
    <w:rsid w:val="00950ED4"/>
    <w:rsid w:val="0095477E"/>
    <w:rsid w:val="0095571A"/>
    <w:rsid w:val="00956E0E"/>
    <w:rsid w:val="00960DEA"/>
    <w:rsid w:val="00960E46"/>
    <w:rsid w:val="00962C51"/>
    <w:rsid w:val="00963E6F"/>
    <w:rsid w:val="009643D0"/>
    <w:rsid w:val="00965741"/>
    <w:rsid w:val="00966BF0"/>
    <w:rsid w:val="009739BA"/>
    <w:rsid w:val="0097583D"/>
    <w:rsid w:val="00977989"/>
    <w:rsid w:val="00983208"/>
    <w:rsid w:val="00983A37"/>
    <w:rsid w:val="00983F77"/>
    <w:rsid w:val="00986D91"/>
    <w:rsid w:val="00992901"/>
    <w:rsid w:val="009948FA"/>
    <w:rsid w:val="00996BDA"/>
    <w:rsid w:val="009973CB"/>
    <w:rsid w:val="009A5A8E"/>
    <w:rsid w:val="009B1B0E"/>
    <w:rsid w:val="009B2DAB"/>
    <w:rsid w:val="009B3CF8"/>
    <w:rsid w:val="009B614F"/>
    <w:rsid w:val="009C04AF"/>
    <w:rsid w:val="009C11B4"/>
    <w:rsid w:val="009C1F1B"/>
    <w:rsid w:val="009C3A1D"/>
    <w:rsid w:val="009C3C89"/>
    <w:rsid w:val="009C62DB"/>
    <w:rsid w:val="009C6467"/>
    <w:rsid w:val="009D07C4"/>
    <w:rsid w:val="009D41AB"/>
    <w:rsid w:val="009D4333"/>
    <w:rsid w:val="009D443C"/>
    <w:rsid w:val="009D4BA7"/>
    <w:rsid w:val="009D7D07"/>
    <w:rsid w:val="009E03A4"/>
    <w:rsid w:val="009E0F24"/>
    <w:rsid w:val="009E263E"/>
    <w:rsid w:val="009E2990"/>
    <w:rsid w:val="009E29E8"/>
    <w:rsid w:val="009E2E2A"/>
    <w:rsid w:val="009E4128"/>
    <w:rsid w:val="009E4155"/>
    <w:rsid w:val="009E4A04"/>
    <w:rsid w:val="009F3790"/>
    <w:rsid w:val="009F39DF"/>
    <w:rsid w:val="009F5DDA"/>
    <w:rsid w:val="009F6813"/>
    <w:rsid w:val="00A03F8F"/>
    <w:rsid w:val="00A042BC"/>
    <w:rsid w:val="00A045F2"/>
    <w:rsid w:val="00A071E9"/>
    <w:rsid w:val="00A1369B"/>
    <w:rsid w:val="00A144D3"/>
    <w:rsid w:val="00A153F6"/>
    <w:rsid w:val="00A16D8E"/>
    <w:rsid w:val="00A20875"/>
    <w:rsid w:val="00A20A27"/>
    <w:rsid w:val="00A244C7"/>
    <w:rsid w:val="00A33F9B"/>
    <w:rsid w:val="00A361DB"/>
    <w:rsid w:val="00A36DDE"/>
    <w:rsid w:val="00A36E65"/>
    <w:rsid w:val="00A37912"/>
    <w:rsid w:val="00A37B62"/>
    <w:rsid w:val="00A37EDE"/>
    <w:rsid w:val="00A41A9E"/>
    <w:rsid w:val="00A43BA2"/>
    <w:rsid w:val="00A45EE8"/>
    <w:rsid w:val="00A462A9"/>
    <w:rsid w:val="00A51D86"/>
    <w:rsid w:val="00A52408"/>
    <w:rsid w:val="00A538A9"/>
    <w:rsid w:val="00A54AEE"/>
    <w:rsid w:val="00A55E82"/>
    <w:rsid w:val="00A56228"/>
    <w:rsid w:val="00A60BDF"/>
    <w:rsid w:val="00A620E2"/>
    <w:rsid w:val="00A63444"/>
    <w:rsid w:val="00A63E30"/>
    <w:rsid w:val="00A6488A"/>
    <w:rsid w:val="00A660B5"/>
    <w:rsid w:val="00A73E9A"/>
    <w:rsid w:val="00A753B3"/>
    <w:rsid w:val="00A75C5D"/>
    <w:rsid w:val="00A805B7"/>
    <w:rsid w:val="00A8342D"/>
    <w:rsid w:val="00A8485A"/>
    <w:rsid w:val="00A84E9B"/>
    <w:rsid w:val="00A85D07"/>
    <w:rsid w:val="00A87340"/>
    <w:rsid w:val="00A915DD"/>
    <w:rsid w:val="00A9286C"/>
    <w:rsid w:val="00A94490"/>
    <w:rsid w:val="00A95E07"/>
    <w:rsid w:val="00AA21E0"/>
    <w:rsid w:val="00AA345A"/>
    <w:rsid w:val="00AA345B"/>
    <w:rsid w:val="00AA556D"/>
    <w:rsid w:val="00AA6BA1"/>
    <w:rsid w:val="00AB0BA1"/>
    <w:rsid w:val="00AB1C9F"/>
    <w:rsid w:val="00AB328F"/>
    <w:rsid w:val="00AB3376"/>
    <w:rsid w:val="00AB4F34"/>
    <w:rsid w:val="00AB51A8"/>
    <w:rsid w:val="00AB60A6"/>
    <w:rsid w:val="00AC0AE0"/>
    <w:rsid w:val="00AC3C10"/>
    <w:rsid w:val="00AC45E1"/>
    <w:rsid w:val="00AC4EC9"/>
    <w:rsid w:val="00AC5D01"/>
    <w:rsid w:val="00AC70CA"/>
    <w:rsid w:val="00AC7111"/>
    <w:rsid w:val="00AD3E0D"/>
    <w:rsid w:val="00AD468B"/>
    <w:rsid w:val="00AD4F7B"/>
    <w:rsid w:val="00AD7954"/>
    <w:rsid w:val="00AE23FB"/>
    <w:rsid w:val="00AE24FD"/>
    <w:rsid w:val="00AE256C"/>
    <w:rsid w:val="00AE3106"/>
    <w:rsid w:val="00AE5058"/>
    <w:rsid w:val="00AF4BF2"/>
    <w:rsid w:val="00AF4DA4"/>
    <w:rsid w:val="00AF592A"/>
    <w:rsid w:val="00AF5D8A"/>
    <w:rsid w:val="00AF7546"/>
    <w:rsid w:val="00B00C4E"/>
    <w:rsid w:val="00B02796"/>
    <w:rsid w:val="00B02A3F"/>
    <w:rsid w:val="00B02EA8"/>
    <w:rsid w:val="00B04A35"/>
    <w:rsid w:val="00B04BE1"/>
    <w:rsid w:val="00B050D9"/>
    <w:rsid w:val="00B123FB"/>
    <w:rsid w:val="00B1247F"/>
    <w:rsid w:val="00B153FA"/>
    <w:rsid w:val="00B22A17"/>
    <w:rsid w:val="00B22B9F"/>
    <w:rsid w:val="00B22F78"/>
    <w:rsid w:val="00B27131"/>
    <w:rsid w:val="00B27951"/>
    <w:rsid w:val="00B32689"/>
    <w:rsid w:val="00B331EC"/>
    <w:rsid w:val="00B35F83"/>
    <w:rsid w:val="00B36A30"/>
    <w:rsid w:val="00B37C62"/>
    <w:rsid w:val="00B42F31"/>
    <w:rsid w:val="00B4388B"/>
    <w:rsid w:val="00B43D92"/>
    <w:rsid w:val="00B47F3B"/>
    <w:rsid w:val="00B51050"/>
    <w:rsid w:val="00B52CAD"/>
    <w:rsid w:val="00B53EAF"/>
    <w:rsid w:val="00B65BCA"/>
    <w:rsid w:val="00B6639B"/>
    <w:rsid w:val="00B66F84"/>
    <w:rsid w:val="00B675A3"/>
    <w:rsid w:val="00B67947"/>
    <w:rsid w:val="00B7318F"/>
    <w:rsid w:val="00B7570D"/>
    <w:rsid w:val="00B8023D"/>
    <w:rsid w:val="00B84F6E"/>
    <w:rsid w:val="00B86A55"/>
    <w:rsid w:val="00B91C5A"/>
    <w:rsid w:val="00B9500B"/>
    <w:rsid w:val="00B970C0"/>
    <w:rsid w:val="00BA1D80"/>
    <w:rsid w:val="00BA3380"/>
    <w:rsid w:val="00BA4E6F"/>
    <w:rsid w:val="00BA56A8"/>
    <w:rsid w:val="00BA784F"/>
    <w:rsid w:val="00BA7A1E"/>
    <w:rsid w:val="00BB17F0"/>
    <w:rsid w:val="00BB4FD9"/>
    <w:rsid w:val="00BB5711"/>
    <w:rsid w:val="00BB5722"/>
    <w:rsid w:val="00BB6693"/>
    <w:rsid w:val="00BB6BB6"/>
    <w:rsid w:val="00BB6CD0"/>
    <w:rsid w:val="00BC02E9"/>
    <w:rsid w:val="00BC17E4"/>
    <w:rsid w:val="00BC3EC5"/>
    <w:rsid w:val="00BC46B6"/>
    <w:rsid w:val="00BC5546"/>
    <w:rsid w:val="00BD2771"/>
    <w:rsid w:val="00BD35AA"/>
    <w:rsid w:val="00BD3C78"/>
    <w:rsid w:val="00BD6505"/>
    <w:rsid w:val="00BE57BB"/>
    <w:rsid w:val="00BE7118"/>
    <w:rsid w:val="00BF0C25"/>
    <w:rsid w:val="00BF58E8"/>
    <w:rsid w:val="00BF5AD6"/>
    <w:rsid w:val="00BF7869"/>
    <w:rsid w:val="00C06004"/>
    <w:rsid w:val="00C06389"/>
    <w:rsid w:val="00C11279"/>
    <w:rsid w:val="00C11A18"/>
    <w:rsid w:val="00C12B98"/>
    <w:rsid w:val="00C13A67"/>
    <w:rsid w:val="00C13CD5"/>
    <w:rsid w:val="00C157A7"/>
    <w:rsid w:val="00C218B8"/>
    <w:rsid w:val="00C26633"/>
    <w:rsid w:val="00C335A8"/>
    <w:rsid w:val="00C34810"/>
    <w:rsid w:val="00C34ACB"/>
    <w:rsid w:val="00C362E2"/>
    <w:rsid w:val="00C4052B"/>
    <w:rsid w:val="00C409B6"/>
    <w:rsid w:val="00C40CD5"/>
    <w:rsid w:val="00C40DD3"/>
    <w:rsid w:val="00C41A57"/>
    <w:rsid w:val="00C42A8E"/>
    <w:rsid w:val="00C42EF8"/>
    <w:rsid w:val="00C44308"/>
    <w:rsid w:val="00C46A25"/>
    <w:rsid w:val="00C47E88"/>
    <w:rsid w:val="00C500A8"/>
    <w:rsid w:val="00C51B7F"/>
    <w:rsid w:val="00C529B0"/>
    <w:rsid w:val="00C53D9F"/>
    <w:rsid w:val="00C540CA"/>
    <w:rsid w:val="00C544C7"/>
    <w:rsid w:val="00C556AB"/>
    <w:rsid w:val="00C56B62"/>
    <w:rsid w:val="00C60D14"/>
    <w:rsid w:val="00C64E46"/>
    <w:rsid w:val="00C650CF"/>
    <w:rsid w:val="00C65690"/>
    <w:rsid w:val="00C66F2D"/>
    <w:rsid w:val="00C67C95"/>
    <w:rsid w:val="00C67CE6"/>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A8A"/>
    <w:rsid w:val="00CA1B45"/>
    <w:rsid w:val="00CA45CB"/>
    <w:rsid w:val="00CA4C3A"/>
    <w:rsid w:val="00CA4E57"/>
    <w:rsid w:val="00CA7AA6"/>
    <w:rsid w:val="00CA7ADA"/>
    <w:rsid w:val="00CA7C07"/>
    <w:rsid w:val="00CA7F1D"/>
    <w:rsid w:val="00CB5C38"/>
    <w:rsid w:val="00CC1C87"/>
    <w:rsid w:val="00CC29B3"/>
    <w:rsid w:val="00CC2EA8"/>
    <w:rsid w:val="00CC5500"/>
    <w:rsid w:val="00CC6E48"/>
    <w:rsid w:val="00CD238F"/>
    <w:rsid w:val="00CD37EC"/>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7E4B"/>
    <w:rsid w:val="00D121C6"/>
    <w:rsid w:val="00D13CEA"/>
    <w:rsid w:val="00D13F20"/>
    <w:rsid w:val="00D144B1"/>
    <w:rsid w:val="00D15014"/>
    <w:rsid w:val="00D15A30"/>
    <w:rsid w:val="00D15AA1"/>
    <w:rsid w:val="00D164BC"/>
    <w:rsid w:val="00D16C4C"/>
    <w:rsid w:val="00D203E4"/>
    <w:rsid w:val="00D23481"/>
    <w:rsid w:val="00D25C63"/>
    <w:rsid w:val="00D279F0"/>
    <w:rsid w:val="00D3496C"/>
    <w:rsid w:val="00D36A13"/>
    <w:rsid w:val="00D36A9F"/>
    <w:rsid w:val="00D42E23"/>
    <w:rsid w:val="00D466A8"/>
    <w:rsid w:val="00D46E14"/>
    <w:rsid w:val="00D51004"/>
    <w:rsid w:val="00D52EC1"/>
    <w:rsid w:val="00D53F31"/>
    <w:rsid w:val="00D579E6"/>
    <w:rsid w:val="00D61FF9"/>
    <w:rsid w:val="00D62480"/>
    <w:rsid w:val="00D629E3"/>
    <w:rsid w:val="00D64273"/>
    <w:rsid w:val="00D64C4F"/>
    <w:rsid w:val="00D66DDB"/>
    <w:rsid w:val="00D70766"/>
    <w:rsid w:val="00D7252C"/>
    <w:rsid w:val="00D7768F"/>
    <w:rsid w:val="00D82691"/>
    <w:rsid w:val="00D837B0"/>
    <w:rsid w:val="00D83FBA"/>
    <w:rsid w:val="00D8775A"/>
    <w:rsid w:val="00D906B2"/>
    <w:rsid w:val="00D91F3E"/>
    <w:rsid w:val="00D92325"/>
    <w:rsid w:val="00D95A1B"/>
    <w:rsid w:val="00DA1EA0"/>
    <w:rsid w:val="00DA2E83"/>
    <w:rsid w:val="00DA3868"/>
    <w:rsid w:val="00DA3A12"/>
    <w:rsid w:val="00DA3A68"/>
    <w:rsid w:val="00DA4E7C"/>
    <w:rsid w:val="00DB08D3"/>
    <w:rsid w:val="00DB277C"/>
    <w:rsid w:val="00DB3FB8"/>
    <w:rsid w:val="00DB5A7F"/>
    <w:rsid w:val="00DB7DC5"/>
    <w:rsid w:val="00DC0C32"/>
    <w:rsid w:val="00DC175C"/>
    <w:rsid w:val="00DC59F9"/>
    <w:rsid w:val="00DC69D9"/>
    <w:rsid w:val="00DC7159"/>
    <w:rsid w:val="00DC7C06"/>
    <w:rsid w:val="00DC7E08"/>
    <w:rsid w:val="00DD0CD5"/>
    <w:rsid w:val="00DD1932"/>
    <w:rsid w:val="00DD2423"/>
    <w:rsid w:val="00DD4191"/>
    <w:rsid w:val="00DD732B"/>
    <w:rsid w:val="00DE00CB"/>
    <w:rsid w:val="00DE02CA"/>
    <w:rsid w:val="00DE224D"/>
    <w:rsid w:val="00DE41C5"/>
    <w:rsid w:val="00DE5965"/>
    <w:rsid w:val="00DF43D9"/>
    <w:rsid w:val="00DF7F84"/>
    <w:rsid w:val="00E022A1"/>
    <w:rsid w:val="00E0245B"/>
    <w:rsid w:val="00E02A52"/>
    <w:rsid w:val="00E0447A"/>
    <w:rsid w:val="00E052B8"/>
    <w:rsid w:val="00E06108"/>
    <w:rsid w:val="00E10780"/>
    <w:rsid w:val="00E134FA"/>
    <w:rsid w:val="00E1542E"/>
    <w:rsid w:val="00E22006"/>
    <w:rsid w:val="00E22EA8"/>
    <w:rsid w:val="00E23058"/>
    <w:rsid w:val="00E25D40"/>
    <w:rsid w:val="00E319EF"/>
    <w:rsid w:val="00E31CB8"/>
    <w:rsid w:val="00E332FF"/>
    <w:rsid w:val="00E354BF"/>
    <w:rsid w:val="00E35CF6"/>
    <w:rsid w:val="00E361ED"/>
    <w:rsid w:val="00E40395"/>
    <w:rsid w:val="00E40CA6"/>
    <w:rsid w:val="00E41747"/>
    <w:rsid w:val="00E44D06"/>
    <w:rsid w:val="00E457F0"/>
    <w:rsid w:val="00E46240"/>
    <w:rsid w:val="00E54144"/>
    <w:rsid w:val="00E547F7"/>
    <w:rsid w:val="00E55A97"/>
    <w:rsid w:val="00E57404"/>
    <w:rsid w:val="00E57A6E"/>
    <w:rsid w:val="00E64BEF"/>
    <w:rsid w:val="00E64E18"/>
    <w:rsid w:val="00E66BEB"/>
    <w:rsid w:val="00E71771"/>
    <w:rsid w:val="00E73985"/>
    <w:rsid w:val="00E7452D"/>
    <w:rsid w:val="00E81B7C"/>
    <w:rsid w:val="00E85AC5"/>
    <w:rsid w:val="00E864E9"/>
    <w:rsid w:val="00E909E3"/>
    <w:rsid w:val="00E91D41"/>
    <w:rsid w:val="00E9742F"/>
    <w:rsid w:val="00EA372C"/>
    <w:rsid w:val="00EB020F"/>
    <w:rsid w:val="00EB264C"/>
    <w:rsid w:val="00EB33A4"/>
    <w:rsid w:val="00EB6216"/>
    <w:rsid w:val="00EB6CF0"/>
    <w:rsid w:val="00EC1274"/>
    <w:rsid w:val="00EC285A"/>
    <w:rsid w:val="00EC3047"/>
    <w:rsid w:val="00EC4067"/>
    <w:rsid w:val="00EC41EC"/>
    <w:rsid w:val="00EC4F2E"/>
    <w:rsid w:val="00EC5C68"/>
    <w:rsid w:val="00EC6576"/>
    <w:rsid w:val="00ED2203"/>
    <w:rsid w:val="00ED3627"/>
    <w:rsid w:val="00ED37B8"/>
    <w:rsid w:val="00ED3C94"/>
    <w:rsid w:val="00ED5B5F"/>
    <w:rsid w:val="00ED67BB"/>
    <w:rsid w:val="00EE1B70"/>
    <w:rsid w:val="00EE3EC4"/>
    <w:rsid w:val="00EE53C1"/>
    <w:rsid w:val="00EF0C39"/>
    <w:rsid w:val="00EF6C8B"/>
    <w:rsid w:val="00F028A5"/>
    <w:rsid w:val="00F02ACE"/>
    <w:rsid w:val="00F03463"/>
    <w:rsid w:val="00F03E2D"/>
    <w:rsid w:val="00F05082"/>
    <w:rsid w:val="00F06AF6"/>
    <w:rsid w:val="00F104DF"/>
    <w:rsid w:val="00F16F36"/>
    <w:rsid w:val="00F20567"/>
    <w:rsid w:val="00F21BA6"/>
    <w:rsid w:val="00F2517C"/>
    <w:rsid w:val="00F26C65"/>
    <w:rsid w:val="00F316B5"/>
    <w:rsid w:val="00F43789"/>
    <w:rsid w:val="00F44779"/>
    <w:rsid w:val="00F50072"/>
    <w:rsid w:val="00F507C6"/>
    <w:rsid w:val="00F51CCB"/>
    <w:rsid w:val="00F51D19"/>
    <w:rsid w:val="00F530A8"/>
    <w:rsid w:val="00F550A0"/>
    <w:rsid w:val="00F56168"/>
    <w:rsid w:val="00F62018"/>
    <w:rsid w:val="00F62E83"/>
    <w:rsid w:val="00F65096"/>
    <w:rsid w:val="00F65D8D"/>
    <w:rsid w:val="00F70A24"/>
    <w:rsid w:val="00F71565"/>
    <w:rsid w:val="00F7237E"/>
    <w:rsid w:val="00F73D29"/>
    <w:rsid w:val="00F80790"/>
    <w:rsid w:val="00F8788F"/>
    <w:rsid w:val="00F87926"/>
    <w:rsid w:val="00F908B7"/>
    <w:rsid w:val="00F91851"/>
    <w:rsid w:val="00F933B4"/>
    <w:rsid w:val="00F936DE"/>
    <w:rsid w:val="00F93F64"/>
    <w:rsid w:val="00F955F5"/>
    <w:rsid w:val="00FA03D1"/>
    <w:rsid w:val="00FA2ED3"/>
    <w:rsid w:val="00FA3A0C"/>
    <w:rsid w:val="00FA3EA6"/>
    <w:rsid w:val="00FA6B8E"/>
    <w:rsid w:val="00FB01B7"/>
    <w:rsid w:val="00FB0D59"/>
    <w:rsid w:val="00FB1BAA"/>
    <w:rsid w:val="00FB1BCD"/>
    <w:rsid w:val="00FB1D33"/>
    <w:rsid w:val="00FB7C3A"/>
    <w:rsid w:val="00FC01D5"/>
    <w:rsid w:val="00FC2034"/>
    <w:rsid w:val="00FC387F"/>
    <w:rsid w:val="00FC6F1F"/>
    <w:rsid w:val="00FD34DC"/>
    <w:rsid w:val="00FD5141"/>
    <w:rsid w:val="00FD5CCF"/>
    <w:rsid w:val="00FE0829"/>
    <w:rsid w:val="00FE609B"/>
    <w:rsid w:val="00FE62B8"/>
    <w:rsid w:val="00FF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22314987">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637972">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59397083">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799961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4434368">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6139296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ortalanterior.ine.mx/archivos2/tutoriales/sistemas/ApoyoInstitucional/SIF/docs/candidatos/folioFiscalFactura.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8A77DC-5D33-4546-977D-ED3D9943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8432</Words>
  <Characters>46382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2026-04-10T16:27:00Z</cp:lastPrinted>
  <dcterms:created xsi:type="dcterms:W3CDTF">2026-04-10T16:27:00Z</dcterms:created>
  <dcterms:modified xsi:type="dcterms:W3CDTF">2026-04-10T16:27:00Z</dcterms:modified>
</cp:coreProperties>
</file>