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FCD1A" w14:textId="3E64A294" w:rsidR="00532AE4" w:rsidRPr="00922710" w:rsidRDefault="00A76F12">
      <w:pPr>
        <w:spacing w:line="360" w:lineRule="auto"/>
        <w:jc w:val="both"/>
        <w:rPr>
          <w:rFonts w:ascii="Palatino Linotype" w:eastAsia="Palatino Linotype" w:hAnsi="Palatino Linotype" w:cs="Palatino Linotype"/>
          <w:sz w:val="22"/>
          <w:szCs w:val="22"/>
        </w:rPr>
      </w:pPr>
      <w:bookmarkStart w:id="0" w:name="_heading=h.gjdgxs" w:colFirst="0" w:colLast="0"/>
      <w:bookmarkEnd w:id="0"/>
      <w:r w:rsidRPr="00922710">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de fecha </w:t>
      </w:r>
      <w:r w:rsidR="00A4702B" w:rsidRPr="00922710">
        <w:rPr>
          <w:rFonts w:ascii="Palatino Linotype" w:eastAsia="Palatino Linotype" w:hAnsi="Palatino Linotype" w:cs="Palatino Linotype"/>
          <w:sz w:val="22"/>
          <w:szCs w:val="22"/>
        </w:rPr>
        <w:t xml:space="preserve">diecisiete </w:t>
      </w:r>
      <w:r w:rsidR="00FD6122" w:rsidRPr="00922710">
        <w:rPr>
          <w:rFonts w:ascii="Palatino Linotype" w:eastAsia="Palatino Linotype" w:hAnsi="Palatino Linotype" w:cs="Palatino Linotype"/>
          <w:sz w:val="22"/>
          <w:szCs w:val="22"/>
        </w:rPr>
        <w:t>de septiembre</w:t>
      </w:r>
      <w:r w:rsidR="00E55CFA" w:rsidRPr="00922710">
        <w:rPr>
          <w:rFonts w:ascii="Palatino Linotype" w:eastAsia="Palatino Linotype" w:hAnsi="Palatino Linotype" w:cs="Palatino Linotype"/>
          <w:sz w:val="22"/>
          <w:szCs w:val="22"/>
        </w:rPr>
        <w:t xml:space="preserve"> de dos mil veintiséis</w:t>
      </w:r>
      <w:r w:rsidRPr="00922710">
        <w:rPr>
          <w:rFonts w:ascii="Palatino Linotype" w:eastAsia="Palatino Linotype" w:hAnsi="Palatino Linotype" w:cs="Palatino Linotype"/>
          <w:sz w:val="22"/>
          <w:szCs w:val="22"/>
        </w:rPr>
        <w:t xml:space="preserve">. </w:t>
      </w:r>
    </w:p>
    <w:p w14:paraId="13FC4B2B" w14:textId="77777777" w:rsidR="00532AE4" w:rsidRPr="00922710" w:rsidRDefault="00532AE4">
      <w:pPr>
        <w:spacing w:line="360" w:lineRule="auto"/>
        <w:jc w:val="both"/>
        <w:rPr>
          <w:rFonts w:ascii="Palatino Linotype" w:eastAsia="Palatino Linotype" w:hAnsi="Palatino Linotype" w:cs="Palatino Linotype"/>
          <w:b/>
          <w:sz w:val="22"/>
          <w:szCs w:val="22"/>
        </w:rPr>
      </w:pPr>
    </w:p>
    <w:p w14:paraId="50DC799A" w14:textId="35EE6FBF"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b/>
          <w:sz w:val="22"/>
          <w:szCs w:val="22"/>
        </w:rPr>
        <w:t xml:space="preserve">Visto </w:t>
      </w:r>
      <w:r w:rsidRPr="00922710">
        <w:rPr>
          <w:rFonts w:ascii="Palatino Linotype" w:eastAsia="Palatino Linotype" w:hAnsi="Palatino Linotype" w:cs="Palatino Linotype"/>
          <w:sz w:val="22"/>
          <w:szCs w:val="22"/>
        </w:rPr>
        <w:t xml:space="preserve">el expediente relativo al recurso de revisión </w:t>
      </w:r>
      <w:r w:rsidR="005F4631" w:rsidRPr="00922710">
        <w:rPr>
          <w:rFonts w:ascii="Palatino Linotype" w:eastAsia="Palatino Linotype" w:hAnsi="Palatino Linotype" w:cs="Palatino Linotype"/>
          <w:b/>
          <w:sz w:val="22"/>
          <w:szCs w:val="22"/>
        </w:rPr>
        <w:t>0</w:t>
      </w:r>
      <w:r w:rsidR="00A4702B" w:rsidRPr="00922710">
        <w:rPr>
          <w:rFonts w:ascii="Palatino Linotype" w:eastAsia="Palatino Linotype" w:hAnsi="Palatino Linotype" w:cs="Palatino Linotype"/>
          <w:b/>
          <w:sz w:val="22"/>
          <w:szCs w:val="22"/>
        </w:rPr>
        <w:t>8189</w:t>
      </w:r>
      <w:r w:rsidR="000C05BE" w:rsidRPr="00922710">
        <w:rPr>
          <w:rFonts w:ascii="Palatino Linotype" w:eastAsia="Palatino Linotype" w:hAnsi="Palatino Linotype" w:cs="Palatino Linotype"/>
          <w:b/>
          <w:sz w:val="22"/>
          <w:szCs w:val="22"/>
        </w:rPr>
        <w:t>/INFOEM/IP/RR/2026</w:t>
      </w:r>
      <w:r w:rsidRPr="00922710">
        <w:rPr>
          <w:rFonts w:ascii="Palatino Linotype" w:eastAsia="Palatino Linotype" w:hAnsi="Palatino Linotype" w:cs="Palatino Linotype"/>
          <w:sz w:val="22"/>
          <w:szCs w:val="22"/>
        </w:rPr>
        <w:t xml:space="preserve">, interpuesto </w:t>
      </w:r>
      <w:r w:rsidR="0061438F" w:rsidRPr="00922710">
        <w:rPr>
          <w:rFonts w:ascii="Palatino Linotype" w:eastAsia="Palatino Linotype" w:hAnsi="Palatino Linotype" w:cs="Palatino Linotype"/>
          <w:sz w:val="22"/>
          <w:szCs w:val="22"/>
        </w:rPr>
        <w:t xml:space="preserve">por </w:t>
      </w:r>
      <w:r w:rsidR="00FD5905" w:rsidRPr="00922710">
        <w:rPr>
          <w:rFonts w:ascii="Palatino Linotype" w:eastAsia="Palatino Linotype" w:hAnsi="Palatino Linotype" w:cs="Palatino Linotype"/>
          <w:b/>
          <w:sz w:val="22"/>
          <w:szCs w:val="22"/>
        </w:rPr>
        <w:t>una persona que no proporcionó nombre o seudónimo</w:t>
      </w:r>
      <w:r w:rsidRPr="00922710">
        <w:rPr>
          <w:rFonts w:ascii="Palatino Linotype" w:eastAsia="Palatino Linotype" w:hAnsi="Palatino Linotype" w:cs="Palatino Linotype"/>
          <w:b/>
          <w:sz w:val="22"/>
          <w:szCs w:val="22"/>
        </w:rPr>
        <w:t>,</w:t>
      </w:r>
      <w:r w:rsidRPr="00922710">
        <w:rPr>
          <w:rFonts w:ascii="Palatino Linotype" w:eastAsia="Palatino Linotype" w:hAnsi="Palatino Linotype" w:cs="Palatino Linotype"/>
          <w:sz w:val="22"/>
          <w:szCs w:val="22"/>
        </w:rPr>
        <w:t xml:space="preserve"> en lo sucesivo la parte </w:t>
      </w:r>
      <w:r w:rsidRPr="00922710">
        <w:rPr>
          <w:rFonts w:ascii="Palatino Linotype" w:eastAsia="Palatino Linotype" w:hAnsi="Palatino Linotype" w:cs="Palatino Linotype"/>
          <w:b/>
          <w:sz w:val="22"/>
          <w:szCs w:val="22"/>
        </w:rPr>
        <w:t xml:space="preserve">RECURRENTE, </w:t>
      </w:r>
      <w:r w:rsidRPr="00922710">
        <w:rPr>
          <w:rFonts w:ascii="Palatino Linotype" w:eastAsia="Palatino Linotype" w:hAnsi="Palatino Linotype" w:cs="Palatino Linotype"/>
          <w:sz w:val="22"/>
          <w:szCs w:val="22"/>
        </w:rPr>
        <w:t>en contra de la falta de respuesta a la solicitud de acceso a la información con número de folio</w:t>
      </w:r>
      <w:r w:rsidRPr="00922710">
        <w:rPr>
          <w:rFonts w:ascii="Verdana" w:eastAsia="Verdana" w:hAnsi="Verdana" w:cs="Verdana"/>
          <w:b/>
          <w:sz w:val="22"/>
          <w:szCs w:val="22"/>
        </w:rPr>
        <w:t> </w:t>
      </w:r>
      <w:r w:rsidR="00A4702B" w:rsidRPr="00922710">
        <w:rPr>
          <w:rFonts w:ascii="Palatino Linotype" w:eastAsia="Palatino Linotype" w:hAnsi="Palatino Linotype" w:cs="Palatino Linotype"/>
          <w:b/>
          <w:sz w:val="22"/>
          <w:szCs w:val="22"/>
        </w:rPr>
        <w:t>00137/COCOTIT/IP/2026</w:t>
      </w:r>
      <w:r w:rsidR="00EF743D" w:rsidRPr="00922710">
        <w:rPr>
          <w:rFonts w:ascii="Palatino Linotype" w:eastAsia="Palatino Linotype" w:hAnsi="Palatino Linotype" w:cs="Palatino Linotype"/>
          <w:b/>
          <w:sz w:val="22"/>
          <w:szCs w:val="22"/>
        </w:rPr>
        <w:t xml:space="preserve">, </w:t>
      </w:r>
      <w:r w:rsidRPr="00922710">
        <w:rPr>
          <w:rFonts w:ascii="Palatino Linotype" w:eastAsia="Palatino Linotype" w:hAnsi="Palatino Linotype" w:cs="Palatino Linotype"/>
          <w:sz w:val="22"/>
          <w:szCs w:val="22"/>
        </w:rPr>
        <w:t xml:space="preserve">por parte del </w:t>
      </w:r>
      <w:r w:rsidR="00A4702B" w:rsidRPr="00922710">
        <w:rPr>
          <w:rFonts w:ascii="Palatino Linotype" w:eastAsia="Palatino Linotype" w:hAnsi="Palatino Linotype" w:cs="Palatino Linotype"/>
          <w:b/>
          <w:sz w:val="22"/>
          <w:szCs w:val="22"/>
        </w:rPr>
        <w:t>Ayuntamiento de Cocotitlán</w:t>
      </w:r>
      <w:r w:rsidR="00390FDA" w:rsidRPr="00922710">
        <w:rPr>
          <w:rFonts w:ascii="Palatino Linotype" w:eastAsia="Palatino Linotype" w:hAnsi="Palatino Linotype" w:cs="Palatino Linotype"/>
          <w:b/>
          <w:sz w:val="22"/>
          <w:szCs w:val="22"/>
        </w:rPr>
        <w:t>,</w:t>
      </w:r>
      <w:r w:rsidRPr="00922710">
        <w:rPr>
          <w:rFonts w:ascii="Palatino Linotype" w:eastAsia="Palatino Linotype" w:hAnsi="Palatino Linotype" w:cs="Palatino Linotype"/>
          <w:sz w:val="22"/>
          <w:szCs w:val="22"/>
        </w:rPr>
        <w:t xml:space="preserve"> en lo sucesivo el </w:t>
      </w:r>
      <w:r w:rsidRPr="00922710">
        <w:rPr>
          <w:rFonts w:ascii="Palatino Linotype" w:eastAsia="Palatino Linotype" w:hAnsi="Palatino Linotype" w:cs="Palatino Linotype"/>
          <w:b/>
          <w:sz w:val="22"/>
          <w:szCs w:val="22"/>
        </w:rPr>
        <w:t xml:space="preserve">SUJETO OBLIGADO; </w:t>
      </w:r>
      <w:r w:rsidRPr="00922710">
        <w:rPr>
          <w:rFonts w:ascii="Palatino Linotype" w:eastAsia="Palatino Linotype" w:hAnsi="Palatino Linotype" w:cs="Palatino Linotype"/>
          <w:sz w:val="22"/>
          <w:szCs w:val="22"/>
        </w:rPr>
        <w:t xml:space="preserve">se procede a dictar la presente resolución, con base en lo siguiente. </w:t>
      </w:r>
    </w:p>
    <w:p w14:paraId="3531DFA3"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555D501F" w14:textId="77777777" w:rsidR="00532AE4" w:rsidRPr="00922710" w:rsidRDefault="00A76F12">
      <w:pPr>
        <w:numPr>
          <w:ilvl w:val="0"/>
          <w:numId w:val="5"/>
        </w:numPr>
        <w:pBdr>
          <w:top w:val="nil"/>
          <w:left w:val="nil"/>
          <w:bottom w:val="nil"/>
          <w:right w:val="nil"/>
          <w:between w:val="nil"/>
        </w:pBdr>
        <w:spacing w:line="360" w:lineRule="auto"/>
        <w:ind w:left="1077"/>
        <w:jc w:val="center"/>
        <w:rPr>
          <w:rFonts w:ascii="Palatino Linotype" w:eastAsia="Palatino Linotype" w:hAnsi="Palatino Linotype" w:cs="Palatino Linotype"/>
          <w:b/>
          <w:sz w:val="22"/>
          <w:szCs w:val="22"/>
        </w:rPr>
      </w:pPr>
      <w:r w:rsidRPr="00922710">
        <w:rPr>
          <w:rFonts w:ascii="Palatino Linotype" w:eastAsia="Palatino Linotype" w:hAnsi="Palatino Linotype" w:cs="Palatino Linotype"/>
          <w:b/>
          <w:sz w:val="22"/>
          <w:szCs w:val="22"/>
        </w:rPr>
        <w:t>A N T E C E D E N T E S:</w:t>
      </w:r>
    </w:p>
    <w:p w14:paraId="77D7A248" w14:textId="77777777" w:rsidR="00532AE4" w:rsidRPr="00922710" w:rsidRDefault="00532AE4">
      <w:pPr>
        <w:pBdr>
          <w:top w:val="nil"/>
          <w:left w:val="nil"/>
          <w:bottom w:val="nil"/>
          <w:right w:val="nil"/>
          <w:between w:val="nil"/>
        </w:pBdr>
        <w:spacing w:line="360" w:lineRule="auto"/>
        <w:ind w:left="1077"/>
        <w:rPr>
          <w:rFonts w:ascii="Palatino Linotype" w:eastAsia="Palatino Linotype" w:hAnsi="Palatino Linotype" w:cs="Palatino Linotype"/>
          <w:b/>
          <w:sz w:val="22"/>
          <w:szCs w:val="22"/>
        </w:rPr>
      </w:pPr>
    </w:p>
    <w:p w14:paraId="79AB330F" w14:textId="77777777" w:rsidR="00DA5B9F" w:rsidRPr="00922710" w:rsidRDefault="00DA5B9F" w:rsidP="00DA5B9F">
      <w:pPr>
        <w:spacing w:line="360" w:lineRule="auto"/>
        <w:jc w:val="both"/>
        <w:rPr>
          <w:rFonts w:ascii="Palatino Linotype" w:eastAsia="Palatino Linotype" w:hAnsi="Palatino Linotype" w:cs="Palatino Linotype"/>
          <w:sz w:val="22"/>
          <w:szCs w:val="22"/>
          <w:lang w:val="es-ES"/>
        </w:rPr>
      </w:pPr>
      <w:r w:rsidRPr="00922710">
        <w:rPr>
          <w:rFonts w:ascii="Palatino Linotype" w:eastAsia="Palatino Linotype" w:hAnsi="Palatino Linotype" w:cs="Palatino Linotype"/>
          <w:b/>
          <w:sz w:val="22"/>
          <w:szCs w:val="22"/>
          <w:lang w:val="es-ES"/>
        </w:rPr>
        <w:t xml:space="preserve">1. Solicitud de acceso a la información. </w:t>
      </w:r>
      <w:r w:rsidRPr="00922710">
        <w:rPr>
          <w:rFonts w:ascii="Palatino Linotype" w:eastAsia="Palatino Linotype" w:hAnsi="Palatino Linotype" w:cs="Palatino Linotype"/>
          <w:sz w:val="22"/>
          <w:szCs w:val="22"/>
          <w:lang w:val="es-ES"/>
        </w:rPr>
        <w:t xml:space="preserve">Con fecha veinte de julio de dos mil veintiséis, la parte </w:t>
      </w:r>
      <w:r w:rsidRPr="00922710">
        <w:rPr>
          <w:rFonts w:ascii="Palatino Linotype" w:eastAsia="Palatino Linotype" w:hAnsi="Palatino Linotype" w:cs="Palatino Linotype"/>
          <w:b/>
          <w:sz w:val="22"/>
          <w:szCs w:val="22"/>
          <w:lang w:val="es-ES"/>
        </w:rPr>
        <w:t xml:space="preserve">RECURRENTE </w:t>
      </w:r>
      <w:r w:rsidRPr="00922710">
        <w:rPr>
          <w:rFonts w:ascii="Palatino Linotype" w:eastAsia="Palatino Linotype" w:hAnsi="Palatino Linotype" w:cs="Palatino Linotype"/>
          <w:sz w:val="22"/>
          <w:szCs w:val="22"/>
          <w:lang w:val="es-ES"/>
        </w:rPr>
        <w:t xml:space="preserve">formuló a través del Sistema de Acceso a la Información Mexiquense, en adelante </w:t>
      </w:r>
      <w:r w:rsidRPr="00922710">
        <w:rPr>
          <w:rFonts w:ascii="Palatino Linotype" w:eastAsia="Palatino Linotype" w:hAnsi="Palatino Linotype" w:cs="Palatino Linotype"/>
          <w:b/>
          <w:sz w:val="22"/>
          <w:szCs w:val="22"/>
          <w:lang w:val="es-ES"/>
        </w:rPr>
        <w:t>SAIMEX,</w:t>
      </w:r>
      <w:r w:rsidRPr="00922710">
        <w:rPr>
          <w:rFonts w:ascii="Palatino Linotype" w:eastAsia="Palatino Linotype" w:hAnsi="Palatino Linotype" w:cs="Palatino Linotype"/>
          <w:sz w:val="22"/>
          <w:szCs w:val="22"/>
          <w:lang w:val="es-ES"/>
        </w:rPr>
        <w:t xml:space="preserve"> solicitud de información al </w:t>
      </w:r>
      <w:r w:rsidRPr="00922710">
        <w:rPr>
          <w:rFonts w:ascii="Palatino Linotype" w:eastAsia="Palatino Linotype" w:hAnsi="Palatino Linotype" w:cs="Palatino Linotype"/>
          <w:b/>
          <w:sz w:val="22"/>
          <w:szCs w:val="22"/>
          <w:lang w:val="es-ES"/>
        </w:rPr>
        <w:t xml:space="preserve">SUJETO OBLIGADO; </w:t>
      </w:r>
      <w:r w:rsidRPr="00922710">
        <w:rPr>
          <w:rFonts w:ascii="Palatino Linotype" w:eastAsia="Palatino Linotype" w:hAnsi="Palatino Linotype" w:cs="Palatino Linotype"/>
          <w:bCs/>
          <w:sz w:val="22"/>
          <w:szCs w:val="22"/>
          <w:lang w:val="es-ES"/>
        </w:rPr>
        <w:t xml:space="preserve">no obstante, por corresponder a un día inhábil, se tuvo por presentada el </w:t>
      </w:r>
      <w:r w:rsidRPr="00922710">
        <w:rPr>
          <w:rFonts w:ascii="Palatino Linotype" w:eastAsia="Palatino Linotype" w:hAnsi="Palatino Linotype" w:cs="Palatino Linotype"/>
          <w:b/>
          <w:sz w:val="22"/>
          <w:szCs w:val="22"/>
          <w:lang w:val="es-ES"/>
        </w:rPr>
        <w:t>tres de agosto de dos mil veintiséis</w:t>
      </w:r>
      <w:r w:rsidRPr="00922710">
        <w:rPr>
          <w:rFonts w:ascii="Palatino Linotype" w:eastAsia="Palatino Linotype" w:hAnsi="Palatino Linotype" w:cs="Palatino Linotype"/>
          <w:sz w:val="22"/>
          <w:szCs w:val="22"/>
          <w:lang w:val="es-ES"/>
        </w:rPr>
        <w:t xml:space="preserve"> requiriéndole lo siguiente:</w:t>
      </w:r>
    </w:p>
    <w:p w14:paraId="59CC0872" w14:textId="68200746" w:rsidR="009B6117" w:rsidRPr="00922710" w:rsidRDefault="009B6117" w:rsidP="00724155">
      <w:pPr>
        <w:ind w:right="616"/>
        <w:jc w:val="both"/>
        <w:rPr>
          <w:rFonts w:ascii="Palatino Linotype" w:eastAsia="Palatino Linotype" w:hAnsi="Palatino Linotype" w:cs="Palatino Linotype"/>
          <w:i/>
          <w:sz w:val="22"/>
          <w:szCs w:val="22"/>
          <w:lang w:val="es-ES"/>
        </w:rPr>
      </w:pPr>
    </w:p>
    <w:p w14:paraId="0F87CB2C" w14:textId="0DE604AB" w:rsidR="00532AE4" w:rsidRPr="00922710" w:rsidRDefault="0004402A" w:rsidP="004C7248">
      <w:pPr>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i/>
          <w:sz w:val="22"/>
          <w:szCs w:val="22"/>
        </w:rPr>
        <w:t>“</w:t>
      </w:r>
      <w:r w:rsidR="00A4702B" w:rsidRPr="00922710">
        <w:rPr>
          <w:rFonts w:ascii="Palatino Linotype" w:eastAsia="Palatino Linotype" w:hAnsi="Palatino Linotype" w:cs="Palatino Linotype"/>
          <w:i/>
          <w:sz w:val="22"/>
          <w:szCs w:val="22"/>
        </w:rPr>
        <w:t>una vez más solicitó NOMBRAMIENTOS DEL COMITE DE SELECCION MUNICIPAL Y NOMBRAMIENTOS DE LOS TRES INTEGRANTES DEL COMITE ANTICORUPCION DE COCOTITLAN DE ESTA NUEVA ADMINISTRACION. ASI COMO REMITIR COPIA SIMPLE DE LA CONVOCATORIA PARA SUN PREVIA SELECCIÓN 2025-2027</w:t>
      </w:r>
      <w:r w:rsidR="00137E5A" w:rsidRPr="00922710">
        <w:rPr>
          <w:rFonts w:ascii="Palatino Linotype" w:eastAsia="Palatino Linotype" w:hAnsi="Palatino Linotype" w:cs="Palatino Linotype"/>
          <w:i/>
          <w:sz w:val="22"/>
          <w:szCs w:val="22"/>
        </w:rPr>
        <w:t xml:space="preserve">” </w:t>
      </w:r>
      <w:r w:rsidR="00A76F12" w:rsidRPr="00922710">
        <w:rPr>
          <w:rFonts w:ascii="Palatino Linotype" w:eastAsia="Palatino Linotype" w:hAnsi="Palatino Linotype" w:cs="Palatino Linotype"/>
          <w:i/>
          <w:sz w:val="22"/>
          <w:szCs w:val="22"/>
        </w:rPr>
        <w:t>(Sic)</w:t>
      </w:r>
      <w:r w:rsidR="00CE1553" w:rsidRPr="00922710">
        <w:rPr>
          <w:rFonts w:ascii="Palatino Linotype" w:eastAsia="Palatino Linotype" w:hAnsi="Palatino Linotype" w:cs="Palatino Linotype"/>
          <w:b/>
          <w:sz w:val="22"/>
          <w:szCs w:val="22"/>
        </w:rPr>
        <w:tab/>
      </w:r>
    </w:p>
    <w:p w14:paraId="6697AE7A" w14:textId="77777777" w:rsidR="00147A44" w:rsidRPr="00922710" w:rsidRDefault="00147A44">
      <w:pPr>
        <w:spacing w:line="360" w:lineRule="auto"/>
        <w:jc w:val="both"/>
        <w:rPr>
          <w:rFonts w:ascii="Palatino Linotype" w:eastAsia="Palatino Linotype" w:hAnsi="Palatino Linotype" w:cs="Palatino Linotype"/>
          <w:b/>
          <w:sz w:val="22"/>
          <w:szCs w:val="22"/>
        </w:rPr>
      </w:pPr>
    </w:p>
    <w:p w14:paraId="421C9301" w14:textId="72D3BB72" w:rsidR="00D60C04" w:rsidRPr="00922710" w:rsidRDefault="00A76F12" w:rsidP="00FD5905">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b/>
          <w:sz w:val="22"/>
          <w:szCs w:val="22"/>
        </w:rPr>
        <w:t xml:space="preserve">Modalidad elegida para la entrega de la información: </w:t>
      </w:r>
      <w:r w:rsidRPr="00922710">
        <w:rPr>
          <w:rFonts w:ascii="Palatino Linotype" w:eastAsia="Palatino Linotype" w:hAnsi="Palatino Linotype" w:cs="Palatino Linotype"/>
          <w:sz w:val="22"/>
          <w:szCs w:val="22"/>
        </w:rPr>
        <w:t>a través del SAIMEX.</w:t>
      </w:r>
    </w:p>
    <w:p w14:paraId="1227E94F" w14:textId="77777777" w:rsidR="00D60C04" w:rsidRPr="00922710" w:rsidRDefault="00D60C04" w:rsidP="00D60C04">
      <w:pPr>
        <w:spacing w:line="360" w:lineRule="auto"/>
        <w:ind w:left="567" w:right="567"/>
        <w:jc w:val="both"/>
        <w:rPr>
          <w:rFonts w:ascii="Palatino Linotype" w:eastAsia="Palatino Linotype" w:hAnsi="Palatino Linotype" w:cs="Palatino Linotype"/>
          <w:i/>
          <w:sz w:val="22"/>
          <w:szCs w:val="22"/>
        </w:rPr>
      </w:pPr>
    </w:p>
    <w:p w14:paraId="0B4162AB" w14:textId="53267BBA" w:rsidR="00532AE4" w:rsidRPr="00922710" w:rsidRDefault="00FD5905">
      <w:pPr>
        <w:spacing w:line="360" w:lineRule="auto"/>
        <w:jc w:val="both"/>
        <w:rPr>
          <w:rFonts w:ascii="Palatino Linotype" w:eastAsia="Palatino Linotype" w:hAnsi="Palatino Linotype" w:cs="Palatino Linotype"/>
          <w:b/>
          <w:sz w:val="22"/>
          <w:szCs w:val="22"/>
        </w:rPr>
      </w:pPr>
      <w:r w:rsidRPr="00922710">
        <w:rPr>
          <w:rFonts w:ascii="Palatino Linotype" w:eastAsia="Palatino Linotype" w:hAnsi="Palatino Linotype" w:cs="Palatino Linotype"/>
          <w:b/>
          <w:sz w:val="22"/>
          <w:szCs w:val="22"/>
        </w:rPr>
        <w:t>2</w:t>
      </w:r>
      <w:r w:rsidR="00D763D8" w:rsidRPr="00922710">
        <w:rPr>
          <w:rFonts w:ascii="Palatino Linotype" w:eastAsia="Palatino Linotype" w:hAnsi="Palatino Linotype" w:cs="Palatino Linotype"/>
          <w:b/>
          <w:sz w:val="22"/>
          <w:szCs w:val="22"/>
        </w:rPr>
        <w:t xml:space="preserve">. </w:t>
      </w:r>
      <w:r w:rsidR="00A76F12" w:rsidRPr="00922710">
        <w:rPr>
          <w:rFonts w:ascii="Palatino Linotype" w:eastAsia="Palatino Linotype" w:hAnsi="Palatino Linotype" w:cs="Palatino Linotype"/>
          <w:b/>
          <w:sz w:val="22"/>
          <w:szCs w:val="22"/>
        </w:rPr>
        <w:t xml:space="preserve">Respuesta. </w:t>
      </w:r>
      <w:r w:rsidR="00A76F12" w:rsidRPr="00922710">
        <w:rPr>
          <w:rFonts w:ascii="Palatino Linotype" w:eastAsia="Palatino Linotype" w:hAnsi="Palatino Linotype" w:cs="Palatino Linotype"/>
          <w:sz w:val="22"/>
          <w:szCs w:val="22"/>
        </w:rPr>
        <w:t xml:space="preserve">El </w:t>
      </w:r>
      <w:r w:rsidR="00A76F12" w:rsidRPr="00922710">
        <w:rPr>
          <w:rFonts w:ascii="Palatino Linotype" w:eastAsia="Palatino Linotype" w:hAnsi="Palatino Linotype" w:cs="Palatino Linotype"/>
          <w:b/>
          <w:sz w:val="22"/>
          <w:szCs w:val="22"/>
        </w:rPr>
        <w:t xml:space="preserve">SUJETO OBLIGADO </w:t>
      </w:r>
      <w:r w:rsidR="00A76F12" w:rsidRPr="00922710">
        <w:rPr>
          <w:rFonts w:ascii="Palatino Linotype" w:eastAsia="Palatino Linotype" w:hAnsi="Palatino Linotype" w:cs="Palatino Linotype"/>
          <w:sz w:val="22"/>
          <w:szCs w:val="22"/>
        </w:rPr>
        <w:t xml:space="preserve">fue omiso en proporcionar respuesta. </w:t>
      </w:r>
    </w:p>
    <w:p w14:paraId="66730054"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64E077EC" w14:textId="4FC30EA2" w:rsidR="00532AE4" w:rsidRPr="00922710" w:rsidRDefault="00FD5905">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b/>
          <w:sz w:val="22"/>
          <w:szCs w:val="22"/>
        </w:rPr>
        <w:t>3</w:t>
      </w:r>
      <w:r w:rsidR="00A76F12" w:rsidRPr="00922710">
        <w:rPr>
          <w:rFonts w:ascii="Palatino Linotype" w:eastAsia="Palatino Linotype" w:hAnsi="Palatino Linotype" w:cs="Palatino Linotype"/>
          <w:b/>
          <w:sz w:val="22"/>
          <w:szCs w:val="22"/>
        </w:rPr>
        <w:t xml:space="preserve">. Interposición del recurso de revisión. </w:t>
      </w:r>
      <w:r w:rsidR="00A76F12" w:rsidRPr="00922710">
        <w:rPr>
          <w:rFonts w:ascii="Palatino Linotype" w:eastAsia="Palatino Linotype" w:hAnsi="Palatino Linotype" w:cs="Palatino Linotype"/>
          <w:sz w:val="22"/>
          <w:szCs w:val="22"/>
        </w:rPr>
        <w:t xml:space="preserve">Inconforme la parte solicitante con la falta de respuesta del </w:t>
      </w:r>
      <w:r w:rsidR="00A76F12" w:rsidRPr="00922710">
        <w:rPr>
          <w:rFonts w:ascii="Palatino Linotype" w:eastAsia="Palatino Linotype" w:hAnsi="Palatino Linotype" w:cs="Palatino Linotype"/>
          <w:b/>
          <w:sz w:val="22"/>
          <w:szCs w:val="22"/>
        </w:rPr>
        <w:t>SUJETO OBLIGADO</w:t>
      </w:r>
      <w:r w:rsidR="00A76F12" w:rsidRPr="00922710">
        <w:rPr>
          <w:rFonts w:ascii="Palatino Linotype" w:eastAsia="Palatino Linotype" w:hAnsi="Palatino Linotype" w:cs="Palatino Linotype"/>
          <w:sz w:val="22"/>
          <w:szCs w:val="22"/>
        </w:rPr>
        <w:t xml:space="preserve">, interpuso recurso de revisión a través del SAIMEX en fecha </w:t>
      </w:r>
      <w:r w:rsidR="00A4702B" w:rsidRPr="00922710">
        <w:rPr>
          <w:rFonts w:ascii="Palatino Linotype" w:eastAsia="Palatino Linotype" w:hAnsi="Palatino Linotype" w:cs="Palatino Linotype"/>
          <w:b/>
          <w:sz w:val="22"/>
          <w:szCs w:val="22"/>
        </w:rPr>
        <w:t>veintisiete</w:t>
      </w:r>
      <w:r w:rsidR="002E74CE" w:rsidRPr="00922710">
        <w:rPr>
          <w:rFonts w:ascii="Palatino Linotype" w:eastAsia="Palatino Linotype" w:hAnsi="Palatino Linotype" w:cs="Palatino Linotype"/>
          <w:b/>
          <w:sz w:val="22"/>
          <w:szCs w:val="22"/>
        </w:rPr>
        <w:t xml:space="preserve"> de agosto</w:t>
      </w:r>
      <w:r w:rsidR="00401731" w:rsidRPr="00922710">
        <w:rPr>
          <w:rFonts w:ascii="Palatino Linotype" w:eastAsia="Palatino Linotype" w:hAnsi="Palatino Linotype" w:cs="Palatino Linotype"/>
          <w:b/>
          <w:sz w:val="22"/>
          <w:szCs w:val="22"/>
        </w:rPr>
        <w:t xml:space="preserve"> de dos mil veintiséis</w:t>
      </w:r>
      <w:r w:rsidR="00A76F12" w:rsidRPr="00922710">
        <w:rPr>
          <w:rFonts w:ascii="Palatino Linotype" w:eastAsia="Palatino Linotype" w:hAnsi="Palatino Linotype" w:cs="Palatino Linotype"/>
          <w:sz w:val="22"/>
          <w:szCs w:val="22"/>
        </w:rPr>
        <w:t>, expresando lo siguiente:</w:t>
      </w:r>
    </w:p>
    <w:p w14:paraId="126577AC"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59ACBA47" w14:textId="752CB30A" w:rsidR="00532AE4" w:rsidRPr="00922710" w:rsidRDefault="00A76F12">
      <w:pPr>
        <w:spacing w:line="360"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sz w:val="22"/>
          <w:szCs w:val="22"/>
        </w:rPr>
        <w:t>a) Acto impugnado</w:t>
      </w:r>
      <w:r w:rsidRPr="00922710">
        <w:rPr>
          <w:rFonts w:ascii="Palatino Linotype" w:eastAsia="Palatino Linotype" w:hAnsi="Palatino Linotype" w:cs="Palatino Linotype"/>
          <w:b/>
          <w:i/>
          <w:sz w:val="22"/>
          <w:szCs w:val="22"/>
        </w:rPr>
        <w:t xml:space="preserve">. </w:t>
      </w:r>
      <w:r w:rsidR="00EB74FD" w:rsidRPr="00922710">
        <w:rPr>
          <w:rFonts w:ascii="Palatino Linotype" w:eastAsia="Palatino Linotype" w:hAnsi="Palatino Linotype" w:cs="Palatino Linotype"/>
          <w:i/>
          <w:sz w:val="22"/>
          <w:szCs w:val="22"/>
        </w:rPr>
        <w:t>“</w:t>
      </w:r>
      <w:r w:rsidR="00A4702B" w:rsidRPr="00922710">
        <w:rPr>
          <w:rFonts w:ascii="Palatino Linotype" w:eastAsia="Palatino Linotype" w:hAnsi="Palatino Linotype" w:cs="Palatino Linotype"/>
          <w:i/>
          <w:sz w:val="22"/>
          <w:szCs w:val="22"/>
        </w:rPr>
        <w:t>no entrego nada</w:t>
      </w:r>
      <w:r w:rsidR="009B6117" w:rsidRPr="00922710">
        <w:rPr>
          <w:rFonts w:ascii="Palatino Linotype" w:eastAsia="Palatino Linotype" w:hAnsi="Palatino Linotype" w:cs="Palatino Linotype"/>
          <w:i/>
          <w:sz w:val="22"/>
          <w:szCs w:val="22"/>
        </w:rPr>
        <w:t xml:space="preserve">” </w:t>
      </w:r>
      <w:r w:rsidRPr="00922710">
        <w:rPr>
          <w:rFonts w:ascii="Palatino Linotype" w:eastAsia="Palatino Linotype" w:hAnsi="Palatino Linotype" w:cs="Palatino Linotype"/>
          <w:i/>
          <w:sz w:val="22"/>
          <w:szCs w:val="22"/>
        </w:rPr>
        <w:t>(Sic)</w:t>
      </w:r>
    </w:p>
    <w:p w14:paraId="527329DB" w14:textId="77777777" w:rsidR="00532AE4" w:rsidRPr="00922710" w:rsidRDefault="00532AE4">
      <w:pPr>
        <w:spacing w:line="360" w:lineRule="auto"/>
        <w:ind w:left="567" w:right="616"/>
        <w:rPr>
          <w:rFonts w:ascii="Palatino Linotype" w:eastAsia="Palatino Linotype" w:hAnsi="Palatino Linotype" w:cs="Palatino Linotype"/>
          <w:b/>
          <w:sz w:val="22"/>
          <w:szCs w:val="22"/>
        </w:rPr>
      </w:pPr>
    </w:p>
    <w:p w14:paraId="27199E43" w14:textId="14BA59A6" w:rsidR="00532AE4" w:rsidRPr="00922710" w:rsidRDefault="00A76F12">
      <w:pPr>
        <w:spacing w:line="360"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sz w:val="22"/>
          <w:szCs w:val="22"/>
        </w:rPr>
        <w:t xml:space="preserve">b) Motivos de inconformidad. </w:t>
      </w:r>
      <w:r w:rsidRPr="00922710">
        <w:rPr>
          <w:rFonts w:ascii="Palatino Linotype" w:eastAsia="Palatino Linotype" w:hAnsi="Palatino Linotype" w:cs="Palatino Linotype"/>
          <w:i/>
          <w:sz w:val="22"/>
          <w:szCs w:val="22"/>
        </w:rPr>
        <w:t>“</w:t>
      </w:r>
      <w:r w:rsidR="00A4702B" w:rsidRPr="00922710">
        <w:rPr>
          <w:rFonts w:ascii="Palatino Linotype" w:eastAsia="Palatino Linotype" w:hAnsi="Palatino Linotype" w:cs="Palatino Linotype"/>
          <w:i/>
          <w:sz w:val="22"/>
          <w:szCs w:val="22"/>
        </w:rPr>
        <w:t xml:space="preserve">no hay </w:t>
      </w:r>
      <w:proofErr w:type="spellStart"/>
      <w:r w:rsidR="00A4702B" w:rsidRPr="00922710">
        <w:rPr>
          <w:rFonts w:ascii="Palatino Linotype" w:eastAsia="Palatino Linotype" w:hAnsi="Palatino Linotype" w:cs="Palatino Linotype"/>
          <w:i/>
          <w:sz w:val="22"/>
          <w:szCs w:val="22"/>
        </w:rPr>
        <w:t>informacion</w:t>
      </w:r>
      <w:proofErr w:type="spellEnd"/>
      <w:r w:rsidR="002D134E" w:rsidRPr="00922710">
        <w:rPr>
          <w:rFonts w:ascii="Palatino Linotype" w:eastAsia="Palatino Linotype" w:hAnsi="Palatino Linotype" w:cs="Palatino Linotype"/>
          <w:i/>
          <w:sz w:val="22"/>
          <w:szCs w:val="22"/>
        </w:rPr>
        <w:t xml:space="preserve">” </w:t>
      </w:r>
      <w:r w:rsidRPr="00922710">
        <w:rPr>
          <w:rFonts w:ascii="Palatino Linotype" w:eastAsia="Palatino Linotype" w:hAnsi="Palatino Linotype" w:cs="Palatino Linotype"/>
          <w:i/>
          <w:sz w:val="22"/>
          <w:szCs w:val="22"/>
        </w:rPr>
        <w:t>(Sic)</w:t>
      </w:r>
    </w:p>
    <w:p w14:paraId="1CD932CE" w14:textId="77777777" w:rsidR="00532AE4" w:rsidRPr="00922710" w:rsidRDefault="00532AE4">
      <w:pPr>
        <w:spacing w:line="360" w:lineRule="auto"/>
        <w:jc w:val="both"/>
        <w:rPr>
          <w:rFonts w:ascii="Palatino Linotype" w:eastAsia="Palatino Linotype" w:hAnsi="Palatino Linotype" w:cs="Palatino Linotype"/>
          <w:i/>
          <w:sz w:val="22"/>
          <w:szCs w:val="22"/>
        </w:rPr>
      </w:pPr>
    </w:p>
    <w:p w14:paraId="537EC0BB" w14:textId="67406D54" w:rsidR="00532AE4" w:rsidRPr="00922710" w:rsidRDefault="00373DBB">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b/>
          <w:sz w:val="22"/>
          <w:szCs w:val="22"/>
        </w:rPr>
        <w:t>4</w:t>
      </w:r>
      <w:r w:rsidR="00A76F12" w:rsidRPr="00922710">
        <w:rPr>
          <w:rFonts w:ascii="Palatino Linotype" w:eastAsia="Palatino Linotype" w:hAnsi="Palatino Linotype" w:cs="Palatino Linotype"/>
          <w:b/>
          <w:sz w:val="22"/>
          <w:szCs w:val="22"/>
        </w:rPr>
        <w:t xml:space="preserve">. Turno. </w:t>
      </w:r>
      <w:r w:rsidR="00A76F12" w:rsidRPr="00922710">
        <w:rPr>
          <w:rFonts w:ascii="Palatino Linotype" w:eastAsia="Palatino Linotype" w:hAnsi="Palatino Linotype" w:cs="Palatino Linotype"/>
          <w:sz w:val="22"/>
          <w:szCs w:val="22"/>
        </w:rPr>
        <w:t xml:space="preserve">De conformidad con el artículo 185 Fracción I de la Ley Transparencia y Acceso a la Información Pública, el recurso de revisión fue turnado a la Comisionada Ponente </w:t>
      </w:r>
      <w:r w:rsidR="00A76F12" w:rsidRPr="00922710">
        <w:rPr>
          <w:rFonts w:ascii="Palatino Linotype" w:eastAsia="Palatino Linotype" w:hAnsi="Palatino Linotype" w:cs="Palatino Linotype"/>
          <w:b/>
          <w:sz w:val="22"/>
          <w:szCs w:val="22"/>
        </w:rPr>
        <w:t>Guadalupe Ramírez Peña</w:t>
      </w:r>
      <w:r w:rsidR="00A76F12" w:rsidRPr="00922710">
        <w:rPr>
          <w:rFonts w:ascii="Palatino Linotype" w:eastAsia="Palatino Linotype" w:hAnsi="Palatino Linotype" w:cs="Palatino Linotype"/>
          <w:sz w:val="22"/>
          <w:szCs w:val="22"/>
        </w:rPr>
        <w:t>, a efecto de presentar al Pleno el proyecto de resolución correspondiente.</w:t>
      </w:r>
    </w:p>
    <w:p w14:paraId="6F47DF3C" w14:textId="529AAD5C" w:rsidR="00532AE4" w:rsidRPr="00922710" w:rsidRDefault="00373DBB">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b/>
          <w:sz w:val="22"/>
          <w:szCs w:val="22"/>
        </w:rPr>
        <w:t>5</w:t>
      </w:r>
      <w:r w:rsidR="00A76F12" w:rsidRPr="00922710">
        <w:rPr>
          <w:rFonts w:ascii="Palatino Linotype" w:eastAsia="Palatino Linotype" w:hAnsi="Palatino Linotype" w:cs="Palatino Linotype"/>
          <w:b/>
          <w:sz w:val="22"/>
          <w:szCs w:val="22"/>
        </w:rPr>
        <w:t xml:space="preserve">. Admisión. </w:t>
      </w:r>
      <w:r w:rsidR="003E2501" w:rsidRPr="00922710">
        <w:rPr>
          <w:rFonts w:ascii="Palatino Linotype" w:eastAsia="Palatino Linotype" w:hAnsi="Palatino Linotype" w:cs="Palatino Linotype"/>
          <w:sz w:val="22"/>
          <w:szCs w:val="22"/>
        </w:rPr>
        <w:t>En</w:t>
      </w:r>
      <w:r w:rsidR="000F363F" w:rsidRPr="00922710">
        <w:rPr>
          <w:rFonts w:ascii="Palatino Linotype" w:eastAsia="Palatino Linotype" w:hAnsi="Palatino Linotype" w:cs="Palatino Linotype"/>
          <w:sz w:val="22"/>
          <w:szCs w:val="22"/>
        </w:rPr>
        <w:t xml:space="preserve"> </w:t>
      </w:r>
      <w:r w:rsidR="00A8506B" w:rsidRPr="00922710">
        <w:rPr>
          <w:rFonts w:ascii="Palatino Linotype" w:eastAsia="Palatino Linotype" w:hAnsi="Palatino Linotype" w:cs="Palatino Linotype"/>
          <w:sz w:val="22"/>
          <w:szCs w:val="22"/>
        </w:rPr>
        <w:t xml:space="preserve">fecha </w:t>
      </w:r>
      <w:r w:rsidR="00A4702B" w:rsidRPr="00922710">
        <w:rPr>
          <w:rFonts w:ascii="Palatino Linotype" w:eastAsia="Palatino Linotype" w:hAnsi="Palatino Linotype" w:cs="Palatino Linotype"/>
          <w:b/>
          <w:sz w:val="22"/>
          <w:szCs w:val="22"/>
        </w:rPr>
        <w:t xml:space="preserve">veintiocho </w:t>
      </w:r>
      <w:r w:rsidR="002E74CE" w:rsidRPr="00922710">
        <w:rPr>
          <w:rFonts w:ascii="Palatino Linotype" w:eastAsia="Palatino Linotype" w:hAnsi="Palatino Linotype" w:cs="Palatino Linotype"/>
          <w:b/>
          <w:sz w:val="22"/>
          <w:szCs w:val="22"/>
        </w:rPr>
        <w:t>de agosto</w:t>
      </w:r>
      <w:r w:rsidR="003E2501" w:rsidRPr="00922710">
        <w:rPr>
          <w:rFonts w:ascii="Palatino Linotype" w:eastAsia="Palatino Linotype" w:hAnsi="Palatino Linotype" w:cs="Palatino Linotype"/>
          <w:b/>
          <w:sz w:val="22"/>
          <w:szCs w:val="22"/>
        </w:rPr>
        <w:t xml:space="preserve"> de dos mil veintiséis</w:t>
      </w:r>
      <w:r w:rsidR="00044D36" w:rsidRPr="00922710">
        <w:rPr>
          <w:rFonts w:ascii="Palatino Linotype" w:eastAsia="Palatino Linotype" w:hAnsi="Palatino Linotype" w:cs="Palatino Linotype"/>
          <w:sz w:val="22"/>
          <w:szCs w:val="22"/>
        </w:rPr>
        <w:t xml:space="preserve">, </w:t>
      </w:r>
      <w:r w:rsidR="00A76F12" w:rsidRPr="00922710">
        <w:rPr>
          <w:rFonts w:ascii="Palatino Linotype" w:eastAsia="Palatino Linotype" w:hAnsi="Palatino Linotype" w:cs="Palatino Linotype"/>
          <w:sz w:val="22"/>
          <w:szCs w:val="22"/>
        </w:rPr>
        <w:t>en términos de lo dispuesto en el artículo 185 fracciones I, II y IV de la Ley de Transparencia y Acceso a la Información Pública del Estado de México y Municipios, se admitió a trámite el recurso de revisión al rubro indicado.</w:t>
      </w:r>
    </w:p>
    <w:p w14:paraId="334BE521"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01A1DEDC" w14:textId="6F975488" w:rsidR="00532AE4" w:rsidRPr="00922710" w:rsidRDefault="00373DBB">
      <w:pPr>
        <w:widowControl w:val="0"/>
        <w:spacing w:line="360" w:lineRule="auto"/>
        <w:ind w:right="49"/>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b/>
          <w:sz w:val="22"/>
          <w:szCs w:val="22"/>
        </w:rPr>
        <w:t>6</w:t>
      </w:r>
      <w:r w:rsidR="00A76F12" w:rsidRPr="00922710">
        <w:rPr>
          <w:rFonts w:ascii="Palatino Linotype" w:eastAsia="Palatino Linotype" w:hAnsi="Palatino Linotype" w:cs="Palatino Linotype"/>
          <w:b/>
          <w:sz w:val="22"/>
          <w:szCs w:val="22"/>
        </w:rPr>
        <w:t>. Manifestaciones</w:t>
      </w:r>
      <w:r w:rsidR="00A76F12" w:rsidRPr="00922710">
        <w:rPr>
          <w:rFonts w:ascii="Palatino Linotype" w:eastAsia="Palatino Linotype" w:hAnsi="Palatino Linotype" w:cs="Palatino Linotype"/>
          <w:sz w:val="22"/>
          <w:szCs w:val="22"/>
        </w:rPr>
        <w:t>. Las partes fueron omisas en rendir manifestaciones, como se observa a continuación en la siguiente imagen:</w:t>
      </w:r>
    </w:p>
    <w:p w14:paraId="39EF566B" w14:textId="4EAD7FA3" w:rsidR="00532AE4" w:rsidRPr="00922710" w:rsidRDefault="00A4702B">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noProof/>
          <w:sz w:val="22"/>
          <w:szCs w:val="22"/>
          <w:lang w:val="es-MX"/>
        </w:rPr>
        <w:drawing>
          <wp:inline distT="0" distB="0" distL="0" distR="0" wp14:anchorId="71067404" wp14:editId="73D2D418">
            <wp:extent cx="5612130" cy="1563370"/>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12130" cy="1563370"/>
                    </a:xfrm>
                    <a:prstGeom prst="rect">
                      <a:avLst/>
                    </a:prstGeom>
                  </pic:spPr>
                </pic:pic>
              </a:graphicData>
            </a:graphic>
          </wp:inline>
        </w:drawing>
      </w:r>
    </w:p>
    <w:p w14:paraId="2DD31F10" w14:textId="097E1BD6" w:rsidR="00532AE4" w:rsidRPr="00922710" w:rsidRDefault="00373DBB">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b/>
          <w:sz w:val="22"/>
          <w:szCs w:val="22"/>
        </w:rPr>
        <w:lastRenderedPageBreak/>
        <w:t>7</w:t>
      </w:r>
      <w:r w:rsidR="00A76F12" w:rsidRPr="00922710">
        <w:rPr>
          <w:rFonts w:ascii="Palatino Linotype" w:eastAsia="Palatino Linotype" w:hAnsi="Palatino Linotype" w:cs="Palatino Linotype"/>
          <w:b/>
          <w:sz w:val="22"/>
          <w:szCs w:val="22"/>
        </w:rPr>
        <w:t xml:space="preserve">. Cierre de instrucción. </w:t>
      </w:r>
      <w:r w:rsidR="00A76F12" w:rsidRPr="00922710">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con fecha </w:t>
      </w:r>
      <w:r w:rsidR="00A4702B" w:rsidRPr="00922710">
        <w:rPr>
          <w:rFonts w:ascii="Palatino Linotype" w:eastAsia="Palatino Linotype" w:hAnsi="Palatino Linotype" w:cs="Palatino Linotype"/>
          <w:b/>
          <w:sz w:val="22"/>
          <w:szCs w:val="22"/>
        </w:rPr>
        <w:t>nueve de septiembre</w:t>
      </w:r>
      <w:r w:rsidR="00753255" w:rsidRPr="00922710">
        <w:rPr>
          <w:rFonts w:ascii="Palatino Linotype" w:eastAsia="Palatino Linotype" w:hAnsi="Palatino Linotype" w:cs="Palatino Linotype"/>
          <w:b/>
          <w:sz w:val="22"/>
          <w:szCs w:val="22"/>
        </w:rPr>
        <w:t xml:space="preserve"> </w:t>
      </w:r>
      <w:r w:rsidR="007E7839" w:rsidRPr="00922710">
        <w:rPr>
          <w:rFonts w:ascii="Palatino Linotype" w:eastAsia="Palatino Linotype" w:hAnsi="Palatino Linotype" w:cs="Palatino Linotype"/>
          <w:b/>
          <w:sz w:val="22"/>
          <w:szCs w:val="22"/>
        </w:rPr>
        <w:t>de dos mil veintiséis</w:t>
      </w:r>
      <w:r w:rsidR="00A76F12" w:rsidRPr="00922710">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175B861A"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2D344C64"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4A6373F7"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6464AA30" w14:textId="77777777" w:rsidR="00532AE4" w:rsidRPr="00922710" w:rsidRDefault="00A76F12">
      <w:pPr>
        <w:widowControl w:val="0"/>
        <w:spacing w:line="360" w:lineRule="auto"/>
        <w:jc w:val="center"/>
        <w:rPr>
          <w:rFonts w:ascii="Palatino Linotype" w:eastAsia="Palatino Linotype" w:hAnsi="Palatino Linotype" w:cs="Palatino Linotype"/>
          <w:b/>
          <w:sz w:val="22"/>
          <w:szCs w:val="22"/>
        </w:rPr>
      </w:pPr>
      <w:r w:rsidRPr="00922710">
        <w:rPr>
          <w:rFonts w:ascii="Palatino Linotype" w:eastAsia="Palatino Linotype" w:hAnsi="Palatino Linotype" w:cs="Palatino Linotype"/>
          <w:b/>
          <w:sz w:val="22"/>
          <w:szCs w:val="22"/>
        </w:rPr>
        <w:t>II. C O N S I D E R A N D O S</w:t>
      </w:r>
    </w:p>
    <w:p w14:paraId="04E1DD04" w14:textId="77777777" w:rsidR="00532AE4" w:rsidRPr="00922710" w:rsidRDefault="00532AE4">
      <w:pPr>
        <w:widowControl w:val="0"/>
        <w:pBdr>
          <w:top w:val="nil"/>
          <w:left w:val="nil"/>
          <w:bottom w:val="nil"/>
          <w:right w:val="nil"/>
          <w:between w:val="nil"/>
        </w:pBdr>
        <w:spacing w:line="360" w:lineRule="auto"/>
        <w:ind w:left="1080"/>
        <w:rPr>
          <w:rFonts w:ascii="Palatino Linotype" w:eastAsia="Palatino Linotype" w:hAnsi="Palatino Linotype" w:cs="Palatino Linotype"/>
          <w:b/>
          <w:sz w:val="22"/>
          <w:szCs w:val="22"/>
        </w:rPr>
      </w:pPr>
    </w:p>
    <w:p w14:paraId="606801A8" w14:textId="2644C8A2" w:rsidR="00532AE4" w:rsidRPr="00922710" w:rsidRDefault="00A76F12" w:rsidP="005231DC">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b/>
          <w:sz w:val="22"/>
          <w:szCs w:val="22"/>
        </w:rPr>
        <w:t>Primero. Competencia.</w:t>
      </w:r>
      <w:r w:rsidRPr="00922710">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w:t>
      </w:r>
      <w:r w:rsidR="009100C5" w:rsidRPr="00922710">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922710">
        <w:rPr>
          <w:rFonts w:ascii="Palatino Linotype" w:eastAsia="Palatino Linotype" w:hAnsi="Palatino Linotype" w:cs="Palatino Linotype"/>
          <w:sz w:val="22"/>
          <w:szCs w:val="22"/>
        </w:rPr>
        <w:t>;</w:t>
      </w:r>
      <w:r w:rsidR="005231DC" w:rsidRPr="00922710">
        <w:rPr>
          <w:rFonts w:ascii="Palatino Linotype" w:eastAsia="Palatino Linotype" w:hAnsi="Palatino Linotype" w:cs="Palatino Linotype"/>
          <w:sz w:val="22"/>
          <w:szCs w:val="22"/>
        </w:rPr>
        <w:t xml:space="preserve"> </w:t>
      </w:r>
      <w:r w:rsidRPr="00922710">
        <w:rPr>
          <w:rFonts w:ascii="Palatino Linotype" w:eastAsia="Palatino Linotype" w:hAnsi="Palatino Linotype" w:cs="Palatino Linotype"/>
          <w:sz w:val="22"/>
          <w:szCs w:val="22"/>
        </w:rPr>
        <w:t>1, 2, fracción II; 13, 29, 36, fracciones I y II; 176, 178, 179, 181 párrafo tercero y 185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11148092"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5A952227"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b/>
          <w:sz w:val="22"/>
          <w:szCs w:val="22"/>
        </w:rPr>
        <w:lastRenderedPageBreak/>
        <w:t xml:space="preserve">Segundo. Oportunidad y Procedibilidad del Recurso de Revisión. </w:t>
      </w:r>
      <w:r w:rsidRPr="00922710">
        <w:rPr>
          <w:rFonts w:ascii="Palatino Linotype" w:eastAsia="Palatino Linotype" w:hAnsi="Palatino Linotype" w:cs="Palatino Linotype"/>
          <w:sz w:val="22"/>
          <w:szCs w:val="22"/>
        </w:rPr>
        <w:t>Por cuanto hace a la oportunidad del recurso de revisión</w:t>
      </w:r>
      <w:r w:rsidRPr="00922710">
        <w:rPr>
          <w:rFonts w:ascii="Palatino Linotype" w:eastAsia="Palatino Linotype" w:hAnsi="Palatino Linotype" w:cs="Palatino Linotype"/>
          <w:b/>
          <w:sz w:val="22"/>
          <w:szCs w:val="22"/>
        </w:rPr>
        <w:t xml:space="preserve"> </w:t>
      </w:r>
      <w:r w:rsidRPr="00922710">
        <w:rPr>
          <w:rFonts w:ascii="Palatino Linotype" w:eastAsia="Palatino Linotype" w:hAnsi="Palatino Linotype" w:cs="Palatino Linotype"/>
          <w:sz w:val="22"/>
          <w:szCs w:val="22"/>
        </w:rPr>
        <w:t>es necesario considerar lo previsto en los artículos 163, párrafo primero; 166, penúltimo párrafo y 178, párrafo segundo; de la Ley de Transparencia y Acceso a la Información Pública del Estado de México y Municipios, de cuya interpretación se obtiene que el plazo que les asiste a los Sujetos Obligados para entregar la respuesta a una solicitud de información pública, es de quince días hábiles posteriores a la presentación de ésta; sin embargo, en aquellos casos en que transcurre el referido plazo de quince días hábiles sin que los Sujetos Obligados entreguen la respuesta a la solicitud de información, esta se considera negada; por lo que al solicitante le asiste el derecho para presentar el recurso de revisión en cualquier momento.</w:t>
      </w:r>
    </w:p>
    <w:p w14:paraId="264C0617"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4D92649D"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Derivado de lo anterior, se constituye la figura jurídica de la </w:t>
      </w:r>
      <w:r w:rsidRPr="00922710">
        <w:rPr>
          <w:rFonts w:ascii="Palatino Linotype" w:eastAsia="Palatino Linotype" w:hAnsi="Palatino Linotype" w:cs="Palatino Linotype"/>
          <w:b/>
          <w:sz w:val="22"/>
          <w:szCs w:val="22"/>
        </w:rPr>
        <w:t>NEGATIVA FICTA</w:t>
      </w:r>
      <w:r w:rsidRPr="00922710">
        <w:rPr>
          <w:rFonts w:ascii="Palatino Linotype" w:eastAsia="Palatino Linotype" w:hAnsi="Palatino Linotype" w:cs="Palatino Linotype"/>
          <w:sz w:val="22"/>
          <w:szCs w:val="22"/>
        </w:rPr>
        <w:t>, cuya esencia consiste en atribuir un efecto negativo al silencio de la autoridad administrativa frente a las instancias y solicitudes que hagan los particulares.</w:t>
      </w:r>
    </w:p>
    <w:p w14:paraId="042AC716"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7824479E"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De tal manera, en el presente recurso de revisión se actualizó la negativa ficta por parte del </w:t>
      </w:r>
      <w:r w:rsidRPr="00922710">
        <w:rPr>
          <w:rFonts w:ascii="Palatino Linotype" w:eastAsia="Palatino Linotype" w:hAnsi="Palatino Linotype" w:cs="Palatino Linotype"/>
          <w:b/>
          <w:sz w:val="22"/>
          <w:szCs w:val="22"/>
        </w:rPr>
        <w:t>SUJETO OBLIGADO</w:t>
      </w:r>
      <w:r w:rsidRPr="00922710">
        <w:rPr>
          <w:rFonts w:ascii="Palatino Linotype" w:eastAsia="Palatino Linotype" w:hAnsi="Palatino Linotype" w:cs="Palatino Linotype"/>
          <w:sz w:val="22"/>
          <w:szCs w:val="22"/>
        </w:rPr>
        <w:t xml:space="preserve"> al no haber respondido a la parte </w:t>
      </w:r>
      <w:r w:rsidRPr="00922710">
        <w:rPr>
          <w:rFonts w:ascii="Palatino Linotype" w:eastAsia="Palatino Linotype" w:hAnsi="Palatino Linotype" w:cs="Palatino Linotype"/>
          <w:b/>
          <w:sz w:val="22"/>
          <w:szCs w:val="22"/>
        </w:rPr>
        <w:t>RECURRENTE</w:t>
      </w:r>
      <w:r w:rsidRPr="00922710">
        <w:rPr>
          <w:rFonts w:ascii="Palatino Linotype" w:eastAsia="Palatino Linotype" w:hAnsi="Palatino Linotype" w:cs="Palatino Linotype"/>
          <w:sz w:val="22"/>
          <w:szCs w:val="22"/>
        </w:rPr>
        <w:t xml:space="preserve"> en tiempo y forma en el plazo legal previsto para ello, en este sentido la falta de respuesta implica necesariamente que de modo fáctico se ha negado la información por razones desconocidas, pero que el hecho simple de no responder apareja una forma por omisión de negar el acceso a la información.</w:t>
      </w:r>
    </w:p>
    <w:p w14:paraId="22DC742F"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7E61E53E"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Si a ello se le suma lo previsto en el párrafo segundo del artículo 178, párrafo segundo</w:t>
      </w:r>
      <w:r w:rsidRPr="00922710">
        <w:rPr>
          <w:rFonts w:ascii="Palatino Linotype" w:eastAsia="Palatino Linotype" w:hAnsi="Palatino Linotype" w:cs="Palatino Linotype"/>
          <w:sz w:val="22"/>
          <w:szCs w:val="22"/>
          <w:vertAlign w:val="superscript"/>
        </w:rPr>
        <w:footnoteReference w:id="1"/>
      </w:r>
      <w:r w:rsidRPr="00922710">
        <w:rPr>
          <w:rFonts w:ascii="Palatino Linotype" w:eastAsia="Palatino Linotype" w:hAnsi="Palatino Linotype" w:cs="Palatino Linotype"/>
          <w:sz w:val="22"/>
          <w:szCs w:val="22"/>
        </w:rPr>
        <w:t xml:space="preserve"> de la Ley de Transparencia y Acceso a la Información Pública vigente en la entidad.</w:t>
      </w:r>
    </w:p>
    <w:p w14:paraId="0CA4883E"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1F0B6ACC"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Lo anterior encuentra sustento en el CRITERIO número 0001-15, aprobado por unanimidad del Pleno del Instituto de Transparencia, Acceso a la Información Pública y Protección de Datos Personales del Estado de México y Municipios, publicado en el Periódico Oficial del Estado de México “Gaceta del Gobierno”, el veintitrés de abril de dos mil quince, que establece:</w:t>
      </w:r>
    </w:p>
    <w:p w14:paraId="140CD766" w14:textId="77777777" w:rsidR="00532AE4" w:rsidRPr="00922710" w:rsidRDefault="00532AE4">
      <w:pPr>
        <w:spacing w:line="360" w:lineRule="auto"/>
        <w:jc w:val="both"/>
        <w:rPr>
          <w:i/>
          <w:sz w:val="22"/>
          <w:szCs w:val="22"/>
        </w:rPr>
      </w:pPr>
    </w:p>
    <w:p w14:paraId="4BB01BE0" w14:textId="77777777" w:rsidR="00532AE4" w:rsidRPr="00922710" w:rsidRDefault="00A76F12">
      <w:pPr>
        <w:ind w:left="567" w:right="616"/>
        <w:jc w:val="both"/>
        <w:rPr>
          <w:rFonts w:ascii="Palatino Linotype" w:eastAsia="Palatino Linotype" w:hAnsi="Palatino Linotype" w:cs="Palatino Linotype"/>
          <w:b/>
          <w:i/>
          <w:sz w:val="22"/>
          <w:szCs w:val="22"/>
        </w:rPr>
      </w:pPr>
      <w:r w:rsidRPr="00922710">
        <w:rPr>
          <w:rFonts w:ascii="Palatino Linotype" w:eastAsia="Palatino Linotype" w:hAnsi="Palatino Linotype" w:cs="Palatino Linotype"/>
          <w:i/>
          <w:sz w:val="22"/>
          <w:szCs w:val="22"/>
        </w:rPr>
        <w:t>“</w:t>
      </w:r>
      <w:r w:rsidRPr="00922710">
        <w:rPr>
          <w:rFonts w:ascii="Palatino Linotype" w:eastAsia="Palatino Linotype" w:hAnsi="Palatino Linotype" w:cs="Palatino Linotype"/>
          <w:b/>
          <w:i/>
          <w:sz w:val="22"/>
          <w:szCs w:val="22"/>
        </w:rPr>
        <w:t>CRITERIO 0001-15 NEGATIVA FICTA. PLAZO PARA INTERPONER EL RECURSO DE REVISIÓN TRATÁNDOSE DE</w:t>
      </w:r>
      <w:r w:rsidRPr="00922710">
        <w:rPr>
          <w:rFonts w:ascii="Palatino Linotype" w:eastAsia="Palatino Linotype" w:hAnsi="Palatino Linotype" w:cs="Palatino Linotype"/>
          <w:i/>
          <w:sz w:val="22"/>
          <w:szCs w:val="22"/>
        </w:rPr>
        <w:t>. El artículo 48, párrafo tercero de la Ley de Transparencia y Acceso a la Información Pública del Estado de México y Municipios establece que, cuando no se entregue la respuesta a la solicitud dentro del plazo de 15 días establecidos en el artículo 46 de la Ley de la materia, se entenderá por negada la solicitud y podrá interponerse el recurso correspondiente. Por su parte, el artículo 72 del mismo ordenamiento legal establece el plazo de 15 días para interponer el recurso de revisión a partir del día siguiente al que tuvo conocimiento de la respuesta recaída a su solicitud, sin que se establezca excepción alguna tratándose de una falta de respuesta del sujeto obligado. Así, entonces, resulta evidente que, al no emitirse respuesta dentro del plazo establecido, se genera la ficción legal de una respuesta en sentido negativo; en el entendido de que el plazo para impugnar esa negativa podrá ser en cualquier tiempo y hasta en tanto no se dicte resolución expresa; es decir, mientras no haya respuesta por parte del Sujeto Obligado, momento a partir del cual deberá computarse el plazo previsto en el artículo 72 de la citada Ley.”</w:t>
      </w:r>
    </w:p>
    <w:p w14:paraId="3E2A4694" w14:textId="77777777" w:rsidR="00532AE4" w:rsidRPr="00922710" w:rsidRDefault="00532AE4">
      <w:pPr>
        <w:ind w:left="567" w:right="851"/>
        <w:jc w:val="both"/>
        <w:rPr>
          <w:rFonts w:ascii="Palatino Linotype" w:eastAsia="Palatino Linotype" w:hAnsi="Palatino Linotype" w:cs="Palatino Linotype"/>
          <w:i/>
          <w:sz w:val="22"/>
          <w:szCs w:val="22"/>
        </w:rPr>
      </w:pPr>
    </w:p>
    <w:p w14:paraId="76E26C4F" w14:textId="169CE5C8" w:rsidR="00532AE4" w:rsidRPr="00922710" w:rsidRDefault="00A76F12">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Además, una vez realizado el análisis del formato de interposición del recurso, se acreditan plenamente de todos y cada uno de los elementos formales exigidos por el artículo 180 de la Ley de Transparencia y Acceso a la Información Pública del Estado de México y Municipios, en atención a que fue presentado mediante el formato visible en </w:t>
      </w:r>
      <w:r w:rsidRPr="00922710">
        <w:rPr>
          <w:rFonts w:ascii="Palatino Linotype" w:eastAsia="Palatino Linotype" w:hAnsi="Palatino Linotype" w:cs="Palatino Linotype"/>
          <w:b/>
          <w:sz w:val="22"/>
          <w:szCs w:val="22"/>
        </w:rPr>
        <w:t>EL</w:t>
      </w:r>
      <w:r w:rsidRPr="00922710">
        <w:rPr>
          <w:rFonts w:ascii="Palatino Linotype" w:eastAsia="Palatino Linotype" w:hAnsi="Palatino Linotype" w:cs="Palatino Linotype"/>
          <w:sz w:val="22"/>
          <w:szCs w:val="22"/>
        </w:rPr>
        <w:t xml:space="preserve"> </w:t>
      </w:r>
      <w:r w:rsidRPr="00922710">
        <w:rPr>
          <w:rFonts w:ascii="Palatino Linotype" w:eastAsia="Palatino Linotype" w:hAnsi="Palatino Linotype" w:cs="Palatino Linotype"/>
          <w:b/>
          <w:sz w:val="22"/>
          <w:szCs w:val="22"/>
        </w:rPr>
        <w:t>SAIMEX</w:t>
      </w:r>
      <w:r w:rsidRPr="00922710">
        <w:rPr>
          <w:rFonts w:ascii="Palatino Linotype" w:eastAsia="Palatino Linotype" w:hAnsi="Palatino Linotype" w:cs="Palatino Linotype"/>
          <w:sz w:val="22"/>
          <w:szCs w:val="22"/>
        </w:rPr>
        <w:t>.</w:t>
      </w:r>
    </w:p>
    <w:p w14:paraId="1C27DB56" w14:textId="40163621" w:rsidR="00B503D1" w:rsidRPr="00922710" w:rsidRDefault="00B503D1">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p>
    <w:p w14:paraId="3A000848"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lastRenderedPageBreak/>
        <w:t xml:space="preserve">Ahora bien, resulta procedente la interposición del recurso de revisión, según lo aducido por la parte </w:t>
      </w:r>
      <w:r w:rsidRPr="00922710">
        <w:rPr>
          <w:rFonts w:ascii="Palatino Linotype" w:eastAsia="Palatino Linotype" w:hAnsi="Palatino Linotype" w:cs="Palatino Linotype"/>
          <w:b/>
          <w:sz w:val="22"/>
          <w:szCs w:val="22"/>
        </w:rPr>
        <w:t>RECURRENTE</w:t>
      </w:r>
      <w:r w:rsidRPr="00922710">
        <w:rPr>
          <w:rFonts w:ascii="Palatino Linotype" w:eastAsia="Palatino Linotype" w:hAnsi="Palatino Linotype" w:cs="Palatino Linotype"/>
          <w:sz w:val="22"/>
          <w:szCs w:val="22"/>
        </w:rPr>
        <w:t>, en términos del artículo 179, fracción VII del ordenamiento legal de la materia, que a la letra dice:</w:t>
      </w:r>
    </w:p>
    <w:p w14:paraId="2E4A863A"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7C0C3143" w14:textId="77777777" w:rsidR="00532AE4" w:rsidRPr="00922710" w:rsidRDefault="00A76F12">
      <w:pPr>
        <w:ind w:left="567" w:right="616"/>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i/>
          <w:sz w:val="22"/>
          <w:szCs w:val="22"/>
        </w:rPr>
        <w:t>“</w:t>
      </w:r>
      <w:r w:rsidRPr="00922710">
        <w:rPr>
          <w:rFonts w:ascii="Palatino Linotype" w:eastAsia="Palatino Linotype" w:hAnsi="Palatino Linotype" w:cs="Palatino Linotype"/>
          <w:b/>
          <w:sz w:val="22"/>
          <w:szCs w:val="22"/>
        </w:rPr>
        <w:t>Artículo 179.</w:t>
      </w:r>
      <w:r w:rsidRPr="00922710">
        <w:rPr>
          <w:rFonts w:ascii="Palatino Linotype" w:eastAsia="Palatino Linotype" w:hAnsi="Palatino Linotype" w:cs="Palatino Linotype"/>
          <w:i/>
          <w:sz w:val="22"/>
          <w:szCs w:val="22"/>
        </w:rPr>
        <w:t xml:space="preserve">El recurso de revisión es un medio de protección que la Ley otorga a los particulares, para hacer valer su derecho de acceso a la información pública, y procederá en contra de las siguientes causas: </w:t>
      </w:r>
      <w:r w:rsidRPr="00922710">
        <w:rPr>
          <w:rFonts w:ascii="Palatino Linotype" w:eastAsia="Palatino Linotype" w:hAnsi="Palatino Linotype" w:cs="Palatino Linotype"/>
          <w:sz w:val="22"/>
          <w:szCs w:val="22"/>
        </w:rPr>
        <w:t> </w:t>
      </w:r>
    </w:p>
    <w:p w14:paraId="7ACAE181" w14:textId="77777777" w:rsidR="00532AE4" w:rsidRPr="00922710" w:rsidRDefault="00A76F12">
      <w:pPr>
        <w:ind w:left="567" w:right="616"/>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w:t>
      </w:r>
    </w:p>
    <w:p w14:paraId="543A0FF7" w14:textId="77777777" w:rsidR="00532AE4" w:rsidRPr="00922710" w:rsidRDefault="00A76F12">
      <w:pPr>
        <w:numPr>
          <w:ilvl w:val="0"/>
          <w:numId w:val="4"/>
        </w:numPr>
        <w:ind w:left="567" w:right="616" w:firstLine="0"/>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i/>
          <w:sz w:val="22"/>
          <w:szCs w:val="22"/>
        </w:rPr>
        <w:t>La falta de respuesta a una solicitud de acceso a la información…</w:t>
      </w:r>
    </w:p>
    <w:p w14:paraId="52836B8B" w14:textId="77777777" w:rsidR="00532AE4" w:rsidRPr="00922710" w:rsidRDefault="00532AE4">
      <w:pPr>
        <w:spacing w:line="360" w:lineRule="auto"/>
        <w:ind w:right="1041"/>
        <w:jc w:val="both"/>
        <w:rPr>
          <w:rFonts w:ascii="Palatino Linotype" w:eastAsia="Palatino Linotype" w:hAnsi="Palatino Linotype" w:cs="Palatino Linotype"/>
          <w:i/>
          <w:sz w:val="22"/>
          <w:szCs w:val="22"/>
        </w:rPr>
      </w:pPr>
    </w:p>
    <w:p w14:paraId="16C19428" w14:textId="77777777" w:rsidR="00532AE4" w:rsidRPr="00922710" w:rsidRDefault="00A76F12">
      <w:pPr>
        <w:tabs>
          <w:tab w:val="left" w:pos="8647"/>
        </w:tabs>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b/>
          <w:sz w:val="22"/>
          <w:szCs w:val="22"/>
        </w:rPr>
        <w:t xml:space="preserve">Tercero. Materia de la revisión. </w:t>
      </w:r>
      <w:r w:rsidRPr="00922710">
        <w:rPr>
          <w:rFonts w:ascii="Palatino Linotype" w:eastAsia="Palatino Linotype" w:hAnsi="Palatino Linotype" w:cs="Palatino Linotype"/>
          <w:sz w:val="22"/>
          <w:szCs w:val="22"/>
        </w:rPr>
        <w:t xml:space="preserve">Este Organismo Garante procede del análisis de los agravios hechos valer por la parte </w:t>
      </w:r>
      <w:r w:rsidRPr="00922710">
        <w:rPr>
          <w:rFonts w:ascii="Palatino Linotype" w:eastAsia="Palatino Linotype" w:hAnsi="Palatino Linotype" w:cs="Palatino Linotype"/>
          <w:b/>
          <w:sz w:val="22"/>
          <w:szCs w:val="22"/>
        </w:rPr>
        <w:t>Recurrente</w:t>
      </w:r>
      <w:r w:rsidRPr="00922710">
        <w:rPr>
          <w:rFonts w:ascii="Palatino Linotype" w:eastAsia="Palatino Linotype" w:hAnsi="Palatino Linotype" w:cs="Palatino Linotype"/>
          <w:sz w:val="22"/>
          <w:szCs w:val="22"/>
        </w:rPr>
        <w:t xml:space="preserve">, a fin de determinar si se violenta en perjuicio de este, el derecho de acceso a la información previsto en la Constitución Política de los Estados Unidos Mexicanos y en la Constitución Política del Estado Libre y Soberano de México. </w:t>
      </w:r>
    </w:p>
    <w:p w14:paraId="1B5D8226" w14:textId="77777777" w:rsidR="00532AE4" w:rsidRPr="00922710" w:rsidRDefault="00532AE4">
      <w:pPr>
        <w:tabs>
          <w:tab w:val="left" w:pos="8647"/>
        </w:tabs>
        <w:spacing w:line="360" w:lineRule="auto"/>
        <w:jc w:val="both"/>
        <w:rPr>
          <w:rFonts w:ascii="Palatino Linotype" w:eastAsia="Palatino Linotype" w:hAnsi="Palatino Linotype" w:cs="Palatino Linotype"/>
          <w:sz w:val="22"/>
          <w:szCs w:val="22"/>
        </w:rPr>
      </w:pPr>
    </w:p>
    <w:p w14:paraId="6D56A772"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b/>
          <w:sz w:val="22"/>
          <w:szCs w:val="22"/>
        </w:rPr>
        <w:t xml:space="preserve">Cuarto. Estudio del asunto. </w:t>
      </w:r>
      <w:r w:rsidRPr="00922710">
        <w:rPr>
          <w:rFonts w:ascii="Palatino Linotype" w:eastAsia="Palatino Linotype" w:hAnsi="Palatino Linotype" w:cs="Palatino Linotype"/>
          <w:sz w:val="22"/>
          <w:szCs w:val="22"/>
        </w:rPr>
        <w:t xml:space="preserve">Una vez determinada la vía sobre la que versará el presente recurso, y previa revisión del expediente del recurso de revisión materia de la presente resolución, se advierte que el </w:t>
      </w:r>
      <w:r w:rsidRPr="00922710">
        <w:rPr>
          <w:rFonts w:ascii="Palatino Linotype" w:eastAsia="Palatino Linotype" w:hAnsi="Palatino Linotype" w:cs="Palatino Linotype"/>
          <w:b/>
          <w:sz w:val="22"/>
          <w:szCs w:val="22"/>
        </w:rPr>
        <w:t xml:space="preserve">Sujeto Obligado </w:t>
      </w:r>
      <w:r w:rsidRPr="00922710">
        <w:rPr>
          <w:rFonts w:ascii="Palatino Linotype" w:eastAsia="Palatino Linotype" w:hAnsi="Palatino Linotype" w:cs="Palatino Linotype"/>
          <w:sz w:val="22"/>
          <w:szCs w:val="22"/>
        </w:rPr>
        <w:t xml:space="preserve">no dio respuesta a la solicitud de información planteada por la parte </w:t>
      </w:r>
      <w:r w:rsidRPr="00922710">
        <w:rPr>
          <w:rFonts w:ascii="Palatino Linotype" w:eastAsia="Palatino Linotype" w:hAnsi="Palatino Linotype" w:cs="Palatino Linotype"/>
          <w:b/>
          <w:sz w:val="22"/>
          <w:szCs w:val="22"/>
        </w:rPr>
        <w:t>Recurrente</w:t>
      </w:r>
      <w:r w:rsidRPr="00922710">
        <w:rPr>
          <w:rFonts w:ascii="Palatino Linotype" w:eastAsia="Palatino Linotype" w:hAnsi="Palatino Linotype" w:cs="Palatino Linotype"/>
          <w:sz w:val="22"/>
          <w:szCs w:val="22"/>
        </w:rPr>
        <w:t xml:space="preserve">, lo que se traduce como la configuración de la </w:t>
      </w:r>
      <w:r w:rsidRPr="00922710">
        <w:rPr>
          <w:rFonts w:ascii="Palatino Linotype" w:eastAsia="Palatino Linotype" w:hAnsi="Palatino Linotype" w:cs="Palatino Linotype"/>
          <w:b/>
          <w:sz w:val="22"/>
          <w:szCs w:val="22"/>
        </w:rPr>
        <w:t>negativa ficta</w:t>
      </w:r>
      <w:r w:rsidRPr="00922710">
        <w:rPr>
          <w:rFonts w:ascii="Palatino Linotype" w:eastAsia="Palatino Linotype" w:hAnsi="Palatino Linotype" w:cs="Palatino Linotype"/>
          <w:sz w:val="22"/>
          <w:szCs w:val="22"/>
        </w:rPr>
        <w:t xml:space="preserve">, situación que demuestra la existencia del acto impugnado y procedencia del motivo de inconformidad, que en términos generales consistente en que el </w:t>
      </w:r>
      <w:r w:rsidRPr="00922710">
        <w:rPr>
          <w:rFonts w:ascii="Palatino Linotype" w:eastAsia="Palatino Linotype" w:hAnsi="Palatino Linotype" w:cs="Palatino Linotype"/>
          <w:b/>
          <w:sz w:val="22"/>
          <w:szCs w:val="22"/>
        </w:rPr>
        <w:t>Sujeto Obligado</w:t>
      </w:r>
      <w:r w:rsidRPr="00922710">
        <w:rPr>
          <w:rFonts w:ascii="Palatino Linotype" w:eastAsia="Palatino Linotype" w:hAnsi="Palatino Linotype" w:cs="Palatino Linotype"/>
          <w:sz w:val="22"/>
          <w:szCs w:val="22"/>
        </w:rPr>
        <w:t xml:space="preserve"> no emitió respuesta a la solicitud de información, dentro del plazo legal previsto para ello.</w:t>
      </w:r>
    </w:p>
    <w:p w14:paraId="3062B0BC"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5522DA90"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Previo a exponer los argumentos que justifiquen la afirmación que antecede, es necesario precisar que, del análisis realizado a la solicitud formulada por la parte </w:t>
      </w:r>
      <w:r w:rsidRPr="00922710">
        <w:rPr>
          <w:rFonts w:ascii="Palatino Linotype" w:eastAsia="Palatino Linotype" w:hAnsi="Palatino Linotype" w:cs="Palatino Linotype"/>
          <w:b/>
          <w:sz w:val="22"/>
          <w:szCs w:val="22"/>
        </w:rPr>
        <w:t>Recurrente</w:t>
      </w:r>
      <w:r w:rsidRPr="00922710">
        <w:rPr>
          <w:rFonts w:ascii="Palatino Linotype" w:eastAsia="Palatino Linotype" w:hAnsi="Palatino Linotype" w:cs="Palatino Linotype"/>
          <w:sz w:val="22"/>
          <w:szCs w:val="22"/>
        </w:rPr>
        <w:t xml:space="preserve">, se advierte que requirió al </w:t>
      </w:r>
      <w:r w:rsidRPr="00922710">
        <w:rPr>
          <w:rFonts w:ascii="Palatino Linotype" w:eastAsia="Palatino Linotype" w:hAnsi="Palatino Linotype" w:cs="Palatino Linotype"/>
          <w:b/>
          <w:sz w:val="22"/>
          <w:szCs w:val="22"/>
        </w:rPr>
        <w:t>Sujeto Obligado</w:t>
      </w:r>
      <w:r w:rsidRPr="00922710">
        <w:rPr>
          <w:rFonts w:ascii="Palatino Linotype" w:eastAsia="Palatino Linotype" w:hAnsi="Palatino Linotype" w:cs="Palatino Linotype"/>
          <w:sz w:val="22"/>
          <w:szCs w:val="22"/>
        </w:rPr>
        <w:t xml:space="preserve"> le proporcionara, información consistente en lo siguiente:</w:t>
      </w:r>
    </w:p>
    <w:p w14:paraId="35279DFB" w14:textId="0E7EEB6A" w:rsidR="00532AE4" w:rsidRPr="00922710" w:rsidRDefault="00B82C51" w:rsidP="0020780A">
      <w:pPr>
        <w:jc w:val="both"/>
        <w:rPr>
          <w:rFonts w:ascii="Palatino Linotype" w:eastAsia="Palatino Linotype" w:hAnsi="Palatino Linotype"/>
          <w:i/>
          <w:sz w:val="22"/>
          <w:szCs w:val="22"/>
        </w:rPr>
      </w:pPr>
      <w:r w:rsidRPr="00922710">
        <w:rPr>
          <w:rFonts w:ascii="Palatino Linotype" w:eastAsia="Palatino Linotype" w:hAnsi="Palatino Linotype"/>
          <w:i/>
          <w:sz w:val="22"/>
          <w:szCs w:val="22"/>
        </w:rPr>
        <w:lastRenderedPageBreak/>
        <w:t>“</w:t>
      </w:r>
      <w:r w:rsidR="00A4702B" w:rsidRPr="00922710">
        <w:rPr>
          <w:rFonts w:ascii="Palatino Linotype" w:eastAsia="Palatino Linotype" w:hAnsi="Palatino Linotype"/>
          <w:i/>
          <w:sz w:val="22"/>
          <w:szCs w:val="22"/>
        </w:rPr>
        <w:t>una vez más solicitó NOMBRAMIENTOS DEL COMITE DE SELECCION MUNICIPAL Y NOMBRAMIENTOS DE LOS TRES INTEGRANTES DEL COMITE ANTICORUPCION DE COCOTITLAN DE ESTA NUEVA ADMINISTRACION. ASI COMO REMITIR COPIA SIMPLE DE LA CONVOCATORIA PARA SUN PREVIA SELECCIÓN 2025-2027</w:t>
      </w:r>
      <w:r w:rsidR="009C3B23" w:rsidRPr="00922710">
        <w:rPr>
          <w:rFonts w:ascii="Palatino Linotype" w:eastAsia="Palatino Linotype" w:hAnsi="Palatino Linotype"/>
          <w:i/>
          <w:sz w:val="22"/>
          <w:szCs w:val="22"/>
        </w:rPr>
        <w:t>”</w:t>
      </w:r>
      <w:r w:rsidR="00223CD6" w:rsidRPr="00922710">
        <w:rPr>
          <w:rFonts w:ascii="Palatino Linotype" w:eastAsia="Palatino Linotype" w:hAnsi="Palatino Linotype"/>
          <w:i/>
          <w:sz w:val="22"/>
          <w:szCs w:val="22"/>
        </w:rPr>
        <w:t xml:space="preserve"> (</w:t>
      </w:r>
      <w:r w:rsidR="00A76F12" w:rsidRPr="00922710">
        <w:rPr>
          <w:rFonts w:ascii="Palatino Linotype" w:eastAsia="Palatino Linotype" w:hAnsi="Palatino Linotype"/>
          <w:i/>
          <w:sz w:val="22"/>
          <w:szCs w:val="22"/>
        </w:rPr>
        <w:t>Sic)</w:t>
      </w:r>
    </w:p>
    <w:p w14:paraId="4BE46D97" w14:textId="77777777" w:rsidR="00532AE4" w:rsidRPr="00922710"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i/>
          <w:sz w:val="22"/>
          <w:szCs w:val="22"/>
        </w:rPr>
      </w:pPr>
    </w:p>
    <w:p w14:paraId="154D17AB"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Precisado lo anterior, se procede al análisis del presente recurso, así como al contenido íntegro de las actuaciones que obran en el expediente electrónico, para así estar en posibilidad este Organismo Garante de dictar el fallo correspondiente conforme a derecho, tomando en consideración los elementos aportados por las partes y apegándose en todo momento al principio de máxima publicidad consagrado en nuestra Constitución Federal, Local y demás leyes aplicables en la materia, así como en los tratados internacionales en los que el Estado Mexicano sea parte, en concordancia con el artículo 8 de la Ley de Transparencia local.</w:t>
      </w:r>
    </w:p>
    <w:p w14:paraId="4991BE7B"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774559D5" w14:textId="77777777" w:rsidR="00532AE4" w:rsidRPr="00922710" w:rsidRDefault="00A76F12">
      <w:pPr>
        <w:tabs>
          <w:tab w:val="left" w:pos="709"/>
        </w:tabs>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En primer lugar, es menester mencionar que el derecho de acceso a la información está consagrado en instrumentos internacionales de los cuales el Estado Mexicano se ha adherido, sin oponer reserva alguna sobre lo que nos interesa, adoptando dichas disposiciones al Derecho Interno, específicamente a nivel Constitucional, tal y como lo prevén los arábigos 1 párrafos primero, segundo y tercero y 6 apartado A fracciones I, II, III, IV, V, VI y VII que a la letra señalan:</w:t>
      </w:r>
    </w:p>
    <w:p w14:paraId="3A9448D3" w14:textId="77777777" w:rsidR="00532AE4" w:rsidRPr="00922710" w:rsidRDefault="00532AE4">
      <w:pPr>
        <w:tabs>
          <w:tab w:val="left" w:pos="709"/>
        </w:tabs>
        <w:spacing w:line="360" w:lineRule="auto"/>
        <w:jc w:val="both"/>
        <w:rPr>
          <w:rFonts w:ascii="Palatino Linotype" w:eastAsia="Palatino Linotype" w:hAnsi="Palatino Linotype" w:cs="Palatino Linotype"/>
          <w:sz w:val="22"/>
          <w:szCs w:val="22"/>
        </w:rPr>
      </w:pPr>
    </w:p>
    <w:p w14:paraId="65BA97A6" w14:textId="77777777" w:rsidR="00532AE4" w:rsidRPr="00922710"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u w:val="single"/>
        </w:rPr>
        <w:t>“Artículo 1o. En los Estados Unidos Mexicanos todas las personas gozarán de los derechos humanos reconocidos en esta Constitución y en los tratados internacionales de los que el Estado Mexicano sea parte</w:t>
      </w:r>
      <w:r w:rsidRPr="00922710">
        <w:rPr>
          <w:rFonts w:ascii="Palatino Linotype" w:eastAsia="Palatino Linotype" w:hAnsi="Palatino Linotype" w:cs="Palatino Linotype"/>
          <w:i/>
          <w:sz w:val="22"/>
          <w:szCs w:val="22"/>
        </w:rPr>
        <w:t>, así como de las garantías para su protección, cuyo ejercicio no podrá restringirse ni suspenderse, salvo en los casos y bajo las condiciones que esta Constitución establece.</w:t>
      </w:r>
    </w:p>
    <w:p w14:paraId="4258A2B5" w14:textId="77777777" w:rsidR="00532AE4" w:rsidRPr="00922710" w:rsidRDefault="00A76F12">
      <w:pPr>
        <w:tabs>
          <w:tab w:val="left" w:pos="709"/>
        </w:tabs>
        <w:spacing w:line="276" w:lineRule="auto"/>
        <w:ind w:left="567" w:right="851"/>
        <w:jc w:val="both"/>
        <w:rPr>
          <w:rFonts w:ascii="Palatino Linotype" w:eastAsia="Palatino Linotype" w:hAnsi="Palatino Linotype" w:cs="Palatino Linotype"/>
          <w:b/>
          <w:i/>
          <w:sz w:val="22"/>
          <w:szCs w:val="22"/>
        </w:rPr>
      </w:pPr>
      <w:r w:rsidRPr="00922710">
        <w:rPr>
          <w:rFonts w:ascii="Palatino Linotype" w:eastAsia="Palatino Linotype" w:hAnsi="Palatino Linotype" w:cs="Palatino Linotype"/>
          <w:b/>
          <w:i/>
          <w:sz w:val="22"/>
          <w:szCs w:val="22"/>
        </w:rPr>
        <w:t xml:space="preserve">Las normas relativas a los derechos humanos se interpretarán de conformidad con esta Constitución y con los tratados internacionales de la </w:t>
      </w:r>
      <w:r w:rsidRPr="00922710">
        <w:rPr>
          <w:rFonts w:ascii="Palatino Linotype" w:eastAsia="Palatino Linotype" w:hAnsi="Palatino Linotype" w:cs="Palatino Linotype"/>
          <w:b/>
          <w:i/>
          <w:sz w:val="22"/>
          <w:szCs w:val="22"/>
        </w:rPr>
        <w:lastRenderedPageBreak/>
        <w:t>materia favoreciendo en todo tiempo a las personas la protección más amplia.</w:t>
      </w:r>
    </w:p>
    <w:p w14:paraId="5D66C6B4" w14:textId="77777777" w:rsidR="00532AE4" w:rsidRPr="00922710"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u w:val="single"/>
        </w:rPr>
        <w:t>Todas las autoridades, en el ámbito de sus competencias, tienen la obligación de promover, respetar, proteger y garantizar los derechos humanos de conformidad con los principios de universalidad, interdependencia, indivisibilidad y progresividad.</w:t>
      </w:r>
      <w:r w:rsidRPr="00922710">
        <w:rPr>
          <w:rFonts w:ascii="Palatino Linotype" w:eastAsia="Palatino Linotype" w:hAnsi="Palatino Linotype" w:cs="Palatino Linotype"/>
          <w:i/>
          <w:sz w:val="22"/>
          <w:szCs w:val="22"/>
        </w:rPr>
        <w:t xml:space="preserve"> En consecuencia, el Estado deberá prevenir, investigar, sancionar y reparar las violaciones a los derechos humanos, en los términos que establezca la ley</w:t>
      </w:r>
    </w:p>
    <w:p w14:paraId="4AE1D622" w14:textId="77777777" w:rsidR="00532AE4" w:rsidRPr="00922710"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i/>
          <w:sz w:val="22"/>
          <w:szCs w:val="22"/>
        </w:rPr>
        <w:t>[…]</w:t>
      </w:r>
    </w:p>
    <w:p w14:paraId="54E0C206" w14:textId="77777777" w:rsidR="00532AE4" w:rsidRPr="00922710" w:rsidRDefault="00A76F12">
      <w:pPr>
        <w:spacing w:line="276" w:lineRule="auto"/>
        <w:ind w:left="567" w:right="851"/>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“Artículo 6o.</w:t>
      </w:r>
    </w:p>
    <w:p w14:paraId="4D803AB1" w14:textId="77777777" w:rsidR="00532AE4" w:rsidRPr="00922710" w:rsidRDefault="00A76F12">
      <w:pPr>
        <w:spacing w:line="276" w:lineRule="auto"/>
        <w:ind w:left="567" w:right="851"/>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i/>
          <w:sz w:val="22"/>
          <w:szCs w:val="22"/>
        </w:rPr>
        <w:t>[...]</w:t>
      </w:r>
    </w:p>
    <w:p w14:paraId="4B588253" w14:textId="77777777" w:rsidR="00532AE4" w:rsidRPr="00922710" w:rsidRDefault="00A76F12">
      <w:pPr>
        <w:spacing w:line="276" w:lineRule="auto"/>
        <w:ind w:left="567" w:right="851"/>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A. Para el ejercicio del derecho de acceso a la información, la Federación y </w:t>
      </w:r>
      <w:r w:rsidRPr="00922710">
        <w:rPr>
          <w:rFonts w:ascii="Palatino Linotype" w:eastAsia="Palatino Linotype" w:hAnsi="Palatino Linotype" w:cs="Palatino Linotype"/>
          <w:b/>
          <w:i/>
          <w:sz w:val="22"/>
          <w:szCs w:val="22"/>
          <w:u w:val="single"/>
        </w:rPr>
        <w:t>las entidades federativas</w:t>
      </w:r>
      <w:r w:rsidRPr="00922710">
        <w:rPr>
          <w:rFonts w:ascii="Palatino Linotype" w:eastAsia="Palatino Linotype" w:hAnsi="Palatino Linotype" w:cs="Palatino Linotype"/>
          <w:b/>
          <w:i/>
          <w:sz w:val="22"/>
          <w:szCs w:val="22"/>
        </w:rPr>
        <w:t>,</w:t>
      </w:r>
      <w:r w:rsidRPr="00922710">
        <w:rPr>
          <w:rFonts w:ascii="Palatino Linotype" w:eastAsia="Palatino Linotype" w:hAnsi="Palatino Linotype" w:cs="Palatino Linotype"/>
          <w:i/>
          <w:sz w:val="22"/>
          <w:szCs w:val="22"/>
        </w:rPr>
        <w:t xml:space="preserve"> en el ámbito de sus respectivas competencias, se regirán por los siguientes principios y bases:</w:t>
      </w:r>
    </w:p>
    <w:p w14:paraId="1D8C84D1" w14:textId="77777777" w:rsidR="00532AE4" w:rsidRPr="00922710" w:rsidRDefault="00A76F12">
      <w:pPr>
        <w:spacing w:line="276" w:lineRule="auto"/>
        <w:ind w:left="567" w:right="851"/>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I. </w:t>
      </w:r>
      <w:r w:rsidRPr="00922710">
        <w:rPr>
          <w:rFonts w:ascii="Palatino Linotype" w:eastAsia="Palatino Linotype" w:hAnsi="Palatino Linotype" w:cs="Palatino Linotype"/>
          <w:b/>
          <w:i/>
          <w:sz w:val="22"/>
          <w:szCs w:val="22"/>
          <w:u w:val="single"/>
        </w:rPr>
        <w:t>Toda la información en posesión de cualquier autoridad, entidad, órgano y organismo de los Poderes</w:t>
      </w:r>
      <w:r w:rsidRPr="00922710">
        <w:rPr>
          <w:rFonts w:ascii="Palatino Linotype" w:eastAsia="Palatino Linotype" w:hAnsi="Palatino Linotype" w:cs="Palatino Linotype"/>
          <w:i/>
          <w:sz w:val="22"/>
          <w:szCs w:val="22"/>
        </w:rPr>
        <w:t xml:space="preserve"> Ejecutivo, Legislativo </w:t>
      </w:r>
      <w:r w:rsidRPr="00922710">
        <w:rPr>
          <w:rFonts w:ascii="Palatino Linotype" w:eastAsia="Palatino Linotype" w:hAnsi="Palatino Linotype" w:cs="Palatino Linotype"/>
          <w:b/>
          <w:i/>
          <w:sz w:val="22"/>
          <w:szCs w:val="22"/>
          <w:u w:val="single"/>
        </w:rPr>
        <w:t>y Judicial</w:t>
      </w:r>
      <w:r w:rsidRPr="00922710">
        <w:rPr>
          <w:rFonts w:ascii="Palatino Linotype" w:eastAsia="Palatino Linotype" w:hAnsi="Palatino Linotype" w:cs="Palatino Linotype"/>
          <w:i/>
          <w:sz w:val="22"/>
          <w:szCs w:val="22"/>
        </w:rPr>
        <w:t xml:space="preserve">, órganos autónomos, partidos políticos, fideicomisos y fondos públicos, así como de cualquier persona física, moral o sindicato que reciba y ejerza recursos públicos o realice actos de autoridad en el ámbito federal, estatal y municipal, </w:t>
      </w:r>
      <w:r w:rsidRPr="00922710">
        <w:rPr>
          <w:rFonts w:ascii="Palatino Linotype" w:eastAsia="Palatino Linotype" w:hAnsi="Palatino Linotype" w:cs="Palatino Linotype"/>
          <w:b/>
          <w:i/>
          <w:sz w:val="22"/>
          <w:szCs w:val="22"/>
        </w:rPr>
        <w:t>es pública y sólo podrá ser reservada temporalmente por razones de interés público y seguridad nacional,</w:t>
      </w:r>
      <w:r w:rsidRPr="00922710">
        <w:rPr>
          <w:rFonts w:ascii="Palatino Linotype" w:eastAsia="Palatino Linotype" w:hAnsi="Palatino Linotype" w:cs="Palatino Linotype"/>
          <w:i/>
          <w:sz w:val="22"/>
          <w:szCs w:val="22"/>
        </w:rPr>
        <w:t xml:space="preserve">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14:paraId="32D01786" w14:textId="77777777" w:rsidR="00532AE4" w:rsidRPr="00922710" w:rsidRDefault="00A76F12">
      <w:pPr>
        <w:spacing w:line="276" w:lineRule="auto"/>
        <w:ind w:left="567" w:right="851"/>
        <w:jc w:val="both"/>
        <w:rPr>
          <w:rFonts w:ascii="Palatino Linotype" w:eastAsia="Palatino Linotype" w:hAnsi="Palatino Linotype" w:cs="Palatino Linotype"/>
          <w:b/>
          <w:i/>
          <w:sz w:val="22"/>
          <w:szCs w:val="22"/>
        </w:rPr>
      </w:pPr>
      <w:r w:rsidRPr="00922710">
        <w:rPr>
          <w:rFonts w:ascii="Palatino Linotype" w:eastAsia="Palatino Linotype" w:hAnsi="Palatino Linotype" w:cs="Palatino Linotype"/>
          <w:b/>
          <w:i/>
          <w:sz w:val="22"/>
          <w:szCs w:val="22"/>
        </w:rPr>
        <w:t>II. La información que se refiere a la vida privada y los datos personales será protegida en los términos y con las excepciones que fijen las leyes.</w:t>
      </w:r>
    </w:p>
    <w:p w14:paraId="74234219" w14:textId="77777777" w:rsidR="00532AE4" w:rsidRPr="00922710" w:rsidRDefault="00A76F12">
      <w:pPr>
        <w:spacing w:line="276" w:lineRule="auto"/>
        <w:ind w:left="567" w:right="851"/>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III. </w:t>
      </w:r>
      <w:r w:rsidRPr="00922710">
        <w:rPr>
          <w:rFonts w:ascii="Palatino Linotype" w:eastAsia="Palatino Linotype" w:hAnsi="Palatino Linotype" w:cs="Palatino Linotype"/>
          <w:b/>
          <w:i/>
          <w:sz w:val="22"/>
          <w:szCs w:val="22"/>
          <w:u w:val="single"/>
        </w:rPr>
        <w:t>Toda persona, sin necesidad de acreditar interés alguno o justificar su utilización, tendrá acceso gratuito a la información pública,</w:t>
      </w:r>
      <w:r w:rsidRPr="00922710">
        <w:rPr>
          <w:rFonts w:ascii="Palatino Linotype" w:eastAsia="Palatino Linotype" w:hAnsi="Palatino Linotype" w:cs="Palatino Linotype"/>
          <w:i/>
          <w:sz w:val="22"/>
          <w:szCs w:val="22"/>
        </w:rPr>
        <w:t xml:space="preserve"> a sus datos personales o a la rectificación de éstos.</w:t>
      </w:r>
    </w:p>
    <w:p w14:paraId="07ABB1CC" w14:textId="77777777" w:rsidR="00532AE4" w:rsidRPr="00922710" w:rsidRDefault="00A76F12">
      <w:pPr>
        <w:spacing w:line="276" w:lineRule="auto"/>
        <w:ind w:left="567" w:right="851"/>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IV.</w:t>
      </w:r>
      <w:r w:rsidRPr="00922710">
        <w:rPr>
          <w:rFonts w:ascii="Palatino Linotype" w:eastAsia="Palatino Linotype" w:hAnsi="Palatino Linotype" w:cs="Palatino Linotype"/>
          <w:i/>
          <w:sz w:val="22"/>
          <w:szCs w:val="22"/>
        </w:rPr>
        <w:t xml:space="preserve"> Se establecerán mecanismos de acceso a la información pública y procedimientos de revisión expeditos que se sustanciarán ante las instancias competentes en los términos que fija esta Constitución y las leyes.</w:t>
      </w:r>
    </w:p>
    <w:p w14:paraId="60D08432" w14:textId="77777777" w:rsidR="00532AE4" w:rsidRPr="00922710" w:rsidRDefault="00A76F12">
      <w:pPr>
        <w:spacing w:line="276" w:lineRule="auto"/>
        <w:ind w:left="567" w:right="851"/>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lastRenderedPageBreak/>
        <w:t xml:space="preserve">V. </w:t>
      </w:r>
      <w:r w:rsidRPr="00922710">
        <w:rPr>
          <w:rFonts w:ascii="Palatino Linotype" w:eastAsia="Palatino Linotype" w:hAnsi="Palatino Linotype" w:cs="Palatino Linotype"/>
          <w:i/>
          <w:sz w:val="22"/>
          <w:szCs w:val="22"/>
        </w:rPr>
        <w:t>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de los resultados obtenidos.</w:t>
      </w:r>
    </w:p>
    <w:p w14:paraId="3A6C6EFF" w14:textId="77777777" w:rsidR="00532AE4" w:rsidRPr="00922710" w:rsidRDefault="00532AE4">
      <w:pPr>
        <w:spacing w:line="276" w:lineRule="auto"/>
        <w:ind w:left="567" w:right="851"/>
        <w:jc w:val="both"/>
        <w:rPr>
          <w:rFonts w:ascii="Palatino Linotype" w:eastAsia="Palatino Linotype" w:hAnsi="Palatino Linotype" w:cs="Palatino Linotype"/>
          <w:b/>
          <w:i/>
          <w:sz w:val="22"/>
          <w:szCs w:val="22"/>
        </w:rPr>
      </w:pPr>
    </w:p>
    <w:p w14:paraId="6CEAF7A3" w14:textId="77777777" w:rsidR="00532AE4" w:rsidRPr="00922710" w:rsidRDefault="00532AE4">
      <w:pPr>
        <w:spacing w:line="360" w:lineRule="auto"/>
        <w:ind w:left="567" w:right="851"/>
        <w:jc w:val="both"/>
        <w:rPr>
          <w:rFonts w:ascii="Palatino Linotype" w:eastAsia="Palatino Linotype" w:hAnsi="Palatino Linotype" w:cs="Palatino Linotype"/>
          <w:i/>
          <w:sz w:val="22"/>
          <w:szCs w:val="22"/>
        </w:rPr>
      </w:pPr>
    </w:p>
    <w:p w14:paraId="0D2B219A" w14:textId="77777777" w:rsidR="00532AE4" w:rsidRPr="00922710" w:rsidRDefault="00A76F12">
      <w:pPr>
        <w:tabs>
          <w:tab w:val="left" w:pos="709"/>
        </w:tabs>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Así, de la interpretación sistémica de los numerales inmersos en el instrumento legal nacional, el derecho de acceso a la información es un derecho del cual goza toda persona sin discriminación alguna, el cual se ejerce ante los Poderes del Estado, entidades, dependencias o cualquiera persona física o moral que reciba y ejerza recursos públicos, siendo pública toda la información que posean con las excepciones enmarcadas, para lo cual queda demostrado que los Sujetos Obligados deben cumplir con dichos dispositivos legales.</w:t>
      </w:r>
    </w:p>
    <w:p w14:paraId="4AB4CE50" w14:textId="77777777" w:rsidR="00532AE4" w:rsidRPr="00922710" w:rsidRDefault="00532AE4">
      <w:pPr>
        <w:tabs>
          <w:tab w:val="left" w:pos="709"/>
        </w:tabs>
        <w:spacing w:line="360" w:lineRule="auto"/>
        <w:jc w:val="both"/>
        <w:rPr>
          <w:rFonts w:ascii="Palatino Linotype" w:eastAsia="Palatino Linotype" w:hAnsi="Palatino Linotype" w:cs="Palatino Linotype"/>
          <w:sz w:val="22"/>
          <w:szCs w:val="22"/>
        </w:rPr>
      </w:pPr>
    </w:p>
    <w:p w14:paraId="155BA3D7"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En ese orden de ideas, la Ley de Transparencia y Acceso a la Información Pública del Estado de México y Municipios, prevé en su artículo 23, lo siguiente:</w:t>
      </w:r>
    </w:p>
    <w:p w14:paraId="77A91B3C"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2D86CC7A" w14:textId="77777777" w:rsidR="00532AE4" w:rsidRPr="0092271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i/>
          <w:sz w:val="22"/>
          <w:szCs w:val="22"/>
        </w:rPr>
        <w:t>“</w:t>
      </w:r>
      <w:r w:rsidRPr="00922710">
        <w:rPr>
          <w:rFonts w:ascii="Palatino Linotype" w:eastAsia="Palatino Linotype" w:hAnsi="Palatino Linotype" w:cs="Palatino Linotype"/>
          <w:b/>
          <w:i/>
          <w:sz w:val="22"/>
          <w:szCs w:val="22"/>
        </w:rPr>
        <w:t>Artículo 23. Son sujetos obligados a transparentar y permitir el acceso a su información y proteger los datos personales que obren en su poder</w:t>
      </w:r>
      <w:r w:rsidRPr="00922710">
        <w:rPr>
          <w:rFonts w:ascii="Palatino Linotype" w:eastAsia="Palatino Linotype" w:hAnsi="Palatino Linotype" w:cs="Palatino Linotype"/>
          <w:i/>
          <w:sz w:val="22"/>
          <w:szCs w:val="22"/>
        </w:rPr>
        <w:t>:</w:t>
      </w:r>
    </w:p>
    <w:p w14:paraId="275F2B94" w14:textId="77777777" w:rsidR="00532AE4" w:rsidRPr="00922710"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922710">
        <w:rPr>
          <w:rFonts w:ascii="Palatino Linotype" w:eastAsia="Palatino Linotype" w:hAnsi="Palatino Linotype" w:cs="Palatino Linotype"/>
          <w:b/>
          <w:i/>
          <w:sz w:val="22"/>
          <w:szCs w:val="22"/>
        </w:rPr>
        <w:t>I.</w:t>
      </w:r>
      <w:r w:rsidRPr="00922710">
        <w:rPr>
          <w:rFonts w:ascii="Palatino Linotype" w:eastAsia="Palatino Linotype" w:hAnsi="Palatino Linotype" w:cs="Palatino Linotype"/>
          <w:i/>
          <w:sz w:val="22"/>
          <w:szCs w:val="22"/>
        </w:rPr>
        <w:t xml:space="preserve"> El Poder Ejecutivo del Estado de México, las dependencias, organismos auxiliares,</w:t>
      </w:r>
      <w:r w:rsidRPr="00922710">
        <w:rPr>
          <w:rFonts w:ascii="Palatino Linotype" w:eastAsia="Palatino Linotype" w:hAnsi="Palatino Linotype" w:cs="Palatino Linotype"/>
          <w:b/>
          <w:i/>
          <w:sz w:val="22"/>
          <w:szCs w:val="22"/>
        </w:rPr>
        <w:t xml:space="preserve"> </w:t>
      </w:r>
      <w:r w:rsidRPr="00922710">
        <w:rPr>
          <w:rFonts w:ascii="Palatino Linotype" w:eastAsia="Palatino Linotype" w:hAnsi="Palatino Linotype" w:cs="Palatino Linotype"/>
          <w:i/>
          <w:sz w:val="22"/>
          <w:szCs w:val="22"/>
        </w:rPr>
        <w:t>órganos, entidades, fideicomisos y fondos públicos, así como la Procuraduría General de Justicia;</w:t>
      </w:r>
    </w:p>
    <w:p w14:paraId="09179CA5" w14:textId="77777777" w:rsidR="00532AE4" w:rsidRPr="0092271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II.</w:t>
      </w:r>
      <w:r w:rsidRPr="00922710">
        <w:rPr>
          <w:rFonts w:ascii="Palatino Linotype" w:eastAsia="Palatino Linotype" w:hAnsi="Palatino Linotype" w:cs="Palatino Linotype"/>
          <w:i/>
          <w:sz w:val="22"/>
          <w:szCs w:val="22"/>
        </w:rPr>
        <w:t xml:space="preserve"> El Poder Legislativo del Estado, los organismos, órganos y entidades de la Legislatura y sus dependencias;</w:t>
      </w:r>
    </w:p>
    <w:p w14:paraId="69E10B2E" w14:textId="77777777" w:rsidR="00532AE4" w:rsidRPr="0092271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III.</w:t>
      </w:r>
      <w:r w:rsidRPr="00922710">
        <w:rPr>
          <w:rFonts w:ascii="Palatino Linotype" w:eastAsia="Palatino Linotype" w:hAnsi="Palatino Linotype" w:cs="Palatino Linotype"/>
          <w:i/>
          <w:sz w:val="22"/>
          <w:szCs w:val="22"/>
        </w:rPr>
        <w:t xml:space="preserve"> El Poder Judicial, sus organismos, órganos y entidades, así como el Consejo de la Judicatura del Estado;</w:t>
      </w:r>
    </w:p>
    <w:p w14:paraId="7976C81D" w14:textId="77777777" w:rsidR="00532AE4" w:rsidRPr="00922710"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922710">
        <w:rPr>
          <w:rFonts w:ascii="Palatino Linotype" w:eastAsia="Palatino Linotype" w:hAnsi="Palatino Linotype" w:cs="Palatino Linotype"/>
          <w:b/>
          <w:i/>
          <w:sz w:val="22"/>
          <w:szCs w:val="22"/>
        </w:rPr>
        <w:t>IV. Los ayuntamientos y las dependencias, organismos, órganos y entidades de la administración municipal;</w:t>
      </w:r>
    </w:p>
    <w:p w14:paraId="5CE7E9A8" w14:textId="77777777" w:rsidR="00532AE4" w:rsidRPr="0092271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V.</w:t>
      </w:r>
      <w:r w:rsidRPr="00922710">
        <w:rPr>
          <w:rFonts w:ascii="Palatino Linotype" w:eastAsia="Palatino Linotype" w:hAnsi="Palatino Linotype" w:cs="Palatino Linotype"/>
          <w:i/>
          <w:sz w:val="22"/>
          <w:szCs w:val="22"/>
        </w:rPr>
        <w:t xml:space="preserve"> Los órganos autónomos;</w:t>
      </w:r>
    </w:p>
    <w:p w14:paraId="47FBCC3D" w14:textId="77777777" w:rsidR="00532AE4" w:rsidRPr="0092271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VI.</w:t>
      </w:r>
      <w:r w:rsidRPr="00922710">
        <w:rPr>
          <w:rFonts w:ascii="Palatino Linotype" w:eastAsia="Palatino Linotype" w:hAnsi="Palatino Linotype" w:cs="Palatino Linotype"/>
          <w:i/>
          <w:sz w:val="22"/>
          <w:szCs w:val="22"/>
        </w:rPr>
        <w:t xml:space="preserve"> Los tribunales administrativos y autoridades jurisdiccionales en materia laboral;</w:t>
      </w:r>
    </w:p>
    <w:p w14:paraId="21D723D1" w14:textId="77777777" w:rsidR="00532AE4" w:rsidRPr="0092271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lastRenderedPageBreak/>
        <w:t>VII.</w:t>
      </w:r>
      <w:r w:rsidRPr="00922710">
        <w:rPr>
          <w:rFonts w:ascii="Palatino Linotype" w:eastAsia="Palatino Linotype" w:hAnsi="Palatino Linotype" w:cs="Palatino Linotype"/>
          <w:i/>
          <w:sz w:val="22"/>
          <w:szCs w:val="22"/>
        </w:rPr>
        <w:t xml:space="preserve"> Los partidos políticos y agrupaciones políticas, en los términos de las disposiciones aplicables;</w:t>
      </w:r>
    </w:p>
    <w:p w14:paraId="5585D2BB" w14:textId="77777777" w:rsidR="00532AE4" w:rsidRPr="0092271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VIII.</w:t>
      </w:r>
      <w:r w:rsidRPr="00922710">
        <w:rPr>
          <w:rFonts w:ascii="Palatino Linotype" w:eastAsia="Palatino Linotype" w:hAnsi="Palatino Linotype" w:cs="Palatino Linotype"/>
          <w:i/>
          <w:sz w:val="22"/>
          <w:szCs w:val="22"/>
        </w:rPr>
        <w:t xml:space="preserve"> Los fideicomisos y fondos públicos que cuenten con financiamiento público, parcial o total, o con participación de entidades de gobierno;</w:t>
      </w:r>
    </w:p>
    <w:p w14:paraId="09F2268E" w14:textId="77777777" w:rsidR="00532AE4" w:rsidRPr="0092271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IX.</w:t>
      </w:r>
      <w:r w:rsidRPr="00922710">
        <w:rPr>
          <w:rFonts w:ascii="Palatino Linotype" w:eastAsia="Palatino Linotype" w:hAnsi="Palatino Linotype" w:cs="Palatino Linotype"/>
          <w:i/>
          <w:sz w:val="22"/>
          <w:szCs w:val="22"/>
        </w:rPr>
        <w:t xml:space="preserve"> Los sindicatos que reciban y/o ejerzan recursos públicos en el ámbito estatal y municipal;</w:t>
      </w:r>
    </w:p>
    <w:p w14:paraId="29BDC82A" w14:textId="77777777" w:rsidR="00532AE4" w:rsidRPr="0092271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X.</w:t>
      </w:r>
      <w:r w:rsidRPr="00922710">
        <w:rPr>
          <w:rFonts w:ascii="Palatino Linotype" w:eastAsia="Palatino Linotype" w:hAnsi="Palatino Linotype" w:cs="Palatino Linotype"/>
          <w:i/>
          <w:sz w:val="22"/>
          <w:szCs w:val="22"/>
        </w:rPr>
        <w:t xml:space="preserve"> Cualquier persona física o jurídico colectiva que reciba y ejerza recursos públicos en el ámbito estatal o municipal; y</w:t>
      </w:r>
    </w:p>
    <w:p w14:paraId="70B4BE09" w14:textId="77777777" w:rsidR="00532AE4" w:rsidRPr="0092271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XI.</w:t>
      </w:r>
      <w:r w:rsidRPr="00922710">
        <w:rPr>
          <w:rFonts w:ascii="Palatino Linotype" w:eastAsia="Palatino Linotype" w:hAnsi="Palatino Linotype" w:cs="Palatino Linotype"/>
          <w:i/>
          <w:sz w:val="22"/>
          <w:szCs w:val="22"/>
        </w:rPr>
        <w:t xml:space="preserve"> Cualquier otra autoridad, entidad, órgano u organismo de los poderes estatal o municipal, que reciba recursos públicos.</w:t>
      </w:r>
    </w:p>
    <w:p w14:paraId="60EB43BF" w14:textId="77777777" w:rsidR="00532AE4" w:rsidRPr="0092271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i/>
          <w:sz w:val="22"/>
          <w:szCs w:val="22"/>
        </w:rPr>
        <w:t>Los sujetos obligados deberán hacer pública toda aquella información relativa a los montos y las personas a quienes entreguen, por cualquier motivo, recursos públicos, así como los informes que dichas personas les entreguen sobre el uso y destino de dichos recursos.</w:t>
      </w:r>
    </w:p>
    <w:p w14:paraId="3C92E68E" w14:textId="77777777" w:rsidR="00532AE4" w:rsidRPr="00922710"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Los servidores públicos deberán transparentar sus acciones, así como garantizar y respetar el derecho de acceso a la información pública</w:t>
      </w:r>
      <w:r w:rsidRPr="00922710">
        <w:rPr>
          <w:rFonts w:ascii="Palatino Linotype" w:eastAsia="Palatino Linotype" w:hAnsi="Palatino Linotype" w:cs="Palatino Linotype"/>
          <w:i/>
          <w:sz w:val="22"/>
          <w:szCs w:val="22"/>
        </w:rPr>
        <w:t>.”</w:t>
      </w:r>
    </w:p>
    <w:p w14:paraId="6AA3AC33"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24121FD5"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Es así que, conforme a los preceptos legales citados, se desprende que el derecho de acceso a la información pública es un derecho individual que puede ser ejercido ante cualquier autoridad, entidad, órgano u organismo, tanto federales, como estatales, de la Ciudad de México o Municipales, con el fin de que los particulares conozcan toda aquella información que es considerada como pública. </w:t>
      </w:r>
    </w:p>
    <w:p w14:paraId="665BF928"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71725802"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En esa tesitura, este Instituto no omite señalar que los Sujetos Obligados deben contar con un área responsable para la atención de las solicitudes de información, a la que se le denominará Unidad de Transparencia; asimismo, deben designar a un responsable para atender dicha Unidad, quien fungirá como enlace entre éstos y los solicitantes. </w:t>
      </w:r>
    </w:p>
    <w:p w14:paraId="4AA734D2"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0BA22BF1" w14:textId="77777777" w:rsidR="00532AE4" w:rsidRPr="00922710"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Dicho lo anterior, se precisa que la ya mencionada Unidad de Transparencia es la encargada de tramitar internamente las solicitudes de información y tiene la responsabilidad de </w:t>
      </w:r>
      <w:r w:rsidRPr="00922710">
        <w:rPr>
          <w:rFonts w:ascii="Palatino Linotype" w:eastAsia="Palatino Linotype" w:hAnsi="Palatino Linotype" w:cs="Palatino Linotype"/>
          <w:sz w:val="22"/>
          <w:szCs w:val="22"/>
        </w:rPr>
        <w:lastRenderedPageBreak/>
        <w:t>verificar, en cada caso, que la información no tenga el carácter de confidencial o reservada, en términos de los artículos 50 y 51 de la Ley de Transparencia y Acceso a la Información Pública del Estado de México y Municipios.</w:t>
      </w:r>
    </w:p>
    <w:p w14:paraId="677C733F" w14:textId="77777777" w:rsidR="00532AE4" w:rsidRPr="00922710"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2C5E28A8" w14:textId="77777777" w:rsidR="00532AE4" w:rsidRPr="00922710"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Por su parte, el artículo 53, fracciones II, IV y V de la Ley antes citada establece que las Unidades de Transparencia tienen, entre otras, las funciones de recibir, tramitar y dar respuesta a las solicitudes de acceso a la información; realizar, con efectividad, los trámites internos necesarios para la atención de las solicitudes de acceso a la información; así como, entregar, en su caso, a los particulares la información solicitada.</w:t>
      </w:r>
    </w:p>
    <w:p w14:paraId="334A76AB"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4AB75C75"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Asimismo, el diverso artículo 54 de la Ley de Transparencia y Acceso a la Información Pública del Estado de México y Municipios establece que cuando alguna área de los Sujetos Obligados se negara a colaborar con la Unidad de Transparencia, ésta dará aviso al superior jerárquico para que le ordene realizar sin demora las acciones conducentes y en caso de que persista la negativa de colaboración, hará del conocimiento de la autoridad competente para que se inicie, en su caso, el procedimiento de responsabilidad respectivo.</w:t>
      </w:r>
    </w:p>
    <w:p w14:paraId="7762C247"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22C40C77" w14:textId="77777777" w:rsidR="00532AE4" w:rsidRPr="00922710"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De igual forma, el diverso artículo 59, fracciones I, II y III de la multicitada legislación Sustantiva, establece que los Servidores Públicos Habilitados deben localizar la información que le solicite la Unidad de Transparencia; proporcionar la misma y apoyarla en lo que ésta le solicite para el cumplimiento de sus funciones.</w:t>
      </w:r>
    </w:p>
    <w:p w14:paraId="561EEFA5" w14:textId="77777777" w:rsidR="00532AE4" w:rsidRPr="00922710"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7BDC728A"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Finalmente, se destaca que de conformidad con el artículo 163 de la legislación en cita, se desprende que la Unidad de Transparencia debe notificar la respuesta a las solicitudes de acceso a la información, en el menor tiempo posible, que no podrá exceder de quince días hábiles, teniendo como excepción al plazo referido, una prórroga de hasta siete días hábiles </w:t>
      </w:r>
      <w:r w:rsidRPr="00922710">
        <w:rPr>
          <w:rFonts w:ascii="Palatino Linotype" w:eastAsia="Palatino Linotype" w:hAnsi="Palatino Linotype" w:cs="Palatino Linotype"/>
          <w:sz w:val="22"/>
          <w:szCs w:val="22"/>
        </w:rPr>
        <w:lastRenderedPageBreak/>
        <w:t xml:space="preserve">adicionales, siempre y cuando existan razones fundadas y motivadas, las cuales deberán ser aprobadas por el Comité de Transparencia. Situación que en la especie no aconteció. </w:t>
      </w:r>
    </w:p>
    <w:p w14:paraId="53232406"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0629D8D1"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Sirve de sustento a lo anterior, el precepto legal en cita:</w:t>
      </w:r>
    </w:p>
    <w:p w14:paraId="0E6F8D37"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68892ECD" w14:textId="77777777" w:rsidR="00532AE4" w:rsidRPr="00922710" w:rsidRDefault="00A76F12">
      <w:pPr>
        <w:spacing w:line="276" w:lineRule="auto"/>
        <w:ind w:left="567" w:right="902"/>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i/>
          <w:sz w:val="22"/>
          <w:szCs w:val="22"/>
        </w:rPr>
        <w:t>“</w:t>
      </w:r>
      <w:r w:rsidRPr="00922710">
        <w:rPr>
          <w:rFonts w:ascii="Palatino Linotype" w:eastAsia="Palatino Linotype" w:hAnsi="Palatino Linotype" w:cs="Palatino Linotype"/>
          <w:b/>
          <w:i/>
          <w:sz w:val="22"/>
          <w:szCs w:val="22"/>
        </w:rPr>
        <w:t>Artículo 163. La Unidad de Transparencia deberá notificar la respuesta a la solicitud al interesado en el menor tiempo posible, que no podrá exceder de quince días hábiles</w:t>
      </w:r>
      <w:r w:rsidRPr="00922710">
        <w:rPr>
          <w:rFonts w:ascii="Palatino Linotype" w:eastAsia="Palatino Linotype" w:hAnsi="Palatino Linotype" w:cs="Palatino Linotype"/>
          <w:i/>
          <w:sz w:val="22"/>
          <w:szCs w:val="22"/>
        </w:rPr>
        <w:t xml:space="preserve">, contados a partir del día siguiente a la presentación de aquélla. </w:t>
      </w:r>
    </w:p>
    <w:p w14:paraId="71D554AC" w14:textId="77777777" w:rsidR="00532AE4" w:rsidRPr="00922710" w:rsidRDefault="00A76F12">
      <w:pPr>
        <w:spacing w:line="276" w:lineRule="auto"/>
        <w:ind w:left="567" w:right="902"/>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i/>
          <w:sz w:val="22"/>
          <w:szCs w:val="22"/>
        </w:rPr>
        <w:t>Excepcionalmente, el plazo referido en el párrafo anterior podrá ampliarse hasta por siete días hábiles más, siempre y cuando existan razones fundadas y motivadas, las cuales deberán ser aprobadas por el Comité de Transparencia, mediante la emisión de una resolución que deberá notificarse al solicitante, antes de su vencimiento. No podrán invocarse como causales de ampliación del plazo motivos que supongan negligencia o descuido del sujeto obligado en el desahogo de la solicitud.”</w:t>
      </w:r>
    </w:p>
    <w:p w14:paraId="201E4166" w14:textId="77777777" w:rsidR="00532AE4" w:rsidRPr="00922710" w:rsidRDefault="00532AE4">
      <w:pPr>
        <w:spacing w:line="360" w:lineRule="auto"/>
        <w:ind w:left="851" w:right="902"/>
        <w:jc w:val="both"/>
        <w:rPr>
          <w:rFonts w:ascii="Palatino Linotype" w:eastAsia="Palatino Linotype" w:hAnsi="Palatino Linotype" w:cs="Palatino Linotype"/>
          <w:i/>
          <w:sz w:val="22"/>
          <w:szCs w:val="22"/>
        </w:rPr>
      </w:pPr>
    </w:p>
    <w:p w14:paraId="43BFA3B9"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En mérito de lo expuesto, es claro que en este caso el </w:t>
      </w:r>
      <w:r w:rsidRPr="00922710">
        <w:rPr>
          <w:rFonts w:ascii="Palatino Linotype" w:eastAsia="Palatino Linotype" w:hAnsi="Palatino Linotype" w:cs="Palatino Linotype"/>
          <w:b/>
          <w:sz w:val="22"/>
          <w:szCs w:val="22"/>
        </w:rPr>
        <w:t>Sujeto Obligado</w:t>
      </w:r>
      <w:r w:rsidRPr="00922710">
        <w:rPr>
          <w:rFonts w:ascii="Palatino Linotype" w:eastAsia="Palatino Linotype" w:hAnsi="Palatino Linotype" w:cs="Palatino Linotype"/>
          <w:sz w:val="22"/>
          <w:szCs w:val="22"/>
        </w:rPr>
        <w:t xml:space="preserve"> incumplió la normativa en la materia, puesto que no dio trámite ni respuesta a la solicitud de acceso a la información, limitando el derecho de acceso a la información, accionado por la persona solicitante.</w:t>
      </w:r>
    </w:p>
    <w:p w14:paraId="29F8B67E"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457DC1C9"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Consecuentemente, este Instituto estima necesario reiterar que, de conformidad con el artículo 150 de la Ley de Transparencia y Acceso a la Información Pública del Estado de México y Municipios, el procedimiento de acceso a la información es la garantía primaria del derecho en cuestión y se rige por los principios de simplicidad, rapidez gratuidad del procedimiento, auxilio y orientación a los particulares; así como, atención adecuada a las personas con discapacidad y a los hablantes de lengua indígena con el objeto de otorgar la protección más amplia del derecho de las personas. </w:t>
      </w:r>
    </w:p>
    <w:p w14:paraId="048016D6"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40F8C8EA"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Aunado a lo anterior, este Instituto estima dable referir lo que dispone el artículo 172, último párrafo de la Ley de Transparencia y Acceso a la Información Pública del Estado de México y Municipios, el cual refiere que los argumentos para justificar cualquier negativa de acceso a la información deben recaer en </w:t>
      </w:r>
      <w:r w:rsidRPr="00922710">
        <w:rPr>
          <w:rFonts w:ascii="Palatino Linotype" w:eastAsia="Palatino Linotype" w:hAnsi="Palatino Linotype" w:cs="Palatino Linotype"/>
          <w:b/>
          <w:sz w:val="22"/>
          <w:szCs w:val="22"/>
        </w:rPr>
        <w:t>el Sujeto Obligado</w:t>
      </w:r>
      <w:r w:rsidRPr="00922710">
        <w:rPr>
          <w:rFonts w:ascii="Palatino Linotype" w:eastAsia="Palatino Linotype" w:hAnsi="Palatino Linotype" w:cs="Palatino Linotype"/>
          <w:sz w:val="22"/>
          <w:szCs w:val="22"/>
        </w:rPr>
        <w:t>; por lo que, en caso de no atender de manera positiva</w:t>
      </w:r>
      <w:r w:rsidRPr="00922710">
        <w:rPr>
          <w:rFonts w:ascii="Palatino Linotype" w:eastAsia="Palatino Linotype" w:hAnsi="Palatino Linotype" w:cs="Palatino Linotype"/>
          <w:sz w:val="22"/>
          <w:szCs w:val="22"/>
          <w:vertAlign w:val="superscript"/>
        </w:rPr>
        <w:footnoteReference w:id="2"/>
      </w:r>
      <w:r w:rsidRPr="00922710">
        <w:rPr>
          <w:rFonts w:ascii="Palatino Linotype" w:eastAsia="Palatino Linotype" w:hAnsi="Palatino Linotype" w:cs="Palatino Linotype"/>
          <w:sz w:val="22"/>
          <w:szCs w:val="22"/>
        </w:rPr>
        <w:t>, el requerimiento de información deberá manifestarse al respecto.</w:t>
      </w:r>
    </w:p>
    <w:p w14:paraId="23408330"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7CF59B88"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755C9B1A" w14:textId="77777777" w:rsidR="00532AE4" w:rsidRPr="00922710"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b/>
          <w:sz w:val="22"/>
          <w:szCs w:val="22"/>
        </w:rPr>
      </w:pPr>
      <w:r w:rsidRPr="00922710">
        <w:rPr>
          <w:rFonts w:ascii="Palatino Linotype" w:eastAsia="Palatino Linotype" w:hAnsi="Palatino Linotype" w:cs="Palatino Linotype"/>
          <w:b/>
          <w:sz w:val="22"/>
          <w:szCs w:val="22"/>
        </w:rPr>
        <w:t>De la clasificación de la información.</w:t>
      </w:r>
    </w:p>
    <w:p w14:paraId="7CB72775" w14:textId="77777777" w:rsidR="00532AE4" w:rsidRPr="00922710"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b/>
          <w:sz w:val="22"/>
          <w:szCs w:val="22"/>
        </w:rPr>
      </w:pPr>
    </w:p>
    <w:p w14:paraId="1971ACD1" w14:textId="77777777" w:rsidR="00532AE4" w:rsidRPr="00922710" w:rsidRDefault="00A76F12">
      <w:pPr>
        <w:spacing w:line="360" w:lineRule="auto"/>
        <w:ind w:right="51"/>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Ahora bien, en atención al sentido en que se resuelve el presente medio de impugnación, este Organismo Garante no omite señalar que, el derecho de acceso a la información puede ser restringido de manera excepcional por razones de interés público, en los términos de las causas legítimas y estrictamente necesarias previstas por la Ley, a través de la clasificación de la información como confidencial o reservada para permitir el acceso, como se desprende del artículo 91 de la Ley de la Materia que es del tenor literal siguiente:</w:t>
      </w:r>
    </w:p>
    <w:p w14:paraId="38FF8466" w14:textId="77777777" w:rsidR="00532AE4" w:rsidRPr="00922710" w:rsidRDefault="00532AE4">
      <w:pPr>
        <w:spacing w:line="360" w:lineRule="auto"/>
        <w:ind w:right="51"/>
        <w:jc w:val="both"/>
        <w:rPr>
          <w:rFonts w:ascii="Palatino Linotype" w:eastAsia="Palatino Linotype" w:hAnsi="Palatino Linotype" w:cs="Palatino Linotype"/>
          <w:sz w:val="22"/>
          <w:szCs w:val="22"/>
        </w:rPr>
      </w:pPr>
    </w:p>
    <w:p w14:paraId="3D8718EB" w14:textId="77777777" w:rsidR="00532AE4" w:rsidRPr="00922710" w:rsidRDefault="00A76F12">
      <w:pPr>
        <w:spacing w:line="276" w:lineRule="auto"/>
        <w:ind w:left="851" w:right="900"/>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“Artículo 91. </w:t>
      </w:r>
      <w:r w:rsidRPr="00922710">
        <w:rPr>
          <w:rFonts w:ascii="Palatino Linotype" w:eastAsia="Palatino Linotype" w:hAnsi="Palatino Linotype" w:cs="Palatino Linotype"/>
          <w:i/>
          <w:sz w:val="22"/>
          <w:szCs w:val="22"/>
        </w:rPr>
        <w:t>El acceso a la información pública será restringido excepcionalmente, cuando ésta sea clasificada como reservada o confidencial.”</w:t>
      </w:r>
    </w:p>
    <w:p w14:paraId="02D3BD60" w14:textId="77777777" w:rsidR="00532AE4" w:rsidRPr="00922710" w:rsidRDefault="00532AE4">
      <w:pPr>
        <w:spacing w:line="360" w:lineRule="auto"/>
        <w:ind w:left="851" w:right="900"/>
        <w:jc w:val="both"/>
        <w:rPr>
          <w:rFonts w:ascii="Palatino Linotype" w:eastAsia="Palatino Linotype" w:hAnsi="Palatino Linotype" w:cs="Palatino Linotype"/>
          <w:i/>
          <w:sz w:val="22"/>
          <w:szCs w:val="22"/>
        </w:rPr>
      </w:pPr>
    </w:p>
    <w:p w14:paraId="1014C2BA"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Entendiéndose como información reservada aquella que se clasifica de manera temporal cuya divulgación pueda causar algún daño; y como información confidencial, la relacionada con los secretos bancario, fiduciario, industrial, comercial, fiscal, bursátil y postal, cuya titularidad corresponde a particulares, sujetos de derecho internacional o a Sujetos Obligados cuando no involucren el ejercicio de recursos públicos, así como la información </w:t>
      </w:r>
      <w:r w:rsidRPr="00922710">
        <w:rPr>
          <w:rFonts w:ascii="Palatino Linotype" w:eastAsia="Palatino Linotype" w:hAnsi="Palatino Linotype" w:cs="Palatino Linotype"/>
          <w:sz w:val="22"/>
          <w:szCs w:val="22"/>
        </w:rPr>
        <w:lastRenderedPageBreak/>
        <w:t xml:space="preserve">privada contenida en documentos públicos o privados que refiera a la vida privada y/o los datos personales, que no son de acceso público. </w:t>
      </w:r>
    </w:p>
    <w:p w14:paraId="077F0B8E"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De manera que, la Ley de Transparencia y Acceso a la Información Pública del Estado de México y Municipios, en sus artículos 140 y 143 prevé los siguientes supuestos para clasificar la información como reservada o confidencial:</w:t>
      </w:r>
    </w:p>
    <w:p w14:paraId="2FEAF09F" w14:textId="77777777" w:rsidR="00532AE4" w:rsidRPr="00922710" w:rsidRDefault="00532AE4">
      <w:pPr>
        <w:tabs>
          <w:tab w:val="left" w:pos="567"/>
        </w:tabs>
        <w:spacing w:line="276" w:lineRule="auto"/>
        <w:ind w:left="567" w:right="616"/>
        <w:jc w:val="both"/>
        <w:rPr>
          <w:rFonts w:ascii="Palatino Linotype" w:eastAsia="Palatino Linotype" w:hAnsi="Palatino Linotype" w:cs="Palatino Linotype"/>
          <w:sz w:val="22"/>
          <w:szCs w:val="22"/>
        </w:rPr>
      </w:pPr>
    </w:p>
    <w:p w14:paraId="631DD9C7"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“Artículo 140. </w:t>
      </w:r>
      <w:r w:rsidRPr="00922710">
        <w:rPr>
          <w:rFonts w:ascii="Palatino Linotype" w:eastAsia="Palatino Linotype" w:hAnsi="Palatino Linotype" w:cs="Palatino Linotype"/>
          <w:i/>
          <w:sz w:val="22"/>
          <w:szCs w:val="22"/>
        </w:rPr>
        <w:t>El acceso a la información pública será restringido excepcionalmente, cuando por razones de interés público, ésta sea clasificada como reservada, conforme a los criterios siguientes:</w:t>
      </w:r>
    </w:p>
    <w:p w14:paraId="0B389537"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I. </w:t>
      </w:r>
      <w:r w:rsidRPr="00922710">
        <w:rPr>
          <w:rFonts w:ascii="Palatino Linotype" w:eastAsia="Palatino Linotype" w:hAnsi="Palatino Linotype" w:cs="Palatino Linotype"/>
          <w:i/>
          <w:sz w:val="22"/>
          <w:szCs w:val="22"/>
        </w:rPr>
        <w:t>Comprometa la seguridad pública y cuente con un propósito genuino y un efecto demostrable;</w:t>
      </w:r>
    </w:p>
    <w:p w14:paraId="14C1245E"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II. </w:t>
      </w:r>
      <w:r w:rsidRPr="00922710">
        <w:rPr>
          <w:rFonts w:ascii="Palatino Linotype" w:eastAsia="Palatino Linotype" w:hAnsi="Palatino Linotype" w:cs="Palatino Linotype"/>
          <w:i/>
          <w:sz w:val="22"/>
          <w:szCs w:val="22"/>
        </w:rPr>
        <w:t>Pueda menoscabar la conducción de las negociaciones y relaciones internacionales;</w:t>
      </w:r>
    </w:p>
    <w:p w14:paraId="509CE544"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III. </w:t>
      </w:r>
      <w:r w:rsidRPr="00922710">
        <w:rPr>
          <w:rFonts w:ascii="Palatino Linotype" w:eastAsia="Palatino Linotype" w:hAnsi="Palatino Linotype" w:cs="Palatino Linotype"/>
          <w:i/>
          <w:sz w:val="22"/>
          <w:szCs w:val="22"/>
        </w:rPr>
        <w:t>Se entregue a la Entidad expresamente con ese carácter o el de confidencialidad por otro u otros sujetos de derecho internacional, excepto cuando se trate de violaciones graves de derechos humanos o delitos de lesa humanidad de conformidad con el derecho internacional;</w:t>
      </w:r>
    </w:p>
    <w:p w14:paraId="2E14479B"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IV. </w:t>
      </w:r>
      <w:r w:rsidRPr="00922710">
        <w:rPr>
          <w:rFonts w:ascii="Palatino Linotype" w:eastAsia="Palatino Linotype" w:hAnsi="Palatino Linotype" w:cs="Palatino Linotype"/>
          <w:i/>
          <w:sz w:val="22"/>
          <w:szCs w:val="22"/>
        </w:rPr>
        <w:t>Ponga en riesgo la vida, la seguridad o la salud de una persona física;</w:t>
      </w:r>
    </w:p>
    <w:p w14:paraId="5B0BE058"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V. </w:t>
      </w:r>
      <w:r w:rsidRPr="00922710">
        <w:rPr>
          <w:rFonts w:ascii="Palatino Linotype" w:eastAsia="Palatino Linotype" w:hAnsi="Palatino Linotype" w:cs="Palatino Linotype"/>
          <w:i/>
          <w:sz w:val="22"/>
          <w:szCs w:val="22"/>
        </w:rPr>
        <w:t>Aquella cuya divulgación obstruya o pueda causar un serio perjuicio a:</w:t>
      </w:r>
    </w:p>
    <w:p w14:paraId="71AA8468"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1. </w:t>
      </w:r>
      <w:r w:rsidRPr="00922710">
        <w:rPr>
          <w:rFonts w:ascii="Palatino Linotype" w:eastAsia="Palatino Linotype" w:hAnsi="Palatino Linotype" w:cs="Palatino Linotype"/>
          <w:i/>
          <w:sz w:val="22"/>
          <w:szCs w:val="22"/>
        </w:rPr>
        <w:t xml:space="preserve">Las actividades de fiscalización, verificación, inspección, comprobación y auditoría sobre el cumplimiento de las Leyes; o </w:t>
      </w:r>
    </w:p>
    <w:p w14:paraId="35A66DF6"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2. </w:t>
      </w:r>
      <w:r w:rsidRPr="00922710">
        <w:rPr>
          <w:rFonts w:ascii="Palatino Linotype" w:eastAsia="Palatino Linotype" w:hAnsi="Palatino Linotype" w:cs="Palatino Linotype"/>
          <w:i/>
          <w:sz w:val="22"/>
          <w:szCs w:val="22"/>
        </w:rPr>
        <w:t>La recaudación de las contribuciones.</w:t>
      </w:r>
    </w:p>
    <w:p w14:paraId="4CD54AA9"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VI. </w:t>
      </w:r>
      <w:r w:rsidRPr="00922710">
        <w:rPr>
          <w:rFonts w:ascii="Palatino Linotype" w:eastAsia="Palatino Linotype" w:hAnsi="Palatino Linotype" w:cs="Palatino Linotype"/>
          <w:i/>
          <w:sz w:val="22"/>
          <w:szCs w:val="22"/>
        </w:rPr>
        <w:t>Pueda causar daño u obstruya la prevención o persecución de los delitos, altere el proceso de investigación de las carpetas de investigación, afecte o vulnere la conducción o los derechos del debido proceso en los procedimientos judiciales o administrativos, incluidos los de quejas, denuncias, inconformidades, responsabilidades administrativas y resarcitorias en tanto no hayan quedado firmes o afecte la administración de justicia o la seguridad de un denunciante, querellante o testigo, así como sus familias, en los términos de las disposiciones jurídicas aplicables;</w:t>
      </w:r>
    </w:p>
    <w:p w14:paraId="2D9E1C7F"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VII. </w:t>
      </w:r>
      <w:r w:rsidRPr="00922710">
        <w:rPr>
          <w:rFonts w:ascii="Palatino Linotype" w:eastAsia="Palatino Linotype" w:hAnsi="Palatino Linotype" w:cs="Palatino Linotype"/>
          <w:i/>
          <w:sz w:val="22"/>
          <w:szCs w:val="22"/>
        </w:rPr>
        <w:t>La que contengan las opiniones, recomendaciones o puntos de vista que formen parte del proceso deliberativo de los servidores públicos, hasta en tanto sea adoptada la decisión definitiva, la cual deberá estar documentada;</w:t>
      </w:r>
    </w:p>
    <w:p w14:paraId="25B80B94"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lastRenderedPageBreak/>
        <w:t>VIII</w:t>
      </w:r>
      <w:r w:rsidRPr="00922710">
        <w:rPr>
          <w:rFonts w:ascii="Palatino Linotype" w:eastAsia="Palatino Linotype" w:hAnsi="Palatino Linotype" w:cs="Palatino Linotype"/>
          <w:i/>
          <w:sz w:val="22"/>
          <w:szCs w:val="22"/>
        </w:rPr>
        <w:t>. Vulnere la conducción de los expedientes judiciales o de los procedimientos administrativos seguidos en forma de juicio, en tanto no hayan quedado firmes</w:t>
      </w:r>
      <w:r w:rsidRPr="00922710">
        <w:rPr>
          <w:rFonts w:ascii="Palatino Linotype" w:eastAsia="Palatino Linotype" w:hAnsi="Palatino Linotype" w:cs="Palatino Linotype"/>
          <w:b/>
          <w:i/>
          <w:sz w:val="22"/>
          <w:szCs w:val="22"/>
        </w:rPr>
        <w:t>;</w:t>
      </w:r>
    </w:p>
    <w:p w14:paraId="20A105A2"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IX. </w:t>
      </w:r>
      <w:r w:rsidRPr="00922710">
        <w:rPr>
          <w:rFonts w:ascii="Palatino Linotype" w:eastAsia="Palatino Linotype" w:hAnsi="Palatino Linotype" w:cs="Palatino Linotype"/>
          <w:i/>
          <w:sz w:val="22"/>
          <w:szCs w:val="22"/>
        </w:rPr>
        <w:t>Se encuentre contenida dentro de las investigaciones de hechos que la Ley señale como delitos y se tramiten ante el Ministerio Público;</w:t>
      </w:r>
    </w:p>
    <w:p w14:paraId="5C61DBA9"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X. </w:t>
      </w:r>
      <w:r w:rsidRPr="00922710">
        <w:rPr>
          <w:rFonts w:ascii="Palatino Linotype" w:eastAsia="Palatino Linotype" w:hAnsi="Palatino Linotype" w:cs="Palatino Linotype"/>
          <w:i/>
          <w:sz w:val="22"/>
          <w:szCs w:val="22"/>
        </w:rPr>
        <w:t>El daño que pueda producirse con la publicación de la información sea mayor que el interés público de conocer la información de referencia, siempre que esté directamente relacionado con procesos o procedimientos administrativos o judiciales que no hayan quedado firmes;</w:t>
      </w:r>
    </w:p>
    <w:p w14:paraId="3134CAFF"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i/>
          <w:sz w:val="22"/>
          <w:szCs w:val="22"/>
        </w:rPr>
        <w:t>Cuando se trate de información sobre estudios y proyectos cuya divulgación pueda causar daños al interés del Estado o suponga un riesgo para su realización, siempre que esté directamente relacionado con procesos o procedimientos administrativos o judiciales que no hayan quedado firmes; y</w:t>
      </w:r>
    </w:p>
    <w:p w14:paraId="515C61FE"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XI. </w:t>
      </w:r>
      <w:r w:rsidRPr="00922710">
        <w:rPr>
          <w:rFonts w:ascii="Palatino Linotype" w:eastAsia="Palatino Linotype" w:hAnsi="Palatino Linotype" w:cs="Palatino Linotype"/>
          <w:i/>
          <w:sz w:val="22"/>
          <w:szCs w:val="22"/>
        </w:rPr>
        <w:t>Las que por disposición expresa de una ley tengan tal carácter, siempre que sean acordes con las bases, principios y disposiciones establecidos en esta Ley y no la contravengan; así como las previstas en tratados internacionales.</w:t>
      </w:r>
    </w:p>
    <w:p w14:paraId="60282071"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i/>
          <w:sz w:val="22"/>
          <w:szCs w:val="22"/>
        </w:rPr>
        <w:t>(…)</w:t>
      </w:r>
    </w:p>
    <w:p w14:paraId="7E7180B7"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Artículo 143. </w:t>
      </w:r>
      <w:r w:rsidRPr="00922710">
        <w:rPr>
          <w:rFonts w:ascii="Palatino Linotype" w:eastAsia="Palatino Linotype" w:hAnsi="Palatino Linotype" w:cs="Palatino Linotype"/>
          <w:i/>
          <w:sz w:val="22"/>
          <w:szCs w:val="22"/>
        </w:rPr>
        <w:t>Para los efectos de esta Ley se considera información confidencial, la clasificada como tal, de manera permanente, por su naturaleza, cuando:</w:t>
      </w:r>
    </w:p>
    <w:p w14:paraId="6363DB5F"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I. </w:t>
      </w:r>
      <w:r w:rsidRPr="00922710">
        <w:rPr>
          <w:rFonts w:ascii="Palatino Linotype" w:eastAsia="Palatino Linotype" w:hAnsi="Palatino Linotype" w:cs="Palatino Linotype"/>
          <w:i/>
          <w:sz w:val="22"/>
          <w:szCs w:val="22"/>
        </w:rPr>
        <w:t>Se refiera a la información privada y los datos personales concernientes a una persona física o jurídico colectiva identificada o identificable;</w:t>
      </w:r>
    </w:p>
    <w:p w14:paraId="08E3C520"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II. </w:t>
      </w:r>
      <w:r w:rsidRPr="00922710">
        <w:rPr>
          <w:rFonts w:ascii="Palatino Linotype" w:eastAsia="Palatino Linotype" w:hAnsi="Palatino Linotype" w:cs="Palatino Linotype"/>
          <w:i/>
          <w:sz w:val="22"/>
          <w:szCs w:val="22"/>
        </w:rPr>
        <w:t>Los secretos bancario, fiduciario, industrial, comercial, fiscal, bursátil y postal, cuya titularidad corresponda a particulares, sujetos de derecho internacional o a sujetos obligados cuando no involucren el ejercicio de recursos públicos; y</w:t>
      </w:r>
    </w:p>
    <w:p w14:paraId="250E0889"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III. </w:t>
      </w:r>
      <w:r w:rsidRPr="00922710">
        <w:rPr>
          <w:rFonts w:ascii="Palatino Linotype" w:eastAsia="Palatino Linotype" w:hAnsi="Palatino Linotype" w:cs="Palatino Linotype"/>
          <w:i/>
          <w:sz w:val="22"/>
          <w:szCs w:val="22"/>
        </w:rPr>
        <w:t>La que presenten los particulares a los sujetos obligados, de conformidad con lo dispuesto por las leyes o los tratados internacionales.</w:t>
      </w:r>
    </w:p>
    <w:p w14:paraId="266A342E"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i/>
          <w:sz w:val="22"/>
          <w:szCs w:val="22"/>
        </w:rPr>
        <w:t>La información confidencial no estará sujeta a temporalidad alguna y sólo podrán tener acceso a ella los titulares de la misma, sus representantes y los servidores públicos facultados para ello.</w:t>
      </w:r>
    </w:p>
    <w:p w14:paraId="53609C54" w14:textId="77777777" w:rsidR="00532AE4" w:rsidRPr="00922710"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i/>
          <w:sz w:val="22"/>
          <w:szCs w:val="22"/>
        </w:rPr>
        <w:t>No se considerará confidencial la información que se encuentre en los registros públicos o en fuentes de acceso público, ni tampoco la que sea considerada por la presente ley como información pública.”</w:t>
      </w:r>
    </w:p>
    <w:p w14:paraId="3C5A37A1" w14:textId="77777777" w:rsidR="00532AE4" w:rsidRPr="00922710" w:rsidRDefault="00532AE4">
      <w:pPr>
        <w:tabs>
          <w:tab w:val="left" w:pos="567"/>
        </w:tabs>
        <w:spacing w:line="276" w:lineRule="auto"/>
        <w:ind w:left="567" w:right="616"/>
        <w:jc w:val="both"/>
        <w:rPr>
          <w:rFonts w:ascii="Palatino Linotype" w:eastAsia="Palatino Linotype" w:hAnsi="Palatino Linotype" w:cs="Palatino Linotype"/>
          <w:i/>
          <w:sz w:val="22"/>
          <w:szCs w:val="22"/>
        </w:rPr>
      </w:pPr>
    </w:p>
    <w:p w14:paraId="6C14F1A7"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De este modo, conforme al artículo 132 de la Ley en la Materia Local, para clasificar la información se debe de atender a lo dispuesto por la normativa y aplicar, de manera estricta, </w:t>
      </w:r>
      <w:r w:rsidRPr="00922710">
        <w:rPr>
          <w:rFonts w:ascii="Palatino Linotype" w:eastAsia="Palatino Linotype" w:hAnsi="Palatino Linotype" w:cs="Palatino Linotype"/>
          <w:sz w:val="22"/>
          <w:szCs w:val="22"/>
        </w:rPr>
        <w:lastRenderedPageBreak/>
        <w:t>las excepciones del derecho de acceso a la información y sólo podrán invocarlas cuando acrediten su procedencia, debiendo clasificar la información en el momento en que:</w:t>
      </w:r>
    </w:p>
    <w:p w14:paraId="7A878F85"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3D99EB43" w14:textId="77777777" w:rsidR="00532AE4" w:rsidRPr="00922710"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Se reciba una solicitud de acceso a la información;</w:t>
      </w:r>
    </w:p>
    <w:p w14:paraId="54E32C40" w14:textId="77777777" w:rsidR="00532AE4" w:rsidRPr="00922710"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Se determine mediante resolución de autoridad competente; y/o</w:t>
      </w:r>
    </w:p>
    <w:p w14:paraId="2A2574F5" w14:textId="77777777" w:rsidR="00532AE4" w:rsidRPr="00922710"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Se generen versiones públicas para dar cumplimiento a las obligaciones de transparencia previstas en la Ley.</w:t>
      </w:r>
    </w:p>
    <w:p w14:paraId="7A04AF72" w14:textId="77777777" w:rsidR="00532AE4" w:rsidRPr="00922710" w:rsidRDefault="00532AE4">
      <w:pPr>
        <w:tabs>
          <w:tab w:val="left" w:pos="851"/>
        </w:tabs>
        <w:spacing w:line="360" w:lineRule="auto"/>
        <w:ind w:left="567"/>
        <w:jc w:val="both"/>
        <w:rPr>
          <w:rFonts w:ascii="Palatino Linotype" w:eastAsia="Palatino Linotype" w:hAnsi="Palatino Linotype" w:cs="Palatino Linotype"/>
          <w:sz w:val="22"/>
          <w:szCs w:val="22"/>
        </w:rPr>
      </w:pPr>
    </w:p>
    <w:p w14:paraId="20CB9D74" w14:textId="77777777" w:rsidR="00532AE4" w:rsidRPr="00922710" w:rsidRDefault="00A76F12">
      <w:pPr>
        <w:spacing w:line="360" w:lineRule="auto"/>
        <w:ind w:right="51"/>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En ese sentido, es de precisar que la clasificación de la información no se da por el simple mandato de la Ley, sino que es necesario que el </w:t>
      </w:r>
      <w:r w:rsidRPr="00922710">
        <w:rPr>
          <w:rFonts w:ascii="Palatino Linotype" w:eastAsia="Palatino Linotype" w:hAnsi="Palatino Linotype" w:cs="Palatino Linotype"/>
          <w:b/>
          <w:sz w:val="22"/>
          <w:szCs w:val="22"/>
        </w:rPr>
        <w:t>Sujeto Obligado,</w:t>
      </w:r>
      <w:r w:rsidRPr="00922710">
        <w:rPr>
          <w:rFonts w:ascii="Palatino Linotype" w:eastAsia="Palatino Linotype" w:hAnsi="Palatino Linotype" w:cs="Palatino Linotype"/>
          <w:sz w:val="22"/>
          <w:szCs w:val="22"/>
        </w:rPr>
        <w:t xml:space="preserve"> cuando clasifique algún documento o información, ya sea todo o en parte, atienda lo dispuesto por la Ley de la materia, siendo que dicha clasificación es un trabajo en conjunto tanto de los Servidores Públicos Habilitados, de las Unidades de Transparencia y del Comité de Transparencia del </w:t>
      </w:r>
      <w:r w:rsidRPr="00922710">
        <w:rPr>
          <w:rFonts w:ascii="Palatino Linotype" w:eastAsia="Palatino Linotype" w:hAnsi="Palatino Linotype" w:cs="Palatino Linotype"/>
          <w:b/>
          <w:sz w:val="22"/>
          <w:szCs w:val="22"/>
        </w:rPr>
        <w:t>Sujeto Obligado</w:t>
      </w:r>
      <w:r w:rsidRPr="00922710">
        <w:rPr>
          <w:rFonts w:ascii="Palatino Linotype" w:eastAsia="Palatino Linotype" w:hAnsi="Palatino Linotype" w:cs="Palatino Linotype"/>
          <w:sz w:val="22"/>
          <w:szCs w:val="22"/>
        </w:rPr>
        <w:t>, teniendo el deber los primeros de ellos de presentar ante la Unidad de Transparencia la propuesta de la clasificación de la información, para que luego esta se presente ante al Comité de Transparencia de así resultar procedente el proyecto de clasificación de la información y que finalmente sea este último quien apruebe, modifique o revoque la misma, como se desprende de los artículos 59 fracción V</w:t>
      </w:r>
      <w:r w:rsidRPr="00922710">
        <w:rPr>
          <w:rFonts w:ascii="Palatino Linotype" w:eastAsia="Palatino Linotype" w:hAnsi="Palatino Linotype" w:cs="Palatino Linotype"/>
          <w:sz w:val="22"/>
          <w:szCs w:val="22"/>
          <w:vertAlign w:val="superscript"/>
        </w:rPr>
        <w:footnoteReference w:id="3"/>
      </w:r>
      <w:r w:rsidRPr="00922710">
        <w:rPr>
          <w:rFonts w:ascii="Palatino Linotype" w:eastAsia="Palatino Linotype" w:hAnsi="Palatino Linotype" w:cs="Palatino Linotype"/>
          <w:sz w:val="22"/>
          <w:szCs w:val="22"/>
        </w:rPr>
        <w:t>, 53 fracción X</w:t>
      </w:r>
      <w:r w:rsidRPr="00922710">
        <w:rPr>
          <w:rFonts w:ascii="Palatino Linotype" w:eastAsia="Palatino Linotype" w:hAnsi="Palatino Linotype" w:cs="Palatino Linotype"/>
          <w:sz w:val="22"/>
          <w:szCs w:val="22"/>
          <w:vertAlign w:val="superscript"/>
        </w:rPr>
        <w:footnoteReference w:id="4"/>
      </w:r>
      <w:r w:rsidRPr="00922710">
        <w:rPr>
          <w:rFonts w:ascii="Palatino Linotype" w:eastAsia="Palatino Linotype" w:hAnsi="Palatino Linotype" w:cs="Palatino Linotype"/>
          <w:sz w:val="22"/>
          <w:szCs w:val="22"/>
        </w:rPr>
        <w:t>, y 49 fracciones II y VIII</w:t>
      </w:r>
      <w:r w:rsidRPr="00922710">
        <w:rPr>
          <w:rFonts w:ascii="Palatino Linotype" w:eastAsia="Palatino Linotype" w:hAnsi="Palatino Linotype" w:cs="Palatino Linotype"/>
          <w:sz w:val="22"/>
          <w:szCs w:val="22"/>
          <w:vertAlign w:val="superscript"/>
        </w:rPr>
        <w:footnoteReference w:id="5"/>
      </w:r>
      <w:r w:rsidRPr="00922710">
        <w:rPr>
          <w:rFonts w:ascii="Palatino Linotype" w:eastAsia="Palatino Linotype" w:hAnsi="Palatino Linotype" w:cs="Palatino Linotype"/>
          <w:sz w:val="22"/>
          <w:szCs w:val="22"/>
        </w:rPr>
        <w:t xml:space="preserve"> de la Ley de Transparencia y Acceso a la Información Pública del Estado de México y Municipios.</w:t>
      </w:r>
    </w:p>
    <w:p w14:paraId="3E643A7D" w14:textId="77777777" w:rsidR="00532AE4" w:rsidRPr="00922710" w:rsidRDefault="00532AE4">
      <w:pPr>
        <w:spacing w:line="360" w:lineRule="auto"/>
        <w:ind w:right="51"/>
        <w:jc w:val="both"/>
        <w:rPr>
          <w:rFonts w:ascii="Palatino Linotype" w:eastAsia="Palatino Linotype" w:hAnsi="Palatino Linotype" w:cs="Palatino Linotype"/>
          <w:sz w:val="22"/>
          <w:szCs w:val="22"/>
        </w:rPr>
      </w:pPr>
    </w:p>
    <w:p w14:paraId="2624B4F7"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Bajo tales consideraciones, este Organismo Garante no omite señalar que, si el </w:t>
      </w:r>
      <w:r w:rsidRPr="00922710">
        <w:rPr>
          <w:rFonts w:ascii="Palatino Linotype" w:eastAsia="Palatino Linotype" w:hAnsi="Palatino Linotype" w:cs="Palatino Linotype"/>
          <w:b/>
          <w:sz w:val="22"/>
          <w:szCs w:val="22"/>
        </w:rPr>
        <w:t>Sujeto Obligado</w:t>
      </w:r>
      <w:r w:rsidRPr="00922710">
        <w:rPr>
          <w:rFonts w:ascii="Palatino Linotype" w:eastAsia="Palatino Linotype" w:hAnsi="Palatino Linotype" w:cs="Palatino Linotype"/>
          <w:sz w:val="22"/>
          <w:szCs w:val="22"/>
        </w:rPr>
        <w:t xml:space="preserve"> advierte que la información solicitada contiene </w:t>
      </w:r>
      <w:r w:rsidRPr="00922710">
        <w:rPr>
          <w:rFonts w:ascii="Palatino Linotype" w:eastAsia="Palatino Linotype" w:hAnsi="Palatino Linotype" w:cs="Palatino Linotype"/>
          <w:b/>
          <w:sz w:val="22"/>
          <w:szCs w:val="22"/>
        </w:rPr>
        <w:t>datos personales</w:t>
      </w:r>
      <w:r w:rsidRPr="00922710">
        <w:rPr>
          <w:rFonts w:ascii="Palatino Linotype" w:eastAsia="Palatino Linotype" w:hAnsi="Palatino Linotype" w:cs="Palatino Linotype"/>
          <w:sz w:val="22"/>
          <w:szCs w:val="22"/>
        </w:rPr>
        <w:t xml:space="preserve"> que sean susceptibles de ser </w:t>
      </w:r>
      <w:r w:rsidRPr="00922710">
        <w:rPr>
          <w:rFonts w:ascii="Palatino Linotype" w:eastAsia="Palatino Linotype" w:hAnsi="Palatino Linotype" w:cs="Palatino Linotype"/>
          <w:b/>
          <w:sz w:val="22"/>
          <w:szCs w:val="22"/>
        </w:rPr>
        <w:t xml:space="preserve">clasificados como confidenciales, </w:t>
      </w:r>
      <w:r w:rsidRPr="00922710">
        <w:rPr>
          <w:rFonts w:ascii="Palatino Linotype" w:eastAsia="Palatino Linotype" w:hAnsi="Palatino Linotype" w:cs="Palatino Linotype"/>
          <w:sz w:val="22"/>
          <w:szCs w:val="22"/>
        </w:rPr>
        <w:t>o, si por otro lado</w:t>
      </w:r>
      <w:r w:rsidRPr="00922710">
        <w:rPr>
          <w:rFonts w:ascii="Palatino Linotype" w:eastAsia="Palatino Linotype" w:hAnsi="Palatino Linotype" w:cs="Palatino Linotype"/>
          <w:b/>
          <w:sz w:val="22"/>
          <w:szCs w:val="22"/>
        </w:rPr>
        <w:t>, por su propia y especial naturaleza,</w:t>
      </w:r>
      <w:r w:rsidRPr="00922710">
        <w:rPr>
          <w:rFonts w:ascii="Palatino Linotype" w:eastAsia="Palatino Linotype" w:hAnsi="Palatino Linotype" w:cs="Palatino Linotype"/>
          <w:sz w:val="22"/>
          <w:szCs w:val="22"/>
        </w:rPr>
        <w:t xml:space="preserve"> encuadra en alguno de los </w:t>
      </w:r>
      <w:r w:rsidRPr="00922710">
        <w:rPr>
          <w:rFonts w:ascii="Palatino Linotype" w:eastAsia="Palatino Linotype" w:hAnsi="Palatino Linotype" w:cs="Palatino Linotype"/>
          <w:b/>
          <w:sz w:val="22"/>
          <w:szCs w:val="22"/>
        </w:rPr>
        <w:t>supuestos de reserva o de confidencialidad en su totalidad</w:t>
      </w:r>
      <w:r w:rsidRPr="00922710">
        <w:rPr>
          <w:rFonts w:ascii="Palatino Linotype" w:eastAsia="Palatino Linotype" w:hAnsi="Palatino Linotype" w:cs="Palatino Linotype"/>
          <w:sz w:val="22"/>
          <w:szCs w:val="22"/>
        </w:rPr>
        <w:t>, deberá emitir, un</w:t>
      </w:r>
      <w:r w:rsidRPr="00922710">
        <w:rPr>
          <w:rFonts w:ascii="Palatino Linotype" w:eastAsia="Palatino Linotype" w:hAnsi="Palatino Linotype" w:cs="Palatino Linotype"/>
          <w:b/>
          <w:sz w:val="22"/>
          <w:szCs w:val="22"/>
        </w:rPr>
        <w:t xml:space="preserve"> Acuerdo de Clasificación </w:t>
      </w:r>
      <w:r w:rsidRPr="00922710">
        <w:rPr>
          <w:rFonts w:ascii="Palatino Linotype" w:eastAsia="Palatino Linotype" w:hAnsi="Palatino Linotype" w:cs="Palatino Linotype"/>
          <w:sz w:val="22"/>
          <w:szCs w:val="22"/>
        </w:rPr>
        <w:t>debidamente fundado y motivado que</w:t>
      </w:r>
      <w:r w:rsidRPr="00922710">
        <w:rPr>
          <w:rFonts w:ascii="Palatino Linotype" w:eastAsia="Palatino Linotype" w:hAnsi="Palatino Linotype" w:cs="Palatino Linotype"/>
          <w:b/>
          <w:sz w:val="22"/>
          <w:szCs w:val="22"/>
        </w:rPr>
        <w:t xml:space="preserve"> sustente la clasificación parcial, a través de la versión pública que emita,</w:t>
      </w:r>
      <w:r w:rsidRPr="00922710">
        <w:rPr>
          <w:rFonts w:ascii="Palatino Linotype" w:eastAsia="Palatino Linotype" w:hAnsi="Palatino Linotype" w:cs="Palatino Linotype"/>
          <w:sz w:val="22"/>
          <w:szCs w:val="22"/>
        </w:rPr>
        <w:t xml:space="preserve"> o bien, la restricción total del derecho de acceso a la información.  </w:t>
      </w:r>
    </w:p>
    <w:p w14:paraId="693F1C41"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352BD01E" w14:textId="77777777" w:rsidR="00532AE4" w:rsidRPr="00922710"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b/>
          <w:sz w:val="22"/>
          <w:szCs w:val="22"/>
        </w:rPr>
        <w:t>De la clasificación parcial de la información.</w:t>
      </w:r>
    </w:p>
    <w:p w14:paraId="6CDBD4F4" w14:textId="77777777" w:rsidR="00532AE4" w:rsidRPr="00922710"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sz w:val="22"/>
          <w:szCs w:val="22"/>
        </w:rPr>
      </w:pPr>
    </w:p>
    <w:p w14:paraId="48858E79"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Respecto de la elaboración de versiones públicas, debe mencionarse que dentro de los datos personales que pudieran contenerse se destacan los datos personales sensibles, los cuales son aquellos referentes de la esfera de su titular cuya utilización indebida pueda dar origen a discriminación o conlleve un riesgo grave para éste. De manera enunciativa más no limitativa, se consideran sensibles los datos personales que puedan revelar aspectos como origen racial o étnico, estado de salud física o mental, presente o futura, información genética, creencias religiosas, filosóficas y morales, opiniones políticas y preferencia sexual, de conformidad con el artículo 4, fracción XII de la Ley de Protección de Datos Personales en Posesión de Sujetos Obligados del Estado de México y Municipios.</w:t>
      </w:r>
    </w:p>
    <w:p w14:paraId="46B79F48"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0D667982" w14:textId="77777777" w:rsidR="00532AE4" w:rsidRPr="00922710"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b/>
          <w:sz w:val="22"/>
          <w:szCs w:val="22"/>
        </w:rPr>
      </w:pPr>
      <w:r w:rsidRPr="00922710">
        <w:rPr>
          <w:rFonts w:ascii="Palatino Linotype" w:eastAsia="Palatino Linotype" w:hAnsi="Palatino Linotype" w:cs="Palatino Linotype"/>
          <w:b/>
          <w:sz w:val="22"/>
          <w:szCs w:val="22"/>
        </w:rPr>
        <w:t>De la clasificación de información como reservada.</w:t>
      </w:r>
    </w:p>
    <w:p w14:paraId="2F50165E" w14:textId="77777777" w:rsidR="00532AE4" w:rsidRPr="00922710" w:rsidRDefault="00532AE4">
      <w:pPr>
        <w:pBdr>
          <w:top w:val="nil"/>
          <w:left w:val="nil"/>
          <w:bottom w:val="nil"/>
          <w:right w:val="nil"/>
          <w:between w:val="nil"/>
        </w:pBdr>
        <w:spacing w:line="360" w:lineRule="auto"/>
        <w:ind w:left="720" w:right="51"/>
        <w:jc w:val="both"/>
        <w:rPr>
          <w:rFonts w:ascii="Palatino Linotype" w:eastAsia="Palatino Linotype" w:hAnsi="Palatino Linotype" w:cs="Palatino Linotype"/>
          <w:b/>
          <w:sz w:val="22"/>
          <w:szCs w:val="22"/>
        </w:rPr>
      </w:pPr>
    </w:p>
    <w:p w14:paraId="2E76D915" w14:textId="77777777" w:rsidR="00532AE4" w:rsidRPr="00922710" w:rsidRDefault="00A76F12">
      <w:pPr>
        <w:spacing w:line="360" w:lineRule="auto"/>
        <w:ind w:right="51"/>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Por cuanto hace a la reserva y ampliación del plazo de reserva de la información, para motivar la clasificación se deberán de señalar las razones, motivos o circunstancias especiales que llevaron al </w:t>
      </w:r>
      <w:r w:rsidRPr="00922710">
        <w:rPr>
          <w:rFonts w:ascii="Palatino Linotype" w:eastAsia="Palatino Linotype" w:hAnsi="Palatino Linotype" w:cs="Palatino Linotype"/>
          <w:b/>
          <w:sz w:val="22"/>
          <w:szCs w:val="22"/>
        </w:rPr>
        <w:t>Sujeto Obligado</w:t>
      </w:r>
      <w:r w:rsidRPr="00922710">
        <w:rPr>
          <w:rFonts w:ascii="Palatino Linotype" w:eastAsia="Palatino Linotype" w:hAnsi="Palatino Linotype" w:cs="Palatino Linotype"/>
          <w:sz w:val="22"/>
          <w:szCs w:val="22"/>
        </w:rPr>
        <w:t xml:space="preserve"> a concluir que, el caso particular se ajusta al </w:t>
      </w:r>
      <w:r w:rsidRPr="00922710">
        <w:rPr>
          <w:rFonts w:ascii="Palatino Linotype" w:eastAsia="Palatino Linotype" w:hAnsi="Palatino Linotype" w:cs="Palatino Linotype"/>
          <w:sz w:val="22"/>
          <w:szCs w:val="22"/>
        </w:rPr>
        <w:lastRenderedPageBreak/>
        <w:t>supuesto previsto por la norma legal invocada como fundamento; siendo que, además, en todo momento, se debe aplicar una prueba de daño, entendida esta como la responsabilidad de los Sujetos Obligados de demostrar, de manera fundada y motivada, que la divulgación de la información lesiona el interés debidamente protegido por la Ley y que el menoscabo o daño que puede producirse con la publicidad de la información, es mayor que el interés de conocerla; debiendo clasificarse como reservada.</w:t>
      </w:r>
    </w:p>
    <w:p w14:paraId="2072D8AB" w14:textId="77777777" w:rsidR="00532AE4" w:rsidRPr="00922710" w:rsidRDefault="00532AE4">
      <w:pPr>
        <w:spacing w:line="360" w:lineRule="auto"/>
        <w:ind w:right="51"/>
        <w:jc w:val="both"/>
        <w:rPr>
          <w:rFonts w:ascii="Palatino Linotype" w:eastAsia="Palatino Linotype" w:hAnsi="Palatino Linotype" w:cs="Palatino Linotype"/>
          <w:sz w:val="22"/>
          <w:szCs w:val="22"/>
        </w:rPr>
      </w:pPr>
    </w:p>
    <w:p w14:paraId="70EECA05"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En otras palabras, para la clasificación de la información como reservada se deben establecer, de manera fundada y motivada, las hipótesis normativas aplicables al caso concreto y se analice la prueba de daño, misma que se encuentra prevista en el artículo 129 de la Ley de Transparencia y Acceso a la Información pública del Estado de México y Municipios, para lo cual, los Sujetos Obligados deberán considerar que: </w:t>
      </w:r>
    </w:p>
    <w:p w14:paraId="13C920F9"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2602AD60" w14:textId="77777777" w:rsidR="00532AE4" w:rsidRPr="00922710"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La divulgación de la información representa un </w:t>
      </w:r>
      <w:r w:rsidRPr="00922710">
        <w:rPr>
          <w:rFonts w:ascii="Palatino Linotype" w:eastAsia="Palatino Linotype" w:hAnsi="Palatino Linotype" w:cs="Palatino Linotype"/>
          <w:b/>
          <w:sz w:val="22"/>
          <w:szCs w:val="22"/>
        </w:rPr>
        <w:t>riesgo real, demostrable e identificable del perjuicio significativo al interés público o a la seguridad pública</w:t>
      </w:r>
      <w:r w:rsidRPr="00922710">
        <w:rPr>
          <w:rFonts w:ascii="Palatino Linotype" w:eastAsia="Palatino Linotype" w:hAnsi="Palatino Linotype" w:cs="Palatino Linotype"/>
          <w:sz w:val="22"/>
          <w:szCs w:val="22"/>
        </w:rPr>
        <w:t>;</w:t>
      </w:r>
    </w:p>
    <w:p w14:paraId="4FC20933" w14:textId="77777777" w:rsidR="00532AE4" w:rsidRPr="00922710"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El riesgo de perjuicio que supondría la divulgación supera el interés público general de que se difunda; y,</w:t>
      </w:r>
    </w:p>
    <w:p w14:paraId="61E7D4BF" w14:textId="77777777" w:rsidR="00532AE4" w:rsidRPr="00922710"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La limitación se adecua al principio de proporcionalidad y representa el medio menos restrictivo disponible para evitar el perjuicio. </w:t>
      </w:r>
    </w:p>
    <w:p w14:paraId="15D9A0D2" w14:textId="77777777" w:rsidR="00532AE4" w:rsidRPr="00922710" w:rsidRDefault="00532AE4">
      <w:pPr>
        <w:tabs>
          <w:tab w:val="left" w:pos="851"/>
        </w:tabs>
        <w:spacing w:line="360" w:lineRule="auto"/>
        <w:ind w:left="568"/>
        <w:jc w:val="both"/>
        <w:rPr>
          <w:rFonts w:ascii="Palatino Linotype" w:eastAsia="Palatino Linotype" w:hAnsi="Palatino Linotype" w:cs="Palatino Linotype"/>
          <w:sz w:val="22"/>
          <w:szCs w:val="22"/>
        </w:rPr>
      </w:pPr>
    </w:p>
    <w:p w14:paraId="58FB4E50"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Siendo pertinente aclarar que, la información que se clasifica bajo la premisa de reservada, </w:t>
      </w:r>
      <w:r w:rsidRPr="00922710">
        <w:rPr>
          <w:rFonts w:ascii="Palatino Linotype" w:eastAsia="Palatino Linotype" w:hAnsi="Palatino Linotype" w:cs="Palatino Linotype"/>
          <w:b/>
          <w:sz w:val="22"/>
          <w:szCs w:val="22"/>
        </w:rPr>
        <w:t>no pierde el carácter de pública</w:t>
      </w:r>
      <w:r w:rsidRPr="00922710">
        <w:rPr>
          <w:rFonts w:ascii="Palatino Linotype" w:eastAsia="Palatino Linotype" w:hAnsi="Palatino Linotype" w:cs="Palatino Linotype"/>
          <w:sz w:val="22"/>
          <w:szCs w:val="22"/>
        </w:rPr>
        <w:t xml:space="preserve">, sino que </w:t>
      </w:r>
      <w:r w:rsidRPr="00922710">
        <w:rPr>
          <w:rFonts w:ascii="Palatino Linotype" w:eastAsia="Palatino Linotype" w:hAnsi="Palatino Linotype" w:cs="Palatino Linotype"/>
          <w:b/>
          <w:sz w:val="22"/>
          <w:szCs w:val="22"/>
        </w:rPr>
        <w:t>se reserva temporalmente</w:t>
      </w:r>
      <w:r w:rsidRPr="00922710">
        <w:rPr>
          <w:rFonts w:ascii="Palatino Linotype" w:eastAsia="Palatino Linotype" w:hAnsi="Palatino Linotype" w:cs="Palatino Linotype"/>
          <w:sz w:val="22"/>
          <w:szCs w:val="22"/>
        </w:rPr>
        <w:t xml:space="preserve"> </w:t>
      </w:r>
      <w:r w:rsidRPr="00922710">
        <w:rPr>
          <w:rFonts w:ascii="Palatino Linotype" w:eastAsia="Palatino Linotype" w:hAnsi="Palatino Linotype" w:cs="Palatino Linotype"/>
          <w:b/>
          <w:sz w:val="22"/>
          <w:szCs w:val="22"/>
        </w:rPr>
        <w:t>del conocimiento público</w:t>
      </w:r>
      <w:r w:rsidRPr="00922710">
        <w:rPr>
          <w:rFonts w:ascii="Palatino Linotype" w:eastAsia="Palatino Linotype" w:hAnsi="Palatino Linotype" w:cs="Palatino Linotype"/>
          <w:sz w:val="22"/>
          <w:szCs w:val="22"/>
        </w:rPr>
        <w:t xml:space="preserve">, es decir, que, </w:t>
      </w:r>
      <w:r w:rsidRPr="00922710">
        <w:rPr>
          <w:rFonts w:ascii="Palatino Linotype" w:eastAsia="Palatino Linotype" w:hAnsi="Palatino Linotype" w:cs="Palatino Linotype"/>
          <w:b/>
          <w:sz w:val="22"/>
          <w:szCs w:val="22"/>
        </w:rPr>
        <w:t>por un tiempo determinado</w:t>
      </w:r>
      <w:r w:rsidRPr="00922710">
        <w:rPr>
          <w:rFonts w:ascii="Palatino Linotype" w:eastAsia="Palatino Linotype" w:hAnsi="Palatino Linotype" w:cs="Palatino Linotype"/>
          <w:sz w:val="22"/>
          <w:szCs w:val="22"/>
        </w:rPr>
        <w:t>, se conservará y custodiará la información de manera especial, y una vez transcurrido el plazo de reserva, el documento podrá divulgarse.</w:t>
      </w:r>
    </w:p>
    <w:p w14:paraId="3BF82B7A"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3AA8CE0C"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lastRenderedPageBreak/>
        <w:t xml:space="preserve">De tal manera, las limitaciones al acceso a la información deben sustentarse en una adecuada clasificación que debe distinguir y tomar en cuenta qué información puede generar un daño desproporcionado o innecesario a valores jurídicamente protegidos. </w:t>
      </w:r>
    </w:p>
    <w:p w14:paraId="78F57D52"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7CD5A042" w14:textId="77777777" w:rsidR="00532AE4" w:rsidRPr="00922710" w:rsidRDefault="00A76F12">
      <w:pPr>
        <w:numPr>
          <w:ilvl w:val="0"/>
          <w:numId w:val="3"/>
        </w:numPr>
        <w:pBdr>
          <w:top w:val="nil"/>
          <w:left w:val="nil"/>
          <w:bottom w:val="nil"/>
          <w:right w:val="nil"/>
          <w:between w:val="nil"/>
        </w:pBdr>
        <w:tabs>
          <w:tab w:val="left" w:pos="709"/>
        </w:tabs>
        <w:spacing w:line="360" w:lineRule="auto"/>
        <w:jc w:val="both"/>
        <w:rPr>
          <w:rFonts w:ascii="Palatino Linotype" w:eastAsia="Palatino Linotype" w:hAnsi="Palatino Linotype" w:cs="Palatino Linotype"/>
          <w:b/>
          <w:sz w:val="22"/>
          <w:szCs w:val="22"/>
        </w:rPr>
      </w:pPr>
      <w:r w:rsidRPr="00922710">
        <w:rPr>
          <w:rFonts w:ascii="Palatino Linotype" w:eastAsia="Palatino Linotype" w:hAnsi="Palatino Linotype" w:cs="Palatino Linotype"/>
          <w:b/>
          <w:sz w:val="22"/>
          <w:szCs w:val="22"/>
        </w:rPr>
        <w:t>De la clasificación de la información como totalmente confidencial.</w:t>
      </w:r>
    </w:p>
    <w:p w14:paraId="2A71EC5A" w14:textId="77777777" w:rsidR="00532AE4" w:rsidRPr="00922710" w:rsidRDefault="00532AE4">
      <w:pPr>
        <w:pBdr>
          <w:top w:val="nil"/>
          <w:left w:val="nil"/>
          <w:bottom w:val="nil"/>
          <w:right w:val="nil"/>
          <w:between w:val="nil"/>
        </w:pBdr>
        <w:tabs>
          <w:tab w:val="left" w:pos="709"/>
        </w:tabs>
        <w:spacing w:line="360" w:lineRule="auto"/>
        <w:ind w:left="720"/>
        <w:jc w:val="both"/>
        <w:rPr>
          <w:rFonts w:ascii="Palatino Linotype" w:eastAsia="Palatino Linotype" w:hAnsi="Palatino Linotype" w:cs="Palatino Linotype"/>
          <w:b/>
          <w:sz w:val="22"/>
          <w:szCs w:val="22"/>
        </w:rPr>
      </w:pPr>
    </w:p>
    <w:p w14:paraId="6F851395" w14:textId="77777777" w:rsidR="00532AE4" w:rsidRPr="00922710" w:rsidRDefault="00A76F12">
      <w:pPr>
        <w:tabs>
          <w:tab w:val="left" w:pos="709"/>
        </w:tabs>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Por cuanto hace a los documentos que por su propia y especial naturaleza sean de carácter privado, encuadran en el supuesto de información confidencial en su totalidad, bajo la premisa de que el derecho de acceso a la información pública tiene como limitante el respeto a la intimidad y a la vida privada de las personas, es por ello que este Instituto debe cuidar que los datos personales que obren en poder de los Sujetos Obligados estén protegidos, quienes deberán adoptar las medidas de seguridad administrativa, física y técnica necesarias para garantizar la integridad, confidencialidad y disponibilidad de los datos personales, considerando además, que conforme al principio de finalidad todo tratamiento de datos personales que efectúen los Sujetos Obligados deberá estar justificado en la Ley, lo anterior en términos de lo dispuesto por los artículos 6, 22, 38 y 43, de la Ley de Protección de Datos Personales en Posesión de los Sujetos Obligados del Estado de México y Municipios.</w:t>
      </w:r>
    </w:p>
    <w:p w14:paraId="5F4D21A1" w14:textId="77777777" w:rsidR="00532AE4" w:rsidRPr="00922710" w:rsidRDefault="00532AE4">
      <w:pPr>
        <w:tabs>
          <w:tab w:val="left" w:pos="709"/>
        </w:tabs>
        <w:spacing w:line="360" w:lineRule="auto"/>
        <w:jc w:val="both"/>
        <w:rPr>
          <w:rFonts w:ascii="Palatino Linotype" w:eastAsia="Palatino Linotype" w:hAnsi="Palatino Linotype" w:cs="Palatino Linotype"/>
          <w:sz w:val="22"/>
          <w:szCs w:val="22"/>
        </w:rPr>
      </w:pPr>
    </w:p>
    <w:p w14:paraId="2D1009E9" w14:textId="77777777" w:rsidR="00532AE4" w:rsidRPr="00922710" w:rsidRDefault="00A76F12">
      <w:pPr>
        <w:spacing w:line="360" w:lineRule="auto"/>
        <w:ind w:right="51"/>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Asimismo, no obsta mencionar que el Acuerdo del Comité de Transparencia mediante el cual se clasifique la información como reservada o confidencial, de manera total o parcial debe emitirse siguiendo las formalidades previstas en la Ley de Transparencia y Acceso a la Información Pública del Estado de México y en los Lineamientos Generales en Materia de Clasificación y Desclasificación de la Información, así como para la Elaboración de </w:t>
      </w:r>
      <w:r w:rsidRPr="00922710">
        <w:rPr>
          <w:rFonts w:ascii="Palatino Linotype" w:eastAsia="Palatino Linotype" w:hAnsi="Palatino Linotype" w:cs="Palatino Linotype"/>
          <w:sz w:val="22"/>
          <w:szCs w:val="22"/>
        </w:rPr>
        <w:lastRenderedPageBreak/>
        <w:t>Versiones Públicas</w:t>
      </w:r>
      <w:r w:rsidRPr="00922710">
        <w:rPr>
          <w:rFonts w:ascii="Palatino Linotype" w:eastAsia="Palatino Linotype" w:hAnsi="Palatino Linotype" w:cs="Palatino Linotype"/>
          <w:sz w:val="22"/>
          <w:szCs w:val="22"/>
          <w:vertAlign w:val="superscript"/>
        </w:rPr>
        <w:footnoteReference w:id="6"/>
      </w:r>
      <w:r w:rsidRPr="00922710">
        <w:rPr>
          <w:rFonts w:ascii="Palatino Linotype" w:eastAsia="Palatino Linotype" w:hAnsi="Palatino Linotype" w:cs="Palatino Linotype"/>
          <w:sz w:val="22"/>
          <w:szCs w:val="22"/>
        </w:rPr>
        <w:t>, de igual forma en dicho acuerdo se deben exponer de manera clara los fundamentos y razones que llevaron a la autoridad a clasificar la información, de lo contrario, implica dejar al solicitante en estado de incertidumbre, al no conocer o comprender las razones por las que se clasifica la documentación respectiva, es decir, si no se exponen de manera puntual las razones, de ello se estaría violentando el Derecho de Acceso a la Información del solicitante.</w:t>
      </w:r>
    </w:p>
    <w:p w14:paraId="5B59031D" w14:textId="77777777" w:rsidR="00532AE4" w:rsidRPr="00922710" w:rsidRDefault="00532AE4">
      <w:pPr>
        <w:spacing w:line="360" w:lineRule="auto"/>
        <w:ind w:right="51"/>
        <w:jc w:val="both"/>
        <w:rPr>
          <w:rFonts w:ascii="Palatino Linotype" w:eastAsia="Palatino Linotype" w:hAnsi="Palatino Linotype" w:cs="Palatino Linotype"/>
          <w:sz w:val="22"/>
          <w:szCs w:val="22"/>
        </w:rPr>
      </w:pPr>
    </w:p>
    <w:p w14:paraId="00D956B7" w14:textId="77777777" w:rsidR="00532AE4" w:rsidRPr="00922710"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b/>
          <w:sz w:val="22"/>
          <w:szCs w:val="22"/>
        </w:rPr>
        <w:t>De la declaratoria de inexistencia de la información</w:t>
      </w:r>
      <w:r w:rsidRPr="00922710">
        <w:rPr>
          <w:rFonts w:ascii="Palatino Linotype" w:eastAsia="Palatino Linotype" w:hAnsi="Palatino Linotype" w:cs="Palatino Linotype"/>
          <w:sz w:val="22"/>
          <w:szCs w:val="22"/>
        </w:rPr>
        <w:t>.</w:t>
      </w:r>
    </w:p>
    <w:p w14:paraId="2CE06287" w14:textId="77777777" w:rsidR="00532AE4" w:rsidRPr="00922710" w:rsidRDefault="00532AE4">
      <w:pPr>
        <w:spacing w:line="360" w:lineRule="auto"/>
        <w:ind w:right="51"/>
        <w:jc w:val="both"/>
        <w:rPr>
          <w:rFonts w:ascii="Palatino Linotype" w:eastAsia="Palatino Linotype" w:hAnsi="Palatino Linotype" w:cs="Palatino Linotype"/>
          <w:sz w:val="22"/>
          <w:szCs w:val="22"/>
        </w:rPr>
      </w:pPr>
    </w:p>
    <w:p w14:paraId="3730A9CA"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Por otro lado, estima prudente señalar al </w:t>
      </w:r>
      <w:r w:rsidRPr="00922710">
        <w:rPr>
          <w:rFonts w:ascii="Palatino Linotype" w:eastAsia="Palatino Linotype" w:hAnsi="Palatino Linotype" w:cs="Palatino Linotype"/>
          <w:b/>
          <w:sz w:val="22"/>
          <w:szCs w:val="22"/>
        </w:rPr>
        <w:t>Sujeto Obligado</w:t>
      </w:r>
      <w:r w:rsidRPr="00922710">
        <w:rPr>
          <w:rFonts w:ascii="Palatino Linotype" w:eastAsia="Palatino Linotype" w:hAnsi="Palatino Linotype" w:cs="Palatino Linotype"/>
          <w:sz w:val="22"/>
          <w:szCs w:val="22"/>
        </w:rPr>
        <w:t xml:space="preserve"> que, en caso de que la información solicitada, debiera obrar en sus archivos y no cuente con ella, deberá entregar el Acuerdo del Comité de Transparencia, en donde conste la declaratoria de inexistencia de la misma.</w:t>
      </w:r>
    </w:p>
    <w:p w14:paraId="60EE7A11"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37CDD1DE"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Siendo importante resaltar que los artículos 18 y 19 de la Ley de Transparencia y Acceso a la Información Pública del Estado de México y Municipios establecen que los Sujetos Obligados deben documentar todo acto que derive del ejercicio de sus facultades, competencias o funciones y que se presume que la información debe existir si se refiere a dichas facultades, competencias y/o funciones.</w:t>
      </w:r>
    </w:p>
    <w:p w14:paraId="6DF8F681"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0315B04C"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En tal caso, la declaratoria a que se ha hecho referencia deberá realizarse, conforme a lo dispuesto en los artículos 49, fracciones II y XIII, 169 y 170 de la Ley de Transparencia y Acceso a la Información Pública del Estado de México y Municipios, que establecen la forma en que los Sujetos Obligados deben dar curso a las Declaratorias de Inexistencia.</w:t>
      </w:r>
    </w:p>
    <w:p w14:paraId="721909C8"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45992403"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Resulta aplicable el criterio de interpretación en el orden administrativo número 0008-19 emitido por Acuerdo del Pleno del Instituto de Transparencia y Acceso a la Información Pública del Estado de México y Municipios, que a la letra dice:</w:t>
      </w:r>
    </w:p>
    <w:p w14:paraId="1F07564B"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77862E7E" w14:textId="77777777" w:rsidR="00532AE4" w:rsidRPr="00922710" w:rsidRDefault="00A76F12">
      <w:pPr>
        <w:spacing w:line="276" w:lineRule="auto"/>
        <w:ind w:left="567" w:right="902"/>
        <w:jc w:val="both"/>
        <w:rPr>
          <w:rFonts w:ascii="Palatino Linotype" w:eastAsia="Palatino Linotype" w:hAnsi="Palatino Linotype" w:cs="Palatino Linotype"/>
          <w:i/>
          <w:sz w:val="22"/>
          <w:szCs w:val="22"/>
        </w:rPr>
      </w:pPr>
      <w:r w:rsidRPr="00922710">
        <w:rPr>
          <w:rFonts w:ascii="Palatino Linotype" w:eastAsia="Palatino Linotype" w:hAnsi="Palatino Linotype" w:cs="Palatino Linotype"/>
          <w:b/>
          <w:i/>
          <w:sz w:val="22"/>
          <w:szCs w:val="22"/>
        </w:rPr>
        <w:t xml:space="preserve">“INEXISTENCIA DE LA INFORMACIÓN. SUPUESTOS PARA EMITIR LA RESOLUCIÓN DE LA. </w:t>
      </w:r>
      <w:r w:rsidRPr="00922710">
        <w:rPr>
          <w:rFonts w:ascii="Palatino Linotype" w:eastAsia="Palatino Linotype" w:hAnsi="Palatino Linotype" w:cs="Palatino Linotype"/>
          <w:i/>
          <w:sz w:val="22"/>
          <w:szCs w:val="22"/>
        </w:rPr>
        <w:t>De conformidad con los artículos 19, párrafo tercero y 170 de la Ley de Transparencia y Acceso a la Información Pública del Estado de México y Municipios, el Comité de Transparencia deberá emitir un acuerdo de inexistencia de información debidamente fundado y motivado, para justificar por qué no obra en los archivos del Sujeto Obligado la información que deriva de las facultades, competencias y atribuciones que los ordenamientos jurídicos aplicables le otorgan, la cual debió generar, poseer y administrar. Por tanto, en términos de los numerales previamente citados, el referido acuerdo de inexistencia procede en los siguientes momentos: a) cuando no se generó, poseyó o administró el documento teniendo la obligación conforme a la presunción legal que deriva de las facultades, competencias y atribuciones que los ordenamientos jurídicos aplicables le otorgan; b) que habiendo sido generada, poseída o administrada, por algún motivo ya no se cuenta con la información solicitada; o bien, c) cuando el Sujeto Obligado fue omiso en ejercer una facultad, competencia o atribución inexcusable. Supuestos que, de actualizarse, deberán acreditarse con las exigencias legales contempladas en los numerales 49, fracción II, 169 y 170 de la Ley de Transparencia de la entidad, a través de una resolución del Comité de Transparencia del Sujeto Obligado que confirme la inexistencia de la información, acto jurídico que genera certeza jurídica al particular de que se realizó un criterio de búsqueda exhaustivo y razonable con la debida justificación de la falta de información y en su caso, las consecuencias de ello.”</w:t>
      </w:r>
    </w:p>
    <w:p w14:paraId="71B2A144" w14:textId="77777777" w:rsidR="00532AE4" w:rsidRPr="00922710" w:rsidRDefault="00532AE4">
      <w:pPr>
        <w:spacing w:line="360" w:lineRule="auto"/>
        <w:ind w:left="851" w:right="902"/>
        <w:jc w:val="both"/>
        <w:rPr>
          <w:rFonts w:ascii="Palatino Linotype" w:eastAsia="Palatino Linotype" w:hAnsi="Palatino Linotype" w:cs="Palatino Linotype"/>
          <w:i/>
          <w:sz w:val="22"/>
          <w:szCs w:val="22"/>
        </w:rPr>
      </w:pPr>
    </w:p>
    <w:p w14:paraId="6CE19387"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 xml:space="preserve">En mérito de todo lo expuesto, ante lo </w:t>
      </w:r>
      <w:r w:rsidRPr="00922710">
        <w:rPr>
          <w:rFonts w:ascii="Palatino Linotype" w:eastAsia="Palatino Linotype" w:hAnsi="Palatino Linotype" w:cs="Palatino Linotype"/>
          <w:b/>
          <w:sz w:val="22"/>
          <w:szCs w:val="22"/>
        </w:rPr>
        <w:t>FUNDADO</w:t>
      </w:r>
      <w:r w:rsidRPr="00922710">
        <w:rPr>
          <w:rFonts w:ascii="Palatino Linotype" w:eastAsia="Palatino Linotype" w:hAnsi="Palatino Linotype" w:cs="Palatino Linotype"/>
          <w:sz w:val="22"/>
          <w:szCs w:val="22"/>
        </w:rPr>
        <w:t xml:space="preserve"> de las razones o motivos de inconformidad hechos valer por la parte Recurrente, este Instituto estima que lo dable es </w:t>
      </w:r>
      <w:r w:rsidRPr="00922710">
        <w:rPr>
          <w:rFonts w:ascii="Palatino Linotype" w:eastAsia="Palatino Linotype" w:hAnsi="Palatino Linotype" w:cs="Palatino Linotype"/>
          <w:b/>
          <w:sz w:val="22"/>
          <w:szCs w:val="22"/>
        </w:rPr>
        <w:t>ORDENAR</w:t>
      </w:r>
      <w:r w:rsidRPr="00922710">
        <w:rPr>
          <w:rFonts w:ascii="Palatino Linotype" w:eastAsia="Palatino Linotype" w:hAnsi="Palatino Linotype" w:cs="Palatino Linotype"/>
          <w:sz w:val="22"/>
          <w:szCs w:val="22"/>
        </w:rPr>
        <w:t xml:space="preserve"> al </w:t>
      </w:r>
      <w:r w:rsidRPr="00922710">
        <w:rPr>
          <w:rFonts w:ascii="Palatino Linotype" w:eastAsia="Palatino Linotype" w:hAnsi="Palatino Linotype" w:cs="Palatino Linotype"/>
          <w:b/>
          <w:sz w:val="22"/>
          <w:szCs w:val="22"/>
        </w:rPr>
        <w:t>Sujeto Obligado</w:t>
      </w:r>
      <w:r w:rsidRPr="00922710">
        <w:rPr>
          <w:rFonts w:ascii="Palatino Linotype" w:eastAsia="Palatino Linotype" w:hAnsi="Palatino Linotype" w:cs="Palatino Linotype"/>
          <w:sz w:val="22"/>
          <w:szCs w:val="22"/>
        </w:rPr>
        <w:t xml:space="preserve"> dé respuesta a la solicitud de acceso a la información, atendiendo lo señalado en el presente Considerando.</w:t>
      </w:r>
    </w:p>
    <w:p w14:paraId="24E59C8D"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17B3A677" w14:textId="77777777" w:rsidR="00532AE4" w:rsidRPr="00922710" w:rsidRDefault="00A76F12">
      <w:pPr>
        <w:spacing w:line="360" w:lineRule="auto"/>
        <w:ind w:right="49"/>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sz w:val="22"/>
          <w:szCs w:val="22"/>
        </w:rPr>
        <w:t>Finalmente, es de señalar que, como ya se mencionó el</w:t>
      </w:r>
      <w:r w:rsidRPr="00922710">
        <w:rPr>
          <w:rFonts w:ascii="Palatino Linotype" w:eastAsia="Palatino Linotype" w:hAnsi="Palatino Linotype" w:cs="Palatino Linotype"/>
          <w:b/>
          <w:sz w:val="22"/>
          <w:szCs w:val="22"/>
        </w:rPr>
        <w:t xml:space="preserve"> Sujeto Obligado</w:t>
      </w:r>
      <w:r w:rsidRPr="00922710">
        <w:rPr>
          <w:rFonts w:ascii="Palatino Linotype" w:eastAsia="Palatino Linotype" w:hAnsi="Palatino Linotype" w:cs="Palatino Linotype"/>
          <w:sz w:val="22"/>
          <w:szCs w:val="22"/>
        </w:rPr>
        <w:t>, omitió proporcionar la respuesta a la solicitud de acceso a la información pública, en el término contemplado en el ya citado artículo 163 de la Ley de la materia, razón por la que se ordena dar vista</w:t>
      </w:r>
      <w:r w:rsidRPr="00922710">
        <w:rPr>
          <w:rFonts w:ascii="Palatino Linotype" w:eastAsia="Palatino Linotype" w:hAnsi="Palatino Linotype" w:cs="Palatino Linotype"/>
          <w:b/>
          <w:sz w:val="22"/>
          <w:szCs w:val="22"/>
        </w:rPr>
        <w:t xml:space="preserve"> </w:t>
      </w:r>
      <w:r w:rsidRPr="00922710">
        <w:rPr>
          <w:rFonts w:ascii="Palatino Linotype" w:eastAsia="Palatino Linotype" w:hAnsi="Palatino Linotype" w:cs="Palatino Linotype"/>
          <w:sz w:val="22"/>
          <w:szCs w:val="22"/>
        </w:rPr>
        <w:t>a la Secretaría Técnica del Pleno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w:t>
      </w:r>
    </w:p>
    <w:p w14:paraId="6205E384" w14:textId="77777777" w:rsidR="00532AE4" w:rsidRPr="00922710" w:rsidRDefault="00532AE4">
      <w:pPr>
        <w:spacing w:line="360" w:lineRule="auto"/>
        <w:ind w:right="49"/>
        <w:jc w:val="both"/>
        <w:rPr>
          <w:rFonts w:ascii="Palatino Linotype" w:eastAsia="Palatino Linotype" w:hAnsi="Palatino Linotype" w:cs="Palatino Linotype"/>
          <w:sz w:val="22"/>
          <w:szCs w:val="22"/>
        </w:rPr>
      </w:pPr>
    </w:p>
    <w:p w14:paraId="16F63950" w14:textId="03C7805D" w:rsidR="00532AE4" w:rsidRPr="00922710" w:rsidRDefault="00A76F12">
      <w:pPr>
        <w:spacing w:line="360" w:lineRule="auto"/>
        <w:jc w:val="both"/>
        <w:rPr>
          <w:rFonts w:ascii="Palatino Linotype" w:eastAsia="Palatino Linotype" w:hAnsi="Palatino Linotype" w:cs="Palatino Linotype"/>
          <w:sz w:val="22"/>
          <w:szCs w:val="22"/>
        </w:rPr>
      </w:pPr>
      <w:bookmarkStart w:id="1" w:name="_heading=h.ufldlg1z5cqe" w:colFirst="0" w:colLast="0"/>
      <w:bookmarkEnd w:id="1"/>
      <w:r w:rsidRPr="00922710">
        <w:rPr>
          <w:rFonts w:ascii="Palatino Linotype" w:eastAsia="Palatino Linotype" w:hAnsi="Palatino Linotype" w:cs="Palatino Linotype"/>
          <w:sz w:val="22"/>
          <w:szCs w:val="22"/>
        </w:rPr>
        <w:t xml:space="preserve">Así, con fundamento en lo prescrito en los artículos </w:t>
      </w:r>
      <w:r w:rsidR="009100C5" w:rsidRPr="00922710">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922710">
        <w:rPr>
          <w:rFonts w:ascii="Palatino Linotype" w:eastAsia="Palatino Linotype" w:hAnsi="Palatino Linotype" w:cs="Palatino Linotype"/>
          <w:sz w:val="22"/>
          <w:szCs w:val="22"/>
        </w:rPr>
        <w:t>; 2, fracción II; 29, 36 fracciones I y II; 176, 178, 181, 185, fracción I, 186 y 188 de la Ley de Transparencia y Acceso a la Información Pública del Estado de México y Municipios, este Pleno:</w:t>
      </w:r>
    </w:p>
    <w:p w14:paraId="7F017D49" w14:textId="77777777" w:rsidR="00532AE4" w:rsidRPr="00922710" w:rsidRDefault="00532AE4">
      <w:pPr>
        <w:pBdr>
          <w:top w:val="nil"/>
          <w:left w:val="nil"/>
          <w:bottom w:val="nil"/>
          <w:right w:val="nil"/>
          <w:between w:val="nil"/>
        </w:pBdr>
        <w:spacing w:line="360" w:lineRule="auto"/>
        <w:rPr>
          <w:rFonts w:ascii="Palatino Linotype" w:eastAsia="Palatino Linotype" w:hAnsi="Palatino Linotype" w:cs="Palatino Linotype"/>
          <w:b/>
          <w:sz w:val="22"/>
          <w:szCs w:val="22"/>
        </w:rPr>
      </w:pPr>
    </w:p>
    <w:p w14:paraId="773067CE" w14:textId="77777777" w:rsidR="00532AE4" w:rsidRPr="00922710" w:rsidRDefault="00A76F12">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r w:rsidRPr="00922710">
        <w:rPr>
          <w:rFonts w:ascii="Palatino Linotype" w:eastAsia="Palatino Linotype" w:hAnsi="Palatino Linotype" w:cs="Palatino Linotype"/>
          <w:b/>
          <w:sz w:val="22"/>
          <w:szCs w:val="22"/>
        </w:rPr>
        <w:t>III. R E S U E L V E</w:t>
      </w:r>
    </w:p>
    <w:p w14:paraId="170B47A5" w14:textId="77777777" w:rsidR="00532AE4" w:rsidRPr="00922710" w:rsidRDefault="00532AE4">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p>
    <w:p w14:paraId="26C83785" w14:textId="77777777" w:rsidR="00532AE4" w:rsidRPr="00922710" w:rsidRDefault="00A76F12">
      <w:pPr>
        <w:spacing w:line="360" w:lineRule="auto"/>
        <w:ind w:right="49"/>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b/>
          <w:sz w:val="22"/>
          <w:szCs w:val="22"/>
        </w:rPr>
        <w:t xml:space="preserve">Primero. </w:t>
      </w:r>
      <w:r w:rsidRPr="00922710">
        <w:rPr>
          <w:rFonts w:ascii="Palatino Linotype" w:eastAsia="Palatino Linotype" w:hAnsi="Palatino Linotype" w:cs="Palatino Linotype"/>
          <w:sz w:val="22"/>
          <w:szCs w:val="22"/>
        </w:rPr>
        <w:t xml:space="preserve">Resultan </w:t>
      </w:r>
      <w:r w:rsidRPr="00922710">
        <w:rPr>
          <w:rFonts w:ascii="Palatino Linotype" w:eastAsia="Palatino Linotype" w:hAnsi="Palatino Linotype" w:cs="Palatino Linotype"/>
          <w:b/>
          <w:sz w:val="22"/>
          <w:szCs w:val="22"/>
        </w:rPr>
        <w:t>FUNDADOS</w:t>
      </w:r>
      <w:r w:rsidRPr="00922710">
        <w:rPr>
          <w:rFonts w:ascii="Palatino Linotype" w:eastAsia="Palatino Linotype" w:hAnsi="Palatino Linotype" w:cs="Palatino Linotype"/>
          <w:sz w:val="22"/>
          <w:szCs w:val="22"/>
        </w:rPr>
        <w:t xml:space="preserve"> los motivos de inconformidad de la parte </w:t>
      </w:r>
      <w:r w:rsidRPr="00922710">
        <w:rPr>
          <w:rFonts w:ascii="Palatino Linotype" w:eastAsia="Palatino Linotype" w:hAnsi="Palatino Linotype" w:cs="Palatino Linotype"/>
          <w:b/>
          <w:sz w:val="22"/>
          <w:szCs w:val="22"/>
        </w:rPr>
        <w:t>Recurrente</w:t>
      </w:r>
      <w:r w:rsidRPr="00922710">
        <w:rPr>
          <w:rFonts w:ascii="Palatino Linotype" w:eastAsia="Palatino Linotype" w:hAnsi="Palatino Linotype" w:cs="Palatino Linotype"/>
          <w:sz w:val="22"/>
          <w:szCs w:val="22"/>
        </w:rPr>
        <w:t xml:space="preserve">, en términos del </w:t>
      </w:r>
      <w:r w:rsidRPr="00922710">
        <w:rPr>
          <w:rFonts w:ascii="Palatino Linotype" w:eastAsia="Palatino Linotype" w:hAnsi="Palatino Linotype" w:cs="Palatino Linotype"/>
          <w:b/>
          <w:sz w:val="22"/>
          <w:szCs w:val="22"/>
        </w:rPr>
        <w:t>Considerando Cuarto</w:t>
      </w:r>
      <w:r w:rsidRPr="00922710">
        <w:rPr>
          <w:rFonts w:ascii="Palatino Linotype" w:eastAsia="Palatino Linotype" w:hAnsi="Palatino Linotype" w:cs="Palatino Linotype"/>
          <w:sz w:val="22"/>
          <w:szCs w:val="22"/>
        </w:rPr>
        <w:t xml:space="preserve"> de la presente resolución.</w:t>
      </w:r>
    </w:p>
    <w:p w14:paraId="6A06B418" w14:textId="77777777" w:rsidR="00532AE4" w:rsidRPr="00922710" w:rsidRDefault="00532AE4">
      <w:pPr>
        <w:spacing w:line="360" w:lineRule="auto"/>
        <w:ind w:right="49"/>
        <w:jc w:val="both"/>
        <w:rPr>
          <w:rFonts w:ascii="Palatino Linotype" w:eastAsia="Palatino Linotype" w:hAnsi="Palatino Linotype" w:cs="Palatino Linotype"/>
          <w:sz w:val="22"/>
          <w:szCs w:val="22"/>
        </w:rPr>
      </w:pPr>
    </w:p>
    <w:p w14:paraId="1E37E133" w14:textId="68D9C71C" w:rsidR="00532AE4" w:rsidRPr="00922710" w:rsidRDefault="00A76F12">
      <w:pPr>
        <w:spacing w:line="360" w:lineRule="auto"/>
        <w:jc w:val="both"/>
        <w:rPr>
          <w:rFonts w:ascii="Palatino Linotype" w:eastAsia="Palatino Linotype" w:hAnsi="Palatino Linotype" w:cs="Palatino Linotype"/>
          <w:sz w:val="22"/>
          <w:szCs w:val="22"/>
        </w:rPr>
      </w:pPr>
      <w:bookmarkStart w:id="2" w:name="_heading=h.3dy6vkm" w:colFirst="0" w:colLast="0"/>
      <w:bookmarkEnd w:id="2"/>
      <w:r w:rsidRPr="00922710">
        <w:rPr>
          <w:rFonts w:ascii="Palatino Linotype" w:eastAsia="Palatino Linotype" w:hAnsi="Palatino Linotype" w:cs="Palatino Linotype"/>
          <w:b/>
          <w:sz w:val="22"/>
          <w:szCs w:val="22"/>
        </w:rPr>
        <w:t>Segundo.</w:t>
      </w:r>
      <w:r w:rsidRPr="00922710">
        <w:rPr>
          <w:rFonts w:ascii="Palatino Linotype" w:eastAsia="Palatino Linotype" w:hAnsi="Palatino Linotype" w:cs="Palatino Linotype"/>
          <w:sz w:val="22"/>
          <w:szCs w:val="22"/>
        </w:rPr>
        <w:t xml:space="preserve"> Se</w:t>
      </w:r>
      <w:r w:rsidRPr="00922710">
        <w:rPr>
          <w:rFonts w:ascii="Palatino Linotype" w:eastAsia="Palatino Linotype" w:hAnsi="Palatino Linotype" w:cs="Palatino Linotype"/>
          <w:b/>
          <w:sz w:val="22"/>
          <w:szCs w:val="22"/>
        </w:rPr>
        <w:t xml:space="preserve"> Ordena </w:t>
      </w:r>
      <w:r w:rsidRPr="00922710">
        <w:rPr>
          <w:rFonts w:ascii="Palatino Linotype" w:eastAsia="Palatino Linotype" w:hAnsi="Palatino Linotype" w:cs="Palatino Linotype"/>
          <w:sz w:val="22"/>
          <w:szCs w:val="22"/>
        </w:rPr>
        <w:t xml:space="preserve">al </w:t>
      </w:r>
      <w:r w:rsidRPr="00922710">
        <w:rPr>
          <w:rFonts w:ascii="Palatino Linotype" w:eastAsia="Palatino Linotype" w:hAnsi="Palatino Linotype" w:cs="Palatino Linotype"/>
          <w:b/>
          <w:sz w:val="22"/>
          <w:szCs w:val="22"/>
        </w:rPr>
        <w:t xml:space="preserve">Sujeto Obligado </w:t>
      </w:r>
      <w:r w:rsidRPr="00922710">
        <w:rPr>
          <w:rFonts w:ascii="Palatino Linotype" w:eastAsia="Palatino Linotype" w:hAnsi="Palatino Linotype" w:cs="Palatino Linotype"/>
          <w:sz w:val="22"/>
          <w:szCs w:val="22"/>
        </w:rPr>
        <w:t xml:space="preserve">dé trámite, vía </w:t>
      </w:r>
      <w:r w:rsidRPr="00922710">
        <w:rPr>
          <w:rFonts w:ascii="Palatino Linotype" w:eastAsia="Palatino Linotype" w:hAnsi="Palatino Linotype" w:cs="Palatino Linotype"/>
          <w:b/>
          <w:sz w:val="22"/>
          <w:szCs w:val="22"/>
        </w:rPr>
        <w:t xml:space="preserve">Sistema de Acceso a la Información Mexiquense </w:t>
      </w:r>
      <w:r w:rsidRPr="00922710">
        <w:rPr>
          <w:rFonts w:ascii="Palatino Linotype" w:eastAsia="Palatino Linotype" w:hAnsi="Palatino Linotype" w:cs="Palatino Linotype"/>
          <w:sz w:val="22"/>
          <w:szCs w:val="22"/>
        </w:rPr>
        <w:t xml:space="preserve">a la solicitud de acceso a la información pública </w:t>
      </w:r>
      <w:r w:rsidR="00A4702B" w:rsidRPr="00922710">
        <w:rPr>
          <w:rFonts w:ascii="Palatino Linotype" w:eastAsia="Palatino Linotype" w:hAnsi="Palatino Linotype" w:cs="Palatino Linotype"/>
          <w:b/>
          <w:sz w:val="22"/>
          <w:szCs w:val="22"/>
        </w:rPr>
        <w:t xml:space="preserve">00137/COCOTIT/IP/2026 </w:t>
      </w:r>
      <w:r w:rsidRPr="00922710">
        <w:rPr>
          <w:rFonts w:ascii="Palatino Linotype" w:eastAsia="Palatino Linotype" w:hAnsi="Palatino Linotype" w:cs="Palatino Linotype"/>
          <w:sz w:val="22"/>
          <w:szCs w:val="22"/>
        </w:rPr>
        <w:t xml:space="preserve">que dio origen al recurso de revisión </w:t>
      </w:r>
      <w:r w:rsidR="00A4702B" w:rsidRPr="00922710">
        <w:rPr>
          <w:rFonts w:ascii="Palatino Linotype" w:eastAsia="Palatino Linotype" w:hAnsi="Palatino Linotype" w:cs="Palatino Linotype"/>
          <w:b/>
          <w:sz w:val="22"/>
          <w:szCs w:val="22"/>
        </w:rPr>
        <w:t>08189</w:t>
      </w:r>
      <w:r w:rsidR="00B737F5" w:rsidRPr="00922710">
        <w:rPr>
          <w:rFonts w:ascii="Palatino Linotype" w:eastAsia="Palatino Linotype" w:hAnsi="Palatino Linotype" w:cs="Palatino Linotype"/>
          <w:b/>
          <w:sz w:val="22"/>
          <w:szCs w:val="22"/>
        </w:rPr>
        <w:t xml:space="preserve">/INFOEM/IP/RR/2026 </w:t>
      </w:r>
      <w:r w:rsidRPr="00922710">
        <w:rPr>
          <w:rFonts w:ascii="Palatino Linotype" w:eastAsia="Palatino Linotype" w:hAnsi="Palatino Linotype" w:cs="Palatino Linotype"/>
          <w:sz w:val="22"/>
          <w:szCs w:val="22"/>
        </w:rPr>
        <w:t xml:space="preserve">en términos del </w:t>
      </w:r>
      <w:r w:rsidRPr="00922710">
        <w:rPr>
          <w:rFonts w:ascii="Palatino Linotype" w:eastAsia="Palatino Linotype" w:hAnsi="Palatino Linotype" w:cs="Palatino Linotype"/>
          <w:b/>
          <w:sz w:val="22"/>
          <w:szCs w:val="22"/>
        </w:rPr>
        <w:t>Considerando Cuarto</w:t>
      </w:r>
      <w:r w:rsidRPr="00922710">
        <w:rPr>
          <w:rFonts w:ascii="Palatino Linotype" w:eastAsia="Palatino Linotype" w:hAnsi="Palatino Linotype" w:cs="Palatino Linotype"/>
          <w:sz w:val="22"/>
          <w:szCs w:val="22"/>
        </w:rPr>
        <w:t xml:space="preserve"> de esta resolución y emita respuesta, debiendo </w:t>
      </w:r>
      <w:r w:rsidRPr="00922710">
        <w:rPr>
          <w:rFonts w:ascii="Palatino Linotype" w:eastAsia="Palatino Linotype" w:hAnsi="Palatino Linotype" w:cs="Palatino Linotype"/>
          <w:sz w:val="22"/>
          <w:szCs w:val="22"/>
        </w:rPr>
        <w:lastRenderedPageBreak/>
        <w:t>observar las excepciones contenidas en la Ley de Transparencia y Acceso a la Información Pública del Estado de México y Municipios.</w:t>
      </w:r>
    </w:p>
    <w:p w14:paraId="60C72B41"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53D352A0" w14:textId="77777777" w:rsidR="00532AE4" w:rsidRPr="00922710" w:rsidRDefault="00A76F12">
      <w:pPr>
        <w:spacing w:line="360" w:lineRule="auto"/>
        <w:ind w:right="49"/>
        <w:jc w:val="both"/>
        <w:rPr>
          <w:rFonts w:ascii="Palatino Linotype" w:eastAsia="Palatino Linotype" w:hAnsi="Palatino Linotype" w:cs="Palatino Linotype"/>
          <w:sz w:val="22"/>
          <w:szCs w:val="22"/>
        </w:rPr>
      </w:pPr>
      <w:bookmarkStart w:id="3" w:name="_heading=h.3znysh7" w:colFirst="0" w:colLast="0"/>
      <w:bookmarkEnd w:id="3"/>
      <w:r w:rsidRPr="00922710">
        <w:rPr>
          <w:rFonts w:ascii="Palatino Linotype" w:eastAsia="Palatino Linotype" w:hAnsi="Palatino Linotype" w:cs="Palatino Linotype"/>
          <w:b/>
          <w:sz w:val="22"/>
          <w:szCs w:val="22"/>
        </w:rPr>
        <w:t>Tercero.</w:t>
      </w:r>
      <w:r w:rsidRPr="00922710">
        <w:rPr>
          <w:rFonts w:ascii="Palatino Linotype" w:eastAsia="Palatino Linotype" w:hAnsi="Palatino Linotype" w:cs="Palatino Linotype"/>
          <w:sz w:val="22"/>
          <w:szCs w:val="22"/>
        </w:rPr>
        <w:t xml:space="preserve"> </w:t>
      </w:r>
      <w:r w:rsidRPr="00922710">
        <w:rPr>
          <w:rFonts w:ascii="Palatino Linotype" w:eastAsia="Palatino Linotype" w:hAnsi="Palatino Linotype" w:cs="Palatino Linotype"/>
          <w:b/>
          <w:sz w:val="22"/>
          <w:szCs w:val="22"/>
        </w:rPr>
        <w:t xml:space="preserve">Notifíquese vía Sistema de Acceso a la Información Mexiquense </w:t>
      </w:r>
      <w:r w:rsidRPr="00922710">
        <w:rPr>
          <w:rFonts w:ascii="Palatino Linotype" w:eastAsia="Palatino Linotype" w:hAnsi="Palatino Linotype" w:cs="Palatino Linotype"/>
          <w:sz w:val="22"/>
          <w:szCs w:val="22"/>
        </w:rPr>
        <w:t>la presente resolución al T</w:t>
      </w:r>
      <w:r w:rsidRPr="00922710">
        <w:rPr>
          <w:rFonts w:ascii="Palatino Linotype" w:eastAsia="Palatino Linotype" w:hAnsi="Palatino Linotype" w:cs="Palatino Linotype"/>
          <w:b/>
          <w:sz w:val="22"/>
          <w:szCs w:val="22"/>
        </w:rPr>
        <w:t xml:space="preserve">itular de la Unidad de Transparencia </w:t>
      </w:r>
      <w:r w:rsidRPr="00922710">
        <w:rPr>
          <w:rFonts w:ascii="Palatino Linotype" w:eastAsia="Palatino Linotype" w:hAnsi="Palatino Linotype" w:cs="Palatino Linotype"/>
          <w:sz w:val="22"/>
          <w:szCs w:val="22"/>
        </w:rPr>
        <w:t xml:space="preserve">del </w:t>
      </w:r>
      <w:r w:rsidRPr="00922710">
        <w:rPr>
          <w:rFonts w:ascii="Palatino Linotype" w:eastAsia="Palatino Linotype" w:hAnsi="Palatino Linotype" w:cs="Palatino Linotype"/>
          <w:b/>
          <w:sz w:val="22"/>
          <w:szCs w:val="22"/>
        </w:rPr>
        <w:t>SUJETO OBLIGADO</w:t>
      </w:r>
      <w:r w:rsidRPr="00922710">
        <w:rPr>
          <w:rFonts w:ascii="Palatino Linotype" w:eastAsia="Palatino Linotype" w:hAnsi="Palatino Linotype" w:cs="Palatino Linotype"/>
          <w:sz w:val="22"/>
          <w:szCs w:val="22"/>
        </w:rPr>
        <w:t>, para que conforme al artículo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6D15A12F" w14:textId="77777777" w:rsidR="00532AE4" w:rsidRPr="00922710" w:rsidRDefault="00532AE4">
      <w:pPr>
        <w:spacing w:line="360" w:lineRule="auto"/>
        <w:ind w:right="49"/>
        <w:jc w:val="both"/>
        <w:rPr>
          <w:rFonts w:ascii="Palatino Linotype" w:eastAsia="Palatino Linotype" w:hAnsi="Palatino Linotype" w:cs="Palatino Linotype"/>
          <w:sz w:val="22"/>
          <w:szCs w:val="22"/>
        </w:rPr>
      </w:pPr>
    </w:p>
    <w:p w14:paraId="71D578D7"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b/>
          <w:sz w:val="22"/>
          <w:szCs w:val="22"/>
        </w:rPr>
        <w:t>Cuarto. Notifíquese</w:t>
      </w:r>
      <w:r w:rsidRPr="00922710">
        <w:rPr>
          <w:rFonts w:ascii="Palatino Linotype" w:eastAsia="Palatino Linotype" w:hAnsi="Palatino Linotype" w:cs="Palatino Linotype"/>
          <w:sz w:val="22"/>
          <w:szCs w:val="22"/>
        </w:rPr>
        <w:t>,</w:t>
      </w:r>
      <w:r w:rsidRPr="00922710">
        <w:rPr>
          <w:rFonts w:ascii="Palatino Linotype" w:eastAsia="Palatino Linotype" w:hAnsi="Palatino Linotype" w:cs="Palatino Linotype"/>
          <w:b/>
          <w:sz w:val="22"/>
          <w:szCs w:val="22"/>
        </w:rPr>
        <w:t xml:space="preserve"> </w:t>
      </w:r>
      <w:r w:rsidRPr="00922710">
        <w:rPr>
          <w:rFonts w:ascii="Palatino Linotype" w:eastAsia="Palatino Linotype" w:hAnsi="Palatino Linotype" w:cs="Palatino Linotype"/>
          <w:sz w:val="22"/>
          <w:szCs w:val="22"/>
        </w:rPr>
        <w:t xml:space="preserve">vía </w:t>
      </w:r>
      <w:r w:rsidRPr="00922710">
        <w:rPr>
          <w:rFonts w:ascii="Palatino Linotype" w:eastAsia="Palatino Linotype" w:hAnsi="Palatino Linotype" w:cs="Palatino Linotype"/>
          <w:b/>
          <w:sz w:val="22"/>
          <w:szCs w:val="22"/>
        </w:rPr>
        <w:t>Sistema de Acceso a la Información Mexiquense</w:t>
      </w:r>
      <w:r w:rsidRPr="00922710">
        <w:rPr>
          <w:rFonts w:ascii="Palatino Linotype" w:eastAsia="Palatino Linotype" w:hAnsi="Palatino Linotype" w:cs="Palatino Linotype"/>
          <w:sz w:val="22"/>
          <w:szCs w:val="22"/>
        </w:rPr>
        <w:t xml:space="preserve">, a la parte </w:t>
      </w:r>
      <w:r w:rsidRPr="00922710">
        <w:rPr>
          <w:rFonts w:ascii="Palatino Linotype" w:eastAsia="Palatino Linotype" w:hAnsi="Palatino Linotype" w:cs="Palatino Linotype"/>
          <w:b/>
          <w:sz w:val="22"/>
          <w:szCs w:val="22"/>
        </w:rPr>
        <w:t xml:space="preserve">Recurrente </w:t>
      </w:r>
      <w:r w:rsidRPr="00922710">
        <w:rPr>
          <w:rFonts w:ascii="Palatino Linotype" w:eastAsia="Palatino Linotype" w:hAnsi="Palatino Linotype" w:cs="Palatino Linotype"/>
          <w:sz w:val="22"/>
          <w:szCs w:val="22"/>
        </w:rPr>
        <w:t>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2589B82F" w14:textId="77777777" w:rsidR="00532AE4" w:rsidRPr="00922710" w:rsidRDefault="00532AE4">
      <w:pPr>
        <w:spacing w:line="360" w:lineRule="auto"/>
        <w:jc w:val="both"/>
        <w:rPr>
          <w:rFonts w:ascii="Palatino Linotype" w:eastAsia="Palatino Linotype" w:hAnsi="Palatino Linotype" w:cs="Palatino Linotype"/>
          <w:sz w:val="22"/>
          <w:szCs w:val="22"/>
        </w:rPr>
      </w:pPr>
    </w:p>
    <w:p w14:paraId="2F6BA217" w14:textId="77777777" w:rsidR="00532AE4" w:rsidRPr="00922710" w:rsidRDefault="00A76F12">
      <w:pPr>
        <w:spacing w:line="360" w:lineRule="auto"/>
        <w:jc w:val="both"/>
        <w:rPr>
          <w:rFonts w:ascii="Palatino Linotype" w:eastAsia="Palatino Linotype" w:hAnsi="Palatino Linotype" w:cs="Palatino Linotype"/>
          <w:sz w:val="22"/>
          <w:szCs w:val="22"/>
        </w:rPr>
      </w:pPr>
      <w:r w:rsidRPr="00922710">
        <w:rPr>
          <w:rFonts w:ascii="Palatino Linotype" w:eastAsia="Palatino Linotype" w:hAnsi="Palatino Linotype" w:cs="Palatino Linotype"/>
          <w:b/>
          <w:sz w:val="22"/>
          <w:szCs w:val="22"/>
        </w:rPr>
        <w:t xml:space="preserve">Quinto. Notifíquese </w:t>
      </w:r>
      <w:r w:rsidRPr="00922710">
        <w:rPr>
          <w:rFonts w:ascii="Palatino Linotype" w:eastAsia="Palatino Linotype" w:hAnsi="Palatino Linotype" w:cs="Palatino Linotype"/>
          <w:sz w:val="22"/>
          <w:szCs w:val="22"/>
        </w:rPr>
        <w:t xml:space="preserve">a la parte </w:t>
      </w:r>
      <w:r w:rsidRPr="00922710">
        <w:rPr>
          <w:rFonts w:ascii="Palatino Linotype" w:eastAsia="Palatino Linotype" w:hAnsi="Palatino Linotype" w:cs="Palatino Linotype"/>
          <w:b/>
          <w:sz w:val="22"/>
          <w:szCs w:val="22"/>
        </w:rPr>
        <w:t xml:space="preserve">Recurrente </w:t>
      </w:r>
      <w:r w:rsidRPr="00922710">
        <w:rPr>
          <w:rFonts w:ascii="Palatino Linotype" w:eastAsia="Palatino Linotype" w:hAnsi="Palatino Linotype" w:cs="Palatino Linotype"/>
          <w:sz w:val="22"/>
          <w:szCs w:val="22"/>
        </w:rPr>
        <w:t xml:space="preserve">que la respuesta que dé el </w:t>
      </w:r>
      <w:r w:rsidRPr="00922710">
        <w:rPr>
          <w:rFonts w:ascii="Palatino Linotype" w:eastAsia="Palatino Linotype" w:hAnsi="Palatino Linotype" w:cs="Palatino Linotype"/>
          <w:b/>
          <w:sz w:val="22"/>
          <w:szCs w:val="22"/>
        </w:rPr>
        <w:t>Sujeto Obligado</w:t>
      </w:r>
      <w:r w:rsidRPr="00922710">
        <w:rPr>
          <w:rFonts w:ascii="Palatino Linotype" w:eastAsia="Palatino Linotype" w:hAnsi="Palatino Linotype" w:cs="Palatino Linotype"/>
          <w:sz w:val="22"/>
          <w:szCs w:val="22"/>
        </w:rPr>
        <w:t xml:space="preserve"> derivada de la presente resolución es susceptible de ser impugnadas nuevamente, mediante recurso de revisión, ante el Instituto, en términos del artículo 179, último párrafo de la Ley de Transparencia y Acceso a la Información Pública del Estado de México y Municipios.</w:t>
      </w:r>
    </w:p>
    <w:p w14:paraId="4F361CFA" w14:textId="77777777" w:rsidR="00532AE4" w:rsidRPr="00922710" w:rsidRDefault="00532AE4">
      <w:pPr>
        <w:spacing w:line="360" w:lineRule="auto"/>
        <w:jc w:val="both"/>
        <w:rPr>
          <w:rFonts w:ascii="Palatino Linotype" w:eastAsia="Palatino Linotype" w:hAnsi="Palatino Linotype" w:cs="Palatino Linotype"/>
          <w:b/>
          <w:sz w:val="22"/>
          <w:szCs w:val="22"/>
        </w:rPr>
      </w:pPr>
    </w:p>
    <w:p w14:paraId="6A028DBE" w14:textId="77777777" w:rsidR="00532AE4" w:rsidRPr="00922710" w:rsidRDefault="00A76F12">
      <w:pPr>
        <w:spacing w:line="360" w:lineRule="auto"/>
        <w:jc w:val="both"/>
        <w:rPr>
          <w:rFonts w:ascii="Palatino Linotype" w:eastAsia="Palatino Linotype" w:hAnsi="Palatino Linotype" w:cs="Palatino Linotype"/>
          <w:b/>
          <w:sz w:val="22"/>
          <w:szCs w:val="22"/>
        </w:rPr>
      </w:pPr>
      <w:r w:rsidRPr="00922710">
        <w:rPr>
          <w:rFonts w:ascii="Palatino Linotype" w:eastAsia="Palatino Linotype" w:hAnsi="Palatino Linotype" w:cs="Palatino Linotype"/>
          <w:b/>
          <w:sz w:val="22"/>
          <w:szCs w:val="22"/>
        </w:rPr>
        <w:lastRenderedPageBreak/>
        <w:t xml:space="preserve">Sexto. Gírese </w:t>
      </w:r>
      <w:r w:rsidRPr="00922710">
        <w:rPr>
          <w:rFonts w:ascii="Palatino Linotype" w:eastAsia="Palatino Linotype" w:hAnsi="Palatino Linotype" w:cs="Palatino Linotype"/>
          <w:sz w:val="22"/>
          <w:szCs w:val="22"/>
        </w:rPr>
        <w:t xml:space="preserve">oficio a la </w:t>
      </w:r>
      <w:r w:rsidRPr="00922710">
        <w:rPr>
          <w:rFonts w:ascii="Palatino Linotype" w:eastAsia="Palatino Linotype" w:hAnsi="Palatino Linotype" w:cs="Palatino Linotype"/>
          <w:b/>
          <w:sz w:val="22"/>
          <w:szCs w:val="22"/>
        </w:rPr>
        <w:t>Secretaría Técnica del Pleno</w:t>
      </w:r>
      <w:r w:rsidRPr="00922710">
        <w:rPr>
          <w:rFonts w:ascii="Palatino Linotype" w:eastAsia="Palatino Linotype" w:hAnsi="Palatino Linotype" w:cs="Palatino Linotype"/>
          <w:sz w:val="22"/>
          <w:szCs w:val="22"/>
        </w:rPr>
        <w:t xml:space="preserve">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 en términos de lo señalado en el Considerando Cuarto</w:t>
      </w:r>
      <w:r w:rsidRPr="00922710">
        <w:rPr>
          <w:rFonts w:ascii="Palatino Linotype" w:eastAsia="Palatino Linotype" w:hAnsi="Palatino Linotype" w:cs="Palatino Linotype"/>
          <w:b/>
          <w:sz w:val="22"/>
          <w:szCs w:val="22"/>
        </w:rPr>
        <w:t xml:space="preserve"> </w:t>
      </w:r>
      <w:r w:rsidRPr="00922710">
        <w:rPr>
          <w:rFonts w:ascii="Palatino Linotype" w:eastAsia="Palatino Linotype" w:hAnsi="Palatino Linotype" w:cs="Palatino Linotype"/>
          <w:sz w:val="22"/>
          <w:szCs w:val="22"/>
        </w:rPr>
        <w:t>de la presente resolución.</w:t>
      </w:r>
      <w:r w:rsidRPr="00922710">
        <w:rPr>
          <w:rFonts w:ascii="Palatino Linotype" w:eastAsia="Palatino Linotype" w:hAnsi="Palatino Linotype" w:cs="Palatino Linotype"/>
          <w:b/>
          <w:sz w:val="22"/>
          <w:szCs w:val="22"/>
        </w:rPr>
        <w:t xml:space="preserve"> </w:t>
      </w:r>
    </w:p>
    <w:p w14:paraId="7F049394" w14:textId="77777777" w:rsidR="00532AE4" w:rsidRPr="00922710" w:rsidRDefault="00532AE4">
      <w:pPr>
        <w:spacing w:line="360" w:lineRule="auto"/>
        <w:jc w:val="both"/>
        <w:rPr>
          <w:rFonts w:ascii="Palatino Linotype" w:eastAsia="Palatino Linotype" w:hAnsi="Palatino Linotype" w:cs="Palatino Linotype"/>
          <w:sz w:val="22"/>
          <w:szCs w:val="22"/>
        </w:rPr>
      </w:pPr>
      <w:bookmarkStart w:id="4" w:name="_heading=h.ibiie51sawl6" w:colFirst="0" w:colLast="0"/>
      <w:bookmarkEnd w:id="4"/>
    </w:p>
    <w:p w14:paraId="6D9E81A2" w14:textId="53762EDD" w:rsidR="00532AE4" w:rsidRPr="00DA5B9F" w:rsidRDefault="00A76F12">
      <w:pPr>
        <w:spacing w:line="360" w:lineRule="auto"/>
        <w:ind w:right="49"/>
        <w:jc w:val="both"/>
        <w:rPr>
          <w:rFonts w:ascii="Palatino Linotype" w:eastAsia="Palatino Linotype" w:hAnsi="Palatino Linotype" w:cs="Palatino Linotype"/>
          <w:sz w:val="22"/>
          <w:szCs w:val="22"/>
        </w:rPr>
        <w:sectPr w:rsidR="00532AE4" w:rsidRPr="00DA5B9F">
          <w:headerReference w:type="default" r:id="rId10"/>
          <w:footerReference w:type="default" r:id="rId11"/>
          <w:headerReference w:type="first" r:id="rId12"/>
          <w:footerReference w:type="first" r:id="rId13"/>
          <w:pgSz w:w="12240" w:h="15840"/>
          <w:pgMar w:top="1985" w:right="1701" w:bottom="1701" w:left="1701" w:header="709" w:footer="709" w:gutter="0"/>
          <w:pgNumType w:start="1"/>
          <w:cols w:space="720"/>
          <w:titlePg/>
        </w:sectPr>
      </w:pPr>
      <w:bookmarkStart w:id="5" w:name="_heading=h.1fob9te" w:colFirst="0" w:colLast="0"/>
      <w:bookmarkEnd w:id="5"/>
      <w:r w:rsidRPr="00922710">
        <w:rPr>
          <w:rFonts w:ascii="Palatino Linotype" w:eastAsia="Palatino Linotype" w:hAnsi="Palatino Linotype" w:cs="Palatino Linotype"/>
          <w:sz w:val="22"/>
          <w:szCs w:val="22"/>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w:t>
      </w:r>
      <w:r w:rsidR="00A4702B" w:rsidRPr="00922710">
        <w:rPr>
          <w:rFonts w:ascii="Palatino Linotype" w:eastAsia="Palatino Linotype" w:hAnsi="Palatino Linotype" w:cs="Palatino Linotype"/>
          <w:sz w:val="22"/>
          <w:szCs w:val="22"/>
        </w:rPr>
        <w:t>MEJÍA AYALA</w:t>
      </w:r>
      <w:r w:rsidRPr="00922710">
        <w:rPr>
          <w:rFonts w:ascii="Palatino Linotype" w:eastAsia="Palatino Linotype" w:hAnsi="Palatino Linotype" w:cs="Palatino Linotype"/>
          <w:sz w:val="22"/>
          <w:szCs w:val="22"/>
        </w:rPr>
        <w:t xml:space="preserve"> Y GUADALUPE RAMÍREZ PEÑA; EN LA </w:t>
      </w:r>
      <w:r w:rsidR="00DE390F" w:rsidRPr="00922710">
        <w:rPr>
          <w:rFonts w:ascii="Palatino Linotype" w:eastAsia="Palatino Linotype" w:hAnsi="Palatino Linotype" w:cs="Palatino Linotype"/>
          <w:sz w:val="22"/>
          <w:szCs w:val="22"/>
        </w:rPr>
        <w:t>TR</w:t>
      </w:r>
      <w:r w:rsidR="00920E93" w:rsidRPr="00922710">
        <w:rPr>
          <w:rFonts w:ascii="Palatino Linotype" w:eastAsia="Palatino Linotype" w:hAnsi="Palatino Linotype" w:cs="Palatino Linotype"/>
          <w:sz w:val="22"/>
          <w:szCs w:val="22"/>
        </w:rPr>
        <w:t xml:space="preserve">IGÉSIMA </w:t>
      </w:r>
      <w:r w:rsidR="00A4702B" w:rsidRPr="00922710">
        <w:rPr>
          <w:rFonts w:ascii="Palatino Linotype" w:eastAsia="Palatino Linotype" w:hAnsi="Palatino Linotype" w:cs="Palatino Linotype"/>
          <w:sz w:val="22"/>
          <w:szCs w:val="22"/>
        </w:rPr>
        <w:t>TERC</w:t>
      </w:r>
      <w:r w:rsidR="00DE390F" w:rsidRPr="00922710">
        <w:rPr>
          <w:rFonts w:ascii="Palatino Linotype" w:eastAsia="Palatino Linotype" w:hAnsi="Palatino Linotype" w:cs="Palatino Linotype"/>
          <w:sz w:val="22"/>
          <w:szCs w:val="22"/>
        </w:rPr>
        <w:t>ERA</w:t>
      </w:r>
      <w:r w:rsidRPr="00922710">
        <w:rPr>
          <w:rFonts w:ascii="Palatino Linotype" w:eastAsia="Palatino Linotype" w:hAnsi="Palatino Linotype" w:cs="Palatino Linotype"/>
          <w:sz w:val="22"/>
          <w:szCs w:val="22"/>
        </w:rPr>
        <w:t xml:space="preserve"> SESIÓN ORDINARIA CELEBRADA EL </w:t>
      </w:r>
      <w:r w:rsidR="00DE390F" w:rsidRPr="00922710">
        <w:rPr>
          <w:rFonts w:ascii="Palatino Linotype" w:eastAsia="Palatino Linotype" w:hAnsi="Palatino Linotype" w:cs="Palatino Linotype"/>
          <w:sz w:val="22"/>
          <w:szCs w:val="22"/>
        </w:rPr>
        <w:t>D</w:t>
      </w:r>
      <w:r w:rsidR="00A4702B" w:rsidRPr="00922710">
        <w:rPr>
          <w:rFonts w:ascii="Palatino Linotype" w:eastAsia="Palatino Linotype" w:hAnsi="Palatino Linotype" w:cs="Palatino Linotype"/>
          <w:sz w:val="22"/>
          <w:szCs w:val="22"/>
        </w:rPr>
        <w:t>IECISIETE</w:t>
      </w:r>
      <w:r w:rsidR="00DE390F" w:rsidRPr="00922710">
        <w:rPr>
          <w:rFonts w:ascii="Palatino Linotype" w:eastAsia="Palatino Linotype" w:hAnsi="Palatino Linotype" w:cs="Palatino Linotype"/>
          <w:sz w:val="22"/>
          <w:szCs w:val="22"/>
        </w:rPr>
        <w:t xml:space="preserve"> DE SEPTIEMBRE</w:t>
      </w:r>
      <w:r w:rsidR="00DF5516" w:rsidRPr="00922710">
        <w:rPr>
          <w:rFonts w:ascii="Palatino Linotype" w:eastAsia="Palatino Linotype" w:hAnsi="Palatino Linotype" w:cs="Palatino Linotype"/>
          <w:sz w:val="22"/>
          <w:szCs w:val="22"/>
        </w:rPr>
        <w:t xml:space="preserve"> DE DOS MIL VEINTISÉIS</w:t>
      </w:r>
      <w:r w:rsidRPr="00922710">
        <w:rPr>
          <w:rFonts w:ascii="Palatino Linotype" w:eastAsia="Palatino Linotype" w:hAnsi="Palatino Linotype" w:cs="Palatino Linotype"/>
          <w:sz w:val="22"/>
          <w:szCs w:val="22"/>
        </w:rPr>
        <w:t>, ANTE EL SECRETARIO TÉCNICO DEL PLENO ALEXIS TAPIA RAMÍREZ.</w:t>
      </w:r>
      <w:r w:rsidRPr="00DA5B9F">
        <w:rPr>
          <w:rFonts w:ascii="Palatino Linotype" w:eastAsia="Palatino Linotype" w:hAnsi="Palatino Linotype" w:cs="Palatino Linotype"/>
          <w:sz w:val="22"/>
          <w:szCs w:val="22"/>
        </w:rPr>
        <w:t xml:space="preserve"> </w:t>
      </w:r>
    </w:p>
    <w:p w14:paraId="74E02134" w14:textId="77777777" w:rsidR="00532AE4" w:rsidRPr="00DA5B9F" w:rsidRDefault="00532AE4">
      <w:pPr>
        <w:tabs>
          <w:tab w:val="left" w:pos="709"/>
        </w:tabs>
        <w:spacing w:line="360" w:lineRule="auto"/>
        <w:jc w:val="both"/>
        <w:rPr>
          <w:rFonts w:ascii="Palatino Linotype" w:eastAsia="Palatino Linotype" w:hAnsi="Palatino Linotype" w:cs="Palatino Linotype"/>
          <w:sz w:val="22"/>
          <w:szCs w:val="22"/>
        </w:rPr>
      </w:pPr>
    </w:p>
    <w:p w14:paraId="5566C3BF" w14:textId="77777777" w:rsidR="00532AE4" w:rsidRPr="00DA5B9F" w:rsidRDefault="00532AE4">
      <w:pPr>
        <w:rPr>
          <w:sz w:val="22"/>
          <w:szCs w:val="22"/>
        </w:rPr>
      </w:pPr>
    </w:p>
    <w:sectPr w:rsidR="00532AE4" w:rsidRPr="00DA5B9F">
      <w:headerReference w:type="first" r:id="rId14"/>
      <w:pgSz w:w="12240" w:h="15840"/>
      <w:pgMar w:top="1985" w:right="1701" w:bottom="1701"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254AD" w14:textId="77777777" w:rsidR="005D2C51" w:rsidRDefault="005D2C51">
      <w:r>
        <w:separator/>
      </w:r>
    </w:p>
  </w:endnote>
  <w:endnote w:type="continuationSeparator" w:id="0">
    <w:p w14:paraId="2C2BD886" w14:textId="77777777" w:rsidR="005D2C51" w:rsidRDefault="005D2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CFD0" w14:textId="47FEF018"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922710">
      <w:rPr>
        <w:rFonts w:ascii="Arial" w:eastAsia="Arial" w:hAnsi="Arial" w:cs="Arial"/>
        <w:b/>
        <w:noProof/>
        <w:color w:val="000000"/>
        <w:sz w:val="20"/>
        <w:szCs w:val="20"/>
      </w:rPr>
      <w:t>24</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922710">
      <w:rPr>
        <w:rFonts w:ascii="Arial" w:eastAsia="Arial" w:hAnsi="Arial" w:cs="Arial"/>
        <w:b/>
        <w:noProof/>
        <w:color w:val="000000"/>
        <w:sz w:val="20"/>
        <w:szCs w:val="20"/>
      </w:rPr>
      <w:t>25</w:t>
    </w:r>
    <w:r>
      <w:rPr>
        <w:rFonts w:ascii="Arial" w:eastAsia="Arial" w:hAnsi="Arial" w:cs="Arial"/>
        <w:b/>
        <w:color w:val="000000"/>
        <w:sz w:val="20"/>
        <w:szCs w:val="20"/>
      </w:rPr>
      <w:fldChar w:fldCharType="end"/>
    </w:r>
  </w:p>
  <w:p w14:paraId="1B9C2466" w14:textId="77777777" w:rsidR="00532AE4" w:rsidRDefault="00532AE4">
    <w:pPr>
      <w:pBdr>
        <w:top w:val="nil"/>
        <w:left w:val="nil"/>
        <w:bottom w:val="nil"/>
        <w:right w:val="nil"/>
        <w:between w:val="nil"/>
      </w:pBdr>
      <w:tabs>
        <w:tab w:val="center" w:pos="4252"/>
        <w:tab w:val="right" w:pos="8504"/>
      </w:tabs>
      <w:rPr>
        <w:color w:val="000000"/>
      </w:rPr>
    </w:pPr>
  </w:p>
  <w:p w14:paraId="502D1B9F" w14:textId="77777777" w:rsidR="00532AE4" w:rsidRDefault="00532AE4">
    <w:pPr>
      <w:pBdr>
        <w:top w:val="nil"/>
        <w:left w:val="nil"/>
        <w:bottom w:val="nil"/>
        <w:right w:val="nil"/>
        <w:between w:val="nil"/>
      </w:pBdr>
      <w:tabs>
        <w:tab w:val="center" w:pos="4252"/>
        <w:tab w:val="right" w:pos="8504"/>
      </w:tabs>
      <w:ind w:firstLine="708"/>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0723" w14:textId="1FA16335"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922710">
      <w:rPr>
        <w:rFonts w:ascii="Arial" w:eastAsia="Arial" w:hAnsi="Arial" w:cs="Arial"/>
        <w:b/>
        <w:noProof/>
        <w:color w:val="000000"/>
        <w:sz w:val="20"/>
        <w:szCs w:val="20"/>
      </w:rPr>
      <w:t>25</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922710">
      <w:rPr>
        <w:rFonts w:ascii="Arial" w:eastAsia="Arial" w:hAnsi="Arial" w:cs="Arial"/>
        <w:b/>
        <w:noProof/>
        <w:color w:val="000000"/>
        <w:sz w:val="20"/>
        <w:szCs w:val="20"/>
      </w:rPr>
      <w:t>25</w:t>
    </w:r>
    <w:r>
      <w:rPr>
        <w:rFonts w:ascii="Arial" w:eastAsia="Arial" w:hAnsi="Arial" w:cs="Arial"/>
        <w:b/>
        <w:color w:val="000000"/>
        <w:sz w:val="20"/>
        <w:szCs w:val="20"/>
      </w:rPr>
      <w:fldChar w:fldCharType="end"/>
    </w:r>
  </w:p>
  <w:p w14:paraId="0679A01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BB2A9" w14:textId="77777777" w:rsidR="005D2C51" w:rsidRDefault="005D2C51">
      <w:r>
        <w:separator/>
      </w:r>
    </w:p>
  </w:footnote>
  <w:footnote w:type="continuationSeparator" w:id="0">
    <w:p w14:paraId="124612EF" w14:textId="77777777" w:rsidR="005D2C51" w:rsidRDefault="005D2C51">
      <w:r>
        <w:continuationSeparator/>
      </w:r>
    </w:p>
  </w:footnote>
  <w:footnote w:id="1">
    <w:p w14:paraId="27BF9B37" w14:textId="77777777" w:rsidR="00532AE4" w:rsidRDefault="00A76F12">
      <w:pPr>
        <w:spacing w:before="240"/>
        <w:jc w:val="both"/>
        <w:rPr>
          <w:rFonts w:ascii="Palatino Linotype" w:eastAsia="Palatino Linotype" w:hAnsi="Palatino Linotype" w:cs="Palatino Linotype"/>
          <w:sz w:val="16"/>
          <w:szCs w:val="16"/>
        </w:rPr>
      </w:pPr>
      <w:r>
        <w:rPr>
          <w:vertAlign w:val="superscript"/>
        </w:rPr>
        <w:footnoteRef/>
      </w:r>
      <w:r>
        <w:rPr>
          <w:rFonts w:ascii="Palatino Linotype" w:eastAsia="Palatino Linotype" w:hAnsi="Palatino Linotype" w:cs="Palatino Linotype"/>
          <w:sz w:val="16"/>
          <w:szCs w:val="16"/>
        </w:rPr>
        <w:t>“Artículo 178.</w:t>
      </w:r>
    </w:p>
    <w:p w14:paraId="7CB263AB" w14:textId="77777777" w:rsidR="00532AE4" w:rsidRDefault="00A76F12">
      <w:pPr>
        <w:jc w:val="both"/>
        <w:rPr>
          <w:rFonts w:ascii="Palatino Linotype" w:eastAsia="Palatino Linotype" w:hAnsi="Palatino Linotype" w:cs="Palatino Linotype"/>
          <w:sz w:val="16"/>
          <w:szCs w:val="16"/>
        </w:rPr>
      </w:pPr>
      <w:r>
        <w:rPr>
          <w:rFonts w:ascii="Palatino Linotype" w:eastAsia="Palatino Linotype" w:hAnsi="Palatino Linotype" w:cs="Palatino Linotype"/>
          <w:sz w:val="16"/>
          <w:szCs w:val="16"/>
        </w:rPr>
        <w:t>…</w:t>
      </w:r>
    </w:p>
    <w:p w14:paraId="62A69D64" w14:textId="77777777" w:rsidR="00532AE4" w:rsidRDefault="00A76F12">
      <w:pPr>
        <w:spacing w:after="240"/>
        <w:jc w:val="both"/>
      </w:pPr>
      <w:r>
        <w:rPr>
          <w:rFonts w:ascii="Palatino Linotype" w:eastAsia="Palatino Linotype" w:hAnsi="Palatino Linotype" w:cs="Palatino Linotype"/>
          <w:sz w:val="16"/>
          <w:szCs w:val="16"/>
        </w:rPr>
        <w:t>A falta de respuesta del sujeto obligado, dentro de los plazos establecidos en esta Ley, a una solicitud de acceso a la información pública, el recurso podrá ser interpuesto en cualquier momento, acompañado con el documento que pruebe la fecha en que presentó la solicitud…”(Sic)</w:t>
      </w:r>
    </w:p>
  </w:footnote>
  <w:footnote w:id="2">
    <w:p w14:paraId="2CF0F2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Al encontrarse en algún supuesto restrictivo, previsto en la normatividad aplicable.</w:t>
      </w:r>
    </w:p>
  </w:footnote>
  <w:footnote w:id="3">
    <w:p w14:paraId="328E2530"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59. Los servidores públicos habilitados tendrán las funciones siguientes:</w:t>
      </w:r>
    </w:p>
    <w:p w14:paraId="123568A6"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 Integrar y presentar al responsable de la Unidad de Transparencia la propuesta de clasificación de información, la cual tendrá los fundamentos y argumentos en que se basa dicha propuesta;</w:t>
      </w:r>
    </w:p>
  </w:footnote>
  <w:footnote w:id="4">
    <w:p w14:paraId="25FC63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53. Las Unidades de Transparencia tendrán las siguientes funciones:</w:t>
      </w:r>
    </w:p>
    <w:p w14:paraId="5E7C2C44"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X. Presentar ante el Comité, el proyecto de clasificación de información;</w:t>
      </w:r>
    </w:p>
  </w:footnote>
  <w:footnote w:id="5">
    <w:p w14:paraId="5CBB0BDC"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49. Los Comités de Transparencia tendrán las siguientes atribuciones:</w:t>
      </w:r>
    </w:p>
    <w:p w14:paraId="0EC2EAFD"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II. Confirmar, modificar o revocar las determinaciones que en materia de ampliación del plazo de respuesta, clasificación de la información y declaración de inexistencia o de incompetencia realicen los titulares de las áreas de los sujetos obligados;</w:t>
      </w:r>
    </w:p>
    <w:p w14:paraId="66BDAD3F"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VIII. Aprobar, modificar o revocar la clasificación de la información;</w:t>
      </w:r>
    </w:p>
  </w:footnote>
  <w:footnote w:id="6">
    <w:p w14:paraId="15AC32B7"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Publicados en el Diario Oficial de la Federación en fecha quince de abril del año dos mil dieciséis, mediante Acuerdo del Consejo Nacional del Sistema Nacional de Transparencia, Acceso a la Información Pública y Protección de Datos Personales.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2D84" w14:textId="77777777" w:rsidR="00532AE4" w:rsidRDefault="00532AE4">
    <w:pPr>
      <w:widowControl w:val="0"/>
      <w:pBdr>
        <w:top w:val="nil"/>
        <w:left w:val="nil"/>
        <w:bottom w:val="nil"/>
        <w:right w:val="nil"/>
        <w:between w:val="nil"/>
      </w:pBdr>
      <w:spacing w:line="276" w:lineRule="auto"/>
      <w:rPr>
        <w:rFonts w:ascii="Calibri" w:eastAsia="Calibri" w:hAnsi="Calibri" w:cs="Calibri"/>
        <w:color w:val="000000"/>
      </w:rPr>
    </w:pPr>
  </w:p>
  <w:tbl>
    <w:tblPr>
      <w:tblStyle w:val="a6"/>
      <w:tblW w:w="5528" w:type="dxa"/>
      <w:tblInd w:w="3261" w:type="dxa"/>
      <w:tblLayout w:type="fixed"/>
      <w:tblLook w:val="0400" w:firstRow="0" w:lastRow="0" w:firstColumn="0" w:lastColumn="0" w:noHBand="0" w:noVBand="1"/>
    </w:tblPr>
    <w:tblGrid>
      <w:gridCol w:w="2552"/>
      <w:gridCol w:w="2976"/>
    </w:tblGrid>
    <w:tr w:rsidR="00532AE4" w14:paraId="77695D58" w14:textId="77777777">
      <w:tc>
        <w:tcPr>
          <w:tcW w:w="2552" w:type="dxa"/>
          <w:vAlign w:val="center"/>
        </w:tcPr>
        <w:p w14:paraId="216C0C8D"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2976" w:type="dxa"/>
          <w:vAlign w:val="center"/>
        </w:tcPr>
        <w:p w14:paraId="492A50C4" w14:textId="67A2BE13" w:rsidR="00532AE4" w:rsidRDefault="006622E5" w:rsidP="006622E5">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A4702B">
            <w:rPr>
              <w:rFonts w:ascii="Palatino Linotype" w:eastAsia="Palatino Linotype" w:hAnsi="Palatino Linotype" w:cs="Palatino Linotype"/>
              <w:b/>
              <w:sz w:val="21"/>
              <w:szCs w:val="21"/>
            </w:rPr>
            <w:t>8189</w:t>
          </w:r>
          <w:r w:rsidR="009713DE">
            <w:rPr>
              <w:rFonts w:ascii="Palatino Linotype" w:eastAsia="Palatino Linotype" w:hAnsi="Palatino Linotype" w:cs="Palatino Linotype"/>
              <w:b/>
              <w:sz w:val="21"/>
              <w:szCs w:val="21"/>
            </w:rPr>
            <w:t>/INFOEM/IP/RR/2026</w:t>
          </w:r>
          <w:r w:rsidR="00A76F12">
            <w:rPr>
              <w:rFonts w:ascii="Palatino Linotype" w:eastAsia="Palatino Linotype" w:hAnsi="Palatino Linotype" w:cs="Palatino Linotype"/>
              <w:b/>
              <w:sz w:val="21"/>
              <w:szCs w:val="21"/>
            </w:rPr>
            <w:t xml:space="preserve"> </w:t>
          </w:r>
        </w:p>
      </w:tc>
    </w:tr>
    <w:tr w:rsidR="00532AE4" w14:paraId="1B16C492" w14:textId="77777777">
      <w:trPr>
        <w:trHeight w:val="228"/>
      </w:trPr>
      <w:tc>
        <w:tcPr>
          <w:tcW w:w="2552" w:type="dxa"/>
          <w:shd w:val="clear" w:color="auto" w:fill="auto"/>
          <w:vAlign w:val="center"/>
        </w:tcPr>
        <w:p w14:paraId="202EF99F"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452B1DF5" w14:textId="77777777" w:rsidR="00532AE4" w:rsidRDefault="00532AE4">
          <w:pPr>
            <w:rPr>
              <w:rFonts w:ascii="Palatino Linotype" w:eastAsia="Palatino Linotype" w:hAnsi="Palatino Linotype" w:cs="Palatino Linotype"/>
              <w:b/>
              <w:sz w:val="21"/>
              <w:szCs w:val="21"/>
            </w:rPr>
          </w:pPr>
        </w:p>
      </w:tc>
      <w:tc>
        <w:tcPr>
          <w:tcW w:w="2976" w:type="dxa"/>
          <w:shd w:val="clear" w:color="auto" w:fill="auto"/>
          <w:vAlign w:val="center"/>
        </w:tcPr>
        <w:p w14:paraId="222907A3" w14:textId="4D4B27F7" w:rsidR="00532AE4" w:rsidRDefault="00A4702B" w:rsidP="009D7074">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Ayuntamiento de Cocotitlán</w:t>
          </w:r>
        </w:p>
      </w:tc>
    </w:tr>
    <w:tr w:rsidR="00532AE4" w14:paraId="299BE161" w14:textId="77777777">
      <w:tc>
        <w:tcPr>
          <w:tcW w:w="2552" w:type="dxa"/>
          <w:vAlign w:val="center"/>
        </w:tcPr>
        <w:p w14:paraId="537FCC0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2976" w:type="dxa"/>
          <w:vAlign w:val="center"/>
        </w:tcPr>
        <w:p w14:paraId="68C35B8B"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5C21FFB5" w14:textId="2C4FC5B7" w:rsidR="00532AE4" w:rsidRDefault="00A76F12">
    <w:pPr>
      <w:pBdr>
        <w:top w:val="nil"/>
        <w:left w:val="nil"/>
        <w:bottom w:val="nil"/>
        <w:right w:val="nil"/>
        <w:between w:val="nil"/>
      </w:pBdr>
      <w:tabs>
        <w:tab w:val="center" w:pos="4252"/>
        <w:tab w:val="right" w:pos="8504"/>
        <w:tab w:val="left" w:pos="2326"/>
      </w:tabs>
      <w:rPr>
        <w:rFonts w:ascii="Calibri" w:eastAsia="Calibri" w:hAnsi="Calibri" w:cs="Calibri"/>
        <w:color w:val="000000"/>
      </w:rPr>
    </w:pPr>
    <w:r>
      <w:rPr>
        <w:rFonts w:ascii="Calibri" w:eastAsia="Calibri" w:hAnsi="Calibri" w:cs="Calibri"/>
        <w:color w:val="000000"/>
      </w:rPr>
      <w:tab/>
    </w:r>
    <w:r>
      <w:rPr>
        <w:noProof/>
        <w:lang w:val="es-MX"/>
      </w:rPr>
      <w:drawing>
        <wp:anchor distT="0" distB="0" distL="0" distR="0" simplePos="0" relativeHeight="251658240" behindDoc="1" locked="0" layoutInCell="1" hidden="0" allowOverlap="1" wp14:anchorId="6413D670" wp14:editId="06E29772">
          <wp:simplePos x="0" y="0"/>
          <wp:positionH relativeFrom="column">
            <wp:posOffset>-689274</wp:posOffset>
          </wp:positionH>
          <wp:positionV relativeFrom="paragraph">
            <wp:posOffset>-1171012</wp:posOffset>
          </wp:positionV>
          <wp:extent cx="7635875" cy="9943465"/>
          <wp:effectExtent l="0" t="0" r="0" b="0"/>
          <wp:wrapNone/>
          <wp:docPr id="1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2779" w14:textId="7C071FAB" w:rsidR="00532AE4" w:rsidRDefault="00017988">
    <w:pPr>
      <w:pBdr>
        <w:top w:val="nil"/>
        <w:left w:val="nil"/>
        <w:bottom w:val="nil"/>
        <w:right w:val="nil"/>
        <w:between w:val="nil"/>
      </w:pBdr>
      <w:tabs>
        <w:tab w:val="center" w:pos="4252"/>
        <w:tab w:val="right" w:pos="8504"/>
      </w:tabs>
      <w:jc w:val="both"/>
      <w:rPr>
        <w:rFonts w:ascii="Calibri" w:eastAsia="Calibri" w:hAnsi="Calibri" w:cs="Calibri"/>
        <w:color w:val="000000"/>
      </w:rPr>
    </w:pPr>
    <w:r>
      <w:rPr>
        <w:noProof/>
        <w:lang w:val="es-MX"/>
      </w:rPr>
      <w:drawing>
        <wp:anchor distT="0" distB="0" distL="0" distR="0" simplePos="0" relativeHeight="251659264" behindDoc="1" locked="0" layoutInCell="1" hidden="0" allowOverlap="1" wp14:anchorId="43196C50" wp14:editId="12E9FD1A">
          <wp:simplePos x="0" y="0"/>
          <wp:positionH relativeFrom="column">
            <wp:posOffset>-655955</wp:posOffset>
          </wp:positionH>
          <wp:positionV relativeFrom="paragraph">
            <wp:posOffset>-341630</wp:posOffset>
          </wp:positionV>
          <wp:extent cx="7635875" cy="9943465"/>
          <wp:effectExtent l="0" t="0" r="0" b="0"/>
          <wp:wrapNone/>
          <wp:docPr id="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14:sizeRelH relativeFrom="margin">
            <wp14:pctWidth>0</wp14:pctWidth>
          </wp14:sizeRelH>
          <wp14:sizeRelV relativeFrom="margin">
            <wp14:pctHeight>0</wp14:pctHeight>
          </wp14:sizeRelV>
        </wp:anchor>
      </w:drawing>
    </w:r>
    <w:r w:rsidR="00A76F12">
      <w:rPr>
        <w:rFonts w:ascii="Calibri" w:eastAsia="Calibri" w:hAnsi="Calibri" w:cs="Calibri"/>
        <w:color w:val="000000"/>
      </w:rPr>
      <w:t xml:space="preserve">                                  </w:t>
    </w:r>
  </w:p>
  <w:tbl>
    <w:tblPr>
      <w:tblStyle w:val="a7"/>
      <w:tblW w:w="6238" w:type="dxa"/>
      <w:tblInd w:w="3119" w:type="dxa"/>
      <w:tblLayout w:type="fixed"/>
      <w:tblLook w:val="0400" w:firstRow="0" w:lastRow="0" w:firstColumn="0" w:lastColumn="0" w:noHBand="0" w:noVBand="1"/>
    </w:tblPr>
    <w:tblGrid>
      <w:gridCol w:w="2551"/>
      <w:gridCol w:w="3687"/>
    </w:tblGrid>
    <w:tr w:rsidR="00532AE4" w14:paraId="3D0D3AF5" w14:textId="77777777">
      <w:tc>
        <w:tcPr>
          <w:tcW w:w="2551" w:type="dxa"/>
          <w:vAlign w:val="center"/>
        </w:tcPr>
        <w:p w14:paraId="042F2C58"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3687" w:type="dxa"/>
          <w:vAlign w:val="center"/>
        </w:tcPr>
        <w:p w14:paraId="20C4E837" w14:textId="156D33E5" w:rsidR="00532AE4" w:rsidRDefault="00A4702B" w:rsidP="006A1805">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08189</w:t>
          </w:r>
          <w:r w:rsidR="009713DE">
            <w:rPr>
              <w:rFonts w:ascii="Palatino Linotype" w:eastAsia="Palatino Linotype" w:hAnsi="Palatino Linotype" w:cs="Palatino Linotype"/>
              <w:b/>
              <w:sz w:val="21"/>
              <w:szCs w:val="21"/>
            </w:rPr>
            <w:t>/INFOEM/IP/RR/2026</w:t>
          </w:r>
        </w:p>
      </w:tc>
    </w:tr>
    <w:tr w:rsidR="00532AE4" w14:paraId="75B806F0" w14:textId="77777777">
      <w:tc>
        <w:tcPr>
          <w:tcW w:w="2551" w:type="dxa"/>
          <w:vAlign w:val="center"/>
        </w:tcPr>
        <w:p w14:paraId="3F9B8C97" w14:textId="77777777" w:rsidR="00532AE4" w:rsidRDefault="00A76F12">
          <w:pPr>
            <w:ind w:left="35" w:hanging="35"/>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Recurrente:</w:t>
          </w:r>
        </w:p>
      </w:tc>
      <w:tc>
        <w:tcPr>
          <w:tcW w:w="3687" w:type="dxa"/>
          <w:vAlign w:val="center"/>
        </w:tcPr>
        <w:p w14:paraId="4D6D508D" w14:textId="6A2B9DBE" w:rsidR="00532AE4" w:rsidRDefault="00532AE4">
          <w:pPr>
            <w:ind w:right="452"/>
            <w:jc w:val="both"/>
            <w:rPr>
              <w:rFonts w:ascii="Palatino Linotype" w:eastAsia="Palatino Linotype" w:hAnsi="Palatino Linotype" w:cs="Palatino Linotype"/>
              <w:b/>
              <w:sz w:val="21"/>
              <w:szCs w:val="21"/>
            </w:rPr>
          </w:pPr>
        </w:p>
      </w:tc>
    </w:tr>
    <w:tr w:rsidR="00532AE4" w14:paraId="33C0EB5C" w14:textId="77777777">
      <w:trPr>
        <w:trHeight w:val="228"/>
      </w:trPr>
      <w:tc>
        <w:tcPr>
          <w:tcW w:w="2551" w:type="dxa"/>
          <w:vAlign w:val="center"/>
        </w:tcPr>
        <w:p w14:paraId="2FEF1D9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034F4C87" w14:textId="77777777" w:rsidR="00532AE4" w:rsidRDefault="00532AE4">
          <w:pPr>
            <w:rPr>
              <w:rFonts w:ascii="Palatino Linotype" w:eastAsia="Palatino Linotype" w:hAnsi="Palatino Linotype" w:cs="Palatino Linotype"/>
              <w:b/>
              <w:sz w:val="21"/>
              <w:szCs w:val="21"/>
            </w:rPr>
          </w:pPr>
        </w:p>
      </w:tc>
      <w:tc>
        <w:tcPr>
          <w:tcW w:w="3687" w:type="dxa"/>
          <w:vAlign w:val="center"/>
        </w:tcPr>
        <w:p w14:paraId="143797A2" w14:textId="71BDB42A" w:rsidR="00532AE4" w:rsidRDefault="00A4702B" w:rsidP="009D7074">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Ayuntamiento de Cocotitlán</w:t>
          </w:r>
        </w:p>
      </w:tc>
    </w:tr>
    <w:tr w:rsidR="00532AE4" w14:paraId="4BEC1E4A" w14:textId="77777777">
      <w:tc>
        <w:tcPr>
          <w:tcW w:w="2551" w:type="dxa"/>
          <w:vAlign w:val="center"/>
        </w:tcPr>
        <w:p w14:paraId="0B11FA2C"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3687" w:type="dxa"/>
          <w:vAlign w:val="center"/>
        </w:tcPr>
        <w:p w14:paraId="4BB723FA"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3C52C903"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C666" w14:textId="77777777" w:rsidR="00532AE4" w:rsidRDefault="00A76F12">
    <w:pPr>
      <w:pBdr>
        <w:top w:val="nil"/>
        <w:left w:val="nil"/>
        <w:bottom w:val="nil"/>
        <w:right w:val="nil"/>
        <w:between w:val="nil"/>
      </w:pBdr>
      <w:tabs>
        <w:tab w:val="center" w:pos="4252"/>
        <w:tab w:val="right" w:pos="8504"/>
      </w:tabs>
      <w:jc w:val="both"/>
      <w:rPr>
        <w:rFonts w:ascii="Calibri" w:eastAsia="Calibri" w:hAnsi="Calibri" w:cs="Calibri"/>
        <w:color w:val="000000"/>
      </w:rPr>
    </w:pPr>
    <w:r>
      <w:rPr>
        <w:rFonts w:ascii="Calibri" w:eastAsia="Calibri" w:hAnsi="Calibri" w:cs="Calibri"/>
        <w:color w:val="000000"/>
      </w:rPr>
      <w:t xml:space="preserve">                                  </w:t>
    </w:r>
  </w:p>
  <w:p w14:paraId="5CA7F40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C28"/>
    <w:multiLevelType w:val="multilevel"/>
    <w:tmpl w:val="493265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C909ED"/>
    <w:multiLevelType w:val="multilevel"/>
    <w:tmpl w:val="D48A4D3C"/>
    <w:lvl w:ilvl="0">
      <w:start w:val="7"/>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3FC6237"/>
    <w:multiLevelType w:val="multilevel"/>
    <w:tmpl w:val="5E7C1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4B63B1A"/>
    <w:multiLevelType w:val="multilevel"/>
    <w:tmpl w:val="3A90F27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75E33CE"/>
    <w:multiLevelType w:val="multilevel"/>
    <w:tmpl w:val="520617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55046353">
    <w:abstractNumId w:val="2"/>
  </w:num>
  <w:num w:numId="2" w16cid:durableId="1704671558">
    <w:abstractNumId w:val="4"/>
  </w:num>
  <w:num w:numId="3" w16cid:durableId="1054501868">
    <w:abstractNumId w:val="0"/>
  </w:num>
  <w:num w:numId="4" w16cid:durableId="1520200796">
    <w:abstractNumId w:val="1"/>
  </w:num>
  <w:num w:numId="5" w16cid:durableId="11738407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AE4"/>
    <w:rsid w:val="0000325F"/>
    <w:rsid w:val="00017988"/>
    <w:rsid w:val="00022DB6"/>
    <w:rsid w:val="00024779"/>
    <w:rsid w:val="000255E8"/>
    <w:rsid w:val="00026738"/>
    <w:rsid w:val="00026CCF"/>
    <w:rsid w:val="0004402A"/>
    <w:rsid w:val="00044D36"/>
    <w:rsid w:val="000458EA"/>
    <w:rsid w:val="000672C5"/>
    <w:rsid w:val="00073044"/>
    <w:rsid w:val="00095E46"/>
    <w:rsid w:val="0009768A"/>
    <w:rsid w:val="00097E14"/>
    <w:rsid w:val="000A27C2"/>
    <w:rsid w:val="000B2D33"/>
    <w:rsid w:val="000B42A5"/>
    <w:rsid w:val="000B673F"/>
    <w:rsid w:val="000B6840"/>
    <w:rsid w:val="000C05BE"/>
    <w:rsid w:val="000E1DD7"/>
    <w:rsid w:val="000E63FD"/>
    <w:rsid w:val="000E7889"/>
    <w:rsid w:val="000F296E"/>
    <w:rsid w:val="000F363F"/>
    <w:rsid w:val="000F4794"/>
    <w:rsid w:val="000F6323"/>
    <w:rsid w:val="00111565"/>
    <w:rsid w:val="0012087F"/>
    <w:rsid w:val="0013324A"/>
    <w:rsid w:val="001375F3"/>
    <w:rsid w:val="00137E5A"/>
    <w:rsid w:val="00142C2A"/>
    <w:rsid w:val="00147A44"/>
    <w:rsid w:val="001577D2"/>
    <w:rsid w:val="00160B51"/>
    <w:rsid w:val="0017202B"/>
    <w:rsid w:val="00181147"/>
    <w:rsid w:val="00182B72"/>
    <w:rsid w:val="00195F53"/>
    <w:rsid w:val="001A1911"/>
    <w:rsid w:val="001C43DA"/>
    <w:rsid w:val="001E0FB7"/>
    <w:rsid w:val="001E17BD"/>
    <w:rsid w:val="0020780A"/>
    <w:rsid w:val="0021726A"/>
    <w:rsid w:val="002222E9"/>
    <w:rsid w:val="00223CD6"/>
    <w:rsid w:val="002275D9"/>
    <w:rsid w:val="00227B62"/>
    <w:rsid w:val="0023127E"/>
    <w:rsid w:val="002502E3"/>
    <w:rsid w:val="002505D0"/>
    <w:rsid w:val="00256FA6"/>
    <w:rsid w:val="0027510F"/>
    <w:rsid w:val="002839FA"/>
    <w:rsid w:val="00284E2D"/>
    <w:rsid w:val="002859C5"/>
    <w:rsid w:val="0029155A"/>
    <w:rsid w:val="002A005F"/>
    <w:rsid w:val="002B2F77"/>
    <w:rsid w:val="002C008A"/>
    <w:rsid w:val="002D134E"/>
    <w:rsid w:val="002E01DD"/>
    <w:rsid w:val="002E74CE"/>
    <w:rsid w:val="002F6686"/>
    <w:rsid w:val="0031405F"/>
    <w:rsid w:val="003352D2"/>
    <w:rsid w:val="0036299E"/>
    <w:rsid w:val="003666D7"/>
    <w:rsid w:val="00373DBB"/>
    <w:rsid w:val="003755B9"/>
    <w:rsid w:val="00381EC6"/>
    <w:rsid w:val="00384A61"/>
    <w:rsid w:val="00390FDA"/>
    <w:rsid w:val="003A1F72"/>
    <w:rsid w:val="003A5A60"/>
    <w:rsid w:val="003A5E74"/>
    <w:rsid w:val="003B606E"/>
    <w:rsid w:val="003C5888"/>
    <w:rsid w:val="003E2501"/>
    <w:rsid w:val="00401731"/>
    <w:rsid w:val="004338F4"/>
    <w:rsid w:val="00440AF2"/>
    <w:rsid w:val="00443ACD"/>
    <w:rsid w:val="004472A8"/>
    <w:rsid w:val="00452503"/>
    <w:rsid w:val="0045472F"/>
    <w:rsid w:val="00462720"/>
    <w:rsid w:val="00473767"/>
    <w:rsid w:val="0049221F"/>
    <w:rsid w:val="00492602"/>
    <w:rsid w:val="004972E0"/>
    <w:rsid w:val="004A02B4"/>
    <w:rsid w:val="004B5CF1"/>
    <w:rsid w:val="004B77EC"/>
    <w:rsid w:val="004B7B66"/>
    <w:rsid w:val="004C7248"/>
    <w:rsid w:val="004D06BD"/>
    <w:rsid w:val="004D2E4E"/>
    <w:rsid w:val="004F703B"/>
    <w:rsid w:val="005043C3"/>
    <w:rsid w:val="005231DC"/>
    <w:rsid w:val="00525777"/>
    <w:rsid w:val="00532AE4"/>
    <w:rsid w:val="00541B43"/>
    <w:rsid w:val="00571DBA"/>
    <w:rsid w:val="00572156"/>
    <w:rsid w:val="005A0442"/>
    <w:rsid w:val="005A647F"/>
    <w:rsid w:val="005A79AC"/>
    <w:rsid w:val="005D2C51"/>
    <w:rsid w:val="005F2D09"/>
    <w:rsid w:val="005F4631"/>
    <w:rsid w:val="005F71E2"/>
    <w:rsid w:val="0061438F"/>
    <w:rsid w:val="00620310"/>
    <w:rsid w:val="00633D0E"/>
    <w:rsid w:val="00656E72"/>
    <w:rsid w:val="006622E5"/>
    <w:rsid w:val="00680C4E"/>
    <w:rsid w:val="00686A48"/>
    <w:rsid w:val="006A1805"/>
    <w:rsid w:val="006B2A81"/>
    <w:rsid w:val="006C51CD"/>
    <w:rsid w:val="006C56F4"/>
    <w:rsid w:val="006D538C"/>
    <w:rsid w:val="006E2173"/>
    <w:rsid w:val="006E4878"/>
    <w:rsid w:val="006E680C"/>
    <w:rsid w:val="006F4F00"/>
    <w:rsid w:val="00706D22"/>
    <w:rsid w:val="00707403"/>
    <w:rsid w:val="0071274F"/>
    <w:rsid w:val="00724155"/>
    <w:rsid w:val="00744B5C"/>
    <w:rsid w:val="00753255"/>
    <w:rsid w:val="007576B0"/>
    <w:rsid w:val="007623E7"/>
    <w:rsid w:val="00773F12"/>
    <w:rsid w:val="00773F7E"/>
    <w:rsid w:val="007977FA"/>
    <w:rsid w:val="007B0474"/>
    <w:rsid w:val="007C29CF"/>
    <w:rsid w:val="007C4CA5"/>
    <w:rsid w:val="007D2674"/>
    <w:rsid w:val="007D52C3"/>
    <w:rsid w:val="007E3FA4"/>
    <w:rsid w:val="007E48BB"/>
    <w:rsid w:val="007E58F3"/>
    <w:rsid w:val="007E7839"/>
    <w:rsid w:val="007F051D"/>
    <w:rsid w:val="007F5288"/>
    <w:rsid w:val="008012F6"/>
    <w:rsid w:val="008015E0"/>
    <w:rsid w:val="008044DE"/>
    <w:rsid w:val="00806557"/>
    <w:rsid w:val="0081329C"/>
    <w:rsid w:val="00823328"/>
    <w:rsid w:val="00826355"/>
    <w:rsid w:val="00832334"/>
    <w:rsid w:val="00854178"/>
    <w:rsid w:val="00885C0C"/>
    <w:rsid w:val="008869C2"/>
    <w:rsid w:val="008B5DD8"/>
    <w:rsid w:val="008B5E80"/>
    <w:rsid w:val="008C62CB"/>
    <w:rsid w:val="008C7415"/>
    <w:rsid w:val="008D793F"/>
    <w:rsid w:val="009040C4"/>
    <w:rsid w:val="009075E1"/>
    <w:rsid w:val="009100C5"/>
    <w:rsid w:val="00914E95"/>
    <w:rsid w:val="00917EAF"/>
    <w:rsid w:val="00920E93"/>
    <w:rsid w:val="00922710"/>
    <w:rsid w:val="0094135A"/>
    <w:rsid w:val="00950D94"/>
    <w:rsid w:val="00960D36"/>
    <w:rsid w:val="00960D42"/>
    <w:rsid w:val="009713DE"/>
    <w:rsid w:val="009752BC"/>
    <w:rsid w:val="00982101"/>
    <w:rsid w:val="00994B65"/>
    <w:rsid w:val="009B6117"/>
    <w:rsid w:val="009C1099"/>
    <w:rsid w:val="009C3B23"/>
    <w:rsid w:val="009C691A"/>
    <w:rsid w:val="009D197C"/>
    <w:rsid w:val="009D2B73"/>
    <w:rsid w:val="009D7074"/>
    <w:rsid w:val="009E503C"/>
    <w:rsid w:val="00A2521A"/>
    <w:rsid w:val="00A27295"/>
    <w:rsid w:val="00A34F3E"/>
    <w:rsid w:val="00A3559A"/>
    <w:rsid w:val="00A37868"/>
    <w:rsid w:val="00A41B52"/>
    <w:rsid w:val="00A4702B"/>
    <w:rsid w:val="00A475F9"/>
    <w:rsid w:val="00A7256A"/>
    <w:rsid w:val="00A76F12"/>
    <w:rsid w:val="00A82901"/>
    <w:rsid w:val="00A8506B"/>
    <w:rsid w:val="00AB3D3A"/>
    <w:rsid w:val="00AB6A2A"/>
    <w:rsid w:val="00AB76D8"/>
    <w:rsid w:val="00AB7CBD"/>
    <w:rsid w:val="00AC6B80"/>
    <w:rsid w:val="00AD14F5"/>
    <w:rsid w:val="00AD43F4"/>
    <w:rsid w:val="00AD6661"/>
    <w:rsid w:val="00AE0B9D"/>
    <w:rsid w:val="00B04425"/>
    <w:rsid w:val="00B10389"/>
    <w:rsid w:val="00B14403"/>
    <w:rsid w:val="00B174AA"/>
    <w:rsid w:val="00B23955"/>
    <w:rsid w:val="00B267B6"/>
    <w:rsid w:val="00B30D2B"/>
    <w:rsid w:val="00B33431"/>
    <w:rsid w:val="00B503D1"/>
    <w:rsid w:val="00B54D6E"/>
    <w:rsid w:val="00B55D04"/>
    <w:rsid w:val="00B5655A"/>
    <w:rsid w:val="00B64FEA"/>
    <w:rsid w:val="00B737F5"/>
    <w:rsid w:val="00B76CCE"/>
    <w:rsid w:val="00B81E44"/>
    <w:rsid w:val="00B82C51"/>
    <w:rsid w:val="00B96DD7"/>
    <w:rsid w:val="00BB1677"/>
    <w:rsid w:val="00BB1882"/>
    <w:rsid w:val="00BC6C53"/>
    <w:rsid w:val="00BD2189"/>
    <w:rsid w:val="00BE3596"/>
    <w:rsid w:val="00BE3FD2"/>
    <w:rsid w:val="00C106A9"/>
    <w:rsid w:val="00C1235A"/>
    <w:rsid w:val="00C24C97"/>
    <w:rsid w:val="00C43FBC"/>
    <w:rsid w:val="00C461CD"/>
    <w:rsid w:val="00C52987"/>
    <w:rsid w:val="00C5586C"/>
    <w:rsid w:val="00CA5B0F"/>
    <w:rsid w:val="00CB4082"/>
    <w:rsid w:val="00CC17B2"/>
    <w:rsid w:val="00CC1FF9"/>
    <w:rsid w:val="00CC5F5E"/>
    <w:rsid w:val="00CD03F3"/>
    <w:rsid w:val="00CD3F09"/>
    <w:rsid w:val="00CD6157"/>
    <w:rsid w:val="00CE1553"/>
    <w:rsid w:val="00CE1FE3"/>
    <w:rsid w:val="00CE36A9"/>
    <w:rsid w:val="00CE6D92"/>
    <w:rsid w:val="00CF450F"/>
    <w:rsid w:val="00D10665"/>
    <w:rsid w:val="00D10718"/>
    <w:rsid w:val="00D11150"/>
    <w:rsid w:val="00D13FFD"/>
    <w:rsid w:val="00D20172"/>
    <w:rsid w:val="00D21D23"/>
    <w:rsid w:val="00D30ED9"/>
    <w:rsid w:val="00D322AE"/>
    <w:rsid w:val="00D368E9"/>
    <w:rsid w:val="00D60B66"/>
    <w:rsid w:val="00D60C04"/>
    <w:rsid w:val="00D63F31"/>
    <w:rsid w:val="00D65E9E"/>
    <w:rsid w:val="00D763D8"/>
    <w:rsid w:val="00D820F0"/>
    <w:rsid w:val="00D867B8"/>
    <w:rsid w:val="00D92AD4"/>
    <w:rsid w:val="00D95F87"/>
    <w:rsid w:val="00DA3288"/>
    <w:rsid w:val="00DA5B9F"/>
    <w:rsid w:val="00DA70B4"/>
    <w:rsid w:val="00DD2558"/>
    <w:rsid w:val="00DD32DE"/>
    <w:rsid w:val="00DD5465"/>
    <w:rsid w:val="00DE2BC0"/>
    <w:rsid w:val="00DE2CA6"/>
    <w:rsid w:val="00DE336C"/>
    <w:rsid w:val="00DE390F"/>
    <w:rsid w:val="00DF5516"/>
    <w:rsid w:val="00E0584E"/>
    <w:rsid w:val="00E113C2"/>
    <w:rsid w:val="00E13EBA"/>
    <w:rsid w:val="00E23DB9"/>
    <w:rsid w:val="00E27793"/>
    <w:rsid w:val="00E32375"/>
    <w:rsid w:val="00E34516"/>
    <w:rsid w:val="00E40BD5"/>
    <w:rsid w:val="00E55CFA"/>
    <w:rsid w:val="00E72C9D"/>
    <w:rsid w:val="00E733A4"/>
    <w:rsid w:val="00E808B6"/>
    <w:rsid w:val="00E848AC"/>
    <w:rsid w:val="00E90B5E"/>
    <w:rsid w:val="00E94299"/>
    <w:rsid w:val="00EA2965"/>
    <w:rsid w:val="00EB171E"/>
    <w:rsid w:val="00EB74FD"/>
    <w:rsid w:val="00EC52BA"/>
    <w:rsid w:val="00EC6905"/>
    <w:rsid w:val="00EE3D20"/>
    <w:rsid w:val="00EE5E30"/>
    <w:rsid w:val="00EF743D"/>
    <w:rsid w:val="00F245A6"/>
    <w:rsid w:val="00F97DBF"/>
    <w:rsid w:val="00FA1A00"/>
    <w:rsid w:val="00FC7612"/>
    <w:rsid w:val="00FC791B"/>
    <w:rsid w:val="00FD5905"/>
    <w:rsid w:val="00FD5E67"/>
    <w:rsid w:val="00FD6122"/>
    <w:rsid w:val="00FE50F6"/>
    <w:rsid w:val="00FF3AD0"/>
    <w:rsid w:val="00FF41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FE6C8"/>
  <w15:docId w15:val="{5CAA09FE-0F77-41A9-9F45-1DB86A729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591A48"/>
    <w:rPr>
      <w:rFonts w:eastAsiaTheme="minorEastAsia"/>
      <w:sz w:val="24"/>
      <w:szCs w:val="24"/>
      <w:lang w:val="es-ES_tradnl" w:eastAsia="es-ES"/>
    </w:rPr>
  </w:style>
  <w:style w:type="paragraph" w:styleId="Piedepgina">
    <w:name w:val="footer"/>
    <w:basedOn w:val="Normal"/>
    <w:link w:val="Piedepgina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591A48"/>
    <w:rPr>
      <w:rFonts w:eastAsiaTheme="minorEastAsia"/>
      <w:sz w:val="24"/>
      <w:szCs w:val="24"/>
      <w:lang w:val="es-ES_tradnl"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591A48"/>
    <w:rPr>
      <w:rFonts w:ascii="Times New Roman" w:eastAsia="Times New Roman" w:hAnsi="Times New Roman" w:cs="Times New Roman"/>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591A48"/>
    <w:pPr>
      <w:ind w:left="708"/>
    </w:pPr>
    <w:rPr>
      <w:sz w:val="22"/>
      <w:szCs w:val="22"/>
      <w:lang w:val="es-MX" w:eastAsia="en-US"/>
    </w:rPr>
  </w:style>
  <w:style w:type="table" w:styleId="Tablaconcuadrcula">
    <w:name w:val="Table Grid"/>
    <w:basedOn w:val="Tablanormal"/>
    <w:uiPriority w:val="59"/>
    <w:rsid w:val="00591A48"/>
    <w:rPr>
      <w:rFonts w:eastAsiaTheme="minorEastAsia"/>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591A48"/>
  </w:style>
  <w:style w:type="character" w:customStyle="1" w:styleId="apple-converted-space">
    <w:name w:val="apple-converted-space"/>
    <w:basedOn w:val="Fuentedeprrafopredeter"/>
    <w:rsid w:val="00591A48"/>
  </w:style>
  <w:style w:type="character" w:styleId="Hipervnculo">
    <w:name w:val="Hyperlink"/>
    <w:basedOn w:val="Fuentedeprrafopredeter"/>
    <w:uiPriority w:val="99"/>
    <w:unhideWhenUsed/>
    <w:rsid w:val="00591A48"/>
    <w:rPr>
      <w:color w:val="0000FF"/>
      <w:u w:val="single"/>
    </w:rPr>
  </w:style>
  <w:style w:type="paragraph" w:styleId="NormalWeb">
    <w:name w:val="Normal (Web)"/>
    <w:basedOn w:val="Normal"/>
    <w:uiPriority w:val="99"/>
    <w:unhideWhenUsed/>
    <w:rsid w:val="00591A48"/>
    <w:pPr>
      <w:spacing w:before="100" w:beforeAutospacing="1" w:after="100" w:afterAutospacing="1"/>
    </w:pPr>
    <w:rPr>
      <w:lang w:val="es-MX"/>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nhideWhenUsed/>
    <w:qFormat/>
    <w:rsid w:val="00591A48"/>
    <w:rPr>
      <w:rFonts w:asciiTheme="minorHAnsi" w:eastAsiaTheme="minorHAnsi" w:hAnsiTheme="minorHAnsi" w:cstheme="minorBidi"/>
      <w:sz w:val="20"/>
      <w:szCs w:val="20"/>
      <w:lang w:val="es-MX"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qFormat/>
    <w:rsid w:val="00591A48"/>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qFormat/>
    <w:rsid w:val="00591A48"/>
    <w:rPr>
      <w:vertAlign w:val="superscript"/>
    </w:rPr>
  </w:style>
  <w:style w:type="character" w:styleId="Refdecomentario">
    <w:name w:val="annotation reference"/>
    <w:basedOn w:val="Fuentedeprrafopredeter"/>
    <w:uiPriority w:val="99"/>
    <w:semiHidden/>
    <w:unhideWhenUsed/>
    <w:rsid w:val="00D33422"/>
    <w:rPr>
      <w:sz w:val="16"/>
      <w:szCs w:val="16"/>
    </w:rPr>
  </w:style>
  <w:style w:type="paragraph" w:styleId="Textocomentario">
    <w:name w:val="annotation text"/>
    <w:basedOn w:val="Normal"/>
    <w:link w:val="TextocomentarioCar"/>
    <w:uiPriority w:val="99"/>
    <w:semiHidden/>
    <w:unhideWhenUsed/>
    <w:rsid w:val="00D33422"/>
    <w:rPr>
      <w:sz w:val="20"/>
      <w:szCs w:val="20"/>
    </w:rPr>
  </w:style>
  <w:style w:type="character" w:customStyle="1" w:styleId="TextocomentarioCar">
    <w:name w:val="Texto comentario Car"/>
    <w:basedOn w:val="Fuentedeprrafopredeter"/>
    <w:link w:val="Textocomentario"/>
    <w:uiPriority w:val="99"/>
    <w:semiHidden/>
    <w:rsid w:val="00D33422"/>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33422"/>
    <w:rPr>
      <w:b/>
      <w:bCs/>
    </w:rPr>
  </w:style>
  <w:style w:type="character" w:customStyle="1" w:styleId="AsuntodelcomentarioCar">
    <w:name w:val="Asunto del comentario Car"/>
    <w:basedOn w:val="TextocomentarioCar"/>
    <w:link w:val="Asuntodelcomentario"/>
    <w:uiPriority w:val="99"/>
    <w:semiHidden/>
    <w:rsid w:val="00D33422"/>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D3342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3422"/>
    <w:rPr>
      <w:rFonts w:ascii="Segoe UI" w:eastAsia="Times New Roman" w:hAnsi="Segoe UI" w:cs="Segoe UI"/>
      <w:sz w:val="18"/>
      <w:szCs w:val="18"/>
      <w:lang w:val="es-ES" w:eastAsia="es-ES"/>
    </w:rPr>
  </w:style>
  <w:style w:type="paragraph" w:customStyle="1" w:styleId="paragraph">
    <w:name w:val="paragraph"/>
    <w:basedOn w:val="Normal"/>
    <w:rsid w:val="00225930"/>
    <w:pPr>
      <w:spacing w:before="100" w:beforeAutospacing="1" w:after="100" w:afterAutospacing="1"/>
    </w:pPr>
    <w:rPr>
      <w:lang w:val="es-MX"/>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paragraph" w:styleId="Textoindependiente">
    <w:name w:val="Body Text"/>
    <w:basedOn w:val="Normal"/>
    <w:link w:val="TextoindependienteCar"/>
    <w:uiPriority w:val="99"/>
    <w:unhideWhenUsed/>
    <w:rsid w:val="00AA0915"/>
    <w:pPr>
      <w:spacing w:after="120"/>
    </w:pPr>
  </w:style>
  <w:style w:type="character" w:customStyle="1" w:styleId="TextoindependienteCar">
    <w:name w:val="Texto independiente Car"/>
    <w:basedOn w:val="Fuentedeprrafopredeter"/>
    <w:link w:val="Textoindependiente"/>
    <w:uiPriority w:val="99"/>
    <w:rsid w:val="00AA0915"/>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paragraph" w:styleId="Sinespaciado">
    <w:name w:val="No Spacing"/>
    <w:aliases w:val="Francesa,INAI"/>
    <w:link w:val="SinespaciadoCar"/>
    <w:uiPriority w:val="1"/>
    <w:qFormat/>
    <w:rsid w:val="0085765F"/>
    <w:rPr>
      <w:lang w:val="es-MX" w:eastAsia="es-ES"/>
    </w:rPr>
  </w:style>
  <w:style w:type="character" w:customStyle="1" w:styleId="SinespaciadoCar">
    <w:name w:val="Sin espaciado Car"/>
    <w:aliases w:val="Francesa Car,INAI Car"/>
    <w:link w:val="Sinespaciado"/>
    <w:uiPriority w:val="1"/>
    <w:locked/>
    <w:rsid w:val="0085765F"/>
    <w:rPr>
      <w:lang w:val="es-MX" w:eastAsia="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4467">
      <w:bodyDiv w:val="1"/>
      <w:marLeft w:val="0"/>
      <w:marRight w:val="0"/>
      <w:marTop w:val="0"/>
      <w:marBottom w:val="0"/>
      <w:divBdr>
        <w:top w:val="none" w:sz="0" w:space="0" w:color="auto"/>
        <w:left w:val="none" w:sz="0" w:space="0" w:color="auto"/>
        <w:bottom w:val="none" w:sz="0" w:space="0" w:color="auto"/>
        <w:right w:val="none" w:sz="0" w:space="0" w:color="auto"/>
      </w:divBdr>
    </w:div>
    <w:div w:id="1009286727">
      <w:bodyDiv w:val="1"/>
      <w:marLeft w:val="0"/>
      <w:marRight w:val="0"/>
      <w:marTop w:val="0"/>
      <w:marBottom w:val="0"/>
      <w:divBdr>
        <w:top w:val="none" w:sz="0" w:space="0" w:color="auto"/>
        <w:left w:val="none" w:sz="0" w:space="0" w:color="auto"/>
        <w:bottom w:val="none" w:sz="0" w:space="0" w:color="auto"/>
        <w:right w:val="none" w:sz="0" w:space="0" w:color="auto"/>
      </w:divBdr>
    </w:div>
    <w:div w:id="1066033266">
      <w:bodyDiv w:val="1"/>
      <w:marLeft w:val="0"/>
      <w:marRight w:val="0"/>
      <w:marTop w:val="0"/>
      <w:marBottom w:val="0"/>
      <w:divBdr>
        <w:top w:val="none" w:sz="0" w:space="0" w:color="auto"/>
        <w:left w:val="none" w:sz="0" w:space="0" w:color="auto"/>
        <w:bottom w:val="none" w:sz="0" w:space="0" w:color="auto"/>
        <w:right w:val="none" w:sz="0" w:space="0" w:color="auto"/>
      </w:divBdr>
    </w:div>
    <w:div w:id="1194071390">
      <w:bodyDiv w:val="1"/>
      <w:marLeft w:val="0"/>
      <w:marRight w:val="0"/>
      <w:marTop w:val="0"/>
      <w:marBottom w:val="0"/>
      <w:divBdr>
        <w:top w:val="none" w:sz="0" w:space="0" w:color="auto"/>
        <w:left w:val="none" w:sz="0" w:space="0" w:color="auto"/>
        <w:bottom w:val="none" w:sz="0" w:space="0" w:color="auto"/>
        <w:right w:val="none" w:sz="0" w:space="0" w:color="auto"/>
      </w:divBdr>
    </w:div>
    <w:div w:id="1365521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JX0W1HCN9gFbMVjgdwbWw/QMSQ==">CgMxLjAyCGguZ2pkZ3hzMg5oLnVmbGRsZzF6NWNxZTIJaC4zZHk2dmttMgloLjN6bnlzaDcyDmguaWJpaWU1MXNhd2w2MgloLjFmb2I5dGU4AHIhMUNSTGJwa08yUGlFMUdXSElzMUR3eVFBbnF4ck5jMmo2</go:docsCustomData>
</go:gDocsCustomXmlDataStorage>
</file>

<file path=customXml/itemProps1.xml><?xml version="1.0" encoding="utf-8"?>
<ds:datastoreItem xmlns:ds="http://schemas.openxmlformats.org/officeDocument/2006/customXml" ds:itemID="{7062093D-8236-4FDF-9EE3-5E1D1B6B582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6438</Words>
  <Characters>35412</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ADRIANA INFOEM</cp:lastModifiedBy>
  <cp:revision>2</cp:revision>
  <cp:lastPrinted>2026-09-18T20:52:00Z</cp:lastPrinted>
  <dcterms:created xsi:type="dcterms:W3CDTF">2026-09-22T21:41:00Z</dcterms:created>
  <dcterms:modified xsi:type="dcterms:W3CDTF">2026-09-22T21:41:00Z</dcterms:modified>
</cp:coreProperties>
</file>