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66E145" w14:textId="5425C647" w:rsidR="00566EB9" w:rsidRPr="0029522B" w:rsidRDefault="00D41CCE" w:rsidP="007811FC">
      <w:pPr>
        <w:spacing w:before="240" w:after="240" w:line="360" w:lineRule="auto"/>
        <w:jc w:val="both"/>
        <w:rPr>
          <w:rFonts w:ascii="Palatino Linotype" w:eastAsia="Palatino Linotype" w:hAnsi="Palatino Linotype" w:cs="Palatino Linotype"/>
          <w:b/>
          <w:sz w:val="22"/>
          <w:szCs w:val="22"/>
        </w:rPr>
      </w:pPr>
      <w:bookmarkStart w:id="0" w:name="_heading=h.1fob9te" w:colFirst="0" w:colLast="0"/>
      <w:bookmarkEnd w:id="0"/>
      <w:r w:rsidRPr="0029522B">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w:t>
      </w:r>
      <w:r w:rsidRPr="0029522B">
        <w:rPr>
          <w:rFonts w:ascii="Palatino Linotype" w:eastAsia="Palatino Linotype" w:hAnsi="Palatino Linotype" w:cs="Palatino Linotype"/>
          <w:b/>
          <w:sz w:val="22"/>
          <w:szCs w:val="22"/>
        </w:rPr>
        <w:t xml:space="preserve">a </w:t>
      </w:r>
      <w:r w:rsidR="00F00532" w:rsidRPr="0029522B">
        <w:rPr>
          <w:rFonts w:ascii="Palatino Linotype" w:eastAsia="Palatino Linotype" w:hAnsi="Palatino Linotype" w:cs="Palatino Linotype"/>
          <w:b/>
          <w:sz w:val="22"/>
          <w:szCs w:val="22"/>
        </w:rPr>
        <w:t>veinticinco</w:t>
      </w:r>
      <w:r w:rsidR="00AB196D" w:rsidRPr="0029522B">
        <w:rPr>
          <w:rFonts w:ascii="Palatino Linotype" w:eastAsia="Palatino Linotype" w:hAnsi="Palatino Linotype" w:cs="Palatino Linotype"/>
          <w:b/>
          <w:sz w:val="22"/>
          <w:szCs w:val="22"/>
        </w:rPr>
        <w:t xml:space="preserve"> de febrero</w:t>
      </w:r>
      <w:r w:rsidR="009502A3" w:rsidRPr="0029522B">
        <w:rPr>
          <w:rFonts w:ascii="Palatino Linotype" w:eastAsia="Palatino Linotype" w:hAnsi="Palatino Linotype" w:cs="Palatino Linotype"/>
          <w:b/>
          <w:sz w:val="22"/>
          <w:szCs w:val="22"/>
        </w:rPr>
        <w:t xml:space="preserve"> de dos mil veintiséis</w:t>
      </w:r>
      <w:r w:rsidRPr="0029522B">
        <w:rPr>
          <w:rFonts w:ascii="Palatino Linotype" w:eastAsia="Palatino Linotype" w:hAnsi="Palatino Linotype" w:cs="Palatino Linotype"/>
          <w:sz w:val="22"/>
          <w:szCs w:val="22"/>
        </w:rPr>
        <w:t xml:space="preserve">. </w:t>
      </w:r>
    </w:p>
    <w:p w14:paraId="74DCE31D" w14:textId="56FE730B" w:rsidR="00566EB9" w:rsidRPr="0029522B" w:rsidRDefault="00D41CCE" w:rsidP="007811FC">
      <w:pPr>
        <w:spacing w:before="240" w:after="240" w:line="360" w:lineRule="auto"/>
        <w:jc w:val="both"/>
        <w:rPr>
          <w:rFonts w:ascii="Palatino Linotype" w:eastAsia="Palatino Linotype" w:hAnsi="Palatino Linotype" w:cs="Palatino Linotype"/>
          <w:sz w:val="22"/>
          <w:szCs w:val="22"/>
        </w:rPr>
      </w:pPr>
      <w:bookmarkStart w:id="1" w:name="_heading=h.4d34og8" w:colFirst="0" w:colLast="0"/>
      <w:bookmarkEnd w:id="1"/>
      <w:r w:rsidRPr="0029522B">
        <w:rPr>
          <w:rFonts w:ascii="Palatino Linotype" w:eastAsia="Palatino Linotype" w:hAnsi="Palatino Linotype" w:cs="Palatino Linotype"/>
          <w:b/>
          <w:sz w:val="22"/>
          <w:szCs w:val="22"/>
        </w:rPr>
        <w:t>Visto</w:t>
      </w:r>
      <w:r w:rsidRPr="0029522B">
        <w:rPr>
          <w:rFonts w:ascii="Palatino Linotype" w:eastAsia="Palatino Linotype" w:hAnsi="Palatino Linotype" w:cs="Palatino Linotype"/>
          <w:sz w:val="22"/>
          <w:szCs w:val="22"/>
        </w:rPr>
        <w:t xml:space="preserve"> el expediente formado con motivo del recurso de revisión </w:t>
      </w:r>
      <w:bookmarkStart w:id="2" w:name="_Hlk221548180"/>
      <w:r w:rsidR="00F00532" w:rsidRPr="0029522B">
        <w:rPr>
          <w:rFonts w:ascii="Palatino Linotype" w:eastAsia="Palatino Linotype" w:hAnsi="Palatino Linotype" w:cs="Palatino Linotype"/>
          <w:b/>
          <w:sz w:val="22"/>
          <w:szCs w:val="22"/>
        </w:rPr>
        <w:t>08264/INFOEM/IP/RR/2025</w:t>
      </w:r>
      <w:r w:rsidR="003C62A7" w:rsidRPr="0029522B">
        <w:rPr>
          <w:rFonts w:ascii="Palatino Linotype" w:hAnsi="Palatino Linotype"/>
          <w:b/>
          <w:noProof/>
          <w:sz w:val="22"/>
          <w:szCs w:val="22"/>
        </w:rPr>
        <w:t xml:space="preserve"> y </w:t>
      </w:r>
      <w:r w:rsidR="00F00532" w:rsidRPr="0029522B">
        <w:rPr>
          <w:rFonts w:ascii="Palatino Linotype" w:hAnsi="Palatino Linotype"/>
          <w:b/>
          <w:sz w:val="22"/>
          <w:szCs w:val="22"/>
        </w:rPr>
        <w:t>08547</w:t>
      </w:r>
      <w:r w:rsidR="003C62A7" w:rsidRPr="0029522B">
        <w:rPr>
          <w:rFonts w:ascii="Palatino Linotype" w:hAnsi="Palatino Linotype"/>
          <w:b/>
          <w:noProof/>
          <w:sz w:val="22"/>
          <w:szCs w:val="22"/>
        </w:rPr>
        <w:t xml:space="preserve">/INFOEM/IP/RR/2025  </w:t>
      </w:r>
      <w:bookmarkEnd w:id="2"/>
      <w:r w:rsidR="00E34471" w:rsidRPr="0029522B">
        <w:rPr>
          <w:rFonts w:ascii="Palatino Linotype" w:hAnsi="Palatino Linotype"/>
          <w:b/>
          <w:noProof/>
          <w:sz w:val="22"/>
          <w:szCs w:val="22"/>
        </w:rPr>
        <w:t>acumulados</w:t>
      </w:r>
      <w:r w:rsidRPr="0029522B">
        <w:rPr>
          <w:rFonts w:ascii="Palatino Linotype" w:eastAsia="Palatino Linotype" w:hAnsi="Palatino Linotype" w:cs="Palatino Linotype"/>
          <w:sz w:val="22"/>
          <w:szCs w:val="22"/>
        </w:rPr>
        <w:t>, interpuesto por</w:t>
      </w:r>
      <w:r w:rsidR="003F0A9C" w:rsidRPr="0029522B">
        <w:rPr>
          <w:rFonts w:ascii="Palatino Linotype" w:hAnsi="Palatino Linotype"/>
          <w:sz w:val="22"/>
          <w:szCs w:val="22"/>
        </w:rPr>
        <w:t xml:space="preserve"> </w:t>
      </w:r>
      <w:r w:rsidR="0094572E" w:rsidRPr="0094572E">
        <w:rPr>
          <w:rFonts w:ascii="Palatino Linotype" w:eastAsia="Palatino Linotype" w:hAnsi="Palatino Linotype" w:cs="Palatino Linotype"/>
          <w:b/>
          <w:sz w:val="22"/>
          <w:szCs w:val="22"/>
        </w:rPr>
        <w:t>XXXX XXXXXX XXXXX</w:t>
      </w:r>
      <w:r w:rsidRPr="0094572E">
        <w:rPr>
          <w:rFonts w:ascii="Palatino Linotype" w:eastAsia="Palatino Linotype" w:hAnsi="Palatino Linotype" w:cs="Palatino Linotype"/>
          <w:b/>
          <w:sz w:val="22"/>
          <w:szCs w:val="22"/>
        </w:rPr>
        <w:t>,</w:t>
      </w:r>
      <w:bookmarkStart w:id="3" w:name="_GoBack"/>
      <w:bookmarkEnd w:id="3"/>
      <w:r w:rsidRPr="0029522B">
        <w:rPr>
          <w:rFonts w:ascii="Palatino Linotype" w:eastAsia="Palatino Linotype" w:hAnsi="Palatino Linotype" w:cs="Palatino Linotype"/>
          <w:sz w:val="22"/>
          <w:szCs w:val="22"/>
        </w:rPr>
        <w:t xml:space="preserve"> en lo sucesivo</w:t>
      </w:r>
      <w:r w:rsidRPr="0029522B">
        <w:rPr>
          <w:rFonts w:ascii="Palatino Linotype" w:eastAsia="Palatino Linotype" w:hAnsi="Palatino Linotype" w:cs="Palatino Linotype"/>
          <w:b/>
          <w:sz w:val="22"/>
          <w:szCs w:val="22"/>
        </w:rPr>
        <w:t xml:space="preserve"> la parte</w:t>
      </w:r>
      <w:r w:rsidRPr="0029522B">
        <w:rPr>
          <w:rFonts w:ascii="Palatino Linotype" w:eastAsia="Palatino Linotype" w:hAnsi="Palatino Linotype" w:cs="Palatino Linotype"/>
          <w:sz w:val="22"/>
          <w:szCs w:val="22"/>
        </w:rPr>
        <w:t xml:space="preserve"> </w:t>
      </w:r>
      <w:r w:rsidRPr="0029522B">
        <w:rPr>
          <w:rFonts w:ascii="Palatino Linotype" w:eastAsia="Palatino Linotype" w:hAnsi="Palatino Linotype" w:cs="Palatino Linotype"/>
          <w:b/>
          <w:sz w:val="22"/>
          <w:szCs w:val="22"/>
        </w:rPr>
        <w:t>Recurrente,</w:t>
      </w:r>
      <w:r w:rsidRPr="0029522B">
        <w:rPr>
          <w:rFonts w:ascii="Palatino Linotype" w:eastAsia="Palatino Linotype" w:hAnsi="Palatino Linotype" w:cs="Palatino Linotype"/>
          <w:sz w:val="22"/>
          <w:szCs w:val="22"/>
        </w:rPr>
        <w:t xml:space="preserve"> en contra de la</w:t>
      </w:r>
      <w:r w:rsidR="00E34471" w:rsidRPr="0029522B">
        <w:rPr>
          <w:rFonts w:ascii="Palatino Linotype" w:eastAsia="Palatino Linotype" w:hAnsi="Palatino Linotype" w:cs="Palatino Linotype"/>
          <w:sz w:val="22"/>
          <w:szCs w:val="22"/>
        </w:rPr>
        <w:t>s</w:t>
      </w:r>
      <w:r w:rsidRPr="0029522B">
        <w:rPr>
          <w:rFonts w:ascii="Palatino Linotype" w:eastAsia="Palatino Linotype" w:hAnsi="Palatino Linotype" w:cs="Palatino Linotype"/>
          <w:sz w:val="22"/>
          <w:szCs w:val="22"/>
        </w:rPr>
        <w:t xml:space="preserve"> respuesta</w:t>
      </w:r>
      <w:r w:rsidR="00E34471" w:rsidRPr="0029522B">
        <w:rPr>
          <w:rFonts w:ascii="Palatino Linotype" w:eastAsia="Palatino Linotype" w:hAnsi="Palatino Linotype" w:cs="Palatino Linotype"/>
          <w:sz w:val="22"/>
          <w:szCs w:val="22"/>
        </w:rPr>
        <w:t>s</w:t>
      </w:r>
      <w:r w:rsidRPr="0029522B">
        <w:rPr>
          <w:rFonts w:ascii="Palatino Linotype" w:eastAsia="Palatino Linotype" w:hAnsi="Palatino Linotype" w:cs="Palatino Linotype"/>
          <w:sz w:val="22"/>
          <w:szCs w:val="22"/>
        </w:rPr>
        <w:t xml:space="preserve"> a su</w:t>
      </w:r>
      <w:r w:rsidR="00E34471" w:rsidRPr="0029522B">
        <w:rPr>
          <w:rFonts w:ascii="Palatino Linotype" w:eastAsia="Palatino Linotype" w:hAnsi="Palatino Linotype" w:cs="Palatino Linotype"/>
          <w:sz w:val="22"/>
          <w:szCs w:val="22"/>
        </w:rPr>
        <w:t>s</w:t>
      </w:r>
      <w:r w:rsidRPr="0029522B">
        <w:rPr>
          <w:rFonts w:ascii="Palatino Linotype" w:eastAsia="Palatino Linotype" w:hAnsi="Palatino Linotype" w:cs="Palatino Linotype"/>
          <w:sz w:val="22"/>
          <w:szCs w:val="22"/>
        </w:rPr>
        <w:t xml:space="preserve"> solicitud</w:t>
      </w:r>
      <w:r w:rsidR="00E34471" w:rsidRPr="0029522B">
        <w:rPr>
          <w:rFonts w:ascii="Palatino Linotype" w:eastAsia="Palatino Linotype" w:hAnsi="Palatino Linotype" w:cs="Palatino Linotype"/>
          <w:sz w:val="22"/>
          <w:szCs w:val="22"/>
        </w:rPr>
        <w:t>es</w:t>
      </w:r>
      <w:r w:rsidRPr="0029522B">
        <w:rPr>
          <w:rFonts w:ascii="Palatino Linotype" w:eastAsia="Palatino Linotype" w:hAnsi="Palatino Linotype" w:cs="Palatino Linotype"/>
          <w:sz w:val="22"/>
          <w:szCs w:val="22"/>
        </w:rPr>
        <w:t xml:space="preserve"> por parte del</w:t>
      </w:r>
      <w:r w:rsidR="003F0A9C" w:rsidRPr="0029522B">
        <w:rPr>
          <w:rFonts w:ascii="Palatino Linotype" w:eastAsia="Palatino Linotype" w:hAnsi="Palatino Linotype" w:cs="Palatino Linotype"/>
          <w:sz w:val="22"/>
          <w:szCs w:val="22"/>
        </w:rPr>
        <w:t xml:space="preserve"> </w:t>
      </w:r>
      <w:r w:rsidR="00F00532" w:rsidRPr="0029522B">
        <w:rPr>
          <w:rFonts w:ascii="Palatino Linotype" w:eastAsia="Palatino Linotype" w:hAnsi="Palatino Linotype" w:cs="Palatino Linotype"/>
          <w:b/>
          <w:bCs/>
          <w:sz w:val="22"/>
          <w:szCs w:val="22"/>
        </w:rPr>
        <w:t>Ayuntamiento de Teoloyucan</w:t>
      </w:r>
      <w:r w:rsidR="00C30DDF" w:rsidRPr="0029522B">
        <w:rPr>
          <w:rFonts w:ascii="Palatino Linotype" w:eastAsia="Palatino Linotype" w:hAnsi="Palatino Linotype" w:cs="Palatino Linotype"/>
          <w:b/>
          <w:bCs/>
          <w:sz w:val="22"/>
          <w:szCs w:val="22"/>
        </w:rPr>
        <w:t>,</w:t>
      </w:r>
      <w:r w:rsidRPr="0029522B">
        <w:rPr>
          <w:rFonts w:ascii="Palatino Linotype" w:eastAsia="Palatino Linotype" w:hAnsi="Palatino Linotype" w:cs="Palatino Linotype"/>
          <w:b/>
          <w:sz w:val="22"/>
          <w:szCs w:val="22"/>
        </w:rPr>
        <w:t xml:space="preserve"> </w:t>
      </w:r>
      <w:r w:rsidRPr="0029522B">
        <w:rPr>
          <w:rFonts w:ascii="Palatino Linotype" w:eastAsia="Palatino Linotype" w:hAnsi="Palatino Linotype" w:cs="Palatino Linotype"/>
          <w:sz w:val="22"/>
          <w:szCs w:val="22"/>
        </w:rPr>
        <w:t xml:space="preserve">en lo sucesivo el </w:t>
      </w:r>
      <w:r w:rsidRPr="0029522B">
        <w:rPr>
          <w:rFonts w:ascii="Palatino Linotype" w:eastAsia="Palatino Linotype" w:hAnsi="Palatino Linotype" w:cs="Palatino Linotype"/>
          <w:b/>
          <w:sz w:val="22"/>
          <w:szCs w:val="22"/>
        </w:rPr>
        <w:t xml:space="preserve">Sujeto Obligado, </w:t>
      </w:r>
      <w:r w:rsidRPr="0029522B">
        <w:rPr>
          <w:rFonts w:ascii="Palatino Linotype" w:eastAsia="Palatino Linotype" w:hAnsi="Palatino Linotype" w:cs="Palatino Linotype"/>
          <w:sz w:val="22"/>
          <w:szCs w:val="22"/>
        </w:rPr>
        <w:t xml:space="preserve">se procede a dictar la presente resolución con base en los siguientes: </w:t>
      </w:r>
    </w:p>
    <w:p w14:paraId="5901C193" w14:textId="77777777" w:rsidR="00566EB9" w:rsidRPr="0029522B" w:rsidRDefault="00D41CCE" w:rsidP="007811FC">
      <w:pPr>
        <w:spacing w:before="240" w:after="240" w:line="360" w:lineRule="auto"/>
        <w:jc w:val="center"/>
        <w:rPr>
          <w:rFonts w:ascii="Palatino Linotype" w:eastAsia="Palatino Linotype" w:hAnsi="Palatino Linotype" w:cs="Palatino Linotype"/>
          <w:b/>
          <w:sz w:val="22"/>
          <w:szCs w:val="22"/>
        </w:rPr>
      </w:pPr>
      <w:r w:rsidRPr="0029522B">
        <w:rPr>
          <w:rFonts w:ascii="Palatino Linotype" w:eastAsia="Palatino Linotype" w:hAnsi="Palatino Linotype" w:cs="Palatino Linotype"/>
          <w:b/>
          <w:sz w:val="22"/>
          <w:szCs w:val="22"/>
        </w:rPr>
        <w:t>I. A N T E C E D E N T E S</w:t>
      </w:r>
    </w:p>
    <w:p w14:paraId="336C0FED" w14:textId="66F10CEA" w:rsidR="00566EB9" w:rsidRPr="0029522B" w:rsidRDefault="00D41CCE" w:rsidP="007811FC">
      <w:pPr>
        <w:spacing w:before="240" w:after="240" w:line="360" w:lineRule="auto"/>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b/>
          <w:sz w:val="22"/>
          <w:szCs w:val="22"/>
        </w:rPr>
        <w:t>1. Solicitud de acceso a la información.</w:t>
      </w:r>
      <w:r w:rsidRPr="0029522B">
        <w:rPr>
          <w:rFonts w:ascii="Palatino Linotype" w:eastAsia="Palatino Linotype" w:hAnsi="Palatino Linotype" w:cs="Palatino Linotype"/>
          <w:sz w:val="22"/>
          <w:szCs w:val="22"/>
        </w:rPr>
        <w:t xml:space="preserve"> E</w:t>
      </w:r>
      <w:r w:rsidR="00E34471" w:rsidRPr="0029522B">
        <w:rPr>
          <w:rFonts w:ascii="Palatino Linotype" w:eastAsia="Palatino Linotype" w:hAnsi="Palatino Linotype" w:cs="Palatino Linotype"/>
          <w:sz w:val="22"/>
          <w:szCs w:val="22"/>
        </w:rPr>
        <w:t xml:space="preserve">n fechas </w:t>
      </w:r>
      <w:r w:rsidR="00331D0C" w:rsidRPr="0029522B">
        <w:rPr>
          <w:rFonts w:ascii="Palatino Linotype" w:eastAsia="Palatino Linotype" w:hAnsi="Palatino Linotype" w:cs="Palatino Linotype"/>
          <w:b/>
          <w:bCs/>
          <w:sz w:val="22"/>
          <w:szCs w:val="22"/>
        </w:rPr>
        <w:t>once</w:t>
      </w:r>
      <w:r w:rsidR="00E34471" w:rsidRPr="0029522B">
        <w:rPr>
          <w:rFonts w:ascii="Palatino Linotype" w:eastAsia="Palatino Linotype" w:hAnsi="Palatino Linotype" w:cs="Palatino Linotype"/>
          <w:b/>
          <w:sz w:val="22"/>
          <w:szCs w:val="22"/>
        </w:rPr>
        <w:t xml:space="preserve"> de </w:t>
      </w:r>
      <w:r w:rsidR="00331D0C" w:rsidRPr="0029522B">
        <w:rPr>
          <w:rFonts w:ascii="Palatino Linotype" w:eastAsia="Palatino Linotype" w:hAnsi="Palatino Linotype" w:cs="Palatino Linotype"/>
          <w:b/>
          <w:sz w:val="22"/>
          <w:szCs w:val="22"/>
        </w:rPr>
        <w:t>junio</w:t>
      </w:r>
      <w:r w:rsidR="00E34471" w:rsidRPr="0029522B">
        <w:rPr>
          <w:rFonts w:ascii="Palatino Linotype" w:eastAsia="Palatino Linotype" w:hAnsi="Palatino Linotype" w:cs="Palatino Linotype"/>
          <w:b/>
          <w:sz w:val="22"/>
          <w:szCs w:val="22"/>
        </w:rPr>
        <w:t xml:space="preserve"> de dos mil veinticinco</w:t>
      </w:r>
      <w:r w:rsidRPr="0029522B">
        <w:rPr>
          <w:rFonts w:ascii="Palatino Linotype" w:eastAsia="Palatino Linotype" w:hAnsi="Palatino Linotype" w:cs="Palatino Linotype"/>
          <w:b/>
          <w:sz w:val="22"/>
          <w:szCs w:val="22"/>
        </w:rPr>
        <w:t>,</w:t>
      </w:r>
      <w:r w:rsidRPr="0029522B">
        <w:rPr>
          <w:rFonts w:ascii="Palatino Linotype" w:eastAsia="Palatino Linotype" w:hAnsi="Palatino Linotype" w:cs="Palatino Linotype"/>
          <w:sz w:val="22"/>
          <w:szCs w:val="22"/>
        </w:rPr>
        <w:t xml:space="preserve"> </w:t>
      </w:r>
      <w:r w:rsidRPr="0029522B">
        <w:rPr>
          <w:rFonts w:ascii="Palatino Linotype" w:eastAsia="Palatino Linotype" w:hAnsi="Palatino Linotype" w:cs="Palatino Linotype"/>
          <w:b/>
          <w:sz w:val="22"/>
          <w:szCs w:val="22"/>
        </w:rPr>
        <w:t>la parte</w:t>
      </w:r>
      <w:r w:rsidRPr="0029522B">
        <w:rPr>
          <w:rFonts w:ascii="Palatino Linotype" w:eastAsia="Palatino Linotype" w:hAnsi="Palatino Linotype" w:cs="Palatino Linotype"/>
          <w:sz w:val="22"/>
          <w:szCs w:val="22"/>
        </w:rPr>
        <w:t xml:space="preserve"> </w:t>
      </w:r>
      <w:r w:rsidRPr="0029522B">
        <w:rPr>
          <w:rFonts w:ascii="Palatino Linotype" w:eastAsia="Palatino Linotype" w:hAnsi="Palatino Linotype" w:cs="Palatino Linotype"/>
          <w:b/>
          <w:sz w:val="22"/>
          <w:szCs w:val="22"/>
        </w:rPr>
        <w:t xml:space="preserve">Recurrente </w:t>
      </w:r>
      <w:r w:rsidR="00E34471" w:rsidRPr="0029522B">
        <w:rPr>
          <w:rFonts w:ascii="Palatino Linotype" w:eastAsia="Palatino Linotype" w:hAnsi="Palatino Linotype" w:cs="Palatino Linotype"/>
          <w:sz w:val="22"/>
          <w:szCs w:val="22"/>
        </w:rPr>
        <w:t>formuló solicitudes de acceso a información pública a través del SAIMEX; en las que se requirió lo siguiente:</w:t>
      </w:r>
    </w:p>
    <w:tbl>
      <w:tblPr>
        <w:tblW w:w="89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6233"/>
      </w:tblGrid>
      <w:tr w:rsidR="002D79F6" w:rsidRPr="0029522B" w14:paraId="1EC916B3" w14:textId="77777777" w:rsidTr="00E34471">
        <w:tc>
          <w:tcPr>
            <w:tcW w:w="2693" w:type="dxa"/>
            <w:shd w:val="clear" w:color="auto" w:fill="D9D9D9"/>
          </w:tcPr>
          <w:p w14:paraId="788476EC" w14:textId="77777777" w:rsidR="00E34471" w:rsidRPr="0029522B" w:rsidRDefault="00E34471" w:rsidP="00E34471">
            <w:pPr>
              <w:jc w:val="both"/>
              <w:rPr>
                <w:rFonts w:ascii="Palatino Linotype" w:eastAsia="Palatino Linotype" w:hAnsi="Palatino Linotype" w:cs="Palatino Linotype"/>
                <w:b/>
                <w:i/>
                <w:sz w:val="22"/>
                <w:szCs w:val="22"/>
              </w:rPr>
            </w:pPr>
            <w:r w:rsidRPr="0029522B">
              <w:rPr>
                <w:rFonts w:ascii="Palatino Linotype" w:eastAsia="Palatino Linotype" w:hAnsi="Palatino Linotype" w:cs="Palatino Linotype"/>
                <w:b/>
                <w:i/>
                <w:sz w:val="22"/>
                <w:szCs w:val="22"/>
              </w:rPr>
              <w:t>Número de solicitud</w:t>
            </w:r>
          </w:p>
        </w:tc>
        <w:tc>
          <w:tcPr>
            <w:tcW w:w="6233" w:type="dxa"/>
            <w:shd w:val="clear" w:color="auto" w:fill="D9D9D9"/>
          </w:tcPr>
          <w:p w14:paraId="0CD33C9D" w14:textId="77777777" w:rsidR="00E34471" w:rsidRPr="0029522B" w:rsidRDefault="00E34471" w:rsidP="00E34471">
            <w:pPr>
              <w:jc w:val="center"/>
              <w:rPr>
                <w:rFonts w:ascii="Palatino Linotype" w:eastAsia="Palatino Linotype" w:hAnsi="Palatino Linotype" w:cs="Palatino Linotype"/>
                <w:b/>
                <w:i/>
                <w:sz w:val="22"/>
                <w:szCs w:val="22"/>
              </w:rPr>
            </w:pPr>
            <w:r w:rsidRPr="0029522B">
              <w:rPr>
                <w:rFonts w:ascii="Palatino Linotype" w:eastAsia="Palatino Linotype" w:hAnsi="Palatino Linotype" w:cs="Palatino Linotype"/>
                <w:b/>
                <w:i/>
                <w:sz w:val="22"/>
                <w:szCs w:val="22"/>
              </w:rPr>
              <w:t>Información requerida.</w:t>
            </w:r>
          </w:p>
        </w:tc>
      </w:tr>
      <w:tr w:rsidR="002D79F6" w:rsidRPr="0029522B" w14:paraId="478D5FF5" w14:textId="77777777" w:rsidTr="00E34471">
        <w:trPr>
          <w:trHeight w:val="564"/>
        </w:trPr>
        <w:tc>
          <w:tcPr>
            <w:tcW w:w="2693" w:type="dxa"/>
          </w:tcPr>
          <w:p w14:paraId="23788554" w14:textId="06716BFB" w:rsidR="00E34471" w:rsidRPr="0029522B" w:rsidRDefault="003C62A7" w:rsidP="00F00532">
            <w:pPr>
              <w:jc w:val="both"/>
              <w:rPr>
                <w:rFonts w:ascii="Palatino Linotype" w:eastAsia="Palatino Linotype" w:hAnsi="Palatino Linotype" w:cs="Palatino Linotype"/>
                <w:b/>
                <w:i/>
                <w:sz w:val="22"/>
                <w:szCs w:val="22"/>
              </w:rPr>
            </w:pPr>
            <w:r w:rsidRPr="0029522B">
              <w:rPr>
                <w:rFonts w:ascii="Palatino Linotype" w:eastAsia="Palatino Linotype" w:hAnsi="Palatino Linotype" w:cs="Palatino Linotype"/>
                <w:b/>
                <w:i/>
                <w:sz w:val="22"/>
                <w:szCs w:val="22"/>
              </w:rPr>
              <w:t>0</w:t>
            </w:r>
            <w:r w:rsidR="00F00532" w:rsidRPr="0029522B">
              <w:rPr>
                <w:rFonts w:ascii="Palatino Linotype" w:eastAsia="Palatino Linotype" w:hAnsi="Palatino Linotype" w:cs="Palatino Linotype"/>
                <w:b/>
                <w:i/>
                <w:sz w:val="22"/>
                <w:szCs w:val="22"/>
              </w:rPr>
              <w:t>0878</w:t>
            </w:r>
            <w:r w:rsidRPr="0029522B">
              <w:rPr>
                <w:rFonts w:ascii="Palatino Linotype" w:eastAsia="Palatino Linotype" w:hAnsi="Palatino Linotype" w:cs="Palatino Linotype"/>
                <w:b/>
                <w:i/>
                <w:sz w:val="22"/>
                <w:szCs w:val="22"/>
              </w:rPr>
              <w:t>/</w:t>
            </w:r>
            <w:r w:rsidR="00F00532" w:rsidRPr="0029522B">
              <w:rPr>
                <w:rFonts w:ascii="Palatino Linotype" w:eastAsia="Palatino Linotype" w:hAnsi="Palatino Linotype" w:cs="Palatino Linotype"/>
                <w:b/>
                <w:i/>
                <w:sz w:val="22"/>
                <w:szCs w:val="22"/>
              </w:rPr>
              <w:t>TEOLOYU</w:t>
            </w:r>
            <w:r w:rsidRPr="0029522B">
              <w:rPr>
                <w:rFonts w:ascii="Palatino Linotype" w:eastAsia="Palatino Linotype" w:hAnsi="Palatino Linotype" w:cs="Palatino Linotype"/>
                <w:b/>
                <w:i/>
                <w:sz w:val="22"/>
                <w:szCs w:val="22"/>
              </w:rPr>
              <w:t>/IP/2025</w:t>
            </w:r>
          </w:p>
        </w:tc>
        <w:tc>
          <w:tcPr>
            <w:tcW w:w="6233" w:type="dxa"/>
          </w:tcPr>
          <w:p w14:paraId="619FB91C" w14:textId="5DB770F2" w:rsidR="00E34471" w:rsidRPr="0029522B" w:rsidRDefault="00331D0C" w:rsidP="00E34471">
            <w:pPr>
              <w:jc w:val="both"/>
              <w:rPr>
                <w:rFonts w:ascii="Palatino Linotype" w:eastAsia="Palatino Linotype" w:hAnsi="Palatino Linotype" w:cs="Palatino Linotype"/>
                <w:i/>
                <w:sz w:val="22"/>
                <w:szCs w:val="22"/>
              </w:rPr>
            </w:pPr>
            <w:r w:rsidRPr="0029522B">
              <w:rPr>
                <w:rFonts w:ascii="Palatino Linotype" w:eastAsia="Palatino Linotype" w:hAnsi="Palatino Linotype" w:cs="Palatino Linotype"/>
                <w:i/>
                <w:sz w:val="22"/>
                <w:szCs w:val="22"/>
              </w:rPr>
              <w:t xml:space="preserve">1. Listado completo de todos los servidores públicos dados de alta en la administración del H. Ayuntamiento de Teoloyucan, órganos desconcentrados y descentralizados, desglosado por: * Nombre completo del servidor público. (Los nombres se pueden testar) * Cargo o puesto que ocupa. * Departamento o área de adscripción. * Sueldo bruto mensual. * Sueldo neto mensual. Todas las percepciones adicionales (compensaciones, bonos, prestaciones, etc.) desglosadas por concepto y monto. * Fecha de alta en la administración. 2. Tabulador de sueldos y salarios vigente para todos los cargos y niveles jerárquicos de la administración municipal. 3. Cualquier acuerdo o instrumento normativo interno que regule las asignaciones salariales, compensaciones extraordinarias o cualquier otra percepción económica para los servidores públicos. 4. Total de días </w:t>
            </w:r>
            <w:r w:rsidRPr="0029522B">
              <w:rPr>
                <w:rFonts w:ascii="Palatino Linotype" w:eastAsia="Palatino Linotype" w:hAnsi="Palatino Linotype" w:cs="Palatino Linotype"/>
                <w:i/>
                <w:sz w:val="22"/>
                <w:szCs w:val="22"/>
              </w:rPr>
              <w:lastRenderedPageBreak/>
              <w:t>aprobados de aguinaldo para los servidores públicos mediante cabildo y en qué sesión se aprobó</w:t>
            </w:r>
          </w:p>
        </w:tc>
      </w:tr>
      <w:tr w:rsidR="002D79F6" w:rsidRPr="0029522B" w14:paraId="4B9BBB7D" w14:textId="77777777" w:rsidTr="00E34471">
        <w:tc>
          <w:tcPr>
            <w:tcW w:w="2693" w:type="dxa"/>
          </w:tcPr>
          <w:p w14:paraId="761DEB0C" w14:textId="6D8142B2" w:rsidR="00412BB6" w:rsidRPr="0029522B" w:rsidRDefault="00412BB6" w:rsidP="00331D0C">
            <w:pPr>
              <w:jc w:val="both"/>
              <w:rPr>
                <w:rFonts w:ascii="Palatino Linotype" w:eastAsia="Palatino Linotype" w:hAnsi="Palatino Linotype" w:cs="Palatino Linotype"/>
                <w:b/>
                <w:i/>
                <w:sz w:val="22"/>
                <w:szCs w:val="22"/>
              </w:rPr>
            </w:pPr>
            <w:r w:rsidRPr="0029522B">
              <w:rPr>
                <w:rFonts w:ascii="Palatino Linotype" w:eastAsia="Palatino Linotype" w:hAnsi="Palatino Linotype" w:cs="Palatino Linotype"/>
                <w:b/>
                <w:i/>
                <w:sz w:val="22"/>
                <w:szCs w:val="22"/>
              </w:rPr>
              <w:lastRenderedPageBreak/>
              <w:t>0</w:t>
            </w:r>
            <w:r w:rsidR="00331D0C" w:rsidRPr="0029522B">
              <w:rPr>
                <w:rFonts w:ascii="Palatino Linotype" w:eastAsia="Palatino Linotype" w:hAnsi="Palatino Linotype" w:cs="Palatino Linotype"/>
                <w:b/>
                <w:i/>
                <w:sz w:val="22"/>
                <w:szCs w:val="22"/>
              </w:rPr>
              <w:t>0879</w:t>
            </w:r>
            <w:r w:rsidRPr="0029522B">
              <w:rPr>
                <w:rFonts w:ascii="Palatino Linotype" w:eastAsia="Palatino Linotype" w:hAnsi="Palatino Linotype" w:cs="Palatino Linotype"/>
                <w:b/>
                <w:i/>
                <w:sz w:val="22"/>
                <w:szCs w:val="22"/>
              </w:rPr>
              <w:t>/</w:t>
            </w:r>
            <w:r w:rsidR="00331D0C" w:rsidRPr="0029522B">
              <w:rPr>
                <w:rFonts w:ascii="Palatino Linotype" w:eastAsia="Palatino Linotype" w:hAnsi="Palatino Linotype" w:cs="Palatino Linotype"/>
                <w:b/>
                <w:i/>
                <w:sz w:val="22"/>
                <w:szCs w:val="22"/>
              </w:rPr>
              <w:t>TEOLOYU</w:t>
            </w:r>
            <w:r w:rsidRPr="0029522B">
              <w:rPr>
                <w:rFonts w:ascii="Palatino Linotype" w:eastAsia="Palatino Linotype" w:hAnsi="Palatino Linotype" w:cs="Palatino Linotype"/>
                <w:b/>
                <w:i/>
                <w:sz w:val="22"/>
                <w:szCs w:val="22"/>
              </w:rPr>
              <w:t>/IP/2025</w:t>
            </w:r>
          </w:p>
        </w:tc>
        <w:tc>
          <w:tcPr>
            <w:tcW w:w="6233" w:type="dxa"/>
          </w:tcPr>
          <w:p w14:paraId="74CF311A" w14:textId="03A9EC42" w:rsidR="00412BB6" w:rsidRPr="0029522B" w:rsidRDefault="007B0162" w:rsidP="00412BB6">
            <w:pPr>
              <w:jc w:val="both"/>
              <w:rPr>
                <w:rFonts w:ascii="Palatino Linotype" w:eastAsia="Palatino Linotype" w:hAnsi="Palatino Linotype" w:cs="Palatino Linotype"/>
                <w:i/>
                <w:sz w:val="22"/>
                <w:szCs w:val="22"/>
              </w:rPr>
            </w:pPr>
            <w:r w:rsidRPr="0029522B">
              <w:rPr>
                <w:rFonts w:ascii="Palatino Linotype" w:eastAsia="Palatino Linotype" w:hAnsi="Palatino Linotype" w:cs="Palatino Linotype"/>
                <w:i/>
                <w:sz w:val="22"/>
                <w:szCs w:val="22"/>
              </w:rPr>
              <w:t>1. Listado completo de todos los servidores públicos dados de alta en la administración del H. Ayuntamiento de Teoloyucan, órganos desconcentrados y descentralizados, desglosado por: * Nombre completo del servidor público. (Los nombres se pueden testar) * Cargo o puesto que ocupa. * Departamento o área de adscripción. * Sueldo bruto mensual. * Sueldo neto mensual. Todas las percepciones adicionales (compensaciones, bonos, prestaciones, etc.) desglosadas por concepto y monto. * Fecha de alta en la administración. 2. Tabulador de sueldos y salarios vigente para todos los cargos y niveles jerárquicos de la administración municipal. 3. Cualquier acuerdo o instrumento normativo interno que regule las asignaciones salariales, compensaciones extraordinarias o cualquier otra percepción económica para los servidores públicos. 4. Total de días aprobados de aguinaldo para los servidores públicos mediante cabildo y en qué sesión se aprobó</w:t>
            </w:r>
          </w:p>
        </w:tc>
      </w:tr>
    </w:tbl>
    <w:p w14:paraId="6174D864" w14:textId="03EF8AAD" w:rsidR="00331D0C" w:rsidRPr="0029522B" w:rsidRDefault="00331D0C" w:rsidP="007811FC">
      <w:pPr>
        <w:spacing w:before="240" w:after="240" w:line="360" w:lineRule="auto"/>
        <w:ind w:right="49"/>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sz w:val="22"/>
          <w:szCs w:val="22"/>
        </w:rPr>
        <w:t xml:space="preserve">El Recurrente adjuntó el documento electrónico denominado SOLICITUD.docx, cuyo contenido es el siguiente: </w:t>
      </w:r>
    </w:p>
    <w:p w14:paraId="147153EA" w14:textId="77777777" w:rsidR="00331D0C" w:rsidRPr="0029522B" w:rsidRDefault="00331D0C" w:rsidP="00331D0C">
      <w:pPr>
        <w:widowControl w:val="0"/>
        <w:autoSpaceDE w:val="0"/>
        <w:autoSpaceDN w:val="0"/>
        <w:spacing w:line="360" w:lineRule="auto"/>
        <w:ind w:left="284" w:right="616"/>
        <w:jc w:val="both"/>
        <w:rPr>
          <w:rFonts w:ascii="Palatino Linotype" w:hAnsi="Palatino Linotype" w:cs="Arial"/>
          <w:i/>
          <w:sz w:val="22"/>
          <w:szCs w:val="22"/>
          <w:lang w:eastAsia="es-ES"/>
        </w:rPr>
      </w:pPr>
      <w:r w:rsidRPr="0029522B">
        <w:rPr>
          <w:rFonts w:ascii="Palatino Linotype" w:hAnsi="Palatino Linotype" w:cs="Arial"/>
          <w:i/>
          <w:sz w:val="22"/>
          <w:szCs w:val="22"/>
          <w:lang w:eastAsia="es-ES"/>
        </w:rPr>
        <w:t>Por medio del presente, y con fundamento en los artículos 3, 4, 12 y 49 de y demás relativos y aplicables de la Ley de Transparencia y Acceso a la Información Pública del Estado de México y Municipios, así como los principios de máxima publicidad y rendición de cuentas, me dirijo a usted de la manera más atenta y respetuosa para solicitar la siguiente información:</w:t>
      </w:r>
    </w:p>
    <w:p w14:paraId="5AAD0781" w14:textId="77777777" w:rsidR="00331D0C" w:rsidRPr="0029522B" w:rsidRDefault="00331D0C" w:rsidP="00331D0C">
      <w:pPr>
        <w:ind w:left="284" w:right="616"/>
        <w:rPr>
          <w:rFonts w:ascii="Palatino Linotype" w:hAnsi="Palatino Linotype" w:cs="Arial"/>
          <w:i/>
          <w:sz w:val="22"/>
          <w:szCs w:val="22"/>
          <w:lang w:eastAsia="es-ES"/>
        </w:rPr>
      </w:pPr>
    </w:p>
    <w:p w14:paraId="3B05D55A" w14:textId="77777777" w:rsidR="00331D0C" w:rsidRPr="0029522B" w:rsidRDefault="00331D0C" w:rsidP="00331D0C">
      <w:pPr>
        <w:ind w:left="284" w:right="616"/>
        <w:rPr>
          <w:rFonts w:ascii="Palatino Linotype" w:hAnsi="Palatino Linotype" w:cs="Arial"/>
          <w:i/>
          <w:sz w:val="22"/>
          <w:szCs w:val="22"/>
          <w:lang w:eastAsia="es-ES"/>
        </w:rPr>
      </w:pPr>
      <w:r w:rsidRPr="0029522B">
        <w:rPr>
          <w:rFonts w:ascii="Palatino Linotype" w:hAnsi="Palatino Linotype" w:cs="Arial"/>
          <w:i/>
          <w:sz w:val="22"/>
          <w:szCs w:val="22"/>
          <w:lang w:eastAsia="es-ES"/>
        </w:rPr>
        <w:t>1. Listado completo de todos los servidores públicos dados de alta en la administración del H. Ayuntamiento de Teoloyucan, órganos desconcentrados y descentralizados, desglosado por:</w:t>
      </w:r>
    </w:p>
    <w:p w14:paraId="69D6B057" w14:textId="77777777" w:rsidR="00331D0C" w:rsidRPr="0029522B" w:rsidRDefault="00331D0C" w:rsidP="00331D0C">
      <w:pPr>
        <w:ind w:left="284" w:right="616"/>
        <w:rPr>
          <w:rFonts w:ascii="Palatino Linotype" w:hAnsi="Palatino Linotype" w:cs="Arial"/>
          <w:i/>
          <w:sz w:val="22"/>
          <w:szCs w:val="22"/>
          <w:lang w:eastAsia="es-ES"/>
        </w:rPr>
      </w:pPr>
      <w:r w:rsidRPr="0029522B">
        <w:rPr>
          <w:rFonts w:ascii="Palatino Linotype" w:hAnsi="Palatino Linotype" w:cs="Arial"/>
          <w:i/>
          <w:sz w:val="22"/>
          <w:szCs w:val="22"/>
          <w:lang w:eastAsia="es-ES"/>
        </w:rPr>
        <w:t>* Nombre completo del servidor público.    (Los nombres se pueden testar)</w:t>
      </w:r>
    </w:p>
    <w:p w14:paraId="6C37E0DB" w14:textId="77777777" w:rsidR="00331D0C" w:rsidRPr="0029522B" w:rsidRDefault="00331D0C" w:rsidP="00331D0C">
      <w:pPr>
        <w:ind w:left="284" w:right="616"/>
        <w:rPr>
          <w:rFonts w:ascii="Palatino Linotype" w:hAnsi="Palatino Linotype" w:cs="Arial"/>
          <w:i/>
          <w:sz w:val="22"/>
          <w:szCs w:val="22"/>
          <w:lang w:eastAsia="es-ES"/>
        </w:rPr>
      </w:pPr>
      <w:r w:rsidRPr="0029522B">
        <w:rPr>
          <w:rFonts w:ascii="Palatino Linotype" w:hAnsi="Palatino Linotype" w:cs="Arial"/>
          <w:i/>
          <w:sz w:val="22"/>
          <w:szCs w:val="22"/>
          <w:lang w:eastAsia="es-ES"/>
        </w:rPr>
        <w:t>* Cargo o puesto que ocupa.</w:t>
      </w:r>
    </w:p>
    <w:p w14:paraId="36BA16F0" w14:textId="77777777" w:rsidR="00331D0C" w:rsidRPr="0029522B" w:rsidRDefault="00331D0C" w:rsidP="00331D0C">
      <w:pPr>
        <w:ind w:left="284" w:right="616"/>
        <w:rPr>
          <w:rFonts w:ascii="Palatino Linotype" w:hAnsi="Palatino Linotype" w:cs="Arial"/>
          <w:i/>
          <w:sz w:val="22"/>
          <w:szCs w:val="22"/>
          <w:lang w:eastAsia="es-ES"/>
        </w:rPr>
      </w:pPr>
      <w:r w:rsidRPr="0029522B">
        <w:rPr>
          <w:rFonts w:ascii="Palatino Linotype" w:hAnsi="Palatino Linotype" w:cs="Arial"/>
          <w:i/>
          <w:sz w:val="22"/>
          <w:szCs w:val="22"/>
          <w:lang w:eastAsia="es-ES"/>
        </w:rPr>
        <w:t>* Departamento o área de adscripción.</w:t>
      </w:r>
    </w:p>
    <w:p w14:paraId="1C0EC5E3" w14:textId="77777777" w:rsidR="00331D0C" w:rsidRPr="0029522B" w:rsidRDefault="00331D0C" w:rsidP="00331D0C">
      <w:pPr>
        <w:ind w:left="284" w:right="616"/>
        <w:rPr>
          <w:rFonts w:ascii="Palatino Linotype" w:hAnsi="Palatino Linotype" w:cs="Arial"/>
          <w:i/>
          <w:sz w:val="22"/>
          <w:szCs w:val="22"/>
          <w:lang w:eastAsia="es-ES"/>
        </w:rPr>
      </w:pPr>
      <w:r w:rsidRPr="0029522B">
        <w:rPr>
          <w:rFonts w:ascii="Palatino Linotype" w:hAnsi="Palatino Linotype" w:cs="Arial"/>
          <w:i/>
          <w:sz w:val="22"/>
          <w:szCs w:val="22"/>
          <w:lang w:eastAsia="es-ES"/>
        </w:rPr>
        <w:t>* Sueldo bruto mensual.</w:t>
      </w:r>
    </w:p>
    <w:p w14:paraId="7DCA60FD" w14:textId="77777777" w:rsidR="00331D0C" w:rsidRPr="0029522B" w:rsidRDefault="00331D0C" w:rsidP="00331D0C">
      <w:pPr>
        <w:ind w:left="284" w:right="616"/>
        <w:rPr>
          <w:rFonts w:ascii="Palatino Linotype" w:hAnsi="Palatino Linotype" w:cs="Arial"/>
          <w:i/>
          <w:sz w:val="22"/>
          <w:szCs w:val="22"/>
          <w:lang w:eastAsia="es-ES"/>
        </w:rPr>
      </w:pPr>
      <w:r w:rsidRPr="0029522B">
        <w:rPr>
          <w:rFonts w:ascii="Palatino Linotype" w:hAnsi="Palatino Linotype" w:cs="Arial"/>
          <w:i/>
          <w:sz w:val="22"/>
          <w:szCs w:val="22"/>
          <w:lang w:eastAsia="es-ES"/>
        </w:rPr>
        <w:t>* Sueldo neto mensual.</w:t>
      </w:r>
    </w:p>
    <w:p w14:paraId="57F7CDB5" w14:textId="77777777" w:rsidR="00331D0C" w:rsidRPr="0029522B" w:rsidRDefault="00331D0C" w:rsidP="00331D0C">
      <w:pPr>
        <w:ind w:left="284" w:right="616"/>
        <w:rPr>
          <w:rFonts w:ascii="Palatino Linotype" w:hAnsi="Palatino Linotype" w:cs="Arial"/>
          <w:i/>
          <w:sz w:val="22"/>
          <w:szCs w:val="22"/>
          <w:lang w:eastAsia="es-ES"/>
        </w:rPr>
      </w:pPr>
      <w:r w:rsidRPr="0029522B">
        <w:rPr>
          <w:rFonts w:ascii="Palatino Linotype" w:hAnsi="Palatino Linotype" w:cs="Arial"/>
          <w:i/>
          <w:sz w:val="22"/>
          <w:szCs w:val="22"/>
          <w:lang w:eastAsia="es-ES"/>
        </w:rPr>
        <w:lastRenderedPageBreak/>
        <w:t>Todas las percepciones adicionales (compensaciones, bonos, prestaciones, etc.) desglosadas por concepto y monto.</w:t>
      </w:r>
    </w:p>
    <w:p w14:paraId="589B8613" w14:textId="77777777" w:rsidR="00331D0C" w:rsidRPr="0029522B" w:rsidRDefault="00331D0C" w:rsidP="00331D0C">
      <w:pPr>
        <w:ind w:left="284" w:right="616"/>
        <w:rPr>
          <w:rFonts w:ascii="Palatino Linotype" w:hAnsi="Palatino Linotype" w:cs="Arial"/>
          <w:i/>
          <w:sz w:val="22"/>
          <w:szCs w:val="22"/>
          <w:lang w:eastAsia="es-ES"/>
        </w:rPr>
      </w:pPr>
      <w:r w:rsidRPr="0029522B">
        <w:rPr>
          <w:rFonts w:ascii="Palatino Linotype" w:hAnsi="Palatino Linotype" w:cs="Arial"/>
          <w:i/>
          <w:sz w:val="22"/>
          <w:szCs w:val="22"/>
          <w:lang w:eastAsia="es-ES"/>
        </w:rPr>
        <w:t>* Fecha de alta en la administración.</w:t>
      </w:r>
    </w:p>
    <w:p w14:paraId="61736144" w14:textId="77777777" w:rsidR="00331D0C" w:rsidRPr="0029522B" w:rsidRDefault="00331D0C" w:rsidP="00331D0C">
      <w:pPr>
        <w:ind w:left="284" w:right="616"/>
        <w:rPr>
          <w:rFonts w:ascii="Palatino Linotype" w:hAnsi="Palatino Linotype" w:cs="Arial"/>
          <w:i/>
          <w:sz w:val="22"/>
          <w:szCs w:val="22"/>
          <w:lang w:eastAsia="es-ES"/>
        </w:rPr>
      </w:pPr>
    </w:p>
    <w:p w14:paraId="226749CB" w14:textId="77777777" w:rsidR="00331D0C" w:rsidRPr="0029522B" w:rsidRDefault="00331D0C" w:rsidP="00331D0C">
      <w:pPr>
        <w:ind w:left="284" w:right="616"/>
        <w:rPr>
          <w:rFonts w:ascii="Palatino Linotype" w:hAnsi="Palatino Linotype" w:cs="Arial"/>
          <w:i/>
          <w:sz w:val="22"/>
          <w:szCs w:val="22"/>
          <w:lang w:eastAsia="es-ES"/>
        </w:rPr>
      </w:pPr>
      <w:r w:rsidRPr="0029522B">
        <w:rPr>
          <w:rFonts w:ascii="Palatino Linotype" w:hAnsi="Palatino Linotype" w:cs="Arial"/>
          <w:i/>
          <w:sz w:val="22"/>
          <w:szCs w:val="22"/>
          <w:lang w:eastAsia="es-ES"/>
        </w:rPr>
        <w:t>2. Tabulador de sueldos y salarios vigente para todos los cargos y niveles jerárquicos de la administración municipal.</w:t>
      </w:r>
    </w:p>
    <w:p w14:paraId="6F86AD49" w14:textId="77777777" w:rsidR="00331D0C" w:rsidRPr="0029522B" w:rsidRDefault="00331D0C" w:rsidP="00331D0C">
      <w:pPr>
        <w:ind w:left="284" w:right="616"/>
        <w:rPr>
          <w:rFonts w:ascii="Palatino Linotype" w:hAnsi="Palatino Linotype" w:cs="Arial"/>
          <w:i/>
          <w:sz w:val="22"/>
          <w:szCs w:val="22"/>
          <w:lang w:eastAsia="es-ES"/>
        </w:rPr>
      </w:pPr>
    </w:p>
    <w:p w14:paraId="1CB2C0BC" w14:textId="77777777" w:rsidR="00331D0C" w:rsidRPr="0029522B" w:rsidRDefault="00331D0C" w:rsidP="00331D0C">
      <w:pPr>
        <w:ind w:left="284" w:right="616"/>
        <w:rPr>
          <w:rFonts w:ascii="Palatino Linotype" w:hAnsi="Palatino Linotype" w:cs="Arial"/>
          <w:i/>
          <w:sz w:val="22"/>
          <w:szCs w:val="22"/>
          <w:lang w:eastAsia="es-ES"/>
        </w:rPr>
      </w:pPr>
      <w:r w:rsidRPr="0029522B">
        <w:rPr>
          <w:rFonts w:ascii="Palatino Linotype" w:hAnsi="Palatino Linotype" w:cs="Arial"/>
          <w:i/>
          <w:sz w:val="22"/>
          <w:szCs w:val="22"/>
          <w:lang w:eastAsia="es-ES"/>
        </w:rPr>
        <w:t>3. Cualquier acuerdo o instrumento normativo interno que regule las asignaciones salariales, compensaciones extraordinarias o cualquier otra percepción económica para los servidores públicos.</w:t>
      </w:r>
    </w:p>
    <w:p w14:paraId="10989F7A" w14:textId="77777777" w:rsidR="00331D0C" w:rsidRPr="0029522B" w:rsidRDefault="00331D0C" w:rsidP="00331D0C">
      <w:pPr>
        <w:ind w:left="284" w:right="616"/>
        <w:rPr>
          <w:rFonts w:ascii="Palatino Linotype" w:hAnsi="Palatino Linotype" w:cs="Arial"/>
          <w:i/>
          <w:sz w:val="22"/>
          <w:szCs w:val="22"/>
          <w:lang w:eastAsia="es-ES"/>
        </w:rPr>
      </w:pPr>
    </w:p>
    <w:p w14:paraId="4A2AC11E" w14:textId="77777777" w:rsidR="00331D0C" w:rsidRPr="0029522B" w:rsidRDefault="00331D0C" w:rsidP="00331D0C">
      <w:pPr>
        <w:ind w:left="284" w:right="616"/>
        <w:rPr>
          <w:rFonts w:ascii="Palatino Linotype" w:hAnsi="Palatino Linotype" w:cs="Arial"/>
          <w:i/>
          <w:sz w:val="22"/>
          <w:szCs w:val="22"/>
          <w:lang w:eastAsia="es-ES"/>
        </w:rPr>
      </w:pPr>
      <w:r w:rsidRPr="0029522B">
        <w:rPr>
          <w:rFonts w:ascii="Palatino Linotype" w:hAnsi="Palatino Linotype" w:cs="Arial"/>
          <w:i/>
          <w:sz w:val="22"/>
          <w:szCs w:val="22"/>
          <w:lang w:eastAsia="es-ES"/>
        </w:rPr>
        <w:t>4. Total de días aprobados de aguinaldo para los servidores públicos mediante cabildo y en qué sesión se aprobó</w:t>
      </w:r>
    </w:p>
    <w:p w14:paraId="7F7E8FBF" w14:textId="77777777" w:rsidR="00566EB9" w:rsidRPr="0029522B" w:rsidRDefault="00D41CCE" w:rsidP="007811FC">
      <w:pPr>
        <w:spacing w:before="240" w:after="240" w:line="360" w:lineRule="auto"/>
        <w:ind w:right="49"/>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b/>
          <w:sz w:val="22"/>
          <w:szCs w:val="22"/>
        </w:rPr>
        <w:t>Modalidad de Entrega:</w:t>
      </w:r>
      <w:r w:rsidRPr="0029522B">
        <w:rPr>
          <w:rFonts w:ascii="Palatino Linotype" w:eastAsia="Palatino Linotype" w:hAnsi="Palatino Linotype" w:cs="Palatino Linotype"/>
          <w:sz w:val="22"/>
          <w:szCs w:val="22"/>
        </w:rPr>
        <w:t xml:space="preserve"> a través del Sistema de Acceso a la Información Mexiquense (SAIMEX).</w:t>
      </w:r>
    </w:p>
    <w:p w14:paraId="71ED060D" w14:textId="7D41BA22" w:rsidR="00331D0C" w:rsidRPr="0029522B" w:rsidRDefault="00D41CCE" w:rsidP="00796A22">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sz w:val="22"/>
          <w:szCs w:val="22"/>
        </w:rPr>
      </w:pPr>
      <w:bookmarkStart w:id="4" w:name="_heading=h.3dy6vkm" w:colFirst="0" w:colLast="0"/>
      <w:bookmarkEnd w:id="4"/>
      <w:r w:rsidRPr="0029522B">
        <w:rPr>
          <w:rFonts w:ascii="Palatino Linotype" w:eastAsia="Palatino Linotype" w:hAnsi="Palatino Linotype" w:cs="Palatino Linotype"/>
          <w:b/>
          <w:sz w:val="22"/>
          <w:szCs w:val="22"/>
        </w:rPr>
        <w:t>2.</w:t>
      </w:r>
      <w:r w:rsidR="000B7385" w:rsidRPr="0029522B">
        <w:rPr>
          <w:rFonts w:ascii="Palatino Linotype" w:hAnsi="Palatino Linotype"/>
          <w:b/>
          <w:sz w:val="22"/>
          <w:szCs w:val="22"/>
        </w:rPr>
        <w:t xml:space="preserve"> </w:t>
      </w:r>
      <w:r w:rsidR="00331D0C" w:rsidRPr="0029522B">
        <w:rPr>
          <w:rFonts w:ascii="Palatino Linotype" w:hAnsi="Palatino Linotype"/>
          <w:b/>
          <w:sz w:val="22"/>
          <w:szCs w:val="22"/>
        </w:rPr>
        <w:t>Incompetencia Parcial</w:t>
      </w:r>
      <w:r w:rsidR="00AC3153" w:rsidRPr="0029522B">
        <w:rPr>
          <w:rFonts w:ascii="Palatino Linotype" w:eastAsia="Palatino Linotype" w:hAnsi="Palatino Linotype" w:cs="Palatino Linotype"/>
          <w:b/>
          <w:sz w:val="22"/>
          <w:szCs w:val="22"/>
        </w:rPr>
        <w:t xml:space="preserve">. </w:t>
      </w:r>
      <w:r w:rsidR="00AC3153" w:rsidRPr="0029522B">
        <w:rPr>
          <w:rFonts w:ascii="Palatino Linotype" w:eastAsia="Palatino Linotype" w:hAnsi="Palatino Linotype" w:cs="Palatino Linotype"/>
          <w:sz w:val="22"/>
          <w:szCs w:val="22"/>
        </w:rPr>
        <w:t>E</w:t>
      </w:r>
      <w:r w:rsidR="00331D0C" w:rsidRPr="0029522B">
        <w:rPr>
          <w:rFonts w:ascii="Palatino Linotype" w:eastAsia="Palatino Linotype" w:hAnsi="Palatino Linotype" w:cs="Palatino Linotype"/>
          <w:sz w:val="22"/>
          <w:szCs w:val="22"/>
        </w:rPr>
        <w:t xml:space="preserve">l </w:t>
      </w:r>
      <w:r w:rsidR="00331D0C" w:rsidRPr="0029522B">
        <w:rPr>
          <w:rFonts w:ascii="Palatino Linotype" w:eastAsia="Palatino Linotype" w:hAnsi="Palatino Linotype" w:cs="Palatino Linotype"/>
          <w:b/>
          <w:sz w:val="22"/>
          <w:szCs w:val="22"/>
        </w:rPr>
        <w:t>trece de junio de dos mil veinticinco</w:t>
      </w:r>
      <w:r w:rsidR="00331D0C" w:rsidRPr="0029522B">
        <w:rPr>
          <w:rFonts w:ascii="Palatino Linotype" w:eastAsia="Palatino Linotype" w:hAnsi="Palatino Linotype" w:cs="Palatino Linotype"/>
          <w:sz w:val="22"/>
          <w:szCs w:val="22"/>
        </w:rPr>
        <w:t xml:space="preserve"> el Sujeto Obligado declaró incompetencia parcial </w:t>
      </w:r>
      <w:r w:rsidR="00BA7FF5" w:rsidRPr="0029522B">
        <w:rPr>
          <w:rFonts w:ascii="Palatino Linotype" w:eastAsia="Palatino Linotype" w:hAnsi="Palatino Linotype" w:cs="Palatino Linotype"/>
          <w:sz w:val="22"/>
          <w:szCs w:val="22"/>
        </w:rPr>
        <w:t>refiriendo que la información de los organismos descentralizados deberá solicitarse a estos al Organismo Público Descentralizado para la Prestación de los Servicios de Agua Potable, Alcantarillado y Saneamiento de Teoloyucan y al Sistema Municipal para el Desarrollo Integral de la Familia de Teoloyucan.</w:t>
      </w:r>
    </w:p>
    <w:p w14:paraId="496F4330" w14:textId="39A19691" w:rsidR="00566EB9" w:rsidRPr="0029522B" w:rsidRDefault="00784473" w:rsidP="000C7727">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b/>
          <w:sz w:val="22"/>
          <w:szCs w:val="22"/>
        </w:rPr>
        <w:t>3</w:t>
      </w:r>
      <w:r w:rsidR="00D41CCE" w:rsidRPr="0029522B">
        <w:rPr>
          <w:rFonts w:ascii="Palatino Linotype" w:eastAsia="Palatino Linotype" w:hAnsi="Palatino Linotype" w:cs="Palatino Linotype"/>
          <w:b/>
          <w:sz w:val="22"/>
          <w:szCs w:val="22"/>
        </w:rPr>
        <w:t xml:space="preserve">. </w:t>
      </w:r>
      <w:r w:rsidR="00796A22" w:rsidRPr="0029522B">
        <w:rPr>
          <w:rFonts w:ascii="Palatino Linotype" w:eastAsia="Palatino Linotype" w:hAnsi="Palatino Linotype" w:cs="Palatino Linotype"/>
          <w:b/>
          <w:sz w:val="22"/>
          <w:szCs w:val="22"/>
        </w:rPr>
        <w:t xml:space="preserve">De los Recursos de Revisión. </w:t>
      </w:r>
      <w:r w:rsidR="00796A22" w:rsidRPr="0029522B">
        <w:rPr>
          <w:rFonts w:ascii="Palatino Linotype" w:eastAsia="Palatino Linotype" w:hAnsi="Palatino Linotype" w:cs="Palatino Linotype"/>
          <w:sz w:val="22"/>
          <w:szCs w:val="22"/>
        </w:rPr>
        <w:t xml:space="preserve">Inconforme con las respuestas del </w:t>
      </w:r>
      <w:r w:rsidR="00796A22" w:rsidRPr="0029522B">
        <w:rPr>
          <w:rFonts w:ascii="Palatino Linotype" w:eastAsia="Palatino Linotype" w:hAnsi="Palatino Linotype" w:cs="Palatino Linotype"/>
          <w:b/>
          <w:sz w:val="22"/>
          <w:szCs w:val="22"/>
        </w:rPr>
        <w:t>Sujeto Obligado</w:t>
      </w:r>
      <w:r w:rsidR="00796A22" w:rsidRPr="0029522B">
        <w:rPr>
          <w:rFonts w:ascii="Palatino Linotype" w:eastAsia="Palatino Linotype" w:hAnsi="Palatino Linotype" w:cs="Palatino Linotype"/>
          <w:sz w:val="22"/>
          <w:szCs w:val="22"/>
        </w:rPr>
        <w:t xml:space="preserve">, en fecha </w:t>
      </w:r>
      <w:r w:rsidR="008C69FB" w:rsidRPr="0029522B">
        <w:rPr>
          <w:rFonts w:ascii="Palatino Linotype" w:eastAsia="Palatino Linotype" w:hAnsi="Palatino Linotype" w:cs="Palatino Linotype"/>
          <w:b/>
          <w:sz w:val="22"/>
          <w:szCs w:val="22"/>
        </w:rPr>
        <w:t>catorce</w:t>
      </w:r>
      <w:r w:rsidR="00D25C50" w:rsidRPr="0029522B">
        <w:rPr>
          <w:rFonts w:ascii="Palatino Linotype" w:eastAsia="Palatino Linotype" w:hAnsi="Palatino Linotype" w:cs="Palatino Linotype"/>
          <w:b/>
          <w:sz w:val="22"/>
          <w:szCs w:val="22"/>
        </w:rPr>
        <w:t xml:space="preserve"> </w:t>
      </w:r>
      <w:r w:rsidR="00796A22" w:rsidRPr="0029522B">
        <w:rPr>
          <w:rFonts w:ascii="Palatino Linotype" w:eastAsia="Palatino Linotype" w:hAnsi="Palatino Linotype" w:cs="Palatino Linotype"/>
          <w:b/>
          <w:sz w:val="22"/>
          <w:szCs w:val="22"/>
        </w:rPr>
        <w:t xml:space="preserve">de </w:t>
      </w:r>
      <w:r w:rsidR="008C69FB" w:rsidRPr="0029522B">
        <w:rPr>
          <w:rFonts w:ascii="Palatino Linotype" w:eastAsia="Palatino Linotype" w:hAnsi="Palatino Linotype" w:cs="Palatino Linotype"/>
          <w:b/>
          <w:sz w:val="22"/>
          <w:szCs w:val="22"/>
        </w:rPr>
        <w:t>julio</w:t>
      </w:r>
      <w:r w:rsidR="00796A22" w:rsidRPr="0029522B">
        <w:rPr>
          <w:rFonts w:ascii="Palatino Linotype" w:eastAsia="Palatino Linotype" w:hAnsi="Palatino Linotype" w:cs="Palatino Linotype"/>
          <w:b/>
          <w:sz w:val="22"/>
          <w:szCs w:val="22"/>
        </w:rPr>
        <w:t xml:space="preserve"> de dos mil veinticinco</w:t>
      </w:r>
      <w:r w:rsidR="00796A22" w:rsidRPr="0029522B">
        <w:rPr>
          <w:rFonts w:ascii="Palatino Linotype" w:eastAsia="Palatino Linotype" w:hAnsi="Palatino Linotype" w:cs="Palatino Linotype"/>
          <w:sz w:val="22"/>
          <w:szCs w:val="22"/>
        </w:rPr>
        <w:t xml:space="preserve">, la parte </w:t>
      </w:r>
      <w:r w:rsidR="00796A22" w:rsidRPr="0029522B">
        <w:rPr>
          <w:rFonts w:ascii="Palatino Linotype" w:eastAsia="Palatino Linotype" w:hAnsi="Palatino Linotype" w:cs="Palatino Linotype"/>
          <w:b/>
          <w:sz w:val="22"/>
          <w:szCs w:val="22"/>
        </w:rPr>
        <w:t>Recurrente</w:t>
      </w:r>
      <w:r w:rsidR="00796A22" w:rsidRPr="0029522B">
        <w:rPr>
          <w:rFonts w:ascii="Palatino Linotype" w:eastAsia="Palatino Linotype" w:hAnsi="Palatino Linotype" w:cs="Palatino Linotype"/>
          <w:sz w:val="22"/>
          <w:szCs w:val="22"/>
        </w:rPr>
        <w:t xml:space="preserve"> interpuso los recursos de revisión indicados; en los cuales se señaló como acto impugnado y motivos de inconformidad, lo siguiente:</w:t>
      </w:r>
    </w:p>
    <w:tbl>
      <w:tblPr>
        <w:tblpPr w:leftFromText="141" w:rightFromText="141" w:vertAnchor="text" w:tblpXSpec="center" w:tblpY="1"/>
        <w:tblOverlap w:val="neve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2835"/>
        <w:gridCol w:w="3402"/>
      </w:tblGrid>
      <w:tr w:rsidR="002D79F6" w:rsidRPr="0029522B" w14:paraId="61785BF7" w14:textId="77777777" w:rsidTr="00D25C50">
        <w:trPr>
          <w:trHeight w:val="225"/>
          <w:tblHeader/>
        </w:trPr>
        <w:tc>
          <w:tcPr>
            <w:tcW w:w="2689" w:type="dxa"/>
            <w:shd w:val="clear" w:color="auto" w:fill="D9D9D9" w:themeFill="background1" w:themeFillShade="D9"/>
            <w:vAlign w:val="center"/>
          </w:tcPr>
          <w:p w14:paraId="026D326E" w14:textId="77777777" w:rsidR="008C5D5D" w:rsidRPr="0029522B" w:rsidRDefault="008C5D5D" w:rsidP="008C5D5D">
            <w:pPr>
              <w:jc w:val="both"/>
              <w:rPr>
                <w:rFonts w:ascii="Palatino Linotype" w:hAnsi="Palatino Linotype"/>
                <w:b/>
                <w:sz w:val="20"/>
                <w:szCs w:val="22"/>
              </w:rPr>
            </w:pPr>
            <w:r w:rsidRPr="0029522B">
              <w:rPr>
                <w:rFonts w:ascii="Palatino Linotype" w:hAnsi="Palatino Linotype"/>
                <w:b/>
                <w:sz w:val="20"/>
                <w:szCs w:val="22"/>
              </w:rPr>
              <w:t>Folio Solicitudes de Información/Folio Recursos de revisión.</w:t>
            </w:r>
          </w:p>
        </w:tc>
        <w:tc>
          <w:tcPr>
            <w:tcW w:w="2835" w:type="dxa"/>
            <w:shd w:val="clear" w:color="auto" w:fill="D9D9D9" w:themeFill="background1" w:themeFillShade="D9"/>
            <w:tcMar>
              <w:top w:w="0" w:type="dxa"/>
              <w:left w:w="45" w:type="dxa"/>
              <w:bottom w:w="0" w:type="dxa"/>
              <w:right w:w="45" w:type="dxa"/>
            </w:tcMar>
          </w:tcPr>
          <w:p w14:paraId="323451CC" w14:textId="77777777" w:rsidR="008C5D5D" w:rsidRPr="0029522B" w:rsidRDefault="008C5D5D" w:rsidP="008C5D5D">
            <w:pPr>
              <w:ind w:left="87" w:right="103"/>
              <w:jc w:val="both"/>
              <w:rPr>
                <w:rFonts w:ascii="Palatino Linotype" w:hAnsi="Palatino Linotype"/>
                <w:b/>
                <w:sz w:val="20"/>
                <w:szCs w:val="22"/>
              </w:rPr>
            </w:pPr>
            <w:r w:rsidRPr="0029522B">
              <w:rPr>
                <w:rFonts w:ascii="Palatino Linotype" w:hAnsi="Palatino Linotype"/>
                <w:b/>
                <w:sz w:val="20"/>
                <w:szCs w:val="22"/>
              </w:rPr>
              <w:t>Actos impugnados</w:t>
            </w:r>
          </w:p>
        </w:tc>
        <w:tc>
          <w:tcPr>
            <w:tcW w:w="3402" w:type="dxa"/>
            <w:shd w:val="clear" w:color="auto" w:fill="D9D9D9" w:themeFill="background1" w:themeFillShade="D9"/>
          </w:tcPr>
          <w:p w14:paraId="1C32BC8E" w14:textId="77777777" w:rsidR="008C5D5D" w:rsidRPr="0029522B" w:rsidRDefault="008C5D5D" w:rsidP="008C5D5D">
            <w:pPr>
              <w:ind w:left="131" w:right="135"/>
              <w:jc w:val="both"/>
              <w:rPr>
                <w:rFonts w:ascii="Palatino Linotype" w:hAnsi="Palatino Linotype"/>
                <w:b/>
                <w:sz w:val="20"/>
                <w:szCs w:val="22"/>
              </w:rPr>
            </w:pPr>
            <w:r w:rsidRPr="0029522B">
              <w:rPr>
                <w:rFonts w:ascii="Palatino Linotype" w:hAnsi="Palatino Linotype"/>
                <w:b/>
                <w:sz w:val="20"/>
                <w:szCs w:val="22"/>
              </w:rPr>
              <w:t>Razones o motivos de inconformidad</w:t>
            </w:r>
          </w:p>
        </w:tc>
      </w:tr>
      <w:tr w:rsidR="002D79F6" w:rsidRPr="0029522B" w14:paraId="323869B7" w14:textId="77777777" w:rsidTr="00D25C50">
        <w:trPr>
          <w:trHeight w:val="65"/>
        </w:trPr>
        <w:tc>
          <w:tcPr>
            <w:tcW w:w="2689" w:type="dxa"/>
          </w:tcPr>
          <w:p w14:paraId="7D4A7BCA" w14:textId="3C1EDF32" w:rsidR="000C7727" w:rsidRPr="0029522B" w:rsidRDefault="000C7727" w:rsidP="008C5D5D">
            <w:pPr>
              <w:jc w:val="both"/>
              <w:rPr>
                <w:rFonts w:ascii="Palatino Linotype" w:hAnsi="Palatino Linotype"/>
                <w:b/>
                <w:sz w:val="20"/>
                <w:szCs w:val="22"/>
                <w:lang w:val="en-US"/>
              </w:rPr>
            </w:pPr>
            <w:r w:rsidRPr="0029522B">
              <w:rPr>
                <w:rFonts w:ascii="Palatino Linotype" w:hAnsi="Palatino Linotype"/>
                <w:b/>
                <w:sz w:val="20"/>
                <w:szCs w:val="22"/>
                <w:lang w:val="en-US"/>
              </w:rPr>
              <w:t>0</w:t>
            </w:r>
            <w:r w:rsidR="00331D0C" w:rsidRPr="0029522B">
              <w:rPr>
                <w:rFonts w:ascii="Palatino Linotype" w:hAnsi="Palatino Linotype"/>
                <w:b/>
                <w:sz w:val="20"/>
                <w:szCs w:val="22"/>
                <w:lang w:val="en-US"/>
              </w:rPr>
              <w:t>00878</w:t>
            </w:r>
            <w:r w:rsidRPr="0029522B">
              <w:rPr>
                <w:rFonts w:ascii="Palatino Linotype" w:hAnsi="Palatino Linotype"/>
                <w:b/>
                <w:sz w:val="20"/>
                <w:szCs w:val="22"/>
                <w:lang w:val="en-US"/>
              </w:rPr>
              <w:t>/</w:t>
            </w:r>
            <w:r w:rsidR="00331D0C" w:rsidRPr="0029522B">
              <w:rPr>
                <w:rFonts w:ascii="Palatino Linotype" w:hAnsi="Palatino Linotype"/>
                <w:b/>
                <w:sz w:val="20"/>
                <w:szCs w:val="22"/>
                <w:lang w:val="en-US"/>
              </w:rPr>
              <w:t>TEOLOYU</w:t>
            </w:r>
            <w:r w:rsidRPr="0029522B">
              <w:rPr>
                <w:rFonts w:ascii="Palatino Linotype" w:hAnsi="Palatino Linotype"/>
                <w:b/>
                <w:sz w:val="20"/>
                <w:szCs w:val="22"/>
                <w:lang w:val="en-US"/>
              </w:rPr>
              <w:t>/IP/2025</w:t>
            </w:r>
          </w:p>
          <w:p w14:paraId="2D688FEF" w14:textId="28C50A00" w:rsidR="008C5D5D" w:rsidRPr="0029522B" w:rsidRDefault="00F00532" w:rsidP="008C5D5D">
            <w:pPr>
              <w:jc w:val="both"/>
              <w:rPr>
                <w:rFonts w:ascii="Palatino Linotype" w:hAnsi="Palatino Linotype"/>
                <w:b/>
                <w:sz w:val="20"/>
                <w:szCs w:val="22"/>
                <w:lang w:val="en-US"/>
              </w:rPr>
            </w:pPr>
            <w:r w:rsidRPr="0029522B">
              <w:rPr>
                <w:rFonts w:ascii="Palatino Linotype" w:eastAsia="Palatino Linotype" w:hAnsi="Palatino Linotype" w:cs="Palatino Linotype"/>
                <w:b/>
                <w:sz w:val="20"/>
                <w:szCs w:val="22"/>
                <w:lang w:val="en-US"/>
              </w:rPr>
              <w:t>08264/INFOEM/IP/RR/2025</w:t>
            </w:r>
          </w:p>
        </w:tc>
        <w:tc>
          <w:tcPr>
            <w:tcW w:w="2835" w:type="dxa"/>
            <w:tcMar>
              <w:top w:w="0" w:type="dxa"/>
              <w:left w:w="45" w:type="dxa"/>
              <w:bottom w:w="0" w:type="dxa"/>
              <w:right w:w="45" w:type="dxa"/>
            </w:tcMar>
          </w:tcPr>
          <w:p w14:paraId="1F66877D" w14:textId="72D612B5" w:rsidR="008C5D5D" w:rsidRPr="0029522B" w:rsidRDefault="00563BFF" w:rsidP="008C5D5D">
            <w:pPr>
              <w:ind w:left="87" w:right="103"/>
              <w:jc w:val="both"/>
              <w:rPr>
                <w:rFonts w:ascii="Palatino Linotype" w:hAnsi="Palatino Linotype"/>
                <w:i/>
                <w:iCs/>
                <w:sz w:val="20"/>
                <w:szCs w:val="22"/>
              </w:rPr>
            </w:pPr>
            <w:r w:rsidRPr="0029522B">
              <w:rPr>
                <w:rFonts w:ascii="Palatino Linotype" w:hAnsi="Palatino Linotype"/>
                <w:i/>
                <w:iCs/>
                <w:sz w:val="20"/>
                <w:szCs w:val="22"/>
              </w:rPr>
              <w:t>negativa total o parcial de acceso a la información pública solicitada al H. Ayuntamiento de Teoloyucan, así como la declaración de incompetencia por parte de los órganos descentralizados y/o desconcentrados del mismo municipio para proporcionar dicha información. Se ha solicitado específicamente la siguiente información, la cual, al no ser entregada o al ser respondida con una declaración de incompetencia, constituye el fundamento del acto impugnado: Listado completo de todos los servidores públicos dados de alta en la administración del H. Ayuntamiento de Teoloyucan, desglosado con los siguientes datos: Nombre completo del servidor público. Cargo o puesto que ocupa. Departamento o área de adscripción. Sueldo bruto mensual. Sueldo neto mensual. Todas las percepciones adicionales (compensaciones, bonos, prestaciones, etc.) desglosadas por concepto y monto. Fecha de alta en la administración. Tabulador de sueldos y salarios vigente para todos los cargos y niveles jerárquicos de la administración municipal de Teoloyucan. Cualquier acuerdo o instrumento normativo interno que regule las asignaciones salariales, compensaciones extraordinarias o cualquier otra percepción económica para los servidores públicos del Ayuntamiento de Teoloyucan. Total de días aprobados de aguinaldo para los servidores públicos mediante cabildo y la especificación de la sesión en que se aprobó. Es crucial destacar que, además de la posible omisión o respuesta negativa del Ayuntamiento, los órganos descentralizados y/o desconcentrados (como el DIF municipal, que solo subió el acuse de la solicitud sin la información requerida) han aducido incompetencia para brindar el requerimiento, lo cual también forma parte del acto impugnado, ya que impide el acceso completo a la información solicitada. Este escenario configura una probable violación al derecho fundamental de acceso a la información pública, consagrado en el artículo 6º de la Constitución Política de los Estados Unidos Mexicanos y desarrollado en las leyes de transparencia correspondientes.</w:t>
            </w:r>
            <w:r w:rsidR="007B0162" w:rsidRPr="0029522B">
              <w:rPr>
                <w:rFonts w:ascii="Palatino Linotype" w:hAnsi="Palatino Linotype"/>
                <w:i/>
                <w:iCs/>
                <w:sz w:val="20"/>
                <w:szCs w:val="22"/>
              </w:rPr>
              <w:t>.</w:t>
            </w:r>
          </w:p>
        </w:tc>
        <w:tc>
          <w:tcPr>
            <w:tcW w:w="3402" w:type="dxa"/>
          </w:tcPr>
          <w:p w14:paraId="3B687AB6" w14:textId="2C6B597A" w:rsidR="008C5D5D" w:rsidRPr="0029522B" w:rsidRDefault="00563BFF" w:rsidP="008C5D5D">
            <w:pPr>
              <w:ind w:left="131" w:right="135"/>
              <w:jc w:val="both"/>
              <w:rPr>
                <w:rFonts w:ascii="Palatino Linotype" w:hAnsi="Palatino Linotype"/>
                <w:i/>
                <w:iCs/>
                <w:sz w:val="20"/>
                <w:szCs w:val="22"/>
              </w:rPr>
            </w:pPr>
            <w:r w:rsidRPr="0029522B">
              <w:rPr>
                <w:rFonts w:ascii="Palatino Linotype" w:hAnsi="Palatino Linotype"/>
                <w:i/>
                <w:iCs/>
                <w:sz w:val="20"/>
                <w:szCs w:val="22"/>
              </w:rPr>
              <w:t>NO SE ESTA VIENDO PROFECIONALISMO POR PARTE DE LA ADMINISTRACION, NI MUBHO MENOS POR PARTE DE TRANSPARENCIA, SE SOLICITO DICHA INFORMACION PRIMERO AL AYUNTAMIENTO DE TEOLOYUCAN, POSTERIORMENTE SE SOLICITO AL ORGANIZMO DEL AGUA ASI COMO DE DIF, EN EL CUAL SU RESPUESTA HACE ALUCION A QUE NO SON COMPETENCIA O EN SU DEFECTO POR PARTE DEL DIF ENVIO ACUDE DE LA SOLICITUD ES DE MANIFESTARSE QUE SE SOLICITARON LOS SIGUIENTES PUNTOS 1. Listado completo de todos los servidores públicos dados de alta en la administración del H. Ayuntamiento de Teoloyucan, desglosado por: * Nombre completo del servidor público. * Cargo o puesto que ocupa. * Departamento o área de adscripción. * Sueldo bruto mensual. * Sueldo neto mensual. Todas las percepciones adicionales (compensaciones, bonos, prestaciones, etc.) desglosadas por concepto y monto. * Fecha de alta en la administración. 2. Tabulador de sueldos y salarios vigente para todos los cargos y niveles jerárquicos de la administración municipal. 3. Cualquier acuerdo o instrumento normativo interno que regule las asignaciones salariales, compensaciones extraordinarias o cualquier otra percepción económica para los servidores públicos. 4. Total de días aprobados de aguinaldo para los servidores públicos mediante cabildo y en qué sesión se aprobó DE IGUAL FORMA ES DE MENCIONARSE QUE AL SOLICITARSE LA INFORMACION A LOS ORGANOS DESCENTRASALICZADOS Y/O DESCONCENTRADOS HACEN ALUCION A QUE NO SON COMPETENTES PARA BRINDAR DICHO REQUERIMIENTO, DE IGUAL FORMA EL DIF SUBIO EN RESPUESTA EL ACUSE DE LA SOLICITUD, POR LO CUAL SE SOLICITA PROFECIONALISMO DE USTEDES COMO SERVIDORES PUBLICOS</w:t>
            </w:r>
          </w:p>
        </w:tc>
      </w:tr>
      <w:tr w:rsidR="002D79F6" w:rsidRPr="0029522B" w14:paraId="5C600082" w14:textId="77777777" w:rsidTr="00D25C50">
        <w:trPr>
          <w:trHeight w:val="65"/>
        </w:trPr>
        <w:tc>
          <w:tcPr>
            <w:tcW w:w="2689" w:type="dxa"/>
          </w:tcPr>
          <w:p w14:paraId="2B51525A" w14:textId="7B64D00E" w:rsidR="00D25C50" w:rsidRPr="0029522B" w:rsidRDefault="00331D0C" w:rsidP="00D25C50">
            <w:pPr>
              <w:jc w:val="both"/>
              <w:rPr>
                <w:rFonts w:ascii="Palatino Linotype" w:hAnsi="Palatino Linotype"/>
                <w:b/>
                <w:sz w:val="20"/>
                <w:szCs w:val="22"/>
                <w:lang w:val="en-US"/>
              </w:rPr>
            </w:pPr>
            <w:r w:rsidRPr="0029522B">
              <w:rPr>
                <w:rFonts w:ascii="Palatino Linotype" w:eastAsia="Palatino Linotype" w:hAnsi="Palatino Linotype" w:cs="Palatino Linotype"/>
                <w:b/>
                <w:i/>
                <w:sz w:val="20"/>
                <w:szCs w:val="22"/>
                <w:lang w:val="en-US"/>
              </w:rPr>
              <w:t>00879/TEOLOYU/IP/2025</w:t>
            </w:r>
          </w:p>
          <w:p w14:paraId="200C47E6" w14:textId="64AF2389" w:rsidR="00D25C50" w:rsidRPr="0029522B" w:rsidRDefault="00F00532" w:rsidP="00D25C50">
            <w:pPr>
              <w:jc w:val="both"/>
              <w:rPr>
                <w:rFonts w:ascii="Palatino Linotype" w:hAnsi="Palatino Linotype"/>
                <w:b/>
                <w:sz w:val="20"/>
                <w:szCs w:val="22"/>
                <w:lang w:val="en-US"/>
              </w:rPr>
            </w:pPr>
            <w:r w:rsidRPr="0029522B">
              <w:rPr>
                <w:rFonts w:ascii="Palatino Linotype" w:hAnsi="Palatino Linotype"/>
                <w:b/>
                <w:sz w:val="20"/>
                <w:szCs w:val="22"/>
                <w:lang w:val="en-US"/>
              </w:rPr>
              <w:t>08547</w:t>
            </w:r>
            <w:r w:rsidRPr="0029522B">
              <w:rPr>
                <w:rFonts w:ascii="Palatino Linotype" w:hAnsi="Palatino Linotype"/>
                <w:b/>
                <w:noProof/>
                <w:sz w:val="20"/>
                <w:szCs w:val="22"/>
                <w:lang w:val="en-US"/>
              </w:rPr>
              <w:t>/INFOEM/IP/RR/2025</w:t>
            </w:r>
          </w:p>
        </w:tc>
        <w:tc>
          <w:tcPr>
            <w:tcW w:w="2835" w:type="dxa"/>
            <w:tcMar>
              <w:top w:w="0" w:type="dxa"/>
              <w:left w:w="45" w:type="dxa"/>
              <w:bottom w:w="0" w:type="dxa"/>
              <w:right w:w="45" w:type="dxa"/>
            </w:tcMar>
          </w:tcPr>
          <w:p w14:paraId="122F09AA" w14:textId="440EFAD8" w:rsidR="00D25C50" w:rsidRPr="0029522B" w:rsidRDefault="00563BFF" w:rsidP="00D25C50">
            <w:pPr>
              <w:tabs>
                <w:tab w:val="left" w:pos="1845"/>
              </w:tabs>
              <w:ind w:left="87" w:right="103"/>
              <w:jc w:val="both"/>
              <w:rPr>
                <w:rFonts w:ascii="Palatino Linotype" w:hAnsi="Palatino Linotype"/>
                <w:i/>
                <w:iCs/>
                <w:sz w:val="20"/>
                <w:szCs w:val="22"/>
              </w:rPr>
            </w:pPr>
            <w:r w:rsidRPr="0029522B">
              <w:rPr>
                <w:rFonts w:ascii="Palatino Linotype" w:hAnsi="Palatino Linotype"/>
                <w:i/>
                <w:iCs/>
                <w:sz w:val="20"/>
                <w:szCs w:val="22"/>
              </w:rPr>
              <w:t>Con fundamento en los artículos 1, 4, 5, 8, 10, 11, 27 y demás relativos y aplicables de la Ley de Transparencia y Acceso a la Información Pública del Estado de México y Municipios, y en ejercicio de mi derecho como ciudadano a conocer el manejo de los recursos públicos, me permito realizar la siguiente:</w:t>
            </w:r>
          </w:p>
        </w:tc>
        <w:tc>
          <w:tcPr>
            <w:tcW w:w="3402" w:type="dxa"/>
          </w:tcPr>
          <w:p w14:paraId="319280B2" w14:textId="16B18936" w:rsidR="00D25C50" w:rsidRPr="0029522B" w:rsidRDefault="00563BFF" w:rsidP="008C5D5D">
            <w:pPr>
              <w:ind w:left="131" w:right="135"/>
              <w:jc w:val="both"/>
              <w:rPr>
                <w:rFonts w:ascii="Palatino Linotype" w:hAnsi="Palatino Linotype"/>
                <w:i/>
                <w:iCs/>
                <w:sz w:val="20"/>
                <w:szCs w:val="22"/>
              </w:rPr>
            </w:pPr>
            <w:r w:rsidRPr="0029522B">
              <w:rPr>
                <w:rFonts w:ascii="Palatino Linotype" w:hAnsi="Palatino Linotype"/>
                <w:i/>
                <w:iCs/>
                <w:sz w:val="20"/>
                <w:szCs w:val="22"/>
              </w:rPr>
              <w:t>SE SOLICITO LO SIGUIENTE: 1. Listado completo de todos los servidores públicos dados de alta en la administración del H. Ayuntamiento de Teoloyucan, desglosado por: * Nombre completo del servidor público. * Cargo o puesto que ocupa. * Departamento o área de adscripción. * Sueldo bruto mensual. * Sueldo neto mensual. Todas las percepciones adicionales (compensaciones, bonos, prestaciones, etc.) desglosadas por concepto y monto. * Fecha de alta en la administración. 2. Tabulador de sueldos y salarios vigente para todos los cargos y niveles jerárquicos de la administración municipal. 3. Cualquier acuerdo o instrumento normativo interno que regule las asignaciones salariales, compensaciones extraordinarias o cualquier otra percepción económica para los servidores públicos. 4. Total de días aprobados de aguinaldo para los servidores públicos mediante cabildo y en qué sesión se aprobó EL AREA DE TRANSPARENCIA DE TEOLOYUCAN MANIFESTARON QUE NO SON COMPETENCIA DE BRINDAR DICHA INFORMACION, MANIFESTANDO QUE SE SOLICITARA AL DIF Y A OPDAPAS, SE GENERARON LAS SOLICITUDES A LO CUAL NO DIERON CONTESTACION ALUDIENDO RESPUESTA, EN EL CUAL EL DIF DIO CONTESTACION CON EL ACUSE DE RECIBIDO DE LA SOLICITUD Y EL ADAPAS SE DECLARA INCOPETENTE PARA DAR RESPUESA A DICHA SOLICITUD.</w:t>
            </w:r>
          </w:p>
        </w:tc>
      </w:tr>
    </w:tbl>
    <w:p w14:paraId="4294597E" w14:textId="77777777" w:rsidR="00566EB9" w:rsidRPr="0029522B" w:rsidRDefault="00566EB9" w:rsidP="007811FC">
      <w:pPr>
        <w:spacing w:line="276" w:lineRule="auto"/>
        <w:ind w:right="900"/>
        <w:jc w:val="both"/>
        <w:rPr>
          <w:rFonts w:ascii="Palatino Linotype" w:eastAsia="Palatino Linotype" w:hAnsi="Palatino Linotype" w:cs="Palatino Linotype"/>
          <w:i/>
          <w:sz w:val="22"/>
          <w:szCs w:val="22"/>
        </w:rPr>
      </w:pPr>
    </w:p>
    <w:p w14:paraId="3BC96C24" w14:textId="7BEA9F31" w:rsidR="00563BFF" w:rsidRPr="0029522B" w:rsidRDefault="00563BFF" w:rsidP="00555096">
      <w:pPr>
        <w:pStyle w:val="Prrafodelista"/>
        <w:numPr>
          <w:ilvl w:val="0"/>
          <w:numId w:val="34"/>
        </w:numPr>
        <w:spacing w:line="276" w:lineRule="auto"/>
        <w:ind w:left="426" w:right="49"/>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sz w:val="22"/>
          <w:szCs w:val="22"/>
        </w:rPr>
        <w:t>A los recursos de revisión, el Recurrente adjuntó los documentos</w:t>
      </w:r>
      <w:r w:rsidRPr="0029522B">
        <w:rPr>
          <w:rFonts w:ascii="Palatino Linotype" w:eastAsia="Palatino Linotype" w:hAnsi="Palatino Linotype" w:cs="Palatino Linotype"/>
          <w:i/>
          <w:sz w:val="22"/>
          <w:szCs w:val="22"/>
        </w:rPr>
        <w:t xml:space="preserve"> </w:t>
      </w:r>
      <w:r w:rsidRPr="0029522B">
        <w:rPr>
          <w:rFonts w:ascii="Palatino Linotype" w:eastAsia="Palatino Linotype" w:hAnsi="Palatino Linotype" w:cs="Palatino Linotype"/>
          <w:b/>
          <w:sz w:val="22"/>
          <w:szCs w:val="22"/>
        </w:rPr>
        <w:t xml:space="preserve">00177-OPDTEOLOYUCAN-IP-2025-RESPUESTA.pdf; </w:t>
      </w:r>
      <w:r w:rsidRPr="0029522B">
        <w:rPr>
          <w:rFonts w:ascii="Palatino Linotype" w:eastAsia="Palatino Linotype" w:hAnsi="Palatino Linotype" w:cs="Palatino Linotype"/>
          <w:b/>
          <w:i/>
          <w:sz w:val="22"/>
          <w:szCs w:val="22"/>
        </w:rPr>
        <w:t xml:space="preserve">Captura de pantalla 2025-07-08 105512.png; 685478.page.pdf </w:t>
      </w:r>
      <w:r w:rsidRPr="0029522B">
        <w:rPr>
          <w:rFonts w:ascii="Palatino Linotype" w:eastAsia="Palatino Linotype" w:hAnsi="Palatino Linotype" w:cs="Palatino Linotype"/>
          <w:sz w:val="22"/>
          <w:szCs w:val="22"/>
        </w:rPr>
        <w:t xml:space="preserve">que corresponden </w:t>
      </w:r>
      <w:r w:rsidR="00C847E7" w:rsidRPr="0029522B">
        <w:rPr>
          <w:rFonts w:ascii="Palatino Linotype" w:eastAsia="Palatino Linotype" w:hAnsi="Palatino Linotype" w:cs="Palatino Linotype"/>
          <w:sz w:val="22"/>
          <w:szCs w:val="22"/>
        </w:rPr>
        <w:t>a los documentos remitidos por el Sujeto Obligado mediante la declaración de incompetencia, así como los formatos de la</w:t>
      </w:r>
      <w:r w:rsidR="00555096" w:rsidRPr="0029522B">
        <w:rPr>
          <w:rFonts w:ascii="Palatino Linotype" w:eastAsia="Palatino Linotype" w:hAnsi="Palatino Linotype" w:cs="Palatino Linotype"/>
          <w:sz w:val="22"/>
          <w:szCs w:val="22"/>
        </w:rPr>
        <w:t>s solicitudes.</w:t>
      </w:r>
    </w:p>
    <w:p w14:paraId="268289C4" w14:textId="77777777" w:rsidR="00563BFF" w:rsidRPr="0029522B" w:rsidRDefault="00563BFF" w:rsidP="007811FC">
      <w:pPr>
        <w:spacing w:line="276" w:lineRule="auto"/>
        <w:ind w:right="900"/>
        <w:jc w:val="both"/>
        <w:rPr>
          <w:rFonts w:ascii="Palatino Linotype" w:eastAsia="Palatino Linotype" w:hAnsi="Palatino Linotype" w:cs="Palatino Linotype"/>
          <w:i/>
          <w:sz w:val="22"/>
          <w:szCs w:val="22"/>
        </w:rPr>
      </w:pPr>
    </w:p>
    <w:p w14:paraId="503A1063" w14:textId="0B70C438" w:rsidR="00566EB9" w:rsidRPr="0029522B" w:rsidRDefault="00784473" w:rsidP="007811FC">
      <w:pPr>
        <w:spacing w:line="360" w:lineRule="auto"/>
        <w:ind w:right="51"/>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b/>
          <w:sz w:val="22"/>
          <w:szCs w:val="22"/>
        </w:rPr>
        <w:t>4</w:t>
      </w:r>
      <w:r w:rsidR="00D41CCE" w:rsidRPr="0029522B">
        <w:rPr>
          <w:rFonts w:ascii="Palatino Linotype" w:eastAsia="Palatino Linotype" w:hAnsi="Palatino Linotype" w:cs="Palatino Linotype"/>
          <w:b/>
          <w:sz w:val="22"/>
          <w:szCs w:val="22"/>
        </w:rPr>
        <w:t xml:space="preserve">. Turno. </w:t>
      </w:r>
      <w:r w:rsidR="00D41CCE" w:rsidRPr="0029522B">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w:t>
      </w:r>
      <w:r w:rsidR="00796A22" w:rsidRPr="0029522B">
        <w:rPr>
          <w:rFonts w:ascii="Palatino Linotype" w:eastAsia="Palatino Linotype" w:hAnsi="Palatino Linotype" w:cs="Palatino Linotype"/>
          <w:sz w:val="22"/>
          <w:szCs w:val="22"/>
        </w:rPr>
        <w:t>los</w:t>
      </w:r>
      <w:r w:rsidR="00D41CCE" w:rsidRPr="0029522B">
        <w:rPr>
          <w:rFonts w:ascii="Palatino Linotype" w:eastAsia="Palatino Linotype" w:hAnsi="Palatino Linotype" w:cs="Palatino Linotype"/>
          <w:sz w:val="22"/>
          <w:szCs w:val="22"/>
        </w:rPr>
        <w:t xml:space="preserve"> recurso</w:t>
      </w:r>
      <w:r w:rsidR="00796A22" w:rsidRPr="0029522B">
        <w:rPr>
          <w:rFonts w:ascii="Palatino Linotype" w:eastAsia="Palatino Linotype" w:hAnsi="Palatino Linotype" w:cs="Palatino Linotype"/>
          <w:sz w:val="22"/>
          <w:szCs w:val="22"/>
        </w:rPr>
        <w:t>s</w:t>
      </w:r>
      <w:r w:rsidR="00D41CCE" w:rsidRPr="0029522B">
        <w:rPr>
          <w:rFonts w:ascii="Palatino Linotype" w:eastAsia="Palatino Linotype" w:hAnsi="Palatino Linotype" w:cs="Palatino Linotype"/>
          <w:sz w:val="22"/>
          <w:szCs w:val="22"/>
        </w:rPr>
        <w:t xml:space="preserve"> de revisión </w:t>
      </w:r>
      <w:r w:rsidR="00F00532" w:rsidRPr="0029522B">
        <w:rPr>
          <w:rFonts w:ascii="Palatino Linotype" w:eastAsia="Palatino Linotype" w:hAnsi="Palatino Linotype" w:cs="Palatino Linotype"/>
          <w:b/>
          <w:sz w:val="22"/>
          <w:szCs w:val="22"/>
        </w:rPr>
        <w:t>08264/INFOEM/IP/RR/2025</w:t>
      </w:r>
      <w:r w:rsidR="00D25C50" w:rsidRPr="0029522B">
        <w:rPr>
          <w:rFonts w:ascii="Palatino Linotype" w:eastAsia="Palatino Linotype" w:hAnsi="Palatino Linotype" w:cs="Palatino Linotype"/>
          <w:b/>
          <w:sz w:val="22"/>
          <w:szCs w:val="22"/>
        </w:rPr>
        <w:t xml:space="preserve"> y </w:t>
      </w:r>
      <w:r w:rsidR="00F00532" w:rsidRPr="0029522B">
        <w:rPr>
          <w:rFonts w:ascii="Palatino Linotype" w:hAnsi="Palatino Linotype"/>
          <w:b/>
          <w:sz w:val="22"/>
          <w:szCs w:val="22"/>
        </w:rPr>
        <w:t>08547</w:t>
      </w:r>
      <w:r w:rsidR="00F00532" w:rsidRPr="0029522B">
        <w:rPr>
          <w:rFonts w:ascii="Palatino Linotype" w:hAnsi="Palatino Linotype"/>
          <w:b/>
          <w:noProof/>
          <w:sz w:val="22"/>
          <w:szCs w:val="22"/>
        </w:rPr>
        <w:t>/INFOEM/IP/RR/2025</w:t>
      </w:r>
      <w:r w:rsidR="00D25C50" w:rsidRPr="0029522B">
        <w:rPr>
          <w:rFonts w:ascii="Palatino Linotype" w:eastAsia="Palatino Linotype" w:hAnsi="Palatino Linotype" w:cs="Palatino Linotype"/>
          <w:b/>
          <w:sz w:val="22"/>
          <w:szCs w:val="22"/>
        </w:rPr>
        <w:t xml:space="preserve">  </w:t>
      </w:r>
      <w:r w:rsidR="00796A22" w:rsidRPr="0029522B">
        <w:rPr>
          <w:rFonts w:ascii="Palatino Linotype" w:eastAsia="Palatino Linotype" w:hAnsi="Palatino Linotype" w:cs="Palatino Linotype"/>
          <w:sz w:val="22"/>
          <w:szCs w:val="22"/>
        </w:rPr>
        <w:t>se turnaron</w:t>
      </w:r>
      <w:r w:rsidR="00D41CCE" w:rsidRPr="0029522B">
        <w:rPr>
          <w:rFonts w:ascii="Palatino Linotype" w:eastAsia="Palatino Linotype" w:hAnsi="Palatino Linotype" w:cs="Palatino Linotype"/>
          <w:sz w:val="22"/>
          <w:szCs w:val="22"/>
        </w:rPr>
        <w:t xml:space="preserve"> por el sistema electrónico del Instituto de Transparencia, Acceso a la Información Pública y Protección de Datos Personales del Estado de México y Municipios, a la Comisionada </w:t>
      </w:r>
      <w:r w:rsidR="00D41CCE" w:rsidRPr="0029522B">
        <w:rPr>
          <w:rFonts w:ascii="Palatino Linotype" w:eastAsia="Palatino Linotype" w:hAnsi="Palatino Linotype" w:cs="Palatino Linotype"/>
          <w:b/>
          <w:sz w:val="22"/>
          <w:szCs w:val="22"/>
        </w:rPr>
        <w:t xml:space="preserve">Guadalupe Ramírez Peña, </w:t>
      </w:r>
      <w:r w:rsidR="00D41CCE" w:rsidRPr="0029522B">
        <w:rPr>
          <w:rFonts w:ascii="Palatino Linotype" w:eastAsia="Palatino Linotype" w:hAnsi="Palatino Linotype" w:cs="Palatino Linotype"/>
          <w:sz w:val="22"/>
          <w:szCs w:val="22"/>
        </w:rPr>
        <w:t>a efecto de que analizara sobre su admisión o su desechamiento.</w:t>
      </w:r>
    </w:p>
    <w:p w14:paraId="5E938918" w14:textId="77777777" w:rsidR="00566EB9" w:rsidRPr="0029522B" w:rsidRDefault="00566EB9" w:rsidP="007811FC">
      <w:pPr>
        <w:spacing w:line="360" w:lineRule="auto"/>
        <w:ind w:right="51"/>
        <w:jc w:val="both"/>
        <w:rPr>
          <w:rFonts w:ascii="Palatino Linotype" w:eastAsia="Palatino Linotype" w:hAnsi="Palatino Linotype" w:cs="Palatino Linotype"/>
          <w:sz w:val="22"/>
          <w:szCs w:val="22"/>
        </w:rPr>
      </w:pPr>
    </w:p>
    <w:p w14:paraId="5CFF4378" w14:textId="43134622" w:rsidR="00566EB9" w:rsidRPr="0029522B" w:rsidRDefault="00DB29EE" w:rsidP="007811FC">
      <w:pPr>
        <w:spacing w:line="360" w:lineRule="auto"/>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b/>
          <w:sz w:val="22"/>
          <w:szCs w:val="22"/>
        </w:rPr>
        <w:t>6</w:t>
      </w:r>
      <w:r w:rsidR="00D41CCE" w:rsidRPr="0029522B">
        <w:rPr>
          <w:rFonts w:ascii="Palatino Linotype" w:eastAsia="Palatino Linotype" w:hAnsi="Palatino Linotype" w:cs="Palatino Linotype"/>
          <w:b/>
          <w:sz w:val="22"/>
          <w:szCs w:val="22"/>
        </w:rPr>
        <w:t>. Admisión del Recurso de revisión.</w:t>
      </w:r>
      <w:r w:rsidR="00D41CCE" w:rsidRPr="0029522B">
        <w:rPr>
          <w:rFonts w:ascii="Palatino Linotype" w:eastAsia="Palatino Linotype" w:hAnsi="Palatino Linotype" w:cs="Palatino Linotype"/>
          <w:sz w:val="22"/>
          <w:szCs w:val="22"/>
        </w:rPr>
        <w:t xml:space="preserve"> El </w:t>
      </w:r>
      <w:r w:rsidR="00555096" w:rsidRPr="0029522B">
        <w:rPr>
          <w:rFonts w:ascii="Palatino Linotype" w:eastAsia="Palatino Linotype" w:hAnsi="Palatino Linotype" w:cs="Palatino Linotype"/>
          <w:b/>
          <w:sz w:val="22"/>
          <w:szCs w:val="22"/>
        </w:rPr>
        <w:t>once y diecisiete</w:t>
      </w:r>
      <w:r w:rsidR="001E58C9" w:rsidRPr="0029522B">
        <w:rPr>
          <w:rFonts w:ascii="Palatino Linotype" w:eastAsia="Palatino Linotype" w:hAnsi="Palatino Linotype" w:cs="Palatino Linotype"/>
          <w:b/>
          <w:sz w:val="22"/>
          <w:szCs w:val="22"/>
        </w:rPr>
        <w:t xml:space="preserve"> </w:t>
      </w:r>
      <w:r w:rsidR="008F3F88" w:rsidRPr="0029522B">
        <w:rPr>
          <w:rFonts w:ascii="Palatino Linotype" w:eastAsia="Palatino Linotype" w:hAnsi="Palatino Linotype" w:cs="Palatino Linotype"/>
          <w:b/>
          <w:sz w:val="22"/>
          <w:szCs w:val="22"/>
        </w:rPr>
        <w:t xml:space="preserve">de </w:t>
      </w:r>
      <w:r w:rsidR="00555096" w:rsidRPr="0029522B">
        <w:rPr>
          <w:rFonts w:ascii="Palatino Linotype" w:eastAsia="Palatino Linotype" w:hAnsi="Palatino Linotype" w:cs="Palatino Linotype"/>
          <w:b/>
          <w:sz w:val="22"/>
          <w:szCs w:val="22"/>
        </w:rPr>
        <w:t>julio</w:t>
      </w:r>
      <w:r w:rsidR="00D41CCE" w:rsidRPr="0029522B">
        <w:rPr>
          <w:rFonts w:ascii="Palatino Linotype" w:eastAsia="Palatino Linotype" w:hAnsi="Palatino Linotype" w:cs="Palatino Linotype"/>
          <w:b/>
          <w:sz w:val="22"/>
          <w:szCs w:val="22"/>
        </w:rPr>
        <w:t xml:space="preserve"> de dos mil </w:t>
      </w:r>
      <w:r w:rsidR="00747C59" w:rsidRPr="0029522B">
        <w:rPr>
          <w:rFonts w:ascii="Palatino Linotype" w:eastAsia="Palatino Linotype" w:hAnsi="Palatino Linotype" w:cs="Palatino Linotype"/>
          <w:b/>
          <w:sz w:val="22"/>
          <w:szCs w:val="22"/>
        </w:rPr>
        <w:t>veinti</w:t>
      </w:r>
      <w:r w:rsidR="00555096" w:rsidRPr="0029522B">
        <w:rPr>
          <w:rFonts w:ascii="Palatino Linotype" w:eastAsia="Palatino Linotype" w:hAnsi="Palatino Linotype" w:cs="Palatino Linotype"/>
          <w:b/>
          <w:sz w:val="22"/>
          <w:szCs w:val="22"/>
        </w:rPr>
        <w:t>cinco</w:t>
      </w:r>
      <w:r w:rsidR="00D41CCE" w:rsidRPr="0029522B">
        <w:rPr>
          <w:rFonts w:ascii="Palatino Linotype" w:eastAsia="Palatino Linotype" w:hAnsi="Palatino Linotype" w:cs="Palatino Linotype"/>
          <w:b/>
          <w:sz w:val="22"/>
          <w:szCs w:val="22"/>
        </w:rPr>
        <w:t xml:space="preserve">, </w:t>
      </w:r>
      <w:r w:rsidR="00D41CCE" w:rsidRPr="0029522B">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w:t>
      </w:r>
      <w:r w:rsidR="00FF5721" w:rsidRPr="0029522B">
        <w:rPr>
          <w:rFonts w:ascii="Palatino Linotype" w:eastAsia="Palatino Linotype" w:hAnsi="Palatino Linotype" w:cs="Palatino Linotype"/>
          <w:sz w:val="22"/>
          <w:szCs w:val="22"/>
        </w:rPr>
        <w:t xml:space="preserve">Municipios, </w:t>
      </w:r>
      <w:r w:rsidR="001E58C9" w:rsidRPr="0029522B">
        <w:rPr>
          <w:rFonts w:ascii="Palatino Linotype" w:eastAsia="Palatino Linotype" w:hAnsi="Palatino Linotype" w:cs="Palatino Linotype"/>
          <w:sz w:val="22"/>
          <w:szCs w:val="22"/>
        </w:rPr>
        <w:t>admitió</w:t>
      </w:r>
      <w:r w:rsidR="00FF5721" w:rsidRPr="0029522B">
        <w:rPr>
          <w:rFonts w:ascii="Palatino Linotype" w:eastAsia="Palatino Linotype" w:hAnsi="Palatino Linotype" w:cs="Palatino Linotype"/>
          <w:sz w:val="22"/>
          <w:szCs w:val="22"/>
        </w:rPr>
        <w:t xml:space="preserve"> a trámite los</w:t>
      </w:r>
      <w:r w:rsidR="00D41CCE" w:rsidRPr="0029522B">
        <w:rPr>
          <w:rFonts w:ascii="Palatino Linotype" w:eastAsia="Palatino Linotype" w:hAnsi="Palatino Linotype" w:cs="Palatino Linotype"/>
          <w:sz w:val="22"/>
          <w:szCs w:val="22"/>
        </w:rPr>
        <w:t xml:space="preserve"> recurso</w:t>
      </w:r>
      <w:r w:rsidR="00FF5721" w:rsidRPr="0029522B">
        <w:rPr>
          <w:rFonts w:ascii="Palatino Linotype" w:eastAsia="Palatino Linotype" w:hAnsi="Palatino Linotype" w:cs="Palatino Linotype"/>
          <w:sz w:val="22"/>
          <w:szCs w:val="22"/>
        </w:rPr>
        <w:t>s</w:t>
      </w:r>
      <w:r w:rsidR="00D41CCE" w:rsidRPr="0029522B">
        <w:rPr>
          <w:rFonts w:ascii="Palatino Linotype" w:eastAsia="Palatino Linotype" w:hAnsi="Palatino Linotype" w:cs="Palatino Linotype"/>
          <w:sz w:val="22"/>
          <w:szCs w:val="22"/>
        </w:rPr>
        <w:t xml:space="preserve"> de revisión que ahora se resuelve</w:t>
      </w:r>
      <w:r w:rsidR="00FF5721" w:rsidRPr="0029522B">
        <w:rPr>
          <w:rFonts w:ascii="Palatino Linotype" w:eastAsia="Palatino Linotype" w:hAnsi="Palatino Linotype" w:cs="Palatino Linotype"/>
          <w:sz w:val="22"/>
          <w:szCs w:val="22"/>
        </w:rPr>
        <w:t>n</w:t>
      </w:r>
      <w:r w:rsidR="00D41CCE" w:rsidRPr="0029522B">
        <w:rPr>
          <w:rFonts w:ascii="Palatino Linotype" w:eastAsia="Palatino Linotype" w:hAnsi="Palatino Linotype" w:cs="Palatino Linotype"/>
          <w:sz w:val="22"/>
          <w:szCs w:val="22"/>
        </w:rPr>
        <w:t xml:space="preserve">, dando un plazo máximo de siete días hábiles para que las partes manifestaran lo que a su derecho resultara conveniente, ofrecieran pruebas, formularan alegatos y el </w:t>
      </w:r>
      <w:r w:rsidR="00D41CCE" w:rsidRPr="0029522B">
        <w:rPr>
          <w:rFonts w:ascii="Palatino Linotype" w:eastAsia="Palatino Linotype" w:hAnsi="Palatino Linotype" w:cs="Palatino Linotype"/>
          <w:b/>
          <w:sz w:val="22"/>
          <w:szCs w:val="22"/>
        </w:rPr>
        <w:t xml:space="preserve">Sujeto Obligado </w:t>
      </w:r>
      <w:r w:rsidR="00D41CCE" w:rsidRPr="0029522B">
        <w:rPr>
          <w:rFonts w:ascii="Palatino Linotype" w:eastAsia="Palatino Linotype" w:hAnsi="Palatino Linotype" w:cs="Palatino Linotype"/>
          <w:sz w:val="22"/>
          <w:szCs w:val="22"/>
        </w:rPr>
        <w:t>presentara su informe justificado.</w:t>
      </w:r>
    </w:p>
    <w:p w14:paraId="47CC460F" w14:textId="77777777" w:rsidR="00566EB9" w:rsidRPr="0029522B" w:rsidRDefault="00566EB9" w:rsidP="007811FC">
      <w:pPr>
        <w:spacing w:line="360" w:lineRule="auto"/>
        <w:jc w:val="both"/>
        <w:rPr>
          <w:rFonts w:ascii="Palatino Linotype" w:eastAsia="Palatino Linotype" w:hAnsi="Palatino Linotype" w:cs="Palatino Linotype"/>
          <w:sz w:val="22"/>
          <w:szCs w:val="22"/>
        </w:rPr>
      </w:pPr>
    </w:p>
    <w:p w14:paraId="2F04A819" w14:textId="77777777" w:rsidR="00555096" w:rsidRPr="0029522B" w:rsidRDefault="00DB29EE" w:rsidP="007811FC">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bookmarkStart w:id="5" w:name="_heading=h.2s8eyo1" w:colFirst="0" w:colLast="0"/>
      <w:bookmarkEnd w:id="5"/>
      <w:r w:rsidRPr="0029522B">
        <w:rPr>
          <w:rFonts w:ascii="Palatino Linotype" w:eastAsia="Palatino Linotype" w:hAnsi="Palatino Linotype" w:cs="Palatino Linotype"/>
          <w:b/>
          <w:sz w:val="22"/>
          <w:szCs w:val="22"/>
        </w:rPr>
        <w:t>7</w:t>
      </w:r>
      <w:r w:rsidR="00D41CCE" w:rsidRPr="0029522B">
        <w:rPr>
          <w:rFonts w:ascii="Palatino Linotype" w:eastAsia="Palatino Linotype" w:hAnsi="Palatino Linotype" w:cs="Palatino Linotype"/>
          <w:b/>
          <w:sz w:val="22"/>
          <w:szCs w:val="22"/>
        </w:rPr>
        <w:t>. Manifestaciones</w:t>
      </w:r>
      <w:r w:rsidR="00D41CCE" w:rsidRPr="0029522B">
        <w:rPr>
          <w:rFonts w:ascii="Palatino Linotype" w:eastAsia="Palatino Linotype" w:hAnsi="Palatino Linotype" w:cs="Palatino Linotype"/>
          <w:sz w:val="22"/>
          <w:szCs w:val="22"/>
        </w:rPr>
        <w:t xml:space="preserve">. De las constancias que integran el expediente en que se actúa se advierte que </w:t>
      </w:r>
      <w:r w:rsidR="003450E4" w:rsidRPr="0029522B">
        <w:rPr>
          <w:rFonts w:ascii="Palatino Linotype" w:eastAsia="Palatino Linotype" w:hAnsi="Palatino Linotype" w:cs="Palatino Linotype"/>
          <w:sz w:val="22"/>
          <w:szCs w:val="22"/>
        </w:rPr>
        <w:t xml:space="preserve">el </w:t>
      </w:r>
      <w:r w:rsidR="003450E4" w:rsidRPr="0029522B">
        <w:rPr>
          <w:rFonts w:ascii="Palatino Linotype" w:eastAsia="Palatino Linotype" w:hAnsi="Palatino Linotype" w:cs="Palatino Linotype"/>
          <w:b/>
          <w:sz w:val="22"/>
          <w:szCs w:val="22"/>
        </w:rPr>
        <w:t xml:space="preserve">Sujeto Obligado </w:t>
      </w:r>
      <w:r w:rsidR="003450E4" w:rsidRPr="0029522B">
        <w:rPr>
          <w:rFonts w:ascii="Palatino Linotype" w:eastAsia="Palatino Linotype" w:hAnsi="Palatino Linotype" w:cs="Palatino Linotype"/>
          <w:sz w:val="22"/>
          <w:szCs w:val="22"/>
        </w:rPr>
        <w:t xml:space="preserve">en fecha </w:t>
      </w:r>
      <w:r w:rsidR="00555096" w:rsidRPr="0029522B">
        <w:rPr>
          <w:rFonts w:ascii="Palatino Linotype" w:eastAsia="Palatino Linotype" w:hAnsi="Palatino Linotype" w:cs="Palatino Linotype"/>
          <w:sz w:val="22"/>
          <w:szCs w:val="22"/>
        </w:rPr>
        <w:t>quince y veintiuno de julio de dos mil veinticinco</w:t>
      </w:r>
      <w:r w:rsidR="003450E4" w:rsidRPr="0029522B">
        <w:rPr>
          <w:rFonts w:ascii="Palatino Linotype" w:eastAsia="Palatino Linotype" w:hAnsi="Palatino Linotype" w:cs="Palatino Linotype"/>
          <w:b/>
          <w:sz w:val="22"/>
          <w:szCs w:val="22"/>
        </w:rPr>
        <w:t xml:space="preserve">, </w:t>
      </w:r>
      <w:r w:rsidR="003450E4" w:rsidRPr="0029522B">
        <w:rPr>
          <w:rFonts w:ascii="Palatino Linotype" w:eastAsia="Palatino Linotype" w:hAnsi="Palatino Linotype" w:cs="Palatino Linotype"/>
          <w:sz w:val="22"/>
          <w:szCs w:val="22"/>
        </w:rPr>
        <w:t>rindió su</w:t>
      </w:r>
      <w:r w:rsidR="00194FDE" w:rsidRPr="0029522B">
        <w:rPr>
          <w:rFonts w:ascii="Palatino Linotype" w:eastAsia="Palatino Linotype" w:hAnsi="Palatino Linotype" w:cs="Palatino Linotype"/>
          <w:sz w:val="22"/>
          <w:szCs w:val="22"/>
        </w:rPr>
        <w:t>s</w:t>
      </w:r>
      <w:r w:rsidR="003450E4" w:rsidRPr="0029522B">
        <w:rPr>
          <w:rFonts w:ascii="Palatino Linotype" w:eastAsia="Palatino Linotype" w:hAnsi="Palatino Linotype" w:cs="Palatino Linotype"/>
          <w:sz w:val="22"/>
          <w:szCs w:val="22"/>
        </w:rPr>
        <w:t xml:space="preserve"> informe</w:t>
      </w:r>
      <w:r w:rsidR="00194FDE" w:rsidRPr="0029522B">
        <w:rPr>
          <w:rFonts w:ascii="Palatino Linotype" w:eastAsia="Palatino Linotype" w:hAnsi="Palatino Linotype" w:cs="Palatino Linotype"/>
          <w:sz w:val="22"/>
          <w:szCs w:val="22"/>
        </w:rPr>
        <w:t>s</w:t>
      </w:r>
      <w:r w:rsidR="003450E4" w:rsidRPr="0029522B">
        <w:rPr>
          <w:rFonts w:ascii="Palatino Linotype" w:eastAsia="Palatino Linotype" w:hAnsi="Palatino Linotype" w:cs="Palatino Linotype"/>
          <w:sz w:val="22"/>
          <w:szCs w:val="22"/>
        </w:rPr>
        <w:t xml:space="preserve"> justificado</w:t>
      </w:r>
      <w:r w:rsidR="00194FDE" w:rsidRPr="0029522B">
        <w:rPr>
          <w:rFonts w:ascii="Palatino Linotype" w:eastAsia="Palatino Linotype" w:hAnsi="Palatino Linotype" w:cs="Palatino Linotype"/>
          <w:sz w:val="22"/>
          <w:szCs w:val="22"/>
        </w:rPr>
        <w:t>s</w:t>
      </w:r>
      <w:r w:rsidR="00555096" w:rsidRPr="0029522B">
        <w:rPr>
          <w:rFonts w:ascii="Palatino Linotype" w:eastAsia="Palatino Linotype" w:hAnsi="Palatino Linotype" w:cs="Palatino Linotype"/>
          <w:sz w:val="22"/>
          <w:szCs w:val="22"/>
        </w:rPr>
        <w:t xml:space="preserve"> en los siguientes términos:</w:t>
      </w:r>
    </w:p>
    <w:p w14:paraId="36628E75" w14:textId="77777777" w:rsidR="00C40214" w:rsidRPr="0029522B" w:rsidRDefault="00C40214" w:rsidP="007811FC">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74349578" w14:textId="48E739D3" w:rsidR="00555096" w:rsidRPr="0029522B" w:rsidRDefault="00555096" w:rsidP="008C69FB">
      <w:pPr>
        <w:pBdr>
          <w:top w:val="nil"/>
          <w:left w:val="nil"/>
          <w:bottom w:val="nil"/>
          <w:right w:val="nil"/>
          <w:between w:val="nil"/>
        </w:pBdr>
        <w:tabs>
          <w:tab w:val="left" w:pos="284"/>
        </w:tabs>
        <w:spacing w:line="360" w:lineRule="auto"/>
        <w:ind w:left="426" w:right="49"/>
        <w:jc w:val="both"/>
        <w:rPr>
          <w:rFonts w:ascii="Palatino Linotype" w:eastAsia="Palatino Linotype" w:hAnsi="Palatino Linotype" w:cs="Palatino Linotype"/>
          <w:b/>
          <w:sz w:val="22"/>
          <w:szCs w:val="22"/>
        </w:rPr>
      </w:pPr>
      <w:r w:rsidRPr="0029522B">
        <w:rPr>
          <w:rFonts w:ascii="Palatino Linotype" w:eastAsia="Palatino Linotype" w:hAnsi="Palatino Linotype" w:cs="Palatino Linotype"/>
          <w:b/>
          <w:sz w:val="22"/>
          <w:szCs w:val="22"/>
        </w:rPr>
        <w:t xml:space="preserve">- entrega_informacion rr.08264.2025.pdf: </w:t>
      </w:r>
      <w:r w:rsidRPr="0029522B">
        <w:rPr>
          <w:rFonts w:ascii="Palatino Linotype" w:eastAsia="Palatino Linotype" w:hAnsi="Palatino Linotype" w:cs="Palatino Linotype"/>
          <w:sz w:val="22"/>
          <w:szCs w:val="22"/>
        </w:rPr>
        <w:t xml:space="preserve">Contiene un </w:t>
      </w:r>
      <w:r w:rsidR="00654DCF" w:rsidRPr="0029522B">
        <w:rPr>
          <w:rFonts w:ascii="Palatino Linotype" w:eastAsia="Palatino Linotype" w:hAnsi="Palatino Linotype" w:cs="Palatino Linotype"/>
          <w:sz w:val="22"/>
          <w:szCs w:val="22"/>
        </w:rPr>
        <w:t xml:space="preserve">el tabulador de sueldos aprobado para el ejercicio fiscal 2025 y el </w:t>
      </w:r>
      <w:r w:rsidRPr="0029522B">
        <w:rPr>
          <w:rFonts w:ascii="Palatino Linotype" w:eastAsia="Palatino Linotype" w:hAnsi="Palatino Linotype" w:cs="Palatino Linotype"/>
          <w:sz w:val="22"/>
          <w:szCs w:val="22"/>
        </w:rPr>
        <w:t>listado de servidores públicos con nombre, categoría, departamento, fecha de adscripción, dietas, sueldo bruto mensual, compensación, gratificación, despensa y sueldo neto mensual.</w:t>
      </w:r>
    </w:p>
    <w:p w14:paraId="70833B3B" w14:textId="4FBD2C3E" w:rsidR="00555096" w:rsidRPr="0029522B" w:rsidRDefault="00555096" w:rsidP="008C69FB">
      <w:pPr>
        <w:pBdr>
          <w:top w:val="nil"/>
          <w:left w:val="nil"/>
          <w:bottom w:val="nil"/>
          <w:right w:val="nil"/>
          <w:between w:val="nil"/>
        </w:pBdr>
        <w:tabs>
          <w:tab w:val="left" w:pos="284"/>
        </w:tabs>
        <w:spacing w:line="360" w:lineRule="auto"/>
        <w:ind w:left="426" w:right="49"/>
        <w:jc w:val="both"/>
        <w:rPr>
          <w:rFonts w:ascii="Palatino Linotype" w:eastAsia="Palatino Linotype" w:hAnsi="Palatino Linotype" w:cs="Palatino Linotype"/>
          <w:b/>
          <w:sz w:val="22"/>
          <w:szCs w:val="22"/>
        </w:rPr>
      </w:pPr>
      <w:r w:rsidRPr="0029522B">
        <w:rPr>
          <w:rFonts w:ascii="Palatino Linotype" w:eastAsia="Palatino Linotype" w:hAnsi="Palatino Linotype" w:cs="Palatino Linotype"/>
          <w:b/>
          <w:sz w:val="22"/>
          <w:szCs w:val="22"/>
        </w:rPr>
        <w:t>- manifestaciones de la UT al RR.08264.2025.pdf</w:t>
      </w:r>
      <w:r w:rsidR="00E83E7D" w:rsidRPr="0029522B">
        <w:rPr>
          <w:rFonts w:ascii="Palatino Linotype" w:eastAsia="Palatino Linotype" w:hAnsi="Palatino Linotype" w:cs="Palatino Linotype"/>
          <w:b/>
          <w:sz w:val="22"/>
          <w:szCs w:val="22"/>
        </w:rPr>
        <w:t xml:space="preserve">: </w:t>
      </w:r>
      <w:r w:rsidR="00E83E7D" w:rsidRPr="0029522B">
        <w:rPr>
          <w:rFonts w:ascii="Palatino Linotype" w:eastAsia="Palatino Linotype" w:hAnsi="Palatino Linotype" w:cs="Palatino Linotype"/>
          <w:sz w:val="22"/>
          <w:szCs w:val="22"/>
        </w:rPr>
        <w:t>Documento generado por el Titular de la Unidad de Transparencia mediante el cual refiere lo siguiente:</w:t>
      </w:r>
    </w:p>
    <w:p w14:paraId="57D71B0C" w14:textId="7A73AD0C" w:rsidR="00E83E7D" w:rsidRPr="0029522B" w:rsidRDefault="00E83E7D" w:rsidP="00C40214">
      <w:pPr>
        <w:pBdr>
          <w:top w:val="nil"/>
          <w:left w:val="nil"/>
          <w:bottom w:val="nil"/>
          <w:right w:val="nil"/>
          <w:between w:val="nil"/>
        </w:pBdr>
        <w:tabs>
          <w:tab w:val="left" w:pos="284"/>
        </w:tabs>
        <w:spacing w:line="360" w:lineRule="auto"/>
        <w:ind w:left="142" w:right="49"/>
        <w:jc w:val="center"/>
        <w:rPr>
          <w:rFonts w:ascii="Palatino Linotype" w:eastAsia="Palatino Linotype" w:hAnsi="Palatino Linotype" w:cs="Palatino Linotype"/>
          <w:b/>
          <w:sz w:val="22"/>
          <w:szCs w:val="22"/>
        </w:rPr>
      </w:pPr>
      <w:r w:rsidRPr="0029522B">
        <w:rPr>
          <w:rFonts w:ascii="Palatino Linotype" w:eastAsia="Palatino Linotype" w:hAnsi="Palatino Linotype" w:cs="Palatino Linotype"/>
          <w:b/>
          <w:noProof/>
          <w:sz w:val="22"/>
          <w:szCs w:val="22"/>
        </w:rPr>
        <w:drawing>
          <wp:inline distT="0" distB="0" distL="0" distR="0" wp14:anchorId="42C297ED" wp14:editId="045FA849">
            <wp:extent cx="5143500" cy="5543314"/>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23896" cy="5629959"/>
                    </a:xfrm>
                    <a:prstGeom prst="rect">
                      <a:avLst/>
                    </a:prstGeom>
                  </pic:spPr>
                </pic:pic>
              </a:graphicData>
            </a:graphic>
          </wp:inline>
        </w:drawing>
      </w:r>
    </w:p>
    <w:p w14:paraId="2AC52141" w14:textId="6B91EEC9" w:rsidR="00555096" w:rsidRPr="0029522B" w:rsidRDefault="00555096" w:rsidP="00E83E7D">
      <w:pPr>
        <w:pBdr>
          <w:top w:val="nil"/>
          <w:left w:val="nil"/>
          <w:bottom w:val="nil"/>
          <w:right w:val="nil"/>
          <w:between w:val="nil"/>
        </w:pBdr>
        <w:tabs>
          <w:tab w:val="left" w:pos="284"/>
        </w:tabs>
        <w:spacing w:line="360" w:lineRule="auto"/>
        <w:ind w:left="142" w:right="49"/>
        <w:jc w:val="both"/>
        <w:rPr>
          <w:rFonts w:ascii="Palatino Linotype" w:eastAsia="Palatino Linotype" w:hAnsi="Palatino Linotype" w:cs="Palatino Linotype"/>
          <w:sz w:val="22"/>
          <w:szCs w:val="22"/>
        </w:rPr>
      </w:pPr>
    </w:p>
    <w:p w14:paraId="45306921" w14:textId="2BA2BFBB" w:rsidR="00CB4E4D" w:rsidRPr="0029522B" w:rsidRDefault="00F162CF" w:rsidP="007811FC">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noProof/>
          <w:sz w:val="22"/>
          <w:szCs w:val="22"/>
        </w:rPr>
      </w:pPr>
      <w:r w:rsidRPr="0029522B">
        <w:rPr>
          <w:rFonts w:ascii="Palatino Linotype" w:eastAsia="Palatino Linotype" w:hAnsi="Palatino Linotype" w:cs="Palatino Linotype"/>
          <w:noProof/>
          <w:sz w:val="22"/>
          <w:szCs w:val="22"/>
        </w:rPr>
        <w:t>Los informes justificados se pusieron a la vista del particular el dieciséis de febrero de dos mil veintiséis.</w:t>
      </w:r>
    </w:p>
    <w:p w14:paraId="1DA22F5E" w14:textId="77777777" w:rsidR="00F162CF" w:rsidRPr="0029522B" w:rsidRDefault="00F162CF" w:rsidP="007811FC">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noProof/>
          <w:sz w:val="22"/>
          <w:szCs w:val="22"/>
        </w:rPr>
      </w:pPr>
    </w:p>
    <w:p w14:paraId="71FFF918" w14:textId="6DF548CB" w:rsidR="00F162CF" w:rsidRPr="0029522B" w:rsidRDefault="00F162CF" w:rsidP="007811FC">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noProof/>
          <w:sz w:val="22"/>
          <w:szCs w:val="22"/>
        </w:rPr>
      </w:pPr>
      <w:r w:rsidRPr="0029522B">
        <w:rPr>
          <w:rFonts w:ascii="Palatino Linotype" w:eastAsia="Palatino Linotype" w:hAnsi="Palatino Linotype" w:cs="Palatino Linotype"/>
          <w:noProof/>
          <w:sz w:val="22"/>
          <w:szCs w:val="22"/>
        </w:rPr>
        <w:t>Por su parte, el Recurrente el quince de julio de dos mil veinticinco, en el recurso de revisión 08264/INFOEM/IP/RR/2025 en el apartado de manifestaciones adjuntó los documentos electrónicos siguientes:</w:t>
      </w:r>
    </w:p>
    <w:p w14:paraId="75F68748" w14:textId="77777777" w:rsidR="00F162CF" w:rsidRPr="0029522B" w:rsidRDefault="00F162CF" w:rsidP="007811FC">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noProof/>
          <w:sz w:val="22"/>
          <w:szCs w:val="22"/>
        </w:rPr>
      </w:pPr>
    </w:p>
    <w:p w14:paraId="0DB0D8F5" w14:textId="0B16DBEA" w:rsidR="00F162CF" w:rsidRPr="0029522B" w:rsidRDefault="00F162CF" w:rsidP="00F162CF">
      <w:pPr>
        <w:pStyle w:val="Prrafodelista"/>
        <w:numPr>
          <w:ilvl w:val="0"/>
          <w:numId w:val="34"/>
        </w:num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b/>
          <w:sz w:val="22"/>
          <w:szCs w:val="22"/>
        </w:rPr>
      </w:pPr>
      <w:r w:rsidRPr="0029522B">
        <w:rPr>
          <w:rFonts w:ascii="Palatino Linotype" w:eastAsia="Palatino Linotype" w:hAnsi="Palatino Linotype" w:cs="Palatino Linotype"/>
          <w:b/>
          <w:sz w:val="22"/>
          <w:szCs w:val="22"/>
        </w:rPr>
        <w:t xml:space="preserve">00177-OPDTEOLOYUCAN-IP-2025-RESPUESTA (2).pdf: </w:t>
      </w:r>
      <w:r w:rsidRPr="0029522B">
        <w:rPr>
          <w:rFonts w:ascii="Palatino Linotype" w:eastAsia="Palatino Linotype" w:hAnsi="Palatino Linotype" w:cs="Palatino Linotype"/>
          <w:sz w:val="22"/>
          <w:szCs w:val="22"/>
        </w:rPr>
        <w:t>Contiene la declaración de incompetencia referida por el Sujeto Obligado.</w:t>
      </w:r>
    </w:p>
    <w:p w14:paraId="28E47006" w14:textId="2FC7DB4E" w:rsidR="00F162CF" w:rsidRPr="0029522B" w:rsidRDefault="00F162CF" w:rsidP="00F162CF">
      <w:pPr>
        <w:pStyle w:val="Prrafodelista"/>
        <w:numPr>
          <w:ilvl w:val="0"/>
          <w:numId w:val="34"/>
        </w:num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b/>
          <w:sz w:val="22"/>
          <w:szCs w:val="22"/>
        </w:rPr>
      </w:pPr>
      <w:r w:rsidRPr="0029522B">
        <w:rPr>
          <w:rFonts w:ascii="Palatino Linotype" w:eastAsia="Palatino Linotype" w:hAnsi="Palatino Linotype" w:cs="Palatino Linotype"/>
          <w:b/>
          <w:sz w:val="22"/>
          <w:szCs w:val="22"/>
        </w:rPr>
        <w:t xml:space="preserve">685478. page (2).pdf: </w:t>
      </w:r>
      <w:r w:rsidRPr="0029522B">
        <w:rPr>
          <w:rFonts w:ascii="Palatino Linotype" w:eastAsia="Palatino Linotype" w:hAnsi="Palatino Linotype" w:cs="Palatino Linotype"/>
          <w:sz w:val="22"/>
          <w:szCs w:val="22"/>
        </w:rPr>
        <w:t>Contiene el formato de la solicitud.</w:t>
      </w:r>
    </w:p>
    <w:p w14:paraId="6C250D84" w14:textId="7D277B4B" w:rsidR="00326383" w:rsidRPr="0029522B" w:rsidRDefault="00326383" w:rsidP="007811FC">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sz w:val="22"/>
          <w:szCs w:val="22"/>
        </w:rPr>
      </w:pPr>
    </w:p>
    <w:p w14:paraId="59AACD35" w14:textId="3F6D3000" w:rsidR="008C5D5D" w:rsidRPr="0029522B" w:rsidRDefault="00DB29EE" w:rsidP="001E58C9">
      <w:pPr>
        <w:pStyle w:val="Textoindependiente"/>
        <w:rPr>
          <w:b/>
          <w:szCs w:val="22"/>
        </w:rPr>
      </w:pPr>
      <w:r w:rsidRPr="0029522B">
        <w:rPr>
          <w:rFonts w:eastAsia="Palatino Linotype" w:cs="Palatino Linotype"/>
          <w:b/>
          <w:szCs w:val="22"/>
        </w:rPr>
        <w:t>8</w:t>
      </w:r>
      <w:r w:rsidR="00D41CCE" w:rsidRPr="0029522B">
        <w:rPr>
          <w:rFonts w:eastAsia="Palatino Linotype" w:cs="Palatino Linotype"/>
          <w:b/>
          <w:szCs w:val="22"/>
        </w:rPr>
        <w:t xml:space="preserve">. </w:t>
      </w:r>
      <w:r w:rsidR="00194FDE" w:rsidRPr="0029522B">
        <w:rPr>
          <w:rFonts w:eastAsia="Palatino Linotype" w:cs="Palatino Linotype"/>
          <w:b/>
          <w:szCs w:val="22"/>
          <w:lang w:eastAsia="en-US"/>
        </w:rPr>
        <w:t xml:space="preserve">Acumulación de los recursos de revisión. </w:t>
      </w:r>
      <w:r w:rsidR="008C5D5D" w:rsidRPr="0029522B">
        <w:rPr>
          <w:szCs w:val="22"/>
        </w:rPr>
        <w:t xml:space="preserve">Por economía procesal y con la finalidad de evitar resoluciones contradictorias, mediante acuerdo </w:t>
      </w:r>
      <w:r w:rsidR="008C5D5D" w:rsidRPr="0029522B">
        <w:rPr>
          <w:bCs/>
          <w:szCs w:val="22"/>
        </w:rPr>
        <w:t xml:space="preserve">de fecha </w:t>
      </w:r>
      <w:r w:rsidR="00F162CF" w:rsidRPr="0029522B">
        <w:rPr>
          <w:b/>
          <w:bCs/>
          <w:szCs w:val="22"/>
        </w:rPr>
        <w:t>seis</w:t>
      </w:r>
      <w:r w:rsidR="008C5D5D" w:rsidRPr="0029522B">
        <w:rPr>
          <w:b/>
          <w:szCs w:val="22"/>
        </w:rPr>
        <w:t xml:space="preserve"> de </w:t>
      </w:r>
      <w:r w:rsidR="00F162CF" w:rsidRPr="0029522B">
        <w:rPr>
          <w:b/>
          <w:szCs w:val="22"/>
        </w:rPr>
        <w:t>agosto de dos mil veinticinco</w:t>
      </w:r>
      <w:r w:rsidR="00F162CF" w:rsidRPr="0029522B">
        <w:rPr>
          <w:bCs/>
          <w:szCs w:val="22"/>
        </w:rPr>
        <w:t xml:space="preserve">, se </w:t>
      </w:r>
      <w:r w:rsidR="008C5D5D" w:rsidRPr="0029522B">
        <w:rPr>
          <w:bCs/>
          <w:szCs w:val="22"/>
        </w:rPr>
        <w:t>acordó la acumulación de manera interna de los medios de impugnación</w:t>
      </w:r>
      <w:r w:rsidR="008C5D5D" w:rsidRPr="0029522B">
        <w:rPr>
          <w:b/>
          <w:szCs w:val="22"/>
        </w:rPr>
        <w:t xml:space="preserve"> </w:t>
      </w:r>
      <w:r w:rsidR="00F00532" w:rsidRPr="0029522B">
        <w:rPr>
          <w:rFonts w:eastAsia="Palatino Linotype" w:cs="Palatino Linotype"/>
          <w:b/>
          <w:szCs w:val="22"/>
        </w:rPr>
        <w:t xml:space="preserve">08264/INFOEM/IP/RR/2025 </w:t>
      </w:r>
      <w:r w:rsidR="001E58C9" w:rsidRPr="0029522B">
        <w:rPr>
          <w:b/>
          <w:szCs w:val="22"/>
        </w:rPr>
        <w:t xml:space="preserve">y </w:t>
      </w:r>
      <w:r w:rsidR="00F00532" w:rsidRPr="0029522B">
        <w:rPr>
          <w:b/>
          <w:szCs w:val="22"/>
        </w:rPr>
        <w:t>08547</w:t>
      </w:r>
      <w:r w:rsidR="00F00532" w:rsidRPr="0029522B">
        <w:rPr>
          <w:b/>
          <w:noProof/>
          <w:szCs w:val="22"/>
        </w:rPr>
        <w:t>/INFOEM/IP/RR/2025</w:t>
      </w:r>
      <w:r w:rsidR="001E58C9" w:rsidRPr="0029522B">
        <w:rPr>
          <w:b/>
          <w:szCs w:val="22"/>
        </w:rPr>
        <w:t xml:space="preserve">. </w:t>
      </w:r>
    </w:p>
    <w:p w14:paraId="3D1B8ABD" w14:textId="0DF9DB66" w:rsidR="00C40214" w:rsidRPr="0029522B" w:rsidRDefault="00C40214" w:rsidP="00C4021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b/>
          <w:sz w:val="22"/>
          <w:szCs w:val="22"/>
        </w:rPr>
        <w:t>9. Ampliación de plazo. El dieciséis de febrero de dos mil veintiséis</w:t>
      </w:r>
      <w:r w:rsidRPr="0029522B">
        <w:rPr>
          <w:rFonts w:ascii="Palatino Linotype" w:eastAsia="Palatino Linotype" w:hAnsi="Palatino Linotype" w:cs="Palatino Linotype"/>
          <w:sz w:val="22"/>
          <w:szCs w:val="22"/>
        </w:rPr>
        <w:t>, se amplió el término para resolver el recurso de revisión en términos del artículo 181 párrafo tercero de la Ley de Transparencia y Acceso a la Información Pública del Estado de México y Municipios.</w:t>
      </w:r>
    </w:p>
    <w:p w14:paraId="64A659D0" w14:textId="77777777" w:rsidR="00C40214" w:rsidRPr="0029522B" w:rsidRDefault="00C40214" w:rsidP="00C40214">
      <w:pPr>
        <w:spacing w:before="240" w:after="240" w:line="360" w:lineRule="auto"/>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sz w:val="22"/>
          <w:szCs w:val="22"/>
        </w:rPr>
        <w:t>Este organismo garante no pasa por alto justificar, que el plazo para emitir la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w:t>
      </w:r>
    </w:p>
    <w:p w14:paraId="5CD062A4" w14:textId="77777777" w:rsidR="00C40214" w:rsidRPr="0029522B" w:rsidRDefault="00C40214" w:rsidP="00C40214">
      <w:pPr>
        <w:spacing w:before="240" w:after="240" w:line="360" w:lineRule="auto"/>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sz w:val="22"/>
          <w:szCs w:val="22"/>
        </w:rPr>
        <w:t>Por ello, es menester precisar que si bien se ha excedido el plazo para resolver el presente medio de impugnación, de conformidad con la ley de la materia, el plazo para emitir la resolución se encuentra justificada en los elementos para medir la razonabilidad de asuntos conforme a los parámetros establecidos por diversos órganos jurisdiccionales federales, aplicables también en procedimientos análogos, como el que nos ocupa.</w:t>
      </w:r>
    </w:p>
    <w:p w14:paraId="416524DD" w14:textId="77777777" w:rsidR="00C40214" w:rsidRPr="0029522B" w:rsidRDefault="00C40214" w:rsidP="00C40214">
      <w:pPr>
        <w:spacing w:before="240" w:after="240" w:line="360" w:lineRule="auto"/>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sz w:val="22"/>
          <w:szCs w:val="22"/>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604412B7" w14:textId="77777777" w:rsidR="00C40214" w:rsidRPr="0029522B" w:rsidRDefault="00C40214" w:rsidP="00C40214">
      <w:pPr>
        <w:spacing w:before="240" w:after="240" w:line="360" w:lineRule="auto"/>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sz w:val="22"/>
          <w:szCs w:val="22"/>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w:t>
      </w:r>
    </w:p>
    <w:p w14:paraId="2E8EEDEB" w14:textId="77777777" w:rsidR="00C40214" w:rsidRPr="0029522B" w:rsidRDefault="00C40214" w:rsidP="00C40214">
      <w:pPr>
        <w:spacing w:before="240" w:after="240" w:line="360" w:lineRule="auto"/>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sz w:val="22"/>
          <w:szCs w:val="22"/>
        </w:rPr>
        <w:t xml:space="preserve">Por ello, excepcionalmente, si un asunto es resuelto con posterioridad a los plazos señalados por la norma debe analizarse la razonabilidad del tiempo necesario para su resolución atentos a los siguientes criterios: </w:t>
      </w:r>
    </w:p>
    <w:p w14:paraId="3C4A1861" w14:textId="77777777" w:rsidR="00C40214" w:rsidRPr="0029522B" w:rsidRDefault="00C40214" w:rsidP="00C40214">
      <w:pPr>
        <w:numPr>
          <w:ilvl w:val="0"/>
          <w:numId w:val="35"/>
        </w:numPr>
        <w:tabs>
          <w:tab w:val="left" w:pos="993"/>
        </w:tabs>
        <w:spacing w:before="240" w:after="240" w:line="360" w:lineRule="auto"/>
        <w:ind w:left="567" w:right="900" w:firstLine="0"/>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b/>
          <w:sz w:val="22"/>
          <w:szCs w:val="22"/>
        </w:rPr>
        <w:t>Complejidad del Asunto:</w:t>
      </w:r>
      <w:r w:rsidRPr="0029522B">
        <w:rPr>
          <w:rFonts w:ascii="Palatino Linotype" w:eastAsia="Palatino Linotype" w:hAnsi="Palatino Linotype" w:cs="Palatino Linotype"/>
          <w:sz w:val="22"/>
          <w:szCs w:val="22"/>
        </w:rPr>
        <w:t xml:space="preserve"> La complejidad de la prueba, la pluralidad de sujetos procesales, el tiempo transcurrido, las características y contexto del recurso. </w:t>
      </w:r>
    </w:p>
    <w:p w14:paraId="01960A13" w14:textId="77777777" w:rsidR="00C40214" w:rsidRPr="0029522B" w:rsidRDefault="00C40214" w:rsidP="00C40214">
      <w:pPr>
        <w:numPr>
          <w:ilvl w:val="0"/>
          <w:numId w:val="35"/>
        </w:numPr>
        <w:tabs>
          <w:tab w:val="left" w:pos="993"/>
        </w:tabs>
        <w:spacing w:before="240" w:after="240" w:line="360" w:lineRule="auto"/>
        <w:ind w:left="567" w:right="900" w:firstLine="0"/>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b/>
          <w:sz w:val="22"/>
          <w:szCs w:val="22"/>
        </w:rPr>
        <w:t>Actividad Procesal del interesado</w:t>
      </w:r>
      <w:r w:rsidRPr="0029522B">
        <w:rPr>
          <w:rFonts w:ascii="Palatino Linotype" w:eastAsia="Palatino Linotype" w:hAnsi="Palatino Linotype" w:cs="Palatino Linotype"/>
          <w:sz w:val="22"/>
          <w:szCs w:val="22"/>
        </w:rPr>
        <w:t>. Acciones u omisiones del interesado.</w:t>
      </w:r>
    </w:p>
    <w:p w14:paraId="740D1D4B" w14:textId="77777777" w:rsidR="00C40214" w:rsidRPr="0029522B" w:rsidRDefault="00C40214" w:rsidP="00C40214">
      <w:pPr>
        <w:numPr>
          <w:ilvl w:val="0"/>
          <w:numId w:val="35"/>
        </w:numPr>
        <w:tabs>
          <w:tab w:val="left" w:pos="993"/>
        </w:tabs>
        <w:spacing w:before="240" w:after="240" w:line="360" w:lineRule="auto"/>
        <w:ind w:left="567" w:right="900" w:firstLine="0"/>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b/>
          <w:sz w:val="22"/>
          <w:szCs w:val="22"/>
        </w:rPr>
        <w:t>Conducta de la Autoridad:</w:t>
      </w:r>
      <w:r w:rsidRPr="0029522B">
        <w:rPr>
          <w:rFonts w:ascii="Palatino Linotype" w:eastAsia="Palatino Linotype" w:hAnsi="Palatino Linotype" w:cs="Palatino Linotype"/>
          <w:sz w:val="22"/>
          <w:szCs w:val="22"/>
        </w:rPr>
        <w:t xml:space="preserve"> Las Acciones u omisiones realizadas en el procedimiento. Así como si la autoridad actuó con la debida diligencia.</w:t>
      </w:r>
    </w:p>
    <w:p w14:paraId="3629AE66" w14:textId="77777777" w:rsidR="00C40214" w:rsidRPr="0029522B" w:rsidRDefault="00C40214" w:rsidP="00C40214">
      <w:pPr>
        <w:numPr>
          <w:ilvl w:val="0"/>
          <w:numId w:val="35"/>
        </w:numPr>
        <w:tabs>
          <w:tab w:val="left" w:pos="993"/>
        </w:tabs>
        <w:spacing w:before="240" w:after="240" w:line="360" w:lineRule="auto"/>
        <w:ind w:left="567" w:right="900" w:firstLine="0"/>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b/>
          <w:sz w:val="22"/>
          <w:szCs w:val="22"/>
        </w:rPr>
        <w:t>La afectación generada en la situación jurídica de la persona involucrada en el proceso:</w:t>
      </w:r>
      <w:r w:rsidRPr="0029522B">
        <w:rPr>
          <w:rFonts w:ascii="Palatino Linotype" w:eastAsia="Palatino Linotype" w:hAnsi="Palatino Linotype" w:cs="Palatino Linotype"/>
          <w:sz w:val="22"/>
          <w:szCs w:val="22"/>
        </w:rPr>
        <w:t xml:space="preserve"> Violación a sus derechos humanos.</w:t>
      </w:r>
    </w:p>
    <w:p w14:paraId="78145080" w14:textId="77777777" w:rsidR="00C40214" w:rsidRPr="0029522B" w:rsidRDefault="00C40214" w:rsidP="00C40214">
      <w:pPr>
        <w:spacing w:before="240" w:after="240" w:line="360" w:lineRule="auto"/>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sz w:val="22"/>
          <w:szCs w:val="22"/>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3E612959" w14:textId="77777777" w:rsidR="00C40214" w:rsidRPr="0029522B" w:rsidRDefault="00C40214" w:rsidP="00C40214">
      <w:pPr>
        <w:spacing w:before="240" w:after="240" w:line="360" w:lineRule="auto"/>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sz w:val="22"/>
          <w:szCs w:val="22"/>
        </w:rPr>
        <w:t xml:space="preserve">Argumento que encuentra sustento en la jurisprudencia P./J. 32/92 emitida por el Pleno de la Suprema Corte de Justicia de la Nación de rubro </w:t>
      </w:r>
      <w:r w:rsidRPr="0029522B">
        <w:rPr>
          <w:rFonts w:ascii="Palatino Linotype" w:eastAsia="Palatino Linotype" w:hAnsi="Palatino Linotype" w:cs="Palatino Linotype"/>
          <w:i/>
          <w:sz w:val="22"/>
          <w:szCs w:val="22"/>
        </w:rPr>
        <w:t>“TÉRMINOS PROCESALES. PARA DETERMINAR SI UN FUNCIONARIO JUDICIAL ACTUÓ INDEBIDAMENTE POR NO RESPETARLOS SE DEBE ATENDER AL PRESUPUESTO QUE CONSIDERÓ EL LEGISLADOR AL FIJARLOS Y LAS CARACTERÍSTICAS DEL CASO.”</w:t>
      </w:r>
      <w:r w:rsidRPr="0029522B">
        <w:rPr>
          <w:rFonts w:ascii="Palatino Linotype" w:eastAsia="Palatino Linotype" w:hAnsi="Palatino Linotype" w:cs="Palatino Linotype"/>
          <w:sz w:val="22"/>
          <w:szCs w:val="22"/>
        </w:rPr>
        <w:t>, visible en la Gaceta del Seminario Judicial de la Federación con el registro digital 205635.</w:t>
      </w:r>
    </w:p>
    <w:p w14:paraId="307C1612" w14:textId="77777777" w:rsidR="00C40214" w:rsidRPr="0029522B" w:rsidRDefault="00C40214" w:rsidP="00C40214">
      <w:pPr>
        <w:spacing w:before="240" w:after="240" w:line="360" w:lineRule="auto"/>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2367891B" w14:textId="77777777" w:rsidR="00C40214" w:rsidRPr="0029522B" w:rsidRDefault="00C40214" w:rsidP="00C40214">
      <w:pPr>
        <w:spacing w:before="240" w:after="240" w:line="360" w:lineRule="auto"/>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sz w:val="22"/>
          <w:szCs w:val="22"/>
        </w:rPr>
        <w:t>Al respecto, también son de considerar los criterios sostenidos por el Cuarto Tribunal Colegiado en Materia Administrativa del Primer Circuito, cuyos rubros y datos de identificación son los siguientes:</w:t>
      </w:r>
    </w:p>
    <w:p w14:paraId="56039F1C" w14:textId="77777777" w:rsidR="00C40214" w:rsidRPr="0029522B" w:rsidRDefault="00C40214" w:rsidP="00C40214">
      <w:pPr>
        <w:spacing w:before="240" w:after="240" w:line="360" w:lineRule="auto"/>
        <w:ind w:left="851" w:right="900"/>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sz w:val="22"/>
          <w:szCs w:val="22"/>
        </w:rPr>
        <w:t xml:space="preserve"> </w:t>
      </w:r>
      <w:r w:rsidRPr="0029522B">
        <w:rPr>
          <w:rFonts w:ascii="Palatino Linotype" w:eastAsia="Palatino Linotype" w:hAnsi="Palatino Linotype" w:cs="Palatino Linotype"/>
          <w:b/>
          <w:i/>
          <w:sz w:val="22"/>
          <w:szCs w:val="22"/>
        </w:rPr>
        <w:t>“PLAZO RAZONABLE PARA RESOLVER. DIMENSIÓN Y EFECTOS DE ESTE CONCEPTO CUANDO SE ADUCE EXCESIVA CARGA DE TRABAJO</w:t>
      </w:r>
      <w:r w:rsidRPr="0029522B">
        <w:rPr>
          <w:rFonts w:ascii="Palatino Linotype" w:eastAsia="Palatino Linotype" w:hAnsi="Palatino Linotype" w:cs="Palatino Linotype"/>
          <w:i/>
          <w:sz w:val="22"/>
          <w:szCs w:val="22"/>
        </w:rPr>
        <w:t>.”</w:t>
      </w:r>
      <w:r w:rsidRPr="0029522B">
        <w:rPr>
          <w:rFonts w:ascii="Palatino Linotype" w:eastAsia="Palatino Linotype" w:hAnsi="Palatino Linotype" w:cs="Palatino Linotype"/>
          <w:sz w:val="22"/>
          <w:szCs w:val="22"/>
        </w:rPr>
        <w:t xml:space="preserve"> consultable en el Seminario Judicial de la Federación y su gaceta, con el registro digital 2002351.</w:t>
      </w:r>
    </w:p>
    <w:p w14:paraId="63FBC7E4" w14:textId="77777777" w:rsidR="00C40214" w:rsidRPr="0029522B" w:rsidRDefault="00C40214" w:rsidP="00C40214">
      <w:pPr>
        <w:spacing w:before="240" w:after="240" w:line="360" w:lineRule="auto"/>
        <w:ind w:left="851" w:right="900"/>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b/>
          <w:i/>
          <w:sz w:val="22"/>
          <w:szCs w:val="22"/>
        </w:rPr>
        <w:t>“PLAZO RAZONABLE PARA RESOLVER. CONCEPTO Y ELEMENTOS QUE LO INTEGRAN A LA LUZ DEL DERECHO INTERNACIONAL DE LOS DERECHOS HUMANOS.”</w:t>
      </w:r>
      <w:r w:rsidRPr="0029522B">
        <w:rPr>
          <w:rFonts w:ascii="Palatino Linotype" w:eastAsia="Palatino Linotype" w:hAnsi="Palatino Linotype" w:cs="Palatino Linotype"/>
          <w:sz w:val="22"/>
          <w:szCs w:val="22"/>
        </w:rPr>
        <w:t>, visible en el Seminario Judicial de la Federación y su gaceta, con el registro digital 2002350.</w:t>
      </w:r>
    </w:p>
    <w:p w14:paraId="4D30640C" w14:textId="77777777" w:rsidR="00C40214" w:rsidRPr="0029522B" w:rsidRDefault="00C40214" w:rsidP="00C40214">
      <w:pPr>
        <w:spacing w:before="240" w:after="240" w:line="360" w:lineRule="auto"/>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sz w:val="22"/>
          <w:szCs w:val="22"/>
        </w:rPr>
        <w:t>Por ello, este organismo garante comprometido con la tutela de los derechos humanos confiados, señala que este exceso del plazo legal para resolver el presente asunto, resulta de carácter excepcional.</w:t>
      </w:r>
    </w:p>
    <w:p w14:paraId="59855FF2" w14:textId="79867539" w:rsidR="00D90F2D" w:rsidRPr="0029522B" w:rsidRDefault="00194FDE" w:rsidP="007811FC">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b/>
          <w:sz w:val="22"/>
          <w:szCs w:val="22"/>
        </w:rPr>
        <w:t xml:space="preserve">9. </w:t>
      </w:r>
      <w:r w:rsidR="00D90F2D" w:rsidRPr="0029522B">
        <w:rPr>
          <w:rFonts w:ascii="Palatino Linotype" w:eastAsia="Palatino Linotype" w:hAnsi="Palatino Linotype" w:cs="Palatino Linotype"/>
          <w:b/>
          <w:sz w:val="22"/>
          <w:szCs w:val="22"/>
        </w:rPr>
        <w:t xml:space="preserve">Cierre de instrucción. </w:t>
      </w:r>
      <w:r w:rsidRPr="0029522B">
        <w:rPr>
          <w:rFonts w:ascii="Palatino Linotype" w:eastAsia="Palatino Linotype" w:hAnsi="Palatino Linotype" w:cs="Palatino Linotype"/>
          <w:sz w:val="22"/>
          <w:szCs w:val="22"/>
        </w:rPr>
        <w:t>En fecha</w:t>
      </w:r>
      <w:r w:rsidR="001E58C9" w:rsidRPr="0029522B">
        <w:rPr>
          <w:rFonts w:ascii="Palatino Linotype" w:eastAsia="Palatino Linotype" w:hAnsi="Palatino Linotype" w:cs="Palatino Linotype"/>
          <w:sz w:val="22"/>
          <w:szCs w:val="22"/>
        </w:rPr>
        <w:t xml:space="preserve"> </w:t>
      </w:r>
      <w:r w:rsidR="007920F4" w:rsidRPr="0029522B">
        <w:rPr>
          <w:rFonts w:ascii="Palatino Linotype" w:eastAsia="Palatino Linotype" w:hAnsi="Palatino Linotype" w:cs="Palatino Linotype"/>
          <w:b/>
          <w:bCs/>
          <w:sz w:val="22"/>
          <w:szCs w:val="22"/>
        </w:rPr>
        <w:t>veinticinco</w:t>
      </w:r>
      <w:r w:rsidR="001E58C9" w:rsidRPr="0029522B">
        <w:rPr>
          <w:rFonts w:ascii="Palatino Linotype" w:eastAsia="Palatino Linotype" w:hAnsi="Palatino Linotype" w:cs="Palatino Linotype"/>
          <w:b/>
          <w:bCs/>
          <w:sz w:val="22"/>
          <w:szCs w:val="22"/>
        </w:rPr>
        <w:t xml:space="preserve"> </w:t>
      </w:r>
      <w:r w:rsidRPr="0029522B">
        <w:rPr>
          <w:rFonts w:ascii="Palatino Linotype" w:eastAsia="Palatino Linotype" w:hAnsi="Palatino Linotype" w:cs="Palatino Linotype"/>
          <w:b/>
          <w:sz w:val="22"/>
          <w:szCs w:val="22"/>
        </w:rPr>
        <w:t xml:space="preserve">de febrero de dos mil veintiséis, </w:t>
      </w:r>
      <w:r w:rsidRPr="0029522B">
        <w:rPr>
          <w:rFonts w:ascii="Palatino Linotype" w:eastAsia="Palatino Linotype" w:hAnsi="Palatino Linotype" w:cs="Palatino Linotype"/>
          <w:sz w:val="22"/>
          <w:szCs w:val="22"/>
        </w:rPr>
        <w:t>con fundamento en lo establecido en el artículo 185, fracción VI de la Ley de Transparencia y Acceso a la Información Pública del Estado de México y Municipios, al no existir trámite pendiente por realizar y haber sido sustanciados los medios de impugnación se acordó el cierre de instrucción y se procede a formular la resolución que en derecho corresponda.</w:t>
      </w:r>
    </w:p>
    <w:p w14:paraId="11392D23" w14:textId="77777777" w:rsidR="00D90F2D" w:rsidRPr="0029522B" w:rsidRDefault="00D90F2D" w:rsidP="007811FC">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sz w:val="22"/>
          <w:szCs w:val="22"/>
        </w:rPr>
      </w:pPr>
    </w:p>
    <w:p w14:paraId="605E7CEC" w14:textId="6B79F70D" w:rsidR="00566EB9" w:rsidRPr="0029522B" w:rsidRDefault="00D41CCE" w:rsidP="007811FC">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sz w:val="22"/>
          <w:szCs w:val="22"/>
        </w:rPr>
        <w:t>En razón de que fue</w:t>
      </w:r>
      <w:r w:rsidR="001E58C9" w:rsidRPr="0029522B">
        <w:rPr>
          <w:rFonts w:ascii="Palatino Linotype" w:eastAsia="Palatino Linotype" w:hAnsi="Palatino Linotype" w:cs="Palatino Linotype"/>
          <w:sz w:val="22"/>
          <w:szCs w:val="22"/>
        </w:rPr>
        <w:t>ron</w:t>
      </w:r>
      <w:r w:rsidRPr="0029522B">
        <w:rPr>
          <w:rFonts w:ascii="Palatino Linotype" w:eastAsia="Palatino Linotype" w:hAnsi="Palatino Linotype" w:cs="Palatino Linotype"/>
          <w:sz w:val="22"/>
          <w:szCs w:val="22"/>
        </w:rPr>
        <w:t xml:space="preserve"> debidamente sustanciado</w:t>
      </w:r>
      <w:r w:rsidR="001E58C9" w:rsidRPr="0029522B">
        <w:rPr>
          <w:rFonts w:ascii="Palatino Linotype" w:eastAsia="Palatino Linotype" w:hAnsi="Palatino Linotype" w:cs="Palatino Linotype"/>
          <w:sz w:val="22"/>
          <w:szCs w:val="22"/>
        </w:rPr>
        <w:t>s</w:t>
      </w:r>
      <w:r w:rsidRPr="0029522B">
        <w:rPr>
          <w:rFonts w:ascii="Palatino Linotype" w:eastAsia="Palatino Linotype" w:hAnsi="Palatino Linotype" w:cs="Palatino Linotype"/>
          <w:sz w:val="22"/>
          <w:szCs w:val="22"/>
        </w:rPr>
        <w:t xml:space="preserve"> </w:t>
      </w:r>
      <w:r w:rsidR="001E58C9" w:rsidRPr="0029522B">
        <w:rPr>
          <w:rFonts w:ascii="Palatino Linotype" w:eastAsia="Palatino Linotype" w:hAnsi="Palatino Linotype" w:cs="Palatino Linotype"/>
          <w:sz w:val="22"/>
          <w:szCs w:val="22"/>
        </w:rPr>
        <w:t>los</w:t>
      </w:r>
      <w:r w:rsidRPr="0029522B">
        <w:rPr>
          <w:rFonts w:ascii="Palatino Linotype" w:eastAsia="Palatino Linotype" w:hAnsi="Palatino Linotype" w:cs="Palatino Linotype"/>
          <w:sz w:val="22"/>
          <w:szCs w:val="22"/>
        </w:rPr>
        <w:t xml:space="preserve"> expediente</w:t>
      </w:r>
      <w:r w:rsidR="001E58C9" w:rsidRPr="0029522B">
        <w:rPr>
          <w:rFonts w:ascii="Palatino Linotype" w:eastAsia="Palatino Linotype" w:hAnsi="Palatino Linotype" w:cs="Palatino Linotype"/>
          <w:sz w:val="22"/>
          <w:szCs w:val="22"/>
        </w:rPr>
        <w:t>s</w:t>
      </w:r>
      <w:r w:rsidRPr="0029522B">
        <w:rPr>
          <w:rFonts w:ascii="Palatino Linotype" w:eastAsia="Palatino Linotype" w:hAnsi="Palatino Linotype" w:cs="Palatino Linotype"/>
          <w:sz w:val="22"/>
          <w:szCs w:val="22"/>
        </w:rPr>
        <w:t xml:space="preserve"> electrónico</w:t>
      </w:r>
      <w:r w:rsidR="001E58C9" w:rsidRPr="0029522B">
        <w:rPr>
          <w:rFonts w:ascii="Palatino Linotype" w:eastAsia="Palatino Linotype" w:hAnsi="Palatino Linotype" w:cs="Palatino Linotype"/>
          <w:sz w:val="22"/>
          <w:szCs w:val="22"/>
        </w:rPr>
        <w:t>s</w:t>
      </w:r>
      <w:r w:rsidRPr="0029522B">
        <w:rPr>
          <w:rFonts w:ascii="Palatino Linotype" w:eastAsia="Palatino Linotype" w:hAnsi="Palatino Linotype" w:cs="Palatino Linotype"/>
          <w:sz w:val="22"/>
          <w:szCs w:val="22"/>
        </w:rPr>
        <w:t xml:space="preserve"> y no existe diligencia pendiente de desahogo, se emite la Resolución que conforme a Derecho proceda, de acuerdo con los siguientes: </w:t>
      </w:r>
    </w:p>
    <w:p w14:paraId="23EB5BC7" w14:textId="77777777" w:rsidR="00566EB9" w:rsidRPr="0029522B" w:rsidRDefault="00D41CCE" w:rsidP="007811FC">
      <w:pPr>
        <w:widowControl w:val="0"/>
        <w:spacing w:before="240" w:after="240" w:line="360" w:lineRule="auto"/>
        <w:jc w:val="center"/>
        <w:rPr>
          <w:rFonts w:ascii="Palatino Linotype" w:eastAsia="Palatino Linotype" w:hAnsi="Palatino Linotype" w:cs="Palatino Linotype"/>
          <w:b/>
          <w:sz w:val="22"/>
          <w:szCs w:val="22"/>
        </w:rPr>
      </w:pPr>
      <w:r w:rsidRPr="0029522B">
        <w:rPr>
          <w:rFonts w:ascii="Palatino Linotype" w:eastAsia="Palatino Linotype" w:hAnsi="Palatino Linotype" w:cs="Palatino Linotype"/>
          <w:b/>
          <w:sz w:val="22"/>
          <w:szCs w:val="22"/>
        </w:rPr>
        <w:t>II. C O N S I D E R A N D O S</w:t>
      </w:r>
    </w:p>
    <w:p w14:paraId="172CA64E" w14:textId="4202C2E2" w:rsidR="00566EB9" w:rsidRPr="0029522B" w:rsidRDefault="00D41CCE" w:rsidP="007811FC">
      <w:pPr>
        <w:spacing w:line="360" w:lineRule="auto"/>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b/>
          <w:sz w:val="22"/>
          <w:szCs w:val="22"/>
        </w:rPr>
        <w:t>Primero. Competencia.</w:t>
      </w:r>
      <w:r w:rsidRPr="0029522B">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w:t>
      </w:r>
      <w:r w:rsidR="001E58C9" w:rsidRPr="0029522B">
        <w:rPr>
          <w:rFonts w:ascii="Palatino Linotype" w:eastAsia="Palatino Linotype" w:hAnsi="Palatino Linotype" w:cs="Palatino Linotype"/>
          <w:sz w:val="22"/>
          <w:szCs w:val="22"/>
        </w:rPr>
        <w:t>los</w:t>
      </w:r>
      <w:r w:rsidRPr="0029522B">
        <w:rPr>
          <w:rFonts w:ascii="Palatino Linotype" w:eastAsia="Palatino Linotype" w:hAnsi="Palatino Linotype" w:cs="Palatino Linotype"/>
          <w:sz w:val="22"/>
          <w:szCs w:val="22"/>
        </w:rPr>
        <w:t xml:space="preserve"> presente</w:t>
      </w:r>
      <w:r w:rsidR="001E58C9" w:rsidRPr="0029522B">
        <w:rPr>
          <w:rFonts w:ascii="Palatino Linotype" w:eastAsia="Palatino Linotype" w:hAnsi="Palatino Linotype" w:cs="Palatino Linotype"/>
          <w:sz w:val="22"/>
          <w:szCs w:val="22"/>
        </w:rPr>
        <w:t>s</w:t>
      </w:r>
      <w:r w:rsidRPr="0029522B">
        <w:rPr>
          <w:rFonts w:ascii="Palatino Linotype" w:eastAsia="Palatino Linotype" w:hAnsi="Palatino Linotype" w:cs="Palatino Linotype"/>
          <w:sz w:val="22"/>
          <w:szCs w:val="22"/>
        </w:rPr>
        <w:t xml:space="preserve"> recurso</w:t>
      </w:r>
      <w:r w:rsidR="001E58C9" w:rsidRPr="0029522B">
        <w:rPr>
          <w:rFonts w:ascii="Palatino Linotype" w:eastAsia="Palatino Linotype" w:hAnsi="Palatino Linotype" w:cs="Palatino Linotype"/>
          <w:sz w:val="22"/>
          <w:szCs w:val="22"/>
        </w:rPr>
        <w:t>s</w:t>
      </w:r>
      <w:r w:rsidRPr="0029522B">
        <w:rPr>
          <w:rFonts w:ascii="Palatino Linotype" w:eastAsia="Palatino Linotype" w:hAnsi="Palatino Linotype" w:cs="Palatino Linotype"/>
          <w:sz w:val="22"/>
          <w:szCs w:val="22"/>
        </w:rPr>
        <w:t xml:space="preserve"> de revisión interpuesto</w:t>
      </w:r>
      <w:r w:rsidR="001E58C9" w:rsidRPr="0029522B">
        <w:rPr>
          <w:rFonts w:ascii="Palatino Linotype" w:eastAsia="Palatino Linotype" w:hAnsi="Palatino Linotype" w:cs="Palatino Linotype"/>
          <w:sz w:val="22"/>
          <w:szCs w:val="22"/>
        </w:rPr>
        <w:t>s</w:t>
      </w:r>
      <w:r w:rsidRPr="0029522B">
        <w:rPr>
          <w:rFonts w:ascii="Palatino Linotype" w:eastAsia="Palatino Linotype" w:hAnsi="Palatino Linotype" w:cs="Palatino Linotype"/>
          <w:sz w:val="22"/>
          <w:szCs w:val="22"/>
        </w:rPr>
        <w:t xml:space="preserve"> por la parte recurrente, conforme a lo dispuesto en los artículos 6, apartado A de la Constitución Política de los Estados Unidos Mexicanos; </w:t>
      </w:r>
      <w:r w:rsidR="00834E96" w:rsidRPr="0029522B">
        <w:rPr>
          <w:rFonts w:ascii="Palatino Linotype" w:eastAsia="Palatino Linotype" w:hAnsi="Palatino Linotype" w:cs="Palatino Linotype"/>
          <w:sz w:val="22"/>
          <w:szCs w:val="22"/>
        </w:rPr>
        <w:t>5 párrafos cuadragésimo cuarto, cuadragésimo quinto, cuadragésimo sexto, fracciones IV y V de la Constitución Política del Estado Libre y Soberano de México; Transitorio Cuarto, párrafo segundo del Decreto número 198 de la “LXII” Legislatura del Estado de México</w:t>
      </w:r>
      <w:r w:rsidRPr="0029522B">
        <w:rPr>
          <w:rFonts w:ascii="Palatino Linotype" w:eastAsia="Palatino Linotype" w:hAnsi="Palatino Linotype" w:cs="Palatino Linotype"/>
          <w:sz w:val="22"/>
          <w:szCs w:val="22"/>
        </w:rPr>
        <w:t>; 2, fracción II; 29, 36 fracciones I y II; 176, 178, 181, 185, fracción I, 186 y 188 de la Ley Transparencia y Acceso a la Información Pública del Estado de México y Municipios; 9, fracciones I</w:t>
      </w:r>
      <w:r w:rsidR="007D7E0E" w:rsidRPr="0029522B">
        <w:rPr>
          <w:rFonts w:ascii="Palatino Linotype" w:eastAsia="Palatino Linotype" w:hAnsi="Palatino Linotype" w:cs="Palatino Linotype"/>
          <w:sz w:val="22"/>
          <w:szCs w:val="22"/>
        </w:rPr>
        <w:t xml:space="preserve">, </w:t>
      </w:r>
      <w:r w:rsidRPr="0029522B">
        <w:rPr>
          <w:rFonts w:ascii="Palatino Linotype" w:eastAsia="Palatino Linotype" w:hAnsi="Palatino Linotype" w:cs="Palatino Linotype"/>
          <w:sz w:val="22"/>
          <w:szCs w:val="22"/>
        </w:rPr>
        <w:t xml:space="preserve">XXIII y </w:t>
      </w:r>
      <w:r w:rsidR="007D7E0E" w:rsidRPr="0029522B">
        <w:rPr>
          <w:rFonts w:ascii="Palatino Linotype" w:eastAsia="Palatino Linotype" w:hAnsi="Palatino Linotype" w:cs="Palatino Linotype"/>
          <w:sz w:val="22"/>
          <w:szCs w:val="22"/>
        </w:rPr>
        <w:t xml:space="preserve">XXIV, y  </w:t>
      </w:r>
      <w:r w:rsidRPr="0029522B">
        <w:rPr>
          <w:rFonts w:ascii="Palatino Linotype" w:eastAsia="Palatino Linotype" w:hAnsi="Palatino Linotype" w:cs="Palatino Linotype"/>
          <w:sz w:val="22"/>
          <w:szCs w:val="22"/>
        </w:rPr>
        <w:t>11 del Reglamento Interior del Instituto de Transparencia, Acceso a la Información Pública y Protección de Datos Personales del Estado de México y Municipios.</w:t>
      </w:r>
    </w:p>
    <w:p w14:paraId="26F4BCFA" w14:textId="77777777" w:rsidR="00566EB9" w:rsidRPr="0029522B" w:rsidRDefault="00566EB9" w:rsidP="007811FC">
      <w:pPr>
        <w:spacing w:line="360" w:lineRule="auto"/>
        <w:jc w:val="both"/>
        <w:rPr>
          <w:rFonts w:ascii="Palatino Linotype" w:eastAsia="Palatino Linotype" w:hAnsi="Palatino Linotype" w:cs="Palatino Linotype"/>
          <w:sz w:val="22"/>
          <w:szCs w:val="22"/>
        </w:rPr>
      </w:pPr>
    </w:p>
    <w:p w14:paraId="160296F8" w14:textId="0A30412B" w:rsidR="00566EB9" w:rsidRPr="0029522B" w:rsidRDefault="00D41CCE" w:rsidP="007811FC">
      <w:pPr>
        <w:spacing w:line="360" w:lineRule="auto"/>
        <w:jc w:val="both"/>
        <w:rPr>
          <w:rFonts w:ascii="Palatino Linotype" w:eastAsia="Palatino Linotype" w:hAnsi="Palatino Linotype" w:cs="Palatino Linotype"/>
          <w:sz w:val="22"/>
          <w:szCs w:val="22"/>
        </w:rPr>
      </w:pPr>
      <w:bookmarkStart w:id="6" w:name="_heading=h.tyjcwt" w:colFirst="0" w:colLast="0"/>
      <w:bookmarkEnd w:id="6"/>
      <w:r w:rsidRPr="0029522B">
        <w:rPr>
          <w:rFonts w:ascii="Palatino Linotype" w:eastAsia="Palatino Linotype" w:hAnsi="Palatino Linotype" w:cs="Palatino Linotype"/>
          <w:b/>
          <w:sz w:val="22"/>
          <w:szCs w:val="22"/>
        </w:rPr>
        <w:t xml:space="preserve">Segundo. </w:t>
      </w:r>
      <w:r w:rsidR="008A0D60" w:rsidRPr="0029522B">
        <w:rPr>
          <w:rFonts w:ascii="Palatino Linotype" w:eastAsia="Palatino Linotype" w:hAnsi="Palatino Linotype" w:cs="Palatino Linotype"/>
          <w:b/>
          <w:sz w:val="22"/>
          <w:szCs w:val="22"/>
        </w:rPr>
        <w:t xml:space="preserve">Oportunidad y Procedibilidad de los Recursos de Revisión. </w:t>
      </w:r>
      <w:r w:rsidR="008A0D60" w:rsidRPr="0029522B">
        <w:rPr>
          <w:rFonts w:ascii="Palatino Linotype" w:eastAsia="Palatino Linotype" w:hAnsi="Palatino Linotype" w:cs="Palatino Linotype"/>
          <w:sz w:val="22"/>
          <w:szCs w:val="22"/>
        </w:rPr>
        <w:t xml:space="preserve">Previo al estudio del fondo del asunto, se procede a analizar los requisitos de oportunidad y procedibilidad que deben reunir </w:t>
      </w:r>
      <w:r w:rsidR="007D7E0E" w:rsidRPr="0029522B">
        <w:rPr>
          <w:rFonts w:ascii="Palatino Linotype" w:eastAsia="Palatino Linotype" w:hAnsi="Palatino Linotype" w:cs="Palatino Linotype"/>
          <w:sz w:val="22"/>
          <w:szCs w:val="22"/>
        </w:rPr>
        <w:t>los recursos</w:t>
      </w:r>
      <w:r w:rsidR="008A0D60" w:rsidRPr="0029522B">
        <w:rPr>
          <w:rFonts w:ascii="Palatino Linotype" w:eastAsia="Palatino Linotype" w:hAnsi="Palatino Linotype" w:cs="Palatino Linotype"/>
          <w:sz w:val="22"/>
          <w:szCs w:val="22"/>
        </w:rPr>
        <w:t xml:space="preserve"> de revisión interpuestos, previstos en los artículos 178 y 180 de la Ley de Transparencia y Acceso a la Información Pública del Estado de México y Municipios.</w:t>
      </w:r>
    </w:p>
    <w:p w14:paraId="7C665AE4" w14:textId="77777777" w:rsidR="00566EB9" w:rsidRPr="0029522B" w:rsidRDefault="00566EB9" w:rsidP="007811FC">
      <w:pPr>
        <w:spacing w:line="360" w:lineRule="auto"/>
        <w:jc w:val="both"/>
        <w:rPr>
          <w:rFonts w:ascii="Palatino Linotype" w:eastAsia="Palatino Linotype" w:hAnsi="Palatino Linotype" w:cs="Palatino Linotype"/>
          <w:sz w:val="22"/>
          <w:szCs w:val="22"/>
        </w:rPr>
      </w:pPr>
    </w:p>
    <w:p w14:paraId="6481FF1B" w14:textId="77777777" w:rsidR="00CE2EDA" w:rsidRPr="0029522B" w:rsidRDefault="00CE2EDA" w:rsidP="00CE2EDA">
      <w:pPr>
        <w:spacing w:line="360" w:lineRule="auto"/>
        <w:ind w:right="49"/>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b/>
          <w:sz w:val="22"/>
          <w:szCs w:val="22"/>
        </w:rPr>
        <w:t xml:space="preserve">SEGUNDO. PROCEDIBILIDAD DEL RECURSO DE REVISIÓN. </w:t>
      </w:r>
      <w:r w:rsidRPr="0029522B">
        <w:rPr>
          <w:rFonts w:ascii="Palatino Linotype" w:eastAsia="Palatino Linotype" w:hAnsi="Palatino Linotype" w:cs="Palatino Linotype"/>
          <w:sz w:val="22"/>
          <w:szCs w:val="22"/>
        </w:rPr>
        <w:t>Previo al estudio del fondo del asunto, se procede a analizar los requisitos de procedibilidad que debe reunir el recurso de revisión interpuesto, previsto en el artículo 180 de la Ley de Transparencia y Acceso a la Información Pública del Estado de México y Municipios.</w:t>
      </w:r>
    </w:p>
    <w:p w14:paraId="6A24A62B" w14:textId="77777777" w:rsidR="00CE2EDA" w:rsidRPr="0029522B" w:rsidRDefault="00CE2EDA" w:rsidP="00CE2EDA">
      <w:pPr>
        <w:spacing w:line="360" w:lineRule="auto"/>
        <w:ind w:right="49"/>
        <w:jc w:val="both"/>
        <w:rPr>
          <w:rFonts w:ascii="Palatino Linotype" w:eastAsia="Palatino Linotype" w:hAnsi="Palatino Linotype" w:cs="Palatino Linotype"/>
          <w:sz w:val="22"/>
          <w:szCs w:val="22"/>
        </w:rPr>
      </w:pPr>
    </w:p>
    <w:p w14:paraId="69BF57E5" w14:textId="77777777" w:rsidR="00CE2EDA" w:rsidRPr="0029522B" w:rsidRDefault="00CE2EDA" w:rsidP="00CE2EDA">
      <w:pPr>
        <w:spacing w:line="360" w:lineRule="auto"/>
        <w:jc w:val="both"/>
        <w:rPr>
          <w:rFonts w:ascii="Palatino Linotype" w:eastAsia="Palatino Linotype" w:hAnsi="Palatino Linotype" w:cs="Palatino Linotype"/>
          <w:b/>
          <w:sz w:val="22"/>
          <w:szCs w:val="22"/>
        </w:rPr>
      </w:pPr>
      <w:r w:rsidRPr="0029522B">
        <w:rPr>
          <w:rFonts w:ascii="Palatino Linotype" w:eastAsia="Palatino Linotype" w:hAnsi="Palatino Linotype" w:cs="Palatino Linotype"/>
          <w:sz w:val="22"/>
          <w:szCs w:val="22"/>
        </w:rPr>
        <w:t xml:space="preserve">Ahora bien, del análisis efectuado se advierte que resulta procedente la interposición del recurso y se concluye la acreditación plena de todos y cada uno de los elementos formales exigidos por el artículo 180 de la Ley de Transparencia y Acceso a la Información Pública del Estado de México y Municipios en vigor, en atención a que fue presentado mediante el formato visible </w:t>
      </w:r>
      <w:r w:rsidRPr="0029522B">
        <w:rPr>
          <w:rFonts w:ascii="Palatino Linotype" w:eastAsia="Palatino Linotype" w:hAnsi="Palatino Linotype" w:cs="Palatino Linotype"/>
          <w:b/>
          <w:sz w:val="22"/>
          <w:szCs w:val="22"/>
        </w:rPr>
        <w:t xml:space="preserve">EL SAIMEX.  </w:t>
      </w:r>
    </w:p>
    <w:p w14:paraId="6C9BDD2E" w14:textId="77777777" w:rsidR="00CE2EDA" w:rsidRPr="0029522B" w:rsidRDefault="00CE2EDA" w:rsidP="00CE2EDA">
      <w:pPr>
        <w:spacing w:line="360" w:lineRule="auto"/>
        <w:jc w:val="both"/>
        <w:rPr>
          <w:rFonts w:ascii="Palatino Linotype" w:eastAsia="Palatino Linotype" w:hAnsi="Palatino Linotype" w:cs="Palatino Linotype"/>
          <w:sz w:val="22"/>
          <w:szCs w:val="22"/>
        </w:rPr>
      </w:pPr>
    </w:p>
    <w:p w14:paraId="32812A9E" w14:textId="73123C40" w:rsidR="00CE2EDA" w:rsidRPr="0029522B" w:rsidRDefault="00CE2EDA" w:rsidP="00CE2EDA">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sz w:val="22"/>
          <w:szCs w:val="22"/>
        </w:rPr>
        <w:t xml:space="preserve">Finalmente, resulta procedente la interposición del recurso, según lo aducido por </w:t>
      </w:r>
      <w:r w:rsidRPr="0029522B">
        <w:rPr>
          <w:rFonts w:ascii="Palatino Linotype" w:eastAsia="Palatino Linotype" w:hAnsi="Palatino Linotype" w:cs="Palatino Linotype"/>
          <w:b/>
          <w:sz w:val="22"/>
          <w:szCs w:val="22"/>
        </w:rPr>
        <w:t>LA PARTE RECURRENTE</w:t>
      </w:r>
      <w:r w:rsidRPr="0029522B">
        <w:rPr>
          <w:rFonts w:ascii="Palatino Linotype" w:eastAsia="Palatino Linotype" w:hAnsi="Palatino Linotype" w:cs="Palatino Linotype"/>
          <w:sz w:val="22"/>
          <w:szCs w:val="22"/>
        </w:rPr>
        <w:t xml:space="preserve"> en sus razones o motivos de inconformidad, de acuerdo al artículo 179, fracción I y IV de la Ley de Transparencia y Acceso a la Información Pública del Estado de México y Municipios; que a la letra dice:</w:t>
      </w:r>
    </w:p>
    <w:p w14:paraId="204CC172" w14:textId="77777777" w:rsidR="00CE2EDA" w:rsidRPr="0029522B" w:rsidRDefault="00CE2EDA" w:rsidP="00CE2EDA">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3BA60848" w14:textId="77777777" w:rsidR="00CE2EDA" w:rsidRPr="0029522B" w:rsidRDefault="00CE2EDA" w:rsidP="00CE2EDA">
      <w:pPr>
        <w:pBdr>
          <w:top w:val="nil"/>
          <w:left w:val="nil"/>
          <w:bottom w:val="nil"/>
          <w:right w:val="nil"/>
          <w:between w:val="nil"/>
        </w:pBdr>
        <w:spacing w:line="276" w:lineRule="auto"/>
        <w:ind w:left="992" w:right="1043"/>
        <w:jc w:val="both"/>
        <w:rPr>
          <w:rFonts w:ascii="Palatino Linotype" w:eastAsia="Palatino Linotype" w:hAnsi="Palatino Linotype" w:cs="Palatino Linotype"/>
          <w:i/>
          <w:sz w:val="22"/>
          <w:szCs w:val="22"/>
        </w:rPr>
      </w:pPr>
      <w:r w:rsidRPr="0029522B">
        <w:rPr>
          <w:rFonts w:ascii="Palatino Linotype" w:eastAsia="Palatino Linotype" w:hAnsi="Palatino Linotype" w:cs="Palatino Linotype"/>
          <w:b/>
          <w:i/>
          <w:sz w:val="22"/>
          <w:szCs w:val="22"/>
        </w:rPr>
        <w:t>“Artículo 179</w:t>
      </w:r>
      <w:r w:rsidRPr="0029522B">
        <w:rPr>
          <w:rFonts w:ascii="Palatino Linotype" w:eastAsia="Palatino Linotype" w:hAnsi="Palatino Linotype" w:cs="Palatino Linotype"/>
          <w:i/>
          <w:sz w:val="22"/>
          <w:szCs w:val="22"/>
        </w:rPr>
        <w:t xml:space="preserve">. </w:t>
      </w:r>
      <w:r w:rsidRPr="0029522B">
        <w:rPr>
          <w:rFonts w:ascii="Palatino Linotype" w:eastAsia="Palatino Linotype" w:hAnsi="Palatino Linotype" w:cs="Palatino Linotype"/>
          <w:b/>
          <w:i/>
          <w:sz w:val="22"/>
          <w:szCs w:val="22"/>
        </w:rPr>
        <w:t>El recurso de revisión</w:t>
      </w:r>
      <w:r w:rsidRPr="0029522B">
        <w:rPr>
          <w:rFonts w:ascii="Palatino Linotype" w:eastAsia="Palatino Linotype" w:hAnsi="Palatino Linotype" w:cs="Palatino Linotype"/>
          <w:i/>
          <w:sz w:val="22"/>
          <w:szCs w:val="22"/>
        </w:rPr>
        <w:t xml:space="preserve"> es un medio de protección que la Ley otorga a los particulares, para hacer valer su derecho de acceso a la información pública</w:t>
      </w:r>
      <w:r w:rsidRPr="0029522B">
        <w:rPr>
          <w:rFonts w:ascii="Palatino Linotype" w:eastAsia="Palatino Linotype" w:hAnsi="Palatino Linotype" w:cs="Palatino Linotype"/>
          <w:b/>
          <w:i/>
          <w:sz w:val="22"/>
          <w:szCs w:val="22"/>
        </w:rPr>
        <w:t>, y procederá en contra de las siguientes causas</w:t>
      </w:r>
      <w:r w:rsidRPr="0029522B">
        <w:rPr>
          <w:rFonts w:ascii="Palatino Linotype" w:eastAsia="Palatino Linotype" w:hAnsi="Palatino Linotype" w:cs="Palatino Linotype"/>
          <w:i/>
          <w:sz w:val="22"/>
          <w:szCs w:val="22"/>
        </w:rPr>
        <w:t>:</w:t>
      </w:r>
    </w:p>
    <w:p w14:paraId="1083A99E" w14:textId="77777777" w:rsidR="00CE2EDA" w:rsidRPr="0029522B" w:rsidRDefault="00CE2EDA" w:rsidP="00CE2EDA">
      <w:pPr>
        <w:pBdr>
          <w:top w:val="nil"/>
          <w:left w:val="nil"/>
          <w:bottom w:val="nil"/>
          <w:right w:val="nil"/>
          <w:between w:val="nil"/>
        </w:pBdr>
        <w:spacing w:line="276" w:lineRule="auto"/>
        <w:ind w:left="992" w:right="1043"/>
        <w:jc w:val="both"/>
        <w:rPr>
          <w:rFonts w:ascii="Palatino Linotype" w:eastAsia="Palatino Linotype" w:hAnsi="Palatino Linotype" w:cs="Palatino Linotype"/>
          <w:b/>
          <w:i/>
          <w:sz w:val="22"/>
          <w:szCs w:val="22"/>
        </w:rPr>
      </w:pPr>
      <w:r w:rsidRPr="0029522B">
        <w:rPr>
          <w:rFonts w:ascii="Palatino Linotype" w:eastAsia="Palatino Linotype" w:hAnsi="Palatino Linotype" w:cs="Palatino Linotype"/>
          <w:b/>
          <w:i/>
          <w:sz w:val="22"/>
          <w:szCs w:val="22"/>
        </w:rPr>
        <w:t>I. La negativa a la información solicitada;</w:t>
      </w:r>
    </w:p>
    <w:p w14:paraId="6CC3E550" w14:textId="7CBBAB4F" w:rsidR="00CE2EDA" w:rsidRPr="0029522B" w:rsidRDefault="00CE2EDA" w:rsidP="00CE2EDA">
      <w:pPr>
        <w:pBdr>
          <w:top w:val="nil"/>
          <w:left w:val="nil"/>
          <w:bottom w:val="nil"/>
          <w:right w:val="nil"/>
          <w:between w:val="nil"/>
        </w:pBdr>
        <w:spacing w:line="276" w:lineRule="auto"/>
        <w:ind w:left="992" w:right="1043"/>
        <w:jc w:val="both"/>
        <w:rPr>
          <w:rFonts w:ascii="Palatino Linotype" w:eastAsia="Palatino Linotype" w:hAnsi="Palatino Linotype" w:cs="Palatino Linotype"/>
          <w:b/>
          <w:i/>
          <w:sz w:val="22"/>
          <w:szCs w:val="22"/>
        </w:rPr>
      </w:pPr>
      <w:r w:rsidRPr="0029522B">
        <w:rPr>
          <w:rFonts w:ascii="Palatino Linotype" w:eastAsia="Palatino Linotype" w:hAnsi="Palatino Linotype" w:cs="Palatino Linotype"/>
          <w:b/>
          <w:i/>
          <w:sz w:val="22"/>
          <w:szCs w:val="22"/>
        </w:rPr>
        <w:t>…</w:t>
      </w:r>
    </w:p>
    <w:p w14:paraId="572B3CB4" w14:textId="33F357B4" w:rsidR="00CE2EDA" w:rsidRPr="0029522B" w:rsidRDefault="00CE2EDA" w:rsidP="00CE2EDA">
      <w:pPr>
        <w:pBdr>
          <w:top w:val="nil"/>
          <w:left w:val="nil"/>
          <w:bottom w:val="nil"/>
          <w:right w:val="nil"/>
          <w:between w:val="nil"/>
        </w:pBdr>
        <w:spacing w:line="276" w:lineRule="auto"/>
        <w:ind w:left="992" w:right="1043"/>
        <w:jc w:val="both"/>
        <w:rPr>
          <w:rFonts w:ascii="Palatino Linotype" w:eastAsia="Palatino Linotype" w:hAnsi="Palatino Linotype" w:cs="Palatino Linotype"/>
          <w:b/>
          <w:i/>
          <w:sz w:val="22"/>
          <w:szCs w:val="22"/>
        </w:rPr>
      </w:pPr>
      <w:r w:rsidRPr="0029522B">
        <w:rPr>
          <w:rFonts w:ascii="Palatino Linotype" w:eastAsia="Palatino Linotype" w:hAnsi="Palatino Linotype" w:cs="Palatino Linotype"/>
          <w:b/>
          <w:i/>
          <w:sz w:val="22"/>
          <w:szCs w:val="22"/>
        </w:rPr>
        <w:t>IV. La declaración de incompetencia por el sujeto obligado;”</w:t>
      </w:r>
    </w:p>
    <w:p w14:paraId="30C4A620" w14:textId="77777777" w:rsidR="00CE2EDA" w:rsidRPr="0029522B" w:rsidRDefault="00CE2EDA" w:rsidP="00CE2EDA">
      <w:pPr>
        <w:spacing w:line="360" w:lineRule="auto"/>
        <w:jc w:val="both"/>
        <w:rPr>
          <w:rFonts w:ascii="Palatino Linotype" w:eastAsia="Palatino Linotype" w:hAnsi="Palatino Linotype" w:cs="Palatino Linotype"/>
          <w:sz w:val="22"/>
          <w:szCs w:val="22"/>
        </w:rPr>
      </w:pPr>
    </w:p>
    <w:p w14:paraId="0325E036" w14:textId="77777777" w:rsidR="00CE2EDA" w:rsidRPr="0029522B" w:rsidRDefault="00CE2EDA" w:rsidP="00CE2EDA">
      <w:pPr>
        <w:spacing w:line="360" w:lineRule="auto"/>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b/>
          <w:sz w:val="22"/>
          <w:szCs w:val="22"/>
        </w:rPr>
        <w:t xml:space="preserve">TERCERO. ANÁLISIS DE LAS CAUSALES DE SOBRESEIMIENTO. </w:t>
      </w:r>
      <w:r w:rsidRPr="0029522B">
        <w:rPr>
          <w:rFonts w:ascii="Palatino Linotype" w:eastAsia="Palatino Linotype" w:hAnsi="Palatino Linotype" w:cs="Palatino Linotype"/>
          <w:sz w:val="22"/>
          <w:szCs w:val="22"/>
        </w:rPr>
        <w:t>Es menester resaltar que en el procedimiento de acceso a la información pública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5F172F23" w14:textId="77777777" w:rsidR="00CE2EDA" w:rsidRPr="0029522B" w:rsidRDefault="00CE2EDA" w:rsidP="00CE2EDA">
      <w:pPr>
        <w:spacing w:line="360" w:lineRule="auto"/>
        <w:jc w:val="both"/>
        <w:rPr>
          <w:rFonts w:ascii="Palatino Linotype" w:eastAsia="Palatino Linotype" w:hAnsi="Palatino Linotype" w:cs="Palatino Linotype"/>
          <w:sz w:val="22"/>
          <w:szCs w:val="22"/>
        </w:rPr>
      </w:pPr>
    </w:p>
    <w:p w14:paraId="1778426A" w14:textId="77777777" w:rsidR="00CE2EDA" w:rsidRPr="0029522B" w:rsidRDefault="00CE2EDA" w:rsidP="00CE2EDA">
      <w:pPr>
        <w:spacing w:line="360" w:lineRule="auto"/>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sz w:val="22"/>
          <w:szCs w:val="22"/>
        </w:rPr>
        <w:t>Siendo una facultad legal entrar al estudio de las causas de improcedencia que hagan valer las partes o que se adviertan de oficio por este Instituto; presupuestos procesales de inicio o trámite de un proceso que dotan de seguridad jurídica las resoluciones emitidas por este organismo colegiado, máxime que se trata de una figura procesal adoptada en la ley de la materia, la cual permite dilucidar alguna causal que impida el estudio y resolución de un asunto en su fondo, cuando una vez admitido el recurso de revisión se advierta una causa de improcedencia que permita sobreseerlo. Estudio de causales de improcedencia que no son incompatibles con el derecho de acceso a la justicia, ya que éste no se coarta por regular causas de improcedencia y sobreseimiento con tales fines.</w:t>
      </w:r>
    </w:p>
    <w:p w14:paraId="7B9887D0" w14:textId="77777777" w:rsidR="00CE2EDA" w:rsidRPr="0029522B" w:rsidRDefault="00CE2EDA" w:rsidP="00CE2EDA">
      <w:pPr>
        <w:spacing w:line="360" w:lineRule="auto"/>
        <w:jc w:val="both"/>
        <w:rPr>
          <w:rFonts w:ascii="Palatino Linotype" w:eastAsia="Palatino Linotype" w:hAnsi="Palatino Linotype" w:cs="Palatino Linotype"/>
          <w:sz w:val="22"/>
          <w:szCs w:val="22"/>
        </w:rPr>
      </w:pPr>
    </w:p>
    <w:p w14:paraId="259F3651" w14:textId="77777777" w:rsidR="00CE2EDA" w:rsidRPr="0029522B" w:rsidRDefault="00CE2EDA" w:rsidP="00CE2EDA">
      <w:pPr>
        <w:spacing w:line="360" w:lineRule="auto"/>
        <w:ind w:right="51"/>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sz w:val="22"/>
          <w:szCs w:val="22"/>
        </w:rPr>
        <w:t>De manera preliminar en el caso concreto conviene analizar si se actualiza alguna de las causales de sobreseimiento del recurso de revisión.</w:t>
      </w: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0"/>
        <w:gridCol w:w="3686"/>
      </w:tblGrid>
      <w:tr w:rsidR="002D79F6" w:rsidRPr="0029522B" w14:paraId="231AF61B" w14:textId="77777777" w:rsidTr="00DE1CCA">
        <w:tc>
          <w:tcPr>
            <w:tcW w:w="5240" w:type="dxa"/>
            <w:shd w:val="clear" w:color="auto" w:fill="AEAAAA"/>
          </w:tcPr>
          <w:p w14:paraId="67F38FB9" w14:textId="77777777" w:rsidR="00CE2EDA" w:rsidRPr="0029522B" w:rsidRDefault="00CE2EDA" w:rsidP="00DE1CCA">
            <w:pPr>
              <w:spacing w:line="360" w:lineRule="auto"/>
              <w:jc w:val="center"/>
              <w:rPr>
                <w:rFonts w:ascii="Palatino Linotype" w:eastAsia="Palatino Linotype" w:hAnsi="Palatino Linotype" w:cs="Palatino Linotype"/>
                <w:b/>
                <w:sz w:val="22"/>
                <w:szCs w:val="22"/>
              </w:rPr>
            </w:pPr>
            <w:r w:rsidRPr="0029522B">
              <w:rPr>
                <w:rFonts w:ascii="Palatino Linotype" w:eastAsia="Palatino Linotype" w:hAnsi="Palatino Linotype" w:cs="Palatino Linotype"/>
                <w:b/>
                <w:sz w:val="22"/>
                <w:szCs w:val="22"/>
              </w:rPr>
              <w:t>Solicitud</w:t>
            </w:r>
          </w:p>
        </w:tc>
        <w:tc>
          <w:tcPr>
            <w:tcW w:w="3686" w:type="dxa"/>
            <w:shd w:val="clear" w:color="auto" w:fill="AEAAAA"/>
          </w:tcPr>
          <w:p w14:paraId="05DDA54C" w14:textId="77777777" w:rsidR="00CE2EDA" w:rsidRPr="0029522B" w:rsidRDefault="00CE2EDA" w:rsidP="00DE1CCA">
            <w:pPr>
              <w:spacing w:line="360" w:lineRule="auto"/>
              <w:jc w:val="center"/>
              <w:rPr>
                <w:rFonts w:ascii="Palatino Linotype" w:eastAsia="Palatino Linotype" w:hAnsi="Palatino Linotype" w:cs="Palatino Linotype"/>
                <w:b/>
                <w:sz w:val="22"/>
                <w:szCs w:val="22"/>
              </w:rPr>
            </w:pPr>
            <w:r w:rsidRPr="0029522B">
              <w:rPr>
                <w:rFonts w:ascii="Palatino Linotype" w:eastAsia="Palatino Linotype" w:hAnsi="Palatino Linotype" w:cs="Palatino Linotype"/>
                <w:b/>
                <w:sz w:val="22"/>
                <w:szCs w:val="22"/>
              </w:rPr>
              <w:t>Respuesta</w:t>
            </w:r>
          </w:p>
        </w:tc>
      </w:tr>
      <w:tr w:rsidR="00CE2EDA" w:rsidRPr="0029522B" w14:paraId="109CDA1A" w14:textId="77777777" w:rsidTr="00DE1CCA">
        <w:tc>
          <w:tcPr>
            <w:tcW w:w="5240" w:type="dxa"/>
            <w:shd w:val="clear" w:color="auto" w:fill="auto"/>
          </w:tcPr>
          <w:p w14:paraId="0D91C69A" w14:textId="77777777" w:rsidR="00CE2EDA" w:rsidRPr="0029522B" w:rsidRDefault="00CE2EDA" w:rsidP="00CE2EDA">
            <w:pPr>
              <w:rPr>
                <w:rFonts w:ascii="Palatino Linotype" w:hAnsi="Palatino Linotype" w:cs="Arial"/>
                <w:i/>
                <w:sz w:val="22"/>
                <w:szCs w:val="22"/>
                <w:lang w:eastAsia="es-ES"/>
              </w:rPr>
            </w:pPr>
            <w:r w:rsidRPr="0029522B">
              <w:rPr>
                <w:rFonts w:ascii="Palatino Linotype" w:hAnsi="Palatino Linotype" w:cs="Arial"/>
                <w:i/>
                <w:sz w:val="22"/>
                <w:szCs w:val="22"/>
                <w:lang w:eastAsia="es-ES"/>
              </w:rPr>
              <w:t>1. Listado completo de todos los servidores públicos dados de alta en la administración del H. Ayuntamiento de Teoloyucan, órganos desconcentrados y descentralizados, desglosado por:</w:t>
            </w:r>
          </w:p>
          <w:p w14:paraId="2C7CA9E2" w14:textId="77777777" w:rsidR="00CE2EDA" w:rsidRPr="0029522B" w:rsidRDefault="00CE2EDA" w:rsidP="00CE2EDA">
            <w:pPr>
              <w:rPr>
                <w:rFonts w:ascii="Palatino Linotype" w:hAnsi="Palatino Linotype" w:cs="Arial"/>
                <w:i/>
                <w:sz w:val="22"/>
                <w:szCs w:val="22"/>
                <w:lang w:eastAsia="es-ES"/>
              </w:rPr>
            </w:pPr>
            <w:r w:rsidRPr="0029522B">
              <w:rPr>
                <w:rFonts w:ascii="Palatino Linotype" w:hAnsi="Palatino Linotype" w:cs="Arial"/>
                <w:i/>
                <w:sz w:val="22"/>
                <w:szCs w:val="22"/>
                <w:lang w:eastAsia="es-ES"/>
              </w:rPr>
              <w:t>* Nombre completo del servidor público.    (Los nombres se pueden testar)</w:t>
            </w:r>
          </w:p>
          <w:p w14:paraId="458E15D3" w14:textId="77777777" w:rsidR="00CE2EDA" w:rsidRPr="0029522B" w:rsidRDefault="00CE2EDA" w:rsidP="00CE2EDA">
            <w:pPr>
              <w:rPr>
                <w:rFonts w:ascii="Palatino Linotype" w:hAnsi="Palatino Linotype" w:cs="Arial"/>
                <w:i/>
                <w:sz w:val="22"/>
                <w:szCs w:val="22"/>
                <w:lang w:eastAsia="es-ES"/>
              </w:rPr>
            </w:pPr>
            <w:r w:rsidRPr="0029522B">
              <w:rPr>
                <w:rFonts w:ascii="Palatino Linotype" w:hAnsi="Palatino Linotype" w:cs="Arial"/>
                <w:i/>
                <w:sz w:val="22"/>
                <w:szCs w:val="22"/>
                <w:lang w:eastAsia="es-ES"/>
              </w:rPr>
              <w:t>* Cargo o puesto que ocupa.</w:t>
            </w:r>
          </w:p>
          <w:p w14:paraId="76E80781" w14:textId="77777777" w:rsidR="00CE2EDA" w:rsidRPr="0029522B" w:rsidRDefault="00CE2EDA" w:rsidP="00CE2EDA">
            <w:pPr>
              <w:rPr>
                <w:rFonts w:ascii="Palatino Linotype" w:hAnsi="Palatino Linotype" w:cs="Arial"/>
                <w:i/>
                <w:sz w:val="22"/>
                <w:szCs w:val="22"/>
                <w:lang w:eastAsia="es-ES"/>
              </w:rPr>
            </w:pPr>
            <w:r w:rsidRPr="0029522B">
              <w:rPr>
                <w:rFonts w:ascii="Palatino Linotype" w:hAnsi="Palatino Linotype" w:cs="Arial"/>
                <w:i/>
                <w:sz w:val="22"/>
                <w:szCs w:val="22"/>
                <w:lang w:eastAsia="es-ES"/>
              </w:rPr>
              <w:t>* Departamento o área de adscripción.</w:t>
            </w:r>
          </w:p>
          <w:p w14:paraId="3E74E77C" w14:textId="77777777" w:rsidR="00CE2EDA" w:rsidRPr="0029522B" w:rsidRDefault="00CE2EDA" w:rsidP="00CE2EDA">
            <w:pPr>
              <w:rPr>
                <w:rFonts w:ascii="Palatino Linotype" w:hAnsi="Palatino Linotype" w:cs="Arial"/>
                <w:i/>
                <w:sz w:val="22"/>
                <w:szCs w:val="22"/>
                <w:lang w:eastAsia="es-ES"/>
              </w:rPr>
            </w:pPr>
            <w:r w:rsidRPr="0029522B">
              <w:rPr>
                <w:rFonts w:ascii="Palatino Linotype" w:hAnsi="Palatino Linotype" w:cs="Arial"/>
                <w:i/>
                <w:sz w:val="22"/>
                <w:szCs w:val="22"/>
                <w:lang w:eastAsia="es-ES"/>
              </w:rPr>
              <w:t>* Sueldo bruto mensual.</w:t>
            </w:r>
          </w:p>
          <w:p w14:paraId="25E15132" w14:textId="77777777" w:rsidR="00CE2EDA" w:rsidRPr="0029522B" w:rsidRDefault="00CE2EDA" w:rsidP="00CE2EDA">
            <w:pPr>
              <w:rPr>
                <w:rFonts w:ascii="Palatino Linotype" w:hAnsi="Palatino Linotype" w:cs="Arial"/>
                <w:i/>
                <w:sz w:val="22"/>
                <w:szCs w:val="22"/>
                <w:lang w:eastAsia="es-ES"/>
              </w:rPr>
            </w:pPr>
            <w:r w:rsidRPr="0029522B">
              <w:rPr>
                <w:rFonts w:ascii="Palatino Linotype" w:hAnsi="Palatino Linotype" w:cs="Arial"/>
                <w:i/>
                <w:sz w:val="22"/>
                <w:szCs w:val="22"/>
                <w:lang w:eastAsia="es-ES"/>
              </w:rPr>
              <w:t>* Sueldo neto mensual.</w:t>
            </w:r>
          </w:p>
          <w:p w14:paraId="4FF4BA23" w14:textId="77777777" w:rsidR="00CE2EDA" w:rsidRPr="0029522B" w:rsidRDefault="00CE2EDA" w:rsidP="00CE2EDA">
            <w:pPr>
              <w:rPr>
                <w:rFonts w:ascii="Palatino Linotype" w:hAnsi="Palatino Linotype" w:cs="Arial"/>
                <w:i/>
                <w:sz w:val="22"/>
                <w:szCs w:val="22"/>
                <w:lang w:eastAsia="es-ES"/>
              </w:rPr>
            </w:pPr>
            <w:r w:rsidRPr="0029522B">
              <w:rPr>
                <w:rFonts w:ascii="Palatino Linotype" w:hAnsi="Palatino Linotype" w:cs="Arial"/>
                <w:i/>
                <w:sz w:val="22"/>
                <w:szCs w:val="22"/>
                <w:lang w:eastAsia="es-ES"/>
              </w:rPr>
              <w:t>Todas las percepciones adicionales (compensaciones, bonos, prestaciones, etc.) desglosadas por concepto y monto.</w:t>
            </w:r>
          </w:p>
          <w:p w14:paraId="7A95BBC9" w14:textId="77777777" w:rsidR="00CE2EDA" w:rsidRPr="0029522B" w:rsidRDefault="00CE2EDA" w:rsidP="00CE2EDA">
            <w:pPr>
              <w:rPr>
                <w:rFonts w:ascii="Palatino Linotype" w:hAnsi="Palatino Linotype" w:cs="Arial"/>
                <w:i/>
                <w:sz w:val="22"/>
                <w:szCs w:val="22"/>
                <w:lang w:eastAsia="es-ES"/>
              </w:rPr>
            </w:pPr>
            <w:r w:rsidRPr="0029522B">
              <w:rPr>
                <w:rFonts w:ascii="Palatino Linotype" w:hAnsi="Palatino Linotype" w:cs="Arial"/>
                <w:i/>
                <w:sz w:val="22"/>
                <w:szCs w:val="22"/>
                <w:lang w:eastAsia="es-ES"/>
              </w:rPr>
              <w:t>* Fecha de alta en la administración.</w:t>
            </w:r>
          </w:p>
          <w:p w14:paraId="5D51FD83" w14:textId="77777777" w:rsidR="00CE2EDA" w:rsidRPr="0029522B" w:rsidRDefault="00CE2EDA" w:rsidP="00CE2EDA">
            <w:pPr>
              <w:rPr>
                <w:rFonts w:ascii="Palatino Linotype" w:hAnsi="Palatino Linotype" w:cs="Arial"/>
                <w:i/>
                <w:sz w:val="22"/>
                <w:szCs w:val="22"/>
                <w:lang w:eastAsia="es-ES"/>
              </w:rPr>
            </w:pPr>
          </w:p>
          <w:p w14:paraId="2D776F38" w14:textId="77777777" w:rsidR="00CE2EDA" w:rsidRPr="0029522B" w:rsidRDefault="00CE2EDA" w:rsidP="00CE2EDA">
            <w:pPr>
              <w:rPr>
                <w:rFonts w:ascii="Palatino Linotype" w:hAnsi="Palatino Linotype" w:cs="Arial"/>
                <w:i/>
                <w:sz w:val="22"/>
                <w:szCs w:val="22"/>
                <w:lang w:eastAsia="es-ES"/>
              </w:rPr>
            </w:pPr>
            <w:r w:rsidRPr="0029522B">
              <w:rPr>
                <w:rFonts w:ascii="Palatino Linotype" w:hAnsi="Palatino Linotype" w:cs="Arial"/>
                <w:i/>
                <w:sz w:val="22"/>
                <w:szCs w:val="22"/>
                <w:lang w:eastAsia="es-ES"/>
              </w:rPr>
              <w:t>2. Tabulador de sueldos y salarios vigente para todos los cargos y niveles jerárquicos de la administración municipal.</w:t>
            </w:r>
          </w:p>
          <w:p w14:paraId="59F28F02" w14:textId="77777777" w:rsidR="00CE2EDA" w:rsidRPr="0029522B" w:rsidRDefault="00CE2EDA" w:rsidP="00CE2EDA">
            <w:pPr>
              <w:rPr>
                <w:rFonts w:ascii="Palatino Linotype" w:hAnsi="Palatino Linotype" w:cs="Arial"/>
                <w:i/>
                <w:sz w:val="22"/>
                <w:szCs w:val="22"/>
                <w:lang w:eastAsia="es-ES"/>
              </w:rPr>
            </w:pPr>
          </w:p>
          <w:p w14:paraId="49652D7F" w14:textId="77777777" w:rsidR="00CE2EDA" w:rsidRPr="0029522B" w:rsidRDefault="00CE2EDA" w:rsidP="00CE2EDA">
            <w:pPr>
              <w:rPr>
                <w:rFonts w:ascii="Palatino Linotype" w:hAnsi="Palatino Linotype" w:cs="Arial"/>
                <w:i/>
                <w:sz w:val="22"/>
                <w:szCs w:val="22"/>
                <w:lang w:eastAsia="es-ES"/>
              </w:rPr>
            </w:pPr>
            <w:r w:rsidRPr="0029522B">
              <w:rPr>
                <w:rFonts w:ascii="Palatino Linotype" w:hAnsi="Palatino Linotype" w:cs="Arial"/>
                <w:i/>
                <w:sz w:val="22"/>
                <w:szCs w:val="22"/>
                <w:lang w:eastAsia="es-ES"/>
              </w:rPr>
              <w:t>3. Cualquier acuerdo o instrumento normativo interno que regule las asignaciones salariales, compensaciones extraordinarias o cualquier otra percepción económica para los servidores públicos.</w:t>
            </w:r>
          </w:p>
          <w:p w14:paraId="498F3EF2" w14:textId="77777777" w:rsidR="00CE2EDA" w:rsidRPr="0029522B" w:rsidRDefault="00CE2EDA" w:rsidP="00CE2EDA">
            <w:pPr>
              <w:rPr>
                <w:rFonts w:ascii="Palatino Linotype" w:hAnsi="Palatino Linotype" w:cs="Arial"/>
                <w:i/>
                <w:sz w:val="22"/>
                <w:szCs w:val="22"/>
                <w:lang w:eastAsia="es-ES"/>
              </w:rPr>
            </w:pPr>
          </w:p>
          <w:p w14:paraId="176EB3A4" w14:textId="77777777" w:rsidR="00CE2EDA" w:rsidRPr="0029522B" w:rsidRDefault="00CE2EDA" w:rsidP="00CE2EDA">
            <w:pPr>
              <w:rPr>
                <w:rFonts w:ascii="Palatino Linotype" w:hAnsi="Palatino Linotype" w:cs="Arial"/>
                <w:i/>
                <w:sz w:val="22"/>
                <w:szCs w:val="22"/>
                <w:lang w:eastAsia="es-ES"/>
              </w:rPr>
            </w:pPr>
            <w:r w:rsidRPr="0029522B">
              <w:rPr>
                <w:rFonts w:ascii="Palatino Linotype" w:hAnsi="Palatino Linotype" w:cs="Arial"/>
                <w:i/>
                <w:sz w:val="22"/>
                <w:szCs w:val="22"/>
                <w:lang w:eastAsia="es-ES"/>
              </w:rPr>
              <w:t>4. Total de días aprobados de aguinaldo para los servidores públicos mediante cabildo y en qué sesión se aprobó</w:t>
            </w:r>
          </w:p>
          <w:p w14:paraId="6F6CDE63" w14:textId="27BCB5A8" w:rsidR="00CE2EDA" w:rsidRPr="0029522B" w:rsidRDefault="00CE2EDA" w:rsidP="00DE1CCA">
            <w:pPr>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sz w:val="22"/>
                <w:szCs w:val="22"/>
              </w:rPr>
              <w:t xml:space="preserve"> </w:t>
            </w:r>
          </w:p>
        </w:tc>
        <w:tc>
          <w:tcPr>
            <w:tcW w:w="3686" w:type="dxa"/>
            <w:shd w:val="clear" w:color="auto" w:fill="auto"/>
          </w:tcPr>
          <w:p w14:paraId="3E9C635E" w14:textId="45ED926D" w:rsidR="00CE2EDA" w:rsidRPr="0029522B" w:rsidRDefault="00CE2EDA" w:rsidP="00DE1CCA">
            <w:pPr>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sz w:val="22"/>
                <w:szCs w:val="22"/>
              </w:rPr>
              <w:t>El Sujeto Obligado declara incompetencia para generar información respecto al Organismo Público Descentralizado para la Prestación de los Servicios de Agua Potable, Alcantarillado y Saneamiento de Teoloyucan y el Sistema Municipal para el Desarrollo Integral de la Familia de Teoloyucan.</w:t>
            </w:r>
          </w:p>
        </w:tc>
      </w:tr>
    </w:tbl>
    <w:p w14:paraId="6C67DFD3" w14:textId="77777777" w:rsidR="00CE2EDA" w:rsidRPr="0029522B" w:rsidRDefault="00CE2EDA" w:rsidP="00CE2EDA">
      <w:pPr>
        <w:spacing w:line="360" w:lineRule="auto"/>
        <w:jc w:val="both"/>
        <w:rPr>
          <w:rFonts w:ascii="Palatino Linotype" w:eastAsia="Palatino Linotype" w:hAnsi="Palatino Linotype" w:cs="Palatino Linotype"/>
          <w:sz w:val="22"/>
          <w:szCs w:val="22"/>
        </w:rPr>
      </w:pPr>
    </w:p>
    <w:p w14:paraId="68028D52" w14:textId="456CA239" w:rsidR="00CE2EDA" w:rsidRPr="0029522B" w:rsidRDefault="00CE2EDA" w:rsidP="00CE2EDA">
      <w:pPr>
        <w:spacing w:line="360" w:lineRule="auto"/>
        <w:ind w:right="51"/>
        <w:jc w:val="both"/>
        <w:rPr>
          <w:rFonts w:ascii="Palatino Linotype" w:eastAsia="Palatino Linotype" w:hAnsi="Palatino Linotype" w:cs="Palatino Linotype"/>
          <w:b/>
          <w:sz w:val="22"/>
          <w:szCs w:val="22"/>
        </w:rPr>
      </w:pPr>
      <w:r w:rsidRPr="0029522B">
        <w:rPr>
          <w:rFonts w:ascii="Palatino Linotype" w:eastAsia="Palatino Linotype" w:hAnsi="Palatino Linotype" w:cs="Palatino Linotype"/>
          <w:sz w:val="22"/>
          <w:szCs w:val="22"/>
        </w:rPr>
        <w:t>Ahora bien, del análisis de las constancias que integran el expediente de los recursos de revisión</w:t>
      </w:r>
      <w:r w:rsidRPr="0029522B">
        <w:rPr>
          <w:rFonts w:ascii="Palatino Linotype" w:eastAsia="Palatino Linotype" w:hAnsi="Palatino Linotype" w:cs="Palatino Linotype"/>
          <w:b/>
          <w:sz w:val="22"/>
          <w:szCs w:val="22"/>
        </w:rPr>
        <w:t>,</w:t>
      </w:r>
      <w:r w:rsidRPr="0029522B">
        <w:rPr>
          <w:rFonts w:ascii="Palatino Linotype" w:eastAsia="Palatino Linotype" w:hAnsi="Palatino Linotype" w:cs="Palatino Linotype"/>
          <w:sz w:val="22"/>
          <w:szCs w:val="22"/>
        </w:rPr>
        <w:t xml:space="preserve"> se advierte que la respuesta fue notificada a la persona solicitante por </w:t>
      </w:r>
      <w:r w:rsidRPr="0029522B">
        <w:rPr>
          <w:rFonts w:ascii="Palatino Linotype" w:eastAsia="Palatino Linotype" w:hAnsi="Palatino Linotype" w:cs="Palatino Linotype"/>
          <w:b/>
          <w:sz w:val="22"/>
          <w:szCs w:val="22"/>
        </w:rPr>
        <w:t>EL SUJETO OBLIGADO</w:t>
      </w:r>
      <w:r w:rsidRPr="0029522B">
        <w:rPr>
          <w:rFonts w:ascii="Palatino Linotype" w:eastAsia="Palatino Linotype" w:hAnsi="Palatino Linotype" w:cs="Palatino Linotype"/>
          <w:sz w:val="22"/>
          <w:szCs w:val="22"/>
        </w:rPr>
        <w:t xml:space="preserve">, vía Sistema de Acceso a la Información Mexiquense, SAIMEX, en fecha </w:t>
      </w:r>
      <w:r w:rsidRPr="0029522B">
        <w:rPr>
          <w:rFonts w:ascii="Palatino Linotype" w:eastAsia="Palatino Linotype" w:hAnsi="Palatino Linotype" w:cs="Palatino Linotype"/>
          <w:b/>
          <w:sz w:val="22"/>
          <w:szCs w:val="22"/>
        </w:rPr>
        <w:t>trece de junio de dos mil veinticinco.</w:t>
      </w:r>
    </w:p>
    <w:p w14:paraId="44F483BE" w14:textId="77777777" w:rsidR="00CE2EDA" w:rsidRPr="0029522B" w:rsidRDefault="00CE2EDA" w:rsidP="00CE2EDA">
      <w:pPr>
        <w:spacing w:line="360" w:lineRule="auto"/>
        <w:ind w:right="51"/>
        <w:jc w:val="both"/>
        <w:rPr>
          <w:rFonts w:ascii="Palatino Linotype" w:eastAsia="Palatino Linotype" w:hAnsi="Palatino Linotype" w:cs="Palatino Linotype"/>
          <w:sz w:val="22"/>
          <w:szCs w:val="22"/>
        </w:rPr>
      </w:pPr>
    </w:p>
    <w:p w14:paraId="736EDAA6" w14:textId="77777777" w:rsidR="00CE2EDA" w:rsidRPr="0029522B" w:rsidRDefault="00CE2EDA" w:rsidP="00CE2EDA">
      <w:pPr>
        <w:spacing w:line="360" w:lineRule="auto"/>
        <w:ind w:right="51"/>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sz w:val="22"/>
          <w:szCs w:val="22"/>
        </w:rPr>
        <w:t>Luego entonces, el artículo 178 de la Ley de Transparencia y Acceso a la Información Pública del Estado de México y Municipios, establece lo siguiente:</w:t>
      </w:r>
    </w:p>
    <w:p w14:paraId="7EC70F35" w14:textId="77777777" w:rsidR="00CE2EDA" w:rsidRPr="0029522B" w:rsidRDefault="00CE2EDA" w:rsidP="00CE2EDA">
      <w:pPr>
        <w:spacing w:line="360" w:lineRule="auto"/>
        <w:ind w:right="51"/>
        <w:jc w:val="both"/>
        <w:rPr>
          <w:rFonts w:ascii="Palatino Linotype" w:eastAsia="Palatino Linotype" w:hAnsi="Palatino Linotype" w:cs="Palatino Linotype"/>
          <w:sz w:val="22"/>
          <w:szCs w:val="22"/>
        </w:rPr>
      </w:pPr>
    </w:p>
    <w:p w14:paraId="359F5CAA" w14:textId="77777777" w:rsidR="00CE2EDA" w:rsidRPr="0029522B" w:rsidRDefault="00CE2EDA" w:rsidP="00CE2EDA">
      <w:pPr>
        <w:spacing w:line="360" w:lineRule="auto"/>
        <w:ind w:left="850" w:right="912"/>
        <w:jc w:val="both"/>
        <w:rPr>
          <w:rFonts w:ascii="Palatino Linotype" w:eastAsia="Palatino Linotype" w:hAnsi="Palatino Linotype" w:cs="Palatino Linotype"/>
          <w:i/>
          <w:sz w:val="22"/>
          <w:szCs w:val="22"/>
        </w:rPr>
      </w:pPr>
      <w:r w:rsidRPr="0029522B">
        <w:rPr>
          <w:rFonts w:ascii="Palatino Linotype" w:eastAsia="Palatino Linotype" w:hAnsi="Palatino Linotype" w:cs="Palatino Linotype"/>
          <w:i/>
          <w:sz w:val="22"/>
          <w:szCs w:val="22"/>
        </w:rPr>
        <w:t xml:space="preserve">Artículo 178. El solicitante podrá interponer, por sí mismo o a través de su representante, de manera directa o por medios electrónicos, recurso de revisión ante el Instituto o ante la Unidad de Transparencia que haya conocido de la solicitud </w:t>
      </w:r>
      <w:r w:rsidRPr="0029522B">
        <w:rPr>
          <w:rFonts w:ascii="Palatino Linotype" w:eastAsia="Palatino Linotype" w:hAnsi="Palatino Linotype" w:cs="Palatino Linotype"/>
          <w:b/>
          <w:i/>
          <w:sz w:val="22"/>
          <w:szCs w:val="22"/>
        </w:rPr>
        <w:t>dentro de los quince días hábiles</w:t>
      </w:r>
      <w:r w:rsidRPr="0029522B">
        <w:rPr>
          <w:rFonts w:ascii="Palatino Linotype" w:eastAsia="Palatino Linotype" w:hAnsi="Palatino Linotype" w:cs="Palatino Linotype"/>
          <w:i/>
          <w:sz w:val="22"/>
          <w:szCs w:val="22"/>
        </w:rPr>
        <w:t>, siguientes a la fecha de la notificación de la respuesta.</w:t>
      </w:r>
    </w:p>
    <w:p w14:paraId="3DB2BBB3" w14:textId="77777777" w:rsidR="00CE2EDA" w:rsidRPr="0029522B" w:rsidRDefault="00CE2EDA" w:rsidP="00CE2EDA">
      <w:pPr>
        <w:spacing w:line="360" w:lineRule="auto"/>
        <w:ind w:right="51"/>
        <w:jc w:val="both"/>
        <w:rPr>
          <w:rFonts w:ascii="Palatino Linotype" w:eastAsia="Palatino Linotype" w:hAnsi="Palatino Linotype" w:cs="Palatino Linotype"/>
          <w:sz w:val="22"/>
          <w:szCs w:val="22"/>
        </w:rPr>
      </w:pPr>
    </w:p>
    <w:p w14:paraId="0CD7A8FB" w14:textId="70BC10CC" w:rsidR="00CE2EDA" w:rsidRPr="0029522B" w:rsidRDefault="00884BD6" w:rsidP="00CE2EDA">
      <w:pPr>
        <w:spacing w:line="360" w:lineRule="auto"/>
        <w:ind w:right="51"/>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sz w:val="22"/>
          <w:szCs w:val="22"/>
        </w:rPr>
        <w:t>De lo</w:t>
      </w:r>
      <w:r w:rsidR="00CE2EDA" w:rsidRPr="0029522B">
        <w:rPr>
          <w:rFonts w:ascii="Palatino Linotype" w:eastAsia="Palatino Linotype" w:hAnsi="Palatino Linotype" w:cs="Palatino Linotype"/>
          <w:sz w:val="22"/>
          <w:szCs w:val="22"/>
        </w:rPr>
        <w:t xml:space="preserve"> anterior se advierte que conforme a la fecha en la que se notificó la respuesta, los quince días hábiles con el que contaba </w:t>
      </w:r>
      <w:r w:rsidR="00CE2EDA" w:rsidRPr="0029522B">
        <w:rPr>
          <w:rFonts w:ascii="Palatino Linotype" w:eastAsia="Palatino Linotype" w:hAnsi="Palatino Linotype" w:cs="Palatino Linotype"/>
          <w:b/>
          <w:sz w:val="22"/>
          <w:szCs w:val="22"/>
        </w:rPr>
        <w:t>LA PARTE RECURRENTE</w:t>
      </w:r>
      <w:r w:rsidR="00CE2EDA" w:rsidRPr="0029522B">
        <w:rPr>
          <w:rFonts w:ascii="Palatino Linotype" w:eastAsia="Palatino Linotype" w:hAnsi="Palatino Linotype" w:cs="Palatino Linotype"/>
          <w:sz w:val="22"/>
          <w:szCs w:val="22"/>
        </w:rPr>
        <w:t xml:space="preserve"> para interponer el recurso de revisión, empezaron a computarse a partir del día diez de febrero de dos mil veinticinco feneciendo el día </w:t>
      </w:r>
      <w:r w:rsidR="00CE2EDA" w:rsidRPr="0029522B">
        <w:rPr>
          <w:rFonts w:ascii="Palatino Linotype" w:eastAsia="Palatino Linotype" w:hAnsi="Palatino Linotype" w:cs="Palatino Linotype"/>
          <w:b/>
          <w:sz w:val="22"/>
          <w:szCs w:val="22"/>
        </w:rPr>
        <w:t>dieciséis de junio</w:t>
      </w:r>
      <w:r w:rsidR="00CE2EDA" w:rsidRPr="0029522B">
        <w:rPr>
          <w:rFonts w:ascii="Palatino Linotype" w:eastAsia="Palatino Linotype" w:hAnsi="Palatino Linotype" w:cs="Palatino Linotype"/>
          <w:sz w:val="22"/>
          <w:szCs w:val="22"/>
        </w:rPr>
        <w:t xml:space="preserve"> de dos mil veinticinco. </w:t>
      </w:r>
    </w:p>
    <w:p w14:paraId="487A6EB0" w14:textId="77777777" w:rsidR="00CE2EDA" w:rsidRPr="0029522B" w:rsidRDefault="00CE2EDA" w:rsidP="00CE2EDA">
      <w:pPr>
        <w:spacing w:line="360" w:lineRule="auto"/>
        <w:jc w:val="both"/>
        <w:rPr>
          <w:rFonts w:ascii="Palatino Linotype" w:eastAsia="Palatino Linotype" w:hAnsi="Palatino Linotype" w:cs="Palatino Linotype"/>
          <w:sz w:val="22"/>
          <w:szCs w:val="22"/>
        </w:rPr>
      </w:pPr>
    </w:p>
    <w:p w14:paraId="1BF5370C" w14:textId="157CEEA0" w:rsidR="00CE2EDA" w:rsidRPr="0029522B" w:rsidRDefault="00CE2EDA" w:rsidP="00CE2EDA">
      <w:pPr>
        <w:spacing w:line="360" w:lineRule="auto"/>
        <w:ind w:right="51"/>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sz w:val="22"/>
          <w:szCs w:val="22"/>
        </w:rPr>
        <w:t>En este sentido, cabe resaltar que los recursos de revisión se interpusieron el</w:t>
      </w:r>
      <w:r w:rsidRPr="0029522B">
        <w:rPr>
          <w:rFonts w:ascii="Palatino Linotype" w:eastAsia="Palatino Linotype" w:hAnsi="Palatino Linotype" w:cs="Palatino Linotype"/>
          <w:b/>
          <w:sz w:val="22"/>
          <w:szCs w:val="22"/>
        </w:rPr>
        <w:t xml:space="preserve"> catorce de julio de dos mil veinticinco</w:t>
      </w:r>
      <w:r w:rsidRPr="0029522B">
        <w:rPr>
          <w:rFonts w:ascii="Palatino Linotype" w:eastAsia="Palatino Linotype" w:hAnsi="Palatino Linotype" w:cs="Palatino Linotype"/>
          <w:sz w:val="22"/>
          <w:szCs w:val="22"/>
        </w:rPr>
        <w:t xml:space="preserve">, </w:t>
      </w:r>
      <w:r w:rsidR="008C69FB" w:rsidRPr="0029522B">
        <w:rPr>
          <w:rFonts w:ascii="Palatino Linotype" w:eastAsia="Palatino Linotype" w:hAnsi="Palatino Linotype" w:cs="Palatino Linotype"/>
          <w:sz w:val="22"/>
          <w:szCs w:val="22"/>
        </w:rPr>
        <w:t xml:space="preserve">es decir, al vigésimo primer día hábil que se tuvo conocimiento de la respuesta, esto es que </w:t>
      </w:r>
      <w:r w:rsidRPr="0029522B">
        <w:rPr>
          <w:rFonts w:ascii="Palatino Linotype" w:eastAsia="Palatino Linotype" w:hAnsi="Palatino Linotype" w:cs="Palatino Linotype"/>
          <w:sz w:val="22"/>
          <w:szCs w:val="22"/>
        </w:rPr>
        <w:t>fue</w:t>
      </w:r>
      <w:r w:rsidR="008C69FB" w:rsidRPr="0029522B">
        <w:rPr>
          <w:rFonts w:ascii="Palatino Linotype" w:eastAsia="Palatino Linotype" w:hAnsi="Palatino Linotype" w:cs="Palatino Linotype"/>
          <w:sz w:val="22"/>
          <w:szCs w:val="22"/>
        </w:rPr>
        <w:t>ron</w:t>
      </w:r>
      <w:r w:rsidRPr="0029522B">
        <w:rPr>
          <w:rFonts w:ascii="Palatino Linotype" w:eastAsia="Palatino Linotype" w:hAnsi="Palatino Linotype" w:cs="Palatino Linotype"/>
          <w:sz w:val="22"/>
          <w:szCs w:val="22"/>
        </w:rPr>
        <w:t xml:space="preserve"> interpuesto</w:t>
      </w:r>
      <w:r w:rsidR="008C69FB" w:rsidRPr="0029522B">
        <w:rPr>
          <w:rFonts w:ascii="Palatino Linotype" w:eastAsia="Palatino Linotype" w:hAnsi="Palatino Linotype" w:cs="Palatino Linotype"/>
          <w:sz w:val="22"/>
          <w:szCs w:val="22"/>
        </w:rPr>
        <w:t>s</w:t>
      </w:r>
      <w:r w:rsidRPr="0029522B">
        <w:rPr>
          <w:rFonts w:ascii="Palatino Linotype" w:eastAsia="Palatino Linotype" w:hAnsi="Palatino Linotype" w:cs="Palatino Linotype"/>
          <w:sz w:val="22"/>
          <w:szCs w:val="22"/>
        </w:rPr>
        <w:t xml:space="preserve"> fuera del plazo establecido por el artículo 178 de la ley en la materia, al ser interpuesto</w:t>
      </w:r>
      <w:r w:rsidR="008C69FB" w:rsidRPr="0029522B">
        <w:rPr>
          <w:rFonts w:ascii="Palatino Linotype" w:eastAsia="Palatino Linotype" w:hAnsi="Palatino Linotype" w:cs="Palatino Linotype"/>
          <w:sz w:val="22"/>
          <w:szCs w:val="22"/>
        </w:rPr>
        <w:t>s</w:t>
      </w:r>
      <w:r w:rsidRPr="0029522B">
        <w:rPr>
          <w:rFonts w:ascii="Palatino Linotype" w:eastAsia="Palatino Linotype" w:hAnsi="Palatino Linotype" w:cs="Palatino Linotype"/>
          <w:sz w:val="22"/>
          <w:szCs w:val="22"/>
        </w:rPr>
        <w:t xml:space="preserve"> un </w:t>
      </w:r>
      <w:r w:rsidR="008C69FB" w:rsidRPr="0029522B">
        <w:rPr>
          <w:rFonts w:ascii="Palatino Linotype" w:eastAsia="Palatino Linotype" w:hAnsi="Palatino Linotype" w:cs="Palatino Linotype"/>
          <w:sz w:val="22"/>
          <w:szCs w:val="22"/>
        </w:rPr>
        <w:t xml:space="preserve">seis </w:t>
      </w:r>
      <w:r w:rsidRPr="0029522B">
        <w:rPr>
          <w:rFonts w:ascii="Palatino Linotype" w:eastAsia="Palatino Linotype" w:hAnsi="Palatino Linotype" w:cs="Palatino Linotype"/>
          <w:sz w:val="22"/>
          <w:szCs w:val="22"/>
        </w:rPr>
        <w:t>día</w:t>
      </w:r>
      <w:r w:rsidR="008C69FB" w:rsidRPr="0029522B">
        <w:rPr>
          <w:rFonts w:ascii="Palatino Linotype" w:eastAsia="Palatino Linotype" w:hAnsi="Palatino Linotype" w:cs="Palatino Linotype"/>
          <w:sz w:val="22"/>
          <w:szCs w:val="22"/>
        </w:rPr>
        <w:t>s</w:t>
      </w:r>
      <w:r w:rsidRPr="0029522B">
        <w:rPr>
          <w:rFonts w:ascii="Palatino Linotype" w:eastAsia="Palatino Linotype" w:hAnsi="Palatino Linotype" w:cs="Palatino Linotype"/>
          <w:sz w:val="22"/>
          <w:szCs w:val="22"/>
        </w:rPr>
        <w:t xml:space="preserve"> después de vencido el plazo legal establecido para ello, esto es </w:t>
      </w:r>
      <w:r w:rsidRPr="0029522B">
        <w:rPr>
          <w:rFonts w:ascii="Palatino Linotype" w:eastAsia="Palatino Linotype" w:hAnsi="Palatino Linotype" w:cs="Palatino Linotype"/>
          <w:b/>
          <w:sz w:val="22"/>
          <w:szCs w:val="22"/>
          <w:u w:val="single"/>
        </w:rPr>
        <w:t>transcurrieron más de quince días hábiles desde la notificación de la respuesta</w:t>
      </w:r>
      <w:r w:rsidRPr="0029522B">
        <w:rPr>
          <w:rFonts w:ascii="Palatino Linotype" w:eastAsia="Palatino Linotype" w:hAnsi="Palatino Linotype" w:cs="Palatino Linotype"/>
          <w:sz w:val="22"/>
          <w:szCs w:val="22"/>
        </w:rPr>
        <w:t>, hasta el día de la interposición de</w:t>
      </w:r>
      <w:r w:rsidR="008C69FB" w:rsidRPr="0029522B">
        <w:rPr>
          <w:rFonts w:ascii="Palatino Linotype" w:eastAsia="Palatino Linotype" w:hAnsi="Palatino Linotype" w:cs="Palatino Linotype"/>
          <w:sz w:val="22"/>
          <w:szCs w:val="22"/>
        </w:rPr>
        <w:t xml:space="preserve"> </w:t>
      </w:r>
      <w:r w:rsidRPr="0029522B">
        <w:rPr>
          <w:rFonts w:ascii="Palatino Linotype" w:eastAsia="Palatino Linotype" w:hAnsi="Palatino Linotype" w:cs="Palatino Linotype"/>
          <w:sz w:val="22"/>
          <w:szCs w:val="22"/>
        </w:rPr>
        <w:t>l</w:t>
      </w:r>
      <w:r w:rsidR="008C69FB" w:rsidRPr="0029522B">
        <w:rPr>
          <w:rFonts w:ascii="Palatino Linotype" w:eastAsia="Palatino Linotype" w:hAnsi="Palatino Linotype" w:cs="Palatino Linotype"/>
          <w:sz w:val="22"/>
          <w:szCs w:val="22"/>
        </w:rPr>
        <w:t>os</w:t>
      </w:r>
      <w:r w:rsidRPr="0029522B">
        <w:rPr>
          <w:rFonts w:ascii="Palatino Linotype" w:eastAsia="Palatino Linotype" w:hAnsi="Palatino Linotype" w:cs="Palatino Linotype"/>
          <w:sz w:val="22"/>
          <w:szCs w:val="22"/>
        </w:rPr>
        <w:t xml:space="preserve"> medio</w:t>
      </w:r>
      <w:r w:rsidR="008C69FB" w:rsidRPr="0029522B">
        <w:rPr>
          <w:rFonts w:ascii="Palatino Linotype" w:eastAsia="Palatino Linotype" w:hAnsi="Palatino Linotype" w:cs="Palatino Linotype"/>
          <w:sz w:val="22"/>
          <w:szCs w:val="22"/>
        </w:rPr>
        <w:t>s</w:t>
      </w:r>
      <w:r w:rsidRPr="0029522B">
        <w:rPr>
          <w:rFonts w:ascii="Palatino Linotype" w:eastAsia="Palatino Linotype" w:hAnsi="Palatino Linotype" w:cs="Palatino Linotype"/>
          <w:sz w:val="22"/>
          <w:szCs w:val="22"/>
        </w:rPr>
        <w:t xml:space="preserve"> de impugnación como se advierte a continuación:  </w:t>
      </w:r>
    </w:p>
    <w:p w14:paraId="294D8A6C" w14:textId="7C49B7A6" w:rsidR="00CE2EDA" w:rsidRPr="0029522B" w:rsidRDefault="008C69FB" w:rsidP="008C69FB">
      <w:pPr>
        <w:spacing w:line="360" w:lineRule="auto"/>
        <w:ind w:right="51"/>
        <w:jc w:val="center"/>
        <w:rPr>
          <w:rFonts w:ascii="Palatino Linotype" w:eastAsia="Palatino Linotype" w:hAnsi="Palatino Linotype" w:cs="Palatino Linotype"/>
          <w:sz w:val="22"/>
          <w:szCs w:val="22"/>
        </w:rPr>
      </w:pPr>
      <w:r w:rsidRPr="0029522B">
        <w:rPr>
          <w:rFonts w:ascii="Palatino Linotype" w:eastAsia="Palatino Linotype" w:hAnsi="Palatino Linotype" w:cs="Palatino Linotype"/>
          <w:noProof/>
          <w:sz w:val="22"/>
          <w:szCs w:val="22"/>
        </w:rPr>
        <mc:AlternateContent>
          <mc:Choice Requires="wps">
            <w:drawing>
              <wp:anchor distT="0" distB="0" distL="114300" distR="114300" simplePos="0" relativeHeight="251661312" behindDoc="0" locked="0" layoutInCell="1" allowOverlap="1" wp14:anchorId="331758BC" wp14:editId="060AF7E6">
                <wp:simplePos x="0" y="0"/>
                <wp:positionH relativeFrom="column">
                  <wp:posOffset>367665</wp:posOffset>
                </wp:positionH>
                <wp:positionV relativeFrom="paragraph">
                  <wp:posOffset>1974215</wp:posOffset>
                </wp:positionV>
                <wp:extent cx="4610100" cy="581025"/>
                <wp:effectExtent l="57150" t="38100" r="76200" b="104775"/>
                <wp:wrapNone/>
                <wp:docPr id="7" name="Rectángulo 7"/>
                <wp:cNvGraphicFramePr/>
                <a:graphic xmlns:a="http://schemas.openxmlformats.org/drawingml/2006/main">
                  <a:graphicData uri="http://schemas.microsoft.com/office/word/2010/wordprocessingShape">
                    <wps:wsp>
                      <wps:cNvSpPr/>
                      <wps:spPr>
                        <a:xfrm>
                          <a:off x="0" y="0"/>
                          <a:ext cx="4610100" cy="581025"/>
                        </a:xfrm>
                        <a:prstGeom prst="rect">
                          <a:avLst/>
                        </a:prstGeom>
                        <a:noFill/>
                        <a:ln w="38100">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377F9E01" id="Rectángulo 7" o:spid="_x0000_s1026" style="position:absolute;margin-left:28.95pt;margin-top:155.45pt;width:363pt;height:45.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i3uigIAAG4FAAAOAAAAZHJzL2Uyb0RvYy54bWysVN1q2zAUvh/sHYTuV8dp+jNTp4SWjEFp&#10;S9vRa0WWEoOsox0pcbK32bPsxXokO27oCoUxX8hHOv/f+bm43DaGbRT6GmzJ86MRZ8pKqGq7LPmP&#10;p/mXc858ELYSBqwq+U55fjn9/OmidYUawwpMpZCREeuL1pV8FYIrsszLlWqEPwKnLDE1YCMCXXGZ&#10;VShast6YbDwanWYtYOUQpPKeXq87Jp8m+1orGe609iowU3KKLaQT07mIZza9EMUShVvVsg9D/EMU&#10;jagtOR1MXYsg2Brrv0w1tUTwoMORhCYDrWupUg6UTT56k83jSjiVciFwvBtg8v/PrLzd3COrq5Kf&#10;cWZFQyV6IND+/LbLtQF2FgFqnS9I7tHdY3/zRMZstxqb+Kc82DaBuhtAVdvAJD1OTnPKjLCXxDs5&#10;z0fjk2g0e9V26MM3BQ2LRMmR/CcsxebGh050LxKdWZjXxtC7KIxlbcmPyegoaXgwdRW5kelxubgy&#10;yDaCaj+fj+jrHR+IURjGUjQxxy6rRIWdUZ2DB6UJHsoj7zzExlSDWSGlsiHv7RpL0lFNUwiD4vHH&#10;ir18VFWpaQfl8cfKg0byDDYMyk1tAd8zYIaQdSe/R6DLO0KwgGpHnYHQjYx3cl5TeW6ED/cCaUao&#10;ojT34Y4ObYDKAD3F2Qrw13vvUZ5al7ictTRzJfc/1wIVZ+a7pab+mk8mcUjTZXJyNqYLHnIWhxy7&#10;bq6ASpvThnEykVE+mD2pEZpnWg+z6JVYwkryXXIZcH+5Ct0uoAUj1WyWxGgwnQg39tHJfdVj+z1t&#10;nwW6vkcDdfct7OdTFG9atZON9bAwWwfQderjV1x7vGmo0yT0CyhujcN7knpdk9MXAAAA//8DAFBL&#10;AwQUAAYACAAAACEAvookI+EAAAAKAQAADwAAAGRycy9kb3ducmV2LnhtbEyPwU7DMAyG70i8Q2Qk&#10;bizd2rFRmk4IgRC7bQwGt6wxbUXiVE22lT095gS33/Kn35+LxeCsOGAfWk8KxqMEBFLlTUu1gs3L&#10;49UcRIiajLaeUME3BliU52eFzo0/0goP61gLLqGQawVNjF0uZagadDqMfIfEu0/fOx157Gtpen3k&#10;cmflJEmupdMt8YVGd3jfYPW13jsF28wvt0/Tlf3YnPBBvj2/nt5Tq9TlxXB3CyLiEP9g+NVndSjZ&#10;aef3ZIKwCqazGyYVpOOEAwOzecphpyBLJhnIspD/Xyh/AAAA//8DAFBLAQItABQABgAIAAAAIQC2&#10;gziS/gAAAOEBAAATAAAAAAAAAAAAAAAAAAAAAABbQ29udGVudF9UeXBlc10ueG1sUEsBAi0AFAAG&#10;AAgAAAAhADj9If/WAAAAlAEAAAsAAAAAAAAAAAAAAAAALwEAAF9yZWxzLy5yZWxzUEsBAi0AFAAG&#10;AAgAAAAhALQqLe6KAgAAbgUAAA4AAAAAAAAAAAAAAAAALgIAAGRycy9lMm9Eb2MueG1sUEsBAi0A&#10;FAAGAAgAAAAhAL6KJCPhAAAACgEAAA8AAAAAAAAAAAAAAAAA5AQAAGRycy9kb3ducmV2LnhtbFBL&#10;BQYAAAAABAAEAPMAAADyBQAAAAA=&#10;" filled="f" strokecolor="red" strokeweight="3pt">
                <v:shadow on="t" color="black" opacity="22937f" origin=",.5" offset="0,.63889mm"/>
              </v:rect>
            </w:pict>
          </mc:Fallback>
        </mc:AlternateContent>
      </w:r>
      <w:r w:rsidRPr="0029522B">
        <w:rPr>
          <w:rFonts w:ascii="Palatino Linotype" w:eastAsia="Palatino Linotype" w:hAnsi="Palatino Linotype" w:cs="Palatino Linotype"/>
          <w:noProof/>
          <w:sz w:val="22"/>
          <w:szCs w:val="22"/>
        </w:rPr>
        <mc:AlternateContent>
          <mc:Choice Requires="wps">
            <w:drawing>
              <wp:anchor distT="0" distB="0" distL="114300" distR="114300" simplePos="0" relativeHeight="251659264" behindDoc="0" locked="0" layoutInCell="1" allowOverlap="1" wp14:anchorId="3A5B5C92" wp14:editId="274C9E30">
                <wp:simplePos x="0" y="0"/>
                <wp:positionH relativeFrom="column">
                  <wp:posOffset>377190</wp:posOffset>
                </wp:positionH>
                <wp:positionV relativeFrom="paragraph">
                  <wp:posOffset>974090</wp:posOffset>
                </wp:positionV>
                <wp:extent cx="4610100" cy="581025"/>
                <wp:effectExtent l="57150" t="38100" r="76200" b="104775"/>
                <wp:wrapNone/>
                <wp:docPr id="6" name="Rectángulo 6"/>
                <wp:cNvGraphicFramePr/>
                <a:graphic xmlns:a="http://schemas.openxmlformats.org/drawingml/2006/main">
                  <a:graphicData uri="http://schemas.microsoft.com/office/word/2010/wordprocessingShape">
                    <wps:wsp>
                      <wps:cNvSpPr/>
                      <wps:spPr>
                        <a:xfrm>
                          <a:off x="0" y="0"/>
                          <a:ext cx="4610100" cy="581025"/>
                        </a:xfrm>
                        <a:prstGeom prst="rect">
                          <a:avLst/>
                        </a:prstGeom>
                        <a:noFill/>
                        <a:ln w="38100">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817D35D" id="Rectángulo 6" o:spid="_x0000_s1026" style="position:absolute;margin-left:29.7pt;margin-top:76.7pt;width:363pt;height:45.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MbCigIAAG4FAAAOAAAAZHJzL2Uyb0RvYy54bWysVN1q2zAUvh/sHYTuV8dpmnWmTgktGYPS&#10;lraj14osJQZZRztS4mRvs2fZi+1IdtzQFQpjvpCPdP6/83NxuWsM2yr0NdiS5ycjzpSVUNV2VfLv&#10;T4tP55z5IGwlDFhV8r3y/HL28cNF6wo1hjWYSiEjI9YXrSv5OgRXZJmXa9UIfwJOWWJqwEYEuuIq&#10;q1C0ZL0x2Xg0mmYtYOUQpPKeXq87Jp8l+1orGe609iowU3KKLaQT07mMZza7EMUKhVvXsg9D/EMU&#10;jagtOR1MXYsg2Abrv0w1tUTwoMOJhCYDrWupUg6UTT56lc3jWjiVciFwvBtg8v/PrLzd3iOrq5JP&#10;ObOioRI9EGi/f9nVxgCbRoBa5wuSe3T32N88kTHbncYm/ikPtkug7gdQ1S4wSY+TaU6ZEfaSeGfn&#10;+Wh8Fo1mL9oOffiqoGGRKDmS/4Sl2N740IkeRKIzC4vaGHoXhbGsLfkpGR0lDQ+mriI3Mj2ullcG&#10;2VZQ7ReLEX294yMxCsNYiibm2GWVqLA3qnPwoDTBQ3nknYfYmGowK6RUNuS9XWNJOqppCmFQPH1f&#10;sZePqio17aA8fl950EiewYZBuakt4FsGzBCy7uQPCHR5RwiWUO2pMxC6kfFOLmoqz43w4V4gzQhV&#10;lOY+3NGhDVAZoKc4WwP+fOs9ylPrEpezlmau5P7HRqDizHyz1NRf8skkDmm6TM4+j+mCx5zlMcdu&#10;miug0ua0YZxMZJQP5kBqhOaZ1sM8eiWWsJJ8l1wGPFyuQrcLaMFINZ8nMRpMJ8KNfXTyUPXYfk+7&#10;Z4Gu79FA3X0Lh/kUxatW7WRjPSzMNwF0nfr4BdcebxrqNAn9Aopb4/iepF7W5OwPAAAA//8DAFBL&#10;AwQUAAYACAAAACEA1Ue1MuEAAAAKAQAADwAAAGRycy9kb3ducmV2LnhtbEyPQU/DMAyF70j8h8hI&#10;3FjK1rKtNJ0QAiG4bWwMbllj2orEqZpsK/v1mBPcnv2enj8Xi8FZccA+tJ4UXI8SEEiVNy3VCtav&#10;j1czECFqMtp6QgXfGGBRnp8VOjf+SEs8rGItuIRCrhU0MXa5lKFq0Okw8h0Se5++dzry2NfS9PrI&#10;5c7KcZLcSKdb4guN7vC+weprtXcKtql/2T5lS/uxPuGDfHvenN4nVqnLi+HuFkTEIf6F4Ref0aFk&#10;pp3fkwnCKsjmKSd5n01YcGA6y1jsFIzTdA6yLOT/F8ofAAAA//8DAFBLAQItABQABgAIAAAAIQC2&#10;gziS/gAAAOEBAAATAAAAAAAAAAAAAAAAAAAAAABbQ29udGVudF9UeXBlc10ueG1sUEsBAi0AFAAG&#10;AAgAAAAhADj9If/WAAAAlAEAAAsAAAAAAAAAAAAAAAAALwEAAF9yZWxzLy5yZWxzUEsBAi0AFAAG&#10;AAgAAAAhAG8UxsKKAgAAbgUAAA4AAAAAAAAAAAAAAAAALgIAAGRycy9lMm9Eb2MueG1sUEsBAi0A&#10;FAAGAAgAAAAhANVHtTLhAAAACgEAAA8AAAAAAAAAAAAAAAAA5AQAAGRycy9kb3ducmV2LnhtbFBL&#10;BQYAAAAABAAEAPMAAADyBQAAAAA=&#10;" filled="f" strokecolor="red" strokeweight="3pt">
                <v:shadow on="t" color="black" opacity="22937f" origin=",.5" offset="0,.63889mm"/>
              </v:rect>
            </w:pict>
          </mc:Fallback>
        </mc:AlternateContent>
      </w:r>
      <w:r w:rsidRPr="0029522B">
        <w:rPr>
          <w:rFonts w:ascii="Palatino Linotype" w:eastAsia="Palatino Linotype" w:hAnsi="Palatino Linotype" w:cs="Palatino Linotype"/>
          <w:noProof/>
          <w:sz w:val="22"/>
          <w:szCs w:val="22"/>
        </w:rPr>
        <w:drawing>
          <wp:inline distT="0" distB="0" distL="0" distR="0" wp14:anchorId="3EE64E81" wp14:editId="7B571F26">
            <wp:extent cx="5076825" cy="3003935"/>
            <wp:effectExtent l="0" t="0" r="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19053" cy="3028921"/>
                    </a:xfrm>
                    <a:prstGeom prst="rect">
                      <a:avLst/>
                    </a:prstGeom>
                  </pic:spPr>
                </pic:pic>
              </a:graphicData>
            </a:graphic>
          </wp:inline>
        </w:drawing>
      </w:r>
    </w:p>
    <w:p w14:paraId="1EC41A84" w14:textId="6DD4F3E4" w:rsidR="00CE2EDA" w:rsidRPr="0029522B" w:rsidRDefault="00CE2EDA" w:rsidP="00CE2EDA">
      <w:pPr>
        <w:spacing w:line="360" w:lineRule="auto"/>
        <w:ind w:right="51"/>
        <w:jc w:val="both"/>
        <w:rPr>
          <w:rFonts w:ascii="Palatino Linotype" w:eastAsia="Palatino Linotype" w:hAnsi="Palatino Linotype" w:cs="Palatino Linotype"/>
          <w:sz w:val="22"/>
          <w:szCs w:val="22"/>
        </w:rPr>
      </w:pPr>
    </w:p>
    <w:p w14:paraId="643A0627" w14:textId="3B9B89D6" w:rsidR="00CE2EDA" w:rsidRPr="0029522B" w:rsidRDefault="00CE2EDA" w:rsidP="00CE2EDA">
      <w:pPr>
        <w:tabs>
          <w:tab w:val="left" w:pos="8647"/>
        </w:tabs>
        <w:spacing w:line="360" w:lineRule="auto"/>
        <w:ind w:right="51"/>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sz w:val="22"/>
          <w:szCs w:val="22"/>
        </w:rPr>
        <w:t>Bajo esta tesitura, al ser presentado</w:t>
      </w:r>
      <w:r w:rsidR="008C69FB" w:rsidRPr="0029522B">
        <w:rPr>
          <w:rFonts w:ascii="Palatino Linotype" w:eastAsia="Palatino Linotype" w:hAnsi="Palatino Linotype" w:cs="Palatino Linotype"/>
          <w:sz w:val="22"/>
          <w:szCs w:val="22"/>
        </w:rPr>
        <w:t>s los</w:t>
      </w:r>
      <w:r w:rsidRPr="0029522B">
        <w:rPr>
          <w:rFonts w:ascii="Palatino Linotype" w:eastAsia="Palatino Linotype" w:hAnsi="Palatino Linotype" w:cs="Palatino Linotype"/>
          <w:sz w:val="22"/>
          <w:szCs w:val="22"/>
        </w:rPr>
        <w:t xml:space="preserve"> recurso</w:t>
      </w:r>
      <w:r w:rsidR="008C69FB" w:rsidRPr="0029522B">
        <w:rPr>
          <w:rFonts w:ascii="Palatino Linotype" w:eastAsia="Palatino Linotype" w:hAnsi="Palatino Linotype" w:cs="Palatino Linotype"/>
          <w:sz w:val="22"/>
          <w:szCs w:val="22"/>
        </w:rPr>
        <w:t>s</w:t>
      </w:r>
      <w:r w:rsidRPr="0029522B">
        <w:rPr>
          <w:rFonts w:ascii="Palatino Linotype" w:eastAsia="Palatino Linotype" w:hAnsi="Palatino Linotype" w:cs="Palatino Linotype"/>
          <w:sz w:val="22"/>
          <w:szCs w:val="22"/>
        </w:rPr>
        <w:t xml:space="preserve"> de revisión fuera del plazo señalado, se actualiza el supuesto de improcedencia previsto en el artículo 191, fracción I de la Ley de Transparencia y Acceso a la Información Pública del Estado de México y Municipios, a saber: </w:t>
      </w:r>
    </w:p>
    <w:p w14:paraId="210AFBF5" w14:textId="77777777" w:rsidR="00CE2EDA" w:rsidRPr="0029522B" w:rsidRDefault="00CE2EDA" w:rsidP="00CE2EDA">
      <w:pPr>
        <w:tabs>
          <w:tab w:val="left" w:pos="8647"/>
        </w:tabs>
        <w:spacing w:line="360" w:lineRule="auto"/>
        <w:ind w:right="51"/>
        <w:jc w:val="both"/>
        <w:rPr>
          <w:rFonts w:ascii="Palatino Linotype" w:eastAsia="Palatino Linotype" w:hAnsi="Palatino Linotype" w:cs="Palatino Linotype"/>
          <w:sz w:val="22"/>
          <w:szCs w:val="22"/>
        </w:rPr>
      </w:pPr>
    </w:p>
    <w:p w14:paraId="3D70AE29" w14:textId="77777777" w:rsidR="00CE2EDA" w:rsidRPr="0029522B" w:rsidRDefault="00CE2EDA" w:rsidP="00CE2EDA">
      <w:pPr>
        <w:tabs>
          <w:tab w:val="left" w:pos="7938"/>
        </w:tabs>
        <w:spacing w:line="276" w:lineRule="auto"/>
        <w:ind w:left="851" w:right="900"/>
        <w:jc w:val="both"/>
        <w:rPr>
          <w:rFonts w:ascii="Palatino Linotype" w:eastAsia="Palatino Linotype" w:hAnsi="Palatino Linotype" w:cs="Palatino Linotype"/>
          <w:i/>
          <w:sz w:val="22"/>
          <w:szCs w:val="22"/>
        </w:rPr>
      </w:pPr>
      <w:r w:rsidRPr="0029522B">
        <w:rPr>
          <w:rFonts w:ascii="Palatino Linotype" w:eastAsia="Palatino Linotype" w:hAnsi="Palatino Linotype" w:cs="Palatino Linotype"/>
          <w:b/>
          <w:i/>
          <w:sz w:val="22"/>
          <w:szCs w:val="22"/>
        </w:rPr>
        <w:t xml:space="preserve">Artículo 191. </w:t>
      </w:r>
      <w:r w:rsidRPr="0029522B">
        <w:rPr>
          <w:rFonts w:ascii="Palatino Linotype" w:eastAsia="Palatino Linotype" w:hAnsi="Palatino Linotype" w:cs="Palatino Linotype"/>
          <w:i/>
          <w:sz w:val="22"/>
          <w:szCs w:val="22"/>
        </w:rPr>
        <w:t>El recurso será desechado por improcedente cuando:</w:t>
      </w:r>
    </w:p>
    <w:p w14:paraId="26D631AA" w14:textId="77777777" w:rsidR="00CE2EDA" w:rsidRPr="0029522B" w:rsidRDefault="00CE2EDA" w:rsidP="00CE2EDA">
      <w:pPr>
        <w:tabs>
          <w:tab w:val="left" w:pos="1276"/>
          <w:tab w:val="left" w:pos="7938"/>
        </w:tabs>
        <w:spacing w:line="276" w:lineRule="auto"/>
        <w:ind w:left="851" w:right="900"/>
        <w:jc w:val="both"/>
        <w:rPr>
          <w:rFonts w:ascii="Palatino Linotype" w:eastAsia="Palatino Linotype" w:hAnsi="Palatino Linotype" w:cs="Palatino Linotype"/>
          <w:b/>
          <w:i/>
          <w:sz w:val="22"/>
          <w:szCs w:val="22"/>
        </w:rPr>
      </w:pPr>
      <w:r w:rsidRPr="0029522B">
        <w:rPr>
          <w:rFonts w:ascii="Palatino Linotype" w:eastAsia="Palatino Linotype" w:hAnsi="Palatino Linotype" w:cs="Palatino Linotype"/>
          <w:b/>
          <w:i/>
          <w:sz w:val="22"/>
          <w:szCs w:val="22"/>
        </w:rPr>
        <w:t xml:space="preserve">I. Sea extemporáneo por haber transcurrido el plazo establecido en la presente Ley, </w:t>
      </w:r>
      <w:r w:rsidRPr="0029522B">
        <w:rPr>
          <w:rFonts w:ascii="Palatino Linotype" w:eastAsia="Palatino Linotype" w:hAnsi="Palatino Linotype" w:cs="Palatino Linotype"/>
          <w:b/>
          <w:i/>
          <w:sz w:val="22"/>
          <w:szCs w:val="22"/>
          <w:u w:val="single"/>
        </w:rPr>
        <w:t>a partir de la respuesta</w:t>
      </w:r>
      <w:r w:rsidRPr="0029522B">
        <w:rPr>
          <w:rFonts w:ascii="Palatino Linotype" w:eastAsia="Palatino Linotype" w:hAnsi="Palatino Linotype" w:cs="Palatino Linotype"/>
          <w:b/>
          <w:i/>
          <w:sz w:val="22"/>
          <w:szCs w:val="22"/>
        </w:rPr>
        <w:t>;</w:t>
      </w:r>
    </w:p>
    <w:p w14:paraId="023C0746" w14:textId="77777777" w:rsidR="00CE2EDA" w:rsidRPr="0029522B" w:rsidRDefault="00CE2EDA" w:rsidP="00CE2EDA">
      <w:pPr>
        <w:spacing w:line="360" w:lineRule="auto"/>
        <w:ind w:right="49"/>
        <w:jc w:val="both"/>
        <w:rPr>
          <w:rFonts w:ascii="Palatino Linotype" w:eastAsia="Palatino Linotype" w:hAnsi="Palatino Linotype" w:cs="Palatino Linotype"/>
          <w:sz w:val="22"/>
          <w:szCs w:val="22"/>
        </w:rPr>
      </w:pPr>
    </w:p>
    <w:p w14:paraId="53EFCAF7" w14:textId="77777777" w:rsidR="00CE2EDA" w:rsidRPr="0029522B" w:rsidRDefault="00CE2EDA" w:rsidP="00CE2EDA">
      <w:pPr>
        <w:spacing w:line="360" w:lineRule="auto"/>
        <w:ind w:right="49"/>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sz w:val="22"/>
          <w:szCs w:val="22"/>
        </w:rPr>
        <w:t>En correlación con el artículo 192, fracción IV de la Ley de Transparencia y Acceso a la Información Pública del Estado de México y Municipios, que dispone lo siguiente:</w:t>
      </w:r>
    </w:p>
    <w:p w14:paraId="314A4AF6" w14:textId="77777777" w:rsidR="00CE2EDA" w:rsidRPr="0029522B" w:rsidRDefault="00CE2EDA" w:rsidP="00CE2EDA">
      <w:pPr>
        <w:spacing w:line="360" w:lineRule="auto"/>
        <w:ind w:right="49"/>
        <w:jc w:val="both"/>
        <w:rPr>
          <w:rFonts w:ascii="Palatino Linotype" w:eastAsia="Palatino Linotype" w:hAnsi="Palatino Linotype" w:cs="Palatino Linotype"/>
          <w:sz w:val="22"/>
          <w:szCs w:val="22"/>
        </w:rPr>
      </w:pPr>
    </w:p>
    <w:p w14:paraId="0A2A990F" w14:textId="77777777" w:rsidR="00CE2EDA" w:rsidRPr="0029522B" w:rsidRDefault="00CE2EDA" w:rsidP="00CE2EDA">
      <w:pPr>
        <w:spacing w:line="276" w:lineRule="auto"/>
        <w:ind w:left="567" w:right="902"/>
        <w:jc w:val="both"/>
        <w:rPr>
          <w:rFonts w:ascii="Palatino Linotype" w:eastAsia="Palatino Linotype" w:hAnsi="Palatino Linotype" w:cs="Palatino Linotype"/>
          <w:i/>
          <w:sz w:val="22"/>
          <w:szCs w:val="22"/>
        </w:rPr>
      </w:pPr>
      <w:r w:rsidRPr="0029522B">
        <w:rPr>
          <w:rFonts w:ascii="Palatino Linotype" w:eastAsia="Palatino Linotype" w:hAnsi="Palatino Linotype" w:cs="Palatino Linotype"/>
          <w:b/>
          <w:i/>
          <w:sz w:val="22"/>
          <w:szCs w:val="22"/>
        </w:rPr>
        <w:t xml:space="preserve">“Artículo 192. </w:t>
      </w:r>
      <w:r w:rsidRPr="0029522B">
        <w:rPr>
          <w:rFonts w:ascii="Palatino Linotype" w:eastAsia="Palatino Linotype" w:hAnsi="Palatino Linotype" w:cs="Palatino Linotype"/>
          <w:i/>
          <w:sz w:val="22"/>
          <w:szCs w:val="22"/>
        </w:rPr>
        <w:t xml:space="preserve">El recurso será </w:t>
      </w:r>
      <w:r w:rsidRPr="0029522B">
        <w:rPr>
          <w:rFonts w:ascii="Palatino Linotype" w:eastAsia="Palatino Linotype" w:hAnsi="Palatino Linotype" w:cs="Palatino Linotype"/>
          <w:b/>
          <w:i/>
          <w:sz w:val="22"/>
          <w:szCs w:val="22"/>
        </w:rPr>
        <w:t>sobreseído</w:t>
      </w:r>
      <w:r w:rsidRPr="0029522B">
        <w:rPr>
          <w:rFonts w:ascii="Palatino Linotype" w:eastAsia="Palatino Linotype" w:hAnsi="Palatino Linotype" w:cs="Palatino Linotype"/>
          <w:i/>
          <w:sz w:val="22"/>
          <w:szCs w:val="22"/>
        </w:rPr>
        <w:t>, en todo o en parte, cuando una vez admitido, se actualicen alguno de los siguientes supuestos:</w:t>
      </w:r>
    </w:p>
    <w:p w14:paraId="1F3E9830" w14:textId="77777777" w:rsidR="00CE2EDA" w:rsidRPr="0029522B" w:rsidRDefault="00CE2EDA" w:rsidP="00CE2EDA">
      <w:pPr>
        <w:spacing w:line="276" w:lineRule="auto"/>
        <w:ind w:left="567" w:right="902"/>
        <w:jc w:val="both"/>
        <w:rPr>
          <w:rFonts w:ascii="Palatino Linotype" w:eastAsia="Palatino Linotype" w:hAnsi="Palatino Linotype" w:cs="Palatino Linotype"/>
          <w:i/>
          <w:sz w:val="22"/>
          <w:szCs w:val="22"/>
        </w:rPr>
      </w:pPr>
      <w:r w:rsidRPr="0029522B">
        <w:rPr>
          <w:rFonts w:ascii="Palatino Linotype" w:eastAsia="Palatino Linotype" w:hAnsi="Palatino Linotype" w:cs="Palatino Linotype"/>
          <w:b/>
          <w:i/>
          <w:sz w:val="22"/>
          <w:szCs w:val="22"/>
        </w:rPr>
        <w:t>…</w:t>
      </w:r>
    </w:p>
    <w:p w14:paraId="3F6124B5" w14:textId="77777777" w:rsidR="00CE2EDA" w:rsidRPr="0029522B" w:rsidRDefault="00CE2EDA" w:rsidP="00CE2EDA">
      <w:pPr>
        <w:spacing w:line="276" w:lineRule="auto"/>
        <w:ind w:left="567" w:right="902"/>
        <w:jc w:val="both"/>
        <w:rPr>
          <w:rFonts w:ascii="Palatino Linotype" w:eastAsia="Palatino Linotype" w:hAnsi="Palatino Linotype" w:cs="Palatino Linotype"/>
          <w:b/>
          <w:i/>
          <w:sz w:val="22"/>
          <w:szCs w:val="22"/>
        </w:rPr>
      </w:pPr>
      <w:r w:rsidRPr="0029522B">
        <w:rPr>
          <w:rFonts w:ascii="Palatino Linotype" w:eastAsia="Palatino Linotype" w:hAnsi="Palatino Linotype" w:cs="Palatino Linotype"/>
          <w:b/>
          <w:i/>
          <w:sz w:val="22"/>
          <w:szCs w:val="22"/>
        </w:rPr>
        <w:t>IV. Admitido el recurso de revisión, aparezca alguna causal de improcedencia en los términos de la presente Ley; y</w:t>
      </w:r>
    </w:p>
    <w:p w14:paraId="0CCA013C" w14:textId="77777777" w:rsidR="00CE2EDA" w:rsidRPr="0029522B" w:rsidRDefault="00CE2EDA" w:rsidP="00CE2EDA">
      <w:pPr>
        <w:spacing w:line="360" w:lineRule="auto"/>
        <w:ind w:right="49"/>
        <w:jc w:val="both"/>
        <w:rPr>
          <w:rFonts w:ascii="Palatino Linotype" w:eastAsia="Palatino Linotype" w:hAnsi="Palatino Linotype" w:cs="Palatino Linotype"/>
          <w:sz w:val="22"/>
          <w:szCs w:val="22"/>
        </w:rPr>
      </w:pPr>
    </w:p>
    <w:p w14:paraId="3C9E073B" w14:textId="3329E138" w:rsidR="00CE2EDA" w:rsidRPr="0029522B" w:rsidRDefault="00CE2EDA" w:rsidP="00CE2EDA">
      <w:pPr>
        <w:spacing w:line="360" w:lineRule="auto"/>
        <w:ind w:right="49"/>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sz w:val="22"/>
          <w:szCs w:val="22"/>
        </w:rPr>
        <w:t>En este orden de ideas, al haber sido admitido</w:t>
      </w:r>
      <w:r w:rsidR="008C69FB" w:rsidRPr="0029522B">
        <w:rPr>
          <w:rFonts w:ascii="Palatino Linotype" w:eastAsia="Palatino Linotype" w:hAnsi="Palatino Linotype" w:cs="Palatino Linotype"/>
          <w:sz w:val="22"/>
          <w:szCs w:val="22"/>
        </w:rPr>
        <w:t>s los</w:t>
      </w:r>
      <w:r w:rsidRPr="0029522B">
        <w:rPr>
          <w:rFonts w:ascii="Palatino Linotype" w:eastAsia="Palatino Linotype" w:hAnsi="Palatino Linotype" w:cs="Palatino Linotype"/>
          <w:sz w:val="22"/>
          <w:szCs w:val="22"/>
        </w:rPr>
        <w:t xml:space="preserve"> presente</w:t>
      </w:r>
      <w:r w:rsidR="008C69FB" w:rsidRPr="0029522B">
        <w:rPr>
          <w:rFonts w:ascii="Palatino Linotype" w:eastAsia="Palatino Linotype" w:hAnsi="Palatino Linotype" w:cs="Palatino Linotype"/>
          <w:sz w:val="22"/>
          <w:szCs w:val="22"/>
        </w:rPr>
        <w:t>s</w:t>
      </w:r>
      <w:r w:rsidRPr="0029522B">
        <w:rPr>
          <w:rFonts w:ascii="Palatino Linotype" w:eastAsia="Palatino Linotype" w:hAnsi="Palatino Linotype" w:cs="Palatino Linotype"/>
          <w:sz w:val="22"/>
          <w:szCs w:val="22"/>
        </w:rPr>
        <w:t xml:space="preserve"> recurso</w:t>
      </w:r>
      <w:r w:rsidR="008C69FB" w:rsidRPr="0029522B">
        <w:rPr>
          <w:rFonts w:ascii="Palatino Linotype" w:eastAsia="Palatino Linotype" w:hAnsi="Palatino Linotype" w:cs="Palatino Linotype"/>
          <w:sz w:val="22"/>
          <w:szCs w:val="22"/>
        </w:rPr>
        <w:t>s</w:t>
      </w:r>
      <w:r w:rsidRPr="0029522B">
        <w:rPr>
          <w:rFonts w:ascii="Palatino Linotype" w:eastAsia="Palatino Linotype" w:hAnsi="Palatino Linotype" w:cs="Palatino Linotype"/>
          <w:sz w:val="22"/>
          <w:szCs w:val="22"/>
        </w:rPr>
        <w:t xml:space="preserve"> de revisión, y toda vez que este fue</w:t>
      </w:r>
      <w:r w:rsidR="008C69FB" w:rsidRPr="0029522B">
        <w:rPr>
          <w:rFonts w:ascii="Palatino Linotype" w:eastAsia="Palatino Linotype" w:hAnsi="Palatino Linotype" w:cs="Palatino Linotype"/>
          <w:sz w:val="22"/>
          <w:szCs w:val="22"/>
        </w:rPr>
        <w:t>ron</w:t>
      </w:r>
      <w:r w:rsidRPr="0029522B">
        <w:rPr>
          <w:rFonts w:ascii="Palatino Linotype" w:eastAsia="Palatino Linotype" w:hAnsi="Palatino Linotype" w:cs="Palatino Linotype"/>
          <w:sz w:val="22"/>
          <w:szCs w:val="22"/>
        </w:rPr>
        <w:t xml:space="preserve"> presentado</w:t>
      </w:r>
      <w:r w:rsidR="008C69FB" w:rsidRPr="0029522B">
        <w:rPr>
          <w:rFonts w:ascii="Palatino Linotype" w:eastAsia="Palatino Linotype" w:hAnsi="Palatino Linotype" w:cs="Palatino Linotype"/>
          <w:sz w:val="22"/>
          <w:szCs w:val="22"/>
        </w:rPr>
        <w:t>s</w:t>
      </w:r>
      <w:r w:rsidRPr="0029522B">
        <w:rPr>
          <w:rFonts w:ascii="Palatino Linotype" w:eastAsia="Palatino Linotype" w:hAnsi="Palatino Linotype" w:cs="Palatino Linotype"/>
          <w:sz w:val="22"/>
          <w:szCs w:val="22"/>
        </w:rPr>
        <w:t xml:space="preserve"> fuera del plazo señalado en el artículo 178 d</w:t>
      </w:r>
      <w:r w:rsidR="008C69FB" w:rsidRPr="0029522B">
        <w:rPr>
          <w:rFonts w:ascii="Palatino Linotype" w:eastAsia="Palatino Linotype" w:hAnsi="Palatino Linotype" w:cs="Palatino Linotype"/>
          <w:sz w:val="22"/>
          <w:szCs w:val="22"/>
        </w:rPr>
        <w:t>e la misma Ley; los</w:t>
      </w:r>
      <w:r w:rsidRPr="0029522B">
        <w:rPr>
          <w:rFonts w:ascii="Palatino Linotype" w:eastAsia="Palatino Linotype" w:hAnsi="Palatino Linotype" w:cs="Palatino Linotype"/>
          <w:sz w:val="22"/>
          <w:szCs w:val="22"/>
        </w:rPr>
        <w:t xml:space="preserve"> mismo</w:t>
      </w:r>
      <w:r w:rsidR="008C69FB" w:rsidRPr="0029522B">
        <w:rPr>
          <w:rFonts w:ascii="Palatino Linotype" w:eastAsia="Palatino Linotype" w:hAnsi="Palatino Linotype" w:cs="Palatino Linotype"/>
          <w:sz w:val="22"/>
          <w:szCs w:val="22"/>
        </w:rPr>
        <w:t>s</w:t>
      </w:r>
      <w:r w:rsidRPr="0029522B">
        <w:rPr>
          <w:rFonts w:ascii="Palatino Linotype" w:eastAsia="Palatino Linotype" w:hAnsi="Palatino Linotype" w:cs="Palatino Linotype"/>
          <w:sz w:val="22"/>
          <w:szCs w:val="22"/>
        </w:rPr>
        <w:t xml:space="preserve"> debe</w:t>
      </w:r>
      <w:r w:rsidR="008C69FB" w:rsidRPr="0029522B">
        <w:rPr>
          <w:rFonts w:ascii="Palatino Linotype" w:eastAsia="Palatino Linotype" w:hAnsi="Palatino Linotype" w:cs="Palatino Linotype"/>
          <w:sz w:val="22"/>
          <w:szCs w:val="22"/>
        </w:rPr>
        <w:t>n</w:t>
      </w:r>
      <w:r w:rsidRPr="0029522B">
        <w:rPr>
          <w:rFonts w:ascii="Palatino Linotype" w:eastAsia="Palatino Linotype" w:hAnsi="Palatino Linotype" w:cs="Palatino Linotype"/>
          <w:sz w:val="22"/>
          <w:szCs w:val="22"/>
        </w:rPr>
        <w:t xml:space="preserve"> ser sobreseído, atendiendo a lo dispuesto en el artículo 192 fracción IV del citado ordenamiento legal. </w:t>
      </w:r>
    </w:p>
    <w:p w14:paraId="15883143" w14:textId="77777777" w:rsidR="00CE2EDA" w:rsidRPr="0029522B" w:rsidRDefault="00CE2EDA" w:rsidP="00CE2EDA">
      <w:pPr>
        <w:spacing w:line="360" w:lineRule="auto"/>
        <w:ind w:right="49"/>
        <w:jc w:val="both"/>
        <w:rPr>
          <w:rFonts w:ascii="Palatino Linotype" w:eastAsia="Palatino Linotype" w:hAnsi="Palatino Linotype" w:cs="Palatino Linotype"/>
          <w:sz w:val="22"/>
          <w:szCs w:val="22"/>
        </w:rPr>
      </w:pPr>
    </w:p>
    <w:p w14:paraId="24D68E1D" w14:textId="77777777" w:rsidR="00CE2EDA" w:rsidRPr="0029522B" w:rsidRDefault="00CE2EDA" w:rsidP="00CE2EDA">
      <w:pPr>
        <w:spacing w:line="360" w:lineRule="auto"/>
        <w:jc w:val="both"/>
        <w:rPr>
          <w:rFonts w:ascii="Palatino Linotype" w:eastAsia="Palatino Linotype" w:hAnsi="Palatino Linotype" w:cs="Palatino Linotype"/>
          <w:b/>
          <w:sz w:val="22"/>
          <w:szCs w:val="22"/>
        </w:rPr>
      </w:pPr>
      <w:r w:rsidRPr="0029522B">
        <w:rPr>
          <w:rFonts w:ascii="Palatino Linotype" w:eastAsia="Palatino Linotype" w:hAnsi="Palatino Linotype" w:cs="Palatino Linotype"/>
          <w:sz w:val="22"/>
          <w:szCs w:val="22"/>
        </w:rPr>
        <w:t xml:space="preserve">Atento a los razonamientos lógico jurídicos que han quedado precisados y toda vez que el  </w:t>
      </w:r>
      <w:r w:rsidRPr="0029522B">
        <w:rPr>
          <w:rFonts w:ascii="Palatino Linotype" w:eastAsia="Palatino Linotype" w:hAnsi="Palatino Linotype" w:cs="Palatino Linotype"/>
          <w:i/>
          <w:sz w:val="22"/>
          <w:szCs w:val="22"/>
        </w:rPr>
        <w:t xml:space="preserve">sobreseimiento </w:t>
      </w:r>
      <w:r w:rsidRPr="0029522B">
        <w:rPr>
          <w:rFonts w:ascii="Palatino Linotype" w:eastAsia="Palatino Linotype" w:hAnsi="Palatino Linotype" w:cs="Palatino Linotype"/>
          <w:sz w:val="22"/>
          <w:szCs w:val="22"/>
        </w:rPr>
        <w:t xml:space="preserve">es un acto que da por terminado el procedimiento administrativo de impugnación por alguna causa que sobreviniente en el juicio de que se trate, que impide a la autoridad referirse a lo sustancial de lo planteado por el recurrente teniendo como consecuencia dar por concluido el medio de impugnación, este Instituto se encuentra imposibilitado para entrar al estudio de fondo del recurso de revisión, lo anterior con apoyo en el criterio del Poder Judicial de la Federación con rubro: </w:t>
      </w:r>
      <w:r w:rsidRPr="0029522B">
        <w:rPr>
          <w:rFonts w:ascii="Palatino Linotype" w:eastAsia="Palatino Linotype" w:hAnsi="Palatino Linotype" w:cs="Palatino Linotype"/>
          <w:b/>
          <w:sz w:val="22"/>
          <w:szCs w:val="22"/>
        </w:rPr>
        <w:t>SOBRESEIMIENTO, NO PERMITE ENTRAR AL ESTUDIO DE LAS CUESTIONES DE FONDO.</w:t>
      </w:r>
    </w:p>
    <w:p w14:paraId="5616BFE8" w14:textId="77777777" w:rsidR="00CE2EDA" w:rsidRPr="0029522B" w:rsidRDefault="00CE2EDA" w:rsidP="00CE2EDA">
      <w:pPr>
        <w:spacing w:line="360" w:lineRule="auto"/>
        <w:jc w:val="both"/>
        <w:rPr>
          <w:rFonts w:ascii="Palatino Linotype" w:eastAsia="Palatino Linotype" w:hAnsi="Palatino Linotype" w:cs="Palatino Linotype"/>
          <w:b/>
          <w:sz w:val="22"/>
          <w:szCs w:val="22"/>
        </w:rPr>
      </w:pPr>
    </w:p>
    <w:p w14:paraId="41CD0B29" w14:textId="1FF8B20A" w:rsidR="00CE2EDA" w:rsidRPr="0029522B" w:rsidRDefault="00CE2EDA" w:rsidP="00CE2EDA">
      <w:pPr>
        <w:spacing w:line="360" w:lineRule="auto"/>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sz w:val="22"/>
          <w:szCs w:val="22"/>
        </w:rPr>
        <w:t xml:space="preserve">Con base en lo expuesto, resulta procedente </w:t>
      </w:r>
      <w:r w:rsidRPr="0029522B">
        <w:rPr>
          <w:rFonts w:ascii="Palatino Linotype" w:eastAsia="Palatino Linotype" w:hAnsi="Palatino Linotype" w:cs="Palatino Linotype"/>
          <w:i/>
          <w:sz w:val="22"/>
          <w:szCs w:val="22"/>
        </w:rPr>
        <w:t>sobreseer</w:t>
      </w:r>
      <w:r w:rsidRPr="0029522B">
        <w:rPr>
          <w:rFonts w:ascii="Palatino Linotype" w:eastAsia="Palatino Linotype" w:hAnsi="Palatino Linotype" w:cs="Palatino Linotype"/>
          <w:sz w:val="22"/>
          <w:szCs w:val="22"/>
        </w:rPr>
        <w:t xml:space="preserve"> </w:t>
      </w:r>
      <w:r w:rsidR="008C69FB" w:rsidRPr="0029522B">
        <w:rPr>
          <w:rFonts w:ascii="Palatino Linotype" w:eastAsia="Palatino Linotype" w:hAnsi="Palatino Linotype" w:cs="Palatino Linotype"/>
          <w:sz w:val="22"/>
          <w:szCs w:val="22"/>
        </w:rPr>
        <w:t>los</w:t>
      </w:r>
      <w:r w:rsidRPr="0029522B">
        <w:rPr>
          <w:rFonts w:ascii="Palatino Linotype" w:eastAsia="Palatino Linotype" w:hAnsi="Palatino Linotype" w:cs="Palatino Linotype"/>
          <w:sz w:val="22"/>
          <w:szCs w:val="22"/>
        </w:rPr>
        <w:t xml:space="preserve"> recurso</w:t>
      </w:r>
      <w:r w:rsidR="008C69FB" w:rsidRPr="0029522B">
        <w:rPr>
          <w:rFonts w:ascii="Palatino Linotype" w:eastAsia="Palatino Linotype" w:hAnsi="Palatino Linotype" w:cs="Palatino Linotype"/>
          <w:sz w:val="22"/>
          <w:szCs w:val="22"/>
        </w:rPr>
        <w:t>s</w:t>
      </w:r>
      <w:r w:rsidRPr="0029522B">
        <w:rPr>
          <w:rFonts w:ascii="Palatino Linotype" w:eastAsia="Palatino Linotype" w:hAnsi="Palatino Linotype" w:cs="Palatino Linotype"/>
          <w:sz w:val="22"/>
          <w:szCs w:val="22"/>
        </w:rPr>
        <w:t xml:space="preserve"> de revisión materia de la presente resolución en términos de lo dispuesto por los artículos 191 fracción I y 192 fracción IV de Ley de Transparencia y Acceso a la Información Pública del Estado de México y Municipios</w:t>
      </w:r>
      <w:r w:rsidR="008C69FB" w:rsidRPr="0029522B">
        <w:rPr>
          <w:rFonts w:ascii="Palatino Linotype" w:eastAsia="Palatino Linotype" w:hAnsi="Palatino Linotype" w:cs="Palatino Linotype"/>
          <w:sz w:val="22"/>
          <w:szCs w:val="22"/>
        </w:rPr>
        <w:t>.</w:t>
      </w:r>
    </w:p>
    <w:p w14:paraId="7232029A" w14:textId="77777777" w:rsidR="00CE2EDA" w:rsidRPr="0029522B" w:rsidRDefault="00CE2EDA" w:rsidP="00CE2EDA">
      <w:pPr>
        <w:spacing w:line="360" w:lineRule="auto"/>
        <w:jc w:val="both"/>
        <w:rPr>
          <w:rFonts w:ascii="Palatino Linotype" w:eastAsia="Palatino Linotype" w:hAnsi="Palatino Linotype" w:cs="Palatino Linotype"/>
          <w:sz w:val="22"/>
          <w:szCs w:val="22"/>
        </w:rPr>
      </w:pPr>
    </w:p>
    <w:p w14:paraId="34A1B7D9" w14:textId="77777777" w:rsidR="008C69FB" w:rsidRPr="0029522B" w:rsidRDefault="008C69FB" w:rsidP="008C69FB">
      <w:pPr>
        <w:spacing w:line="360" w:lineRule="auto"/>
        <w:ind w:right="49"/>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sz w:val="22"/>
          <w:szCs w:val="22"/>
        </w:rPr>
        <w:t xml:space="preserve">Así, con fundamento en lo prescrito en los artículos </w:t>
      </w:r>
      <w:r w:rsidRPr="0029522B">
        <w:rPr>
          <w:rFonts w:ascii="Palatino Linotype" w:hAnsi="Palatino Linotype"/>
          <w:sz w:val="22"/>
          <w:szCs w:val="22"/>
        </w:rPr>
        <w:t>5 párrafos cuadragésimo cuarto, cuadragésimo quinto, cuadragésimo sexto, fracciones IV y V de la Constitución Política del Estado Libre y Soberano de México; Transitorio Cuarto, párrafo segundo del Decreto número 198 de la “LXII” Legislatura del Estado de México</w:t>
      </w:r>
      <w:r w:rsidRPr="0029522B">
        <w:rPr>
          <w:rFonts w:ascii="Palatino Linotype" w:eastAsia="Palatino Linotype" w:hAnsi="Palatino Linotype" w:cs="Palatino Linotype"/>
          <w:sz w:val="22"/>
          <w:szCs w:val="22"/>
        </w:rPr>
        <w:t>; 2, fracción II; 29, 36 fracciones I y II; 176, 178, 181, 185, fracción I, 186 y 188 de la Ley de Transparencia y Acceso a la Información Pública del Estado de México y Municipios, este Pleno:</w:t>
      </w:r>
    </w:p>
    <w:p w14:paraId="67B94D52" w14:textId="77777777" w:rsidR="00CE2EDA" w:rsidRPr="0029522B" w:rsidRDefault="00CE2EDA" w:rsidP="00CE2EDA">
      <w:pPr>
        <w:spacing w:line="360" w:lineRule="auto"/>
        <w:jc w:val="both"/>
        <w:rPr>
          <w:rFonts w:ascii="Palatino Linotype" w:eastAsia="Palatino Linotype" w:hAnsi="Palatino Linotype" w:cs="Palatino Linotype"/>
          <w:sz w:val="22"/>
          <w:szCs w:val="22"/>
        </w:rPr>
      </w:pPr>
    </w:p>
    <w:p w14:paraId="4AD8320F" w14:textId="77777777" w:rsidR="00CE2EDA" w:rsidRPr="0029522B" w:rsidRDefault="00CE2EDA" w:rsidP="00CE2EDA">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r w:rsidRPr="0029522B">
        <w:rPr>
          <w:rFonts w:ascii="Palatino Linotype" w:eastAsia="Palatino Linotype" w:hAnsi="Palatino Linotype" w:cs="Palatino Linotype"/>
          <w:b/>
          <w:sz w:val="22"/>
          <w:szCs w:val="22"/>
        </w:rPr>
        <w:t>R E S U E L V E:</w:t>
      </w:r>
    </w:p>
    <w:p w14:paraId="6305392C" w14:textId="77777777" w:rsidR="00CE2EDA" w:rsidRPr="0029522B" w:rsidRDefault="00CE2EDA" w:rsidP="00CE2EDA">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p>
    <w:p w14:paraId="5A6F3103" w14:textId="125941D7" w:rsidR="00CE2EDA" w:rsidRPr="0029522B" w:rsidRDefault="00CE2EDA" w:rsidP="00CE2EDA">
      <w:pPr>
        <w:tabs>
          <w:tab w:val="left" w:pos="7936"/>
        </w:tabs>
        <w:spacing w:line="360" w:lineRule="auto"/>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b/>
          <w:sz w:val="22"/>
          <w:szCs w:val="22"/>
        </w:rPr>
        <w:t xml:space="preserve">PRIMERO. </w:t>
      </w:r>
      <w:r w:rsidRPr="0029522B">
        <w:rPr>
          <w:rFonts w:ascii="Palatino Linotype" w:eastAsia="Palatino Linotype" w:hAnsi="Palatino Linotype" w:cs="Palatino Linotype"/>
          <w:sz w:val="22"/>
          <w:szCs w:val="22"/>
        </w:rPr>
        <w:t>Se</w:t>
      </w:r>
      <w:r w:rsidRPr="0029522B">
        <w:rPr>
          <w:rFonts w:ascii="Palatino Linotype" w:eastAsia="Palatino Linotype" w:hAnsi="Palatino Linotype" w:cs="Palatino Linotype"/>
          <w:b/>
          <w:sz w:val="22"/>
          <w:szCs w:val="22"/>
        </w:rPr>
        <w:t xml:space="preserve"> SOBRESEE</w:t>
      </w:r>
      <w:r w:rsidR="008C69FB" w:rsidRPr="0029522B">
        <w:rPr>
          <w:rFonts w:ascii="Palatino Linotype" w:eastAsia="Palatino Linotype" w:hAnsi="Palatino Linotype" w:cs="Palatino Linotype"/>
          <w:b/>
          <w:sz w:val="22"/>
          <w:szCs w:val="22"/>
        </w:rPr>
        <w:t>N</w:t>
      </w:r>
      <w:r w:rsidRPr="0029522B">
        <w:rPr>
          <w:rFonts w:ascii="Palatino Linotype" w:eastAsia="Palatino Linotype" w:hAnsi="Palatino Linotype" w:cs="Palatino Linotype"/>
          <w:b/>
          <w:sz w:val="22"/>
          <w:szCs w:val="22"/>
        </w:rPr>
        <w:t xml:space="preserve"> </w:t>
      </w:r>
      <w:r w:rsidR="008C69FB" w:rsidRPr="0029522B">
        <w:rPr>
          <w:rFonts w:ascii="Palatino Linotype" w:eastAsia="Palatino Linotype" w:hAnsi="Palatino Linotype" w:cs="Palatino Linotype"/>
          <w:b/>
          <w:sz w:val="22"/>
          <w:szCs w:val="22"/>
        </w:rPr>
        <w:t>los</w:t>
      </w:r>
      <w:r w:rsidRPr="0029522B">
        <w:rPr>
          <w:rFonts w:ascii="Palatino Linotype" w:eastAsia="Palatino Linotype" w:hAnsi="Palatino Linotype" w:cs="Palatino Linotype"/>
          <w:sz w:val="22"/>
          <w:szCs w:val="22"/>
        </w:rPr>
        <w:t xml:space="preserve"> recurso</w:t>
      </w:r>
      <w:r w:rsidR="008C69FB" w:rsidRPr="0029522B">
        <w:rPr>
          <w:rFonts w:ascii="Palatino Linotype" w:eastAsia="Palatino Linotype" w:hAnsi="Palatino Linotype" w:cs="Palatino Linotype"/>
          <w:sz w:val="22"/>
          <w:szCs w:val="22"/>
        </w:rPr>
        <w:t>s</w:t>
      </w:r>
      <w:r w:rsidRPr="0029522B">
        <w:rPr>
          <w:rFonts w:ascii="Palatino Linotype" w:eastAsia="Palatino Linotype" w:hAnsi="Palatino Linotype" w:cs="Palatino Linotype"/>
          <w:sz w:val="22"/>
          <w:szCs w:val="22"/>
        </w:rPr>
        <w:t xml:space="preserve"> de revisión número </w:t>
      </w:r>
      <w:r w:rsidR="008C69FB" w:rsidRPr="0029522B">
        <w:rPr>
          <w:rFonts w:ascii="Palatino Linotype" w:eastAsia="Palatino Linotype" w:hAnsi="Palatino Linotype" w:cs="Palatino Linotype"/>
          <w:b/>
          <w:sz w:val="22"/>
          <w:szCs w:val="22"/>
        </w:rPr>
        <w:t>08264/INFOEM/IP/RR/2025</w:t>
      </w:r>
      <w:r w:rsidR="008C69FB" w:rsidRPr="0029522B">
        <w:rPr>
          <w:rFonts w:ascii="Palatino Linotype" w:hAnsi="Palatino Linotype"/>
          <w:b/>
          <w:noProof/>
          <w:sz w:val="22"/>
          <w:szCs w:val="22"/>
        </w:rPr>
        <w:t xml:space="preserve"> y </w:t>
      </w:r>
      <w:r w:rsidR="008C69FB" w:rsidRPr="0029522B">
        <w:rPr>
          <w:rFonts w:ascii="Palatino Linotype" w:hAnsi="Palatino Linotype"/>
          <w:b/>
          <w:sz w:val="22"/>
          <w:szCs w:val="22"/>
        </w:rPr>
        <w:t>08547</w:t>
      </w:r>
      <w:r w:rsidR="008C69FB" w:rsidRPr="0029522B">
        <w:rPr>
          <w:rFonts w:ascii="Palatino Linotype" w:hAnsi="Palatino Linotype"/>
          <w:b/>
          <w:noProof/>
          <w:sz w:val="22"/>
          <w:szCs w:val="22"/>
        </w:rPr>
        <w:t>/INFOEM/IP/RR/2025</w:t>
      </w:r>
      <w:r w:rsidRPr="0029522B">
        <w:rPr>
          <w:rFonts w:ascii="Palatino Linotype" w:eastAsia="Palatino Linotype" w:hAnsi="Palatino Linotype" w:cs="Palatino Linotype"/>
          <w:b/>
          <w:sz w:val="22"/>
          <w:szCs w:val="22"/>
        </w:rPr>
        <w:t xml:space="preserve">, </w:t>
      </w:r>
      <w:r w:rsidRPr="0029522B">
        <w:rPr>
          <w:rFonts w:ascii="Palatino Linotype" w:eastAsia="Palatino Linotype" w:hAnsi="Palatino Linotype" w:cs="Palatino Linotype"/>
          <w:sz w:val="22"/>
          <w:szCs w:val="22"/>
        </w:rPr>
        <w:t>por improcedente</w:t>
      </w:r>
      <w:r w:rsidR="008C69FB" w:rsidRPr="0029522B">
        <w:rPr>
          <w:rFonts w:ascii="Palatino Linotype" w:eastAsia="Palatino Linotype" w:hAnsi="Palatino Linotype" w:cs="Palatino Linotype"/>
          <w:sz w:val="22"/>
          <w:szCs w:val="22"/>
        </w:rPr>
        <w:t>s</w:t>
      </w:r>
      <w:r w:rsidRPr="0029522B">
        <w:rPr>
          <w:rFonts w:ascii="Palatino Linotype" w:eastAsia="Palatino Linotype" w:hAnsi="Palatino Linotype" w:cs="Palatino Linotype"/>
          <w:b/>
          <w:sz w:val="22"/>
          <w:szCs w:val="22"/>
        </w:rPr>
        <w:t xml:space="preserve">, </w:t>
      </w:r>
      <w:r w:rsidRPr="0029522B">
        <w:rPr>
          <w:rFonts w:ascii="Palatino Linotype" w:eastAsia="Palatino Linotype" w:hAnsi="Palatino Linotype" w:cs="Palatino Linotype"/>
          <w:sz w:val="22"/>
          <w:szCs w:val="22"/>
        </w:rPr>
        <w:t xml:space="preserve">por actualizarse la fracción IV del artículo 192, en relación con la fracción I del artículo 191, ambos, de la Ley de Transparencia y Acceso a la Información Pública del Estado de México y Municipios, en términos del </w:t>
      </w:r>
      <w:r w:rsidRPr="0029522B">
        <w:rPr>
          <w:rFonts w:ascii="Palatino Linotype" w:eastAsia="Palatino Linotype" w:hAnsi="Palatino Linotype" w:cs="Palatino Linotype"/>
          <w:b/>
          <w:sz w:val="22"/>
          <w:szCs w:val="22"/>
        </w:rPr>
        <w:t>Considerando Tercero</w:t>
      </w:r>
      <w:r w:rsidRPr="0029522B">
        <w:rPr>
          <w:rFonts w:ascii="Palatino Linotype" w:eastAsia="Palatino Linotype" w:hAnsi="Palatino Linotype" w:cs="Palatino Linotype"/>
          <w:sz w:val="22"/>
          <w:szCs w:val="22"/>
        </w:rPr>
        <w:t xml:space="preserve"> de la presente resolución.</w:t>
      </w:r>
    </w:p>
    <w:p w14:paraId="76B82CBC" w14:textId="77777777" w:rsidR="00CE2EDA" w:rsidRPr="0029522B" w:rsidRDefault="00CE2EDA" w:rsidP="00CE2EDA">
      <w:pPr>
        <w:tabs>
          <w:tab w:val="left" w:pos="7936"/>
        </w:tabs>
        <w:spacing w:line="360" w:lineRule="auto"/>
        <w:jc w:val="both"/>
        <w:rPr>
          <w:rFonts w:ascii="Palatino Linotype" w:eastAsia="Palatino Linotype" w:hAnsi="Palatino Linotype" w:cs="Palatino Linotype"/>
          <w:sz w:val="22"/>
          <w:szCs w:val="22"/>
        </w:rPr>
      </w:pPr>
    </w:p>
    <w:p w14:paraId="129910AD" w14:textId="77777777" w:rsidR="00CE2EDA" w:rsidRPr="0029522B" w:rsidRDefault="00CE2EDA" w:rsidP="00CE2EDA">
      <w:pPr>
        <w:spacing w:line="360" w:lineRule="auto"/>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b/>
          <w:sz w:val="22"/>
          <w:szCs w:val="22"/>
        </w:rPr>
        <w:t xml:space="preserve">SEGUNDO. Notifíquese, </w:t>
      </w:r>
      <w:r w:rsidRPr="0029522B">
        <w:rPr>
          <w:rFonts w:ascii="Palatino Linotype" w:eastAsia="Palatino Linotype" w:hAnsi="Palatino Linotype" w:cs="Palatino Linotype"/>
          <w:sz w:val="22"/>
          <w:szCs w:val="22"/>
        </w:rPr>
        <w:t>vía</w:t>
      </w:r>
      <w:r w:rsidRPr="0029522B">
        <w:rPr>
          <w:rFonts w:ascii="Palatino Linotype" w:eastAsia="Palatino Linotype" w:hAnsi="Palatino Linotype" w:cs="Palatino Linotype"/>
          <w:b/>
          <w:sz w:val="22"/>
          <w:szCs w:val="22"/>
        </w:rPr>
        <w:t xml:space="preserve"> SAIMEX</w:t>
      </w:r>
      <w:r w:rsidRPr="0029522B">
        <w:rPr>
          <w:rFonts w:ascii="Palatino Linotype" w:eastAsia="Palatino Linotype" w:hAnsi="Palatino Linotype" w:cs="Palatino Linotype"/>
          <w:b/>
          <w:i/>
          <w:sz w:val="22"/>
          <w:szCs w:val="22"/>
        </w:rPr>
        <w:t xml:space="preserve">, </w:t>
      </w:r>
      <w:r w:rsidRPr="0029522B">
        <w:rPr>
          <w:rFonts w:ascii="Palatino Linotype" w:eastAsia="Palatino Linotype" w:hAnsi="Palatino Linotype" w:cs="Palatino Linotype"/>
          <w:sz w:val="22"/>
          <w:szCs w:val="22"/>
        </w:rPr>
        <w:t xml:space="preserve">al Titular de la Unidad de Transparencia del </w:t>
      </w:r>
      <w:r w:rsidRPr="0029522B">
        <w:rPr>
          <w:rFonts w:ascii="Palatino Linotype" w:eastAsia="Palatino Linotype" w:hAnsi="Palatino Linotype" w:cs="Palatino Linotype"/>
          <w:b/>
          <w:sz w:val="22"/>
          <w:szCs w:val="22"/>
        </w:rPr>
        <w:t>SUJETO OBLIGADO</w:t>
      </w:r>
      <w:r w:rsidRPr="0029522B">
        <w:rPr>
          <w:rFonts w:ascii="Palatino Linotype" w:eastAsia="Palatino Linotype" w:hAnsi="Palatino Linotype" w:cs="Palatino Linotype"/>
          <w:sz w:val="22"/>
          <w:szCs w:val="22"/>
        </w:rPr>
        <w:t xml:space="preserve"> la presente resolución, para su conocimiento.</w:t>
      </w:r>
    </w:p>
    <w:p w14:paraId="15217160" w14:textId="77777777" w:rsidR="00CE2EDA" w:rsidRPr="0029522B" w:rsidRDefault="00CE2EDA" w:rsidP="00CE2EDA">
      <w:pPr>
        <w:spacing w:line="360" w:lineRule="auto"/>
        <w:jc w:val="both"/>
        <w:rPr>
          <w:rFonts w:ascii="Palatino Linotype" w:eastAsia="Palatino Linotype" w:hAnsi="Palatino Linotype" w:cs="Palatino Linotype"/>
          <w:sz w:val="22"/>
          <w:szCs w:val="22"/>
        </w:rPr>
      </w:pPr>
    </w:p>
    <w:p w14:paraId="3F073004" w14:textId="77777777" w:rsidR="00CE2EDA" w:rsidRPr="0029522B" w:rsidRDefault="00CE2EDA" w:rsidP="00CE2EDA">
      <w:pPr>
        <w:spacing w:line="360" w:lineRule="auto"/>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b/>
          <w:sz w:val="22"/>
          <w:szCs w:val="22"/>
        </w:rPr>
        <w:t xml:space="preserve">TERCERO. Notifíquese, </w:t>
      </w:r>
      <w:r w:rsidRPr="0029522B">
        <w:rPr>
          <w:rFonts w:ascii="Palatino Linotype" w:eastAsia="Palatino Linotype" w:hAnsi="Palatino Linotype" w:cs="Palatino Linotype"/>
          <w:sz w:val="22"/>
          <w:szCs w:val="22"/>
        </w:rPr>
        <w:t>vía</w:t>
      </w:r>
      <w:r w:rsidRPr="0029522B">
        <w:rPr>
          <w:rFonts w:ascii="Palatino Linotype" w:eastAsia="Palatino Linotype" w:hAnsi="Palatino Linotype" w:cs="Palatino Linotype"/>
          <w:b/>
          <w:sz w:val="22"/>
          <w:szCs w:val="22"/>
        </w:rPr>
        <w:t xml:space="preserve"> SAIMEX</w:t>
      </w:r>
      <w:r w:rsidRPr="0029522B">
        <w:rPr>
          <w:rFonts w:ascii="Palatino Linotype" w:eastAsia="Palatino Linotype" w:hAnsi="Palatino Linotype" w:cs="Palatino Linotype"/>
          <w:sz w:val="22"/>
          <w:szCs w:val="22"/>
        </w:rPr>
        <w:t>, a</w:t>
      </w:r>
      <w:r w:rsidRPr="0029522B">
        <w:rPr>
          <w:rFonts w:ascii="Palatino Linotype" w:eastAsia="Palatino Linotype" w:hAnsi="Palatino Linotype" w:cs="Palatino Linotype"/>
          <w:b/>
          <w:sz w:val="22"/>
          <w:szCs w:val="22"/>
        </w:rPr>
        <w:t xml:space="preserve"> LA PARTE RECURRENTE</w:t>
      </w:r>
      <w:r w:rsidRPr="0029522B">
        <w:rPr>
          <w:rFonts w:ascii="Palatino Linotype" w:eastAsia="Palatino Linotype" w:hAnsi="Palatino Linotype" w:cs="Palatino Linotype"/>
          <w:sz w:val="22"/>
          <w:szCs w:val="22"/>
        </w:rPr>
        <w:t xml:space="preserve"> la presente resolución, así como, que de conformidad con lo establecido en el artículo 196 de la Ley de Transparencia y Acceso a la Información Pública del Estado de México y Municipios, podrá impugnarla vía el Juicio de Amparo en los términos de las leyes aplicables.</w:t>
      </w:r>
    </w:p>
    <w:p w14:paraId="1D3D46A8" w14:textId="77777777" w:rsidR="00FC2052" w:rsidRPr="0029522B" w:rsidRDefault="00FC2052" w:rsidP="007811FC">
      <w:pPr>
        <w:spacing w:line="360" w:lineRule="auto"/>
        <w:ind w:right="49"/>
        <w:jc w:val="both"/>
        <w:rPr>
          <w:rFonts w:ascii="Palatino Linotype" w:eastAsia="Palatino Linotype" w:hAnsi="Palatino Linotype" w:cs="Palatino Linotype"/>
          <w:sz w:val="22"/>
          <w:szCs w:val="22"/>
        </w:rPr>
      </w:pPr>
    </w:p>
    <w:p w14:paraId="0D8C7B7F" w14:textId="4B871D06" w:rsidR="00E46813" w:rsidRPr="002D79F6" w:rsidRDefault="00E46813" w:rsidP="007811FC">
      <w:pPr>
        <w:spacing w:line="360" w:lineRule="auto"/>
        <w:jc w:val="both"/>
        <w:rPr>
          <w:rFonts w:ascii="Palatino Linotype" w:eastAsia="Palatino Linotype" w:hAnsi="Palatino Linotype" w:cs="Palatino Linotype"/>
          <w:sz w:val="22"/>
          <w:szCs w:val="22"/>
        </w:rPr>
      </w:pPr>
      <w:r w:rsidRPr="0029522B">
        <w:rPr>
          <w:rFonts w:ascii="Palatino Linotype" w:eastAsia="Palatino Linotype" w:hAnsi="Palatino Linotype" w:cs="Palatino Linotype"/>
          <w:sz w:val="22"/>
          <w:szCs w:val="22"/>
        </w:rPr>
        <w:t xml:space="preserve">ASÍ LO RESUELVE, POR </w:t>
      </w:r>
      <w:r w:rsidR="007920F4" w:rsidRPr="0029522B">
        <w:rPr>
          <w:rFonts w:ascii="Palatino Linotype" w:eastAsia="Palatino Linotype" w:hAnsi="Palatino Linotype" w:cs="Palatino Linotype"/>
          <w:sz w:val="22"/>
          <w:szCs w:val="22"/>
        </w:rPr>
        <w:t>UNANIMIDAD</w:t>
      </w:r>
      <w:r w:rsidRPr="0029522B">
        <w:rPr>
          <w:rFonts w:ascii="Palatino Linotype" w:eastAsia="Palatino Linotype" w:hAnsi="Palatino Linotype" w:cs="Palatino Linotype"/>
          <w:sz w:val="22"/>
          <w:szCs w:val="22"/>
        </w:rPr>
        <w:t xml:space="preserve"> DE VOTOS, EL PLENO DEL INSTITUTO DE TRANSPARENCIA, ACCESO A LA INFORMACIÓN PÚBLICA Y PROTECCIÓN DE DATOS PERSONALES DEL ESTADO DE MÉXICO Y MUNICIPIOS, CONFORMADO POR LOS COMISIONADOS JOSÉ MARTÍNEZ VILCHIS</w:t>
      </w:r>
      <w:r w:rsidR="007920F4" w:rsidRPr="0029522B">
        <w:rPr>
          <w:rFonts w:ascii="Palatino Linotype" w:eastAsia="Palatino Linotype" w:hAnsi="Palatino Linotype" w:cs="Palatino Linotype"/>
          <w:sz w:val="22"/>
          <w:szCs w:val="22"/>
        </w:rPr>
        <w:t>, MARÍA DEL ROSARIO MEJÍA AYALA</w:t>
      </w:r>
      <w:r w:rsidR="00CD2BA8" w:rsidRPr="0029522B">
        <w:rPr>
          <w:rFonts w:ascii="Palatino Linotype" w:eastAsia="Palatino Linotype" w:hAnsi="Palatino Linotype" w:cs="Palatino Linotype"/>
          <w:sz w:val="22"/>
          <w:szCs w:val="22"/>
        </w:rPr>
        <w:t>,</w:t>
      </w:r>
      <w:r w:rsidRPr="0029522B">
        <w:rPr>
          <w:rFonts w:ascii="Palatino Linotype" w:eastAsia="Palatino Linotype" w:hAnsi="Palatino Linotype" w:cs="Palatino Linotype"/>
          <w:sz w:val="22"/>
          <w:szCs w:val="22"/>
        </w:rPr>
        <w:t xml:space="preserve"> SHARON CRISTINA MORALES MARTÍNEZ, LUIS GUSTAVO PARRA NORIEGA Y GUADALUPE RAMÍREZ PEÑA; EN LA </w:t>
      </w:r>
      <w:r w:rsidR="00331D0C" w:rsidRPr="0029522B">
        <w:rPr>
          <w:rFonts w:ascii="Palatino Linotype" w:eastAsia="Palatino Linotype" w:hAnsi="Palatino Linotype" w:cs="Palatino Linotype"/>
          <w:sz w:val="22"/>
          <w:szCs w:val="22"/>
        </w:rPr>
        <w:t>SÉPTIMA</w:t>
      </w:r>
      <w:r w:rsidRPr="0029522B">
        <w:rPr>
          <w:rFonts w:ascii="Palatino Linotype" w:eastAsia="Palatino Linotype" w:hAnsi="Palatino Linotype" w:cs="Palatino Linotype"/>
          <w:sz w:val="22"/>
          <w:szCs w:val="22"/>
        </w:rPr>
        <w:t xml:space="preserve"> SESIÓN ORDINARIA, CELEBRADA EL </w:t>
      </w:r>
      <w:r w:rsidR="00331D0C" w:rsidRPr="0029522B">
        <w:rPr>
          <w:rFonts w:ascii="Palatino Linotype" w:eastAsia="Palatino Linotype" w:hAnsi="Palatino Linotype" w:cs="Palatino Linotype"/>
          <w:sz w:val="22"/>
          <w:szCs w:val="22"/>
        </w:rPr>
        <w:t>VEINTICINCO</w:t>
      </w:r>
      <w:r w:rsidR="00343C31" w:rsidRPr="0029522B">
        <w:rPr>
          <w:rFonts w:ascii="Palatino Linotype" w:eastAsia="Palatino Linotype" w:hAnsi="Palatino Linotype" w:cs="Palatino Linotype"/>
          <w:sz w:val="22"/>
          <w:szCs w:val="22"/>
        </w:rPr>
        <w:t xml:space="preserve"> DE FEBRERO</w:t>
      </w:r>
      <w:r w:rsidR="00283851" w:rsidRPr="0029522B">
        <w:rPr>
          <w:rFonts w:ascii="Palatino Linotype" w:eastAsia="Palatino Linotype" w:hAnsi="Palatino Linotype" w:cs="Palatino Linotype"/>
          <w:sz w:val="22"/>
          <w:szCs w:val="22"/>
        </w:rPr>
        <w:t xml:space="preserve"> DE DOS MIL VEINTIS</w:t>
      </w:r>
      <w:r w:rsidR="00CD2BA8" w:rsidRPr="0029522B">
        <w:rPr>
          <w:rFonts w:ascii="Palatino Linotype" w:eastAsia="Palatino Linotype" w:hAnsi="Palatino Linotype" w:cs="Palatino Linotype"/>
          <w:sz w:val="22"/>
          <w:szCs w:val="22"/>
        </w:rPr>
        <w:t>É</w:t>
      </w:r>
      <w:r w:rsidR="00283851" w:rsidRPr="0029522B">
        <w:rPr>
          <w:rFonts w:ascii="Palatino Linotype" w:eastAsia="Palatino Linotype" w:hAnsi="Palatino Linotype" w:cs="Palatino Linotype"/>
          <w:sz w:val="22"/>
          <w:szCs w:val="22"/>
        </w:rPr>
        <w:t>IS</w:t>
      </w:r>
      <w:r w:rsidRPr="0029522B">
        <w:rPr>
          <w:rFonts w:ascii="Palatino Linotype" w:eastAsia="Palatino Linotype" w:hAnsi="Palatino Linotype" w:cs="Palatino Linotype"/>
          <w:sz w:val="22"/>
          <w:szCs w:val="22"/>
        </w:rPr>
        <w:t>, ANTE EL SECRETARIO TÉCNICO DEL PLENO ALEXIS TAPIA RAMÍREZ.</w:t>
      </w:r>
      <w:r w:rsidRPr="002D79F6">
        <w:rPr>
          <w:rFonts w:ascii="Palatino Linotype" w:eastAsia="Palatino Linotype" w:hAnsi="Palatino Linotype" w:cs="Palatino Linotype"/>
          <w:sz w:val="22"/>
          <w:szCs w:val="22"/>
        </w:rPr>
        <w:t xml:space="preserve"> </w:t>
      </w:r>
    </w:p>
    <w:p w14:paraId="71B96CD4" w14:textId="3D32F32B" w:rsidR="00566EB9" w:rsidRPr="002D79F6" w:rsidRDefault="00566EB9" w:rsidP="007811FC">
      <w:pPr>
        <w:spacing w:line="360" w:lineRule="auto"/>
        <w:jc w:val="both"/>
        <w:rPr>
          <w:rFonts w:ascii="Palatino Linotype" w:eastAsia="Palatino Linotype" w:hAnsi="Palatino Linotype" w:cs="Palatino Linotype"/>
          <w:sz w:val="22"/>
          <w:szCs w:val="22"/>
        </w:rPr>
      </w:pPr>
    </w:p>
    <w:p w14:paraId="7190E2A5" w14:textId="77777777" w:rsidR="00566EB9" w:rsidRPr="002D79F6" w:rsidRDefault="00566EB9" w:rsidP="007811FC">
      <w:pPr>
        <w:rPr>
          <w:rFonts w:ascii="Palatino Linotype" w:eastAsia="Palatino Linotype" w:hAnsi="Palatino Linotype" w:cs="Palatino Linotype"/>
          <w:sz w:val="22"/>
          <w:szCs w:val="22"/>
        </w:rPr>
      </w:pPr>
      <w:bookmarkStart w:id="7" w:name="_heading=h.17dp8vu" w:colFirst="0" w:colLast="0"/>
      <w:bookmarkEnd w:id="7"/>
    </w:p>
    <w:p w14:paraId="5E53C7DB" w14:textId="77777777" w:rsidR="00566EB9" w:rsidRPr="002D79F6" w:rsidRDefault="00566EB9" w:rsidP="007811FC">
      <w:pPr>
        <w:rPr>
          <w:rFonts w:ascii="Palatino Linotype" w:eastAsia="Palatino Linotype" w:hAnsi="Palatino Linotype" w:cs="Palatino Linotype"/>
          <w:sz w:val="22"/>
          <w:szCs w:val="22"/>
        </w:rPr>
      </w:pPr>
    </w:p>
    <w:p w14:paraId="4F26F666" w14:textId="77777777" w:rsidR="00566EB9" w:rsidRPr="002D79F6" w:rsidRDefault="00566EB9" w:rsidP="007811FC">
      <w:pPr>
        <w:spacing w:line="360" w:lineRule="auto"/>
        <w:jc w:val="both"/>
        <w:rPr>
          <w:rFonts w:ascii="Palatino Linotype" w:eastAsia="Palatino Linotype" w:hAnsi="Palatino Linotype" w:cs="Palatino Linotype"/>
          <w:sz w:val="22"/>
          <w:szCs w:val="22"/>
        </w:rPr>
      </w:pPr>
      <w:bookmarkStart w:id="8" w:name="_heading=h.3rdcrjn" w:colFirst="0" w:colLast="0"/>
      <w:bookmarkEnd w:id="8"/>
    </w:p>
    <w:p w14:paraId="24C778BA" w14:textId="77777777" w:rsidR="00566EB9" w:rsidRPr="002D79F6" w:rsidRDefault="00566EB9" w:rsidP="007811FC">
      <w:pPr>
        <w:spacing w:line="360" w:lineRule="auto"/>
        <w:jc w:val="both"/>
        <w:rPr>
          <w:rFonts w:ascii="Palatino Linotype" w:eastAsia="Palatino Linotype" w:hAnsi="Palatino Linotype" w:cs="Palatino Linotype"/>
          <w:sz w:val="22"/>
          <w:szCs w:val="22"/>
        </w:rPr>
      </w:pPr>
    </w:p>
    <w:p w14:paraId="136F50F6" w14:textId="77777777" w:rsidR="00566EB9" w:rsidRPr="002D79F6" w:rsidRDefault="00566EB9" w:rsidP="007811FC">
      <w:pPr>
        <w:spacing w:line="360" w:lineRule="auto"/>
        <w:jc w:val="both"/>
        <w:rPr>
          <w:rFonts w:ascii="Palatino Linotype" w:eastAsia="Palatino Linotype" w:hAnsi="Palatino Linotype" w:cs="Palatino Linotype"/>
          <w:sz w:val="22"/>
          <w:szCs w:val="22"/>
        </w:rPr>
      </w:pPr>
    </w:p>
    <w:p w14:paraId="3081BB98" w14:textId="77777777" w:rsidR="00566EB9" w:rsidRPr="002D79F6" w:rsidRDefault="00566EB9" w:rsidP="007811FC">
      <w:pPr>
        <w:spacing w:line="360" w:lineRule="auto"/>
        <w:jc w:val="both"/>
        <w:rPr>
          <w:rFonts w:ascii="Palatino Linotype" w:eastAsia="Palatino Linotype" w:hAnsi="Palatino Linotype" w:cs="Palatino Linotype"/>
          <w:sz w:val="22"/>
          <w:szCs w:val="22"/>
        </w:rPr>
      </w:pPr>
      <w:bookmarkStart w:id="9" w:name="_heading=h.1t3h5sf" w:colFirst="0" w:colLast="0"/>
      <w:bookmarkEnd w:id="9"/>
    </w:p>
    <w:p w14:paraId="20B4F970" w14:textId="77777777" w:rsidR="00566EB9" w:rsidRPr="002D79F6" w:rsidRDefault="00566EB9" w:rsidP="007811FC">
      <w:pPr>
        <w:spacing w:line="360" w:lineRule="auto"/>
        <w:jc w:val="both"/>
        <w:rPr>
          <w:rFonts w:ascii="Palatino Linotype" w:eastAsia="Palatino Linotype" w:hAnsi="Palatino Linotype" w:cs="Palatino Linotype"/>
          <w:sz w:val="22"/>
          <w:szCs w:val="22"/>
        </w:rPr>
      </w:pPr>
    </w:p>
    <w:p w14:paraId="59D1F85B" w14:textId="77777777" w:rsidR="00566EB9" w:rsidRPr="002D79F6" w:rsidRDefault="00566EB9" w:rsidP="007811FC">
      <w:pPr>
        <w:spacing w:line="360" w:lineRule="auto"/>
        <w:jc w:val="both"/>
        <w:rPr>
          <w:rFonts w:ascii="Palatino Linotype" w:eastAsia="Palatino Linotype" w:hAnsi="Palatino Linotype" w:cs="Palatino Linotype"/>
          <w:sz w:val="22"/>
          <w:szCs w:val="22"/>
        </w:rPr>
      </w:pPr>
    </w:p>
    <w:p w14:paraId="67319D83" w14:textId="77777777" w:rsidR="00566EB9" w:rsidRPr="002D79F6" w:rsidRDefault="00566EB9" w:rsidP="007811FC">
      <w:pPr>
        <w:spacing w:line="360" w:lineRule="auto"/>
        <w:jc w:val="both"/>
        <w:rPr>
          <w:rFonts w:ascii="Palatino Linotype" w:eastAsia="Palatino Linotype" w:hAnsi="Palatino Linotype" w:cs="Palatino Linotype"/>
          <w:sz w:val="22"/>
          <w:szCs w:val="22"/>
        </w:rPr>
      </w:pPr>
    </w:p>
    <w:p w14:paraId="75749E5A" w14:textId="77777777" w:rsidR="00566EB9" w:rsidRPr="002D79F6" w:rsidRDefault="00566EB9" w:rsidP="007811FC">
      <w:pPr>
        <w:spacing w:line="360" w:lineRule="auto"/>
        <w:jc w:val="both"/>
        <w:rPr>
          <w:rFonts w:ascii="Palatino Linotype" w:eastAsia="Palatino Linotype" w:hAnsi="Palatino Linotype" w:cs="Palatino Linotype"/>
          <w:sz w:val="22"/>
          <w:szCs w:val="22"/>
        </w:rPr>
      </w:pPr>
    </w:p>
    <w:p w14:paraId="15EBD4E4" w14:textId="77777777" w:rsidR="00566EB9" w:rsidRPr="002D79F6" w:rsidRDefault="00566EB9" w:rsidP="007811FC">
      <w:pPr>
        <w:spacing w:line="360" w:lineRule="auto"/>
        <w:jc w:val="both"/>
        <w:rPr>
          <w:rFonts w:ascii="Palatino Linotype" w:eastAsia="Palatino Linotype" w:hAnsi="Palatino Linotype" w:cs="Palatino Linotype"/>
          <w:sz w:val="22"/>
          <w:szCs w:val="22"/>
        </w:rPr>
      </w:pPr>
    </w:p>
    <w:p w14:paraId="1352DB6A" w14:textId="77777777" w:rsidR="00566EB9" w:rsidRPr="002D79F6" w:rsidRDefault="00566EB9" w:rsidP="007811FC">
      <w:pPr>
        <w:spacing w:line="360" w:lineRule="auto"/>
        <w:jc w:val="both"/>
        <w:rPr>
          <w:rFonts w:ascii="Palatino Linotype" w:eastAsia="Palatino Linotype" w:hAnsi="Palatino Linotype" w:cs="Palatino Linotype"/>
          <w:sz w:val="22"/>
          <w:szCs w:val="22"/>
        </w:rPr>
      </w:pPr>
    </w:p>
    <w:p w14:paraId="6FDFC42C" w14:textId="77777777" w:rsidR="00566EB9" w:rsidRPr="002D79F6" w:rsidRDefault="00566EB9" w:rsidP="007811FC">
      <w:pPr>
        <w:spacing w:line="360" w:lineRule="auto"/>
        <w:jc w:val="both"/>
        <w:rPr>
          <w:rFonts w:ascii="Palatino Linotype" w:eastAsia="Palatino Linotype" w:hAnsi="Palatino Linotype" w:cs="Palatino Linotype"/>
          <w:sz w:val="22"/>
          <w:szCs w:val="22"/>
        </w:rPr>
      </w:pPr>
    </w:p>
    <w:p w14:paraId="7675C48A" w14:textId="77777777" w:rsidR="00566EB9" w:rsidRPr="002D79F6" w:rsidRDefault="00566EB9" w:rsidP="007811FC">
      <w:pPr>
        <w:spacing w:line="360" w:lineRule="auto"/>
        <w:jc w:val="both"/>
        <w:rPr>
          <w:rFonts w:ascii="Palatino Linotype" w:eastAsia="Palatino Linotype" w:hAnsi="Palatino Linotype" w:cs="Palatino Linotype"/>
          <w:sz w:val="22"/>
          <w:szCs w:val="22"/>
        </w:rPr>
      </w:pPr>
    </w:p>
    <w:p w14:paraId="1F01EC61" w14:textId="77777777" w:rsidR="00566EB9" w:rsidRPr="002D79F6" w:rsidRDefault="00566EB9" w:rsidP="007811FC">
      <w:pPr>
        <w:spacing w:line="360" w:lineRule="auto"/>
        <w:jc w:val="both"/>
        <w:rPr>
          <w:rFonts w:ascii="Palatino Linotype" w:eastAsia="Palatino Linotype" w:hAnsi="Palatino Linotype" w:cs="Palatino Linotype"/>
          <w:sz w:val="22"/>
          <w:szCs w:val="22"/>
        </w:rPr>
      </w:pPr>
    </w:p>
    <w:p w14:paraId="27D5FDA9" w14:textId="77777777" w:rsidR="00566EB9" w:rsidRPr="002D79F6" w:rsidRDefault="00566EB9" w:rsidP="007811FC">
      <w:pPr>
        <w:spacing w:line="360" w:lineRule="auto"/>
        <w:jc w:val="both"/>
        <w:rPr>
          <w:rFonts w:ascii="Palatino Linotype" w:eastAsia="Palatino Linotype" w:hAnsi="Palatino Linotype" w:cs="Palatino Linotype"/>
          <w:sz w:val="22"/>
          <w:szCs w:val="22"/>
        </w:rPr>
      </w:pPr>
    </w:p>
    <w:p w14:paraId="57710D9E" w14:textId="77777777" w:rsidR="00566EB9" w:rsidRPr="002D79F6" w:rsidRDefault="00566EB9" w:rsidP="007811FC">
      <w:pPr>
        <w:spacing w:line="360" w:lineRule="auto"/>
        <w:jc w:val="both"/>
        <w:rPr>
          <w:rFonts w:ascii="Palatino Linotype" w:eastAsia="Palatino Linotype" w:hAnsi="Palatino Linotype" w:cs="Palatino Linotype"/>
          <w:sz w:val="22"/>
          <w:szCs w:val="22"/>
        </w:rPr>
      </w:pPr>
    </w:p>
    <w:p w14:paraId="27243C58" w14:textId="77777777" w:rsidR="00566EB9" w:rsidRPr="002D79F6" w:rsidRDefault="00566EB9" w:rsidP="007811FC">
      <w:pPr>
        <w:spacing w:line="360" w:lineRule="auto"/>
        <w:jc w:val="both"/>
        <w:rPr>
          <w:rFonts w:ascii="Palatino Linotype" w:eastAsia="Palatino Linotype" w:hAnsi="Palatino Linotype" w:cs="Palatino Linotype"/>
          <w:sz w:val="22"/>
          <w:szCs w:val="22"/>
        </w:rPr>
      </w:pPr>
    </w:p>
    <w:p w14:paraId="342BBC8F" w14:textId="77777777" w:rsidR="00566EB9" w:rsidRPr="002D79F6" w:rsidRDefault="00566EB9" w:rsidP="007811FC">
      <w:pPr>
        <w:spacing w:line="360" w:lineRule="auto"/>
        <w:jc w:val="both"/>
        <w:rPr>
          <w:rFonts w:ascii="Palatino Linotype" w:eastAsia="Palatino Linotype" w:hAnsi="Palatino Linotype" w:cs="Palatino Linotype"/>
          <w:sz w:val="22"/>
          <w:szCs w:val="22"/>
        </w:rPr>
      </w:pPr>
    </w:p>
    <w:p w14:paraId="0CED8375" w14:textId="77777777" w:rsidR="00566EB9" w:rsidRPr="002D79F6" w:rsidRDefault="00566EB9" w:rsidP="007811FC">
      <w:pPr>
        <w:spacing w:line="360" w:lineRule="auto"/>
        <w:jc w:val="both"/>
        <w:rPr>
          <w:rFonts w:ascii="Palatino Linotype" w:eastAsia="Palatino Linotype" w:hAnsi="Palatino Linotype" w:cs="Palatino Linotype"/>
          <w:sz w:val="22"/>
          <w:szCs w:val="22"/>
        </w:rPr>
      </w:pPr>
    </w:p>
    <w:p w14:paraId="0ED8DA40" w14:textId="77777777" w:rsidR="00566EB9" w:rsidRPr="002D79F6" w:rsidRDefault="00566EB9" w:rsidP="007811FC">
      <w:pPr>
        <w:spacing w:line="360" w:lineRule="auto"/>
        <w:jc w:val="both"/>
        <w:rPr>
          <w:rFonts w:ascii="Palatino Linotype" w:eastAsia="Palatino Linotype" w:hAnsi="Palatino Linotype" w:cs="Palatino Linotype"/>
          <w:sz w:val="22"/>
          <w:szCs w:val="22"/>
        </w:rPr>
      </w:pPr>
    </w:p>
    <w:p w14:paraId="30398C50" w14:textId="77777777" w:rsidR="00566EB9" w:rsidRPr="002D79F6" w:rsidRDefault="00566EB9" w:rsidP="007811FC">
      <w:pPr>
        <w:spacing w:line="360" w:lineRule="auto"/>
        <w:jc w:val="both"/>
        <w:rPr>
          <w:rFonts w:ascii="Palatino Linotype" w:eastAsia="Palatino Linotype" w:hAnsi="Palatino Linotype" w:cs="Palatino Linotype"/>
          <w:sz w:val="22"/>
          <w:szCs w:val="22"/>
        </w:rPr>
      </w:pPr>
    </w:p>
    <w:p w14:paraId="2AC8A258" w14:textId="77777777" w:rsidR="00566EB9" w:rsidRPr="002D79F6" w:rsidRDefault="00566EB9" w:rsidP="007811FC">
      <w:pPr>
        <w:spacing w:line="360" w:lineRule="auto"/>
        <w:jc w:val="both"/>
        <w:rPr>
          <w:rFonts w:ascii="Palatino Linotype" w:eastAsia="Palatino Linotype" w:hAnsi="Palatino Linotype" w:cs="Palatino Linotype"/>
          <w:sz w:val="22"/>
          <w:szCs w:val="22"/>
        </w:rPr>
      </w:pPr>
    </w:p>
    <w:p w14:paraId="6E08D62B" w14:textId="77777777" w:rsidR="00566EB9" w:rsidRPr="002D79F6" w:rsidRDefault="00566EB9" w:rsidP="007811FC">
      <w:pPr>
        <w:spacing w:line="360" w:lineRule="auto"/>
        <w:jc w:val="both"/>
        <w:rPr>
          <w:rFonts w:ascii="Palatino Linotype" w:eastAsia="Palatino Linotype" w:hAnsi="Palatino Linotype" w:cs="Palatino Linotype"/>
          <w:sz w:val="22"/>
          <w:szCs w:val="22"/>
        </w:rPr>
      </w:pPr>
    </w:p>
    <w:p w14:paraId="640D2568" w14:textId="77777777" w:rsidR="00566EB9" w:rsidRPr="002D79F6" w:rsidRDefault="00566EB9" w:rsidP="007811FC">
      <w:pPr>
        <w:spacing w:line="360" w:lineRule="auto"/>
        <w:jc w:val="both"/>
        <w:rPr>
          <w:rFonts w:ascii="Palatino Linotype" w:eastAsia="Palatino Linotype" w:hAnsi="Palatino Linotype" w:cs="Palatino Linotype"/>
          <w:sz w:val="22"/>
          <w:szCs w:val="22"/>
        </w:rPr>
      </w:pPr>
    </w:p>
    <w:p w14:paraId="6760F54C" w14:textId="77777777" w:rsidR="00566EB9" w:rsidRPr="002D79F6" w:rsidRDefault="00566EB9" w:rsidP="007811FC">
      <w:pPr>
        <w:spacing w:line="360" w:lineRule="auto"/>
        <w:jc w:val="both"/>
        <w:rPr>
          <w:rFonts w:ascii="Palatino Linotype" w:eastAsia="Palatino Linotype" w:hAnsi="Palatino Linotype" w:cs="Palatino Linotype"/>
          <w:sz w:val="22"/>
          <w:szCs w:val="22"/>
        </w:rPr>
      </w:pPr>
    </w:p>
    <w:sectPr w:rsidR="00566EB9" w:rsidRPr="002D79F6">
      <w:headerReference w:type="default" r:id="rId11"/>
      <w:footerReference w:type="default" r:id="rId12"/>
      <w:headerReference w:type="first" r:id="rId13"/>
      <w:footerReference w:type="first" r:id="rId14"/>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1DFE6E" w14:textId="77777777" w:rsidR="00820B69" w:rsidRDefault="00820B69">
      <w:r>
        <w:separator/>
      </w:r>
    </w:p>
  </w:endnote>
  <w:endnote w:type="continuationSeparator" w:id="0">
    <w:p w14:paraId="39C678B3" w14:textId="77777777" w:rsidR="00820B69" w:rsidRDefault="00820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20FEE" w14:textId="49417E8F" w:rsidR="00E83E7D" w:rsidRDefault="00E83E7D">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94572E">
      <w:rPr>
        <w:rFonts w:ascii="Palatino Linotype" w:eastAsia="Palatino Linotype" w:hAnsi="Palatino Linotype" w:cs="Palatino Linotype"/>
        <w:b/>
        <w:noProof/>
        <w:color w:val="000000"/>
        <w:sz w:val="20"/>
        <w:szCs w:val="20"/>
      </w:rPr>
      <w:t>4</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94572E">
      <w:rPr>
        <w:rFonts w:ascii="Palatino Linotype" w:eastAsia="Palatino Linotype" w:hAnsi="Palatino Linotype" w:cs="Palatino Linotype"/>
        <w:b/>
        <w:noProof/>
        <w:color w:val="000000"/>
        <w:sz w:val="20"/>
        <w:szCs w:val="20"/>
      </w:rPr>
      <w:t>21</w:t>
    </w:r>
    <w:r>
      <w:rPr>
        <w:rFonts w:ascii="Palatino Linotype" w:eastAsia="Palatino Linotype" w:hAnsi="Palatino Linotype" w:cs="Palatino Linotype"/>
        <w:b/>
        <w:color w:val="000000"/>
        <w:sz w:val="20"/>
        <w:szCs w:val="20"/>
      </w:rPr>
      <w:fldChar w:fldCharType="end"/>
    </w:r>
  </w:p>
  <w:p w14:paraId="75EA14AB" w14:textId="77777777" w:rsidR="00E83E7D" w:rsidRDefault="00E83E7D">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4A6EB" w14:textId="5D5571EA" w:rsidR="00E83E7D" w:rsidRDefault="00E83E7D">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94572E">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94572E">
      <w:rPr>
        <w:rFonts w:ascii="Palatino Linotype" w:eastAsia="Palatino Linotype" w:hAnsi="Palatino Linotype" w:cs="Palatino Linotype"/>
        <w:b/>
        <w:noProof/>
        <w:color w:val="000000"/>
        <w:sz w:val="20"/>
        <w:szCs w:val="20"/>
      </w:rPr>
      <w:t>21</w:t>
    </w:r>
    <w:r>
      <w:rPr>
        <w:rFonts w:ascii="Palatino Linotype" w:eastAsia="Palatino Linotype" w:hAnsi="Palatino Linotype" w:cs="Palatino Linotype"/>
        <w:b/>
        <w:color w:val="000000"/>
        <w:sz w:val="20"/>
        <w:szCs w:val="20"/>
      </w:rPr>
      <w:fldChar w:fldCharType="end"/>
    </w:r>
  </w:p>
  <w:p w14:paraId="78844A60" w14:textId="77777777" w:rsidR="00E83E7D" w:rsidRDefault="00E83E7D">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645E79" w14:textId="77777777" w:rsidR="00820B69" w:rsidRDefault="00820B69">
      <w:r>
        <w:separator/>
      </w:r>
    </w:p>
  </w:footnote>
  <w:footnote w:type="continuationSeparator" w:id="0">
    <w:p w14:paraId="20356603" w14:textId="77777777" w:rsidR="00820B69" w:rsidRDefault="00820B6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E653D" w14:textId="3D9D7901" w:rsidR="00E83E7D" w:rsidRDefault="00E83E7D">
    <w:pPr>
      <w:rPr>
        <w:rFonts w:ascii="Cambria" w:eastAsia="Cambria" w:hAnsi="Cambria" w:cs="Cambria"/>
        <w:color w:val="000000"/>
      </w:rPr>
    </w:pPr>
    <w:r w:rsidRPr="00AD0BFE">
      <w:rPr>
        <w:noProof/>
        <w:color w:val="000000" w:themeColor="text1"/>
      </w:rPr>
      <w:drawing>
        <wp:anchor distT="0" distB="0" distL="0" distR="0" simplePos="0" relativeHeight="251658240" behindDoc="1" locked="0" layoutInCell="1" hidden="0" allowOverlap="1" wp14:anchorId="07C82F4A" wp14:editId="2A48F798">
          <wp:simplePos x="0" y="0"/>
          <wp:positionH relativeFrom="column">
            <wp:posOffset>-561975</wp:posOffset>
          </wp:positionH>
          <wp:positionV relativeFrom="paragraph">
            <wp:posOffset>-487680</wp:posOffset>
          </wp:positionV>
          <wp:extent cx="7809865" cy="10165715"/>
          <wp:effectExtent l="0" t="0" r="635" b="6985"/>
          <wp:wrapNone/>
          <wp:docPr id="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14:sizeRelH relativeFrom="margin">
            <wp14:pctWidth>0</wp14:pctWidth>
          </wp14:sizeRelH>
          <wp14:sizeRelV relativeFrom="margin">
            <wp14:pctHeight>0</wp14:pctHeight>
          </wp14:sizeRelV>
        </wp:anchor>
      </w:drawing>
    </w:r>
  </w:p>
  <w:tbl>
    <w:tblPr>
      <w:tblStyle w:val="a5"/>
      <w:tblW w:w="7087" w:type="dxa"/>
      <w:tblInd w:w="3261" w:type="dxa"/>
      <w:tblLayout w:type="fixed"/>
      <w:tblLook w:val="0400" w:firstRow="0" w:lastRow="0" w:firstColumn="0" w:lastColumn="0" w:noHBand="0" w:noVBand="1"/>
    </w:tblPr>
    <w:tblGrid>
      <w:gridCol w:w="2489"/>
      <w:gridCol w:w="4598"/>
    </w:tblGrid>
    <w:tr w:rsidR="00E83E7D" w14:paraId="7556AAA7" w14:textId="77777777">
      <w:tc>
        <w:tcPr>
          <w:tcW w:w="2489" w:type="dxa"/>
          <w:shd w:val="clear" w:color="auto" w:fill="auto"/>
        </w:tcPr>
        <w:p w14:paraId="456E930D" w14:textId="77777777" w:rsidR="00E83E7D" w:rsidRDefault="00E83E7D">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598" w:type="dxa"/>
          <w:shd w:val="clear" w:color="auto" w:fill="auto"/>
          <w:vAlign w:val="center"/>
        </w:tcPr>
        <w:p w14:paraId="1842FA5C" w14:textId="04E656F7" w:rsidR="00E83E7D" w:rsidRDefault="00E83E7D" w:rsidP="00AC3153">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color w:val="000000" w:themeColor="text1"/>
              <w:sz w:val="22"/>
              <w:szCs w:val="22"/>
            </w:rPr>
            <w:t>08264</w:t>
          </w:r>
          <w:r w:rsidRPr="00AD0BFE">
            <w:rPr>
              <w:rFonts w:ascii="Palatino Linotype" w:eastAsia="Palatino Linotype" w:hAnsi="Palatino Linotype" w:cs="Palatino Linotype"/>
              <w:b/>
              <w:color w:val="000000" w:themeColor="text1"/>
              <w:sz w:val="22"/>
              <w:szCs w:val="22"/>
            </w:rPr>
            <w:t>/INFOEM/IP/RR/2025</w:t>
          </w:r>
          <w:r w:rsidRPr="00E34471">
            <w:rPr>
              <w:rFonts w:ascii="Palatino Linotype" w:eastAsia="Palatino Linotype" w:hAnsi="Palatino Linotype" w:cs="Palatino Linotype"/>
              <w:b/>
              <w:sz w:val="22"/>
              <w:szCs w:val="22"/>
            </w:rPr>
            <w:t xml:space="preserve"> </w:t>
          </w:r>
        </w:p>
        <w:p w14:paraId="3E0C34E9" w14:textId="5C8B5677" w:rsidR="00E83E7D" w:rsidRDefault="00E83E7D" w:rsidP="00AC3153">
          <w:pPr>
            <w:ind w:right="175"/>
            <w:jc w:val="both"/>
            <w:rPr>
              <w:rFonts w:ascii="Palatino Linotype" w:eastAsia="Palatino Linotype" w:hAnsi="Palatino Linotype" w:cs="Palatino Linotype"/>
              <w:b/>
              <w:sz w:val="22"/>
              <w:szCs w:val="22"/>
            </w:rPr>
          </w:pPr>
          <w:r w:rsidRPr="00E34471">
            <w:rPr>
              <w:rFonts w:ascii="Palatino Linotype" w:eastAsia="Palatino Linotype" w:hAnsi="Palatino Linotype" w:cs="Palatino Linotype"/>
              <w:b/>
              <w:color w:val="000000" w:themeColor="text1"/>
              <w:sz w:val="22"/>
              <w:szCs w:val="22"/>
            </w:rPr>
            <w:t>y acumulados</w:t>
          </w:r>
        </w:p>
      </w:tc>
    </w:tr>
    <w:tr w:rsidR="00E83E7D" w14:paraId="625B5BC5" w14:textId="77777777">
      <w:trPr>
        <w:trHeight w:val="228"/>
      </w:trPr>
      <w:tc>
        <w:tcPr>
          <w:tcW w:w="2489" w:type="dxa"/>
          <w:shd w:val="clear" w:color="auto" w:fill="auto"/>
          <w:vAlign w:val="center"/>
        </w:tcPr>
        <w:p w14:paraId="18DDCAF9" w14:textId="77777777" w:rsidR="00E83E7D" w:rsidRDefault="00E83E7D">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598" w:type="dxa"/>
          <w:shd w:val="clear" w:color="auto" w:fill="auto"/>
          <w:vAlign w:val="center"/>
        </w:tcPr>
        <w:p w14:paraId="0FC06124" w14:textId="59009831" w:rsidR="00E83E7D" w:rsidRDefault="00E83E7D" w:rsidP="008279BF">
          <w:pPr>
            <w:ind w:left="-45" w:right="1586"/>
            <w:jc w:val="both"/>
            <w:rPr>
              <w:rFonts w:ascii="Palatino Linotype" w:eastAsia="Palatino Linotype" w:hAnsi="Palatino Linotype" w:cs="Palatino Linotype"/>
              <w:b/>
              <w:sz w:val="22"/>
              <w:szCs w:val="22"/>
            </w:rPr>
          </w:pPr>
          <w:r>
            <w:rPr>
              <w:rFonts w:ascii="Palatino Linotype" w:eastAsia="Palatino Linotype" w:hAnsi="Palatino Linotype" w:cs="Palatino Linotype"/>
              <w:b/>
              <w:bCs/>
              <w:sz w:val="22"/>
              <w:szCs w:val="22"/>
            </w:rPr>
            <w:t>Ayuntamiento de Teoloyucan</w:t>
          </w:r>
        </w:p>
      </w:tc>
    </w:tr>
    <w:tr w:rsidR="00E83E7D" w14:paraId="5A94D834" w14:textId="77777777">
      <w:tc>
        <w:tcPr>
          <w:tcW w:w="2489" w:type="dxa"/>
          <w:shd w:val="clear" w:color="auto" w:fill="auto"/>
          <w:vAlign w:val="center"/>
        </w:tcPr>
        <w:p w14:paraId="65DC8F86" w14:textId="77777777" w:rsidR="00E83E7D" w:rsidRDefault="00E83E7D">
          <w:pPr>
            <w:ind w:right="-108"/>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4598" w:type="dxa"/>
          <w:shd w:val="clear" w:color="auto" w:fill="auto"/>
          <w:vAlign w:val="center"/>
        </w:tcPr>
        <w:p w14:paraId="597AE44A" w14:textId="77777777" w:rsidR="00E83E7D" w:rsidRDefault="00E83E7D">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1B371D42" w14:textId="77777777" w:rsidR="00E83E7D" w:rsidRDefault="00E83E7D">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3966C" w14:textId="77777777" w:rsidR="00E83E7D" w:rsidRDefault="00E83E7D">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r>
      <w:rPr>
        <w:noProof/>
      </w:rPr>
      <w:drawing>
        <wp:anchor distT="0" distB="0" distL="0" distR="0" simplePos="0" relativeHeight="251659264" behindDoc="1" locked="0" layoutInCell="1" hidden="0" allowOverlap="1" wp14:anchorId="737B1A01" wp14:editId="5565C12A">
          <wp:simplePos x="0" y="0"/>
          <wp:positionH relativeFrom="column">
            <wp:posOffset>-1079485</wp:posOffset>
          </wp:positionH>
          <wp:positionV relativeFrom="paragraph">
            <wp:posOffset>-328913</wp:posOffset>
          </wp:positionV>
          <wp:extent cx="7809865" cy="10165715"/>
          <wp:effectExtent l="0" t="0" r="0" b="0"/>
          <wp:wrapNone/>
          <wp:docPr id="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14:sizeRelH relativeFrom="margin">
            <wp14:pctWidth>0</wp14:pctWidth>
          </wp14:sizeRelH>
          <wp14:sizeRelV relativeFrom="margin">
            <wp14:pctHeight>0</wp14:pctHeight>
          </wp14:sizeRelV>
        </wp:anchor>
      </w:drawing>
    </w:r>
  </w:p>
  <w:tbl>
    <w:tblPr>
      <w:tblStyle w:val="a6"/>
      <w:tblW w:w="6945" w:type="dxa"/>
      <w:tblInd w:w="3261" w:type="dxa"/>
      <w:tblLayout w:type="fixed"/>
      <w:tblLook w:val="0400" w:firstRow="0" w:lastRow="0" w:firstColumn="0" w:lastColumn="0" w:noHBand="0" w:noVBand="1"/>
    </w:tblPr>
    <w:tblGrid>
      <w:gridCol w:w="2551"/>
      <w:gridCol w:w="4394"/>
    </w:tblGrid>
    <w:tr w:rsidR="00E83E7D" w14:paraId="626C0E2F" w14:textId="77777777">
      <w:tc>
        <w:tcPr>
          <w:tcW w:w="2551" w:type="dxa"/>
          <w:shd w:val="clear" w:color="auto" w:fill="auto"/>
          <w:vAlign w:val="center"/>
        </w:tcPr>
        <w:p w14:paraId="588E5159" w14:textId="77777777" w:rsidR="00E83E7D" w:rsidRDefault="00E83E7D">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394" w:type="dxa"/>
          <w:shd w:val="clear" w:color="auto" w:fill="auto"/>
          <w:vAlign w:val="center"/>
        </w:tcPr>
        <w:p w14:paraId="64464737" w14:textId="202F0CFB" w:rsidR="00E83E7D" w:rsidRDefault="00E83E7D" w:rsidP="00AC3153">
          <w:pPr>
            <w:tabs>
              <w:tab w:val="left" w:pos="3153"/>
            </w:tabs>
            <w:ind w:left="-4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08264/INFOEM/IP/RR/2025 </w:t>
          </w:r>
        </w:p>
        <w:p w14:paraId="66D3B24C" w14:textId="7726ECA2" w:rsidR="00E83E7D" w:rsidRDefault="00E83E7D" w:rsidP="00AC3153">
          <w:pPr>
            <w:tabs>
              <w:tab w:val="left" w:pos="3153"/>
            </w:tabs>
            <w:ind w:left="-4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y acumulados</w:t>
          </w:r>
        </w:p>
      </w:tc>
    </w:tr>
    <w:tr w:rsidR="00E83E7D" w14:paraId="600191AD" w14:textId="77777777">
      <w:trPr>
        <w:trHeight w:val="130"/>
      </w:trPr>
      <w:tc>
        <w:tcPr>
          <w:tcW w:w="2551" w:type="dxa"/>
          <w:shd w:val="clear" w:color="auto" w:fill="auto"/>
          <w:vAlign w:val="center"/>
        </w:tcPr>
        <w:p w14:paraId="66691596" w14:textId="77777777" w:rsidR="00E83E7D" w:rsidRDefault="00E83E7D">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4394" w:type="dxa"/>
          <w:shd w:val="clear" w:color="auto" w:fill="auto"/>
          <w:vAlign w:val="center"/>
        </w:tcPr>
        <w:p w14:paraId="686E06A3" w14:textId="136A5D60" w:rsidR="00E83E7D" w:rsidRDefault="0094572E" w:rsidP="0094572E">
          <w:pPr>
            <w:ind w:left="-45" w:right="1444"/>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XXXX XXXXXX XXXXX </w:t>
          </w:r>
        </w:p>
      </w:tc>
    </w:tr>
    <w:tr w:rsidR="00E83E7D" w14:paraId="68112254" w14:textId="77777777">
      <w:trPr>
        <w:trHeight w:val="228"/>
      </w:trPr>
      <w:tc>
        <w:tcPr>
          <w:tcW w:w="2551" w:type="dxa"/>
          <w:shd w:val="clear" w:color="auto" w:fill="auto"/>
          <w:vAlign w:val="center"/>
        </w:tcPr>
        <w:p w14:paraId="373E7A5B" w14:textId="77777777" w:rsidR="00E83E7D" w:rsidRDefault="00E83E7D">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394" w:type="dxa"/>
          <w:shd w:val="clear" w:color="auto" w:fill="auto"/>
          <w:vAlign w:val="center"/>
        </w:tcPr>
        <w:p w14:paraId="72E8CD19" w14:textId="3C9E4D97" w:rsidR="00E83E7D" w:rsidRDefault="00E83E7D" w:rsidP="00F00532">
          <w:pPr>
            <w:ind w:left="-45" w:right="1586"/>
            <w:jc w:val="both"/>
            <w:rPr>
              <w:rFonts w:ascii="Palatino Linotype" w:eastAsia="Palatino Linotype" w:hAnsi="Palatino Linotype" w:cs="Palatino Linotype"/>
              <w:b/>
              <w:sz w:val="22"/>
              <w:szCs w:val="22"/>
            </w:rPr>
          </w:pPr>
          <w:r>
            <w:rPr>
              <w:rFonts w:ascii="Palatino Linotype" w:eastAsia="Palatino Linotype" w:hAnsi="Palatino Linotype" w:cs="Palatino Linotype"/>
              <w:b/>
              <w:bCs/>
              <w:sz w:val="22"/>
              <w:szCs w:val="22"/>
            </w:rPr>
            <w:t>Ayuntamiento de Teoloyucan</w:t>
          </w:r>
        </w:p>
      </w:tc>
    </w:tr>
    <w:tr w:rsidR="00E83E7D" w14:paraId="38DC658C" w14:textId="77777777">
      <w:tc>
        <w:tcPr>
          <w:tcW w:w="2551" w:type="dxa"/>
          <w:shd w:val="clear" w:color="auto" w:fill="auto"/>
          <w:vAlign w:val="center"/>
        </w:tcPr>
        <w:p w14:paraId="745EE03B" w14:textId="77777777" w:rsidR="00E83E7D" w:rsidRDefault="00E83E7D">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4394" w:type="dxa"/>
          <w:shd w:val="clear" w:color="auto" w:fill="auto"/>
          <w:vAlign w:val="center"/>
        </w:tcPr>
        <w:p w14:paraId="76CD30F7" w14:textId="77777777" w:rsidR="00E83E7D" w:rsidRDefault="00E83E7D">
          <w:pPr>
            <w:ind w:left="-45" w:right="-533"/>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7A308266" w14:textId="77777777" w:rsidR="00E83E7D" w:rsidRDefault="00E83E7D">
    <w:pPr>
      <w:pBdr>
        <w:top w:val="nil"/>
        <w:left w:val="nil"/>
        <w:bottom w:val="nil"/>
        <w:right w:val="nil"/>
        <w:between w:val="nil"/>
      </w:pBdr>
      <w:tabs>
        <w:tab w:val="center" w:pos="4252"/>
        <w:tab w:val="right" w:pos="8504"/>
      </w:tabs>
      <w:rPr>
        <w:rFonts w:ascii="Cambria" w:eastAsia="Cambria" w:hAnsi="Cambria" w:cs="Cambria"/>
        <w:color w:val="000000"/>
      </w:rPr>
    </w:pPr>
  </w:p>
  <w:p w14:paraId="32077B64" w14:textId="77777777" w:rsidR="00E83E7D" w:rsidRDefault="00E83E7D"/>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01CE9"/>
    <w:multiLevelType w:val="multilevel"/>
    <w:tmpl w:val="96B62F4E"/>
    <w:lvl w:ilvl="0">
      <w:start w:val="1"/>
      <w:numFmt w:val="lowerLetter"/>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0E494923"/>
    <w:multiLevelType w:val="multilevel"/>
    <w:tmpl w:val="0C428820"/>
    <w:lvl w:ilvl="0">
      <w:start w:val="6"/>
      <w:numFmt w:val="bullet"/>
      <w:pStyle w:val="Listaconvietas3"/>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F5E4EB8"/>
    <w:multiLevelType w:val="multilevel"/>
    <w:tmpl w:val="6B0ADB64"/>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0F990F53"/>
    <w:multiLevelType w:val="hybridMultilevel"/>
    <w:tmpl w:val="25F46C5A"/>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112A37E6"/>
    <w:multiLevelType w:val="hybridMultilevel"/>
    <w:tmpl w:val="AFC4A28A"/>
    <w:lvl w:ilvl="0" w:tplc="68309A3E">
      <w:start w:val="2788"/>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6074BE5"/>
    <w:multiLevelType w:val="multilevel"/>
    <w:tmpl w:val="BD4A4F70"/>
    <w:lvl w:ilvl="0">
      <w:start w:val="1"/>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6E90FFE"/>
    <w:multiLevelType w:val="multilevel"/>
    <w:tmpl w:val="625E093C"/>
    <w:lvl w:ilvl="0">
      <w:start w:val="1"/>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02B4D73"/>
    <w:multiLevelType w:val="multilevel"/>
    <w:tmpl w:val="17600E4A"/>
    <w:lvl w:ilvl="0">
      <w:start w:val="2"/>
      <w:numFmt w:val="bullet"/>
      <w:lvlText w:val="●"/>
      <w:lvlJc w:val="left"/>
      <w:pPr>
        <w:ind w:left="360" w:hanging="360"/>
      </w:pPr>
      <w:rPr>
        <w:rFonts w:ascii="Noto Sans Symbols" w:eastAsia="Noto Sans Symbols" w:hAnsi="Noto Sans Symbols" w:cs="Noto Sans Symbols"/>
        <w:b/>
        <w:i w:val="0"/>
        <w:color w:val="0D0D0D"/>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2A3745D7"/>
    <w:multiLevelType w:val="multilevel"/>
    <w:tmpl w:val="14A691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A8C6693"/>
    <w:multiLevelType w:val="hybridMultilevel"/>
    <w:tmpl w:val="B2588E38"/>
    <w:lvl w:ilvl="0" w:tplc="68309A3E">
      <w:start w:val="2788"/>
      <w:numFmt w:val="bullet"/>
      <w:lvlText w:val="-"/>
      <w:lvlJc w:val="left"/>
      <w:pPr>
        <w:ind w:left="360" w:hanging="360"/>
      </w:pPr>
      <w:rPr>
        <w:rFonts w:ascii="Palatino Linotype" w:eastAsia="Palatino Linotype" w:hAnsi="Palatino Linotype" w:cs="Palatino Linotype"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2AD620B6"/>
    <w:multiLevelType w:val="multilevel"/>
    <w:tmpl w:val="49443A4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31525069"/>
    <w:multiLevelType w:val="hybridMultilevel"/>
    <w:tmpl w:val="975C4B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17C20F6"/>
    <w:multiLevelType w:val="hybridMultilevel"/>
    <w:tmpl w:val="25F46C5A"/>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37C549BF"/>
    <w:multiLevelType w:val="hybridMultilevel"/>
    <w:tmpl w:val="CB1C904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40D86FB6"/>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1D66553"/>
    <w:multiLevelType w:val="hybridMultilevel"/>
    <w:tmpl w:val="F378E46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8D6097B"/>
    <w:multiLevelType w:val="multilevel"/>
    <w:tmpl w:val="DF6CADB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4A3E71D2"/>
    <w:multiLevelType w:val="multilevel"/>
    <w:tmpl w:val="CEC050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4A6C6321"/>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CAF0E3B"/>
    <w:multiLevelType w:val="hybridMultilevel"/>
    <w:tmpl w:val="3B2C84B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0" w15:restartNumberingAfterBreak="0">
    <w:nsid w:val="4D243603"/>
    <w:multiLevelType w:val="hybridMultilevel"/>
    <w:tmpl w:val="945C1B9E"/>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1" w15:restartNumberingAfterBreak="0">
    <w:nsid w:val="4E63667D"/>
    <w:multiLevelType w:val="hybridMultilevel"/>
    <w:tmpl w:val="51EA18C0"/>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2" w15:restartNumberingAfterBreak="0">
    <w:nsid w:val="551D0EC4"/>
    <w:multiLevelType w:val="hybridMultilevel"/>
    <w:tmpl w:val="25F46C5A"/>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3" w15:restartNumberingAfterBreak="0">
    <w:nsid w:val="5C2A788E"/>
    <w:multiLevelType w:val="hybridMultilevel"/>
    <w:tmpl w:val="975C4B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D5F5CE6"/>
    <w:multiLevelType w:val="hybridMultilevel"/>
    <w:tmpl w:val="53647BF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F8100E0"/>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FDF18F2"/>
    <w:multiLevelType w:val="hybridMultilevel"/>
    <w:tmpl w:val="B808A41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15:restartNumberingAfterBreak="0">
    <w:nsid w:val="6FF30428"/>
    <w:multiLevelType w:val="hybridMultilevel"/>
    <w:tmpl w:val="681C8D7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8" w15:restartNumberingAfterBreak="0">
    <w:nsid w:val="6FFB2FFA"/>
    <w:multiLevelType w:val="hybridMultilevel"/>
    <w:tmpl w:val="29D894BC"/>
    <w:lvl w:ilvl="0" w:tplc="E878C522">
      <w:start w:val="2788"/>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2E454D1"/>
    <w:multiLevelType w:val="hybridMultilevel"/>
    <w:tmpl w:val="39E20C3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2E91768"/>
    <w:multiLevelType w:val="hybridMultilevel"/>
    <w:tmpl w:val="07DAB0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3374847"/>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64B6FD1"/>
    <w:multiLevelType w:val="hybridMultilevel"/>
    <w:tmpl w:val="975C4B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AD16D47"/>
    <w:multiLevelType w:val="hybridMultilevel"/>
    <w:tmpl w:val="ED1E39F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F2B789D"/>
    <w:multiLevelType w:val="hybridMultilevel"/>
    <w:tmpl w:val="5A6446F8"/>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abstractNumId w:val="1"/>
  </w:num>
  <w:num w:numId="2">
    <w:abstractNumId w:val="19"/>
  </w:num>
  <w:num w:numId="3">
    <w:abstractNumId w:val="2"/>
  </w:num>
  <w:num w:numId="4">
    <w:abstractNumId w:val="7"/>
  </w:num>
  <w:num w:numId="5">
    <w:abstractNumId w:val="10"/>
  </w:num>
  <w:num w:numId="6">
    <w:abstractNumId w:val="16"/>
  </w:num>
  <w:num w:numId="7">
    <w:abstractNumId w:val="17"/>
  </w:num>
  <w:num w:numId="8">
    <w:abstractNumId w:val="5"/>
  </w:num>
  <w:num w:numId="9">
    <w:abstractNumId w:val="34"/>
  </w:num>
  <w:num w:numId="10">
    <w:abstractNumId w:val="4"/>
  </w:num>
  <w:num w:numId="11">
    <w:abstractNumId w:val="28"/>
  </w:num>
  <w:num w:numId="12">
    <w:abstractNumId w:val="9"/>
  </w:num>
  <w:num w:numId="13">
    <w:abstractNumId w:val="33"/>
  </w:num>
  <w:num w:numId="14">
    <w:abstractNumId w:val="6"/>
  </w:num>
  <w:num w:numId="15">
    <w:abstractNumId w:val="3"/>
  </w:num>
  <w:num w:numId="16">
    <w:abstractNumId w:val="26"/>
  </w:num>
  <w:num w:numId="17">
    <w:abstractNumId w:val="12"/>
  </w:num>
  <w:num w:numId="18">
    <w:abstractNumId w:val="22"/>
  </w:num>
  <w:num w:numId="19">
    <w:abstractNumId w:val="8"/>
  </w:num>
  <w:num w:numId="20">
    <w:abstractNumId w:val="21"/>
  </w:num>
  <w:num w:numId="21">
    <w:abstractNumId w:val="25"/>
  </w:num>
  <w:num w:numId="22">
    <w:abstractNumId w:val="18"/>
  </w:num>
  <w:num w:numId="23">
    <w:abstractNumId w:val="20"/>
  </w:num>
  <w:num w:numId="24">
    <w:abstractNumId w:val="14"/>
  </w:num>
  <w:num w:numId="25">
    <w:abstractNumId w:val="31"/>
  </w:num>
  <w:num w:numId="26">
    <w:abstractNumId w:val="24"/>
  </w:num>
  <w:num w:numId="27">
    <w:abstractNumId w:val="13"/>
  </w:num>
  <w:num w:numId="28">
    <w:abstractNumId w:val="29"/>
  </w:num>
  <w:num w:numId="29">
    <w:abstractNumId w:val="27"/>
  </w:num>
  <w:num w:numId="30">
    <w:abstractNumId w:val="23"/>
  </w:num>
  <w:num w:numId="31">
    <w:abstractNumId w:val="32"/>
  </w:num>
  <w:num w:numId="32">
    <w:abstractNumId w:val="11"/>
  </w:num>
  <w:num w:numId="33">
    <w:abstractNumId w:val="15"/>
  </w:num>
  <w:num w:numId="34">
    <w:abstractNumId w:val="30"/>
  </w:num>
  <w:num w:numId="35">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EB9"/>
    <w:rsid w:val="00000847"/>
    <w:rsid w:val="00005226"/>
    <w:rsid w:val="0001149F"/>
    <w:rsid w:val="0001513E"/>
    <w:rsid w:val="000237E1"/>
    <w:rsid w:val="00024AF6"/>
    <w:rsid w:val="0002687C"/>
    <w:rsid w:val="00030053"/>
    <w:rsid w:val="00031214"/>
    <w:rsid w:val="00036313"/>
    <w:rsid w:val="00045AA6"/>
    <w:rsid w:val="0005005A"/>
    <w:rsid w:val="00065415"/>
    <w:rsid w:val="00075098"/>
    <w:rsid w:val="0008100A"/>
    <w:rsid w:val="00083AB3"/>
    <w:rsid w:val="0009201F"/>
    <w:rsid w:val="00096417"/>
    <w:rsid w:val="000A17CD"/>
    <w:rsid w:val="000A2FD6"/>
    <w:rsid w:val="000A3BFD"/>
    <w:rsid w:val="000A7763"/>
    <w:rsid w:val="000B0012"/>
    <w:rsid w:val="000B25D7"/>
    <w:rsid w:val="000B7385"/>
    <w:rsid w:val="000C4823"/>
    <w:rsid w:val="000C7727"/>
    <w:rsid w:val="000D1D8E"/>
    <w:rsid w:val="000D757E"/>
    <w:rsid w:val="000D7A87"/>
    <w:rsid w:val="000E5E7B"/>
    <w:rsid w:val="001015A6"/>
    <w:rsid w:val="00102B0F"/>
    <w:rsid w:val="00113B92"/>
    <w:rsid w:val="0011437B"/>
    <w:rsid w:val="001175EE"/>
    <w:rsid w:val="00117BD3"/>
    <w:rsid w:val="0012216B"/>
    <w:rsid w:val="001226FF"/>
    <w:rsid w:val="00124DCE"/>
    <w:rsid w:val="00130ADB"/>
    <w:rsid w:val="00131C5B"/>
    <w:rsid w:val="001419AC"/>
    <w:rsid w:val="001420BA"/>
    <w:rsid w:val="001454E9"/>
    <w:rsid w:val="00150A7C"/>
    <w:rsid w:val="001528AE"/>
    <w:rsid w:val="0016332F"/>
    <w:rsid w:val="00164B97"/>
    <w:rsid w:val="00165869"/>
    <w:rsid w:val="0016688D"/>
    <w:rsid w:val="00167752"/>
    <w:rsid w:val="00172519"/>
    <w:rsid w:val="00175943"/>
    <w:rsid w:val="00177ED1"/>
    <w:rsid w:val="0018758A"/>
    <w:rsid w:val="0019373C"/>
    <w:rsid w:val="00194FDE"/>
    <w:rsid w:val="001A1C4A"/>
    <w:rsid w:val="001A5D10"/>
    <w:rsid w:val="001B4F9C"/>
    <w:rsid w:val="001B55EA"/>
    <w:rsid w:val="001C2F8A"/>
    <w:rsid w:val="001C3928"/>
    <w:rsid w:val="001D086F"/>
    <w:rsid w:val="001E078C"/>
    <w:rsid w:val="001E0B78"/>
    <w:rsid w:val="001E141A"/>
    <w:rsid w:val="001E1B7C"/>
    <w:rsid w:val="001E2F34"/>
    <w:rsid w:val="001E43F1"/>
    <w:rsid w:val="001E58C9"/>
    <w:rsid w:val="001F1B56"/>
    <w:rsid w:val="001F5948"/>
    <w:rsid w:val="002033C3"/>
    <w:rsid w:val="0020387D"/>
    <w:rsid w:val="00207F9D"/>
    <w:rsid w:val="0021100A"/>
    <w:rsid w:val="002133D6"/>
    <w:rsid w:val="002272D8"/>
    <w:rsid w:val="00227CCB"/>
    <w:rsid w:val="00232509"/>
    <w:rsid w:val="0023481C"/>
    <w:rsid w:val="00235555"/>
    <w:rsid w:val="002425BC"/>
    <w:rsid w:val="00243D88"/>
    <w:rsid w:val="0024432B"/>
    <w:rsid w:val="002500B2"/>
    <w:rsid w:val="00251055"/>
    <w:rsid w:val="00251B80"/>
    <w:rsid w:val="00254531"/>
    <w:rsid w:val="00254724"/>
    <w:rsid w:val="00270EDE"/>
    <w:rsid w:val="00271266"/>
    <w:rsid w:val="0028208A"/>
    <w:rsid w:val="0028295D"/>
    <w:rsid w:val="00283851"/>
    <w:rsid w:val="002840DC"/>
    <w:rsid w:val="00285B4A"/>
    <w:rsid w:val="0029522B"/>
    <w:rsid w:val="002959CE"/>
    <w:rsid w:val="002B03D6"/>
    <w:rsid w:val="002B0B84"/>
    <w:rsid w:val="002B2287"/>
    <w:rsid w:val="002B32B1"/>
    <w:rsid w:val="002B38D4"/>
    <w:rsid w:val="002B67FC"/>
    <w:rsid w:val="002B6843"/>
    <w:rsid w:val="002C2BE5"/>
    <w:rsid w:val="002D03D2"/>
    <w:rsid w:val="002D1509"/>
    <w:rsid w:val="002D79F6"/>
    <w:rsid w:val="002E13F4"/>
    <w:rsid w:val="002E67FA"/>
    <w:rsid w:val="002E6A40"/>
    <w:rsid w:val="003154B2"/>
    <w:rsid w:val="00315A9F"/>
    <w:rsid w:val="00315AC1"/>
    <w:rsid w:val="0031792E"/>
    <w:rsid w:val="0032148E"/>
    <w:rsid w:val="00321EA7"/>
    <w:rsid w:val="003234D3"/>
    <w:rsid w:val="00326383"/>
    <w:rsid w:val="00326509"/>
    <w:rsid w:val="003317C8"/>
    <w:rsid w:val="00331D0C"/>
    <w:rsid w:val="00331E90"/>
    <w:rsid w:val="00332A98"/>
    <w:rsid w:val="00333A75"/>
    <w:rsid w:val="00337C02"/>
    <w:rsid w:val="00343C31"/>
    <w:rsid w:val="003450E4"/>
    <w:rsid w:val="003477DE"/>
    <w:rsid w:val="003525EB"/>
    <w:rsid w:val="00352E0E"/>
    <w:rsid w:val="00354A9A"/>
    <w:rsid w:val="00354BAE"/>
    <w:rsid w:val="003616D6"/>
    <w:rsid w:val="00365DC1"/>
    <w:rsid w:val="00366B0E"/>
    <w:rsid w:val="00371A65"/>
    <w:rsid w:val="00373FA4"/>
    <w:rsid w:val="00375373"/>
    <w:rsid w:val="00375A51"/>
    <w:rsid w:val="003776AC"/>
    <w:rsid w:val="003838D6"/>
    <w:rsid w:val="00386B51"/>
    <w:rsid w:val="00390D4B"/>
    <w:rsid w:val="00391098"/>
    <w:rsid w:val="003911E0"/>
    <w:rsid w:val="00392E66"/>
    <w:rsid w:val="0039380A"/>
    <w:rsid w:val="00395B88"/>
    <w:rsid w:val="00395E7A"/>
    <w:rsid w:val="003A1DD2"/>
    <w:rsid w:val="003A6444"/>
    <w:rsid w:val="003B04BA"/>
    <w:rsid w:val="003B2F00"/>
    <w:rsid w:val="003C3BA5"/>
    <w:rsid w:val="003C3D32"/>
    <w:rsid w:val="003C62A7"/>
    <w:rsid w:val="003C6BE6"/>
    <w:rsid w:val="003C77E9"/>
    <w:rsid w:val="003D640F"/>
    <w:rsid w:val="003E6F40"/>
    <w:rsid w:val="003F0881"/>
    <w:rsid w:val="003F0A9C"/>
    <w:rsid w:val="003F126A"/>
    <w:rsid w:val="003F511A"/>
    <w:rsid w:val="003F579F"/>
    <w:rsid w:val="00405D29"/>
    <w:rsid w:val="00407864"/>
    <w:rsid w:val="00412BB6"/>
    <w:rsid w:val="00415225"/>
    <w:rsid w:val="00417D71"/>
    <w:rsid w:val="00420230"/>
    <w:rsid w:val="004272DD"/>
    <w:rsid w:val="00432A40"/>
    <w:rsid w:val="0044354A"/>
    <w:rsid w:val="00445DF1"/>
    <w:rsid w:val="00450912"/>
    <w:rsid w:val="00452E1E"/>
    <w:rsid w:val="00453E98"/>
    <w:rsid w:val="004545CF"/>
    <w:rsid w:val="00460C81"/>
    <w:rsid w:val="00481145"/>
    <w:rsid w:val="0049022B"/>
    <w:rsid w:val="004A210C"/>
    <w:rsid w:val="004A3976"/>
    <w:rsid w:val="004A3E71"/>
    <w:rsid w:val="004A5568"/>
    <w:rsid w:val="004B0AC7"/>
    <w:rsid w:val="004B63F5"/>
    <w:rsid w:val="004B6E8D"/>
    <w:rsid w:val="004C0BC8"/>
    <w:rsid w:val="004C4DBA"/>
    <w:rsid w:val="004C74A9"/>
    <w:rsid w:val="004D706F"/>
    <w:rsid w:val="004E1B00"/>
    <w:rsid w:val="004E6B75"/>
    <w:rsid w:val="004F5310"/>
    <w:rsid w:val="00517E0E"/>
    <w:rsid w:val="00527C07"/>
    <w:rsid w:val="0053297C"/>
    <w:rsid w:val="00534223"/>
    <w:rsid w:val="00546763"/>
    <w:rsid w:val="00551C8B"/>
    <w:rsid w:val="00555096"/>
    <w:rsid w:val="0056015E"/>
    <w:rsid w:val="00561A13"/>
    <w:rsid w:val="00563BFF"/>
    <w:rsid w:val="00563CA3"/>
    <w:rsid w:val="00566025"/>
    <w:rsid w:val="005663DE"/>
    <w:rsid w:val="00566EB9"/>
    <w:rsid w:val="005676DB"/>
    <w:rsid w:val="00573E0B"/>
    <w:rsid w:val="00590B17"/>
    <w:rsid w:val="00590C08"/>
    <w:rsid w:val="00590E3A"/>
    <w:rsid w:val="005930C1"/>
    <w:rsid w:val="005A2975"/>
    <w:rsid w:val="005B6A93"/>
    <w:rsid w:val="005B7414"/>
    <w:rsid w:val="005C5D8F"/>
    <w:rsid w:val="005C6922"/>
    <w:rsid w:val="005D2BC9"/>
    <w:rsid w:val="005D6747"/>
    <w:rsid w:val="005D6FD9"/>
    <w:rsid w:val="005D733D"/>
    <w:rsid w:val="005E5293"/>
    <w:rsid w:val="005E5CA3"/>
    <w:rsid w:val="005F1247"/>
    <w:rsid w:val="00605F57"/>
    <w:rsid w:val="0060718E"/>
    <w:rsid w:val="00613B10"/>
    <w:rsid w:val="00616C7F"/>
    <w:rsid w:val="00634BFC"/>
    <w:rsid w:val="00637A09"/>
    <w:rsid w:val="00646B8D"/>
    <w:rsid w:val="006507CF"/>
    <w:rsid w:val="006537C6"/>
    <w:rsid w:val="006540B3"/>
    <w:rsid w:val="00654DCF"/>
    <w:rsid w:val="00656201"/>
    <w:rsid w:val="00656BFE"/>
    <w:rsid w:val="006575DA"/>
    <w:rsid w:val="00657A3C"/>
    <w:rsid w:val="00657E90"/>
    <w:rsid w:val="006605F1"/>
    <w:rsid w:val="00665AE4"/>
    <w:rsid w:val="0067075F"/>
    <w:rsid w:val="00672A19"/>
    <w:rsid w:val="00676ADD"/>
    <w:rsid w:val="00683C7F"/>
    <w:rsid w:val="00683D27"/>
    <w:rsid w:val="006910D6"/>
    <w:rsid w:val="0069230B"/>
    <w:rsid w:val="006A511B"/>
    <w:rsid w:val="006A6A26"/>
    <w:rsid w:val="006B5FF8"/>
    <w:rsid w:val="006C0C4B"/>
    <w:rsid w:val="006C2BCC"/>
    <w:rsid w:val="006D06C4"/>
    <w:rsid w:val="006D463F"/>
    <w:rsid w:val="006D4B8E"/>
    <w:rsid w:val="006D5DB5"/>
    <w:rsid w:val="006D759E"/>
    <w:rsid w:val="006E2B68"/>
    <w:rsid w:val="006F22AE"/>
    <w:rsid w:val="006F7A2A"/>
    <w:rsid w:val="00707279"/>
    <w:rsid w:val="00715193"/>
    <w:rsid w:val="007152F6"/>
    <w:rsid w:val="007274D4"/>
    <w:rsid w:val="00730B78"/>
    <w:rsid w:val="00731FE8"/>
    <w:rsid w:val="007334B0"/>
    <w:rsid w:val="0073450C"/>
    <w:rsid w:val="00735176"/>
    <w:rsid w:val="00735FBC"/>
    <w:rsid w:val="00736C21"/>
    <w:rsid w:val="007371FE"/>
    <w:rsid w:val="00747C59"/>
    <w:rsid w:val="00750102"/>
    <w:rsid w:val="007552ED"/>
    <w:rsid w:val="007559D6"/>
    <w:rsid w:val="00760E3C"/>
    <w:rsid w:val="007811FC"/>
    <w:rsid w:val="00781D8E"/>
    <w:rsid w:val="00782BCB"/>
    <w:rsid w:val="00784473"/>
    <w:rsid w:val="00784F1E"/>
    <w:rsid w:val="007920F4"/>
    <w:rsid w:val="0079539B"/>
    <w:rsid w:val="00796322"/>
    <w:rsid w:val="00796A22"/>
    <w:rsid w:val="00797E31"/>
    <w:rsid w:val="007A27F9"/>
    <w:rsid w:val="007A2EB2"/>
    <w:rsid w:val="007A5AC1"/>
    <w:rsid w:val="007A6616"/>
    <w:rsid w:val="007B0162"/>
    <w:rsid w:val="007B0831"/>
    <w:rsid w:val="007B451C"/>
    <w:rsid w:val="007C2E5C"/>
    <w:rsid w:val="007C42F7"/>
    <w:rsid w:val="007C55BD"/>
    <w:rsid w:val="007C6EC0"/>
    <w:rsid w:val="007D0DFC"/>
    <w:rsid w:val="007D4323"/>
    <w:rsid w:val="007D7E0E"/>
    <w:rsid w:val="007E23D2"/>
    <w:rsid w:val="007E628C"/>
    <w:rsid w:val="007F1130"/>
    <w:rsid w:val="007F34AF"/>
    <w:rsid w:val="007F60A0"/>
    <w:rsid w:val="00802826"/>
    <w:rsid w:val="00803341"/>
    <w:rsid w:val="00815093"/>
    <w:rsid w:val="00820873"/>
    <w:rsid w:val="00820B69"/>
    <w:rsid w:val="00820E6B"/>
    <w:rsid w:val="008218D8"/>
    <w:rsid w:val="008236F7"/>
    <w:rsid w:val="00823B15"/>
    <w:rsid w:val="00824BA5"/>
    <w:rsid w:val="0082575D"/>
    <w:rsid w:val="008279BF"/>
    <w:rsid w:val="00830E0F"/>
    <w:rsid w:val="00834E96"/>
    <w:rsid w:val="00835868"/>
    <w:rsid w:val="008361AD"/>
    <w:rsid w:val="0083720C"/>
    <w:rsid w:val="00844198"/>
    <w:rsid w:val="008504EC"/>
    <w:rsid w:val="00850D6B"/>
    <w:rsid w:val="00851CF1"/>
    <w:rsid w:val="00855AB9"/>
    <w:rsid w:val="00863EFE"/>
    <w:rsid w:val="00865D38"/>
    <w:rsid w:val="008738D3"/>
    <w:rsid w:val="008740C3"/>
    <w:rsid w:val="008757F2"/>
    <w:rsid w:val="008759A0"/>
    <w:rsid w:val="008823E6"/>
    <w:rsid w:val="00882BEE"/>
    <w:rsid w:val="00884BD6"/>
    <w:rsid w:val="00892371"/>
    <w:rsid w:val="00895797"/>
    <w:rsid w:val="00897647"/>
    <w:rsid w:val="008A0D60"/>
    <w:rsid w:val="008B099C"/>
    <w:rsid w:val="008B3920"/>
    <w:rsid w:val="008B5429"/>
    <w:rsid w:val="008B72B7"/>
    <w:rsid w:val="008C4074"/>
    <w:rsid w:val="008C4D5B"/>
    <w:rsid w:val="008C542E"/>
    <w:rsid w:val="008C5D5D"/>
    <w:rsid w:val="008C69FB"/>
    <w:rsid w:val="008D0341"/>
    <w:rsid w:val="008D206E"/>
    <w:rsid w:val="008D54FB"/>
    <w:rsid w:val="008E40E3"/>
    <w:rsid w:val="008E595C"/>
    <w:rsid w:val="008F2887"/>
    <w:rsid w:val="008F3BE3"/>
    <w:rsid w:val="008F3F88"/>
    <w:rsid w:val="009136E3"/>
    <w:rsid w:val="009143AF"/>
    <w:rsid w:val="00914756"/>
    <w:rsid w:val="00915F2B"/>
    <w:rsid w:val="00921882"/>
    <w:rsid w:val="00924809"/>
    <w:rsid w:val="00924E17"/>
    <w:rsid w:val="0092541D"/>
    <w:rsid w:val="0093081E"/>
    <w:rsid w:val="00932A0B"/>
    <w:rsid w:val="009376A5"/>
    <w:rsid w:val="00944282"/>
    <w:rsid w:val="00945284"/>
    <w:rsid w:val="0094572E"/>
    <w:rsid w:val="00945AD9"/>
    <w:rsid w:val="00946911"/>
    <w:rsid w:val="00947224"/>
    <w:rsid w:val="00947CDB"/>
    <w:rsid w:val="009502A3"/>
    <w:rsid w:val="00953207"/>
    <w:rsid w:val="00957EFF"/>
    <w:rsid w:val="00960EB2"/>
    <w:rsid w:val="0096110A"/>
    <w:rsid w:val="00962787"/>
    <w:rsid w:val="0096349E"/>
    <w:rsid w:val="009642A0"/>
    <w:rsid w:val="00975175"/>
    <w:rsid w:val="00975927"/>
    <w:rsid w:val="00980E9C"/>
    <w:rsid w:val="00983228"/>
    <w:rsid w:val="009878C8"/>
    <w:rsid w:val="009A087F"/>
    <w:rsid w:val="009A52D3"/>
    <w:rsid w:val="009B206F"/>
    <w:rsid w:val="009B2156"/>
    <w:rsid w:val="009B29AC"/>
    <w:rsid w:val="009B2E54"/>
    <w:rsid w:val="009C142E"/>
    <w:rsid w:val="009C5EA5"/>
    <w:rsid w:val="009C7EC6"/>
    <w:rsid w:val="009D230A"/>
    <w:rsid w:val="009D48FB"/>
    <w:rsid w:val="009D4FFC"/>
    <w:rsid w:val="009D6C2F"/>
    <w:rsid w:val="009E16CD"/>
    <w:rsid w:val="009E4671"/>
    <w:rsid w:val="009E5819"/>
    <w:rsid w:val="009F0A60"/>
    <w:rsid w:val="009F0B5F"/>
    <w:rsid w:val="009F32EA"/>
    <w:rsid w:val="009F43E4"/>
    <w:rsid w:val="009F53A2"/>
    <w:rsid w:val="009F69D4"/>
    <w:rsid w:val="009F6A7A"/>
    <w:rsid w:val="009F75C9"/>
    <w:rsid w:val="00A02F20"/>
    <w:rsid w:val="00A0679C"/>
    <w:rsid w:val="00A107AD"/>
    <w:rsid w:val="00A141A1"/>
    <w:rsid w:val="00A16B6E"/>
    <w:rsid w:val="00A238AC"/>
    <w:rsid w:val="00A2626A"/>
    <w:rsid w:val="00A26EA7"/>
    <w:rsid w:val="00A300C4"/>
    <w:rsid w:val="00A3064B"/>
    <w:rsid w:val="00A34C84"/>
    <w:rsid w:val="00A4027C"/>
    <w:rsid w:val="00A45362"/>
    <w:rsid w:val="00A47D43"/>
    <w:rsid w:val="00A5646A"/>
    <w:rsid w:val="00A5656A"/>
    <w:rsid w:val="00A57E85"/>
    <w:rsid w:val="00A64138"/>
    <w:rsid w:val="00A65C1E"/>
    <w:rsid w:val="00A7414A"/>
    <w:rsid w:val="00A76DB3"/>
    <w:rsid w:val="00A80C4E"/>
    <w:rsid w:val="00A84BDD"/>
    <w:rsid w:val="00A92286"/>
    <w:rsid w:val="00A966E0"/>
    <w:rsid w:val="00A97193"/>
    <w:rsid w:val="00A97EE0"/>
    <w:rsid w:val="00AA58D2"/>
    <w:rsid w:val="00AA5C57"/>
    <w:rsid w:val="00AA72A1"/>
    <w:rsid w:val="00AB196D"/>
    <w:rsid w:val="00AB2CAF"/>
    <w:rsid w:val="00AB6BFB"/>
    <w:rsid w:val="00AC0390"/>
    <w:rsid w:val="00AC0B07"/>
    <w:rsid w:val="00AC3153"/>
    <w:rsid w:val="00AC43CA"/>
    <w:rsid w:val="00AC7527"/>
    <w:rsid w:val="00AD0BFE"/>
    <w:rsid w:val="00AD259C"/>
    <w:rsid w:val="00AD3A5F"/>
    <w:rsid w:val="00AE1497"/>
    <w:rsid w:val="00AE3979"/>
    <w:rsid w:val="00AE4B3A"/>
    <w:rsid w:val="00AE7F5C"/>
    <w:rsid w:val="00AF02FC"/>
    <w:rsid w:val="00AF5C65"/>
    <w:rsid w:val="00B018E9"/>
    <w:rsid w:val="00B06031"/>
    <w:rsid w:val="00B124E3"/>
    <w:rsid w:val="00B20F68"/>
    <w:rsid w:val="00B22482"/>
    <w:rsid w:val="00B253BE"/>
    <w:rsid w:val="00B34BCE"/>
    <w:rsid w:val="00B3572D"/>
    <w:rsid w:val="00B36420"/>
    <w:rsid w:val="00B44821"/>
    <w:rsid w:val="00B54965"/>
    <w:rsid w:val="00B55BAC"/>
    <w:rsid w:val="00B60ED0"/>
    <w:rsid w:val="00B67078"/>
    <w:rsid w:val="00B703F6"/>
    <w:rsid w:val="00B7138F"/>
    <w:rsid w:val="00B7233F"/>
    <w:rsid w:val="00B73893"/>
    <w:rsid w:val="00B90A60"/>
    <w:rsid w:val="00B91B04"/>
    <w:rsid w:val="00BA6B91"/>
    <w:rsid w:val="00BA6CBC"/>
    <w:rsid w:val="00BA7FF5"/>
    <w:rsid w:val="00BB0D0D"/>
    <w:rsid w:val="00BB7344"/>
    <w:rsid w:val="00BC0D1A"/>
    <w:rsid w:val="00BC37C5"/>
    <w:rsid w:val="00BD0CA9"/>
    <w:rsid w:val="00BD277A"/>
    <w:rsid w:val="00BE044C"/>
    <w:rsid w:val="00BE24C1"/>
    <w:rsid w:val="00BF06FF"/>
    <w:rsid w:val="00BF42F3"/>
    <w:rsid w:val="00BF7ABA"/>
    <w:rsid w:val="00C11B14"/>
    <w:rsid w:val="00C13631"/>
    <w:rsid w:val="00C16D27"/>
    <w:rsid w:val="00C16D36"/>
    <w:rsid w:val="00C17684"/>
    <w:rsid w:val="00C17968"/>
    <w:rsid w:val="00C23064"/>
    <w:rsid w:val="00C260B3"/>
    <w:rsid w:val="00C30DDF"/>
    <w:rsid w:val="00C37545"/>
    <w:rsid w:val="00C40214"/>
    <w:rsid w:val="00C43B5F"/>
    <w:rsid w:val="00C45950"/>
    <w:rsid w:val="00C501F7"/>
    <w:rsid w:val="00C51E1C"/>
    <w:rsid w:val="00C534A8"/>
    <w:rsid w:val="00C54363"/>
    <w:rsid w:val="00C62E60"/>
    <w:rsid w:val="00C65BAF"/>
    <w:rsid w:val="00C70954"/>
    <w:rsid w:val="00C714D3"/>
    <w:rsid w:val="00C72EBA"/>
    <w:rsid w:val="00C776AC"/>
    <w:rsid w:val="00C82B0D"/>
    <w:rsid w:val="00C83571"/>
    <w:rsid w:val="00C847E7"/>
    <w:rsid w:val="00C86837"/>
    <w:rsid w:val="00C926F7"/>
    <w:rsid w:val="00C95B56"/>
    <w:rsid w:val="00C97375"/>
    <w:rsid w:val="00CA1656"/>
    <w:rsid w:val="00CA72CB"/>
    <w:rsid w:val="00CB2CB6"/>
    <w:rsid w:val="00CB4E4D"/>
    <w:rsid w:val="00CB509C"/>
    <w:rsid w:val="00CC3F4A"/>
    <w:rsid w:val="00CC6474"/>
    <w:rsid w:val="00CD0D49"/>
    <w:rsid w:val="00CD118F"/>
    <w:rsid w:val="00CD2BA8"/>
    <w:rsid w:val="00CD4A30"/>
    <w:rsid w:val="00CE150D"/>
    <w:rsid w:val="00CE24FC"/>
    <w:rsid w:val="00CE2EDA"/>
    <w:rsid w:val="00CE4B96"/>
    <w:rsid w:val="00CE7839"/>
    <w:rsid w:val="00CF3D24"/>
    <w:rsid w:val="00CF6D16"/>
    <w:rsid w:val="00CF7F82"/>
    <w:rsid w:val="00D00C52"/>
    <w:rsid w:val="00D01C02"/>
    <w:rsid w:val="00D04A79"/>
    <w:rsid w:val="00D11784"/>
    <w:rsid w:val="00D2404A"/>
    <w:rsid w:val="00D25C50"/>
    <w:rsid w:val="00D3093C"/>
    <w:rsid w:val="00D41CCE"/>
    <w:rsid w:val="00D42F35"/>
    <w:rsid w:val="00D434B1"/>
    <w:rsid w:val="00D43F14"/>
    <w:rsid w:val="00D441A8"/>
    <w:rsid w:val="00D470D8"/>
    <w:rsid w:val="00D476BC"/>
    <w:rsid w:val="00D47A4D"/>
    <w:rsid w:val="00D52C6F"/>
    <w:rsid w:val="00D53B2E"/>
    <w:rsid w:val="00D571D8"/>
    <w:rsid w:val="00D62E1F"/>
    <w:rsid w:val="00D65BC2"/>
    <w:rsid w:val="00D6615E"/>
    <w:rsid w:val="00D733CA"/>
    <w:rsid w:val="00D73556"/>
    <w:rsid w:val="00D75270"/>
    <w:rsid w:val="00D8074E"/>
    <w:rsid w:val="00D80ACF"/>
    <w:rsid w:val="00D84445"/>
    <w:rsid w:val="00D84E0A"/>
    <w:rsid w:val="00D90F2D"/>
    <w:rsid w:val="00D94197"/>
    <w:rsid w:val="00DA09CC"/>
    <w:rsid w:val="00DA59BA"/>
    <w:rsid w:val="00DB2665"/>
    <w:rsid w:val="00DB29EE"/>
    <w:rsid w:val="00DB61F5"/>
    <w:rsid w:val="00DB7E9A"/>
    <w:rsid w:val="00DC52FD"/>
    <w:rsid w:val="00DD0A6D"/>
    <w:rsid w:val="00DD485C"/>
    <w:rsid w:val="00DE7719"/>
    <w:rsid w:val="00DF27C3"/>
    <w:rsid w:val="00DF610F"/>
    <w:rsid w:val="00DF6AE8"/>
    <w:rsid w:val="00E05AA4"/>
    <w:rsid w:val="00E07B78"/>
    <w:rsid w:val="00E14A71"/>
    <w:rsid w:val="00E2031B"/>
    <w:rsid w:val="00E20754"/>
    <w:rsid w:val="00E24241"/>
    <w:rsid w:val="00E24816"/>
    <w:rsid w:val="00E26CE6"/>
    <w:rsid w:val="00E34471"/>
    <w:rsid w:val="00E40B75"/>
    <w:rsid w:val="00E42C18"/>
    <w:rsid w:val="00E46813"/>
    <w:rsid w:val="00E61D09"/>
    <w:rsid w:val="00E65C37"/>
    <w:rsid w:val="00E663D1"/>
    <w:rsid w:val="00E67A6B"/>
    <w:rsid w:val="00E712CE"/>
    <w:rsid w:val="00E712F5"/>
    <w:rsid w:val="00E75854"/>
    <w:rsid w:val="00E763EF"/>
    <w:rsid w:val="00E83E7D"/>
    <w:rsid w:val="00E85282"/>
    <w:rsid w:val="00EA4063"/>
    <w:rsid w:val="00EB04D8"/>
    <w:rsid w:val="00EB4FD6"/>
    <w:rsid w:val="00EC141E"/>
    <w:rsid w:val="00EC1A3E"/>
    <w:rsid w:val="00EC36DD"/>
    <w:rsid w:val="00ED3457"/>
    <w:rsid w:val="00ED4D2B"/>
    <w:rsid w:val="00EE219C"/>
    <w:rsid w:val="00EE2D4F"/>
    <w:rsid w:val="00EF0CB9"/>
    <w:rsid w:val="00F00532"/>
    <w:rsid w:val="00F00869"/>
    <w:rsid w:val="00F06EB8"/>
    <w:rsid w:val="00F162CF"/>
    <w:rsid w:val="00F2386E"/>
    <w:rsid w:val="00F34A92"/>
    <w:rsid w:val="00F35FF5"/>
    <w:rsid w:val="00F375C5"/>
    <w:rsid w:val="00F40125"/>
    <w:rsid w:val="00F41E34"/>
    <w:rsid w:val="00F569BD"/>
    <w:rsid w:val="00F57049"/>
    <w:rsid w:val="00F6279D"/>
    <w:rsid w:val="00F67B91"/>
    <w:rsid w:val="00F745FF"/>
    <w:rsid w:val="00F75C7A"/>
    <w:rsid w:val="00F823D1"/>
    <w:rsid w:val="00F832DD"/>
    <w:rsid w:val="00F84A44"/>
    <w:rsid w:val="00F900F1"/>
    <w:rsid w:val="00F91365"/>
    <w:rsid w:val="00F95D1A"/>
    <w:rsid w:val="00F96D0C"/>
    <w:rsid w:val="00FA3237"/>
    <w:rsid w:val="00FA495D"/>
    <w:rsid w:val="00FA5277"/>
    <w:rsid w:val="00FA570B"/>
    <w:rsid w:val="00FB0C3D"/>
    <w:rsid w:val="00FB13C1"/>
    <w:rsid w:val="00FB1B38"/>
    <w:rsid w:val="00FB657A"/>
    <w:rsid w:val="00FC0DC7"/>
    <w:rsid w:val="00FC2052"/>
    <w:rsid w:val="00FC73D6"/>
    <w:rsid w:val="00FD01DB"/>
    <w:rsid w:val="00FD093A"/>
    <w:rsid w:val="00FD572F"/>
    <w:rsid w:val="00FD58A8"/>
    <w:rsid w:val="00FF572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9C17D7"/>
  <w15:docId w15:val="{1EBF2875-5CB8-4BA3-9634-7771234A5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936"/>
  </w:style>
  <w:style w:type="paragraph" w:styleId="Ttulo1">
    <w:name w:val="heading 1"/>
    <w:basedOn w:val="Normal"/>
    <w:next w:val="Normal"/>
    <w:uiPriority w:val="9"/>
    <w:qFormat/>
    <w:pPr>
      <w:keepNext/>
      <w:keepLines/>
      <w:spacing w:before="240"/>
      <w:outlineLvl w:val="0"/>
    </w:pPr>
    <w:rPr>
      <w:rFonts w:ascii="Calibri" w:eastAsia="Calibri" w:hAnsi="Calibri" w:cs="Calibri"/>
      <w:color w:val="366091"/>
      <w:sz w:val="32"/>
      <w:szCs w:val="32"/>
      <w:lang w:val="es-ES"/>
    </w:rPr>
  </w:style>
  <w:style w:type="paragraph" w:styleId="Ttulo2">
    <w:name w:val="heading 2"/>
    <w:basedOn w:val="Normal"/>
    <w:next w:val="Normal"/>
    <w:uiPriority w:val="9"/>
    <w:semiHidden/>
    <w:unhideWhenUsed/>
    <w:qFormat/>
    <w:pPr>
      <w:keepNext/>
      <w:keepLines/>
      <w:spacing w:before="40"/>
      <w:outlineLvl w:val="1"/>
    </w:pPr>
    <w:rPr>
      <w:rFonts w:ascii="Calibri" w:eastAsia="Calibri" w:hAnsi="Calibri" w:cs="Calibri"/>
      <w:color w:val="366091"/>
      <w:sz w:val="26"/>
      <w:szCs w:val="26"/>
      <w:lang w:val="es-ES"/>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lang w:val="es-ES"/>
    </w:rPr>
  </w:style>
  <w:style w:type="paragraph" w:styleId="Ttulo4">
    <w:name w:val="heading 4"/>
    <w:basedOn w:val="Normal"/>
    <w:next w:val="Normal"/>
    <w:uiPriority w:val="9"/>
    <w:semiHidden/>
    <w:unhideWhenUsed/>
    <w:qFormat/>
    <w:pPr>
      <w:keepNext/>
      <w:spacing w:before="240" w:after="60"/>
      <w:ind w:left="2880" w:hanging="720"/>
      <w:outlineLvl w:val="3"/>
    </w:pPr>
    <w:rPr>
      <w:rFonts w:ascii="Cambria" w:eastAsia="Cambria" w:hAnsi="Cambria" w:cs="Cambria"/>
      <w:b/>
      <w:sz w:val="28"/>
      <w:szCs w:val="28"/>
      <w:lang w:val="es-ES"/>
    </w:rPr>
  </w:style>
  <w:style w:type="paragraph" w:styleId="Ttulo5">
    <w:name w:val="heading 5"/>
    <w:basedOn w:val="Normal"/>
    <w:next w:val="Normal"/>
    <w:uiPriority w:val="9"/>
    <w:semiHidden/>
    <w:unhideWhenUsed/>
    <w:qFormat/>
    <w:pPr>
      <w:spacing w:before="240" w:after="60"/>
      <w:ind w:left="3600" w:hanging="720"/>
      <w:outlineLvl w:val="4"/>
    </w:pPr>
    <w:rPr>
      <w:rFonts w:ascii="Cambria" w:eastAsia="Cambria" w:hAnsi="Cambria" w:cs="Cambria"/>
      <w:b/>
      <w:i/>
      <w:sz w:val="26"/>
      <w:szCs w:val="26"/>
      <w:lang w:val="es-ES"/>
    </w:rPr>
  </w:style>
  <w:style w:type="paragraph" w:styleId="Ttulo6">
    <w:name w:val="heading 6"/>
    <w:basedOn w:val="Normal"/>
    <w:next w:val="Normal"/>
    <w:uiPriority w:val="9"/>
    <w:semiHidden/>
    <w:unhideWhenUsed/>
    <w:qFormat/>
    <w:pPr>
      <w:spacing w:before="240" w:after="60"/>
      <w:ind w:left="4320" w:hanging="720"/>
      <w:outlineLvl w:val="5"/>
    </w:pPr>
    <w:rPr>
      <w:b/>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lang w:val="es-ES"/>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0">
    <w:name w:val="Table Normal3"/>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6">
    <w:name w:val="16"/>
    <w:basedOn w:val="TableNormal10"/>
    <w:tblPr>
      <w:tblStyleRowBandSize w:val="1"/>
      <w:tblStyleColBandSize w:val="1"/>
      <w:tblCellMar>
        <w:left w:w="115" w:type="dxa"/>
        <w:right w:w="115" w:type="dxa"/>
      </w:tblCellMar>
    </w:tblPr>
  </w:style>
  <w:style w:type="table" w:customStyle="1" w:styleId="15">
    <w:name w:val="15"/>
    <w:basedOn w:val="TableNormal10"/>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FE2A5A"/>
    <w:pPr>
      <w:tabs>
        <w:tab w:val="center" w:pos="4419"/>
        <w:tab w:val="right" w:pos="8838"/>
      </w:tabs>
    </w:pPr>
    <w:rPr>
      <w:lang w:val="es-ES"/>
    </w:rPr>
  </w:style>
  <w:style w:type="character" w:customStyle="1" w:styleId="EncabezadoCar">
    <w:name w:val="Encabezado Car"/>
    <w:basedOn w:val="Fuentedeprrafopredeter"/>
    <w:link w:val="Encabezado"/>
    <w:uiPriority w:val="99"/>
    <w:rsid w:val="00FE2A5A"/>
  </w:style>
  <w:style w:type="paragraph" w:styleId="Piedepgina">
    <w:name w:val="footer"/>
    <w:basedOn w:val="Normal"/>
    <w:link w:val="PiedepginaCar"/>
    <w:uiPriority w:val="99"/>
    <w:unhideWhenUsed/>
    <w:rsid w:val="00FE2A5A"/>
    <w:pPr>
      <w:tabs>
        <w:tab w:val="center" w:pos="4419"/>
        <w:tab w:val="right" w:pos="8838"/>
      </w:tabs>
    </w:pPr>
    <w:rPr>
      <w:lang w:val="es-ES"/>
    </w:rPr>
  </w:style>
  <w:style w:type="character" w:customStyle="1" w:styleId="PiedepginaCar">
    <w:name w:val="Pie de página Car"/>
    <w:basedOn w:val="Fuentedeprrafopredeter"/>
    <w:link w:val="Piedepgina"/>
    <w:uiPriority w:val="99"/>
    <w:rsid w:val="00FE2A5A"/>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E2A5A"/>
    <w:pPr>
      <w:ind w:left="720"/>
      <w:contextualSpacing/>
    </w:pPr>
    <w:rPr>
      <w:lang w:val="es-ES"/>
    </w:rPr>
  </w:style>
  <w:style w:type="table" w:styleId="Tablaconcuadrcula">
    <w:name w:val="Table Grid"/>
    <w:basedOn w:val="Tablanormal"/>
    <w:uiPriority w:val="39"/>
    <w:rsid w:val="00513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12F5"/>
    <w:pPr>
      <w:spacing w:before="100" w:beforeAutospacing="1" w:after="100" w:afterAutospacing="1"/>
    </w:pPr>
    <w:rPr>
      <w:lang w:val="es-ES"/>
    </w:rPr>
  </w:style>
  <w:style w:type="table" w:customStyle="1" w:styleId="14">
    <w:name w:val="14"/>
    <w:basedOn w:val="TableNormal10"/>
    <w:tblPr>
      <w:tblStyleRowBandSize w:val="1"/>
      <w:tblStyleColBandSize w:val="1"/>
      <w:tblCellMar>
        <w:left w:w="115" w:type="dxa"/>
        <w:right w:w="115" w:type="dxa"/>
      </w:tblCellMar>
    </w:tblPr>
  </w:style>
  <w:style w:type="table" w:customStyle="1" w:styleId="13">
    <w:name w:val="13"/>
    <w:basedOn w:val="TableNormal10"/>
    <w:tblPr>
      <w:tblStyleRowBandSize w:val="1"/>
      <w:tblStyleColBandSize w:val="1"/>
      <w:tblCellMar>
        <w:left w:w="115" w:type="dxa"/>
        <w:right w:w="115" w:type="dxa"/>
      </w:tblCellMar>
    </w:tblPr>
  </w:style>
  <w:style w:type="character" w:customStyle="1" w:styleId="apple-tab-span">
    <w:name w:val="apple-tab-span"/>
    <w:basedOn w:val="Fuentedeprrafopredeter"/>
    <w:rsid w:val="00355FC9"/>
  </w:style>
  <w:style w:type="table" w:customStyle="1" w:styleId="12">
    <w:name w:val="12"/>
    <w:basedOn w:val="TableNormal20"/>
    <w:tblPr>
      <w:tblStyleRowBandSize w:val="1"/>
      <w:tblStyleColBandSize w:val="1"/>
      <w:tblCellMar>
        <w:left w:w="115" w:type="dxa"/>
        <w:right w:w="115" w:type="dxa"/>
      </w:tblCellMar>
    </w:tblPr>
  </w:style>
  <w:style w:type="table" w:customStyle="1" w:styleId="11">
    <w:name w:val="11"/>
    <w:basedOn w:val="TableNormal20"/>
    <w:tblPr>
      <w:tblStyleRowBandSize w:val="1"/>
      <w:tblStyleColBandSize w:val="1"/>
      <w:tblCellMar>
        <w:left w:w="115" w:type="dxa"/>
        <w:right w:w="115" w:type="dxa"/>
      </w:tblCellMar>
    </w:tblPr>
  </w:style>
  <w:style w:type="character" w:styleId="Hipervnculo">
    <w:name w:val="Hyperlink"/>
    <w:aliases w:val="Hipervínculo1,Hipervínculo11,Hipervínculo12,Hipervínculo13,Hipervínculo14,Hipervínculo15"/>
    <w:basedOn w:val="Fuentedeprrafopredeter"/>
    <w:uiPriority w:val="99"/>
    <w:unhideWhenUsed/>
    <w:rsid w:val="00043B73"/>
    <w:rPr>
      <w:color w:val="0000FF"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759CF"/>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759CF"/>
    <w:rPr>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F759CF"/>
    <w:rPr>
      <w:vertAlign w:val="superscript"/>
    </w:rPr>
  </w:style>
  <w:style w:type="table" w:customStyle="1" w:styleId="10">
    <w:name w:val="10"/>
    <w:basedOn w:val="TableNormal30"/>
    <w:tblPr>
      <w:tblStyleRowBandSize w:val="1"/>
      <w:tblStyleColBandSize w:val="1"/>
      <w:tblCellMar>
        <w:left w:w="115" w:type="dxa"/>
        <w:right w:w="115" w:type="dxa"/>
      </w:tblCellMar>
    </w:tblPr>
  </w:style>
  <w:style w:type="table" w:customStyle="1" w:styleId="9">
    <w:name w:val="9"/>
    <w:basedOn w:val="TableNormal30"/>
    <w:tblPr>
      <w:tblStyleRowBandSize w:val="1"/>
      <w:tblStyleColBandSize w:val="1"/>
      <w:tblCellMar>
        <w:left w:w="115" w:type="dxa"/>
        <w:right w:w="115" w:type="dxa"/>
      </w:tblCellMar>
    </w:tbl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283BF5"/>
    <w:rPr>
      <w:lang w:val="es-ES"/>
    </w:r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
    <w:name w:val="6"/>
    <w:basedOn w:val="TableNormal5"/>
    <w:tblPr>
      <w:tblStyleRowBandSize w:val="1"/>
      <w:tblStyleColBandSize w:val="1"/>
      <w:tblCellMar>
        <w:left w:w="115" w:type="dxa"/>
        <w:right w:w="115" w:type="dxa"/>
      </w:tblCellMar>
    </w:tblPr>
  </w:style>
  <w:style w:type="table" w:customStyle="1" w:styleId="5">
    <w:name w:val="5"/>
    <w:basedOn w:val="TableNormal5"/>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77142E"/>
    <w:pPr>
      <w:numPr>
        <w:numId w:val="1"/>
      </w:numPr>
      <w:contextualSpacing/>
    </w:pPr>
  </w:style>
  <w:style w:type="table" w:customStyle="1" w:styleId="4">
    <w:name w:val="4"/>
    <w:basedOn w:val="TableNormal6"/>
    <w:tblPr>
      <w:tblStyleRowBandSize w:val="1"/>
      <w:tblStyleColBandSize w:val="1"/>
      <w:tblCellMar>
        <w:left w:w="115" w:type="dxa"/>
        <w:right w:w="115" w:type="dxa"/>
      </w:tblCellMar>
    </w:tblPr>
  </w:style>
  <w:style w:type="table" w:customStyle="1" w:styleId="3">
    <w:name w:val="3"/>
    <w:basedOn w:val="TableNormal6"/>
    <w:tblPr>
      <w:tblStyleRowBandSize w:val="1"/>
      <w:tblStyleColBandSize w:val="1"/>
      <w:tblCellMar>
        <w:left w:w="115" w:type="dxa"/>
        <w:right w:w="115" w:type="dxa"/>
      </w:tblCellMar>
    </w:tblPr>
  </w:style>
  <w:style w:type="table" w:customStyle="1" w:styleId="2">
    <w:name w:val="2"/>
    <w:basedOn w:val="TableNormal7"/>
    <w:tblPr>
      <w:tblStyleRowBandSize w:val="1"/>
      <w:tblStyleColBandSize w:val="1"/>
      <w:tblCellMar>
        <w:left w:w="115" w:type="dxa"/>
        <w:right w:w="115" w:type="dxa"/>
      </w:tblCellMar>
    </w:tblPr>
  </w:style>
  <w:style w:type="table" w:customStyle="1" w:styleId="1">
    <w:name w:val="1"/>
    <w:basedOn w:val="TableNormal7"/>
    <w:tblPr>
      <w:tblStyleRowBandSize w:val="1"/>
      <w:tblStyleColBandSize w:val="1"/>
      <w:tblCellMar>
        <w:left w:w="115" w:type="dxa"/>
        <w:right w:w="115" w:type="dxa"/>
      </w:tblCellMar>
    </w:tblPr>
  </w:style>
  <w:style w:type="paragraph" w:styleId="Listaconvietas2">
    <w:name w:val="List Bullet 2"/>
    <w:basedOn w:val="Normal"/>
    <w:uiPriority w:val="99"/>
    <w:unhideWhenUsed/>
    <w:rsid w:val="00B910CA"/>
    <w:pPr>
      <w:tabs>
        <w:tab w:val="num" w:pos="720"/>
      </w:tabs>
      <w:ind w:left="720" w:hanging="720"/>
      <w:contextualSpacing/>
    </w:pPr>
  </w:style>
  <w:style w:type="paragraph" w:styleId="Textodeglobo">
    <w:name w:val="Balloon Text"/>
    <w:basedOn w:val="Normal"/>
    <w:link w:val="TextodegloboCar"/>
    <w:uiPriority w:val="99"/>
    <w:semiHidden/>
    <w:unhideWhenUsed/>
    <w:rsid w:val="003B3B2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3B2A"/>
    <w:rPr>
      <w:rFonts w:ascii="Segoe UI" w:hAnsi="Segoe UI" w:cs="Segoe UI"/>
      <w:sz w:val="18"/>
      <w:szCs w:val="18"/>
    </w:rPr>
  </w:style>
  <w:style w:type="character" w:styleId="Hipervnculovisitado">
    <w:name w:val="FollowedHyperlink"/>
    <w:basedOn w:val="Fuentedeprrafopredeter"/>
    <w:uiPriority w:val="99"/>
    <w:semiHidden/>
    <w:unhideWhenUsed/>
    <w:rsid w:val="00E9311B"/>
    <w:rPr>
      <w:color w:val="800080" w:themeColor="followedHyperlink"/>
      <w:u w:val="single"/>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8C5D5D"/>
    <w:pPr>
      <w:spacing w:after="120" w:line="360" w:lineRule="auto"/>
      <w:jc w:val="both"/>
    </w:pPr>
    <w:rPr>
      <w:rFonts w:ascii="Palatino Linotype" w:hAnsi="Palatino Linotype"/>
      <w:sz w:val="22"/>
      <w:szCs w:val="20"/>
      <w:lang w:eastAsia="es-ES"/>
    </w:rPr>
  </w:style>
  <w:style w:type="character" w:customStyle="1" w:styleId="TextoindependienteCar">
    <w:name w:val="Texto independiente Car"/>
    <w:basedOn w:val="Fuentedeprrafopredeter"/>
    <w:link w:val="Textoindependiente"/>
    <w:uiPriority w:val="99"/>
    <w:rsid w:val="008C5D5D"/>
    <w:rPr>
      <w:rFonts w:ascii="Palatino Linotype" w:hAnsi="Palatino Linotype"/>
      <w:sz w:val="22"/>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71681">
      <w:bodyDiv w:val="1"/>
      <w:marLeft w:val="0"/>
      <w:marRight w:val="0"/>
      <w:marTop w:val="0"/>
      <w:marBottom w:val="0"/>
      <w:divBdr>
        <w:top w:val="none" w:sz="0" w:space="0" w:color="auto"/>
        <w:left w:val="none" w:sz="0" w:space="0" w:color="auto"/>
        <w:bottom w:val="none" w:sz="0" w:space="0" w:color="auto"/>
        <w:right w:val="none" w:sz="0" w:space="0" w:color="auto"/>
      </w:divBdr>
    </w:div>
    <w:div w:id="173958279">
      <w:bodyDiv w:val="1"/>
      <w:marLeft w:val="0"/>
      <w:marRight w:val="0"/>
      <w:marTop w:val="0"/>
      <w:marBottom w:val="0"/>
      <w:divBdr>
        <w:top w:val="none" w:sz="0" w:space="0" w:color="auto"/>
        <w:left w:val="none" w:sz="0" w:space="0" w:color="auto"/>
        <w:bottom w:val="none" w:sz="0" w:space="0" w:color="auto"/>
        <w:right w:val="none" w:sz="0" w:space="0" w:color="auto"/>
      </w:divBdr>
    </w:div>
    <w:div w:id="421528965">
      <w:bodyDiv w:val="1"/>
      <w:marLeft w:val="0"/>
      <w:marRight w:val="0"/>
      <w:marTop w:val="0"/>
      <w:marBottom w:val="0"/>
      <w:divBdr>
        <w:top w:val="none" w:sz="0" w:space="0" w:color="auto"/>
        <w:left w:val="none" w:sz="0" w:space="0" w:color="auto"/>
        <w:bottom w:val="none" w:sz="0" w:space="0" w:color="auto"/>
        <w:right w:val="none" w:sz="0" w:space="0" w:color="auto"/>
      </w:divBdr>
    </w:div>
    <w:div w:id="847250430">
      <w:bodyDiv w:val="1"/>
      <w:marLeft w:val="0"/>
      <w:marRight w:val="0"/>
      <w:marTop w:val="0"/>
      <w:marBottom w:val="0"/>
      <w:divBdr>
        <w:top w:val="none" w:sz="0" w:space="0" w:color="auto"/>
        <w:left w:val="none" w:sz="0" w:space="0" w:color="auto"/>
        <w:bottom w:val="none" w:sz="0" w:space="0" w:color="auto"/>
        <w:right w:val="none" w:sz="0" w:space="0" w:color="auto"/>
      </w:divBdr>
    </w:div>
    <w:div w:id="907807458">
      <w:bodyDiv w:val="1"/>
      <w:marLeft w:val="0"/>
      <w:marRight w:val="0"/>
      <w:marTop w:val="0"/>
      <w:marBottom w:val="0"/>
      <w:divBdr>
        <w:top w:val="none" w:sz="0" w:space="0" w:color="auto"/>
        <w:left w:val="none" w:sz="0" w:space="0" w:color="auto"/>
        <w:bottom w:val="none" w:sz="0" w:space="0" w:color="auto"/>
        <w:right w:val="none" w:sz="0" w:space="0" w:color="auto"/>
      </w:divBdr>
    </w:div>
    <w:div w:id="940842598">
      <w:bodyDiv w:val="1"/>
      <w:marLeft w:val="0"/>
      <w:marRight w:val="0"/>
      <w:marTop w:val="0"/>
      <w:marBottom w:val="0"/>
      <w:divBdr>
        <w:top w:val="none" w:sz="0" w:space="0" w:color="auto"/>
        <w:left w:val="none" w:sz="0" w:space="0" w:color="auto"/>
        <w:bottom w:val="none" w:sz="0" w:space="0" w:color="auto"/>
        <w:right w:val="none" w:sz="0" w:space="0" w:color="auto"/>
      </w:divBdr>
    </w:div>
    <w:div w:id="1206718967">
      <w:bodyDiv w:val="1"/>
      <w:marLeft w:val="0"/>
      <w:marRight w:val="0"/>
      <w:marTop w:val="0"/>
      <w:marBottom w:val="0"/>
      <w:divBdr>
        <w:top w:val="none" w:sz="0" w:space="0" w:color="auto"/>
        <w:left w:val="none" w:sz="0" w:space="0" w:color="auto"/>
        <w:bottom w:val="none" w:sz="0" w:space="0" w:color="auto"/>
        <w:right w:val="none" w:sz="0" w:space="0" w:color="auto"/>
      </w:divBdr>
    </w:div>
    <w:div w:id="1234662337">
      <w:bodyDiv w:val="1"/>
      <w:marLeft w:val="0"/>
      <w:marRight w:val="0"/>
      <w:marTop w:val="0"/>
      <w:marBottom w:val="0"/>
      <w:divBdr>
        <w:top w:val="none" w:sz="0" w:space="0" w:color="auto"/>
        <w:left w:val="none" w:sz="0" w:space="0" w:color="auto"/>
        <w:bottom w:val="none" w:sz="0" w:space="0" w:color="auto"/>
        <w:right w:val="none" w:sz="0" w:space="0" w:color="auto"/>
      </w:divBdr>
    </w:div>
    <w:div w:id="1358000603">
      <w:bodyDiv w:val="1"/>
      <w:marLeft w:val="0"/>
      <w:marRight w:val="0"/>
      <w:marTop w:val="0"/>
      <w:marBottom w:val="0"/>
      <w:divBdr>
        <w:top w:val="none" w:sz="0" w:space="0" w:color="auto"/>
        <w:left w:val="none" w:sz="0" w:space="0" w:color="auto"/>
        <w:bottom w:val="none" w:sz="0" w:space="0" w:color="auto"/>
        <w:right w:val="none" w:sz="0" w:space="0" w:color="auto"/>
      </w:divBdr>
    </w:div>
    <w:div w:id="1385105335">
      <w:bodyDiv w:val="1"/>
      <w:marLeft w:val="0"/>
      <w:marRight w:val="0"/>
      <w:marTop w:val="0"/>
      <w:marBottom w:val="0"/>
      <w:divBdr>
        <w:top w:val="none" w:sz="0" w:space="0" w:color="auto"/>
        <w:left w:val="none" w:sz="0" w:space="0" w:color="auto"/>
        <w:bottom w:val="none" w:sz="0" w:space="0" w:color="auto"/>
        <w:right w:val="none" w:sz="0" w:space="0" w:color="auto"/>
      </w:divBdr>
    </w:div>
    <w:div w:id="1438867991">
      <w:bodyDiv w:val="1"/>
      <w:marLeft w:val="0"/>
      <w:marRight w:val="0"/>
      <w:marTop w:val="0"/>
      <w:marBottom w:val="0"/>
      <w:divBdr>
        <w:top w:val="none" w:sz="0" w:space="0" w:color="auto"/>
        <w:left w:val="none" w:sz="0" w:space="0" w:color="auto"/>
        <w:bottom w:val="none" w:sz="0" w:space="0" w:color="auto"/>
        <w:right w:val="none" w:sz="0" w:space="0" w:color="auto"/>
      </w:divBdr>
    </w:div>
    <w:div w:id="1494180818">
      <w:bodyDiv w:val="1"/>
      <w:marLeft w:val="0"/>
      <w:marRight w:val="0"/>
      <w:marTop w:val="0"/>
      <w:marBottom w:val="0"/>
      <w:divBdr>
        <w:top w:val="none" w:sz="0" w:space="0" w:color="auto"/>
        <w:left w:val="none" w:sz="0" w:space="0" w:color="auto"/>
        <w:bottom w:val="none" w:sz="0" w:space="0" w:color="auto"/>
        <w:right w:val="none" w:sz="0" w:space="0" w:color="auto"/>
      </w:divBdr>
    </w:div>
    <w:div w:id="1925794112">
      <w:bodyDiv w:val="1"/>
      <w:marLeft w:val="0"/>
      <w:marRight w:val="0"/>
      <w:marTop w:val="0"/>
      <w:marBottom w:val="0"/>
      <w:divBdr>
        <w:top w:val="none" w:sz="0" w:space="0" w:color="auto"/>
        <w:left w:val="none" w:sz="0" w:space="0" w:color="auto"/>
        <w:bottom w:val="none" w:sz="0" w:space="0" w:color="auto"/>
        <w:right w:val="none" w:sz="0" w:space="0" w:color="auto"/>
      </w:divBdr>
    </w:div>
    <w:div w:id="19680461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M2QFsDwmgb+snlmF72MfPHsSGA==">CgMxLjAyCWguMWZvYjl0ZTIJaC40ZDM0b2c4MghoLmdqZGd4czIJaC4zZHk2dmttMgloLjMwajB6bGwyCWguMnM4ZXlvMTIIaC50eWpjd3QyCWguM3pueXNoNzIJaC4xeTgxMHR3MgloLjI2aW4xcmcyCGgubG54Yno5MgloLjJldDkycDAyCWguMTdkcDh2dTIJaC4zcmRjcmpuMgloLjF0M2g1c2Y4AHIhMUxKLWF6a213Y1pYcTJhMENQNmpEcDFGQ3VxSGM3YVlp</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F487729-626F-40DA-A7DB-BB86B6C82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4629</Words>
  <Characters>25463</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Maricela Villagómez Martínez</cp:lastModifiedBy>
  <cp:revision>2</cp:revision>
  <cp:lastPrinted>2026-02-27T18:21:00Z</cp:lastPrinted>
  <dcterms:created xsi:type="dcterms:W3CDTF">2026-04-06T22:38:00Z</dcterms:created>
  <dcterms:modified xsi:type="dcterms:W3CDTF">2026-04-06T22:38:00Z</dcterms:modified>
</cp:coreProperties>
</file>