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8AB" w:rsidRPr="0002178E" w:rsidRDefault="003440D7">
      <w:pPr>
        <w:spacing w:before="240" w:after="240" w:line="360" w:lineRule="auto"/>
        <w:jc w:val="both"/>
        <w:rPr>
          <w:rFonts w:ascii="Palatino Linotype" w:eastAsia="Palatino Linotype" w:hAnsi="Palatino Linotype" w:cs="Palatino Linotype"/>
          <w:b/>
          <w:sz w:val="24"/>
          <w:szCs w:val="24"/>
        </w:rPr>
      </w:pPr>
      <w:r w:rsidRPr="0002178E">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w:t>
      </w:r>
      <w:r w:rsidR="0002178E">
        <w:rPr>
          <w:rFonts w:ascii="Palatino Linotype" w:eastAsia="Palatino Linotype" w:hAnsi="Palatino Linotype" w:cs="Palatino Linotype"/>
          <w:sz w:val="24"/>
          <w:szCs w:val="24"/>
        </w:rPr>
        <w:t xml:space="preserve"> Metepec, Estado de México; de </w:t>
      </w:r>
      <w:r w:rsidR="0002178E" w:rsidRPr="0002178E">
        <w:rPr>
          <w:rFonts w:ascii="Palatino Linotype" w:eastAsia="Palatino Linotype" w:hAnsi="Palatino Linotype" w:cs="Palatino Linotype"/>
          <w:b/>
          <w:sz w:val="24"/>
          <w:szCs w:val="24"/>
        </w:rPr>
        <w:t xml:space="preserve">fecha </w:t>
      </w:r>
      <w:r w:rsidRPr="0002178E">
        <w:rPr>
          <w:rFonts w:ascii="Palatino Linotype" w:eastAsia="Palatino Linotype" w:hAnsi="Palatino Linotype" w:cs="Palatino Linotype"/>
          <w:b/>
          <w:sz w:val="24"/>
          <w:szCs w:val="24"/>
        </w:rPr>
        <w:t xml:space="preserve">diecisiete </w:t>
      </w:r>
      <w:r w:rsidR="0002178E" w:rsidRPr="0002178E">
        <w:rPr>
          <w:rFonts w:ascii="Palatino Linotype" w:eastAsia="Palatino Linotype" w:hAnsi="Palatino Linotype" w:cs="Palatino Linotype"/>
          <w:b/>
          <w:sz w:val="24"/>
          <w:szCs w:val="24"/>
        </w:rPr>
        <w:t xml:space="preserve">(17) </w:t>
      </w:r>
      <w:r w:rsidRPr="0002178E">
        <w:rPr>
          <w:rFonts w:ascii="Palatino Linotype" w:eastAsia="Palatino Linotype" w:hAnsi="Palatino Linotype" w:cs="Palatino Linotype"/>
          <w:b/>
          <w:sz w:val="24"/>
          <w:szCs w:val="24"/>
        </w:rPr>
        <w:t xml:space="preserve">de junio de dos mil veintiséis.  </w:t>
      </w:r>
    </w:p>
    <w:p w:rsidR="00E318AB" w:rsidRPr="0002178E" w:rsidRDefault="003440D7">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b/>
          <w:bCs/>
          <w:color w:val="000000"/>
          <w:sz w:val="24"/>
          <w:szCs w:val="24"/>
        </w:rPr>
      </w:pPr>
      <w:bookmarkStart w:id="0" w:name="_heading=h.fyo1nokovb99" w:colFirst="0" w:colLast="0"/>
      <w:bookmarkEnd w:id="0"/>
      <w:r w:rsidRPr="0002178E">
        <w:rPr>
          <w:rFonts w:ascii="Palatino Linotype" w:eastAsia="Palatino Linotype" w:hAnsi="Palatino Linotype" w:cs="Palatino Linotype"/>
          <w:b/>
          <w:bCs/>
          <w:color w:val="000000"/>
          <w:sz w:val="24"/>
          <w:szCs w:val="24"/>
        </w:rPr>
        <w:t>VISTO el</w:t>
      </w:r>
      <w:r w:rsidRPr="0002178E">
        <w:rPr>
          <w:rFonts w:ascii="Palatino Linotype" w:eastAsia="Palatino Linotype" w:hAnsi="Palatino Linotype" w:cs="Palatino Linotype"/>
          <w:color w:val="000000"/>
          <w:sz w:val="24"/>
          <w:szCs w:val="24"/>
        </w:rPr>
        <w:t xml:space="preserve"> expediente electrónico formado con motivo del recurso de revisión </w:t>
      </w:r>
      <w:r w:rsidRPr="0002178E">
        <w:rPr>
          <w:rFonts w:ascii="Palatino Linotype" w:eastAsia="Palatino Linotype" w:hAnsi="Palatino Linotype" w:cs="Palatino Linotype"/>
          <w:b/>
          <w:bCs/>
          <w:color w:val="000000"/>
          <w:sz w:val="24"/>
          <w:szCs w:val="24"/>
        </w:rPr>
        <w:t xml:space="preserve">01818/INFOEM/IP/RR/2026, </w:t>
      </w:r>
      <w:r w:rsidRPr="0002178E">
        <w:rPr>
          <w:rFonts w:ascii="Palatino Linotype" w:eastAsia="Palatino Linotype" w:hAnsi="Palatino Linotype" w:cs="Palatino Linotype"/>
          <w:color w:val="000000"/>
          <w:sz w:val="24"/>
          <w:szCs w:val="24"/>
        </w:rPr>
        <w:t xml:space="preserve">promovido por </w:t>
      </w:r>
      <w:r w:rsidR="00195996">
        <w:rPr>
          <w:rFonts w:ascii="Palatino Linotype" w:eastAsia="Palatino Linotype" w:hAnsi="Palatino Linotype" w:cs="Palatino Linotype"/>
          <w:b/>
          <w:bCs/>
          <w:color w:val="000000"/>
          <w:sz w:val="24"/>
          <w:szCs w:val="24"/>
        </w:rPr>
        <w:t>XXXX</w:t>
      </w:r>
      <w:r w:rsidRPr="0002178E">
        <w:rPr>
          <w:rFonts w:ascii="Palatino Linotype" w:eastAsia="Palatino Linotype" w:hAnsi="Palatino Linotype" w:cs="Palatino Linotype"/>
          <w:color w:val="000000"/>
          <w:sz w:val="24"/>
          <w:szCs w:val="24"/>
        </w:rPr>
        <w:t xml:space="preserve">, en su calidad de </w:t>
      </w:r>
      <w:r w:rsidRPr="0002178E">
        <w:rPr>
          <w:rFonts w:ascii="Palatino Linotype" w:eastAsia="Palatino Linotype" w:hAnsi="Palatino Linotype" w:cs="Palatino Linotype"/>
          <w:b/>
          <w:bCs/>
          <w:color w:val="000000"/>
          <w:sz w:val="24"/>
          <w:szCs w:val="24"/>
        </w:rPr>
        <w:t>RECURRENTE</w:t>
      </w:r>
      <w:r w:rsidRPr="0002178E">
        <w:rPr>
          <w:rFonts w:ascii="Palatino Linotype" w:eastAsia="Palatino Linotype" w:hAnsi="Palatino Linotype" w:cs="Palatino Linotype"/>
          <w:color w:val="000000"/>
          <w:sz w:val="24"/>
          <w:szCs w:val="24"/>
        </w:rPr>
        <w:t xml:space="preserve">, en contra de la falta de respuesta de la </w:t>
      </w:r>
      <w:r w:rsidRPr="0002178E">
        <w:rPr>
          <w:rFonts w:ascii="Palatino Linotype" w:eastAsia="Palatino Linotype" w:hAnsi="Palatino Linotype" w:cs="Palatino Linotype"/>
          <w:b/>
          <w:bCs/>
          <w:color w:val="000000"/>
          <w:sz w:val="24"/>
          <w:szCs w:val="24"/>
        </w:rPr>
        <w:t>Secretaría de Movilidad</w:t>
      </w:r>
      <w:r w:rsidRPr="0002178E">
        <w:rPr>
          <w:rFonts w:ascii="Palatino Linotype" w:eastAsia="Palatino Linotype" w:hAnsi="Palatino Linotype" w:cs="Palatino Linotype"/>
          <w:color w:val="000000"/>
          <w:sz w:val="24"/>
          <w:szCs w:val="24"/>
        </w:rPr>
        <w:t>,</w:t>
      </w:r>
      <w:r w:rsidRP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color w:val="000000"/>
          <w:sz w:val="24"/>
          <w:szCs w:val="24"/>
        </w:rPr>
        <w:t>en lo sucesivo el</w:t>
      </w:r>
      <w:r w:rsidRPr="0002178E">
        <w:rPr>
          <w:rFonts w:ascii="Palatino Linotype" w:eastAsia="Palatino Linotype" w:hAnsi="Palatino Linotype" w:cs="Palatino Linotype"/>
          <w:b/>
          <w:bCs/>
          <w:color w:val="000000"/>
          <w:sz w:val="24"/>
          <w:szCs w:val="24"/>
        </w:rPr>
        <w:t xml:space="preserve"> SUJETO OBLIGADO, </w:t>
      </w:r>
      <w:r w:rsidRPr="0002178E">
        <w:rPr>
          <w:rFonts w:ascii="Palatino Linotype" w:eastAsia="Palatino Linotype" w:hAnsi="Palatino Linotype" w:cs="Palatino Linotype"/>
          <w:color w:val="000000"/>
          <w:sz w:val="24"/>
          <w:szCs w:val="24"/>
        </w:rPr>
        <w:t>se procede a dictar la presente resolución, con base en los siguientes:</w:t>
      </w:r>
      <w:bookmarkStart w:id="1" w:name="_GoBack"/>
      <w:bookmarkEnd w:id="1"/>
    </w:p>
    <w:p w:rsidR="00E318AB" w:rsidRPr="0002178E" w:rsidRDefault="003440D7">
      <w:pPr>
        <w:pStyle w:val="Ttulo1"/>
        <w:jc w:val="center"/>
        <w:rPr>
          <w:rFonts w:ascii="Palatino Linotype" w:eastAsia="Palatino Linotype" w:hAnsi="Palatino Linotype" w:cs="Palatino Linotype"/>
          <w:b/>
          <w:bCs/>
          <w:color w:val="000000"/>
          <w:sz w:val="24"/>
          <w:szCs w:val="24"/>
        </w:rPr>
      </w:pPr>
      <w:bookmarkStart w:id="2" w:name="_heading=h.gjdgxs" w:colFirst="0" w:colLast="0"/>
      <w:bookmarkEnd w:id="2"/>
      <w:r w:rsidRPr="0002178E">
        <w:rPr>
          <w:rFonts w:ascii="Palatino Linotype" w:eastAsia="Palatino Linotype" w:hAnsi="Palatino Linotype" w:cs="Palatino Linotype"/>
          <w:b/>
          <w:bCs/>
          <w:color w:val="000000"/>
          <w:sz w:val="24"/>
          <w:szCs w:val="24"/>
        </w:rPr>
        <w:t>A</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N</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T</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E</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C</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E</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D</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E</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N</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T</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E</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S</w:t>
      </w:r>
    </w:p>
    <w:p w:rsidR="00E318AB" w:rsidRPr="0002178E" w:rsidRDefault="00E318AB">
      <w:pPr>
        <w:rPr>
          <w:rFonts w:ascii="Palatino Linotype" w:eastAsia="Palatino Linotype" w:hAnsi="Palatino Linotype" w:cs="Palatino Linotype"/>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w:t>
      </w:r>
      <w:r w:rsidRPr="0002178E">
        <w:rPr>
          <w:rFonts w:ascii="Palatino Linotype" w:eastAsia="Palatino Linotype" w:hAnsi="Palatino Linotype" w:cs="Palatino Linotype"/>
          <w:b/>
          <w:bCs/>
          <w:color w:val="000000"/>
          <w:sz w:val="24"/>
          <w:szCs w:val="24"/>
        </w:rPr>
        <w:t>veintiuno de enero de dos mil veintiséis,</w:t>
      </w:r>
      <w:r w:rsidRPr="0002178E">
        <w:rPr>
          <w:rFonts w:ascii="Palatino Linotype" w:eastAsia="Palatino Linotype" w:hAnsi="Palatino Linotype" w:cs="Palatino Linotype"/>
          <w:color w:val="000000"/>
          <w:sz w:val="24"/>
          <w:szCs w:val="24"/>
        </w:rPr>
        <w:t xml:space="preserve"> </w:t>
      </w:r>
      <w:r w:rsidR="00E35BBD" w:rsidRPr="0002178E">
        <w:rPr>
          <w:rFonts w:ascii="Palatino Linotype" w:eastAsia="Palatino Linotype" w:hAnsi="Palatino Linotype" w:cs="Palatino Linotype"/>
          <w:b/>
          <w:bCs/>
          <w:color w:val="000000"/>
          <w:sz w:val="24"/>
          <w:szCs w:val="24"/>
        </w:rPr>
        <w:t>LA</w:t>
      </w:r>
      <w:r w:rsidRPr="0002178E">
        <w:rPr>
          <w:rFonts w:ascii="Palatino Linotype" w:eastAsia="Palatino Linotype" w:hAnsi="Palatino Linotype" w:cs="Palatino Linotype"/>
          <w:b/>
          <w:bCs/>
          <w:color w:val="000000"/>
          <w:sz w:val="24"/>
          <w:szCs w:val="24"/>
        </w:rPr>
        <w:t xml:space="preserve"> RECURRENTE </w:t>
      </w:r>
      <w:r w:rsidRPr="0002178E">
        <w:rPr>
          <w:rFonts w:ascii="Palatino Linotype" w:eastAsia="Palatino Linotype" w:hAnsi="Palatino Linotype" w:cs="Palatino Linotype"/>
          <w:color w:val="000000"/>
          <w:sz w:val="24"/>
          <w:szCs w:val="24"/>
        </w:rPr>
        <w:t>presentó</w:t>
      </w:r>
      <w:r w:rsidRPr="0002178E">
        <w:rPr>
          <w:rFonts w:ascii="Palatino Linotype" w:eastAsia="Palatino Linotype" w:hAnsi="Palatino Linotype" w:cs="Palatino Linotype"/>
          <w:b/>
          <w:bCs/>
          <w:color w:val="000000"/>
          <w:sz w:val="24"/>
          <w:szCs w:val="24"/>
        </w:rPr>
        <w:t>,</w:t>
      </w:r>
      <w:r w:rsidRPr="0002178E">
        <w:rPr>
          <w:rFonts w:ascii="Palatino Linotype" w:eastAsia="Palatino Linotype" w:hAnsi="Palatino Linotype" w:cs="Palatino Linotype"/>
          <w:color w:val="000000"/>
          <w:sz w:val="24"/>
          <w:szCs w:val="24"/>
        </w:rPr>
        <w:t xml:space="preserve"> ante el </w:t>
      </w:r>
      <w:r w:rsidRPr="0002178E">
        <w:rPr>
          <w:rFonts w:ascii="Palatino Linotype" w:eastAsia="Palatino Linotype" w:hAnsi="Palatino Linotype" w:cs="Palatino Linotype"/>
          <w:b/>
          <w:bCs/>
          <w:color w:val="000000"/>
          <w:sz w:val="24"/>
          <w:szCs w:val="24"/>
        </w:rPr>
        <w:t>SUJETO OBLIGADO</w:t>
      </w:r>
      <w:r w:rsidRPr="0002178E">
        <w:rPr>
          <w:rFonts w:ascii="Palatino Linotype" w:eastAsia="Palatino Linotype" w:hAnsi="Palatino Linotype" w:cs="Palatino Linotype"/>
          <w:color w:val="000000"/>
          <w:sz w:val="24"/>
          <w:szCs w:val="24"/>
        </w:rPr>
        <w:t xml:space="preserve"> vía Sistema de Acceso a la Información Mexiquense (</w:t>
      </w:r>
      <w:r w:rsidRPr="0002178E">
        <w:rPr>
          <w:rFonts w:ascii="Palatino Linotype" w:eastAsia="Palatino Linotype" w:hAnsi="Palatino Linotype" w:cs="Palatino Linotype"/>
          <w:b/>
          <w:bCs/>
          <w:color w:val="000000"/>
          <w:sz w:val="24"/>
          <w:szCs w:val="24"/>
        </w:rPr>
        <w:t>SAIMEX)</w:t>
      </w:r>
      <w:r w:rsidRPr="0002178E">
        <w:rPr>
          <w:rFonts w:ascii="Palatino Linotype" w:eastAsia="Palatino Linotype" w:hAnsi="Palatino Linotype" w:cs="Palatino Linotype"/>
          <w:color w:val="000000"/>
          <w:sz w:val="24"/>
          <w:szCs w:val="24"/>
        </w:rPr>
        <w:t xml:space="preserve">, la solicitud de información pública registrada con el número </w:t>
      </w:r>
      <w:r w:rsidRPr="0002178E">
        <w:rPr>
          <w:rFonts w:ascii="Palatino Linotype" w:eastAsia="Palatino Linotype" w:hAnsi="Palatino Linotype" w:cs="Palatino Linotype"/>
          <w:b/>
          <w:bCs/>
          <w:color w:val="000000"/>
          <w:sz w:val="24"/>
          <w:szCs w:val="24"/>
        </w:rPr>
        <w:t xml:space="preserve">00018/SMOV/IP/2026, </w:t>
      </w:r>
      <w:r w:rsidRPr="0002178E">
        <w:rPr>
          <w:rFonts w:ascii="Palatino Linotype" w:eastAsia="Palatino Linotype" w:hAnsi="Palatino Linotype" w:cs="Palatino Linotype"/>
          <w:color w:val="000000"/>
          <w:sz w:val="24"/>
          <w:szCs w:val="24"/>
        </w:rPr>
        <w:t>mediante la cual solicitó lo siguiente:</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“Dirigida a: Secretaría de Movilidad del Estado de México Vía: SAIMEX Asunto: Solicitud de información pública sobre rutas de transporte público autorizadas por la Secretaría de Movilidad en el municipio de Ayapango, Estado de México Cuerpo: Con fundamento en la Ley de Transparencia y Acceso a la Información Pública del Estado de México y Municipios, solicito respetuosamente a esa Secretaría de Movilidad del Estado de México, en su carácter de autoridad competente en materia de transporte público concesionado, la siguiente información de carácter público: El listado de las rutas de transporte público que hayan sido autorizadas por esa Secretaría para operar dentro del municipio de Ayapango, Estado de México, conforme a los registros administrativos que obren en sus archivos. La información solicitada deberá incluir: • Denominación de la ruta • Tipo de servicio autorizado • Derroteros o recorridos </w:t>
      </w:r>
      <w:r w:rsidRPr="0002178E">
        <w:rPr>
          <w:rFonts w:ascii="Palatino Linotype" w:eastAsia="Palatino Linotype" w:hAnsi="Palatino Linotype" w:cs="Palatino Linotype"/>
          <w:i/>
          <w:iCs/>
          <w:sz w:val="24"/>
          <w:szCs w:val="24"/>
        </w:rPr>
        <w:lastRenderedPageBreak/>
        <w:t>autorizados • Vigencia de la autorización o concesión • Observaciones administrativas relevantes, en su caso Solicito que la información sea proporcionada en formato digital, sin incluir datos personales de concesionarios o permisionarios, al tratarse de información administrativa de carácter público. En caso de que no existan rutas autorizadas para el municipio referido, solicito se informe expresamente dicha circunstancia.” (Sic)</w:t>
      </w:r>
    </w:p>
    <w:p w:rsidR="00E318AB" w:rsidRPr="0002178E" w:rsidRDefault="00E318AB">
      <w:pPr>
        <w:pBdr>
          <w:top w:val="nil"/>
          <w:left w:val="nil"/>
          <w:bottom w:val="nil"/>
          <w:right w:val="nil"/>
          <w:between w:val="nil"/>
        </w:pBdr>
        <w:ind w:right="567"/>
        <w:jc w:val="both"/>
        <w:rPr>
          <w:rFonts w:ascii="Palatino Linotype" w:eastAsia="Palatino Linotype" w:hAnsi="Palatino Linotype" w:cs="Palatino Linotype"/>
          <w:color w:val="000000"/>
          <w:sz w:val="24"/>
          <w:szCs w:val="24"/>
        </w:rPr>
      </w:pPr>
    </w:p>
    <w:p w:rsidR="00E318AB" w:rsidRPr="0002178E" w:rsidRDefault="00E318AB">
      <w:pPr>
        <w:ind w:right="567"/>
        <w:jc w:val="both"/>
        <w:rPr>
          <w:rFonts w:ascii="Palatino Linotype" w:eastAsia="Palatino Linotype" w:hAnsi="Palatino Linotype" w:cs="Palatino Linotype"/>
          <w:i/>
          <w:iCs/>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Señaló como modalidad de entrega de la información a través de la Plataforma </w:t>
      </w:r>
      <w:r w:rsidRPr="0002178E">
        <w:rPr>
          <w:rFonts w:ascii="Palatino Linotype" w:eastAsia="Palatino Linotype" w:hAnsi="Palatino Linotype" w:cs="Palatino Linotype"/>
          <w:b/>
          <w:bCs/>
          <w:color w:val="000000"/>
          <w:sz w:val="24"/>
          <w:szCs w:val="24"/>
        </w:rPr>
        <w:t>SAIMEX.</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w:t>
      </w:r>
      <w:r w:rsidRPr="0002178E">
        <w:rPr>
          <w:rFonts w:ascii="Palatino Linotype" w:eastAsia="Palatino Linotype" w:hAnsi="Palatino Linotype" w:cs="Palatino Linotype"/>
          <w:b/>
          <w:bCs/>
          <w:color w:val="000000"/>
          <w:sz w:val="24"/>
          <w:szCs w:val="24"/>
        </w:rPr>
        <w:t>veintidós de enero de dos mil veintiséis</w:t>
      </w:r>
      <w:r w:rsidRPr="0002178E">
        <w:rPr>
          <w:rFonts w:ascii="Palatino Linotype" w:eastAsia="Palatino Linotype" w:hAnsi="Palatino Linotype" w:cs="Palatino Linotype"/>
          <w:color w:val="000000"/>
          <w:sz w:val="24"/>
          <w:szCs w:val="24"/>
        </w:rPr>
        <w:t xml:space="preserve">, se realizó un requerimiento de información al servidor público habilitado. </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w:t>
      </w:r>
      <w:r w:rsidRPr="0002178E">
        <w:rPr>
          <w:rFonts w:ascii="Palatino Linotype" w:eastAsia="Palatino Linotype" w:hAnsi="Palatino Linotype" w:cs="Palatino Linotype"/>
          <w:b/>
          <w:bCs/>
          <w:color w:val="000000"/>
          <w:sz w:val="24"/>
          <w:szCs w:val="24"/>
        </w:rPr>
        <w:t>once de febrero de dos mil veintiséis</w:t>
      </w:r>
      <w:r w:rsidRPr="0002178E">
        <w:rPr>
          <w:rFonts w:ascii="Palatino Linotype" w:eastAsia="Palatino Linotype" w:hAnsi="Palatino Linotype" w:cs="Palatino Linotype"/>
          <w:color w:val="000000"/>
          <w:sz w:val="24"/>
          <w:szCs w:val="24"/>
        </w:rPr>
        <w:t>, el Sujeto Obligado dio respuesta a la solicitud de información en el siguiente sentido:</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tbl>
      <w:tblPr>
        <w:tblStyle w:val="a"/>
        <w:tblW w:w="7345" w:type="dxa"/>
        <w:jc w:val="center"/>
        <w:tblInd w:w="0" w:type="dxa"/>
        <w:tblLayout w:type="fixed"/>
        <w:tblLook w:val="0400" w:firstRow="0" w:lastRow="0" w:firstColumn="0" w:lastColumn="0" w:noHBand="0" w:noVBand="1"/>
      </w:tblPr>
      <w:tblGrid>
        <w:gridCol w:w="7345"/>
      </w:tblGrid>
      <w:tr w:rsidR="00E318AB" w:rsidRPr="0002178E">
        <w:trPr>
          <w:trHeight w:val="80"/>
          <w:jc w:val="center"/>
        </w:trPr>
        <w:tc>
          <w:tcPr>
            <w:tcW w:w="7345" w:type="dxa"/>
            <w:vAlign w:val="center"/>
          </w:tcPr>
          <w:p w:rsidR="00E318AB" w:rsidRPr="0002178E" w:rsidRDefault="003440D7">
            <w:pPr>
              <w:jc w:val="right"/>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“Metepec, México a 11 de Febrero de 2026</w:t>
            </w:r>
          </w:p>
        </w:tc>
      </w:tr>
      <w:tr w:rsidR="00E318AB" w:rsidRPr="0002178E">
        <w:trPr>
          <w:trHeight w:val="80"/>
          <w:jc w:val="center"/>
        </w:trPr>
        <w:tc>
          <w:tcPr>
            <w:tcW w:w="7345" w:type="dxa"/>
            <w:vAlign w:val="center"/>
          </w:tcPr>
          <w:p w:rsidR="00E318AB" w:rsidRPr="0002178E" w:rsidRDefault="003440D7">
            <w:pPr>
              <w:jc w:val="right"/>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Nombre del solicitante: C. Solicitante</w:t>
            </w:r>
          </w:p>
        </w:tc>
      </w:tr>
      <w:tr w:rsidR="00E318AB" w:rsidRPr="0002178E">
        <w:trPr>
          <w:trHeight w:val="174"/>
          <w:jc w:val="center"/>
        </w:trPr>
        <w:tc>
          <w:tcPr>
            <w:tcW w:w="7345" w:type="dxa"/>
            <w:vAlign w:val="center"/>
          </w:tcPr>
          <w:p w:rsidR="00E318AB" w:rsidRPr="0002178E" w:rsidRDefault="003440D7">
            <w:pPr>
              <w:jc w:val="right"/>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Folio de la solicitud: 00018/SMOV/IP/2026</w:t>
            </w:r>
          </w:p>
        </w:tc>
      </w:tr>
      <w:tr w:rsidR="00E318AB" w:rsidRPr="0002178E">
        <w:trPr>
          <w:trHeight w:val="352"/>
          <w:jc w:val="center"/>
        </w:trPr>
        <w:tc>
          <w:tcPr>
            <w:tcW w:w="7345" w:type="dxa"/>
            <w:vAlign w:val="center"/>
          </w:tcPr>
          <w:p w:rsidR="00E318AB" w:rsidRPr="0002178E" w:rsidRDefault="00E318AB">
            <w:pPr>
              <w:rPr>
                <w:rFonts w:ascii="Palatino Linotype" w:eastAsia="Palatino Linotype" w:hAnsi="Palatino Linotype" w:cs="Palatino Linotype"/>
                <w:i/>
                <w:iCs/>
                <w:sz w:val="24"/>
                <w:szCs w:val="24"/>
              </w:rPr>
            </w:pPr>
          </w:p>
          <w:p w:rsidR="00E318AB" w:rsidRPr="0002178E" w:rsidRDefault="003440D7">
            <w:pPr>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E318AB" w:rsidRPr="0002178E">
        <w:trPr>
          <w:trHeight w:val="352"/>
          <w:jc w:val="center"/>
        </w:trPr>
        <w:tc>
          <w:tcPr>
            <w:tcW w:w="7345" w:type="dxa"/>
            <w:vAlign w:val="center"/>
          </w:tcPr>
          <w:p w:rsidR="00E318AB" w:rsidRPr="0002178E" w:rsidRDefault="00E318AB">
            <w:pPr>
              <w:rPr>
                <w:rFonts w:ascii="Palatino Linotype" w:eastAsia="Palatino Linotype" w:hAnsi="Palatino Linotype" w:cs="Palatino Linotype"/>
                <w:i/>
                <w:iCs/>
                <w:sz w:val="24"/>
                <w:szCs w:val="24"/>
              </w:rPr>
            </w:pPr>
          </w:p>
          <w:p w:rsidR="00E318AB" w:rsidRPr="0002178E" w:rsidRDefault="003440D7">
            <w:pPr>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Se envía respuesta de la Unidad de transparencia</w:t>
            </w:r>
          </w:p>
        </w:tc>
      </w:tr>
      <w:tr w:rsidR="00E318AB" w:rsidRPr="0002178E">
        <w:trPr>
          <w:trHeight w:val="352"/>
          <w:jc w:val="center"/>
        </w:trPr>
        <w:tc>
          <w:tcPr>
            <w:tcW w:w="7345" w:type="dxa"/>
            <w:vAlign w:val="center"/>
          </w:tcPr>
          <w:p w:rsidR="00E318AB" w:rsidRPr="0002178E" w:rsidRDefault="00E318AB">
            <w:pPr>
              <w:jc w:val="center"/>
              <w:rPr>
                <w:rFonts w:ascii="Palatino Linotype" w:eastAsia="Palatino Linotype" w:hAnsi="Palatino Linotype" w:cs="Palatino Linotype"/>
                <w:i/>
                <w:iCs/>
                <w:sz w:val="24"/>
                <w:szCs w:val="24"/>
              </w:rPr>
            </w:pPr>
          </w:p>
        </w:tc>
      </w:tr>
      <w:tr w:rsidR="00E318AB" w:rsidRPr="0002178E">
        <w:trPr>
          <w:trHeight w:val="352"/>
          <w:jc w:val="center"/>
        </w:trPr>
        <w:tc>
          <w:tcPr>
            <w:tcW w:w="7345" w:type="dxa"/>
            <w:vAlign w:val="center"/>
          </w:tcPr>
          <w:p w:rsidR="00E318AB" w:rsidRPr="0002178E" w:rsidRDefault="003440D7">
            <w:pPr>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ATENTAMENTE</w:t>
            </w:r>
          </w:p>
        </w:tc>
      </w:tr>
      <w:tr w:rsidR="00E318AB" w:rsidRPr="0002178E">
        <w:trPr>
          <w:trHeight w:val="352"/>
          <w:jc w:val="center"/>
        </w:trPr>
        <w:tc>
          <w:tcPr>
            <w:tcW w:w="7345" w:type="dxa"/>
            <w:vAlign w:val="center"/>
          </w:tcPr>
          <w:p w:rsidR="00E318AB" w:rsidRPr="0002178E" w:rsidRDefault="003440D7">
            <w:pPr>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Lic. Frida Guadalupe Vera Ruiz”</w:t>
            </w:r>
          </w:p>
        </w:tc>
      </w:tr>
    </w:tbl>
    <w:p w:rsidR="00E318AB" w:rsidRPr="0002178E" w:rsidRDefault="003440D7">
      <w:pPr>
        <w:numPr>
          <w:ilvl w:val="0"/>
          <w:numId w:val="6"/>
        </w:numPr>
        <w:pBdr>
          <w:top w:val="nil"/>
          <w:left w:val="nil"/>
          <w:bottom w:val="nil"/>
          <w:right w:val="nil"/>
          <w:between w:val="nil"/>
        </w:pBdr>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lastRenderedPageBreak/>
        <w:t>A la respuesta, el Sujeto Obligado adjuntó los archivos electrónicos que se describen enseguida:</w:t>
      </w:r>
    </w:p>
    <w:p w:rsidR="00E318AB" w:rsidRPr="0002178E" w:rsidRDefault="00E318AB">
      <w:pPr>
        <w:pBdr>
          <w:top w:val="nil"/>
          <w:left w:val="nil"/>
          <w:bottom w:val="nil"/>
          <w:right w:val="nil"/>
          <w:between w:val="nil"/>
        </w:pBdr>
        <w:ind w:left="720"/>
        <w:jc w:val="both"/>
        <w:rPr>
          <w:rFonts w:ascii="Palatino Linotype" w:eastAsia="Palatino Linotype" w:hAnsi="Palatino Linotype" w:cs="Palatino Linotype"/>
          <w:color w:val="000000"/>
          <w:sz w:val="24"/>
          <w:szCs w:val="24"/>
        </w:rPr>
      </w:pPr>
    </w:p>
    <w:p w:rsidR="00E318AB" w:rsidRPr="0002178E" w:rsidRDefault="002B11F7">
      <w:pPr>
        <w:numPr>
          <w:ilvl w:val="0"/>
          <w:numId w:val="7"/>
        </w:numPr>
        <w:pBdr>
          <w:top w:val="nil"/>
          <w:left w:val="nil"/>
          <w:bottom w:val="nil"/>
          <w:right w:val="nil"/>
          <w:between w:val="nil"/>
        </w:pBdr>
        <w:spacing w:line="360" w:lineRule="auto"/>
        <w:ind w:left="1134" w:firstLine="0"/>
        <w:jc w:val="both"/>
        <w:rPr>
          <w:rFonts w:ascii="Palatino Linotype" w:eastAsia="Palatino Linotype" w:hAnsi="Palatino Linotype" w:cs="Palatino Linotype"/>
          <w:color w:val="000000"/>
          <w:sz w:val="24"/>
          <w:szCs w:val="24"/>
        </w:rPr>
      </w:pPr>
      <w:hyperlink r:id="rId8">
        <w:r w:rsidR="003440D7" w:rsidRPr="0002178E">
          <w:rPr>
            <w:rFonts w:ascii="Palatino Linotype" w:eastAsia="Palatino Linotype" w:hAnsi="Palatino Linotype" w:cs="Palatino Linotype"/>
            <w:b/>
            <w:bCs/>
            <w:color w:val="000000"/>
            <w:sz w:val="24"/>
            <w:szCs w:val="24"/>
            <w:u w:val="single"/>
          </w:rPr>
          <w:t>OFICIO 22001004A0000001902026B.pdf</w:t>
        </w:r>
      </w:hyperlink>
      <w:r w:rsidR="003440D7" w:rsidRPr="0002178E">
        <w:rPr>
          <w:rFonts w:ascii="Palatino Linotype" w:eastAsia="Palatino Linotype" w:hAnsi="Palatino Linotype" w:cs="Palatino Linotype"/>
          <w:color w:val="000000"/>
          <w:sz w:val="24"/>
          <w:szCs w:val="24"/>
        </w:rPr>
        <w:t xml:space="preserve">: oficio número 22001004A000000/190/2026, suscrito por el Director General de Movilidad Zona IV, en el que adjuntó un cuadro con el nombre de la empresa, derrotero y trayecto. </w:t>
      </w:r>
    </w:p>
    <w:p w:rsidR="00E318AB" w:rsidRPr="0002178E" w:rsidRDefault="002B11F7">
      <w:pPr>
        <w:numPr>
          <w:ilvl w:val="0"/>
          <w:numId w:val="7"/>
        </w:numPr>
        <w:pBdr>
          <w:top w:val="nil"/>
          <w:left w:val="nil"/>
          <w:bottom w:val="nil"/>
          <w:right w:val="nil"/>
          <w:between w:val="nil"/>
        </w:pBdr>
        <w:spacing w:line="360" w:lineRule="auto"/>
        <w:ind w:left="1134" w:firstLine="0"/>
        <w:jc w:val="both"/>
        <w:rPr>
          <w:rFonts w:ascii="Palatino Linotype" w:eastAsia="Palatino Linotype" w:hAnsi="Palatino Linotype" w:cs="Palatino Linotype"/>
          <w:color w:val="000000"/>
          <w:sz w:val="24"/>
          <w:szCs w:val="24"/>
        </w:rPr>
      </w:pPr>
      <w:hyperlink r:id="rId9">
        <w:r w:rsidR="003440D7" w:rsidRPr="0002178E">
          <w:rPr>
            <w:rFonts w:ascii="Palatino Linotype" w:eastAsia="Palatino Linotype" w:hAnsi="Palatino Linotype" w:cs="Palatino Linotype"/>
            <w:b/>
            <w:bCs/>
            <w:color w:val="000000"/>
            <w:sz w:val="24"/>
            <w:szCs w:val="24"/>
            <w:u w:val="single"/>
          </w:rPr>
          <w:t>Oficio 111.pdf</w:t>
        </w:r>
      </w:hyperlink>
      <w:r w:rsidR="003440D7" w:rsidRPr="0002178E">
        <w:rPr>
          <w:rFonts w:ascii="Palatino Linotype" w:eastAsia="Palatino Linotype" w:hAnsi="Palatino Linotype" w:cs="Palatino Linotype"/>
          <w:color w:val="000000"/>
          <w:sz w:val="24"/>
          <w:szCs w:val="24"/>
        </w:rPr>
        <w:t xml:space="preserve">: oficio número CCT/UT/111/2026 de fecha diez de febrero de dos mil veintiséis, suscrito por el Titular de la Unidad de Transparencia, quien señaló que se adjunta información remitida por la Dirección General de Movilidad Zona IV. </w:t>
      </w:r>
    </w:p>
    <w:p w:rsidR="00E318AB" w:rsidRPr="0002178E" w:rsidRDefault="00E318AB">
      <w:pPr>
        <w:pBdr>
          <w:top w:val="nil"/>
          <w:left w:val="nil"/>
          <w:bottom w:val="nil"/>
          <w:right w:val="nil"/>
          <w:between w:val="nil"/>
        </w:pBdr>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sz w:val="24"/>
          <w:szCs w:val="24"/>
        </w:rPr>
      </w:pPr>
      <w:bookmarkStart w:id="3" w:name="_heading=h.30j0zll" w:colFirst="0" w:colLast="0"/>
      <w:bookmarkEnd w:id="3"/>
      <w:r w:rsidRPr="0002178E">
        <w:rPr>
          <w:rFonts w:ascii="Palatino Linotype" w:eastAsia="Palatino Linotype" w:hAnsi="Palatino Linotype" w:cs="Palatino Linotype"/>
          <w:color w:val="000000"/>
          <w:sz w:val="24"/>
          <w:szCs w:val="24"/>
        </w:rPr>
        <w:t xml:space="preserve">El </w:t>
      </w:r>
      <w:r w:rsidRPr="0002178E">
        <w:rPr>
          <w:rFonts w:ascii="Palatino Linotype" w:eastAsia="Palatino Linotype" w:hAnsi="Palatino Linotype" w:cs="Palatino Linotype"/>
          <w:b/>
          <w:bCs/>
          <w:color w:val="000000"/>
          <w:sz w:val="24"/>
          <w:szCs w:val="24"/>
        </w:rPr>
        <w:t>once de febrero de dos mil veintiséis</w:t>
      </w:r>
      <w:r w:rsidRPr="0002178E">
        <w:rPr>
          <w:rFonts w:ascii="Palatino Linotype" w:eastAsia="Palatino Linotype" w:hAnsi="Palatino Linotype" w:cs="Palatino Linotype"/>
          <w:color w:val="000000"/>
          <w:sz w:val="24"/>
          <w:szCs w:val="24"/>
        </w:rPr>
        <w:t xml:space="preserve">, </w:t>
      </w:r>
      <w:r w:rsidR="00E35BBD" w:rsidRPr="0002178E">
        <w:rPr>
          <w:rFonts w:ascii="Palatino Linotype" w:eastAsia="Palatino Linotype" w:hAnsi="Palatino Linotype" w:cs="Palatino Linotype"/>
          <w:b/>
          <w:bCs/>
          <w:color w:val="000000"/>
          <w:sz w:val="24"/>
          <w:szCs w:val="24"/>
        </w:rPr>
        <w:t>LA</w:t>
      </w:r>
      <w:r w:rsidRPr="0002178E">
        <w:rPr>
          <w:rFonts w:ascii="Palatino Linotype" w:eastAsia="Palatino Linotype" w:hAnsi="Palatino Linotype" w:cs="Palatino Linotype"/>
          <w:b/>
          <w:bCs/>
          <w:color w:val="000000"/>
          <w:sz w:val="24"/>
          <w:szCs w:val="24"/>
        </w:rPr>
        <w:t xml:space="preserve"> RECURRENTE</w:t>
      </w:r>
      <w:r w:rsidRPr="0002178E">
        <w:rPr>
          <w:rFonts w:ascii="Palatino Linotype" w:eastAsia="Palatino Linotype" w:hAnsi="Palatino Linotype" w:cs="Palatino Linotype"/>
          <w:color w:val="000000"/>
          <w:sz w:val="24"/>
          <w:szCs w:val="24"/>
        </w:rPr>
        <w:t xml:space="preserve"> interpuso el recurso de revisión, en contra de la falta de respuesta y, señaló como:</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i/>
          <w:iCs/>
          <w:color w:val="000000"/>
          <w:sz w:val="24"/>
          <w:szCs w:val="24"/>
        </w:rPr>
      </w:pPr>
    </w:p>
    <w:p w:rsidR="00E318AB" w:rsidRPr="0002178E" w:rsidRDefault="003440D7" w:rsidP="0002178E">
      <w:pPr>
        <w:pStyle w:val="Prrafodelista"/>
        <w:numPr>
          <w:ilvl w:val="0"/>
          <w:numId w:val="8"/>
        </w:numPr>
        <w:pBdr>
          <w:top w:val="nil"/>
          <w:left w:val="nil"/>
          <w:bottom w:val="nil"/>
          <w:right w:val="nil"/>
          <w:between w:val="nil"/>
        </w:pBdr>
        <w:spacing w:line="276" w:lineRule="auto"/>
        <w:ind w:left="993"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b/>
          <w:bCs/>
          <w:color w:val="000000"/>
          <w:sz w:val="24"/>
          <w:szCs w:val="24"/>
        </w:rPr>
        <w:t xml:space="preserve">Acto impugnado: </w:t>
      </w:r>
      <w:r w:rsidRPr="0002178E">
        <w:rPr>
          <w:rFonts w:ascii="Palatino Linotype" w:eastAsia="Palatino Linotype" w:hAnsi="Palatino Linotype" w:cs="Palatino Linotype"/>
          <w:i/>
          <w:iCs/>
          <w:color w:val="000000"/>
          <w:sz w:val="24"/>
          <w:szCs w:val="24"/>
        </w:rPr>
        <w:t>“La respuesta emitida por el sujeto obligado Secretaría de Movilidad del Estado de México, dentro de la Solicitud de Información Pública número 00018, notificada el 11 de febrero de 2026, por resultar incompleta y carente de exhaustividad.” (sic) y;</w:t>
      </w:r>
    </w:p>
    <w:p w:rsidR="00E318AB" w:rsidRPr="0002178E" w:rsidRDefault="00E318AB">
      <w:pPr>
        <w:pBdr>
          <w:top w:val="nil"/>
          <w:left w:val="nil"/>
          <w:bottom w:val="nil"/>
          <w:right w:val="nil"/>
          <w:between w:val="nil"/>
        </w:pBdr>
        <w:spacing w:line="276" w:lineRule="auto"/>
        <w:ind w:left="851" w:right="822"/>
        <w:jc w:val="both"/>
        <w:rPr>
          <w:rFonts w:ascii="Palatino Linotype" w:eastAsia="Palatino Linotype" w:hAnsi="Palatino Linotype" w:cs="Palatino Linotype"/>
          <w:i/>
          <w:iCs/>
          <w:color w:val="000000"/>
          <w:sz w:val="24"/>
          <w:szCs w:val="24"/>
        </w:rPr>
      </w:pPr>
    </w:p>
    <w:p w:rsidR="00E318AB" w:rsidRPr="0002178E" w:rsidRDefault="003440D7" w:rsidP="0002178E">
      <w:pPr>
        <w:pStyle w:val="Prrafodelista"/>
        <w:numPr>
          <w:ilvl w:val="0"/>
          <w:numId w:val="8"/>
        </w:numPr>
        <w:pBdr>
          <w:top w:val="nil"/>
          <w:left w:val="nil"/>
          <w:bottom w:val="nil"/>
          <w:right w:val="nil"/>
          <w:between w:val="nil"/>
        </w:pBdr>
        <w:spacing w:line="276" w:lineRule="auto"/>
        <w:ind w:left="993" w:right="822"/>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b/>
          <w:bCs/>
          <w:color w:val="000000"/>
          <w:sz w:val="24"/>
          <w:szCs w:val="24"/>
        </w:rPr>
        <w:t>Razones o Motivos de Inconformidad: “</w:t>
      </w:r>
      <w:r w:rsidRPr="0002178E">
        <w:rPr>
          <w:rFonts w:ascii="Palatino Linotype" w:eastAsia="Palatino Linotype" w:hAnsi="Palatino Linotype" w:cs="Palatino Linotype"/>
          <w:i/>
          <w:iCs/>
          <w:color w:val="000000"/>
          <w:sz w:val="24"/>
          <w:szCs w:val="24"/>
        </w:rPr>
        <w:t xml:space="preserve">La respuesta emitida por el sujeto obligado es incompleta y carece de exhaustividad, ya que no atiende la totalidad de los puntos expresamente solicitados en la Solicitud 00018. En dicha solicitud se requirió información específica relativa a: Denominación de cada ruta autorizada. Tipo de servicio autorizado. Derroteros o recorridos autorizados. Vigencia de la autorización o concesión. Observaciones administrativas relevantes. No obstante, la autoridad únicamente proporcionó un listado general que contiene nombre de empresa y trayecto, omitiendo información sustancial como el tipo de servicio, vigencia de las concesiones, número de título correspondiente, estado actual de las autorizaciones y observaciones administrativas. La autoridad no declaró inexistencia de la información omitida, no la </w:t>
      </w:r>
      <w:r w:rsidRPr="0002178E">
        <w:rPr>
          <w:rFonts w:ascii="Palatino Linotype" w:eastAsia="Palatino Linotype" w:hAnsi="Palatino Linotype" w:cs="Palatino Linotype"/>
          <w:i/>
          <w:iCs/>
          <w:color w:val="000000"/>
          <w:sz w:val="24"/>
          <w:szCs w:val="24"/>
        </w:rPr>
        <w:lastRenderedPageBreak/>
        <w:t>clasificó como reservada o confidencial, ni fundó y motivó jurídicamente su omisión. En consecuencia, la respuesta resulta parcial y vulnera el principio de máxima publicidad y el deber de exhaustividad que rige el derecho de acceso a la información pública. Por lo anterior, interpongo el presente recurso de revisión a efecto de que se ordene al sujeto obligado emitir una nueva respuesta completa y debidamente fundada” (sic)</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Se registró el recurso de revisión bajo el número de expediente al rubro indicado, asimismo con fundamento en lo dispuesto por el artículo 185 fracción I de la </w:t>
      </w:r>
      <w:r w:rsidRPr="0002178E">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sidRPr="0002178E">
        <w:rPr>
          <w:rFonts w:ascii="Palatino Linotype" w:eastAsia="Palatino Linotype" w:hAnsi="Palatino Linotype" w:cs="Palatino Linotype"/>
          <w:color w:val="000000"/>
          <w:sz w:val="24"/>
          <w:szCs w:val="24"/>
        </w:rPr>
        <w:t xml:space="preserve">se turnó a la </w:t>
      </w:r>
      <w:r w:rsidRPr="0002178E">
        <w:rPr>
          <w:rFonts w:ascii="Palatino Linotype" w:eastAsia="Palatino Linotype" w:hAnsi="Palatino Linotype" w:cs="Palatino Linotype"/>
          <w:b/>
          <w:bCs/>
          <w:color w:val="000000"/>
          <w:sz w:val="24"/>
          <w:szCs w:val="24"/>
        </w:rPr>
        <w:t xml:space="preserve">Comisionada María del Rosario Mejía Ayala, </w:t>
      </w:r>
      <w:r w:rsidRPr="0002178E">
        <w:rPr>
          <w:rFonts w:ascii="Palatino Linotype" w:eastAsia="Palatino Linotype" w:hAnsi="Palatino Linotype" w:cs="Palatino Linotype"/>
          <w:color w:val="000000"/>
          <w:sz w:val="24"/>
          <w:szCs w:val="24"/>
        </w:rPr>
        <w:t>con el objeto de su análisis.</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color w:val="000000"/>
          <w:sz w:val="24"/>
          <w:szCs w:val="24"/>
        </w:rPr>
        <w:t>La Comisionada Ponente con fundamento en lo dispuesto por el artículo 185 fracción II de la ley de la materia, a través del acuerdo de admisión del</w:t>
      </w:r>
      <w:r w:rsidRPr="0002178E">
        <w:rPr>
          <w:rFonts w:ascii="Palatino Linotype" w:eastAsia="Palatino Linotype" w:hAnsi="Palatino Linotype" w:cs="Palatino Linotype"/>
          <w:b/>
          <w:bCs/>
          <w:color w:val="000000"/>
          <w:sz w:val="24"/>
          <w:szCs w:val="24"/>
        </w:rPr>
        <w:t xml:space="preserve"> doce de febrero de dos mil veintiséis</w:t>
      </w:r>
      <w:r w:rsidRPr="0002178E">
        <w:rPr>
          <w:rFonts w:ascii="Palatino Linotype" w:eastAsia="Palatino Linotype" w:hAnsi="Palatino Linotype" w:cs="Palatino Linotype"/>
          <w:color w:val="000000"/>
          <w:sz w:val="24"/>
          <w:szCs w:val="24"/>
        </w:rPr>
        <w:t xml:space="preserve">, puso a disposición de las partes el expediente electrónico vía </w:t>
      </w:r>
      <w:r w:rsidRPr="0002178E">
        <w:rPr>
          <w:rFonts w:ascii="Palatino Linotype" w:eastAsia="Palatino Linotype" w:hAnsi="Palatino Linotype" w:cs="Palatino Linotype"/>
          <w:b/>
          <w:bCs/>
          <w:color w:val="000000"/>
          <w:sz w:val="24"/>
          <w:szCs w:val="24"/>
        </w:rPr>
        <w:t xml:space="preserve">SAIMEX </w:t>
      </w:r>
      <w:r w:rsidRPr="0002178E">
        <w:rPr>
          <w:rFonts w:ascii="Palatino Linotype" w:eastAsia="Palatino Linotype" w:hAnsi="Palatino Linotype" w:cs="Palatino Linotype"/>
          <w:color w:val="000000"/>
          <w:sz w:val="24"/>
          <w:szCs w:val="24"/>
        </w:rPr>
        <w:t xml:space="preserve">a efecto de que en un plazo máximo de siete días manifestaran lo que a derecho convinieran, ofrecieran pruebas y alegatos según corresponda al caso concreto, de esta forma para que el </w:t>
      </w:r>
      <w:r w:rsidRPr="0002178E">
        <w:rPr>
          <w:rFonts w:ascii="Palatino Linotype" w:eastAsia="Palatino Linotype" w:hAnsi="Palatino Linotype" w:cs="Palatino Linotype"/>
          <w:b/>
          <w:bCs/>
          <w:color w:val="000000"/>
          <w:sz w:val="24"/>
          <w:szCs w:val="24"/>
        </w:rPr>
        <w:t>SUJETO OBLIGADO</w:t>
      </w:r>
      <w:r w:rsidRPr="0002178E">
        <w:rPr>
          <w:rFonts w:ascii="Palatino Linotype" w:eastAsia="Palatino Linotype" w:hAnsi="Palatino Linotype" w:cs="Palatino Linotype"/>
          <w:color w:val="000000"/>
          <w:sz w:val="24"/>
          <w:szCs w:val="24"/>
        </w:rPr>
        <w:t xml:space="preserve"> presentara el informe justificado procedente.</w:t>
      </w:r>
    </w:p>
    <w:p w:rsidR="00E318AB" w:rsidRPr="0002178E" w:rsidRDefault="003440D7">
      <w:pPr>
        <w:numPr>
          <w:ilvl w:val="0"/>
          <w:numId w:val="1"/>
        </w:numPr>
        <w:tabs>
          <w:tab w:val="left" w:pos="284"/>
        </w:tabs>
        <w:spacing w:before="240" w:line="360" w:lineRule="auto"/>
        <w:ind w:left="0" w:firstLine="0"/>
        <w:jc w:val="both"/>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sz w:val="24"/>
          <w:szCs w:val="24"/>
        </w:rPr>
        <w:t xml:space="preserve">De las constancias que integran el expediente electrónico, se advierte que el Recurrente no realizó manifestaciones que a su derecho convinieran; por su parte, el Sujeto Obligado entregó informe justificado el </w:t>
      </w:r>
      <w:r w:rsidRPr="0002178E">
        <w:rPr>
          <w:rFonts w:ascii="Palatino Linotype" w:eastAsia="Palatino Linotype" w:hAnsi="Palatino Linotype" w:cs="Palatino Linotype"/>
          <w:b/>
          <w:bCs/>
          <w:sz w:val="24"/>
          <w:szCs w:val="24"/>
        </w:rPr>
        <w:t>veintitrés y veintisiete de febrero de dos mil veintiséis</w:t>
      </w:r>
      <w:r w:rsidRPr="0002178E">
        <w:rPr>
          <w:rFonts w:ascii="Palatino Linotype" w:eastAsia="Palatino Linotype" w:hAnsi="Palatino Linotype" w:cs="Palatino Linotype"/>
          <w:sz w:val="24"/>
          <w:szCs w:val="24"/>
        </w:rPr>
        <w:t xml:space="preserve">, mismo que se puso a la vista del Recurrente el </w:t>
      </w:r>
      <w:r w:rsidRPr="0002178E">
        <w:rPr>
          <w:rFonts w:ascii="Palatino Linotype" w:eastAsia="Palatino Linotype" w:hAnsi="Palatino Linotype" w:cs="Palatino Linotype"/>
          <w:b/>
          <w:bCs/>
          <w:sz w:val="24"/>
          <w:szCs w:val="24"/>
        </w:rPr>
        <w:t>ocho de junio del mismo año</w:t>
      </w:r>
      <w:r w:rsidRPr="0002178E">
        <w:rPr>
          <w:rFonts w:ascii="Palatino Linotype" w:eastAsia="Palatino Linotype" w:hAnsi="Palatino Linotype" w:cs="Palatino Linotype"/>
          <w:sz w:val="24"/>
          <w:szCs w:val="24"/>
        </w:rPr>
        <w:t>, a través de los archivos que se describen enseguida:</w:t>
      </w:r>
    </w:p>
    <w:p w:rsidR="00E318AB" w:rsidRPr="0002178E" w:rsidRDefault="002B11F7">
      <w:pPr>
        <w:numPr>
          <w:ilvl w:val="0"/>
          <w:numId w:val="2"/>
        </w:numPr>
        <w:pBdr>
          <w:top w:val="nil"/>
          <w:left w:val="nil"/>
          <w:bottom w:val="nil"/>
          <w:right w:val="nil"/>
          <w:between w:val="nil"/>
        </w:pBdr>
        <w:tabs>
          <w:tab w:val="left" w:pos="284"/>
        </w:tabs>
        <w:spacing w:before="240" w:line="360" w:lineRule="auto"/>
        <w:jc w:val="both"/>
        <w:rPr>
          <w:rFonts w:ascii="Palatino Linotype" w:eastAsia="Palatino Linotype" w:hAnsi="Palatino Linotype" w:cs="Palatino Linotype"/>
          <w:b/>
          <w:bCs/>
          <w:color w:val="000000"/>
          <w:sz w:val="24"/>
          <w:szCs w:val="24"/>
        </w:rPr>
      </w:pPr>
      <w:hyperlink r:id="rId10">
        <w:r w:rsidR="003440D7" w:rsidRPr="0002178E">
          <w:rPr>
            <w:rFonts w:ascii="Palatino Linotype" w:eastAsia="Palatino Linotype" w:hAnsi="Palatino Linotype" w:cs="Palatino Linotype"/>
            <w:b/>
            <w:bCs/>
            <w:color w:val="000000"/>
            <w:sz w:val="24"/>
            <w:szCs w:val="24"/>
            <w:u w:val="single"/>
          </w:rPr>
          <w:t>CCT.UT.164.2026 IJ 1818.RR.2026.pdf</w:t>
        </w:r>
      </w:hyperlink>
      <w:r w:rsidR="003440D7" w:rsidRPr="0002178E">
        <w:rPr>
          <w:rFonts w:ascii="Palatino Linotype" w:eastAsia="Palatino Linotype" w:hAnsi="Palatino Linotype" w:cs="Palatino Linotype"/>
          <w:color w:val="000000"/>
          <w:sz w:val="24"/>
          <w:szCs w:val="24"/>
        </w:rPr>
        <w:t xml:space="preserve">: oficio número CCT/UT/164/2025 del Titular de la Unidad de Transparencia, quien señaló que se modifica la respuesta del servidor público habilitado y remite la información. </w:t>
      </w:r>
    </w:p>
    <w:p w:rsidR="00E318AB" w:rsidRPr="0002178E" w:rsidRDefault="002B11F7">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bCs/>
          <w:color w:val="000000"/>
          <w:sz w:val="24"/>
          <w:szCs w:val="24"/>
        </w:rPr>
      </w:pPr>
      <w:hyperlink r:id="rId11">
        <w:r w:rsidR="003440D7" w:rsidRPr="0002178E">
          <w:rPr>
            <w:rFonts w:ascii="Palatino Linotype" w:eastAsia="Palatino Linotype" w:hAnsi="Palatino Linotype" w:cs="Palatino Linotype"/>
            <w:b/>
            <w:bCs/>
            <w:color w:val="000000"/>
            <w:sz w:val="24"/>
            <w:szCs w:val="24"/>
            <w:u w:val="single"/>
          </w:rPr>
          <w:t>Zona IV 1818.RR.2026.pdf</w:t>
        </w:r>
      </w:hyperlink>
      <w:r w:rsidR="003440D7" w:rsidRPr="0002178E">
        <w:rPr>
          <w:rFonts w:ascii="Palatino Linotype" w:eastAsia="Palatino Linotype" w:hAnsi="Palatino Linotype" w:cs="Palatino Linotype"/>
          <w:color w:val="000000"/>
          <w:sz w:val="24"/>
          <w:szCs w:val="24"/>
        </w:rPr>
        <w:t xml:space="preserve">: oficio número 22001004A000000/0220/2026 suscrito por el Director General de Movilidad Zona IV, quien señaló que el cuadro de derrotero se refiere a la ruta, además señaló que no resguarda títulos de concesión. </w:t>
      </w:r>
    </w:p>
    <w:p w:rsidR="00E318AB" w:rsidRPr="0002178E" w:rsidRDefault="002B11F7">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bCs/>
          <w:color w:val="000000"/>
          <w:sz w:val="24"/>
          <w:szCs w:val="24"/>
        </w:rPr>
      </w:pPr>
      <w:hyperlink r:id="rId12">
        <w:r w:rsidR="003440D7" w:rsidRPr="0002178E">
          <w:rPr>
            <w:rFonts w:ascii="Palatino Linotype" w:eastAsia="Palatino Linotype" w:hAnsi="Palatino Linotype" w:cs="Palatino Linotype"/>
            <w:b/>
            <w:bCs/>
            <w:color w:val="000000"/>
            <w:sz w:val="24"/>
            <w:szCs w:val="24"/>
            <w:u w:val="single"/>
          </w:rPr>
          <w:t>Subse 01818.RR.2026.pdf</w:t>
        </w:r>
      </w:hyperlink>
      <w:r w:rsidR="003440D7" w:rsidRPr="0002178E">
        <w:rPr>
          <w:rFonts w:ascii="Palatino Linotype" w:eastAsia="Palatino Linotype" w:hAnsi="Palatino Linotype" w:cs="Palatino Linotype"/>
          <w:color w:val="000000"/>
          <w:sz w:val="24"/>
          <w:szCs w:val="24"/>
        </w:rPr>
        <w:t xml:space="preserve">: documento que contiene correo electrónico emitido por el Director de Enlace de Servicios Metropolitanos y de la Subsecretaría de Movilidad, remitido a la Titular de la Unidad de Transparencia quien señaló que la respuesta fue atendida. </w:t>
      </w:r>
    </w:p>
    <w:p w:rsidR="00E318AB" w:rsidRPr="0002178E" w:rsidRDefault="002B11F7">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hyperlink r:id="rId13">
        <w:r w:rsidR="003440D7" w:rsidRPr="0002178E">
          <w:rPr>
            <w:rFonts w:ascii="Palatino Linotype" w:eastAsia="Palatino Linotype" w:hAnsi="Palatino Linotype" w:cs="Palatino Linotype"/>
            <w:b/>
            <w:bCs/>
            <w:color w:val="000000"/>
            <w:sz w:val="24"/>
            <w:szCs w:val="24"/>
            <w:u w:val="single"/>
          </w:rPr>
          <w:t>Juridico_Contensioso 1818.RR.2026 - converted.pdf</w:t>
        </w:r>
      </w:hyperlink>
      <w:r w:rsidR="003440D7" w:rsidRPr="0002178E">
        <w:rPr>
          <w:rFonts w:ascii="Palatino Linotype" w:eastAsia="Palatino Linotype" w:hAnsi="Palatino Linotype" w:cs="Palatino Linotype"/>
          <w:color w:val="000000"/>
          <w:sz w:val="24"/>
          <w:szCs w:val="24"/>
        </w:rPr>
        <w:t>: oficio número 220000015020000L/0460/2026 de fecha dieciocho de febrero de dos mil veintiséis, suscrito por la Directora de lo Contencioso, quien señaló que “</w:t>
      </w:r>
      <w:r w:rsidR="003440D7" w:rsidRPr="0002178E">
        <w:rPr>
          <w:rFonts w:ascii="Palatino Linotype" w:eastAsia="Palatino Linotype" w:hAnsi="Palatino Linotype" w:cs="Palatino Linotype"/>
          <w:i/>
          <w:iCs/>
          <w:color w:val="000000"/>
          <w:sz w:val="24"/>
          <w:szCs w:val="24"/>
        </w:rPr>
        <w:t>derivado de una revisión exhaustiva a los archivos digitales y físicos de esta Unidad Administrativa, NO se han emitido observaciones administrativas relevantes a las empresas y rutas mencionadas derivados de un proceso administrativo sancionador; lo anterior de conformidad con el artículo 19, párrafos primero y segundo de la Ley de Transparencia y Acceso a la lnformaci6n Publ1ca del Estado de México y Munic1pios</w:t>
      </w:r>
      <w:r w:rsidR="003440D7" w:rsidRPr="0002178E">
        <w:rPr>
          <w:rFonts w:ascii="Palatino Linotype" w:eastAsia="Palatino Linotype" w:hAnsi="Palatino Linotype" w:cs="Palatino Linotype"/>
          <w:color w:val="000000"/>
          <w:sz w:val="24"/>
          <w:szCs w:val="24"/>
        </w:rPr>
        <w:t xml:space="preserve">”. </w:t>
      </w:r>
    </w:p>
    <w:p w:rsidR="00E318AB" w:rsidRPr="0002178E" w:rsidRDefault="002B11F7">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bCs/>
          <w:color w:val="000000"/>
          <w:sz w:val="24"/>
          <w:szCs w:val="24"/>
        </w:rPr>
      </w:pPr>
      <w:hyperlink r:id="rId14">
        <w:r w:rsidR="003440D7" w:rsidRPr="0002178E">
          <w:rPr>
            <w:rFonts w:ascii="Palatino Linotype" w:eastAsia="Palatino Linotype" w:hAnsi="Palatino Linotype" w:cs="Palatino Linotype"/>
            <w:b/>
            <w:bCs/>
            <w:color w:val="000000"/>
            <w:sz w:val="24"/>
            <w:szCs w:val="24"/>
            <w:u w:val="single"/>
          </w:rPr>
          <w:t>Pruebas Supervinientes 01818.2026 (1).pdf</w:t>
        </w:r>
      </w:hyperlink>
      <w:r w:rsidR="003440D7" w:rsidRPr="0002178E">
        <w:rPr>
          <w:rFonts w:ascii="Palatino Linotype" w:eastAsia="Palatino Linotype" w:hAnsi="Palatino Linotype" w:cs="Palatino Linotype"/>
          <w:color w:val="000000"/>
          <w:sz w:val="24"/>
          <w:szCs w:val="24"/>
        </w:rPr>
        <w:t xml:space="preserve">: oficio número CCT/UT/0190/2026 de fecha veintisiete de febrero de dos mil veintiséis, suscrito por la Titular de la Unidad de Transparencia, quien señaló que se remite informe justificado. </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2B11F7">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bCs/>
          <w:color w:val="000000"/>
          <w:sz w:val="24"/>
          <w:szCs w:val="24"/>
        </w:rPr>
      </w:pPr>
      <w:hyperlink r:id="rId15">
        <w:r w:rsidR="003440D7" w:rsidRPr="0002178E">
          <w:rPr>
            <w:rFonts w:ascii="Palatino Linotype" w:eastAsia="Palatino Linotype" w:hAnsi="Palatino Linotype" w:cs="Palatino Linotype"/>
            <w:b/>
            <w:bCs/>
            <w:color w:val="000000"/>
            <w:sz w:val="24"/>
            <w:szCs w:val="24"/>
            <w:u w:val="single"/>
          </w:rPr>
          <w:t>Archivo RR 01818-2026.pdf</w:t>
        </w:r>
      </w:hyperlink>
      <w:r w:rsidR="003440D7" w:rsidRPr="0002178E">
        <w:rPr>
          <w:rFonts w:ascii="Palatino Linotype" w:eastAsia="Palatino Linotype" w:hAnsi="Palatino Linotype" w:cs="Palatino Linotype"/>
          <w:color w:val="000000"/>
          <w:sz w:val="24"/>
          <w:szCs w:val="24"/>
        </w:rPr>
        <w:t xml:space="preserve">: documento con una tabla en la que se advierte el número de concesión y la fecha de vencimiento de las empresas de transporte. </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El</w:t>
      </w:r>
      <w:r w:rsidRPr="0002178E">
        <w:rPr>
          <w:rFonts w:ascii="Palatino Linotype" w:eastAsia="Palatino Linotype" w:hAnsi="Palatino Linotype" w:cs="Palatino Linotype"/>
          <w:b/>
          <w:bCs/>
          <w:color w:val="000000"/>
          <w:sz w:val="24"/>
          <w:szCs w:val="24"/>
        </w:rPr>
        <w:t xml:space="preserve"> veintinueve de mayo de dos mil veintiséis</w:t>
      </w:r>
      <w:r w:rsidRPr="0002178E">
        <w:rPr>
          <w:rFonts w:ascii="Palatino Linotype" w:eastAsia="Palatino Linotype" w:hAnsi="Palatino Linotype" w:cs="Palatino Linotype"/>
          <w:color w:val="000000"/>
          <w:sz w:val="24"/>
          <w:szCs w:val="24"/>
        </w:rPr>
        <w:t>, se notificó el acuerdo mediante el cual se amplió el plazo para emitir resolución.</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w:t>
      </w:r>
      <w:r w:rsidRPr="0002178E">
        <w:rPr>
          <w:rFonts w:ascii="Palatino Linotype" w:eastAsia="Palatino Linotype" w:hAnsi="Palatino Linotype" w:cs="Palatino Linotype"/>
          <w:b/>
          <w:bCs/>
          <w:color w:val="000000"/>
          <w:sz w:val="24"/>
          <w:szCs w:val="24"/>
        </w:rPr>
        <w:t>doce de junio de dos mil veintiséis</w:t>
      </w:r>
      <w:r w:rsidRPr="0002178E">
        <w:rPr>
          <w:rFonts w:ascii="Palatino Linotype" w:eastAsia="Palatino Linotype" w:hAnsi="Palatino Linotype" w:cs="Palatino Linotype"/>
          <w:color w:val="000000"/>
          <w:sz w:val="24"/>
          <w:szCs w:val="24"/>
        </w:rPr>
        <w:t>, la Comisionada Ponente notificó el acuerdo mediante el cual se decretó el cierre de instrucción. Por lo que turnó la presente resolución para su aprobación y</w:t>
      </w:r>
    </w:p>
    <w:p w:rsidR="00E318AB" w:rsidRPr="0002178E" w:rsidRDefault="003440D7">
      <w:pPr>
        <w:pStyle w:val="Ttulo1"/>
        <w:jc w:val="center"/>
        <w:rPr>
          <w:rFonts w:ascii="Palatino Linotype" w:eastAsia="Palatino Linotype" w:hAnsi="Palatino Linotype" w:cs="Palatino Linotype"/>
          <w:b/>
          <w:bCs/>
          <w:color w:val="000000"/>
          <w:sz w:val="24"/>
          <w:szCs w:val="24"/>
        </w:rPr>
      </w:pPr>
      <w:bookmarkStart w:id="4" w:name="_heading=h.1fob9te" w:colFirst="0" w:colLast="0"/>
      <w:bookmarkEnd w:id="4"/>
      <w:r w:rsidRPr="0002178E">
        <w:rPr>
          <w:rFonts w:ascii="Palatino Linotype" w:eastAsia="Palatino Linotype" w:hAnsi="Palatino Linotype" w:cs="Palatino Linotype"/>
          <w:b/>
          <w:bCs/>
          <w:color w:val="000000"/>
          <w:sz w:val="24"/>
          <w:szCs w:val="24"/>
        </w:rPr>
        <w:t>C</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O</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N</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S</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I</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D</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E</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R</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A</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N</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D</w:t>
      </w:r>
      <w:r w:rsidR="0002178E">
        <w:rPr>
          <w:rFonts w:ascii="Palatino Linotype" w:eastAsia="Palatino Linotype" w:hAnsi="Palatino Linotype" w:cs="Palatino Linotype"/>
          <w:b/>
          <w:bCs/>
          <w:color w:val="000000"/>
          <w:sz w:val="24"/>
          <w:szCs w:val="24"/>
        </w:rPr>
        <w:t xml:space="preserve"> </w:t>
      </w:r>
      <w:r w:rsidRPr="0002178E">
        <w:rPr>
          <w:rFonts w:ascii="Palatino Linotype" w:eastAsia="Palatino Linotype" w:hAnsi="Palatino Linotype" w:cs="Palatino Linotype"/>
          <w:b/>
          <w:bCs/>
          <w:color w:val="000000"/>
          <w:sz w:val="24"/>
          <w:szCs w:val="24"/>
        </w:rPr>
        <w:t xml:space="preserve">O </w:t>
      </w:r>
    </w:p>
    <w:p w:rsidR="00E318AB" w:rsidRPr="0002178E" w:rsidRDefault="00E318AB">
      <w:pPr>
        <w:rPr>
          <w:sz w:val="24"/>
          <w:szCs w:val="24"/>
        </w:rPr>
      </w:pPr>
    </w:p>
    <w:p w:rsidR="00E318AB" w:rsidRPr="0002178E" w:rsidRDefault="003440D7">
      <w:pPr>
        <w:pStyle w:val="Ttulo2"/>
        <w:rPr>
          <w:rFonts w:ascii="Palatino Linotype" w:eastAsia="Palatino Linotype" w:hAnsi="Palatino Linotype" w:cs="Palatino Linotype"/>
          <w:b/>
          <w:bCs/>
          <w:color w:val="000000"/>
          <w:sz w:val="24"/>
          <w:szCs w:val="24"/>
        </w:rPr>
      </w:pPr>
      <w:bookmarkStart w:id="5" w:name="_heading=h.3znysh7" w:colFirst="0" w:colLast="0"/>
      <w:bookmarkEnd w:id="5"/>
      <w:r w:rsidRPr="0002178E">
        <w:rPr>
          <w:rFonts w:ascii="Palatino Linotype" w:eastAsia="Palatino Linotype" w:hAnsi="Palatino Linotype" w:cs="Palatino Linotype"/>
          <w:b/>
          <w:bCs/>
          <w:color w:val="000000"/>
          <w:sz w:val="24"/>
          <w:szCs w:val="24"/>
        </w:rPr>
        <w:t>PRIMERO. De la competencia</w:t>
      </w:r>
    </w:p>
    <w:p w:rsidR="00E318AB" w:rsidRPr="0002178E" w:rsidRDefault="003440D7">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E318AB" w:rsidRPr="0002178E" w:rsidRDefault="003440D7">
      <w:pPr>
        <w:pStyle w:val="Ttulo2"/>
        <w:rPr>
          <w:rFonts w:ascii="Palatino Linotype" w:eastAsia="Palatino Linotype" w:hAnsi="Palatino Linotype" w:cs="Palatino Linotype"/>
          <w:b/>
          <w:bCs/>
          <w:color w:val="000000"/>
          <w:sz w:val="24"/>
          <w:szCs w:val="24"/>
        </w:rPr>
      </w:pPr>
      <w:bookmarkStart w:id="6" w:name="_heading=h.2et92p0" w:colFirst="0" w:colLast="0"/>
      <w:bookmarkEnd w:id="6"/>
      <w:r w:rsidRPr="0002178E">
        <w:rPr>
          <w:rFonts w:ascii="Palatino Linotype" w:eastAsia="Palatino Linotype" w:hAnsi="Palatino Linotype" w:cs="Palatino Linotype"/>
          <w:b/>
          <w:bCs/>
          <w:color w:val="000000"/>
          <w:sz w:val="24"/>
          <w:szCs w:val="24"/>
        </w:rPr>
        <w:lastRenderedPageBreak/>
        <w:t>SEGUNDO. De la oportunidad y procedencia.</w:t>
      </w:r>
    </w:p>
    <w:p w:rsidR="00E318AB" w:rsidRPr="0002178E" w:rsidRDefault="003440D7">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medio de impugnación fue presentado a través del </w:t>
      </w:r>
      <w:r w:rsidRPr="0002178E">
        <w:rPr>
          <w:rFonts w:ascii="Palatino Linotype" w:eastAsia="Palatino Linotype" w:hAnsi="Palatino Linotype" w:cs="Palatino Linotype"/>
          <w:b/>
          <w:bCs/>
          <w:color w:val="000000"/>
          <w:sz w:val="24"/>
          <w:szCs w:val="24"/>
        </w:rPr>
        <w:t>SAIMEX,</w:t>
      </w:r>
      <w:r w:rsidRPr="0002178E">
        <w:rPr>
          <w:rFonts w:ascii="Palatino Linotype" w:eastAsia="Palatino Linotype" w:hAnsi="Palatino Linotype" w:cs="Palatino Linotype"/>
          <w:color w:val="000000"/>
          <w:sz w:val="24"/>
          <w:szCs w:val="24"/>
        </w:rPr>
        <w:t xml:space="preserve"> en el formato previamente aprobado para tal efecto y dentro del plazo legal de quince días hábiles otorgados; siendo así que el </w:t>
      </w:r>
      <w:r w:rsidRPr="0002178E">
        <w:rPr>
          <w:rFonts w:ascii="Palatino Linotype" w:eastAsia="Palatino Linotype" w:hAnsi="Palatino Linotype" w:cs="Palatino Linotype"/>
          <w:b/>
          <w:bCs/>
          <w:color w:val="000000"/>
          <w:sz w:val="24"/>
          <w:szCs w:val="24"/>
        </w:rPr>
        <w:t>SUJETO OBLIGADO</w:t>
      </w:r>
      <w:r w:rsidRPr="0002178E">
        <w:rPr>
          <w:rFonts w:ascii="Palatino Linotype" w:eastAsia="Palatino Linotype" w:hAnsi="Palatino Linotype" w:cs="Palatino Linotype"/>
          <w:color w:val="000000"/>
          <w:sz w:val="24"/>
          <w:szCs w:val="24"/>
        </w:rPr>
        <w:t xml:space="preserve"> entregó respuesta a la solicitud el día</w:t>
      </w:r>
      <w:r w:rsidRPr="0002178E">
        <w:rPr>
          <w:rFonts w:ascii="Palatino Linotype" w:eastAsia="Palatino Linotype" w:hAnsi="Palatino Linotype" w:cs="Palatino Linotype"/>
          <w:b/>
          <w:bCs/>
          <w:color w:val="000000"/>
          <w:sz w:val="24"/>
          <w:szCs w:val="24"/>
        </w:rPr>
        <w:t xml:space="preserve"> once de febrero de dos mil veintiséis</w:t>
      </w:r>
      <w:r w:rsidRPr="0002178E">
        <w:rPr>
          <w:rFonts w:ascii="Palatino Linotype" w:eastAsia="Palatino Linotype" w:hAnsi="Palatino Linotype" w:cs="Palatino Linotype"/>
          <w:color w:val="000000"/>
          <w:sz w:val="24"/>
          <w:szCs w:val="24"/>
        </w:rPr>
        <w:t>, de tal forma que el plazo para interponer el recurso de revisión transcurrió del</w:t>
      </w:r>
      <w:r w:rsidRPr="0002178E">
        <w:rPr>
          <w:rFonts w:ascii="Palatino Linotype" w:eastAsia="Palatino Linotype" w:hAnsi="Palatino Linotype" w:cs="Palatino Linotype"/>
          <w:b/>
          <w:bCs/>
          <w:color w:val="000000"/>
          <w:sz w:val="24"/>
          <w:szCs w:val="24"/>
        </w:rPr>
        <w:t xml:space="preserve"> doce de febrero al cinco de marzo de dos mil veintiséis</w:t>
      </w:r>
      <w:r w:rsidRPr="0002178E">
        <w:rPr>
          <w:rFonts w:ascii="Palatino Linotype" w:eastAsia="Palatino Linotype" w:hAnsi="Palatino Linotype" w:cs="Palatino Linotype"/>
          <w:color w:val="000000"/>
          <w:sz w:val="24"/>
          <w:szCs w:val="24"/>
        </w:rPr>
        <w:t xml:space="preserve">; en consecuencia, presentó su inconformidad el día </w:t>
      </w:r>
      <w:r w:rsidRPr="0002178E">
        <w:rPr>
          <w:rFonts w:ascii="Palatino Linotype" w:eastAsia="Palatino Linotype" w:hAnsi="Palatino Linotype" w:cs="Palatino Linotype"/>
          <w:b/>
          <w:bCs/>
          <w:color w:val="000000"/>
          <w:sz w:val="24"/>
          <w:szCs w:val="24"/>
        </w:rPr>
        <w:t>once de febrero de dos mil veintiséis</w:t>
      </w:r>
      <w:r w:rsidRPr="0002178E">
        <w:rPr>
          <w:rFonts w:ascii="Palatino Linotype" w:eastAsia="Palatino Linotype" w:hAnsi="Palatino Linotype" w:cs="Palatino Linotype"/>
          <w:color w:val="000000"/>
          <w:sz w:val="24"/>
          <w:szCs w:val="24"/>
        </w:rPr>
        <w:t xml:space="preserve">, por lo que se encuentra dentro de los márgenes temporales previstos en el artículo 178 de la </w:t>
      </w:r>
      <w:r w:rsidRPr="0002178E">
        <w:rPr>
          <w:rFonts w:ascii="Palatino Linotype" w:eastAsia="Palatino Linotype" w:hAnsi="Palatino Linotype" w:cs="Palatino Linotype"/>
          <w:b/>
          <w:bCs/>
          <w:color w:val="000000"/>
          <w:sz w:val="24"/>
          <w:szCs w:val="24"/>
        </w:rPr>
        <w:t xml:space="preserve">Ley de Transparencia y Acceso a la Información Pública del Estado de México y Municipios </w:t>
      </w:r>
      <w:r w:rsidRPr="0002178E">
        <w:rPr>
          <w:rFonts w:ascii="Palatino Linotype" w:eastAsia="Palatino Linotype" w:hAnsi="Palatino Linotype" w:cs="Palatino Linotype"/>
          <w:color w:val="000000"/>
          <w:sz w:val="24"/>
          <w:szCs w:val="24"/>
        </w:rPr>
        <w:t>vigente.</w:t>
      </w:r>
    </w:p>
    <w:p w:rsidR="00E318AB" w:rsidRPr="0002178E" w:rsidRDefault="003440D7">
      <w:pPr>
        <w:numPr>
          <w:ilvl w:val="0"/>
          <w:numId w:val="1"/>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color w:val="555555"/>
          <w:sz w:val="24"/>
          <w:szCs w:val="24"/>
        </w:rPr>
      </w:pPr>
      <w:r w:rsidRPr="0002178E">
        <w:rPr>
          <w:rFonts w:ascii="Palatino Linotype" w:eastAsia="Palatino Linotype" w:hAnsi="Palatino Linotype" w:cs="Palatino Linotype"/>
          <w:color w:val="000000"/>
          <w:sz w:val="24"/>
          <w:szCs w:val="24"/>
        </w:rPr>
        <w:t>Cuando el medio de impugnación, se haya interpuesto el mismo día en que se notificó la respuesta impugnada,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E318AB" w:rsidRPr="0002178E" w:rsidRDefault="00E318AB">
      <w:pPr>
        <w:pBdr>
          <w:top w:val="nil"/>
          <w:left w:val="nil"/>
          <w:bottom w:val="nil"/>
          <w:right w:val="nil"/>
          <w:between w:val="nil"/>
        </w:pBdr>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E318AB" w:rsidRPr="0002178E" w:rsidRDefault="003440D7">
      <w:pPr>
        <w:spacing w:before="240"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lastRenderedPageBreak/>
        <w:t>RECURSO DE RECLAMACIÓN. SU INTERPOSICIÓN NO ES EXTEMPORÁNEA SI SE REALIZA ANTES DE QUE INICIE EL PLAZO PARA HACERLO.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 1a./J. 41/2015 (10a.) </w:t>
      </w: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Recurso de reclamación 953/2013. 9 de abril de 2014. Cinco votos de los Ministros Arturo Zaldívar Lelo de Larrea, José Ramón Cossío Díaz, Alfredo Gutiérrez Ortiz Mena, Olga Sánchez Cordero de García Villegas y Jorge Mario Pardo Rebolledo. Ponente: Arturo Zaldívar Lelo de Larrea. Secretaria: Carmina Cortés Rodríguez. </w:t>
      </w:r>
    </w:p>
    <w:p w:rsidR="00E318AB" w:rsidRPr="0002178E" w:rsidRDefault="00E318AB">
      <w:pPr>
        <w:spacing w:line="276" w:lineRule="auto"/>
        <w:ind w:left="851" w:right="822"/>
        <w:jc w:val="both"/>
        <w:rPr>
          <w:rFonts w:ascii="Palatino Linotype" w:eastAsia="Palatino Linotype" w:hAnsi="Palatino Linotype" w:cs="Palatino Linotype"/>
          <w:i/>
          <w:iCs/>
          <w:sz w:val="24"/>
          <w:szCs w:val="24"/>
        </w:rPr>
      </w:pP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Recurso de reclamación 1067/2014. Raúl Rodríguez Cervantes. 28 de enero de 2015. Cinco votos de los Ministros Arturo Zaldívar Lelo de Larrea, José Ramón Cossío Díaz, Jorge Mario Pardo Rebolledo, Olga Sánchez Cordero de García Villegas y Alfredo Gutiérrez Ortiz Mena. Ponente: Alfredo Gutiérrez Ortiz Mena. Secretaria: Cecilia Armengol Alonso. </w:t>
      </w:r>
    </w:p>
    <w:p w:rsidR="00E318AB" w:rsidRPr="0002178E" w:rsidRDefault="00E318AB">
      <w:pPr>
        <w:spacing w:line="276" w:lineRule="auto"/>
        <w:ind w:left="851" w:right="822"/>
        <w:jc w:val="both"/>
        <w:rPr>
          <w:rFonts w:ascii="Palatino Linotype" w:eastAsia="Palatino Linotype" w:hAnsi="Palatino Linotype" w:cs="Palatino Linotype"/>
          <w:i/>
          <w:iCs/>
          <w:sz w:val="24"/>
          <w:szCs w:val="24"/>
        </w:rPr>
      </w:pP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Recurso de reclamación 895/2014. 18 de febrero de 2015. Cinco votos de los Ministros Arturo Zaldívar Lelo de Larrea, José Ramón Cossío Díaz, Jorge Mario Pardo Rebolledo, Olga Sánchez Cordero de García Villegas y Alfredo Gutiérrez Ortiz Mena. Ponente: José Ramón Cossío Díaz. Secretario: Rodrigo Montes de Oca Arboleya. </w:t>
      </w:r>
    </w:p>
    <w:p w:rsidR="00E318AB" w:rsidRPr="0002178E" w:rsidRDefault="00E318AB">
      <w:pPr>
        <w:spacing w:line="276" w:lineRule="auto"/>
        <w:ind w:left="851" w:right="822"/>
        <w:jc w:val="both"/>
        <w:rPr>
          <w:rFonts w:ascii="Palatino Linotype" w:eastAsia="Palatino Linotype" w:hAnsi="Palatino Linotype" w:cs="Palatino Linotype"/>
          <w:i/>
          <w:iCs/>
          <w:sz w:val="24"/>
          <w:szCs w:val="24"/>
        </w:rPr>
      </w:pP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Recurso de reclamación 1164/2014. Paula Abascal Valdez. 18 de febrero de 2015. Cinco votos de los Ministros Arturo Zaldívar Lelo de Larrea, José Ramón Cossío Díaz, Jorge Mario Pardo Rebolledo, Olga Sánchez Cordero de García Villegas y Alfredo Gutiérrez Ortiz Mena. Ponente: José Ramón Cossío Díaz. Secretaria: Lorena Goslinga Remírez. </w:t>
      </w:r>
    </w:p>
    <w:p w:rsidR="00E318AB" w:rsidRPr="0002178E" w:rsidRDefault="00E318AB">
      <w:pPr>
        <w:spacing w:line="276" w:lineRule="auto"/>
        <w:ind w:left="851" w:right="822"/>
        <w:jc w:val="both"/>
        <w:rPr>
          <w:rFonts w:ascii="Palatino Linotype" w:eastAsia="Palatino Linotype" w:hAnsi="Palatino Linotype" w:cs="Palatino Linotype"/>
          <w:i/>
          <w:iCs/>
          <w:sz w:val="24"/>
          <w:szCs w:val="24"/>
        </w:rPr>
      </w:pPr>
    </w:p>
    <w:p w:rsidR="00E318AB" w:rsidRPr="0002178E" w:rsidRDefault="003440D7">
      <w:pPr>
        <w:spacing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 xml:space="preserve">Recurso de reclamación 1231/2014. 18 de marzo de 2015. Cinco votos de los Ministros Arturo Zaldívar Lelo de Larrea, José Ramón Cossío Díaz, Jorge Mario Pardo Rebolledo, Olga Sánchez Cordero de García Villegas y Alfredo Gutiérrez Ortiz Mena. Ponente: Arturo Zaldívar Lelo de Larrea. Secretario: Saúl Armando Patiño Lara. </w:t>
      </w:r>
    </w:p>
    <w:p w:rsidR="00E318AB" w:rsidRPr="0002178E" w:rsidRDefault="00E318AB">
      <w:pPr>
        <w:spacing w:line="276" w:lineRule="auto"/>
        <w:ind w:left="851" w:right="822"/>
        <w:jc w:val="both"/>
        <w:rPr>
          <w:rFonts w:ascii="Palatino Linotype" w:eastAsia="Palatino Linotype" w:hAnsi="Palatino Linotype" w:cs="Palatino Linotype"/>
          <w:i/>
          <w:iCs/>
          <w:sz w:val="24"/>
          <w:szCs w:val="24"/>
        </w:rPr>
      </w:pPr>
    </w:p>
    <w:p w:rsidR="00E318AB" w:rsidRPr="0002178E" w:rsidRDefault="003440D7">
      <w:pPr>
        <w:spacing w:after="240" w:line="276"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Tesis de jurisprudencia 41/2015 (10a.). Aprobada por la Primera Sala de este Alto Tribunal, en sesión privada de veintisiete de mayo de dos mil quince.</w:t>
      </w:r>
    </w:p>
    <w:p w:rsidR="00E318AB" w:rsidRPr="0002178E" w:rsidRDefault="003440D7">
      <w:pPr>
        <w:numPr>
          <w:ilvl w:val="0"/>
          <w:numId w:val="1"/>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color w:val="000000"/>
          <w:sz w:val="24"/>
          <w:szCs w:val="24"/>
        </w:rPr>
        <w:t>Esto es así porque en primer lugar es necesario que la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E318AB" w:rsidRPr="0002178E" w:rsidRDefault="00E318AB">
      <w:pPr>
        <w:pBdr>
          <w:top w:val="nil"/>
          <w:left w:val="nil"/>
          <w:bottom w:val="nil"/>
          <w:right w:val="nil"/>
          <w:between w:val="nil"/>
        </w:pBdr>
        <w:spacing w:before="240" w:line="360" w:lineRule="auto"/>
        <w:ind w:left="4613" w:right="49"/>
        <w:jc w:val="both"/>
        <w:rPr>
          <w:rFonts w:ascii="Palatino Linotype" w:eastAsia="Palatino Linotype" w:hAnsi="Palatino Linotype" w:cs="Palatino Linotype"/>
          <w:sz w:val="24"/>
          <w:szCs w:val="24"/>
        </w:rPr>
      </w:pPr>
    </w:p>
    <w:p w:rsidR="00E318AB" w:rsidRPr="0002178E" w:rsidRDefault="003440D7">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color w:val="000000"/>
          <w:sz w:val="24"/>
          <w:szCs w:val="24"/>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E318AB" w:rsidRPr="0002178E" w:rsidRDefault="00E318AB">
      <w:pPr>
        <w:pBdr>
          <w:top w:val="nil"/>
          <w:left w:val="nil"/>
          <w:bottom w:val="nil"/>
          <w:right w:val="nil"/>
          <w:between w:val="nil"/>
        </w:pBdr>
        <w:rPr>
          <w:rFonts w:ascii="Palatino Linotype" w:eastAsia="Palatino Linotype" w:hAnsi="Palatino Linotype" w:cs="Palatino Linotype"/>
          <w:i/>
          <w:iCs/>
          <w:color w:val="000000"/>
          <w:sz w:val="24"/>
          <w:szCs w:val="24"/>
        </w:rPr>
      </w:pPr>
    </w:p>
    <w:p w:rsidR="00E318AB" w:rsidRPr="0002178E" w:rsidRDefault="003440D7">
      <w:pPr>
        <w:numPr>
          <w:ilvl w:val="0"/>
          <w:numId w:val="1"/>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color w:val="000000"/>
          <w:sz w:val="24"/>
          <w:szCs w:val="24"/>
        </w:rPr>
        <w:t xml:space="preserve">Por lo tanto, la interposición del recursos de revisión antes de que inicie el plazo para su presentación no es determinante para declararlo extemporáneo, siempre y cuando ello ocurra de manera posterior a que se ha notificado la respuesta del </w:t>
      </w:r>
      <w:r w:rsidRPr="0002178E">
        <w:rPr>
          <w:rFonts w:ascii="Palatino Linotype" w:eastAsia="Palatino Linotype" w:hAnsi="Palatino Linotype" w:cs="Palatino Linotype"/>
          <w:b/>
          <w:bCs/>
          <w:color w:val="000000"/>
          <w:sz w:val="24"/>
          <w:szCs w:val="24"/>
        </w:rPr>
        <w:t>SUJETO OBLIGADO</w:t>
      </w:r>
      <w:r w:rsidRPr="0002178E">
        <w:rPr>
          <w:rFonts w:ascii="Palatino Linotype" w:eastAsia="Palatino Linotype" w:hAnsi="Palatino Linotype" w:cs="Palatino Linotype"/>
          <w:color w:val="000000"/>
          <w:sz w:val="24"/>
          <w:szCs w:val="24"/>
        </w:rPr>
        <w:t>.</w:t>
      </w:r>
    </w:p>
    <w:p w:rsidR="00E318AB" w:rsidRPr="0002178E" w:rsidRDefault="003440D7">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318AB" w:rsidRPr="0002178E" w:rsidRDefault="00E318AB">
      <w:pPr>
        <w:tabs>
          <w:tab w:val="left" w:pos="284"/>
        </w:tabs>
        <w:spacing w:line="360" w:lineRule="auto"/>
        <w:jc w:val="both"/>
        <w:rPr>
          <w:rFonts w:ascii="Palatino Linotype" w:eastAsia="Palatino Linotype" w:hAnsi="Palatino Linotype" w:cs="Palatino Linotype"/>
          <w:color w:val="000000"/>
          <w:sz w:val="24"/>
          <w:szCs w:val="24"/>
        </w:rPr>
      </w:pPr>
    </w:p>
    <w:p w:rsidR="00E318AB" w:rsidRPr="0002178E" w:rsidRDefault="003440D7">
      <w:pPr>
        <w:pStyle w:val="Ttulo1"/>
        <w:spacing w:before="0" w:line="360" w:lineRule="auto"/>
        <w:rPr>
          <w:rFonts w:ascii="Palatino Linotype" w:eastAsia="Palatino Linotype" w:hAnsi="Palatino Linotype" w:cs="Palatino Linotype"/>
          <w:b/>
          <w:bCs/>
          <w:color w:val="000000"/>
          <w:sz w:val="24"/>
          <w:szCs w:val="24"/>
        </w:rPr>
      </w:pPr>
      <w:bookmarkStart w:id="7" w:name="_heading=h.3dy6vkm" w:colFirst="0" w:colLast="0"/>
      <w:bookmarkEnd w:id="7"/>
      <w:r w:rsidRPr="0002178E">
        <w:rPr>
          <w:rFonts w:ascii="Palatino Linotype" w:eastAsia="Palatino Linotype" w:hAnsi="Palatino Linotype" w:cs="Palatino Linotype"/>
          <w:b/>
          <w:bCs/>
          <w:color w:val="000000"/>
          <w:sz w:val="24"/>
          <w:szCs w:val="24"/>
        </w:rPr>
        <w:t>CUARTO. Causales de Sobreseimiento</w:t>
      </w:r>
    </w:p>
    <w:p w:rsidR="00E318AB" w:rsidRPr="0002178E" w:rsidRDefault="003440D7">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02178E">
        <w:rPr>
          <w:rFonts w:ascii="Palatino Linotype" w:eastAsia="Palatino Linotype" w:hAnsi="Palatino Linotype" w:cs="Palatino Linotype"/>
          <w:b/>
          <w:bCs/>
          <w:color w:val="000000"/>
          <w:sz w:val="24"/>
          <w:szCs w:val="24"/>
          <w:u w:val="single"/>
        </w:rPr>
        <w:t>sobreseimiento</w:t>
      </w:r>
      <w:r w:rsidRPr="0002178E">
        <w:rPr>
          <w:rFonts w:ascii="Palatino Linotype" w:eastAsia="Palatino Linotype" w:hAnsi="Palatino Linotype" w:cs="Palatino Linotype"/>
          <w:color w:val="000000"/>
          <w:sz w:val="24"/>
          <w:szCs w:val="24"/>
        </w:rPr>
        <w:t xml:space="preserve">; y en su caso ordenar la entrega de la información con respecto a la respuesta emitida por el </w:t>
      </w:r>
      <w:r w:rsidRPr="0002178E">
        <w:rPr>
          <w:rFonts w:ascii="Palatino Linotype" w:eastAsia="Palatino Linotype" w:hAnsi="Palatino Linotype" w:cs="Palatino Linotype"/>
          <w:b/>
          <w:bCs/>
          <w:color w:val="000000"/>
          <w:sz w:val="24"/>
          <w:szCs w:val="24"/>
        </w:rPr>
        <w:t>SUJETO</w:t>
      </w:r>
      <w:r w:rsidRPr="0002178E">
        <w:rPr>
          <w:rFonts w:ascii="Palatino Linotype" w:eastAsia="Palatino Linotype" w:hAnsi="Palatino Linotype" w:cs="Palatino Linotype"/>
          <w:color w:val="000000"/>
          <w:sz w:val="24"/>
          <w:szCs w:val="24"/>
        </w:rPr>
        <w:t xml:space="preserve"> </w:t>
      </w:r>
      <w:r w:rsidRPr="0002178E">
        <w:rPr>
          <w:rFonts w:ascii="Palatino Linotype" w:eastAsia="Palatino Linotype" w:hAnsi="Palatino Linotype" w:cs="Palatino Linotype"/>
          <w:b/>
          <w:bCs/>
          <w:color w:val="000000"/>
          <w:sz w:val="24"/>
          <w:szCs w:val="24"/>
        </w:rPr>
        <w:t>OBLIGADO</w:t>
      </w:r>
      <w:r w:rsidRPr="0002178E">
        <w:rPr>
          <w:rFonts w:ascii="Palatino Linotype" w:eastAsia="Palatino Linotype" w:hAnsi="Palatino Linotype" w:cs="Palatino Linotype"/>
          <w:color w:val="000000"/>
          <w:sz w:val="24"/>
          <w:szCs w:val="24"/>
        </w:rPr>
        <w:t>.</w:t>
      </w:r>
    </w:p>
    <w:p w:rsidR="00E318AB" w:rsidRPr="0002178E" w:rsidRDefault="00E318A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De acuerdo al precepto legal contenido en la fracción III del artículo 192 de la </w:t>
      </w:r>
      <w:r w:rsidRPr="0002178E">
        <w:rPr>
          <w:rFonts w:ascii="Palatino Linotype" w:eastAsia="Palatino Linotype" w:hAnsi="Palatino Linotype" w:cs="Palatino Linotype"/>
          <w:b/>
          <w:bCs/>
          <w:color w:val="000000"/>
          <w:sz w:val="24"/>
          <w:szCs w:val="24"/>
        </w:rPr>
        <w:t>Ley de Transparencia y Acceso a la Información Pública del Estado de México y Municipios</w:t>
      </w:r>
      <w:r w:rsidRPr="0002178E">
        <w:rPr>
          <w:rFonts w:ascii="Palatino Linotype" w:eastAsia="Palatino Linotype" w:hAnsi="Palatino Linotype" w:cs="Palatino Linotype"/>
          <w:color w:val="000000"/>
          <w:sz w:val="24"/>
          <w:szCs w:val="24"/>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rsidR="00E318AB" w:rsidRPr="0002178E" w:rsidRDefault="00E318AB">
      <w:pPr>
        <w:pBdr>
          <w:top w:val="nil"/>
          <w:left w:val="nil"/>
          <w:bottom w:val="nil"/>
          <w:right w:val="nil"/>
          <w:between w:val="nil"/>
        </w:pBdr>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Para los efectos de esta resolución, es oportuno precisar los alcances jurídicos de la fracción III de la disposición legal transcrita. Así, procede el sobreseimiento del recurso de revisión cuando el </w:t>
      </w:r>
      <w:r w:rsidRPr="0002178E">
        <w:rPr>
          <w:rFonts w:ascii="Palatino Linotype" w:eastAsia="Palatino Linotype" w:hAnsi="Palatino Linotype" w:cs="Palatino Linotype"/>
          <w:b/>
          <w:bCs/>
          <w:color w:val="000000"/>
          <w:sz w:val="24"/>
          <w:szCs w:val="24"/>
        </w:rPr>
        <w:t>SUJETO OBLIGADO</w:t>
      </w:r>
      <w:r w:rsidRPr="0002178E">
        <w:rPr>
          <w:rFonts w:ascii="Palatino Linotype" w:eastAsia="Palatino Linotype" w:hAnsi="Palatino Linotype" w:cs="Palatino Linotype"/>
          <w:color w:val="000000"/>
          <w:sz w:val="24"/>
          <w:szCs w:val="24"/>
        </w:rPr>
        <w:t>:</w:t>
      </w:r>
    </w:p>
    <w:p w:rsidR="00E318AB" w:rsidRPr="0002178E" w:rsidRDefault="00E318AB">
      <w:pPr>
        <w:rPr>
          <w:rFonts w:ascii="Palatino Linotype" w:eastAsia="Palatino Linotype" w:hAnsi="Palatino Linotype" w:cs="Palatino Linotype"/>
          <w:color w:val="000000"/>
          <w:sz w:val="24"/>
          <w:szCs w:val="24"/>
        </w:rPr>
      </w:pPr>
    </w:p>
    <w:p w:rsidR="00E318AB" w:rsidRPr="0002178E" w:rsidRDefault="003440D7">
      <w:pPr>
        <w:numPr>
          <w:ilvl w:val="0"/>
          <w:numId w:val="4"/>
        </w:numPr>
        <w:spacing w:line="360" w:lineRule="auto"/>
        <w:ind w:left="567" w:right="616" w:firstLine="0"/>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lastRenderedPageBreak/>
        <w:t>Modifique el acto impugnado:</w:t>
      </w:r>
      <w:r w:rsidRPr="0002178E">
        <w:rPr>
          <w:rFonts w:ascii="Palatino Linotype" w:eastAsia="Palatino Linotype" w:hAnsi="Palatino Linotype" w:cs="Palatino Linotype"/>
          <w:sz w:val="24"/>
          <w:szCs w:val="24"/>
        </w:rPr>
        <w:t xml:space="preserve"> Se actualiza cuando el </w:t>
      </w:r>
      <w:r w:rsidRPr="0002178E">
        <w:rPr>
          <w:rFonts w:ascii="Palatino Linotype" w:eastAsia="Palatino Linotype" w:hAnsi="Palatino Linotype" w:cs="Palatino Linotype"/>
          <w:b/>
          <w:bCs/>
          <w:sz w:val="24"/>
          <w:szCs w:val="24"/>
        </w:rPr>
        <w:t>SUJETO OBLIGADO</w:t>
      </w:r>
      <w:r w:rsidRPr="0002178E">
        <w:rPr>
          <w:rFonts w:ascii="Palatino Linotype" w:eastAsia="Palatino Linotype" w:hAnsi="Palatino Linotype" w:cs="Palatino Linotype"/>
          <w:sz w:val="24"/>
          <w:szCs w:val="24"/>
        </w:rPr>
        <w:t xml:space="preserve"> después de haber otorgado una respuesta y hasta antes de dictada la resolución del recurso de revisión, emite una diversa en la que subsane las deficiencias que hubiera tenido.</w:t>
      </w:r>
    </w:p>
    <w:p w:rsidR="00E318AB" w:rsidRPr="0002178E" w:rsidRDefault="00E318AB">
      <w:pPr>
        <w:spacing w:line="360" w:lineRule="auto"/>
        <w:ind w:left="567" w:right="616"/>
        <w:jc w:val="both"/>
        <w:rPr>
          <w:rFonts w:ascii="Palatino Linotype" w:eastAsia="Palatino Linotype" w:hAnsi="Palatino Linotype" w:cs="Palatino Linotype"/>
          <w:sz w:val="24"/>
          <w:szCs w:val="24"/>
        </w:rPr>
      </w:pPr>
    </w:p>
    <w:p w:rsidR="00E318AB" w:rsidRPr="0002178E" w:rsidRDefault="003440D7">
      <w:pPr>
        <w:numPr>
          <w:ilvl w:val="0"/>
          <w:numId w:val="4"/>
        </w:numPr>
        <w:spacing w:line="360" w:lineRule="auto"/>
        <w:ind w:left="567" w:right="616" w:firstLine="0"/>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t>Revoque el acto impugnado:</w:t>
      </w:r>
      <w:r w:rsidRPr="0002178E">
        <w:rPr>
          <w:rFonts w:ascii="Palatino Linotype" w:eastAsia="Palatino Linotype" w:hAnsi="Palatino Linotype" w:cs="Palatino Linotype"/>
          <w:sz w:val="24"/>
          <w:szCs w:val="24"/>
        </w:rPr>
        <w:t xml:space="preserve"> En este supuesto, el </w:t>
      </w:r>
      <w:r w:rsidRPr="0002178E">
        <w:rPr>
          <w:rFonts w:ascii="Palatino Linotype" w:eastAsia="Palatino Linotype" w:hAnsi="Palatino Linotype" w:cs="Palatino Linotype"/>
          <w:b/>
          <w:bCs/>
          <w:sz w:val="24"/>
          <w:szCs w:val="24"/>
        </w:rPr>
        <w:t>SUJETO OBLIGADO</w:t>
      </w:r>
      <w:r w:rsidRPr="0002178E">
        <w:rPr>
          <w:rFonts w:ascii="Palatino Linotype" w:eastAsia="Palatino Linotype" w:hAnsi="Palatino Linotype" w:cs="Palatino Linotype"/>
          <w:sz w:val="24"/>
          <w:szCs w:val="24"/>
        </w:rPr>
        <w:t xml:space="preserve"> deja sin efectos la primera respuesta y en su lugar emite otra que satisfaga lo solicitado por el Particular en un primer momento.</w:t>
      </w:r>
    </w:p>
    <w:p w:rsidR="00E318AB" w:rsidRPr="0002178E" w:rsidRDefault="00E318AB">
      <w:pPr>
        <w:spacing w:line="360" w:lineRule="auto"/>
        <w:ind w:right="616"/>
        <w:jc w:val="both"/>
        <w:rPr>
          <w:rFonts w:ascii="Palatino Linotype" w:eastAsia="Palatino Linotype" w:hAnsi="Palatino Linotype" w:cs="Palatino Linotype"/>
          <w:sz w:val="24"/>
          <w:szCs w:val="24"/>
        </w:rPr>
      </w:pPr>
    </w:p>
    <w:p w:rsidR="00E318AB" w:rsidRPr="0002178E" w:rsidRDefault="003440D7">
      <w:pPr>
        <w:numPr>
          <w:ilvl w:val="0"/>
          <w:numId w:val="1"/>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E318AB" w:rsidRPr="0002178E" w:rsidRDefault="00E318AB">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Recordemos que el particular solicitó:</w:t>
      </w:r>
    </w:p>
    <w:p w:rsidR="00E318AB" w:rsidRPr="0002178E" w:rsidRDefault="003440D7">
      <w:pPr>
        <w:numPr>
          <w:ilvl w:val="0"/>
          <w:numId w:val="3"/>
        </w:numPr>
        <w:pBdr>
          <w:top w:val="nil"/>
          <w:left w:val="nil"/>
          <w:bottom w:val="nil"/>
          <w:right w:val="nil"/>
          <w:between w:val="nil"/>
        </w:pBdr>
        <w:tabs>
          <w:tab w:val="left" w:pos="284"/>
          <w:tab w:val="left" w:pos="567"/>
        </w:tabs>
        <w:spacing w:line="360" w:lineRule="auto"/>
        <w:ind w:left="851" w:right="822"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El listado de las rutas de transporte público que hayan sido autorizadas por la Secretaría para operar dentro del municipio de Ayapango, Estado de México en el que se incluya denominación de la ruta, tipo de servicio autorizado, derroteros o recorridos autorizados, vigencia de la autorización o concesión, observaciones administrativas relevantes, en caso de que no existan rutas autorizadas para el municipio referido, se informe expresamente dicha circunstancia.</w:t>
      </w: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lastRenderedPageBreak/>
        <w:t>En respuesta, el Sujeto Obligado entregó una lista con el nombre de la empresa, derrotero y trayecto; posteriormente, el Recurrente se inconformó por las siguientes razones:</w:t>
      </w:r>
    </w:p>
    <w:p w:rsidR="00E318AB" w:rsidRPr="0002178E" w:rsidRDefault="003440D7">
      <w:pPr>
        <w:pBdr>
          <w:top w:val="nil"/>
          <w:left w:val="nil"/>
          <w:bottom w:val="nil"/>
          <w:right w:val="nil"/>
          <w:between w:val="nil"/>
        </w:pBdr>
        <w:spacing w:line="276"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i/>
          <w:iCs/>
          <w:color w:val="000000"/>
          <w:sz w:val="24"/>
          <w:szCs w:val="24"/>
        </w:rPr>
        <w:t>“La respuesta emitida por el sujeto obligado es incompleta y carece de exhaustividad, ya que no atiende la totalidad de los puntos expresamente solicitados en la Solicitud 00018. En dicha solicitud se requirió información específica relativa a: Denominación de cada ruta autorizada. Tipo de servicio autorizado. Derroteros o recorridos autorizados. Vigencia de la autorización o concesión. Observaciones administrativas relevantes. No obstante, la autoridad únicamente proporcionó un listado general que contiene nombre de empresa y trayecto, omitiendo información sustancial como el tipo de servicio, vigencia de las concesiones, número de título correspondiente, estado actual de las autorizaciones y observaciones administrativas. La autoridad no declaró inexistencia de la información omitida, no la clasificó como reservada o confidencial, ni fundó y motivó jurídicamente su omisión. En consecuencia, la respuesta resulta parcial y vulnera el principio de máxima publicidad y el deber de exhaustividad que rige el derecho de acceso a la información pública. Por lo anterior, interpongo el presente recurso de revisión a efecto de que se ordene al sujeto obligado emitir una nueva respuesta completa y debidamente fundada”</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after="240" w:line="360" w:lineRule="auto"/>
        <w:ind w:left="0" w:right="48"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De los motivos de inconformidad, este Órgano Garante advierte que se desprenden nuevos requerimientos</w:t>
      </w:r>
      <w:r w:rsidRPr="0002178E">
        <w:rPr>
          <w:rFonts w:ascii="Palatino Linotype" w:eastAsia="Palatino Linotype" w:hAnsi="Palatino Linotype" w:cs="Palatino Linotype"/>
          <w:b/>
          <w:bCs/>
          <w:color w:val="000000"/>
          <w:sz w:val="24"/>
          <w:szCs w:val="24"/>
        </w:rPr>
        <w:t xml:space="preserve">, entre los que se advierte el número de título y el estado actual de las autorizaciones, </w:t>
      </w:r>
      <w:r w:rsidRPr="0002178E">
        <w:rPr>
          <w:rFonts w:ascii="Palatino Linotype" w:eastAsia="Palatino Linotype" w:hAnsi="Palatino Linotype" w:cs="Palatino Linotype"/>
          <w:color w:val="000000"/>
          <w:sz w:val="24"/>
          <w:szCs w:val="24"/>
        </w:rPr>
        <w:t xml:space="preserve">mismos que no pueden ser atendidos dado que </w:t>
      </w:r>
      <w:r w:rsidRPr="0002178E">
        <w:rPr>
          <w:rFonts w:ascii="Palatino Linotype" w:eastAsia="Palatino Linotype" w:hAnsi="Palatino Linotype" w:cs="Palatino Linotype"/>
          <w:b/>
          <w:bCs/>
          <w:color w:val="000000"/>
          <w:sz w:val="24"/>
          <w:szCs w:val="24"/>
        </w:rPr>
        <w:t>no fueron solicitados inicialmente, a lo que se le conoce también como plus petitio.</w:t>
      </w:r>
    </w:p>
    <w:p w:rsidR="00E318AB" w:rsidRPr="0002178E" w:rsidRDefault="003440D7">
      <w:pPr>
        <w:numPr>
          <w:ilvl w:val="0"/>
          <w:numId w:val="1"/>
        </w:numPr>
        <w:pBdr>
          <w:top w:val="nil"/>
          <w:left w:val="nil"/>
          <w:bottom w:val="nil"/>
          <w:right w:val="nil"/>
          <w:between w:val="nil"/>
        </w:pBdr>
        <w:tabs>
          <w:tab w:val="left" w:pos="0"/>
        </w:tabs>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t xml:space="preserve">En ese contexto, parte de la información requerida a través del Recurso de </w:t>
      </w:r>
      <w:r w:rsidRPr="0002178E">
        <w:rPr>
          <w:rFonts w:ascii="Palatino Linotype" w:eastAsia="Palatino Linotype" w:hAnsi="Palatino Linotype" w:cs="Palatino Linotype"/>
          <w:sz w:val="24"/>
          <w:szCs w:val="24"/>
        </w:rPr>
        <w:t>Revisión</w:t>
      </w:r>
      <w:r w:rsidRPr="0002178E">
        <w:rPr>
          <w:rFonts w:ascii="Palatino Linotype" w:eastAsia="Palatino Linotype" w:hAnsi="Palatino Linotype" w:cs="Palatino Linotype"/>
          <w:color w:val="000000"/>
          <w:sz w:val="24"/>
          <w:szCs w:val="24"/>
        </w:rPr>
        <w:t xml:space="preserve">, se trata de nuevos requerimientos, los cuales no pueden ser atendidos por no haber sido requeridos en la solicitud primigenia.  Sirve de apoyo a lo anterior por analogía, la Jurisprudencia No. 29 visible a foja 19 del Apéndice al Semanario Judicial de la Federación 1917-1995, </w:t>
      </w:r>
      <w:r w:rsidRPr="0002178E">
        <w:rPr>
          <w:rFonts w:ascii="Palatino Linotype" w:eastAsia="Palatino Linotype" w:hAnsi="Palatino Linotype" w:cs="Palatino Linotype"/>
          <w:sz w:val="24"/>
          <w:szCs w:val="24"/>
        </w:rPr>
        <w:t>Tomo</w:t>
      </w:r>
      <w:r w:rsidRPr="0002178E">
        <w:rPr>
          <w:rFonts w:ascii="Palatino Linotype" w:eastAsia="Palatino Linotype" w:hAnsi="Palatino Linotype" w:cs="Palatino Linotype"/>
          <w:color w:val="000000"/>
          <w:sz w:val="24"/>
          <w:szCs w:val="24"/>
        </w:rPr>
        <w:t xml:space="preserve"> VI, Materia Común, Primera Parte, Tesis de la Suprema Corte de Justicia, que enseña:</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b/>
          <w:bCs/>
          <w:color w:val="000000"/>
          <w:sz w:val="24"/>
          <w:szCs w:val="24"/>
        </w:rPr>
      </w:pPr>
      <w:r w:rsidRPr="0002178E">
        <w:rPr>
          <w:rFonts w:ascii="Palatino Linotype" w:eastAsia="Palatino Linotype" w:hAnsi="Palatino Linotype" w:cs="Palatino Linotype"/>
          <w:b/>
          <w:bCs/>
          <w:color w:val="000000"/>
          <w:sz w:val="24"/>
          <w:szCs w:val="24"/>
        </w:rPr>
        <w:lastRenderedPageBreak/>
        <w:t>"</w:t>
      </w:r>
      <w:r w:rsidRPr="0002178E">
        <w:rPr>
          <w:rFonts w:ascii="Palatino Linotype" w:eastAsia="Palatino Linotype" w:hAnsi="Palatino Linotype" w:cs="Palatino Linotype"/>
          <w:i/>
          <w:iCs/>
          <w:color w:val="000000"/>
          <w:sz w:val="24"/>
          <w:szCs w:val="24"/>
        </w:rPr>
        <w:t>AGRAVIOS EN LA REVISION. DEBEN ESTAR EN RELACION DIRECTA CON LOS FUNDAMENTOS Y CONSIDERACIONES DE LA SENTENCIA.-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r w:rsidRPr="0002178E">
        <w:rPr>
          <w:rFonts w:ascii="Palatino Linotype" w:eastAsia="Palatino Linotype" w:hAnsi="Palatino Linotype" w:cs="Palatino Linotype"/>
          <w:b/>
          <w:bCs/>
          <w:color w:val="000000"/>
          <w:sz w:val="24"/>
          <w:szCs w:val="24"/>
        </w:rPr>
        <w:t>"</w:t>
      </w:r>
    </w:p>
    <w:p w:rsidR="00E318AB" w:rsidRPr="0002178E" w:rsidRDefault="00E318AB">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t>Asimismo, cabe por analogía en el presente asunto el fallo emitido por el Segundo Tribunal Colegiado del Cuarto Circuito, recaído en el amparo directo 277/88, que establece:</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b/>
          <w:bCs/>
          <w:color w:val="000000"/>
          <w:sz w:val="24"/>
          <w:szCs w:val="24"/>
        </w:rPr>
      </w:pPr>
      <w:r w:rsidRPr="0002178E">
        <w:rPr>
          <w:rFonts w:ascii="Palatino Linotype" w:eastAsia="Palatino Linotype" w:hAnsi="Palatino Linotype" w:cs="Palatino Linotype"/>
          <w:b/>
          <w:bCs/>
          <w:color w:val="000000"/>
          <w:sz w:val="24"/>
          <w:szCs w:val="24"/>
        </w:rPr>
        <w:t>“</w:t>
      </w:r>
      <w:r w:rsidRPr="0002178E">
        <w:rPr>
          <w:rFonts w:ascii="Palatino Linotype" w:eastAsia="Palatino Linotype" w:hAnsi="Palatino Linotype" w:cs="Palatino Linotype"/>
          <w:i/>
          <w:iCs/>
          <w:color w:val="000000"/>
          <w:sz w:val="24"/>
          <w:szCs w:val="24"/>
        </w:rPr>
        <w:t xml:space="preserve">JUICIO DE NULIDAD LITIS EN EL. Interpretación de los artículos 215 y 237 DEL CÓDIGO FISCAL DE LA FEDERACIÓN.- El actual Código Fiscal de la Federación no contempla literalmente la hipótesis legal regulada en el artículo 219 del Código Fiscal de 1967, en el que se estima que la resolución impugnada deberá ser apreciada en los términos en que lo fue ante la autoridad administrativa; sin embargo el artículo 237 de dicho ordenamiento en vigor establece que las sentencias del Tribunal Fiscal de la Federación se fundarán en derecho y examinarán todos y cada uno de los puntos controvertidos, del acto impugnado de donde se sigue que, interpretando conjuntamente los artículos 215 y 237, del Código Fiscal vigente, la autoridad en su contestación a la demanda no podrá cambiar los fundamentos de derecho dados en la resolución y, por su </w:t>
      </w:r>
      <w:r w:rsidRPr="0002178E">
        <w:rPr>
          <w:rFonts w:ascii="Palatino Linotype" w:eastAsia="Palatino Linotype" w:hAnsi="Palatino Linotype" w:cs="Palatino Linotype"/>
          <w:i/>
          <w:iCs/>
          <w:color w:val="000000"/>
          <w:sz w:val="24"/>
          <w:szCs w:val="24"/>
        </w:rPr>
        <w:lastRenderedPageBreak/>
        <w:t>parte, la actora no podrá introducir en su demanda cuestiones diversas a las planteadas originalmente ante la autoridad administrativa, pues de seguirse un criterio contrario, el juzgador tendría que analizar el acto combatido a la luz de argumentos que no fueron del conocimiento de la autoridad o, en su caso, de aquéllos que no fueron expuestos en la propia resolución, con lo cual no se examinarían todos y cada uno de los hechos y puntos controvertidos del acto impugnado, tal como establece el artículo 237 mencionado. Por último cabe señalar que dicha regla admite la excepción relativa a cuestiones y pruebas supervenientes- Visible en el S.J.F., Octava Época, Tomo VII, enero de 1991, pág. 294.</w:t>
      </w:r>
      <w:r w:rsidRPr="0002178E">
        <w:rPr>
          <w:rFonts w:ascii="Palatino Linotype" w:eastAsia="Palatino Linotype" w:hAnsi="Palatino Linotype" w:cs="Palatino Linotype"/>
          <w:b/>
          <w:bCs/>
          <w:color w:val="000000"/>
          <w:sz w:val="24"/>
          <w:szCs w:val="24"/>
        </w:rPr>
        <w:t>”</w:t>
      </w:r>
    </w:p>
    <w:p w:rsidR="00E318AB" w:rsidRPr="0002178E" w:rsidRDefault="00E318AB">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hd w:val="clear" w:color="auto" w:fill="FFFFFF"/>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t>Tiene aplicación al respecto por analogía, la tesis aislada número I.8o.A.136 A, de la Novena Época, publicada en el Semanario Oficial de la Federación y su Gaceta Tomo XXIX, Marzo de 2009, página 2887, con número de registro 167607, que lleva por rubro y texto los siguientes:</w:t>
      </w:r>
    </w:p>
    <w:p w:rsidR="00E318AB" w:rsidRPr="0002178E" w:rsidRDefault="003440D7">
      <w:pPr>
        <w:pBdr>
          <w:top w:val="nil"/>
          <w:left w:val="nil"/>
          <w:bottom w:val="nil"/>
          <w:right w:val="nil"/>
          <w:between w:val="nil"/>
        </w:pBdr>
        <w:shd w:val="clear" w:color="auto" w:fill="FFFFFF"/>
        <w:spacing w:line="360" w:lineRule="auto"/>
        <w:ind w:left="851" w:right="822"/>
        <w:jc w:val="both"/>
        <w:rPr>
          <w:rFonts w:ascii="Palatino Linotype" w:eastAsia="Palatino Linotype" w:hAnsi="Palatino Linotype" w:cs="Palatino Linotype"/>
          <w:b/>
          <w:bCs/>
          <w:i/>
          <w:iCs/>
          <w:color w:val="000000"/>
          <w:sz w:val="24"/>
          <w:szCs w:val="24"/>
        </w:rPr>
      </w:pPr>
      <w:r w:rsidRPr="0002178E">
        <w:rPr>
          <w:rFonts w:ascii="Palatino Linotype" w:eastAsia="Palatino Linotype" w:hAnsi="Palatino Linotype" w:cs="Palatino Linotype"/>
          <w:b/>
          <w:bCs/>
          <w:i/>
          <w:iCs/>
          <w:color w:val="000000"/>
          <w:sz w:val="24"/>
          <w:szCs w:val="24"/>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 </w:t>
      </w:r>
      <w:r w:rsidRPr="0002178E">
        <w:rPr>
          <w:rFonts w:ascii="Palatino Linotype" w:eastAsia="Palatino Linotype" w:hAnsi="Palatino Linotype" w:cs="Palatino Linotype"/>
          <w:i/>
          <w:iCs/>
          <w:color w:val="000000"/>
          <w:sz w:val="24"/>
          <w:szCs w:val="24"/>
        </w:rPr>
        <w:t xml:space="preserve">Si bien es cierto que los artículos 1 y 2 de la Ley Federal de Transparencia y Acceso a la Información Pública Gubernamental establecen, respectivamente, que dicho ordenamiento tiene como finalidad proveer lo necesario para garantizar el acceso de toda </w:t>
      </w:r>
      <w:r w:rsidRPr="0002178E">
        <w:rPr>
          <w:rFonts w:ascii="Palatino Linotype" w:eastAsia="Palatino Linotype" w:hAnsi="Palatino Linotype" w:cs="Palatino Linotype"/>
          <w:i/>
          <w:iCs/>
          <w:color w:val="000000"/>
          <w:sz w:val="24"/>
          <w:szCs w:val="24"/>
        </w:rPr>
        <w:lastRenderedPageBreak/>
        <w:t>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el precepto 6de la propia legislación prevé el principio de máxima publicidad y disponibilidad de la información en posesión de los sujetos obligados; también lo es que ello no implica que tales numerales deban interpretarse en el sentido de permitir al gobernado que a su arbitrio solicite copia de documentos que no obren en los expedientes de los sujetos obligados, o sean distintos a los de su petición inicial, pues ello contravendría el artículo 42 de la citada ley, que señala que las dependencias y entidades sólo estarán obligadas a entregar los documentos que se encuentren en sus archivos -los solicitados- y que la obligación de acceso a la información se dará por cumplida cuando se pongan a disposición del solicitante para consulta en el sitio donde se encuentren.</w:t>
      </w:r>
      <w:r w:rsidRPr="0002178E">
        <w:rPr>
          <w:rFonts w:ascii="Palatino Linotype" w:eastAsia="Palatino Linotype" w:hAnsi="Palatino Linotype" w:cs="Palatino Linotype"/>
          <w:i/>
          <w:iCs/>
          <w:color w:val="000000"/>
          <w:sz w:val="24"/>
          <w:szCs w:val="24"/>
        </w:rPr>
        <w:br/>
        <w:t>OCTAVO TRIBUNAL COLEGIADO EN MATERIA ADMINISTRATIVA DEL PRIMER CIRCUITO.</w:t>
      </w:r>
      <w:r w:rsidRPr="0002178E">
        <w:rPr>
          <w:rFonts w:ascii="Palatino Linotype" w:eastAsia="Palatino Linotype" w:hAnsi="Palatino Linotype" w:cs="Palatino Linotype"/>
          <w:b/>
          <w:bCs/>
          <w:i/>
          <w:iCs/>
          <w:color w:val="000000"/>
          <w:sz w:val="24"/>
          <w:szCs w:val="24"/>
        </w:rPr>
        <w:t>”</w:t>
      </w:r>
    </w:p>
    <w:p w:rsidR="00E318AB" w:rsidRPr="0002178E" w:rsidRDefault="00E318AB">
      <w:pPr>
        <w:pBdr>
          <w:top w:val="nil"/>
          <w:left w:val="nil"/>
          <w:bottom w:val="nil"/>
          <w:right w:val="nil"/>
          <w:between w:val="nil"/>
        </w:pBdr>
        <w:shd w:val="clear" w:color="auto" w:fill="FFFFFF"/>
        <w:spacing w:line="276" w:lineRule="auto"/>
        <w:ind w:right="-28"/>
        <w:jc w:val="both"/>
        <w:rPr>
          <w:rFonts w:ascii="Palatino Linotype" w:eastAsia="Palatino Linotype" w:hAnsi="Palatino Linotype" w:cs="Palatino Linotype"/>
          <w:b/>
          <w:bCs/>
          <w:color w:val="000000"/>
          <w:sz w:val="24"/>
          <w:szCs w:val="24"/>
        </w:rPr>
      </w:pPr>
    </w:p>
    <w:p w:rsidR="00E318AB" w:rsidRPr="0002178E" w:rsidRDefault="003440D7">
      <w:pPr>
        <w:numPr>
          <w:ilvl w:val="0"/>
          <w:numId w:val="1"/>
        </w:numPr>
        <w:pBdr>
          <w:top w:val="nil"/>
          <w:left w:val="nil"/>
          <w:bottom w:val="nil"/>
          <w:right w:val="nil"/>
          <w:between w:val="nil"/>
        </w:pBdr>
        <w:shd w:val="clear" w:color="auto" w:fill="FFFFFF"/>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t xml:space="preserve">Así mismo ha sido criterio del Instituto Nacional de Transparencia, Acceso a la Información y Protección de Datos Personales bajo el número 27/10, que </w:t>
      </w:r>
      <w:r w:rsidRPr="0002178E">
        <w:rPr>
          <w:rFonts w:ascii="Palatino Linotype" w:eastAsia="Palatino Linotype" w:hAnsi="Palatino Linotype" w:cs="Palatino Linotype"/>
          <w:color w:val="000000"/>
          <w:sz w:val="24"/>
          <w:szCs w:val="24"/>
          <w:u w:val="single"/>
        </w:rPr>
        <w:t>resulta improcedente ampliar las solicitudes de información pública o de datos personales a través de la interposición del recurso de revisión</w:t>
      </w:r>
      <w:r w:rsidRPr="0002178E">
        <w:rPr>
          <w:rFonts w:ascii="Palatino Linotype" w:eastAsia="Palatino Linotype" w:hAnsi="Palatino Linotype" w:cs="Palatino Linotype"/>
          <w:color w:val="000000"/>
          <w:sz w:val="24"/>
          <w:szCs w:val="24"/>
        </w:rPr>
        <w:t xml:space="preserve">, como se estima acontece en el presente asunto, al aumentar datos a la solicitud inicial, </w:t>
      </w:r>
      <w:r w:rsidRPr="0002178E">
        <w:rPr>
          <w:rFonts w:ascii="Palatino Linotype" w:eastAsia="Palatino Linotype" w:hAnsi="Palatino Linotype" w:cs="Palatino Linotype"/>
          <w:b/>
          <w:bCs/>
          <w:color w:val="000000"/>
          <w:sz w:val="24"/>
          <w:szCs w:val="24"/>
        </w:rPr>
        <w:t>por lo que se insiste no se puede entrar al estudio de la información novedosa</w:t>
      </w:r>
      <w:r w:rsidRPr="0002178E">
        <w:rPr>
          <w:rFonts w:ascii="Palatino Linotype" w:eastAsia="Palatino Linotype" w:hAnsi="Palatino Linotype" w:cs="Palatino Linotype"/>
          <w:color w:val="000000"/>
          <w:sz w:val="24"/>
          <w:szCs w:val="24"/>
        </w:rPr>
        <w:t>, criterio que es de la literalidad siguiente:</w:t>
      </w:r>
    </w:p>
    <w:p w:rsidR="00E318AB" w:rsidRPr="0002178E" w:rsidRDefault="00E318AB">
      <w:pPr>
        <w:pBdr>
          <w:top w:val="nil"/>
          <w:left w:val="nil"/>
          <w:bottom w:val="nil"/>
          <w:right w:val="nil"/>
          <w:between w:val="nil"/>
        </w:pBdr>
        <w:shd w:val="clear" w:color="auto" w:fill="FFFFFF"/>
        <w:spacing w:line="360" w:lineRule="auto"/>
        <w:ind w:right="-28"/>
        <w:jc w:val="both"/>
        <w:rPr>
          <w:color w:val="000000"/>
          <w:sz w:val="24"/>
          <w:szCs w:val="24"/>
        </w:rPr>
      </w:pPr>
    </w:p>
    <w:p w:rsidR="00E318AB" w:rsidRPr="0002178E" w:rsidRDefault="003440D7">
      <w:pPr>
        <w:pBdr>
          <w:top w:val="nil"/>
          <w:left w:val="nil"/>
          <w:bottom w:val="nil"/>
          <w:right w:val="nil"/>
          <w:between w:val="nil"/>
        </w:pBdr>
        <w:shd w:val="clear" w:color="auto" w:fill="FFFFFF"/>
        <w:spacing w:line="360" w:lineRule="auto"/>
        <w:ind w:left="851" w:right="822"/>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b/>
          <w:bCs/>
          <w:i/>
          <w:iCs/>
          <w:color w:val="000000"/>
          <w:sz w:val="24"/>
          <w:szCs w:val="24"/>
        </w:rPr>
        <w:lastRenderedPageBreak/>
        <w:t>“Es improcedente ampliar las solicitudes de acceso a información pública o datos personales, a través de la interposición del recurso de revisión.</w:t>
      </w:r>
      <w:r w:rsidRPr="0002178E">
        <w:rPr>
          <w:rFonts w:ascii="Palatino Linotype" w:eastAsia="Palatino Linotype" w:hAnsi="Palatino Linotype" w:cs="Palatino Linotype"/>
          <w:i/>
          <w:iCs/>
          <w:color w:val="000000"/>
          <w:sz w:val="24"/>
          <w:szCs w:val="24"/>
        </w:rPr>
        <w:t> En aquellos casos en los que los recurrentes amplíen los alcances de su solicitud de información o acceso a datos personales a través de su recurso de revisión, esta ampliación no podrá constituir materia del procedimiento a sustanciarse por el Instituto Federal de Acceso a la Información y Protección de Datos. Lo anterior, sin perjuicio de que los recurrentes puedan ejercer su derecho a realizar una nueva solicitud en términos de la Ley de la materia.</w:t>
      </w:r>
    </w:p>
    <w:p w:rsidR="00E318AB" w:rsidRPr="0002178E" w:rsidRDefault="003440D7">
      <w:pPr>
        <w:pBdr>
          <w:top w:val="nil"/>
          <w:left w:val="nil"/>
          <w:bottom w:val="nil"/>
          <w:right w:val="nil"/>
          <w:between w:val="nil"/>
        </w:pBdr>
        <w:shd w:val="clear" w:color="auto" w:fill="FFFFFF"/>
        <w:spacing w:line="360" w:lineRule="auto"/>
        <w:ind w:left="851" w:right="822"/>
        <w:jc w:val="both"/>
        <w:rPr>
          <w:rFonts w:ascii="Palatino Linotype" w:eastAsia="Palatino Linotype" w:hAnsi="Palatino Linotype" w:cs="Palatino Linotype"/>
          <w:b/>
          <w:bCs/>
          <w:i/>
          <w:iCs/>
          <w:color w:val="000000"/>
          <w:sz w:val="24"/>
          <w:szCs w:val="24"/>
        </w:rPr>
      </w:pPr>
      <w:r w:rsidRPr="0002178E">
        <w:rPr>
          <w:rFonts w:ascii="Palatino Linotype" w:eastAsia="Palatino Linotype" w:hAnsi="Palatino Linotype" w:cs="Palatino Linotype"/>
          <w:i/>
          <w:iCs/>
          <w:color w:val="000000"/>
          <w:sz w:val="24"/>
          <w:szCs w:val="24"/>
        </w:rPr>
        <w:t>Expedientes: 5871/08 Secretaría de Educación Pública – Alonso Gómez-Robledo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02178E">
        <w:rPr>
          <w:rFonts w:ascii="Palatino Linotype" w:eastAsia="Palatino Linotype" w:hAnsi="Palatino Linotype" w:cs="Palatino Linotype"/>
          <w:b/>
          <w:bCs/>
          <w:i/>
          <w:iCs/>
          <w:color w:val="000000"/>
          <w:sz w:val="24"/>
          <w:szCs w:val="24"/>
        </w:rPr>
        <w:t>”</w:t>
      </w:r>
    </w:p>
    <w:p w:rsidR="00E318AB" w:rsidRPr="0002178E" w:rsidRDefault="00E318AB">
      <w:pPr>
        <w:pBdr>
          <w:top w:val="nil"/>
          <w:left w:val="nil"/>
          <w:bottom w:val="nil"/>
          <w:right w:val="nil"/>
          <w:between w:val="nil"/>
        </w:pBdr>
        <w:shd w:val="clear" w:color="auto" w:fill="FFFFFF"/>
        <w:ind w:right="-28"/>
        <w:jc w:val="both"/>
        <w:rPr>
          <w:rFonts w:ascii="Palatino Linotype" w:eastAsia="Palatino Linotype" w:hAnsi="Palatino Linotype" w:cs="Palatino Linotype"/>
          <w:b/>
          <w:bCs/>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t>Aunado a ello, el artículo 191, fracción VII de la de la Ley de Transparencia y Acceso a la Información Pública del Estado de México y Municipios, establece lo siguiente:</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b/>
          <w:bCs/>
          <w:i/>
          <w:iCs/>
          <w:color w:val="000000"/>
          <w:sz w:val="24"/>
          <w:szCs w:val="24"/>
        </w:rPr>
        <w:t xml:space="preserve">“Artículo 191. </w:t>
      </w:r>
      <w:r w:rsidRPr="0002178E">
        <w:rPr>
          <w:rFonts w:ascii="Palatino Linotype" w:eastAsia="Palatino Linotype" w:hAnsi="Palatino Linotype" w:cs="Palatino Linotype"/>
          <w:i/>
          <w:iCs/>
          <w:color w:val="000000"/>
          <w:sz w:val="24"/>
          <w:szCs w:val="24"/>
        </w:rPr>
        <w:t>El recurso será desechado por improcedente cuando:</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b/>
          <w:bCs/>
          <w:i/>
          <w:iCs/>
          <w:color w:val="000000"/>
          <w:sz w:val="24"/>
          <w:szCs w:val="24"/>
        </w:rPr>
        <w:t>…</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b/>
          <w:bCs/>
          <w:i/>
          <w:iCs/>
          <w:color w:val="000000"/>
          <w:sz w:val="24"/>
          <w:szCs w:val="24"/>
        </w:rPr>
        <w:t xml:space="preserve">VII. </w:t>
      </w:r>
      <w:r w:rsidRPr="0002178E">
        <w:rPr>
          <w:rFonts w:ascii="Palatino Linotype" w:eastAsia="Palatino Linotype" w:hAnsi="Palatino Linotype" w:cs="Palatino Linotype"/>
          <w:i/>
          <w:iCs/>
          <w:color w:val="000000"/>
          <w:sz w:val="24"/>
          <w:szCs w:val="24"/>
        </w:rPr>
        <w:t>El recurrente amplíe su solicitud en el recurso de revisión, únicamente respecto de los nuevos contenidos.</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b/>
          <w:bCs/>
          <w:i/>
          <w:iCs/>
          <w:color w:val="000000"/>
          <w:sz w:val="24"/>
          <w:szCs w:val="24"/>
        </w:rPr>
      </w:pPr>
      <w:r w:rsidRPr="0002178E">
        <w:rPr>
          <w:rFonts w:ascii="Palatino Linotype" w:eastAsia="Palatino Linotype" w:hAnsi="Palatino Linotype" w:cs="Palatino Linotype"/>
          <w:b/>
          <w:bCs/>
          <w:i/>
          <w:iCs/>
          <w:color w:val="000000"/>
          <w:sz w:val="24"/>
          <w:szCs w:val="24"/>
        </w:rPr>
        <w:t>…”</w:t>
      </w:r>
    </w:p>
    <w:p w:rsidR="00E318AB" w:rsidRPr="0002178E" w:rsidRDefault="00E318AB">
      <w:pPr>
        <w:pBdr>
          <w:top w:val="nil"/>
          <w:left w:val="nil"/>
          <w:bottom w:val="nil"/>
          <w:right w:val="nil"/>
          <w:between w:val="nil"/>
        </w:pBdr>
        <w:ind w:right="-28"/>
        <w:jc w:val="both"/>
        <w:rPr>
          <w:rFonts w:ascii="Palatino Linotype" w:eastAsia="Palatino Linotype" w:hAnsi="Palatino Linotype" w:cs="Palatino Linotype"/>
          <w:i/>
          <w:iCs/>
          <w:color w:val="000000"/>
          <w:sz w:val="24"/>
          <w:szCs w:val="24"/>
        </w:rPr>
      </w:pPr>
    </w:p>
    <w:p w:rsidR="0002178E" w:rsidRPr="0002178E" w:rsidRDefault="003440D7">
      <w:pPr>
        <w:numPr>
          <w:ilvl w:val="0"/>
          <w:numId w:val="1"/>
        </w:numPr>
        <w:pBdr>
          <w:top w:val="nil"/>
          <w:left w:val="nil"/>
          <w:bottom w:val="nil"/>
          <w:right w:val="nil"/>
          <w:between w:val="nil"/>
        </w:pBdr>
        <w:spacing w:line="360" w:lineRule="auto"/>
        <w:ind w:left="0" w:right="-28" w:firstLine="0"/>
        <w:jc w:val="both"/>
        <w:rPr>
          <w:color w:val="000000"/>
          <w:sz w:val="24"/>
          <w:szCs w:val="24"/>
        </w:rPr>
      </w:pPr>
      <w:r w:rsidRPr="0002178E">
        <w:rPr>
          <w:rFonts w:ascii="Palatino Linotype" w:eastAsia="Palatino Linotype" w:hAnsi="Palatino Linotype" w:cs="Palatino Linotype"/>
          <w:color w:val="000000"/>
          <w:sz w:val="24"/>
          <w:szCs w:val="24"/>
        </w:rPr>
        <w:lastRenderedPageBreak/>
        <w:t xml:space="preserve">No obstante lo anterior, </w:t>
      </w:r>
      <w:r w:rsidRPr="0002178E">
        <w:rPr>
          <w:rFonts w:ascii="Palatino Linotype" w:eastAsia="Palatino Linotype" w:hAnsi="Palatino Linotype" w:cs="Palatino Linotype"/>
          <w:b/>
          <w:bCs/>
          <w:color w:val="000000"/>
          <w:sz w:val="24"/>
          <w:szCs w:val="24"/>
        </w:rPr>
        <w:t>se dejan a salvo los derechos del RECURRENTE para ejercitar su derecho de acceso a la información pública, realizando una nueva solicitud respecto de la información referente al número de título y estado actual de las autorizaciones.</w:t>
      </w:r>
    </w:p>
    <w:p w:rsidR="00E318AB" w:rsidRPr="0002178E" w:rsidRDefault="003440D7" w:rsidP="0002178E">
      <w:pPr>
        <w:pBdr>
          <w:top w:val="nil"/>
          <w:left w:val="nil"/>
          <w:bottom w:val="nil"/>
          <w:right w:val="nil"/>
          <w:between w:val="nil"/>
        </w:pBdr>
        <w:spacing w:line="360" w:lineRule="auto"/>
        <w:ind w:right="-28"/>
        <w:jc w:val="both"/>
        <w:rPr>
          <w:color w:val="000000"/>
          <w:sz w:val="24"/>
          <w:szCs w:val="24"/>
        </w:rPr>
      </w:pPr>
      <w:r w:rsidRPr="0002178E">
        <w:rPr>
          <w:rFonts w:ascii="Palatino Linotype" w:eastAsia="Palatino Linotype" w:hAnsi="Palatino Linotype" w:cs="Palatino Linotype"/>
          <w:b/>
          <w:bCs/>
          <w:color w:val="000000"/>
          <w:sz w:val="24"/>
          <w:szCs w:val="24"/>
        </w:rPr>
        <w:t xml:space="preserve"> </w:t>
      </w:r>
    </w:p>
    <w:p w:rsidR="00E318AB" w:rsidRPr="0002178E" w:rsidRDefault="003440D7">
      <w:pPr>
        <w:numPr>
          <w:ilvl w:val="0"/>
          <w:numId w:val="1"/>
        </w:numPr>
        <w:pBdr>
          <w:top w:val="nil"/>
          <w:left w:val="nil"/>
          <w:bottom w:val="nil"/>
          <w:right w:val="nil"/>
          <w:between w:val="nil"/>
        </w:pBdr>
        <w:spacing w:line="360" w:lineRule="auto"/>
        <w:ind w:left="0" w:right="-28" w:firstLine="0"/>
        <w:jc w:val="both"/>
        <w:rPr>
          <w:color w:val="000000"/>
          <w:sz w:val="24"/>
          <w:szCs w:val="24"/>
        </w:rPr>
      </w:pPr>
      <w:r w:rsidRPr="0002178E">
        <w:rPr>
          <w:rFonts w:ascii="Palatino Linotype" w:eastAsia="Palatino Linotype" w:hAnsi="Palatino Linotype" w:cs="Palatino Linotype"/>
          <w:sz w:val="24"/>
          <w:szCs w:val="24"/>
        </w:rPr>
        <w:t xml:space="preserve">Por otro lado, la inconformidad del RECURRENTE también radica en que la información remitida es incompleta, respecto a la vigencia de la autorización o concesión, el tipo de servicio autorizado y las observaciones administrativas relevantes;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E318AB" w:rsidRPr="0002178E" w:rsidRDefault="003440D7">
      <w:pPr>
        <w:numPr>
          <w:ilvl w:val="0"/>
          <w:numId w:val="1"/>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Sirve de sustento, la tesis jurisprudencial número VI.3o.C. J/60, publicada en el Semanario Judicial de la Federación y su Gaceta bajo el número de registro 176,608 que a la letra dice:</w:t>
      </w:r>
    </w:p>
    <w:p w:rsidR="00E318AB" w:rsidRPr="0002178E" w:rsidRDefault="003440D7">
      <w:pPr>
        <w:pBdr>
          <w:top w:val="nil"/>
          <w:left w:val="nil"/>
          <w:bottom w:val="nil"/>
          <w:right w:val="nil"/>
          <w:between w:val="nil"/>
        </w:pBdr>
        <w:spacing w:line="360"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i/>
          <w:iCs/>
          <w:color w:val="000000"/>
          <w:sz w:val="24"/>
          <w:szCs w:val="24"/>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E318AB" w:rsidRPr="0002178E" w:rsidRDefault="00E318AB">
      <w:p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Lo anterior es así, debido a que cuando el particular impugnó la respuesta del SUJETO OBLIGADO, y no expresó razón o motivo de inconformidad en contra de lo que se le hizo </w:t>
      </w:r>
      <w:r w:rsidRPr="0002178E">
        <w:rPr>
          <w:rFonts w:ascii="Palatino Linotype" w:eastAsia="Palatino Linotype" w:hAnsi="Palatino Linotype" w:cs="Palatino Linotype"/>
          <w:color w:val="000000"/>
          <w:sz w:val="24"/>
          <w:szCs w:val="24"/>
        </w:rPr>
        <w:lastRenderedPageBreak/>
        <w:t xml:space="preserve">entrega, por tanto, estos deben declararse atendidos, pues se entiende que EL RECURRENTE está conforme con la respuesta proporcionada por EL SUJETO OBLIGADO, al no contravenir la misma. </w:t>
      </w:r>
    </w:p>
    <w:p w:rsidR="00E318AB" w:rsidRPr="0002178E" w:rsidRDefault="00E318AB">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Atento a ello, es importante traer a contexto la Tesis Jurisprudencial Número 3ª./J.7/91, Publicada en el Semanario Judicial de la Federación y su Gaceta bajo el número de registro 174,177, que establece lo siguiente:</w:t>
      </w:r>
    </w:p>
    <w:p w:rsidR="00E318AB" w:rsidRPr="0002178E" w:rsidRDefault="003440D7">
      <w:pPr>
        <w:pBdr>
          <w:top w:val="nil"/>
          <w:left w:val="nil"/>
          <w:bottom w:val="nil"/>
          <w:right w:val="nil"/>
          <w:between w:val="nil"/>
        </w:pBdr>
        <w:spacing w:after="240" w:line="360" w:lineRule="auto"/>
        <w:ind w:left="851" w:right="822"/>
        <w:jc w:val="both"/>
        <w:rPr>
          <w:rFonts w:ascii="Palatino Linotype" w:eastAsia="Palatino Linotype" w:hAnsi="Palatino Linotype" w:cs="Palatino Linotype"/>
          <w:i/>
          <w:iCs/>
          <w:color w:val="000000"/>
          <w:sz w:val="24"/>
          <w:szCs w:val="24"/>
        </w:rPr>
      </w:pPr>
      <w:r w:rsidRPr="0002178E">
        <w:rPr>
          <w:rFonts w:ascii="Palatino Linotype" w:eastAsia="Palatino Linotype" w:hAnsi="Palatino Linotype" w:cs="Palatino Linotype"/>
          <w:i/>
          <w:iCs/>
          <w:color w:val="000000"/>
          <w:sz w:val="24"/>
          <w:szCs w:val="24"/>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E318AB" w:rsidRPr="0002178E" w:rsidRDefault="003440D7">
      <w:pPr>
        <w:numPr>
          <w:ilvl w:val="0"/>
          <w:numId w:val="1"/>
        </w:numPr>
        <w:spacing w:line="360" w:lineRule="auto"/>
        <w:ind w:left="0" w:right="49" w:firstLine="0"/>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sz w:val="24"/>
          <w:szCs w:val="24"/>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En este contexto, se hará pronunciamiento, únicamente por la vigencia de la autorización o concesión, tipo de servicio autorizado y las observaciones administrativas relevantes. </w:t>
      </w:r>
    </w:p>
    <w:p w:rsidR="00E318AB" w:rsidRPr="0002178E" w:rsidRDefault="00E318AB">
      <w:pPr>
        <w:spacing w:line="360" w:lineRule="auto"/>
        <w:ind w:right="49"/>
        <w:jc w:val="both"/>
        <w:rPr>
          <w:rFonts w:ascii="Palatino Linotype" w:eastAsia="Palatino Linotype" w:hAnsi="Palatino Linotype" w:cs="Palatino Linotype"/>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lastRenderedPageBreak/>
        <w:t>Ahora bien, respecto a la vigencia de la autorización y concesión, el Sujeto Obligado remitió a través de informe justificado modificó su respuesta y adjuntó un documento con una tabla en la que se advierte la empresa, el número de concesión y la fecha de vencimiento, como se observa con la siguiente imagen que se desprende del informe y que se inserta a modo de ejemplo:</w:t>
      </w:r>
    </w:p>
    <w:p w:rsidR="00E318AB" w:rsidRPr="0002178E" w:rsidRDefault="003440D7">
      <w:pPr>
        <w:pBdr>
          <w:top w:val="nil"/>
          <w:left w:val="nil"/>
          <w:bottom w:val="nil"/>
          <w:right w:val="nil"/>
          <w:between w:val="nil"/>
        </w:pBdr>
        <w:spacing w:line="360" w:lineRule="auto"/>
        <w:jc w:val="center"/>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noProof/>
          <w:color w:val="000000"/>
          <w:sz w:val="24"/>
          <w:szCs w:val="24"/>
        </w:rPr>
        <w:drawing>
          <wp:inline distT="0" distB="0" distL="0" distR="0">
            <wp:extent cx="4077269" cy="20291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077269" cy="2029108"/>
                    </a:xfrm>
                    <a:prstGeom prst="rect">
                      <a:avLst/>
                    </a:prstGeom>
                    <a:ln/>
                  </pic:spPr>
                </pic:pic>
              </a:graphicData>
            </a:graphic>
          </wp:inline>
        </w:drawing>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Como se advierte, con ese documento remitido en informe justificado, se puede dar por atendido el requerimiento sobre la vigencia de la concesión; ahora bien, respecto al tipo de servicio, el Sujeto Obligado señaló en el informe justificado que, el tipo de servicio corresponde a servicio regular de pasaje en modalidad colectivo y sobre las observaciones administrativas relevantes señaló que derivado de la búsqueda efectuada en los archivos físicos y electrónicos no se localizaron observaciones administrativas vinculadas a los derroteros. </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En ese sentido, se puede advertir que el Sujeto Obligado modificó su respuesta inicial, así, </w:t>
      </w:r>
      <w:r w:rsidRPr="0002178E">
        <w:rPr>
          <w:rFonts w:ascii="Palatino Linotype" w:eastAsia="Palatino Linotype" w:hAnsi="Palatino Linotype" w:cs="Palatino Linotype"/>
          <w:sz w:val="24"/>
          <w:szCs w:val="24"/>
        </w:rPr>
        <w:t xml:space="preserve">este Pleno advierte que el </w:t>
      </w:r>
      <w:r w:rsidRPr="0002178E">
        <w:rPr>
          <w:rFonts w:ascii="Palatino Linotype" w:eastAsia="Palatino Linotype" w:hAnsi="Palatino Linotype" w:cs="Palatino Linotype"/>
          <w:b/>
          <w:bCs/>
          <w:sz w:val="24"/>
          <w:szCs w:val="24"/>
        </w:rPr>
        <w:t>SUJETO OBLIGADO</w:t>
      </w:r>
      <w:r w:rsidRPr="0002178E">
        <w:rPr>
          <w:rFonts w:ascii="Palatino Linotype" w:eastAsia="Palatino Linotype" w:hAnsi="Palatino Linotype" w:cs="Palatino Linotype"/>
          <w:sz w:val="24"/>
          <w:szCs w:val="24"/>
        </w:rPr>
        <w:t xml:space="preserve"> </w:t>
      </w:r>
      <w:r w:rsidRPr="0002178E">
        <w:rPr>
          <w:rFonts w:ascii="Palatino Linotype" w:eastAsia="Palatino Linotype" w:hAnsi="Palatino Linotype" w:cs="Palatino Linotype"/>
          <w:b/>
          <w:bCs/>
          <w:sz w:val="24"/>
          <w:szCs w:val="24"/>
        </w:rPr>
        <w:t xml:space="preserve">modificó </w:t>
      </w:r>
      <w:r w:rsidRPr="0002178E">
        <w:rPr>
          <w:rFonts w:ascii="Palatino Linotype" w:eastAsia="Palatino Linotype" w:hAnsi="Palatino Linotype" w:cs="Palatino Linotype"/>
          <w:sz w:val="24"/>
          <w:szCs w:val="24"/>
        </w:rPr>
        <w:t xml:space="preserve">el acto que le dio origen a al recurso de revisión y que, a través de informe justificado entregó lo solicitado, lo que trae como </w:t>
      </w:r>
      <w:r w:rsidRPr="0002178E">
        <w:rPr>
          <w:rFonts w:ascii="Palatino Linotype" w:eastAsia="Palatino Linotype" w:hAnsi="Palatino Linotype" w:cs="Palatino Linotype"/>
          <w:sz w:val="24"/>
          <w:szCs w:val="24"/>
        </w:rPr>
        <w:lastRenderedPageBreak/>
        <w:t>consecuencia que el mismo quede sin materia, actualizándose de este modo, la hipótesis jurídica contenida en la fracción III del artículo 192 de la Ley de Transparencia Local.</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Ahora bien, </w:t>
      </w:r>
      <w:r w:rsidRPr="0002178E">
        <w:rPr>
          <w:rFonts w:ascii="Palatino Linotype" w:eastAsia="Palatino Linotype" w:hAnsi="Palatino Linotype" w:cs="Palatino Linotype"/>
          <w:sz w:val="24"/>
          <w:szCs w:val="24"/>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02178E">
        <w:rPr>
          <w:rFonts w:ascii="Palatino Linotype" w:eastAsia="Palatino Linotype" w:hAnsi="Palatino Linotype" w:cs="Palatino Linotype"/>
          <w:b/>
          <w:bCs/>
          <w:sz w:val="24"/>
          <w:szCs w:val="24"/>
        </w:rPr>
        <w:t>SUJETOS OBLIGADOS</w:t>
      </w:r>
      <w:r w:rsidRPr="0002178E">
        <w:rPr>
          <w:rFonts w:ascii="Palatino Linotype" w:eastAsia="Palatino Linotype" w:hAnsi="Palatino Linotype" w:cs="Palatino Linotype"/>
          <w:sz w:val="24"/>
          <w:szCs w:val="24"/>
        </w:rPr>
        <w:t xml:space="preserve"> o la negativa de entrega de esta, derivada de la solicitud de información pública.</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De </w:t>
      </w:r>
      <w:r w:rsidRPr="0002178E">
        <w:rPr>
          <w:rFonts w:ascii="Palatino Linotype" w:eastAsia="Palatino Linotype" w:hAnsi="Palatino Linotype" w:cs="Palatino Linotype"/>
          <w:sz w:val="24"/>
          <w:szCs w:val="24"/>
        </w:rPr>
        <w:t xml:space="preserve">este modo, cuando el </w:t>
      </w:r>
      <w:r w:rsidRPr="0002178E">
        <w:rPr>
          <w:rFonts w:ascii="Palatino Linotype" w:eastAsia="Palatino Linotype" w:hAnsi="Palatino Linotype" w:cs="Palatino Linotype"/>
          <w:b/>
          <w:bCs/>
          <w:sz w:val="24"/>
          <w:szCs w:val="24"/>
        </w:rPr>
        <w:t xml:space="preserve">SUJETO OBLIGADO, </w:t>
      </w:r>
      <w:r w:rsidRPr="0002178E">
        <w:rPr>
          <w:rFonts w:ascii="Palatino Linotype" w:eastAsia="Palatino Linotype" w:hAnsi="Palatino Linotype" w:cs="Palatino Linotype"/>
          <w:sz w:val="24"/>
          <w:szCs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02178E">
        <w:rPr>
          <w:rFonts w:ascii="Palatino Linotype" w:eastAsia="Palatino Linotype" w:hAnsi="Palatino Linotype" w:cs="Palatino Linotype"/>
          <w:i/>
          <w:iCs/>
          <w:sz w:val="24"/>
          <w:szCs w:val="24"/>
        </w:rPr>
        <w:t>litis</w:t>
      </w:r>
      <w:r w:rsidRPr="0002178E">
        <w:rPr>
          <w:rFonts w:ascii="Palatino Linotype" w:eastAsia="Palatino Linotype" w:hAnsi="Palatino Linotype" w:cs="Palatino Linotype"/>
          <w:sz w:val="24"/>
          <w:szCs w:val="24"/>
        </w:rPr>
        <w:t xml:space="preserve"> planteada, debido a que la afectación en su esfera de derechos fue restituida por la propia autoridad que emitió el acto motivo de impugnación.</w:t>
      </w:r>
    </w:p>
    <w:p w:rsidR="00E318AB" w:rsidRPr="0002178E" w:rsidRDefault="00E318AB">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Sirve </w:t>
      </w:r>
      <w:r w:rsidRPr="0002178E">
        <w:rPr>
          <w:rFonts w:ascii="Palatino Linotype" w:eastAsia="Palatino Linotype" w:hAnsi="Palatino Linotype" w:cs="Palatino Linotype"/>
          <w:sz w:val="24"/>
          <w:szCs w:val="24"/>
        </w:rPr>
        <w:t>de sustento a lo anterior la siguiente jurisprudencia por contradicción, cuyo rubro, texto y datos de identificación son los siguientes:</w:t>
      </w:r>
    </w:p>
    <w:p w:rsidR="00E318AB" w:rsidRPr="0002178E" w:rsidRDefault="003440D7">
      <w:pPr>
        <w:pBdr>
          <w:top w:val="nil"/>
          <w:left w:val="nil"/>
          <w:bottom w:val="nil"/>
          <w:right w:val="nil"/>
          <w:between w:val="nil"/>
        </w:pBdr>
        <w:tabs>
          <w:tab w:val="left" w:pos="709"/>
          <w:tab w:val="left" w:pos="851"/>
        </w:tabs>
        <w:spacing w:line="360" w:lineRule="auto"/>
        <w:ind w:left="851" w:right="822"/>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b/>
          <w:bCs/>
          <w:i/>
          <w:iCs/>
          <w:color w:val="000000"/>
          <w:sz w:val="24"/>
          <w:szCs w:val="24"/>
        </w:rPr>
        <w:t xml:space="preserve">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w:t>
      </w:r>
      <w:r w:rsidRPr="0002178E">
        <w:rPr>
          <w:rFonts w:ascii="Palatino Linotype" w:eastAsia="Palatino Linotype" w:hAnsi="Palatino Linotype" w:cs="Palatino Linotype"/>
          <w:b/>
          <w:bCs/>
          <w:i/>
          <w:iCs/>
          <w:color w:val="000000"/>
          <w:sz w:val="24"/>
          <w:szCs w:val="24"/>
        </w:rPr>
        <w:lastRenderedPageBreak/>
        <w:t>DEMANDA INICIAL, PROMOVER OTRO JUICIO DE AMPARO O EL MEDIO ORDINARIO DE DEFENSA QUE PROCEDA.</w:t>
      </w:r>
      <w:r w:rsidRPr="0002178E">
        <w:rPr>
          <w:rFonts w:ascii="Palatino Linotype" w:eastAsia="Palatino Linotype" w:hAnsi="Palatino Linotype" w:cs="Palatino Linotype"/>
          <w:i/>
          <w:iCs/>
          <w:color w:val="000000"/>
          <w:sz w:val="24"/>
          <w:szCs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E318AB" w:rsidRPr="0002178E" w:rsidRDefault="00E318AB">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La anterior jurisprudencia resulta aplicable al presente asunto, en dos aspectos: </w:t>
      </w:r>
    </w:p>
    <w:p w:rsidR="00E318AB" w:rsidRPr="0002178E" w:rsidRDefault="003440D7">
      <w:pPr>
        <w:numPr>
          <w:ilvl w:val="0"/>
          <w:numId w:val="5"/>
        </w:numPr>
        <w:spacing w:line="360" w:lineRule="auto"/>
        <w:ind w:left="567" w:right="616" w:firstLine="0"/>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t>La cesación de los efectos perniciosos del acto de autoridad:</w:t>
      </w:r>
      <w:r w:rsidRPr="0002178E">
        <w:rPr>
          <w:rFonts w:ascii="Palatino Linotype" w:eastAsia="Palatino Linotype" w:hAnsi="Palatino Linotype" w:cs="Palatino Linotype"/>
          <w:sz w:val="24"/>
          <w:szCs w:val="24"/>
        </w:rPr>
        <w:t xml:space="preserve"> Al respecto, la Ley de Transparencia contempla la figura jurídica del sobreseimiento cuando el </w:t>
      </w:r>
      <w:r w:rsidRPr="0002178E">
        <w:rPr>
          <w:rFonts w:ascii="Palatino Linotype" w:eastAsia="Palatino Linotype" w:hAnsi="Palatino Linotype" w:cs="Palatino Linotype"/>
          <w:b/>
          <w:bCs/>
          <w:sz w:val="24"/>
          <w:szCs w:val="24"/>
        </w:rPr>
        <w:t>SUJETO OBLIGADO</w:t>
      </w:r>
      <w:r w:rsidRPr="0002178E">
        <w:rPr>
          <w:rFonts w:ascii="Palatino Linotype" w:eastAsia="Palatino Linotype" w:hAnsi="Palatino Linotype" w:cs="Palatino Linotype"/>
          <w:sz w:val="24"/>
          <w:szCs w:val="24"/>
        </w:rPr>
        <w:t xml:space="preserve"> de </w:t>
      </w:r>
      <w:r w:rsidRPr="0002178E">
        <w:rPr>
          <w:rFonts w:ascii="Palatino Linotype" w:eastAsia="Palatino Linotype" w:hAnsi="Palatino Linotype" w:cs="Palatino Linotype"/>
          <w:i/>
          <w:iCs/>
          <w:sz w:val="24"/>
          <w:szCs w:val="24"/>
        </w:rPr>
        <w:t>motu proprio</w:t>
      </w:r>
      <w:r w:rsidRPr="0002178E">
        <w:rPr>
          <w:rFonts w:ascii="Palatino Linotype" w:eastAsia="Palatino Linotype" w:hAnsi="Palatino Linotype" w:cs="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E318AB" w:rsidRPr="0002178E" w:rsidRDefault="00E318AB">
      <w:pPr>
        <w:spacing w:line="360" w:lineRule="auto"/>
        <w:ind w:left="567" w:right="616"/>
        <w:rPr>
          <w:rFonts w:ascii="Palatino Linotype" w:eastAsia="Palatino Linotype" w:hAnsi="Palatino Linotype" w:cs="Palatino Linotype"/>
          <w:sz w:val="24"/>
          <w:szCs w:val="24"/>
        </w:rPr>
      </w:pPr>
    </w:p>
    <w:p w:rsidR="00E318AB" w:rsidRPr="0002178E" w:rsidRDefault="003440D7">
      <w:pPr>
        <w:numPr>
          <w:ilvl w:val="0"/>
          <w:numId w:val="5"/>
        </w:numPr>
        <w:spacing w:line="360" w:lineRule="auto"/>
        <w:ind w:left="567" w:right="616" w:firstLine="0"/>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lastRenderedPageBreak/>
        <w:t>El momento procesal para modificar el acto impugnado:</w:t>
      </w:r>
      <w:r w:rsidRPr="0002178E">
        <w:rPr>
          <w:rFonts w:ascii="Palatino Linotype" w:eastAsia="Palatino Linotype" w:hAnsi="Palatino Linotype" w:cs="Palatino Linotype"/>
          <w:sz w:val="24"/>
          <w:szCs w:val="24"/>
        </w:rPr>
        <w:t xml:space="preserve"> Para que se actualice el sobreseimiento de un recurso de revisión, el </w:t>
      </w:r>
      <w:r w:rsidRPr="0002178E">
        <w:rPr>
          <w:rFonts w:ascii="Palatino Linotype" w:eastAsia="Palatino Linotype" w:hAnsi="Palatino Linotype" w:cs="Palatino Linotype"/>
          <w:b/>
          <w:bCs/>
          <w:sz w:val="24"/>
          <w:szCs w:val="24"/>
        </w:rPr>
        <w:t>SUJETO OBLIGADO</w:t>
      </w:r>
      <w:r w:rsidRPr="0002178E">
        <w:rPr>
          <w:rFonts w:ascii="Palatino Linotype" w:eastAsia="Palatino Linotype" w:hAnsi="Palatino Linotype" w:cs="Palatino Linotype"/>
          <w:sz w:val="24"/>
          <w:szCs w:val="24"/>
        </w:rPr>
        <w:t xml:space="preserve"> puede entregar o completar la información al momento de rendir su informe de justificación o </w:t>
      </w:r>
      <w:r w:rsidRPr="0002178E">
        <w:rPr>
          <w:rFonts w:ascii="Palatino Linotype" w:eastAsia="Palatino Linotype" w:hAnsi="Palatino Linotype" w:cs="Palatino Linotype"/>
          <w:b/>
          <w:bCs/>
          <w:sz w:val="24"/>
          <w:szCs w:val="24"/>
          <w:u w:val="single"/>
        </w:rPr>
        <w:t>posteriormente</w:t>
      </w:r>
      <w:r w:rsidRPr="0002178E">
        <w:rPr>
          <w:rFonts w:ascii="Palatino Linotype" w:eastAsia="Palatino Linotype" w:hAnsi="Palatino Linotype" w:cs="Palatino Linotype"/>
          <w:sz w:val="24"/>
          <w:szCs w:val="24"/>
        </w:rPr>
        <w:t xml:space="preserve"> a éste, siempre y cuando el Pleno del Instituto no haya dictado resolución definitiva.</w:t>
      </w:r>
    </w:p>
    <w:p w:rsidR="00E318AB" w:rsidRPr="0002178E" w:rsidRDefault="00E318A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Eduardo Pallares, en su artículo </w:t>
      </w:r>
      <w:r w:rsidRPr="0002178E">
        <w:rPr>
          <w:rFonts w:ascii="Palatino Linotype" w:eastAsia="Palatino Linotype" w:hAnsi="Palatino Linotype" w:cs="Palatino Linotype"/>
          <w:i/>
          <w:iCs/>
          <w:color w:val="000000"/>
          <w:sz w:val="24"/>
          <w:szCs w:val="24"/>
        </w:rPr>
        <w:t>“La caducidad y el sobreseimiento en el amparo”</w:t>
      </w:r>
      <w:r w:rsidRPr="0002178E">
        <w:rPr>
          <w:rFonts w:ascii="Palatino Linotype" w:eastAsia="Palatino Linotype" w:hAnsi="Palatino Linotype" w:cs="Palatino Linotype"/>
          <w:color w:val="000000"/>
          <w:sz w:val="24"/>
          <w:szCs w:val="24"/>
        </w:rPr>
        <w:t xml:space="preserve">, cita la definición de Aguilera Paz, aduciendo que se </w:t>
      </w:r>
      <w:r w:rsidRPr="0002178E">
        <w:rPr>
          <w:rFonts w:ascii="Palatino Linotype" w:eastAsia="Palatino Linotype" w:hAnsi="Palatino Linotype" w:cs="Palatino Linotype"/>
          <w:i/>
          <w:iCs/>
          <w:color w:val="000000"/>
          <w:sz w:val="24"/>
          <w:szCs w:val="24"/>
        </w:rPr>
        <w:t>“...entiende por sobreseimiento en el tecnicismo forense, el hecho de cesar en el procedimiento o curso de la causa, por no existir méritos bastantes para entrar en un juicio o para entablar la contienda judicial que debe ser objeto del mismo...”</w:t>
      </w:r>
      <w:r w:rsidRPr="0002178E">
        <w:rPr>
          <w:rFonts w:ascii="Palatino Linotype" w:eastAsia="Palatino Linotype" w:hAnsi="Palatino Linotype" w:cs="Palatino Linotype"/>
          <w:color w:val="000000"/>
          <w:sz w:val="24"/>
          <w:szCs w:val="24"/>
        </w:rPr>
        <w:t>. Asimismo, señala que existe el sobreseimiento provisional y el definitivo</w:t>
      </w:r>
      <w:r w:rsidRPr="0002178E">
        <w:rPr>
          <w:rFonts w:ascii="Palatino Linotype" w:eastAsia="Palatino Linotype" w:hAnsi="Palatino Linotype" w:cs="Palatino Linotype"/>
          <w:i/>
          <w:iCs/>
          <w:color w:val="000000"/>
          <w:sz w:val="24"/>
          <w:szCs w:val="24"/>
        </w:rPr>
        <w:t>: “...el definitivo es una verdadera sentencia que pone fin al juicio, y que una vez dictada, produce cosa juzgada, mientras que el provisorio tiene por efectos suspender la prosecución de la causa...”</w:t>
      </w:r>
    </w:p>
    <w:p w:rsidR="00E318AB" w:rsidRPr="0002178E" w:rsidRDefault="00E318A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Así, para la doctrina el sobreseimiento provoca que un procedimiento se suspenda o se resuelva en definitiva </w:t>
      </w:r>
      <w:r w:rsidRPr="0002178E">
        <w:rPr>
          <w:rFonts w:ascii="Palatino Linotype" w:eastAsia="Palatino Linotype" w:hAnsi="Palatino Linotype" w:cs="Palatino Linotype"/>
          <w:b/>
          <w:bCs/>
          <w:color w:val="000000"/>
          <w:sz w:val="24"/>
          <w:szCs w:val="24"/>
          <w:u w:val="single"/>
        </w:rPr>
        <w:t xml:space="preserve">sin que se entre al estudio de los agravios o motivos de inconformidad. </w:t>
      </w:r>
      <w:r w:rsidRPr="0002178E">
        <w:rPr>
          <w:rFonts w:ascii="Palatino Linotype" w:eastAsia="Palatino Linotype" w:hAnsi="Palatino Linotype" w:cs="Palatino Linotype"/>
          <w:color w:val="000000"/>
          <w:sz w:val="24"/>
          <w:szCs w:val="24"/>
        </w:rPr>
        <w:t>Este mismo criterio es compartido por el más alto tribunal del país en múltiples jurisprudencias, por lo que a continuación se agrega una de ellas que sirve como orientador en esta resolución:</w:t>
      </w:r>
    </w:p>
    <w:p w:rsidR="00E318AB" w:rsidRPr="0002178E" w:rsidRDefault="003440D7">
      <w:pPr>
        <w:spacing w:line="360"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b/>
          <w:bCs/>
          <w:i/>
          <w:iCs/>
          <w:sz w:val="24"/>
          <w:szCs w:val="24"/>
        </w:rPr>
        <w:t>SOBRESEIMIENTO EN EL JUICIO DE AMPARO DIRECTO. IMPIDE EL ESTUDIO DE LAS VIOLACIONES PROCESALES PLANTEADAS EN LOS CONCEPTOS DE VIOLACIÓN. El sobreseimiento</w:t>
      </w:r>
      <w:r w:rsidRPr="0002178E">
        <w:rPr>
          <w:rFonts w:ascii="Palatino Linotype" w:eastAsia="Palatino Linotype" w:hAnsi="Palatino Linotype" w:cs="Palatino Linotype"/>
          <w:i/>
          <w:iCs/>
          <w:sz w:val="24"/>
          <w:szCs w:val="24"/>
        </w:rPr>
        <w:t xml:space="preserve"> en el juicio de amparo directo </w:t>
      </w:r>
      <w:r w:rsidRPr="0002178E">
        <w:rPr>
          <w:rFonts w:ascii="Palatino Linotype" w:eastAsia="Palatino Linotype" w:hAnsi="Palatino Linotype" w:cs="Palatino Linotype"/>
          <w:b/>
          <w:bCs/>
          <w:i/>
          <w:iCs/>
          <w:sz w:val="24"/>
          <w:szCs w:val="24"/>
        </w:rPr>
        <w:t>provoca la terminación de la controversia planteada</w:t>
      </w:r>
      <w:r w:rsidRPr="0002178E">
        <w:rPr>
          <w:rFonts w:ascii="Palatino Linotype" w:eastAsia="Palatino Linotype" w:hAnsi="Palatino Linotype" w:cs="Palatino Linotype"/>
          <w:i/>
          <w:iCs/>
          <w:sz w:val="24"/>
          <w:szCs w:val="24"/>
        </w:rPr>
        <w:t xml:space="preserve"> por el quejoso en la demanda de amparo</w:t>
      </w:r>
      <w:r w:rsidRPr="0002178E">
        <w:rPr>
          <w:rFonts w:ascii="Palatino Linotype" w:eastAsia="Palatino Linotype" w:hAnsi="Palatino Linotype" w:cs="Palatino Linotype"/>
          <w:b/>
          <w:bCs/>
          <w:i/>
          <w:iCs/>
          <w:sz w:val="24"/>
          <w:szCs w:val="24"/>
        </w:rPr>
        <w:t xml:space="preserve">, sin hacer un pronunciamiento de fondo sobre la legalidad o </w:t>
      </w:r>
      <w:r w:rsidRPr="0002178E">
        <w:rPr>
          <w:rFonts w:ascii="Palatino Linotype" w:eastAsia="Palatino Linotype" w:hAnsi="Palatino Linotype" w:cs="Palatino Linotype"/>
          <w:b/>
          <w:bCs/>
          <w:i/>
          <w:iCs/>
          <w:sz w:val="24"/>
          <w:szCs w:val="24"/>
        </w:rPr>
        <w:lastRenderedPageBreak/>
        <w:t>ilegalidad de la sentencia reclamada</w:t>
      </w:r>
      <w:r w:rsidRPr="0002178E">
        <w:rPr>
          <w:rFonts w:ascii="Palatino Linotype" w:eastAsia="Palatino Linotype" w:hAnsi="Palatino Linotype" w:cs="Palatino Linotype"/>
          <w:i/>
          <w:iCs/>
          <w:sz w:val="24"/>
          <w:szCs w:val="24"/>
        </w:rPr>
        <w:t xml:space="preserve">. </w:t>
      </w:r>
      <w:r w:rsidRPr="0002178E">
        <w:rPr>
          <w:rFonts w:ascii="Palatino Linotype" w:eastAsia="Palatino Linotype" w:hAnsi="Palatino Linotype" w:cs="Palatino Linotype"/>
          <w:b/>
          <w:bCs/>
          <w:i/>
          <w:iCs/>
          <w:sz w:val="24"/>
          <w:szCs w:val="24"/>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02178E">
        <w:rPr>
          <w:rFonts w:ascii="Palatino Linotype" w:eastAsia="Palatino Linotype" w:hAnsi="Palatino Linotype" w:cs="Palatino Linotype"/>
          <w:i/>
          <w:iCs/>
          <w:sz w:val="24"/>
          <w:szCs w:val="24"/>
        </w:rPr>
        <w:t>.</w:t>
      </w:r>
    </w:p>
    <w:p w:rsidR="00E318AB" w:rsidRPr="0002178E" w:rsidRDefault="003440D7">
      <w:pPr>
        <w:spacing w:line="360" w:lineRule="auto"/>
        <w:ind w:left="851" w:right="822"/>
        <w:jc w:val="both"/>
        <w:rPr>
          <w:rFonts w:ascii="Palatino Linotype" w:eastAsia="Palatino Linotype" w:hAnsi="Palatino Linotype" w:cs="Palatino Linotype"/>
          <w:i/>
          <w:iCs/>
          <w:sz w:val="24"/>
          <w:szCs w:val="24"/>
        </w:rPr>
      </w:pPr>
      <w:r w:rsidRPr="0002178E">
        <w:rPr>
          <w:rFonts w:ascii="Palatino Linotype" w:eastAsia="Palatino Linotype" w:hAnsi="Palatino Linotype" w:cs="Palatino Linotype"/>
          <w:i/>
          <w:iCs/>
          <w:sz w:val="24"/>
          <w:szCs w:val="24"/>
        </w:rPr>
        <w:t>SÉPTIMO TRIBUNAL COLEGIADO EN MATERIA CIVIL DEL PRIMER CIRCUITO.</w:t>
      </w:r>
    </w:p>
    <w:p w:rsidR="00E318AB" w:rsidRPr="0002178E" w:rsidRDefault="003440D7">
      <w:pPr>
        <w:spacing w:line="360" w:lineRule="auto"/>
        <w:ind w:left="851" w:right="822"/>
        <w:jc w:val="both"/>
        <w:rPr>
          <w:rFonts w:ascii="Palatino Linotype" w:eastAsia="Palatino Linotype" w:hAnsi="Palatino Linotype" w:cs="Palatino Linotype"/>
          <w:b/>
          <w:bCs/>
          <w:i/>
          <w:iCs/>
          <w:sz w:val="24"/>
          <w:szCs w:val="24"/>
        </w:rPr>
      </w:pPr>
      <w:r w:rsidRPr="0002178E">
        <w:rPr>
          <w:rFonts w:ascii="Palatino Linotype" w:eastAsia="Palatino Linotype" w:hAnsi="Palatino Linotype" w:cs="Palatino Linotype"/>
          <w:i/>
          <w:iCs/>
          <w:sz w:val="24"/>
          <w:szCs w:val="24"/>
        </w:rPr>
        <w:t>Amparo directo 699/2008. Mariana Leticia González Steele. 13 de noviembre de 2008. Unanimidad de votos. Ponente: Sara Judith Montalvo Trejo. Secretario: Arnulfo Mateos García.</w:t>
      </w:r>
    </w:p>
    <w:p w:rsidR="00E318AB" w:rsidRPr="0002178E" w:rsidRDefault="00E318AB">
      <w:pPr>
        <w:spacing w:line="360" w:lineRule="auto"/>
        <w:ind w:right="565"/>
        <w:jc w:val="both"/>
        <w:rPr>
          <w:rFonts w:ascii="Palatino Linotype" w:eastAsia="Palatino Linotype" w:hAnsi="Palatino Linotype" w:cs="Palatino Linotype"/>
          <w:b/>
          <w:bCs/>
          <w:i/>
          <w:iCs/>
          <w:sz w:val="24"/>
          <w:szCs w:val="24"/>
        </w:rPr>
      </w:pPr>
    </w:p>
    <w:p w:rsidR="00E318AB" w:rsidRPr="0002178E" w:rsidRDefault="003440D7">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Consecuentemente, por lo que hace a los motivos de inconformidad, los mismos devienen inatendibles por actualizarse la figura del sobreseimiento, misma que impide el estudio de los agravios planteados, máxime que se ha dado cumplimiento al derecho de acceso a la información.</w:t>
      </w:r>
    </w:p>
    <w:p w:rsidR="00E318AB" w:rsidRPr="0002178E" w:rsidRDefault="00E318A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t xml:space="preserve">Bajo ese tenor y en términos del artículo 186 fracción I este Pleno determina el </w:t>
      </w:r>
      <w:r w:rsidRPr="0002178E">
        <w:rPr>
          <w:rFonts w:ascii="Palatino Linotype" w:eastAsia="Palatino Linotype" w:hAnsi="Palatino Linotype" w:cs="Palatino Linotype"/>
          <w:b/>
          <w:bCs/>
          <w:color w:val="000000"/>
          <w:sz w:val="24"/>
          <w:szCs w:val="24"/>
        </w:rPr>
        <w:t xml:space="preserve">SOBRESEIMIENTO </w:t>
      </w:r>
      <w:r w:rsidRPr="0002178E">
        <w:rPr>
          <w:rFonts w:ascii="Palatino Linotype" w:eastAsia="Palatino Linotype" w:hAnsi="Palatino Linotype" w:cs="Palatino Linotype"/>
          <w:color w:val="000000"/>
          <w:sz w:val="24"/>
          <w:szCs w:val="24"/>
        </w:rPr>
        <w:t xml:space="preserve">del recurso de revisión </w:t>
      </w:r>
      <w:r w:rsidRPr="0002178E">
        <w:rPr>
          <w:rFonts w:ascii="Palatino Linotype" w:eastAsia="Palatino Linotype" w:hAnsi="Palatino Linotype" w:cs="Palatino Linotype"/>
          <w:b/>
          <w:bCs/>
          <w:color w:val="000000"/>
          <w:sz w:val="24"/>
          <w:szCs w:val="24"/>
        </w:rPr>
        <w:t>01818/INFOEM/IP/RR/2026</w:t>
      </w:r>
      <w:r w:rsidRPr="0002178E">
        <w:rPr>
          <w:rFonts w:ascii="Palatino Linotype" w:eastAsia="Palatino Linotype" w:hAnsi="Palatino Linotype" w:cs="Palatino Linotype"/>
          <w:color w:val="000000"/>
          <w:sz w:val="24"/>
          <w:szCs w:val="24"/>
        </w:rPr>
        <w:t>, toda vez que la afectación al derecho de acceso a la información pública establecido constitucionalmente a favor del Particular ha sido resarcida.</w:t>
      </w:r>
    </w:p>
    <w:p w:rsidR="00E318AB" w:rsidRPr="0002178E" w:rsidRDefault="00E318AB">
      <w:pPr>
        <w:pBdr>
          <w:top w:val="nil"/>
          <w:left w:val="nil"/>
          <w:bottom w:val="nil"/>
          <w:right w:val="nil"/>
          <w:between w:val="nil"/>
        </w:pBdr>
        <w:shd w:val="clear" w:color="auto" w:fill="FFFFFF"/>
        <w:tabs>
          <w:tab w:val="left" w:pos="284"/>
        </w:tabs>
        <w:spacing w:line="360" w:lineRule="auto"/>
        <w:jc w:val="both"/>
        <w:rPr>
          <w:rFonts w:ascii="Palatino Linotype" w:eastAsia="Palatino Linotype" w:hAnsi="Palatino Linotype" w:cs="Palatino Linotype"/>
          <w:color w:val="000000"/>
          <w:sz w:val="24"/>
          <w:szCs w:val="24"/>
        </w:rPr>
      </w:pPr>
    </w:p>
    <w:p w:rsidR="00E318AB" w:rsidRPr="0002178E" w:rsidRDefault="003440D7">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02178E">
        <w:rPr>
          <w:rFonts w:ascii="Palatino Linotype" w:eastAsia="Palatino Linotype" w:hAnsi="Palatino Linotype" w:cs="Palatino Linotype"/>
          <w:color w:val="000000"/>
          <w:sz w:val="24"/>
          <w:szCs w:val="24"/>
        </w:rPr>
        <w:lastRenderedPageBreak/>
        <w:t xml:space="preserve">Por lo anteriormente expuesto y fundado, este </w:t>
      </w:r>
      <w:r w:rsidRPr="0002178E">
        <w:rPr>
          <w:rFonts w:ascii="Palatino Linotype" w:eastAsia="Palatino Linotype" w:hAnsi="Palatino Linotype" w:cs="Palatino Linotype"/>
          <w:b/>
          <w:bCs/>
          <w:color w:val="000000"/>
          <w:sz w:val="24"/>
          <w:szCs w:val="24"/>
        </w:rPr>
        <w:t>ÓRGANO GARANTE</w:t>
      </w:r>
      <w:r w:rsidRPr="0002178E">
        <w:rPr>
          <w:rFonts w:ascii="Palatino Linotype" w:eastAsia="Palatino Linotype" w:hAnsi="Palatino Linotype" w:cs="Palatino Linotype"/>
          <w:color w:val="000000"/>
          <w:sz w:val="24"/>
          <w:szCs w:val="24"/>
        </w:rPr>
        <w:t xml:space="preserve"> emite los siguientes:</w:t>
      </w:r>
    </w:p>
    <w:p w:rsidR="00E318AB" w:rsidRPr="0002178E" w:rsidRDefault="003440D7">
      <w:pPr>
        <w:spacing w:line="360" w:lineRule="auto"/>
        <w:jc w:val="center"/>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R E S O L U T I V O S</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18AB" w:rsidRPr="0002178E" w:rsidRDefault="003440D7">
      <w:pPr>
        <w:spacing w:line="360" w:lineRule="auto"/>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t xml:space="preserve">PRIMERO. </w:t>
      </w:r>
      <w:r w:rsidRPr="0002178E">
        <w:rPr>
          <w:rFonts w:ascii="Palatino Linotype" w:eastAsia="Palatino Linotype" w:hAnsi="Palatino Linotype" w:cs="Palatino Linotype"/>
          <w:sz w:val="24"/>
          <w:szCs w:val="24"/>
        </w:rPr>
        <w:t xml:space="preserve">Se </w:t>
      </w:r>
      <w:r w:rsidRPr="0002178E">
        <w:rPr>
          <w:rFonts w:ascii="Palatino Linotype" w:eastAsia="Palatino Linotype" w:hAnsi="Palatino Linotype" w:cs="Palatino Linotype"/>
          <w:b/>
          <w:bCs/>
          <w:sz w:val="24"/>
          <w:szCs w:val="24"/>
        </w:rPr>
        <w:t>SOBRESEE</w:t>
      </w:r>
      <w:r w:rsidRPr="0002178E">
        <w:rPr>
          <w:rFonts w:ascii="Palatino Linotype" w:eastAsia="Palatino Linotype" w:hAnsi="Palatino Linotype" w:cs="Palatino Linotype"/>
          <w:sz w:val="24"/>
          <w:szCs w:val="24"/>
        </w:rPr>
        <w:t xml:space="preserve"> el recurso de revisión número </w:t>
      </w:r>
      <w:r w:rsidRPr="0002178E">
        <w:rPr>
          <w:rFonts w:ascii="Palatino Linotype" w:eastAsia="Palatino Linotype" w:hAnsi="Palatino Linotype" w:cs="Palatino Linotype"/>
          <w:b/>
          <w:bCs/>
          <w:sz w:val="24"/>
          <w:szCs w:val="24"/>
        </w:rPr>
        <w:t xml:space="preserve">01818/INFOEM/IP/RR/2026 </w:t>
      </w:r>
      <w:r w:rsidRPr="0002178E">
        <w:rPr>
          <w:rFonts w:ascii="Palatino Linotype" w:eastAsia="Palatino Linotype" w:hAnsi="Palatino Linotype" w:cs="Palatino Linotype"/>
          <w:sz w:val="24"/>
          <w:szCs w:val="24"/>
        </w:rPr>
        <w:t>conforme al artículo 192</w:t>
      </w:r>
      <w:r w:rsidR="00E35BBD" w:rsidRPr="0002178E">
        <w:rPr>
          <w:rFonts w:ascii="Palatino Linotype" w:eastAsia="Palatino Linotype" w:hAnsi="Palatino Linotype" w:cs="Palatino Linotype"/>
          <w:sz w:val="24"/>
          <w:szCs w:val="24"/>
        </w:rPr>
        <w:t>,</w:t>
      </w:r>
      <w:r w:rsidRPr="0002178E">
        <w:rPr>
          <w:rFonts w:ascii="Palatino Linotype" w:eastAsia="Palatino Linotype" w:hAnsi="Palatino Linotype" w:cs="Palatino Linotype"/>
          <w:sz w:val="24"/>
          <w:szCs w:val="24"/>
        </w:rPr>
        <w:t xml:space="preserve"> fracción III</w:t>
      </w:r>
      <w:r w:rsidR="00E35BBD" w:rsidRPr="0002178E">
        <w:rPr>
          <w:rFonts w:ascii="Palatino Linotype" w:eastAsia="Palatino Linotype" w:hAnsi="Palatino Linotype" w:cs="Palatino Linotype"/>
          <w:sz w:val="24"/>
          <w:szCs w:val="24"/>
        </w:rPr>
        <w:t>,</w:t>
      </w:r>
      <w:r w:rsidRPr="0002178E">
        <w:rPr>
          <w:rFonts w:ascii="Palatino Linotype" w:eastAsia="Palatino Linotype" w:hAnsi="Palatino Linotype" w:cs="Palatino Linotype"/>
          <w:sz w:val="24"/>
          <w:szCs w:val="24"/>
        </w:rPr>
        <w:t xml:space="preserve"> de la Ley de Transparencia y Acceso a la Información Pública del Estado de México y Municipios, porque al </w:t>
      </w:r>
      <w:r w:rsidRPr="0002178E">
        <w:rPr>
          <w:rFonts w:ascii="Palatino Linotype" w:eastAsia="Palatino Linotype" w:hAnsi="Palatino Linotype" w:cs="Palatino Linotype"/>
          <w:b/>
          <w:bCs/>
          <w:sz w:val="24"/>
          <w:szCs w:val="24"/>
        </w:rPr>
        <w:t>modificar la respuesta a través del informe justificado y atender lo solicitado</w:t>
      </w:r>
      <w:r w:rsidRPr="0002178E">
        <w:rPr>
          <w:rFonts w:ascii="Palatino Linotype" w:eastAsia="Palatino Linotype" w:hAnsi="Palatino Linotype" w:cs="Palatino Linotype"/>
          <w:sz w:val="24"/>
          <w:szCs w:val="24"/>
        </w:rPr>
        <w:t xml:space="preserve">, el recurso de revisión quedó sin materia en términos del Considerando </w:t>
      </w:r>
      <w:r w:rsidRPr="0002178E">
        <w:rPr>
          <w:rFonts w:ascii="Palatino Linotype" w:eastAsia="Palatino Linotype" w:hAnsi="Palatino Linotype" w:cs="Palatino Linotype"/>
          <w:b/>
          <w:bCs/>
          <w:sz w:val="24"/>
          <w:szCs w:val="24"/>
        </w:rPr>
        <w:t>TERCERO</w:t>
      </w:r>
      <w:r w:rsidRPr="0002178E">
        <w:rPr>
          <w:rFonts w:ascii="Palatino Linotype" w:eastAsia="Palatino Linotype" w:hAnsi="Palatino Linotype" w:cs="Palatino Linotype"/>
          <w:sz w:val="24"/>
          <w:szCs w:val="24"/>
        </w:rPr>
        <w:t xml:space="preserve"> de la presente resolución.</w:t>
      </w:r>
    </w:p>
    <w:p w:rsidR="00E318AB" w:rsidRPr="0002178E" w:rsidRDefault="00E318AB">
      <w:pPr>
        <w:spacing w:line="360" w:lineRule="auto"/>
        <w:jc w:val="both"/>
        <w:rPr>
          <w:rFonts w:ascii="Palatino Linotype" w:eastAsia="Palatino Linotype" w:hAnsi="Palatino Linotype" w:cs="Palatino Linotype"/>
          <w:sz w:val="24"/>
          <w:szCs w:val="24"/>
        </w:rPr>
      </w:pPr>
    </w:p>
    <w:p w:rsidR="00E318AB" w:rsidRPr="0002178E" w:rsidRDefault="00E35BBD">
      <w:pPr>
        <w:spacing w:line="360" w:lineRule="auto"/>
        <w:jc w:val="both"/>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SEGUNDO. Notifíquese</w:t>
      </w:r>
      <w:r w:rsidR="003440D7" w:rsidRPr="0002178E">
        <w:rPr>
          <w:rFonts w:ascii="Palatino Linotype" w:eastAsia="Palatino Linotype" w:hAnsi="Palatino Linotype" w:cs="Palatino Linotype"/>
          <w:b/>
          <w:bCs/>
          <w:sz w:val="24"/>
          <w:szCs w:val="24"/>
        </w:rPr>
        <w:t xml:space="preserve"> </w:t>
      </w:r>
      <w:r w:rsidR="003440D7" w:rsidRPr="0002178E">
        <w:rPr>
          <w:rFonts w:ascii="Palatino Linotype" w:eastAsia="Palatino Linotype" w:hAnsi="Palatino Linotype" w:cs="Palatino Linotype"/>
          <w:sz w:val="24"/>
          <w:szCs w:val="24"/>
        </w:rPr>
        <w:t xml:space="preserve">a través del Sistema de Acceso a la Información Mexiquense </w:t>
      </w:r>
      <w:r w:rsidR="003440D7" w:rsidRPr="0002178E">
        <w:rPr>
          <w:rFonts w:ascii="Palatino Linotype" w:eastAsia="Palatino Linotype" w:hAnsi="Palatino Linotype" w:cs="Palatino Linotype"/>
          <w:b/>
          <w:bCs/>
          <w:sz w:val="24"/>
          <w:szCs w:val="24"/>
        </w:rPr>
        <w:t xml:space="preserve">(SAIMEX) </w:t>
      </w:r>
      <w:r w:rsidR="003440D7" w:rsidRPr="0002178E">
        <w:rPr>
          <w:rFonts w:ascii="Palatino Linotype" w:eastAsia="Palatino Linotype" w:hAnsi="Palatino Linotype" w:cs="Palatino Linotype"/>
          <w:sz w:val="24"/>
          <w:szCs w:val="24"/>
        </w:rPr>
        <w:t>la presente resolución al Titular de la Unidad de Transparencia del</w:t>
      </w:r>
      <w:r w:rsidR="003440D7" w:rsidRPr="0002178E">
        <w:rPr>
          <w:rFonts w:ascii="Palatino Linotype" w:eastAsia="Palatino Linotype" w:hAnsi="Palatino Linotype" w:cs="Palatino Linotype"/>
          <w:b/>
          <w:bCs/>
          <w:sz w:val="24"/>
          <w:szCs w:val="24"/>
        </w:rPr>
        <w:t xml:space="preserve"> SUJETO OBLIGADO. </w:t>
      </w:r>
    </w:p>
    <w:p w:rsidR="00E318AB" w:rsidRPr="0002178E" w:rsidRDefault="003440D7">
      <w:pPr>
        <w:tabs>
          <w:tab w:val="left" w:pos="3263"/>
        </w:tabs>
        <w:spacing w:line="360" w:lineRule="auto"/>
        <w:jc w:val="both"/>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ab/>
      </w:r>
    </w:p>
    <w:p w:rsidR="00E318AB" w:rsidRPr="0002178E" w:rsidRDefault="003440D7">
      <w:pPr>
        <w:spacing w:line="360" w:lineRule="auto"/>
        <w:jc w:val="both"/>
        <w:rPr>
          <w:rFonts w:ascii="Palatino Linotype" w:eastAsia="Palatino Linotype" w:hAnsi="Palatino Linotype" w:cs="Palatino Linotype"/>
          <w:color w:val="222222"/>
          <w:sz w:val="24"/>
          <w:szCs w:val="24"/>
        </w:rPr>
      </w:pPr>
      <w:r w:rsidRPr="0002178E">
        <w:rPr>
          <w:rFonts w:ascii="Palatino Linotype" w:eastAsia="Palatino Linotype" w:hAnsi="Palatino Linotype" w:cs="Palatino Linotype"/>
          <w:b/>
          <w:bCs/>
          <w:sz w:val="24"/>
          <w:szCs w:val="24"/>
        </w:rPr>
        <w:t xml:space="preserve">TERCERO. Notifíquese </w:t>
      </w:r>
      <w:r w:rsidRPr="0002178E">
        <w:rPr>
          <w:rFonts w:ascii="Palatino Linotype" w:eastAsia="Palatino Linotype" w:hAnsi="Palatino Linotype" w:cs="Palatino Linotype"/>
          <w:sz w:val="24"/>
          <w:szCs w:val="24"/>
        </w:rPr>
        <w:t>a</w:t>
      </w:r>
      <w:r w:rsidR="00E35BBD" w:rsidRPr="0002178E">
        <w:rPr>
          <w:rFonts w:ascii="Palatino Linotype" w:eastAsia="Palatino Linotype" w:hAnsi="Palatino Linotype" w:cs="Palatino Linotype"/>
          <w:sz w:val="24"/>
          <w:szCs w:val="24"/>
        </w:rPr>
        <w:t xml:space="preserve"> </w:t>
      </w:r>
      <w:r w:rsidRPr="0002178E">
        <w:rPr>
          <w:rFonts w:ascii="Palatino Linotype" w:eastAsia="Palatino Linotype" w:hAnsi="Palatino Linotype" w:cs="Palatino Linotype"/>
          <w:sz w:val="24"/>
          <w:szCs w:val="24"/>
        </w:rPr>
        <w:t>l</w:t>
      </w:r>
      <w:r w:rsidR="00E35BBD" w:rsidRPr="0002178E">
        <w:rPr>
          <w:rFonts w:ascii="Palatino Linotype" w:eastAsia="Palatino Linotype" w:hAnsi="Palatino Linotype" w:cs="Palatino Linotype"/>
          <w:sz w:val="24"/>
          <w:szCs w:val="24"/>
        </w:rPr>
        <w:t>a</w:t>
      </w:r>
      <w:r w:rsidRPr="0002178E">
        <w:rPr>
          <w:rFonts w:ascii="Palatino Linotype" w:eastAsia="Palatino Linotype" w:hAnsi="Palatino Linotype" w:cs="Palatino Linotype"/>
          <w:sz w:val="24"/>
          <w:szCs w:val="24"/>
        </w:rPr>
        <w:t xml:space="preserve"> </w:t>
      </w:r>
      <w:r w:rsidRPr="0002178E">
        <w:rPr>
          <w:rFonts w:ascii="Palatino Linotype" w:eastAsia="Palatino Linotype" w:hAnsi="Palatino Linotype" w:cs="Palatino Linotype"/>
          <w:b/>
          <w:bCs/>
          <w:sz w:val="24"/>
          <w:szCs w:val="24"/>
        </w:rPr>
        <w:t>RECURRENTE</w:t>
      </w:r>
      <w:r w:rsidRPr="0002178E">
        <w:rPr>
          <w:rFonts w:ascii="Palatino Linotype" w:eastAsia="Palatino Linotype" w:hAnsi="Palatino Linotype" w:cs="Palatino Linotype"/>
          <w:sz w:val="24"/>
          <w:szCs w:val="24"/>
        </w:rPr>
        <w:t xml:space="preserve"> la presente resolución vía SAIMEX.</w:t>
      </w:r>
    </w:p>
    <w:p w:rsidR="00E318AB" w:rsidRPr="0002178E" w:rsidRDefault="00E318AB">
      <w:pPr>
        <w:spacing w:line="360" w:lineRule="auto"/>
        <w:jc w:val="both"/>
        <w:rPr>
          <w:rFonts w:ascii="Palatino Linotype" w:eastAsia="Palatino Linotype" w:hAnsi="Palatino Linotype" w:cs="Palatino Linotype"/>
          <w:color w:val="222222"/>
          <w:sz w:val="24"/>
          <w:szCs w:val="24"/>
        </w:rPr>
      </w:pPr>
    </w:p>
    <w:p w:rsidR="00E318AB" w:rsidRPr="0002178E" w:rsidRDefault="003440D7">
      <w:pPr>
        <w:spacing w:line="360" w:lineRule="auto"/>
        <w:jc w:val="both"/>
        <w:rPr>
          <w:rFonts w:ascii="Palatino Linotype" w:eastAsia="Palatino Linotype" w:hAnsi="Palatino Linotype" w:cs="Palatino Linotype"/>
          <w:sz w:val="24"/>
          <w:szCs w:val="24"/>
        </w:rPr>
      </w:pPr>
      <w:r w:rsidRPr="0002178E">
        <w:rPr>
          <w:rFonts w:ascii="Palatino Linotype" w:eastAsia="Palatino Linotype" w:hAnsi="Palatino Linotype" w:cs="Palatino Linotype"/>
          <w:b/>
          <w:bCs/>
          <w:sz w:val="24"/>
          <w:szCs w:val="24"/>
        </w:rPr>
        <w:t>CUARTO.</w:t>
      </w:r>
      <w:r w:rsidRPr="0002178E">
        <w:rPr>
          <w:rFonts w:ascii="Palatino Linotype" w:eastAsia="Palatino Linotype" w:hAnsi="Palatino Linotype" w:cs="Palatino Linotype"/>
          <w:sz w:val="24"/>
          <w:szCs w:val="24"/>
        </w:rPr>
        <w:t xml:space="preserve"> Se hace del conocimiento del </w:t>
      </w:r>
      <w:r w:rsidRPr="0002178E">
        <w:rPr>
          <w:rFonts w:ascii="Palatino Linotype" w:eastAsia="Palatino Linotype" w:hAnsi="Palatino Linotype" w:cs="Palatino Linotype"/>
          <w:b/>
          <w:bCs/>
          <w:sz w:val="24"/>
          <w:szCs w:val="24"/>
        </w:rPr>
        <w:t>RECURRENTE</w:t>
      </w:r>
      <w:r w:rsidRPr="0002178E">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318AB" w:rsidRPr="0002178E" w:rsidRDefault="00E318A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35BBD" w:rsidRPr="0002178E" w:rsidRDefault="00E35BBD" w:rsidP="00E35BBD">
      <w:pPr>
        <w:spacing w:before="240" w:after="240" w:line="360" w:lineRule="auto"/>
        <w:ind w:firstLine="1"/>
        <w:jc w:val="both"/>
        <w:rPr>
          <w:rFonts w:ascii="Palatino Linotype" w:hAnsi="Palatino Linotype"/>
          <w:sz w:val="24"/>
          <w:szCs w:val="24"/>
        </w:rPr>
      </w:pPr>
      <w:bookmarkStart w:id="8" w:name="_Hlk99014733"/>
      <w:r w:rsidRPr="0002178E">
        <w:rPr>
          <w:rFonts w:ascii="Palatino Linotype" w:hAnsi="Palatino Linotype" w:cs="Palatino Linotype"/>
          <w:sz w:val="24"/>
          <w:szCs w:val="24"/>
        </w:rPr>
        <w:t xml:space="preserve">ASÍ LO RESUELVE, POR UNANIMIDAD DE VOTOS, EL PLENO DEL INSTITUTO DE TRANSPARENCIA, ACCESO A LA INFORMACIÓN PÚBLICA Y PROTECCIÓN DE DATOS </w:t>
      </w:r>
      <w:r w:rsidRPr="0002178E">
        <w:rPr>
          <w:rFonts w:ascii="Palatino Linotype" w:hAnsi="Palatino Linotype" w:cs="Palatino Linotype"/>
          <w:sz w:val="24"/>
          <w:szCs w:val="24"/>
        </w:rPr>
        <w:lastRenderedPageBreak/>
        <w:t xml:space="preserve">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02178E">
        <w:rPr>
          <w:rFonts w:ascii="Palatino Linotype" w:hAnsi="Palatino Linotype" w:cs="Palatino Linotype"/>
          <w:color w:val="000000" w:themeColor="text1"/>
          <w:sz w:val="24"/>
          <w:szCs w:val="24"/>
        </w:rPr>
        <w:t>ALEXIS TAPIA RAMÍREZ.</w:t>
      </w:r>
    </w:p>
    <w:bookmarkEnd w:id="8"/>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spacing w:before="240" w:after="360" w:line="360" w:lineRule="auto"/>
        <w:jc w:val="both"/>
        <w:rPr>
          <w:rFonts w:ascii="Palatino Linotype" w:eastAsia="Palatino Linotype" w:hAnsi="Palatino Linotype" w:cs="Palatino Linotype"/>
          <w:color w:val="222222"/>
          <w:sz w:val="24"/>
          <w:szCs w:val="24"/>
        </w:rPr>
      </w:pPr>
    </w:p>
    <w:p w:rsidR="00E318AB" w:rsidRPr="0002178E" w:rsidRDefault="00E318AB">
      <w:pPr>
        <w:rPr>
          <w:rFonts w:ascii="Palatino Linotype" w:eastAsia="Palatino Linotype" w:hAnsi="Palatino Linotype" w:cs="Palatino Linotype"/>
          <w:sz w:val="24"/>
          <w:szCs w:val="24"/>
        </w:rPr>
      </w:pPr>
    </w:p>
    <w:p w:rsidR="00E318AB" w:rsidRPr="0002178E" w:rsidRDefault="00E318AB">
      <w:pPr>
        <w:rPr>
          <w:sz w:val="24"/>
          <w:szCs w:val="24"/>
        </w:rPr>
      </w:pPr>
    </w:p>
    <w:p w:rsidR="00E318AB" w:rsidRPr="0002178E" w:rsidRDefault="00E318AB">
      <w:pPr>
        <w:rPr>
          <w:sz w:val="24"/>
          <w:szCs w:val="24"/>
        </w:rPr>
      </w:pPr>
    </w:p>
    <w:p w:rsidR="00E318AB" w:rsidRPr="0002178E" w:rsidRDefault="00E318AB">
      <w:pPr>
        <w:rPr>
          <w:sz w:val="24"/>
          <w:szCs w:val="24"/>
        </w:rPr>
      </w:pPr>
    </w:p>
    <w:p w:rsidR="00E318AB" w:rsidRPr="0002178E" w:rsidRDefault="00E318AB">
      <w:pPr>
        <w:rPr>
          <w:sz w:val="24"/>
          <w:szCs w:val="24"/>
        </w:rPr>
      </w:pPr>
    </w:p>
    <w:p w:rsidR="00E318AB" w:rsidRPr="0002178E" w:rsidRDefault="003440D7">
      <w:pPr>
        <w:rPr>
          <w:sz w:val="24"/>
          <w:szCs w:val="24"/>
        </w:rPr>
      </w:pPr>
      <w:r w:rsidRPr="0002178E">
        <w:rPr>
          <w:sz w:val="24"/>
          <w:szCs w:val="24"/>
        </w:rPr>
        <w:t xml:space="preserve"> </w:t>
      </w:r>
    </w:p>
    <w:p w:rsidR="00E318AB" w:rsidRPr="0002178E" w:rsidRDefault="00E318AB">
      <w:pPr>
        <w:rPr>
          <w:sz w:val="24"/>
          <w:szCs w:val="24"/>
        </w:rPr>
      </w:pPr>
    </w:p>
    <w:p w:rsidR="00E318AB" w:rsidRPr="0002178E" w:rsidRDefault="00E318AB">
      <w:pPr>
        <w:rPr>
          <w:sz w:val="24"/>
          <w:szCs w:val="24"/>
        </w:rPr>
      </w:pPr>
    </w:p>
    <w:p w:rsidR="00E318AB" w:rsidRPr="0002178E" w:rsidRDefault="00E318AB">
      <w:pPr>
        <w:rPr>
          <w:sz w:val="24"/>
          <w:szCs w:val="24"/>
        </w:rPr>
      </w:pPr>
    </w:p>
    <w:p w:rsidR="00E318AB" w:rsidRPr="0002178E" w:rsidRDefault="00E318AB">
      <w:pPr>
        <w:rPr>
          <w:sz w:val="24"/>
          <w:szCs w:val="24"/>
        </w:rPr>
      </w:pPr>
    </w:p>
    <w:sectPr w:rsidR="00E318AB" w:rsidRPr="0002178E" w:rsidSect="0002178E">
      <w:headerReference w:type="even" r:id="rId17"/>
      <w:headerReference w:type="default" r:id="rId18"/>
      <w:footerReference w:type="default" r:id="rId19"/>
      <w:headerReference w:type="first" r:id="rId20"/>
      <w:footerReference w:type="first" r:id="rId21"/>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1F7" w:rsidRDefault="002B11F7">
      <w:r>
        <w:separator/>
      </w:r>
    </w:p>
  </w:endnote>
  <w:endnote w:type="continuationSeparator" w:id="0">
    <w:p w:rsidR="002B11F7" w:rsidRDefault="002B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D0AE610-30CC-435B-BFE9-66433484C5B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B5650F0-34CA-4925-951D-FCBBF9C5BC9D}"/>
    <w:embedBold r:id="rId3" w:fontKey="{1793F7E9-386A-446A-A2A1-A0FE66AD612D}"/>
    <w:embedItalic r:id="rId4" w:fontKey="{90245BF9-8781-4C55-ADF2-F064E218D96A}"/>
    <w:embedBoldItalic r:id="rId5" w:fontKey="{86F1CFBC-9DC5-4E5E-8A91-DCE6D5AD3EEF}"/>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4BA4FFF0-D89F-40FE-9551-078FDDDECA86}"/>
  </w:font>
  <w:font w:name="Georgia">
    <w:panose1 w:val="02040502050405020303"/>
    <w:charset w:val="00"/>
    <w:family w:val="roman"/>
    <w:pitch w:val="variable"/>
    <w:sig w:usb0="00000287" w:usb1="00000000" w:usb2="00000000" w:usb3="00000000" w:csb0="0000009F" w:csb1="00000000"/>
    <w:embedItalic r:id="rId7" w:fontKey="{5C915EED-5AA1-403F-A99B-38A63FF7E569}"/>
  </w:font>
  <w:font w:name="Garamond">
    <w:panose1 w:val="02020404030301010803"/>
    <w:charset w:val="00"/>
    <w:family w:val="roman"/>
    <w:pitch w:val="variable"/>
    <w:sig w:usb0="00000287" w:usb1="00000000" w:usb2="00000000" w:usb3="00000000" w:csb0="0000009F" w:csb1="00000000"/>
    <w:embedRegular r:id="rId8" w:fontKey="{CFA62C8F-FA81-4189-A043-450066E058D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755753C5-E344-4805-AF75-0D9557E84E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8AB" w:rsidRDefault="00E318AB">
    <w:pPr>
      <w:pBdr>
        <w:top w:val="nil"/>
        <w:left w:val="nil"/>
        <w:bottom w:val="nil"/>
        <w:right w:val="nil"/>
        <w:between w:val="nil"/>
      </w:pBdr>
      <w:tabs>
        <w:tab w:val="center" w:pos="4419"/>
        <w:tab w:val="right" w:pos="8838"/>
      </w:tabs>
      <w:jc w:val="right"/>
      <w:rPr>
        <w:color w:val="000000"/>
      </w:rPr>
    </w:pPr>
  </w:p>
  <w:p w:rsidR="00E318AB" w:rsidRPr="0002178E" w:rsidRDefault="003440D7">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02178E">
      <w:rPr>
        <w:rFonts w:ascii="Palatino Linotype" w:hAnsi="Palatino Linotype"/>
        <w:color w:val="000000"/>
        <w:sz w:val="22"/>
        <w:szCs w:val="22"/>
      </w:rPr>
      <w:t xml:space="preserve">Página </w:t>
    </w:r>
    <w:r w:rsidRPr="0002178E">
      <w:rPr>
        <w:rFonts w:ascii="Palatino Linotype" w:hAnsi="Palatino Linotype"/>
        <w:b/>
        <w:bCs/>
        <w:color w:val="000000"/>
        <w:sz w:val="22"/>
        <w:szCs w:val="22"/>
      </w:rPr>
      <w:fldChar w:fldCharType="begin"/>
    </w:r>
    <w:r w:rsidRPr="0002178E">
      <w:rPr>
        <w:rFonts w:ascii="Palatino Linotype" w:hAnsi="Palatino Linotype"/>
        <w:b/>
        <w:bCs/>
        <w:color w:val="000000"/>
        <w:sz w:val="22"/>
        <w:szCs w:val="22"/>
      </w:rPr>
      <w:instrText>PAGE</w:instrText>
    </w:r>
    <w:r w:rsidRPr="0002178E">
      <w:rPr>
        <w:rFonts w:ascii="Palatino Linotype" w:hAnsi="Palatino Linotype"/>
        <w:b/>
        <w:bCs/>
        <w:color w:val="000000"/>
        <w:sz w:val="22"/>
        <w:szCs w:val="22"/>
      </w:rPr>
      <w:fldChar w:fldCharType="separate"/>
    </w:r>
    <w:r w:rsidR="00195996">
      <w:rPr>
        <w:rFonts w:ascii="Palatino Linotype" w:hAnsi="Palatino Linotype"/>
        <w:b/>
        <w:bCs/>
        <w:noProof/>
        <w:color w:val="000000"/>
        <w:sz w:val="22"/>
        <w:szCs w:val="22"/>
      </w:rPr>
      <w:t>6</w:t>
    </w:r>
    <w:r w:rsidRPr="0002178E">
      <w:rPr>
        <w:rFonts w:ascii="Palatino Linotype" w:hAnsi="Palatino Linotype"/>
        <w:b/>
        <w:bCs/>
        <w:color w:val="000000"/>
        <w:sz w:val="22"/>
        <w:szCs w:val="22"/>
      </w:rPr>
      <w:fldChar w:fldCharType="end"/>
    </w:r>
    <w:r w:rsidRPr="0002178E">
      <w:rPr>
        <w:rFonts w:ascii="Palatino Linotype" w:hAnsi="Palatino Linotype"/>
        <w:color w:val="000000"/>
        <w:sz w:val="22"/>
        <w:szCs w:val="22"/>
      </w:rPr>
      <w:t xml:space="preserve"> de </w:t>
    </w:r>
    <w:r w:rsidRPr="0002178E">
      <w:rPr>
        <w:rFonts w:ascii="Palatino Linotype" w:hAnsi="Palatino Linotype"/>
        <w:b/>
        <w:bCs/>
        <w:color w:val="000000"/>
        <w:sz w:val="22"/>
        <w:szCs w:val="22"/>
      </w:rPr>
      <w:fldChar w:fldCharType="begin"/>
    </w:r>
    <w:r w:rsidRPr="0002178E">
      <w:rPr>
        <w:rFonts w:ascii="Palatino Linotype" w:hAnsi="Palatino Linotype"/>
        <w:b/>
        <w:bCs/>
        <w:color w:val="000000"/>
        <w:sz w:val="22"/>
        <w:szCs w:val="22"/>
      </w:rPr>
      <w:instrText>NUMPAGES</w:instrText>
    </w:r>
    <w:r w:rsidRPr="0002178E">
      <w:rPr>
        <w:rFonts w:ascii="Palatino Linotype" w:hAnsi="Palatino Linotype"/>
        <w:b/>
        <w:bCs/>
        <w:color w:val="000000"/>
        <w:sz w:val="22"/>
        <w:szCs w:val="22"/>
      </w:rPr>
      <w:fldChar w:fldCharType="separate"/>
    </w:r>
    <w:r w:rsidR="00195996">
      <w:rPr>
        <w:rFonts w:ascii="Palatino Linotype" w:hAnsi="Palatino Linotype"/>
        <w:b/>
        <w:bCs/>
        <w:noProof/>
        <w:color w:val="000000"/>
        <w:sz w:val="22"/>
        <w:szCs w:val="22"/>
      </w:rPr>
      <w:t>26</w:t>
    </w:r>
    <w:r w:rsidRPr="0002178E">
      <w:rPr>
        <w:rFonts w:ascii="Palatino Linotype" w:hAnsi="Palatino Linotype"/>
        <w:b/>
        <w:bCs/>
        <w:color w:val="000000"/>
        <w:sz w:val="22"/>
        <w:szCs w:val="22"/>
      </w:rPr>
      <w:fldChar w:fldCharType="end"/>
    </w:r>
  </w:p>
  <w:p w:rsidR="00E318AB" w:rsidRDefault="00E318AB">
    <w:pPr>
      <w:pBdr>
        <w:top w:val="nil"/>
        <w:left w:val="nil"/>
        <w:bottom w:val="nil"/>
        <w:right w:val="nil"/>
        <w:between w:val="nil"/>
      </w:pBdr>
      <w:tabs>
        <w:tab w:val="center" w:pos="4419"/>
        <w:tab w:val="right" w:pos="8838"/>
      </w:tabs>
      <w:rPr>
        <w:color w:val="000000"/>
      </w:rPr>
    </w:pPr>
  </w:p>
  <w:p w:rsidR="00E318AB" w:rsidRDefault="00E318AB"/>
  <w:p w:rsidR="00E318AB" w:rsidRDefault="00E318AB"/>
  <w:p w:rsidR="00E318AB" w:rsidRDefault="00E318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8AB" w:rsidRPr="0002178E" w:rsidRDefault="003440D7">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02178E">
      <w:rPr>
        <w:rFonts w:ascii="Palatino Linotype" w:hAnsi="Palatino Linotype"/>
        <w:color w:val="000000"/>
        <w:sz w:val="22"/>
        <w:szCs w:val="22"/>
      </w:rPr>
      <w:t xml:space="preserve">Página </w:t>
    </w:r>
    <w:r w:rsidRPr="0002178E">
      <w:rPr>
        <w:rFonts w:ascii="Palatino Linotype" w:hAnsi="Palatino Linotype"/>
        <w:b/>
        <w:bCs/>
        <w:color w:val="000000"/>
        <w:sz w:val="22"/>
        <w:szCs w:val="22"/>
      </w:rPr>
      <w:fldChar w:fldCharType="begin"/>
    </w:r>
    <w:r w:rsidRPr="0002178E">
      <w:rPr>
        <w:rFonts w:ascii="Palatino Linotype" w:hAnsi="Palatino Linotype"/>
        <w:b/>
        <w:bCs/>
        <w:color w:val="000000"/>
        <w:sz w:val="22"/>
        <w:szCs w:val="22"/>
      </w:rPr>
      <w:instrText>PAGE</w:instrText>
    </w:r>
    <w:r w:rsidRPr="0002178E">
      <w:rPr>
        <w:rFonts w:ascii="Palatino Linotype" w:hAnsi="Palatino Linotype"/>
        <w:b/>
        <w:bCs/>
        <w:color w:val="000000"/>
        <w:sz w:val="22"/>
        <w:szCs w:val="22"/>
      </w:rPr>
      <w:fldChar w:fldCharType="separate"/>
    </w:r>
    <w:r w:rsidR="00195996">
      <w:rPr>
        <w:rFonts w:ascii="Palatino Linotype" w:hAnsi="Palatino Linotype"/>
        <w:b/>
        <w:bCs/>
        <w:noProof/>
        <w:color w:val="000000"/>
        <w:sz w:val="22"/>
        <w:szCs w:val="22"/>
      </w:rPr>
      <w:t>1</w:t>
    </w:r>
    <w:r w:rsidRPr="0002178E">
      <w:rPr>
        <w:rFonts w:ascii="Palatino Linotype" w:hAnsi="Palatino Linotype"/>
        <w:b/>
        <w:bCs/>
        <w:color w:val="000000"/>
        <w:sz w:val="22"/>
        <w:szCs w:val="22"/>
      </w:rPr>
      <w:fldChar w:fldCharType="end"/>
    </w:r>
    <w:r w:rsidRPr="0002178E">
      <w:rPr>
        <w:rFonts w:ascii="Palatino Linotype" w:hAnsi="Palatino Linotype"/>
        <w:color w:val="000000"/>
        <w:sz w:val="22"/>
        <w:szCs w:val="22"/>
      </w:rPr>
      <w:t xml:space="preserve"> de </w:t>
    </w:r>
    <w:r w:rsidRPr="0002178E">
      <w:rPr>
        <w:rFonts w:ascii="Palatino Linotype" w:hAnsi="Palatino Linotype"/>
        <w:b/>
        <w:bCs/>
        <w:color w:val="000000"/>
        <w:sz w:val="22"/>
        <w:szCs w:val="22"/>
      </w:rPr>
      <w:fldChar w:fldCharType="begin"/>
    </w:r>
    <w:r w:rsidRPr="0002178E">
      <w:rPr>
        <w:rFonts w:ascii="Palatino Linotype" w:hAnsi="Palatino Linotype"/>
        <w:b/>
        <w:bCs/>
        <w:color w:val="000000"/>
        <w:sz w:val="22"/>
        <w:szCs w:val="22"/>
      </w:rPr>
      <w:instrText>NUMPAGES</w:instrText>
    </w:r>
    <w:r w:rsidRPr="0002178E">
      <w:rPr>
        <w:rFonts w:ascii="Palatino Linotype" w:hAnsi="Palatino Linotype"/>
        <w:b/>
        <w:bCs/>
        <w:color w:val="000000"/>
        <w:sz w:val="22"/>
        <w:szCs w:val="22"/>
      </w:rPr>
      <w:fldChar w:fldCharType="separate"/>
    </w:r>
    <w:r w:rsidR="00195996">
      <w:rPr>
        <w:rFonts w:ascii="Palatino Linotype" w:hAnsi="Palatino Linotype"/>
        <w:b/>
        <w:bCs/>
        <w:noProof/>
        <w:color w:val="000000"/>
        <w:sz w:val="22"/>
        <w:szCs w:val="22"/>
      </w:rPr>
      <w:t>26</w:t>
    </w:r>
    <w:r w:rsidRPr="0002178E">
      <w:rPr>
        <w:rFonts w:ascii="Palatino Linotype" w:hAnsi="Palatino Linotype"/>
        <w:b/>
        <w:bCs/>
        <w:color w:val="000000"/>
        <w:sz w:val="22"/>
        <w:szCs w:val="22"/>
      </w:rPr>
      <w:fldChar w:fldCharType="end"/>
    </w:r>
  </w:p>
  <w:p w:rsidR="00E318AB" w:rsidRDefault="00E318AB">
    <w:pPr>
      <w:pBdr>
        <w:top w:val="nil"/>
        <w:left w:val="nil"/>
        <w:bottom w:val="nil"/>
        <w:right w:val="nil"/>
        <w:between w:val="nil"/>
      </w:pBdr>
      <w:tabs>
        <w:tab w:val="center" w:pos="4419"/>
        <w:tab w:val="right" w:pos="8838"/>
      </w:tabs>
      <w:rPr>
        <w:color w:val="000000"/>
      </w:rPr>
    </w:pPr>
  </w:p>
  <w:p w:rsidR="00E318AB" w:rsidRDefault="00E318AB"/>
  <w:p w:rsidR="00E318AB" w:rsidRDefault="00E318AB"/>
  <w:p w:rsidR="00E318AB" w:rsidRDefault="00E318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1F7" w:rsidRDefault="002B11F7">
      <w:r>
        <w:separator/>
      </w:r>
    </w:p>
  </w:footnote>
  <w:footnote w:type="continuationSeparator" w:id="0">
    <w:p w:rsidR="002B11F7" w:rsidRDefault="002B1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8AB" w:rsidRDefault="002B11F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2"/>
          <w10:wrap anchorx="margin" anchory="margin"/>
        </v:shape>
      </w:pict>
    </w:r>
  </w:p>
  <w:p w:rsidR="00E318AB" w:rsidRDefault="00E318AB"/>
  <w:p w:rsidR="00E318AB" w:rsidRDefault="00E318AB"/>
  <w:p w:rsidR="00E318AB" w:rsidRDefault="00E318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1843"/>
      <w:gridCol w:w="8505"/>
    </w:tblGrid>
    <w:tr w:rsidR="00E318AB" w:rsidTr="0002178E">
      <w:trPr>
        <w:trHeight w:val="1435"/>
      </w:trPr>
      <w:tc>
        <w:tcPr>
          <w:tcW w:w="1843" w:type="dxa"/>
          <w:shd w:val="clear" w:color="auto" w:fill="auto"/>
        </w:tcPr>
        <w:p w:rsidR="00E318AB" w:rsidRDefault="00E318AB">
          <w:pPr>
            <w:tabs>
              <w:tab w:val="right" w:pos="4273"/>
            </w:tabs>
            <w:rPr>
              <w:rFonts w:ascii="Garamond" w:eastAsia="Garamond" w:hAnsi="Garamond" w:cs="Garamond"/>
              <w:sz w:val="16"/>
              <w:szCs w:val="16"/>
            </w:rPr>
          </w:pPr>
        </w:p>
      </w:tc>
      <w:tc>
        <w:tcPr>
          <w:tcW w:w="8505" w:type="dxa"/>
          <w:shd w:val="clear" w:color="auto" w:fill="auto"/>
        </w:tcPr>
        <w:tbl>
          <w:tblPr>
            <w:tblStyle w:val="a1"/>
            <w:tblW w:w="7371" w:type="dxa"/>
            <w:tblInd w:w="1594" w:type="dxa"/>
            <w:tblBorders>
              <w:top w:val="nil"/>
              <w:left w:val="nil"/>
              <w:bottom w:val="nil"/>
              <w:right w:val="nil"/>
              <w:insideH w:val="nil"/>
              <w:insideV w:val="nil"/>
            </w:tblBorders>
            <w:tblLayout w:type="fixed"/>
            <w:tblLook w:val="0400" w:firstRow="0" w:lastRow="0" w:firstColumn="0" w:lastColumn="0" w:noHBand="0" w:noVBand="1"/>
          </w:tblPr>
          <w:tblGrid>
            <w:gridCol w:w="2827"/>
            <w:gridCol w:w="4544"/>
          </w:tblGrid>
          <w:tr w:rsidR="00E318AB" w:rsidTr="0002178E">
            <w:trPr>
              <w:trHeight w:val="338"/>
            </w:trPr>
            <w:tc>
              <w:tcPr>
                <w:tcW w:w="2827" w:type="dxa"/>
              </w:tcPr>
              <w:p w:rsidR="00E318AB" w:rsidRPr="0002178E" w:rsidRDefault="003440D7">
                <w:pPr>
                  <w:tabs>
                    <w:tab w:val="right" w:pos="8838"/>
                  </w:tabs>
                  <w:ind w:right="-105"/>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Recurso de Revisión:</w:t>
                </w:r>
              </w:p>
            </w:tc>
            <w:tc>
              <w:tcPr>
                <w:tcW w:w="4544" w:type="dxa"/>
              </w:tcPr>
              <w:p w:rsidR="00E318AB" w:rsidRPr="0002178E" w:rsidRDefault="003440D7" w:rsidP="0002178E">
                <w:pPr>
                  <w:tabs>
                    <w:tab w:val="right" w:pos="8838"/>
                  </w:tabs>
                  <w:ind w:right="-105" w:hanging="101"/>
                  <w:rPr>
                    <w:rFonts w:ascii="Palatino Linotype" w:eastAsia="Palatino Linotype" w:hAnsi="Palatino Linotype" w:cs="Palatino Linotype"/>
                    <w:sz w:val="24"/>
                    <w:szCs w:val="24"/>
                  </w:rPr>
                </w:pPr>
                <w:r w:rsidRPr="0002178E">
                  <w:rPr>
                    <w:rFonts w:ascii="Palatino Linotype" w:eastAsia="Palatino Linotype" w:hAnsi="Palatino Linotype" w:cs="Palatino Linotype"/>
                    <w:bCs/>
                    <w:sz w:val="24"/>
                    <w:szCs w:val="24"/>
                  </w:rPr>
                  <w:t>01818/INFOEM/IP/RR/2026</w:t>
                </w:r>
              </w:p>
            </w:tc>
          </w:tr>
          <w:tr w:rsidR="00E318AB" w:rsidTr="0002178E">
            <w:trPr>
              <w:trHeight w:val="283"/>
            </w:trPr>
            <w:tc>
              <w:tcPr>
                <w:tcW w:w="2827" w:type="dxa"/>
              </w:tcPr>
              <w:p w:rsidR="00E318AB" w:rsidRPr="0002178E" w:rsidRDefault="003440D7">
                <w:pPr>
                  <w:tabs>
                    <w:tab w:val="right" w:pos="8838"/>
                  </w:tabs>
                  <w:ind w:right="-105"/>
                  <w:rPr>
                    <w:rFonts w:ascii="Palatino Linotype" w:eastAsia="Palatino Linotype" w:hAnsi="Palatino Linotype" w:cs="Palatino Linotype"/>
                    <w:b/>
                    <w:bCs/>
                    <w:sz w:val="24"/>
                    <w:szCs w:val="24"/>
                  </w:rPr>
                </w:pPr>
                <w:bookmarkStart w:id="9" w:name="_heading=h.3rdcrjn" w:colFirst="0" w:colLast="0"/>
                <w:bookmarkEnd w:id="9"/>
                <w:r w:rsidRPr="0002178E">
                  <w:rPr>
                    <w:rFonts w:ascii="Palatino Linotype" w:eastAsia="Palatino Linotype" w:hAnsi="Palatino Linotype" w:cs="Palatino Linotype"/>
                    <w:b/>
                    <w:bCs/>
                    <w:sz w:val="24"/>
                    <w:szCs w:val="24"/>
                  </w:rPr>
                  <w:t>Sujeto Obligado:</w:t>
                </w:r>
              </w:p>
            </w:tc>
            <w:tc>
              <w:tcPr>
                <w:tcW w:w="4544" w:type="dxa"/>
              </w:tcPr>
              <w:p w:rsidR="00E318AB" w:rsidRPr="0002178E" w:rsidRDefault="003440D7" w:rsidP="0002178E">
                <w:pPr>
                  <w:tabs>
                    <w:tab w:val="left" w:pos="2834"/>
                    <w:tab w:val="right" w:pos="8838"/>
                  </w:tabs>
                  <w:ind w:left="-113" w:right="1318"/>
                  <w:rPr>
                    <w:rFonts w:ascii="Palatino Linotype" w:eastAsia="Palatino Linotype" w:hAnsi="Palatino Linotype" w:cs="Palatino Linotype"/>
                    <w:bCs/>
                    <w:sz w:val="24"/>
                    <w:szCs w:val="24"/>
                  </w:rPr>
                </w:pPr>
                <w:r w:rsidRPr="0002178E">
                  <w:rPr>
                    <w:rFonts w:ascii="Palatino Linotype" w:eastAsia="Palatino Linotype" w:hAnsi="Palatino Linotype" w:cs="Palatino Linotype"/>
                    <w:bCs/>
                    <w:sz w:val="24"/>
                    <w:szCs w:val="24"/>
                  </w:rPr>
                  <w:t>Secretaría de Movilidad</w:t>
                </w:r>
              </w:p>
            </w:tc>
          </w:tr>
          <w:tr w:rsidR="00E318AB" w:rsidTr="0002178E">
            <w:trPr>
              <w:trHeight w:val="283"/>
            </w:trPr>
            <w:tc>
              <w:tcPr>
                <w:tcW w:w="2827" w:type="dxa"/>
              </w:tcPr>
              <w:p w:rsidR="00E318AB" w:rsidRPr="0002178E" w:rsidRDefault="003440D7">
                <w:pPr>
                  <w:tabs>
                    <w:tab w:val="right" w:pos="8838"/>
                  </w:tabs>
                  <w:ind w:right="-105"/>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Comisionada Ponente:</w:t>
                </w:r>
              </w:p>
            </w:tc>
            <w:tc>
              <w:tcPr>
                <w:tcW w:w="4544" w:type="dxa"/>
              </w:tcPr>
              <w:p w:rsidR="00E318AB" w:rsidRPr="0002178E" w:rsidRDefault="003440D7" w:rsidP="0002178E">
                <w:pPr>
                  <w:tabs>
                    <w:tab w:val="right" w:pos="8838"/>
                  </w:tabs>
                  <w:ind w:left="-113" w:right="-105"/>
                  <w:rPr>
                    <w:rFonts w:ascii="Palatino Linotype" w:eastAsia="Palatino Linotype" w:hAnsi="Palatino Linotype" w:cs="Palatino Linotype"/>
                    <w:bCs/>
                    <w:sz w:val="24"/>
                    <w:szCs w:val="24"/>
                  </w:rPr>
                </w:pPr>
                <w:r w:rsidRPr="0002178E">
                  <w:rPr>
                    <w:rFonts w:ascii="Palatino Linotype" w:eastAsia="Palatino Linotype" w:hAnsi="Palatino Linotype" w:cs="Palatino Linotype"/>
                    <w:bCs/>
                    <w:sz w:val="24"/>
                    <w:szCs w:val="24"/>
                  </w:rPr>
                  <w:t>María del Rosario Mejía Ayala</w:t>
                </w:r>
              </w:p>
            </w:tc>
          </w:tr>
        </w:tbl>
        <w:p w:rsidR="00E318AB" w:rsidRDefault="00E318AB">
          <w:pPr>
            <w:tabs>
              <w:tab w:val="right" w:pos="8838"/>
            </w:tabs>
            <w:ind w:left="-28"/>
            <w:jc w:val="both"/>
            <w:rPr>
              <w:rFonts w:ascii="Arial" w:eastAsia="Arial" w:hAnsi="Arial" w:cs="Arial"/>
              <w:b/>
              <w:bCs/>
              <w:sz w:val="22"/>
              <w:szCs w:val="22"/>
            </w:rPr>
          </w:pPr>
        </w:p>
      </w:tc>
    </w:tr>
  </w:tbl>
  <w:p w:rsidR="00E318AB" w:rsidRPr="0002178E" w:rsidRDefault="002B11F7" w:rsidP="0002178E">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3.75pt;margin-top:-133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90" w:type="dxa"/>
      <w:tblInd w:w="0" w:type="dxa"/>
      <w:tblLayout w:type="fixed"/>
      <w:tblLook w:val="0400" w:firstRow="0" w:lastRow="0" w:firstColumn="0" w:lastColumn="0" w:noHBand="0" w:noVBand="1"/>
    </w:tblPr>
    <w:tblGrid>
      <w:gridCol w:w="1560"/>
      <w:gridCol w:w="8930"/>
    </w:tblGrid>
    <w:tr w:rsidR="00E318AB" w:rsidTr="0002178E">
      <w:trPr>
        <w:trHeight w:val="1435"/>
      </w:trPr>
      <w:tc>
        <w:tcPr>
          <w:tcW w:w="1560" w:type="dxa"/>
          <w:shd w:val="clear" w:color="auto" w:fill="auto"/>
        </w:tcPr>
        <w:p w:rsidR="00E318AB" w:rsidRDefault="00E318AB">
          <w:pPr>
            <w:tabs>
              <w:tab w:val="right" w:pos="4273"/>
            </w:tabs>
            <w:rPr>
              <w:rFonts w:ascii="Garamond" w:eastAsia="Garamond" w:hAnsi="Garamond" w:cs="Garamond"/>
              <w:sz w:val="22"/>
              <w:szCs w:val="22"/>
            </w:rPr>
          </w:pPr>
        </w:p>
      </w:tc>
      <w:tc>
        <w:tcPr>
          <w:tcW w:w="8930" w:type="dxa"/>
          <w:shd w:val="clear" w:color="auto" w:fill="auto"/>
        </w:tcPr>
        <w:tbl>
          <w:tblPr>
            <w:tblStyle w:val="a3"/>
            <w:tblW w:w="7579" w:type="dxa"/>
            <w:tblInd w:w="2153" w:type="dxa"/>
            <w:tblBorders>
              <w:top w:val="nil"/>
              <w:left w:val="nil"/>
              <w:bottom w:val="nil"/>
              <w:right w:val="nil"/>
              <w:insideH w:val="nil"/>
              <w:insideV w:val="nil"/>
            </w:tblBorders>
            <w:tblLayout w:type="fixed"/>
            <w:tblLook w:val="0400" w:firstRow="0" w:lastRow="0" w:firstColumn="0" w:lastColumn="0" w:noHBand="0" w:noVBand="1"/>
          </w:tblPr>
          <w:tblGrid>
            <w:gridCol w:w="2683"/>
            <w:gridCol w:w="4646"/>
            <w:gridCol w:w="250"/>
          </w:tblGrid>
          <w:tr w:rsidR="00E318AB" w:rsidTr="0002178E">
            <w:trPr>
              <w:trHeight w:val="144"/>
            </w:trPr>
            <w:tc>
              <w:tcPr>
                <w:tcW w:w="2683" w:type="dxa"/>
              </w:tcPr>
              <w:p w:rsidR="00E318AB" w:rsidRPr="0002178E" w:rsidRDefault="003440D7">
                <w:pPr>
                  <w:tabs>
                    <w:tab w:val="right" w:pos="8838"/>
                  </w:tabs>
                  <w:ind w:left="-74" w:right="-105"/>
                  <w:rPr>
                    <w:rFonts w:ascii="Palatino Linotype" w:eastAsia="Palatino Linotype" w:hAnsi="Palatino Linotype" w:cs="Palatino Linotype"/>
                    <w:b/>
                    <w:bCs/>
                    <w:sz w:val="24"/>
                    <w:szCs w:val="24"/>
                  </w:rPr>
                </w:pPr>
                <w:bookmarkStart w:id="10" w:name="_heading=h.26in1rg" w:colFirst="0" w:colLast="0"/>
                <w:bookmarkEnd w:id="10"/>
                <w:r w:rsidRPr="0002178E">
                  <w:rPr>
                    <w:rFonts w:ascii="Palatino Linotype" w:eastAsia="Palatino Linotype" w:hAnsi="Palatino Linotype" w:cs="Palatino Linotype"/>
                    <w:b/>
                    <w:bCs/>
                    <w:sz w:val="24"/>
                    <w:szCs w:val="24"/>
                  </w:rPr>
                  <w:t>Recurso de Revisión:</w:t>
                </w:r>
              </w:p>
            </w:tc>
            <w:tc>
              <w:tcPr>
                <w:tcW w:w="4646" w:type="dxa"/>
              </w:tcPr>
              <w:p w:rsidR="00E318AB" w:rsidRPr="0002178E" w:rsidRDefault="003440D7" w:rsidP="0002178E">
                <w:pPr>
                  <w:tabs>
                    <w:tab w:val="right" w:pos="8838"/>
                  </w:tabs>
                  <w:ind w:left="-3" w:right="-105"/>
                  <w:rPr>
                    <w:rFonts w:ascii="Palatino Linotype" w:eastAsia="Palatino Linotype" w:hAnsi="Palatino Linotype" w:cs="Palatino Linotype"/>
                    <w:sz w:val="24"/>
                    <w:szCs w:val="24"/>
                  </w:rPr>
                </w:pPr>
                <w:r w:rsidRPr="0002178E">
                  <w:rPr>
                    <w:rFonts w:ascii="Palatino Linotype" w:eastAsia="Palatino Linotype" w:hAnsi="Palatino Linotype" w:cs="Palatino Linotype"/>
                    <w:bCs/>
                    <w:sz w:val="24"/>
                    <w:szCs w:val="24"/>
                  </w:rPr>
                  <w:t>01818/INFOEM/IP/RR/2026</w:t>
                </w:r>
              </w:p>
            </w:tc>
            <w:tc>
              <w:tcPr>
                <w:tcW w:w="250" w:type="dxa"/>
              </w:tcPr>
              <w:p w:rsidR="00E318AB" w:rsidRDefault="00E318AB">
                <w:pPr>
                  <w:tabs>
                    <w:tab w:val="right" w:pos="8838"/>
                  </w:tabs>
                  <w:ind w:left="-74" w:right="-105"/>
                  <w:jc w:val="both"/>
                  <w:rPr>
                    <w:rFonts w:ascii="Palatino Linotype" w:eastAsia="Palatino Linotype" w:hAnsi="Palatino Linotype" w:cs="Palatino Linotype"/>
                    <w:sz w:val="22"/>
                    <w:szCs w:val="22"/>
                  </w:rPr>
                </w:pPr>
              </w:p>
            </w:tc>
          </w:tr>
          <w:tr w:rsidR="00E318AB" w:rsidTr="0002178E">
            <w:trPr>
              <w:trHeight w:val="144"/>
            </w:trPr>
            <w:tc>
              <w:tcPr>
                <w:tcW w:w="2683" w:type="dxa"/>
              </w:tcPr>
              <w:p w:rsidR="00E318AB" w:rsidRPr="0002178E" w:rsidRDefault="003440D7">
                <w:pPr>
                  <w:tabs>
                    <w:tab w:val="right" w:pos="8838"/>
                  </w:tabs>
                  <w:ind w:left="-74" w:right="-105"/>
                  <w:rPr>
                    <w:rFonts w:ascii="Palatino Linotype" w:eastAsia="Palatino Linotype" w:hAnsi="Palatino Linotype" w:cs="Palatino Linotype"/>
                    <w:b/>
                    <w:bCs/>
                    <w:sz w:val="24"/>
                    <w:szCs w:val="24"/>
                  </w:rPr>
                </w:pPr>
                <w:bookmarkStart w:id="11" w:name="_heading=h.lnxbz9" w:colFirst="0" w:colLast="0"/>
                <w:bookmarkEnd w:id="11"/>
                <w:r w:rsidRPr="0002178E">
                  <w:rPr>
                    <w:rFonts w:ascii="Palatino Linotype" w:eastAsia="Palatino Linotype" w:hAnsi="Palatino Linotype" w:cs="Palatino Linotype"/>
                    <w:b/>
                    <w:bCs/>
                    <w:sz w:val="24"/>
                    <w:szCs w:val="24"/>
                  </w:rPr>
                  <w:t>Recurrente:</w:t>
                </w:r>
              </w:p>
            </w:tc>
            <w:tc>
              <w:tcPr>
                <w:tcW w:w="4646" w:type="dxa"/>
              </w:tcPr>
              <w:p w:rsidR="00E318AB" w:rsidRPr="0002178E" w:rsidRDefault="00195996" w:rsidP="0002178E">
                <w:pPr>
                  <w:tabs>
                    <w:tab w:val="right" w:pos="8838"/>
                  </w:tabs>
                  <w:ind w:right="278"/>
                  <w:rPr>
                    <w:rFonts w:ascii="Palatino Linotype" w:eastAsia="Palatino Linotype" w:hAnsi="Palatino Linotype" w:cs="Palatino Linotype"/>
                    <w:bCs/>
                    <w:sz w:val="24"/>
                    <w:szCs w:val="24"/>
                  </w:rPr>
                </w:pPr>
                <w:r>
                  <w:rPr>
                    <w:rFonts w:ascii="Palatino Linotype" w:eastAsia="Palatino Linotype" w:hAnsi="Palatino Linotype" w:cs="Palatino Linotype"/>
                    <w:bCs/>
                    <w:sz w:val="24"/>
                    <w:szCs w:val="24"/>
                  </w:rPr>
                  <w:t>XXXX</w:t>
                </w:r>
              </w:p>
            </w:tc>
            <w:tc>
              <w:tcPr>
                <w:tcW w:w="250" w:type="dxa"/>
              </w:tcPr>
              <w:p w:rsidR="00E318AB" w:rsidRDefault="00E318AB">
                <w:pPr>
                  <w:tabs>
                    <w:tab w:val="left" w:pos="3122"/>
                    <w:tab w:val="right" w:pos="8838"/>
                  </w:tabs>
                  <w:ind w:right="-105"/>
                  <w:jc w:val="both"/>
                  <w:rPr>
                    <w:rFonts w:ascii="Palatino Linotype" w:eastAsia="Palatino Linotype" w:hAnsi="Palatino Linotype" w:cs="Palatino Linotype"/>
                    <w:sz w:val="22"/>
                    <w:szCs w:val="22"/>
                  </w:rPr>
                </w:pPr>
              </w:p>
            </w:tc>
          </w:tr>
          <w:tr w:rsidR="00E318AB" w:rsidTr="0002178E">
            <w:trPr>
              <w:trHeight w:val="283"/>
            </w:trPr>
            <w:tc>
              <w:tcPr>
                <w:tcW w:w="2683" w:type="dxa"/>
              </w:tcPr>
              <w:p w:rsidR="00E318AB" w:rsidRPr="0002178E" w:rsidRDefault="003440D7">
                <w:pPr>
                  <w:tabs>
                    <w:tab w:val="right" w:pos="8838"/>
                  </w:tabs>
                  <w:ind w:left="-74" w:right="-105"/>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Sujeto Obligado:</w:t>
                </w:r>
              </w:p>
            </w:tc>
            <w:tc>
              <w:tcPr>
                <w:tcW w:w="4646" w:type="dxa"/>
              </w:tcPr>
              <w:p w:rsidR="00E318AB" w:rsidRPr="0002178E" w:rsidRDefault="003440D7" w:rsidP="0002178E">
                <w:pPr>
                  <w:tabs>
                    <w:tab w:val="left" w:pos="2834"/>
                    <w:tab w:val="right" w:pos="8838"/>
                  </w:tabs>
                  <w:ind w:left="-3" w:right="1315"/>
                  <w:rPr>
                    <w:rFonts w:ascii="Palatino Linotype" w:eastAsia="Palatino Linotype" w:hAnsi="Palatino Linotype" w:cs="Palatino Linotype"/>
                    <w:bCs/>
                    <w:sz w:val="24"/>
                    <w:szCs w:val="24"/>
                  </w:rPr>
                </w:pPr>
                <w:r w:rsidRPr="0002178E">
                  <w:rPr>
                    <w:rFonts w:ascii="Palatino Linotype" w:eastAsia="Palatino Linotype" w:hAnsi="Palatino Linotype" w:cs="Palatino Linotype"/>
                    <w:bCs/>
                    <w:sz w:val="24"/>
                    <w:szCs w:val="24"/>
                  </w:rPr>
                  <w:t>Secretaría de Movilidad</w:t>
                </w:r>
              </w:p>
            </w:tc>
            <w:tc>
              <w:tcPr>
                <w:tcW w:w="250" w:type="dxa"/>
              </w:tcPr>
              <w:p w:rsidR="00E318AB" w:rsidRDefault="00E318AB">
                <w:pPr>
                  <w:tabs>
                    <w:tab w:val="left" w:pos="2834"/>
                    <w:tab w:val="right" w:pos="8838"/>
                  </w:tabs>
                  <w:ind w:left="-74" w:right="-105"/>
                  <w:jc w:val="both"/>
                  <w:rPr>
                    <w:rFonts w:ascii="Palatino Linotype" w:eastAsia="Palatino Linotype" w:hAnsi="Palatino Linotype" w:cs="Palatino Linotype"/>
                    <w:sz w:val="22"/>
                    <w:szCs w:val="22"/>
                  </w:rPr>
                </w:pPr>
              </w:p>
            </w:tc>
          </w:tr>
          <w:tr w:rsidR="00E318AB" w:rsidTr="0002178E">
            <w:trPr>
              <w:trHeight w:val="283"/>
            </w:trPr>
            <w:tc>
              <w:tcPr>
                <w:tcW w:w="2683" w:type="dxa"/>
              </w:tcPr>
              <w:p w:rsidR="00E318AB" w:rsidRPr="0002178E" w:rsidRDefault="003440D7">
                <w:pPr>
                  <w:tabs>
                    <w:tab w:val="right" w:pos="8838"/>
                  </w:tabs>
                  <w:ind w:left="-74" w:right="-105"/>
                  <w:rPr>
                    <w:rFonts w:ascii="Palatino Linotype" w:eastAsia="Palatino Linotype" w:hAnsi="Palatino Linotype" w:cs="Palatino Linotype"/>
                    <w:b/>
                    <w:bCs/>
                    <w:sz w:val="24"/>
                    <w:szCs w:val="24"/>
                  </w:rPr>
                </w:pPr>
                <w:r w:rsidRPr="0002178E">
                  <w:rPr>
                    <w:rFonts w:ascii="Palatino Linotype" w:eastAsia="Palatino Linotype" w:hAnsi="Palatino Linotype" w:cs="Palatino Linotype"/>
                    <w:b/>
                    <w:bCs/>
                    <w:sz w:val="24"/>
                    <w:szCs w:val="24"/>
                  </w:rPr>
                  <w:t>Comisionada Ponente:</w:t>
                </w:r>
              </w:p>
            </w:tc>
            <w:tc>
              <w:tcPr>
                <w:tcW w:w="4646" w:type="dxa"/>
              </w:tcPr>
              <w:p w:rsidR="00E318AB" w:rsidRPr="0002178E" w:rsidRDefault="003440D7" w:rsidP="0002178E">
                <w:pPr>
                  <w:tabs>
                    <w:tab w:val="right" w:pos="8838"/>
                  </w:tabs>
                  <w:ind w:left="-3" w:right="-105"/>
                  <w:rPr>
                    <w:rFonts w:ascii="Palatino Linotype" w:eastAsia="Palatino Linotype" w:hAnsi="Palatino Linotype" w:cs="Palatino Linotype"/>
                    <w:bCs/>
                    <w:sz w:val="24"/>
                    <w:szCs w:val="24"/>
                  </w:rPr>
                </w:pPr>
                <w:r w:rsidRPr="0002178E">
                  <w:rPr>
                    <w:rFonts w:ascii="Palatino Linotype" w:eastAsia="Palatino Linotype" w:hAnsi="Palatino Linotype" w:cs="Palatino Linotype"/>
                    <w:bCs/>
                    <w:sz w:val="24"/>
                    <w:szCs w:val="24"/>
                  </w:rPr>
                  <w:t>María del Rosario Mejía Ayala</w:t>
                </w:r>
              </w:p>
            </w:tc>
            <w:tc>
              <w:tcPr>
                <w:tcW w:w="250" w:type="dxa"/>
              </w:tcPr>
              <w:p w:rsidR="00E318AB" w:rsidRDefault="00E318AB">
                <w:pPr>
                  <w:tabs>
                    <w:tab w:val="right" w:pos="8838"/>
                  </w:tabs>
                  <w:ind w:left="-74" w:right="-105"/>
                  <w:jc w:val="both"/>
                  <w:rPr>
                    <w:rFonts w:ascii="Palatino Linotype" w:eastAsia="Palatino Linotype" w:hAnsi="Palatino Linotype" w:cs="Palatino Linotype"/>
                    <w:sz w:val="22"/>
                    <w:szCs w:val="22"/>
                  </w:rPr>
                </w:pPr>
              </w:p>
            </w:tc>
          </w:tr>
        </w:tbl>
        <w:p w:rsidR="00E318AB" w:rsidRDefault="00E318AB">
          <w:pPr>
            <w:tabs>
              <w:tab w:val="right" w:pos="8838"/>
            </w:tabs>
            <w:ind w:left="-28"/>
            <w:jc w:val="both"/>
            <w:rPr>
              <w:rFonts w:ascii="Arial" w:eastAsia="Arial" w:hAnsi="Arial" w:cs="Arial"/>
              <w:b/>
              <w:bCs/>
              <w:sz w:val="22"/>
              <w:szCs w:val="22"/>
            </w:rPr>
          </w:pPr>
        </w:p>
      </w:tc>
    </w:tr>
  </w:tbl>
  <w:p w:rsidR="00E318AB" w:rsidRPr="0002178E" w:rsidRDefault="002B11F7" w:rsidP="0002178E">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5.8pt;margin-top:-134.3pt;width:663.5pt;height:12in;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74839"/>
    <w:multiLevelType w:val="multilevel"/>
    <w:tmpl w:val="02EE9C6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E9224E"/>
    <w:multiLevelType w:val="multilevel"/>
    <w:tmpl w:val="85B6F618"/>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2" w15:restartNumberingAfterBreak="0">
    <w:nsid w:val="23275304"/>
    <w:multiLevelType w:val="multilevel"/>
    <w:tmpl w:val="1778C7FA"/>
    <w:lvl w:ilvl="0">
      <w:start w:val="1"/>
      <w:numFmt w:val="decimal"/>
      <w:lvlText w:val="%1."/>
      <w:lvlJc w:val="left"/>
      <w:pPr>
        <w:ind w:left="4613"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bCs/>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A62E80"/>
    <w:multiLevelType w:val="multilevel"/>
    <w:tmpl w:val="3B580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D01BF6"/>
    <w:multiLevelType w:val="multilevel"/>
    <w:tmpl w:val="D7649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7077B5"/>
    <w:multiLevelType w:val="multilevel"/>
    <w:tmpl w:val="520E351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4864E6"/>
    <w:multiLevelType w:val="hybridMultilevel"/>
    <w:tmpl w:val="BE40446C"/>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 w15:restartNumberingAfterBreak="0">
    <w:nsid w:val="4C7A39C8"/>
    <w:multiLevelType w:val="multilevel"/>
    <w:tmpl w:val="D348331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
  </w:num>
  <w:num w:numId="2">
    <w:abstractNumId w:val="3"/>
  </w:num>
  <w:num w:numId="3">
    <w:abstractNumId w:val="0"/>
  </w:num>
  <w:num w:numId="4">
    <w:abstractNumId w:val="1"/>
  </w:num>
  <w:num w:numId="5">
    <w:abstractNumId w:val="7"/>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AB"/>
    <w:rsid w:val="00014C7D"/>
    <w:rsid w:val="0002178E"/>
    <w:rsid w:val="00195996"/>
    <w:rsid w:val="002B11F7"/>
    <w:rsid w:val="003440D7"/>
    <w:rsid w:val="00477219"/>
    <w:rsid w:val="00B84821"/>
    <w:rsid w:val="00E318AB"/>
    <w:rsid w:val="00E35BBD"/>
    <w:rsid w:val="00E501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1A16910-57FC-4101-B07F-05A6DDF9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02178E"/>
    <w:pPr>
      <w:tabs>
        <w:tab w:val="center" w:pos="4419"/>
        <w:tab w:val="right" w:pos="8838"/>
      </w:tabs>
    </w:pPr>
  </w:style>
  <w:style w:type="character" w:customStyle="1" w:styleId="PiedepginaCar">
    <w:name w:val="Pie de página Car"/>
    <w:basedOn w:val="Fuentedeprrafopredeter"/>
    <w:link w:val="Piedepgina"/>
    <w:uiPriority w:val="99"/>
    <w:rsid w:val="0002178E"/>
  </w:style>
  <w:style w:type="paragraph" w:styleId="Prrafodelista">
    <w:name w:val="List Paragraph"/>
    <w:basedOn w:val="Normal"/>
    <w:uiPriority w:val="34"/>
    <w:qFormat/>
    <w:rsid w:val="00021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79663.page" TargetMode="External"/><Relationship Id="rId13" Type="http://schemas.openxmlformats.org/officeDocument/2006/relationships/hyperlink" Target="https://www.saimex.org.mx/saimex/solicitud/downloadAttach/2694483.pag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aimex.org.mx/saimex/solicitud/downloadAttach/2694474.p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694473.page" TargetMode="External"/><Relationship Id="rId5" Type="http://schemas.openxmlformats.org/officeDocument/2006/relationships/webSettings" Target="webSettings.xml"/><Relationship Id="rId15" Type="http://schemas.openxmlformats.org/officeDocument/2006/relationships/hyperlink" Target="https://www.saimex.org.mx/saimex/solicitud/downloadAttach/2700507.page" TargetMode="External"/><Relationship Id="rId23" Type="http://schemas.openxmlformats.org/officeDocument/2006/relationships/theme" Target="theme/theme1.xml"/><Relationship Id="rId10" Type="http://schemas.openxmlformats.org/officeDocument/2006/relationships/hyperlink" Target="https://www.saimex.org.mx/saimex/solicitud/downloadAttach/2694468.pa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imex.org.mx/saimex/solicitud/downloadAttach/2682804.page" TargetMode="External"/><Relationship Id="rId14" Type="http://schemas.openxmlformats.org/officeDocument/2006/relationships/hyperlink" Target="https://www.saimex.org.mx/saimex/solicitud/downloadAttach/2700506.pag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d76Jjmpi/2xgkymYKwB/fOdGmw==">CgMxLjAyDmguZnlvMW5va292Yjk5MghoLmdqZGd4czIJaC4zMGowemxsMgloLjFmb2I5dGUyCWguM3pueXNoNzIJaC4yZXQ5MnAwMgloLjNkeTZ2a20yCWguM3JkY3JqbjIJaC4yNmluMXJnMghoLmxueGJ6OTgAciExWVozZDlHY0NKUk5IOXdsdWpFazlIR3ZIXzVaYWdDenY=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6061</Words>
  <Characters>33336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2026-06-18T18:42:00Z</cp:lastPrinted>
  <dcterms:created xsi:type="dcterms:W3CDTF">2026-06-16T23:28:00Z</dcterms:created>
  <dcterms:modified xsi:type="dcterms:W3CDTF">2026-06-23T20:07:00Z</dcterms:modified>
</cp:coreProperties>
</file>