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8CF" w:rsidRDefault="00B95C14">
      <w:pPr>
        <w:tabs>
          <w:tab w:val="left" w:pos="3465"/>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tres (03) de junio de dos mil veintiséis</w:t>
      </w:r>
      <w:r>
        <w:rPr>
          <w:rFonts w:ascii="Palatino Linotype" w:eastAsia="Palatino Linotype" w:hAnsi="Palatino Linotype" w:cs="Palatino Linotype"/>
        </w:rPr>
        <w:t>.</w:t>
      </w:r>
    </w:p>
    <w:p w:rsidR="000138CF" w:rsidRDefault="000138CF">
      <w:pPr>
        <w:tabs>
          <w:tab w:val="left" w:pos="3465"/>
        </w:tabs>
        <w:spacing w:line="360" w:lineRule="auto"/>
        <w:ind w:right="-787"/>
        <w:jc w:val="both"/>
        <w:rPr>
          <w:rFonts w:ascii="Palatino Linotype" w:eastAsia="Palatino Linotype" w:hAnsi="Palatino Linotype" w:cs="Palatino Linotype"/>
        </w:rPr>
      </w:pPr>
    </w:p>
    <w:p w:rsidR="000138CF" w:rsidRDefault="00B95C1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03043/INFOEM/IP/RR/2026, </w:t>
      </w:r>
      <w:r>
        <w:rPr>
          <w:rFonts w:ascii="Palatino Linotype" w:eastAsia="Palatino Linotype" w:hAnsi="Palatino Linotype" w:cs="Palatino Linotype"/>
        </w:rPr>
        <w:t>promovido por</w:t>
      </w:r>
      <w:r>
        <w:rPr>
          <w:rFonts w:ascii="Palatino Linotype" w:eastAsia="Palatino Linotype" w:hAnsi="Palatino Linotype" w:cs="Palatino Linotype"/>
          <w:b/>
          <w:bCs/>
        </w:rPr>
        <w:t xml:space="preserve"> </w:t>
      </w:r>
      <w:r w:rsidR="00E547CE">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Tianguistenco,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rsidR="000138CF" w:rsidRDefault="000138CF">
      <w:pPr>
        <w:spacing w:line="360" w:lineRule="auto"/>
        <w:ind w:right="-787"/>
        <w:jc w:val="both"/>
        <w:rPr>
          <w:rFonts w:ascii="Palatino Linotype" w:eastAsia="Palatino Linotype" w:hAnsi="Palatino Linotype" w:cs="Palatino Linotype"/>
          <w:b/>
          <w:bCs/>
        </w:rPr>
      </w:pPr>
    </w:p>
    <w:p w:rsidR="000138CF" w:rsidRDefault="00B95C14">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apvhca4zlqyc" w:colFirst="0" w:colLast="0"/>
      <w:bookmarkEnd w:id="0"/>
      <w:r>
        <w:rPr>
          <w:rFonts w:ascii="Palatino Linotype" w:eastAsia="Palatino Linotype" w:hAnsi="Palatino Linotype" w:cs="Palatino Linotype"/>
          <w:b/>
          <w:bCs/>
          <w:color w:val="000000"/>
          <w:sz w:val="24"/>
          <w:szCs w:val="24"/>
        </w:rPr>
        <w:t>A N T E C E D E N T E S</w:t>
      </w:r>
    </w:p>
    <w:p w:rsidR="000138CF" w:rsidRDefault="000138CF">
      <w:pPr>
        <w:ind w:right="-787"/>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dieciocho de febrero de dos mil veintiséis</w:t>
      </w:r>
      <w:r>
        <w:rPr>
          <w:rFonts w:ascii="Palatino Linotype" w:eastAsia="Palatino Linotype" w:hAnsi="Palatino Linotype" w:cs="Palatino Linotype"/>
          <w:color w:val="000000"/>
        </w:rPr>
        <w:t xml:space="preserve">, 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 </w:t>
      </w:r>
      <w:r>
        <w:rPr>
          <w:rFonts w:ascii="Palatino Linotype" w:eastAsia="Palatino Linotype" w:hAnsi="Palatino Linotype" w:cs="Palatino Linotype"/>
          <w:b/>
          <w:bCs/>
          <w:color w:val="000000"/>
        </w:rPr>
        <w:t>00018/TIANGUIS/IP/2026</w:t>
      </w:r>
      <w:r>
        <w:rPr>
          <w:rFonts w:ascii="Palatino Linotype" w:eastAsia="Palatino Linotype" w:hAnsi="Palatino Linotype" w:cs="Palatino Linotype"/>
          <w:color w:val="000000"/>
        </w:rPr>
        <w:t xml:space="preserve">; </w:t>
      </w:r>
      <w:r w:rsidR="00A44359">
        <w:rPr>
          <w:rFonts w:ascii="Palatino Linotype" w:eastAsia="Palatino Linotype" w:hAnsi="Palatino Linotype" w:cs="Palatino Linotype"/>
          <w:color w:val="000000"/>
        </w:rPr>
        <w:t xml:space="preserve">en la que </w:t>
      </w:r>
      <w:r>
        <w:rPr>
          <w:rFonts w:ascii="Palatino Linotype" w:eastAsia="Palatino Linotype" w:hAnsi="Palatino Linotype" w:cs="Palatino Linotype"/>
          <w:color w:val="000000"/>
        </w:rPr>
        <w:t>se solicitó la siguiente información:</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0138CF" w:rsidRDefault="00B95C14">
      <w:pPr>
        <w:pBdr>
          <w:top w:val="nil"/>
          <w:left w:val="nil"/>
          <w:bottom w:val="nil"/>
          <w:right w:val="nil"/>
          <w:between w:val="nil"/>
        </w:pBdr>
        <w:ind w:left="566" w:right="62"/>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“Por medio de la presente, y con fundamento en lo dispuesto por la Ley de Transparencia y Acceso a la Información Pública del Estado de México y Municipios, solicito atentamente lo siguiente: Información solicitada: Copia simple en formato electrónico de todos los oficios firmados durante los meses de octubre y noviembre del año 2025 por: • El Director de Desarrollo Económico, Jonathan Vargas. • La Directora de Medio Ambiente, Rocío. En caso de que la información solicitada contenga datos personales, solicito se realice la versión pública correspondiente, testando los datos confidenciales conforme a la normativa aplicable. Modalidad de entrega: Formato electrónico a través de la Plataforma.”</w:t>
      </w:r>
    </w:p>
    <w:p w:rsidR="000138CF" w:rsidRDefault="000138CF">
      <w:pPr>
        <w:pBdr>
          <w:top w:val="nil"/>
          <w:left w:val="nil"/>
          <w:bottom w:val="nil"/>
          <w:right w:val="nil"/>
          <w:between w:val="nil"/>
        </w:pBdr>
        <w:spacing w:line="360" w:lineRule="auto"/>
        <w:ind w:left="851" w:right="-787"/>
        <w:jc w:val="both"/>
        <w:rPr>
          <w:rFonts w:ascii="Palatino Linotype" w:eastAsia="Palatino Linotype" w:hAnsi="Palatino Linotype" w:cs="Palatino Linotype"/>
          <w:color w:val="000000"/>
        </w:rPr>
      </w:pPr>
    </w:p>
    <w:p w:rsidR="000138CF" w:rsidRPr="00A44359" w:rsidRDefault="00B95C14">
      <w:pPr>
        <w:numPr>
          <w:ilvl w:val="0"/>
          <w:numId w:val="2"/>
        </w:numPr>
        <w:pBdr>
          <w:top w:val="nil"/>
          <w:left w:val="nil"/>
          <w:bottom w:val="nil"/>
          <w:right w:val="nil"/>
          <w:between w:val="nil"/>
        </w:pBdr>
        <w:spacing w:line="360" w:lineRule="auto"/>
        <w:ind w:left="851"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Se eligió modalidad de entrega de la información: </w:t>
      </w:r>
      <w:r>
        <w:rPr>
          <w:rFonts w:ascii="Palatino Linotype" w:eastAsia="Palatino Linotype" w:hAnsi="Palatino Linotype" w:cs="Palatino Linotype"/>
          <w:b/>
          <w:bCs/>
          <w:color w:val="000000"/>
        </w:rPr>
        <w:t xml:space="preserve">Vía Sistema de Acceso a la Información (SAIMEX) </w:t>
      </w:r>
    </w:p>
    <w:p w:rsidR="00A44359" w:rsidRDefault="00A44359" w:rsidP="00A44359">
      <w:pPr>
        <w:pBdr>
          <w:top w:val="nil"/>
          <w:left w:val="nil"/>
          <w:bottom w:val="nil"/>
          <w:right w:val="nil"/>
          <w:between w:val="nil"/>
        </w:pBdr>
        <w:spacing w:line="360" w:lineRule="auto"/>
        <w:ind w:left="851"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nueve de marzo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dio respuesta por medio de un archivo electrónico en formato pdf, cuyo contenido grosso modo es el siguiente. </w:t>
      </w:r>
    </w:p>
    <w:p w:rsidR="000138CF" w:rsidRDefault="00B95C14">
      <w:pPr>
        <w:pBdr>
          <w:top w:val="nil"/>
          <w:left w:val="nil"/>
          <w:bottom w:val="nil"/>
          <w:right w:val="nil"/>
          <w:between w:val="nil"/>
        </w:pBdr>
        <w:tabs>
          <w:tab w:val="left" w:pos="0"/>
        </w:tabs>
        <w:ind w:left="1134" w:right="-787"/>
        <w:jc w:val="both"/>
        <w:rPr>
          <w:rFonts w:ascii="Palatino Linotype" w:eastAsia="Palatino Linotype" w:hAnsi="Palatino Linotype" w:cs="Palatino Linotype"/>
          <w:i/>
          <w:iCs/>
          <w:color w:val="000000"/>
        </w:rPr>
      </w:pPr>
      <w:bookmarkStart w:id="1" w:name="_heading=h.9pf8vy1dgkhd" w:colFirst="0" w:colLast="0"/>
      <w:bookmarkEnd w:id="1"/>
      <w:r>
        <w:rPr>
          <w:rFonts w:ascii="Palatino Linotype" w:eastAsia="Palatino Linotype" w:hAnsi="Palatino Linotype" w:cs="Palatino Linotype"/>
          <w:b/>
          <w:bCs/>
          <w:i/>
          <w:iCs/>
          <w:color w:val="000000"/>
        </w:rPr>
        <w:t xml:space="preserve">00018.pdf: </w:t>
      </w:r>
      <w:r>
        <w:rPr>
          <w:rFonts w:ascii="Palatino Linotype" w:eastAsia="Palatino Linotype" w:hAnsi="Palatino Linotype" w:cs="Palatino Linotype"/>
          <w:i/>
          <w:iCs/>
          <w:color w:val="000000"/>
        </w:rPr>
        <w:t xml:space="preserve">documento que contiene el oficio del Director de Desarrollo Económico, mediante el cual informa que lo solicitado corresponde a un derecho de petición y no a un derecho de acceso a la información, situación por la cual no puede generar documentos ad hoc. </w:t>
      </w:r>
    </w:p>
    <w:p w:rsidR="000138CF" w:rsidRDefault="000138CF">
      <w:pPr>
        <w:pBdr>
          <w:top w:val="nil"/>
          <w:left w:val="nil"/>
          <w:bottom w:val="nil"/>
          <w:right w:val="nil"/>
          <w:between w:val="nil"/>
        </w:pBdr>
        <w:tabs>
          <w:tab w:val="left" w:pos="0"/>
        </w:tabs>
        <w:ind w:right="-787"/>
        <w:jc w:val="both"/>
        <w:rPr>
          <w:rFonts w:ascii="Palatino Linotype" w:eastAsia="Palatino Linotype" w:hAnsi="Palatino Linotype" w:cs="Palatino Linotype"/>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diez de marzo de dos mil veinticinco</w:t>
      </w:r>
      <w:r>
        <w:rPr>
          <w:rFonts w:ascii="Palatino Linotype" w:eastAsia="Palatino Linotype" w:hAnsi="Palatino Linotype" w:cs="Palatino Linotype"/>
          <w:color w:val="000000"/>
        </w:rPr>
        <w:t>, el particular interpuso el recurso de revisión en contra de la respuesta, manifestando las siguientes razones o motivos de inconformidad:</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rPr>
      </w:pPr>
    </w:p>
    <w:p w:rsidR="000138CF" w:rsidRDefault="00B95C14">
      <w:pPr>
        <w:numPr>
          <w:ilvl w:val="0"/>
          <w:numId w:val="2"/>
        </w:num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bookmarkStart w:id="2" w:name="_heading=h.bu48n3507cx8" w:colFirst="0" w:colLast="0"/>
      <w:bookmarkStart w:id="3" w:name="_GoBack"/>
      <w:bookmarkEnd w:id="2"/>
      <w:bookmarkEnd w:id="3"/>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respuesta proporcionada.”</w:t>
      </w:r>
    </w:p>
    <w:p w:rsidR="000138CF" w:rsidRDefault="00B95C14">
      <w:pPr>
        <w:pBdr>
          <w:top w:val="nil"/>
          <w:left w:val="nil"/>
          <w:bottom w:val="nil"/>
          <w:right w:val="nil"/>
          <w:between w:val="nil"/>
        </w:pBdr>
        <w:tabs>
          <w:tab w:val="left" w:pos="7020"/>
        </w:tabs>
        <w:spacing w:line="360" w:lineRule="auto"/>
        <w:ind w:left="1134" w:right="-787" w:hanging="59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b/>
      </w:r>
    </w:p>
    <w:p w:rsidR="000138CF" w:rsidRDefault="00B95C14">
      <w:pPr>
        <w:numPr>
          <w:ilvl w:val="0"/>
          <w:numId w:val="2"/>
        </w:numPr>
        <w:pBdr>
          <w:top w:val="nil"/>
          <w:left w:val="nil"/>
          <w:bottom w:val="nil"/>
          <w:right w:val="nil"/>
          <w:between w:val="nil"/>
        </w:pBdr>
        <w:spacing w:line="360" w:lineRule="auto"/>
        <w:ind w:right="-787"/>
        <w:jc w:val="both"/>
        <w:rPr>
          <w:rFonts w:ascii="Palatino Linotype" w:eastAsia="Palatino Linotype" w:hAnsi="Palatino Linotype" w:cs="Palatino Linotype"/>
          <w:b/>
          <w:bCs/>
          <w:i/>
          <w:iCs/>
          <w:color w:val="000000"/>
        </w:rPr>
      </w:pPr>
      <w:bookmarkStart w:id="4" w:name="_heading=h.966ghff0b3fn" w:colFirst="0" w:colLast="0"/>
      <w:bookmarkEnd w:id="4"/>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“No me entregaron lo que solicité, aún cuando es información pública y están obligados a proporcionarmela.”</w:t>
      </w:r>
    </w:p>
    <w:p w:rsidR="000138CF" w:rsidRDefault="000138CF">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 lo </w:t>
      </w:r>
      <w:r>
        <w:rPr>
          <w:rFonts w:ascii="Palatino Linotype" w:eastAsia="Palatino Linotype" w:hAnsi="Palatino Linotype" w:cs="Palatino Linotype"/>
          <w:b/>
          <w:bCs/>
          <w:color w:val="000000"/>
        </w:rPr>
        <w:t>anterior</w:t>
      </w:r>
      <w:r>
        <w:rPr>
          <w:rFonts w:ascii="Palatino Linotype" w:eastAsia="Palatino Linotype" w:hAnsi="Palatino Linotype" w:cs="Palatino Linotype"/>
          <w:color w:val="000000"/>
        </w:rPr>
        <w:t>, el</w:t>
      </w:r>
      <w:r>
        <w:rPr>
          <w:rFonts w:ascii="Palatino Linotype" w:eastAsia="Palatino Linotype" w:hAnsi="Palatino Linotype" w:cs="Palatino Linotype"/>
          <w:b/>
          <w:bCs/>
          <w:color w:val="000000"/>
        </w:rPr>
        <w:t xml:space="preserve"> diecinueve de marzo de dos mil veintiséis,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entregó</w:t>
      </w:r>
      <w:r>
        <w:rPr>
          <w:rFonts w:ascii="Palatino Linotype" w:eastAsia="Palatino Linotype" w:hAnsi="Palatino Linotype" w:cs="Palatino Linotype"/>
          <w:color w:val="000000"/>
        </w:rPr>
        <w:t xml:space="preserve"> nueve archivos electrónicos en formato pdf, cuyo contenido grosso modo es el siguiente.</w:t>
      </w:r>
      <w:r>
        <w:rPr>
          <w:rFonts w:ascii="Palatino Linotype" w:eastAsia="Palatino Linotype" w:hAnsi="Palatino Linotype" w:cs="Palatino Linotype"/>
          <w:b/>
          <w:bCs/>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anexo 1.rar</w:t>
      </w:r>
      <w:r>
        <w:rPr>
          <w:rFonts w:ascii="Palatino Linotype" w:eastAsia="Palatino Linotype" w:hAnsi="Palatino Linotype" w:cs="Palatino Linotype"/>
          <w:i/>
          <w:iCs/>
          <w:color w:val="000000"/>
        </w:rPr>
        <w:t xml:space="preserve">.: carpeta que contiene oficios de la Directora de Medio Ambiente y Desarrollo Sustentable, del mes de octubre, empezando en el folio 232 y terminando en el folio 235.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3.rar: </w:t>
      </w:r>
      <w:r>
        <w:rPr>
          <w:rFonts w:ascii="Palatino Linotype" w:eastAsia="Palatino Linotype" w:hAnsi="Palatino Linotype" w:cs="Palatino Linotype"/>
          <w:i/>
          <w:iCs/>
          <w:color w:val="000000"/>
        </w:rPr>
        <w:t xml:space="preserve">oficios de la Coordinación de Educación Ambiental, del mes de noviembre que comienza en el folio 254 y termina en el folio 257.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2.rar: </w:t>
      </w:r>
      <w:r>
        <w:rPr>
          <w:rFonts w:ascii="Palatino Linotype" w:eastAsia="Palatino Linotype" w:hAnsi="Palatino Linotype" w:cs="Palatino Linotype"/>
          <w:i/>
          <w:iCs/>
          <w:color w:val="000000"/>
        </w:rPr>
        <w:t xml:space="preserve">oficios generados por la Directora de Medio Ambiente y Desarrollo Sustentable, del mes de octubre que empiezan en el folio 237, 238, y 244, de los cuales se observa que hacen falta folios.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00018-1.pd: </w:t>
      </w:r>
      <w:r>
        <w:rPr>
          <w:rFonts w:ascii="Palatino Linotype" w:eastAsia="Palatino Linotype" w:hAnsi="Palatino Linotype" w:cs="Palatino Linotype"/>
          <w:i/>
          <w:iCs/>
          <w:color w:val="000000"/>
        </w:rPr>
        <w:t xml:space="preserve">documento que contiene el oficio de la </w:t>
      </w:r>
      <w:r>
        <w:rPr>
          <w:rFonts w:ascii="Palatino Linotype" w:eastAsia="Palatino Linotype" w:hAnsi="Palatino Linotype" w:cs="Palatino Linotype"/>
          <w:b/>
          <w:bCs/>
          <w:i/>
          <w:iCs/>
          <w:color w:val="000000"/>
        </w:rPr>
        <w:t xml:space="preserve">Directora de Medio Ambiente y Desarrollo Sustentable, mediante el cual informa que anexa de  manera digital lo referido.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Documento que contiene el oficio de la </w:t>
      </w:r>
      <w:r>
        <w:rPr>
          <w:rFonts w:ascii="Palatino Linotype" w:eastAsia="Palatino Linotype" w:hAnsi="Palatino Linotype" w:cs="Palatino Linotype"/>
          <w:b/>
          <w:bCs/>
          <w:i/>
          <w:iCs/>
          <w:color w:val="000000"/>
        </w:rPr>
        <w:t xml:space="preserve">Directora de Desarrollo Económico, </w:t>
      </w:r>
      <w:r>
        <w:rPr>
          <w:rFonts w:ascii="Palatino Linotype" w:eastAsia="Palatino Linotype" w:hAnsi="Palatino Linotype" w:cs="Palatino Linotype"/>
          <w:i/>
          <w:iCs/>
          <w:color w:val="000000"/>
        </w:rPr>
        <w:t xml:space="preserve">mediante el cual ratifica la respuesta inicial.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5.rar: </w:t>
      </w:r>
      <w:r>
        <w:rPr>
          <w:rFonts w:ascii="Palatino Linotype" w:eastAsia="Palatino Linotype" w:hAnsi="Palatino Linotype" w:cs="Palatino Linotype"/>
          <w:i/>
          <w:iCs/>
          <w:color w:val="000000"/>
        </w:rPr>
        <w:t xml:space="preserve">oficios de la Directora de Medio Ambiente, del mes de noviembre que inician en el folio 262 y termina en el folio 272.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 1.rar: </w:t>
      </w:r>
      <w:r>
        <w:rPr>
          <w:rFonts w:ascii="Palatino Linotype" w:eastAsia="Palatino Linotype" w:hAnsi="Palatino Linotype" w:cs="Palatino Linotype"/>
          <w:i/>
          <w:iCs/>
          <w:color w:val="000000"/>
        </w:rPr>
        <w:t xml:space="preserve">oficios de la Directora de Medio Ambiente, del mes de octubre, que inician en el folio 245 y termina en el folio el folio 249, faltando el folio 246.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6.rar: </w:t>
      </w:r>
      <w:r>
        <w:rPr>
          <w:rFonts w:ascii="Palatino Linotype" w:eastAsia="Palatino Linotype" w:hAnsi="Palatino Linotype" w:cs="Palatino Linotype"/>
          <w:i/>
          <w:iCs/>
          <w:color w:val="000000"/>
        </w:rPr>
        <w:t xml:space="preserve">oficios de la Directora de Medio Ambiente, del mes de noviembre, inician en el folio 270 y termina en el folio 272.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2.rar: anexo 2.rar: </w:t>
      </w:r>
      <w:r>
        <w:rPr>
          <w:rFonts w:ascii="Palatino Linotype" w:eastAsia="Palatino Linotype" w:hAnsi="Palatino Linotype" w:cs="Palatino Linotype"/>
          <w:i/>
          <w:iCs/>
          <w:color w:val="000000"/>
        </w:rPr>
        <w:t xml:space="preserve">oficios generados por la Directora de Medio Ambiente y Desarrollo Sustentable, del mes de octubre que empiezan en el folio 237, 238, y 244, de los cuales se observa que hacen falta folios.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4.rar: </w:t>
      </w:r>
      <w:r>
        <w:rPr>
          <w:rFonts w:ascii="Palatino Linotype" w:eastAsia="Palatino Linotype" w:hAnsi="Palatino Linotype" w:cs="Palatino Linotype"/>
          <w:i/>
          <w:iCs/>
          <w:color w:val="000000"/>
        </w:rPr>
        <w:t xml:space="preserve">oficios de la Directora de Medio Ambiente, del mes de noviembre, que inician en el folio 259 y termina en el folio 262. </w:t>
      </w:r>
    </w:p>
    <w:p w:rsidR="000138CF" w:rsidRDefault="000138CF">
      <w:pPr>
        <w:pBdr>
          <w:top w:val="nil"/>
          <w:left w:val="nil"/>
          <w:bottom w:val="nil"/>
          <w:right w:val="nil"/>
          <w:between w:val="nil"/>
        </w:pBdr>
        <w:ind w:left="1134" w:right="-787"/>
        <w:jc w:val="both"/>
        <w:rPr>
          <w:rFonts w:ascii="Palatino Linotype" w:eastAsia="Palatino Linotype" w:hAnsi="Palatino Linotype" w:cs="Palatino Linotype"/>
          <w:i/>
          <w:iCs/>
          <w:color w:val="000000"/>
        </w:rPr>
      </w:pPr>
    </w:p>
    <w:p w:rsidR="000138CF" w:rsidRDefault="000138CF">
      <w:pPr>
        <w:pBdr>
          <w:top w:val="nil"/>
          <w:left w:val="nil"/>
          <w:bottom w:val="nil"/>
          <w:right w:val="nil"/>
          <w:between w:val="nil"/>
        </w:pBdr>
        <w:ind w:left="1134" w:right="-787"/>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bookmarkStart w:id="5" w:name="_heading=h.l3xxakc7t6i0" w:colFirst="0" w:colLast="0"/>
      <w:bookmarkEnd w:id="5"/>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veintisiete de mayo de dos mil veintiséis</w:t>
      </w:r>
      <w:r>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Pr>
          <w:rFonts w:ascii="Palatino Linotype" w:eastAsia="Palatino Linotype" w:hAnsi="Palatino Linotype" w:cs="Palatino Linotype"/>
        </w:rPr>
        <w:t>.</w:t>
      </w:r>
    </w:p>
    <w:p w:rsidR="000138CF" w:rsidRDefault="000138C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Finalmente, la Comisionada Ponente mediante acuerdo de fecha</w:t>
      </w:r>
      <w:r>
        <w:rPr>
          <w:rFonts w:ascii="Palatino Linotype" w:eastAsia="Palatino Linotype" w:hAnsi="Palatino Linotype" w:cs="Palatino Linotype"/>
          <w:b/>
          <w:bCs/>
          <w:color w:val="000000"/>
        </w:rPr>
        <w:t xml:space="preserve"> tres de junio de dos mil veintiséis</w:t>
      </w:r>
      <w:r>
        <w:rPr>
          <w:rFonts w:ascii="Palatino Linotype" w:eastAsia="Palatino Linotype" w:hAnsi="Palatino Linotype" w:cs="Palatino Linotype"/>
          <w:color w:val="000000"/>
        </w:rPr>
        <w:t>, decretó el cierre de instrucción de los expedientes, por lo que no habiendo más que hacer constar, y</w:t>
      </w:r>
    </w:p>
    <w:p w:rsidR="000138CF" w:rsidRDefault="000138CF">
      <w:pPr>
        <w:ind w:right="-787"/>
        <w:rPr>
          <w:rFonts w:ascii="Palatino Linotype" w:eastAsia="Palatino Linotype" w:hAnsi="Palatino Linotype" w:cs="Palatino Linotype"/>
          <w:b/>
          <w:bCs/>
          <w:color w:val="000000"/>
        </w:rPr>
      </w:pPr>
    </w:p>
    <w:p w:rsidR="000138CF" w:rsidRDefault="00B95C14">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0138CF" w:rsidRDefault="000138CF">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0138CF" w:rsidRDefault="00B95C14">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tgyb9poxpo9e" w:colFirst="0" w:colLast="0"/>
      <w:bookmarkEnd w:id="6"/>
      <w:r>
        <w:rPr>
          <w:rFonts w:ascii="Palatino Linotype" w:eastAsia="Palatino Linotype" w:hAnsi="Palatino Linotype" w:cs="Palatino Linotype"/>
          <w:b/>
          <w:bCs/>
          <w:color w:val="000000"/>
          <w:sz w:val="24"/>
          <w:szCs w:val="24"/>
        </w:rPr>
        <w:t>PRIMERO. De la competencia</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bookmarkStart w:id="7" w:name="_heading=h.8vqc9jp1uzo6" w:colFirst="0" w:colLast="0"/>
      <w:bookmarkEnd w:id="7"/>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w:t>
      </w:r>
      <w:r>
        <w:rPr>
          <w:rFonts w:ascii="Palatino Linotype" w:eastAsia="Palatino Linotype" w:hAnsi="Palatino Linotype" w:cs="Palatino Linotype"/>
          <w:b/>
          <w:bCs/>
          <w:color w:val="000000"/>
        </w:rPr>
        <w:t>.</w:t>
      </w:r>
    </w:p>
    <w:p w:rsidR="000138CF" w:rsidRDefault="000138CF">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0138CF" w:rsidRDefault="00B95C14">
      <w:pP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SEGUNDO. De la oportunidad y procedencia.</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nueve de marzo de dos mil veintiséis</w:t>
      </w:r>
      <w:r>
        <w:rPr>
          <w:rFonts w:ascii="Palatino Linotype" w:eastAsia="Palatino Linotype" w:hAnsi="Palatino Linotype" w:cs="Palatino Linotype"/>
          <w:color w:val="000000"/>
        </w:rPr>
        <w:t xml:space="preserve">, de tal forma que el plazo para interponer el recurso de revisión transcurrió del </w:t>
      </w:r>
      <w:r>
        <w:rPr>
          <w:rFonts w:ascii="Palatino Linotype" w:eastAsia="Palatino Linotype" w:hAnsi="Palatino Linotype" w:cs="Palatino Linotype"/>
          <w:b/>
          <w:bCs/>
          <w:color w:val="000000"/>
        </w:rPr>
        <w:t>diez de marzo al siete de abril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día </w:t>
      </w:r>
      <w:r>
        <w:rPr>
          <w:rFonts w:ascii="Palatino Linotype" w:eastAsia="Palatino Linotype" w:hAnsi="Palatino Linotype" w:cs="Palatino Linotype"/>
          <w:b/>
          <w:bCs/>
          <w:color w:val="000000"/>
        </w:rPr>
        <w:t xml:space="preserve">diez de marzo </w:t>
      </w:r>
      <w:r>
        <w:rPr>
          <w:rFonts w:ascii="Palatino Linotype" w:eastAsia="Palatino Linotype" w:hAnsi="Palatino Linotype" w:cs="Palatino Linotype"/>
          <w:b/>
          <w:bCs/>
          <w:color w:val="000000"/>
        </w:rPr>
        <w:lastRenderedPageBreak/>
        <w:t>de dos mil veintiséis</w:t>
      </w:r>
      <w:r>
        <w:rPr>
          <w:rFonts w:ascii="Palatino Linotype" w:eastAsia="Palatino Linotype" w:hAnsi="Palatino Linotype" w:cs="Palatino Linotype"/>
          <w:color w:val="000000"/>
        </w:rPr>
        <w:t>; por lo que se estima que la inconformidad se presentó dentro del lapso legalmente establecido para tal efecto.</w:t>
      </w:r>
    </w:p>
    <w:p w:rsidR="000138CF" w:rsidRDefault="000138CF">
      <w:pPr>
        <w:pBdr>
          <w:top w:val="nil"/>
          <w:left w:val="nil"/>
          <w:bottom w:val="nil"/>
          <w:right w:val="nil"/>
          <w:between w:val="nil"/>
        </w:pBdr>
        <w:ind w:right="-787"/>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138CF" w:rsidRDefault="000138CF">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0138CF" w:rsidRDefault="00B95C14">
      <w:pPr>
        <w:pStyle w:val="Ttulo1"/>
        <w:spacing w:before="0" w:line="360" w:lineRule="auto"/>
        <w:ind w:right="-787"/>
        <w:rPr>
          <w:rFonts w:ascii="Palatino Linotype" w:eastAsia="Palatino Linotype" w:hAnsi="Palatino Linotype" w:cs="Palatino Linotype"/>
          <w:b/>
          <w:bCs/>
          <w:color w:val="000000"/>
          <w:sz w:val="24"/>
          <w:szCs w:val="24"/>
        </w:rPr>
      </w:pPr>
      <w:bookmarkStart w:id="8" w:name="_heading=h.1ymc2k5vj4cs" w:colFirst="0" w:colLast="0"/>
      <w:bookmarkEnd w:id="8"/>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r>
        <w:rPr>
          <w:rFonts w:ascii="Palatino Linotype" w:eastAsia="Palatino Linotype" w:hAnsi="Palatino Linotype" w:cs="Palatino Linotype"/>
          <w:b/>
          <w:bCs/>
          <w:color w:val="000000"/>
          <w:sz w:val="24"/>
          <w:szCs w:val="24"/>
        </w:rPr>
        <w:t>.</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bookmarkStart w:id="9" w:name="_heading=h.mke4xnbuv2yk" w:colFirst="0" w:colLast="0"/>
      <w:bookmarkEnd w:id="9"/>
      <w:r>
        <w:rPr>
          <w:rFonts w:ascii="Palatino Linotype" w:eastAsia="Palatino Linotype" w:hAnsi="Palatino Linotype" w:cs="Palatino Linotype"/>
          <w:color w:val="000000"/>
        </w:rPr>
        <w:t>Se solicitó tener acceso, a la información que a continuación se desagrega:</w:t>
      </w:r>
    </w:p>
    <w:p w:rsidR="000138CF" w:rsidRDefault="00B95C14">
      <w:pPr>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oficios generados en el mes de octubre y noviembre por el Director de Desarrollo Económico y la Directora de Medio Ambiente y Desarrollo Sustentable. </w:t>
      </w:r>
    </w:p>
    <w:p w:rsidR="000138CF" w:rsidRDefault="000138CF">
      <w:pPr>
        <w:ind w:left="1134"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entregó los archivos electrónicos que fueron descritos en el párrafo dos de la presente resolución.</w:t>
      </w:r>
    </w:p>
    <w:p w:rsidR="000138CF" w:rsidRDefault="000138CF">
      <w:pPr>
        <w:tabs>
          <w:tab w:val="left" w:pos="933"/>
        </w:tabs>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fracción 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 xml:space="preserve">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w:t>
      </w:r>
      <w:r>
        <w:rPr>
          <w:rFonts w:ascii="Palatino Linotype" w:eastAsia="Palatino Linotype" w:hAnsi="Palatino Linotype" w:cs="Palatino Linotype"/>
        </w:rPr>
        <w:t xml:space="preserve">Municipios; </w:t>
      </w:r>
      <w:r>
        <w:rPr>
          <w:rFonts w:ascii="Palatino Linotype" w:eastAsia="Palatino Linotype" w:hAnsi="Palatino Linotype" w:cs="Palatino Linotype"/>
          <w:color w:val="000000"/>
        </w:rPr>
        <w:t xml:space="preserve">fracción que determina la hipótesis jurídica relativa a la negativa de la información </w:t>
      </w:r>
      <w:r w:rsidR="00A44359">
        <w:rPr>
          <w:rFonts w:ascii="Palatino Linotype" w:eastAsia="Palatino Linotype" w:hAnsi="Palatino Linotype" w:cs="Palatino Linotype"/>
          <w:color w:val="000000"/>
        </w:rPr>
        <w:t>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0138CF" w:rsidRDefault="00B95C14">
      <w:pPr>
        <w:pStyle w:val="Ttulo2"/>
        <w:spacing w:before="0" w:line="360" w:lineRule="auto"/>
        <w:ind w:right="-787"/>
        <w:rPr>
          <w:rFonts w:ascii="Palatino Linotype" w:eastAsia="Palatino Linotype" w:hAnsi="Palatino Linotype" w:cs="Palatino Linotype"/>
          <w:b/>
          <w:bCs/>
          <w:color w:val="000000"/>
          <w:sz w:val="24"/>
          <w:szCs w:val="24"/>
        </w:rPr>
      </w:pPr>
      <w:bookmarkStart w:id="10" w:name="_heading=h.j01y6j4x5yp3" w:colFirst="0" w:colLast="0"/>
      <w:bookmarkEnd w:id="10"/>
      <w:r>
        <w:rPr>
          <w:rFonts w:ascii="Palatino Linotype" w:eastAsia="Palatino Linotype" w:hAnsi="Palatino Linotype" w:cs="Palatino Linotype"/>
          <w:b/>
          <w:bCs/>
          <w:color w:val="000000"/>
          <w:sz w:val="24"/>
          <w:szCs w:val="24"/>
        </w:rPr>
        <w:lastRenderedPageBreak/>
        <w:t>CUARTO. Del estudio y resolución del asunto.</w:t>
      </w:r>
    </w:p>
    <w:p w:rsidR="000138CF" w:rsidRDefault="00B95C14">
      <w:pPr>
        <w:pStyle w:val="Ttulo1"/>
        <w:numPr>
          <w:ilvl w:val="0"/>
          <w:numId w:val="3"/>
        </w:numPr>
        <w:spacing w:before="0" w:after="240" w:line="360" w:lineRule="auto"/>
        <w:ind w:left="786" w:right="-787" w:hanging="360"/>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Del derecho de acceso a la información.</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0138CF" w:rsidRDefault="00B95C14">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0138CF" w:rsidRDefault="00B95C14">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138CF" w:rsidRDefault="00B95C14">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0138CF" w:rsidRDefault="00B95C14">
      <w:pPr>
        <w:ind w:left="1134" w:right="-78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0138CF" w:rsidRDefault="000138CF">
      <w:pPr>
        <w:ind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0138CF" w:rsidRDefault="00B95C14">
      <w:pPr>
        <w:spacing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0138CF" w:rsidRDefault="00B95C14">
      <w:pPr>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0138CF" w:rsidRDefault="00B95C14">
      <w:pPr>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138CF" w:rsidRDefault="000138CF">
      <w:pPr>
        <w:pBdr>
          <w:top w:val="nil"/>
          <w:left w:val="nil"/>
          <w:bottom w:val="nil"/>
          <w:right w:val="nil"/>
          <w:between w:val="nil"/>
        </w:pBdr>
        <w:tabs>
          <w:tab w:val="left" w:pos="567"/>
        </w:tabs>
        <w:spacing w:before="240" w:after="240"/>
        <w:ind w:left="1134" w:right="-787"/>
        <w:jc w:val="both"/>
        <w:rPr>
          <w:rFonts w:ascii="Palatino Linotype" w:eastAsia="Palatino Linotype" w:hAnsi="Palatino Linotype" w:cs="Palatino Linotype"/>
          <w:b/>
          <w:bCs/>
          <w:i/>
          <w:iCs/>
          <w:color w:val="000000"/>
        </w:rPr>
      </w:pPr>
    </w:p>
    <w:p w:rsidR="000138CF" w:rsidRDefault="00B95C14">
      <w:pPr>
        <w:spacing w:before="240" w:after="240"/>
        <w:ind w:left="1134"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0138CF" w:rsidRDefault="00B95C14">
      <w:pPr>
        <w:spacing w:before="240" w:after="240"/>
        <w:ind w:left="1134" w:right="-78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w:t>
      </w:r>
      <w:r>
        <w:rPr>
          <w:rFonts w:ascii="Palatino Linotype" w:eastAsia="Palatino Linotype" w:hAnsi="Palatino Linotype" w:cs="Palatino Linotype"/>
          <w:i/>
          <w:iCs/>
        </w:rPr>
        <w:lastRenderedPageBreak/>
        <w:t xml:space="preserve">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0138CF" w:rsidRDefault="000138CF">
      <w:pPr>
        <w:spacing w:before="240" w:after="240"/>
        <w:ind w:left="1134" w:right="-787"/>
        <w:jc w:val="both"/>
        <w:rPr>
          <w:rFonts w:ascii="Palatino Linotype" w:eastAsia="Palatino Linotype" w:hAnsi="Palatino Linotype" w:cs="Palatino Linotype"/>
          <w:i/>
          <w:i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11" w:name="_heading=h.2s8eyo1" w:colFirst="0" w:colLast="0"/>
      <w:bookmarkEnd w:id="11"/>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pStyle w:val="Ttulo1"/>
        <w:spacing w:before="0" w:after="240" w:line="360" w:lineRule="auto"/>
        <w:ind w:right="-787"/>
        <w:rPr>
          <w:rFonts w:ascii="Palatino Linotype" w:eastAsia="Palatino Linotype" w:hAnsi="Palatino Linotype" w:cs="Palatino Linotype"/>
          <w:b/>
          <w:bCs/>
          <w:color w:val="000000"/>
          <w:sz w:val="24"/>
          <w:szCs w:val="24"/>
        </w:rPr>
      </w:pPr>
      <w:bookmarkStart w:id="12" w:name="_heading=h.17dp8vu" w:colFirst="0" w:colLast="0"/>
      <w:bookmarkEnd w:id="12"/>
      <w:r>
        <w:rPr>
          <w:rFonts w:ascii="Palatino Linotype" w:eastAsia="Palatino Linotype" w:hAnsi="Palatino Linotype" w:cs="Palatino Linotype"/>
          <w:b/>
          <w:bCs/>
          <w:color w:val="000000"/>
          <w:sz w:val="24"/>
          <w:szCs w:val="24"/>
        </w:rPr>
        <w:lastRenderedPageBreak/>
        <w:t>II. De la información solicitada y la respuesta del SUJETO OBLIGADO</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porque la entrega de la información es incompleta.</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es importante recordar la información que fue solicitada por el </w:t>
      </w:r>
      <w:r>
        <w:rPr>
          <w:rFonts w:ascii="Palatino Linotype" w:eastAsia="Palatino Linotype" w:hAnsi="Palatino Linotype" w:cs="Palatino Linotype"/>
          <w:b/>
          <w:bCs/>
        </w:rPr>
        <w:t>RECURRENTE y la respuesta del SUJETO OBLIGADO</w:t>
      </w:r>
      <w:r>
        <w:rPr>
          <w:rFonts w:ascii="Palatino Linotype" w:eastAsia="Palatino Linotype" w:hAnsi="Palatino Linotype" w:cs="Palatino Linotype"/>
        </w:rPr>
        <w:t xml:space="preserve"> para establecer si con la información entregada se colmada el derecho de acceso a la información de lo solicitado. </w:t>
      </w:r>
    </w:p>
    <w:tbl>
      <w:tblPr>
        <w:tblStyle w:val="a"/>
        <w:tblW w:w="97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0"/>
        <w:gridCol w:w="2430"/>
        <w:gridCol w:w="2280"/>
        <w:gridCol w:w="2175"/>
      </w:tblGrid>
      <w:tr w:rsidR="000138CF">
        <w:trPr>
          <w:jc w:val="center"/>
        </w:trPr>
        <w:tc>
          <w:tcPr>
            <w:tcW w:w="2850" w:type="dxa"/>
          </w:tcPr>
          <w:p w:rsidR="000138CF" w:rsidRDefault="00B95C14">
            <w:pPr>
              <w:ind w:right="-10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Información solicitada</w:t>
            </w:r>
          </w:p>
        </w:tc>
        <w:tc>
          <w:tcPr>
            <w:tcW w:w="2430" w:type="dxa"/>
          </w:tcPr>
          <w:p w:rsidR="000138CF" w:rsidRDefault="00B95C14">
            <w:pPr>
              <w:ind w:right="-10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Respuesta inicial</w:t>
            </w:r>
          </w:p>
        </w:tc>
        <w:tc>
          <w:tcPr>
            <w:tcW w:w="2280" w:type="dxa"/>
          </w:tcPr>
          <w:p w:rsidR="000138CF" w:rsidRDefault="00B95C14">
            <w:pPr>
              <w:ind w:right="-10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manifestaciones</w:t>
            </w:r>
          </w:p>
        </w:tc>
        <w:tc>
          <w:tcPr>
            <w:tcW w:w="2175" w:type="dxa"/>
          </w:tcPr>
          <w:p w:rsidR="000138CF" w:rsidRDefault="00B95C14">
            <w:pPr>
              <w:ind w:right="-10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Colma </w:t>
            </w:r>
          </w:p>
        </w:tc>
      </w:tr>
      <w:tr w:rsidR="000138CF">
        <w:trPr>
          <w:jc w:val="center"/>
        </w:trPr>
        <w:tc>
          <w:tcPr>
            <w:tcW w:w="2850" w:type="dxa"/>
          </w:tcPr>
          <w:p w:rsidR="000138CF" w:rsidRDefault="00B95C14">
            <w:pP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1.- oficios generados en el mes de octubre y noviembre por el Director de Desarrollo Económico </w:t>
            </w:r>
          </w:p>
        </w:tc>
        <w:tc>
          <w:tcPr>
            <w:tcW w:w="2430" w:type="dxa"/>
          </w:tcPr>
          <w:p w:rsidR="000138CF" w:rsidRDefault="00B95C14">
            <w:pP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00018.pdf: </w:t>
            </w:r>
            <w:r>
              <w:rPr>
                <w:rFonts w:ascii="Palatino Linotype" w:eastAsia="Palatino Linotype" w:hAnsi="Palatino Linotype" w:cs="Palatino Linotype"/>
                <w:i/>
                <w:iCs/>
                <w:color w:val="000000"/>
              </w:rPr>
              <w:t xml:space="preserve">documento que contiene el oficio del Director de Desarrollo Económico, mediante el cual informa que lo solicitado corresponde a un derecho de petición y no a un derecho de acceso a la información, situación por la cual no puede generar documentos ad hoc. </w:t>
            </w:r>
          </w:p>
          <w:p w:rsidR="000138CF" w:rsidRDefault="000138CF">
            <w:pPr>
              <w:ind w:right="-106"/>
              <w:jc w:val="both"/>
              <w:rPr>
                <w:rFonts w:ascii="Palatino Linotype" w:eastAsia="Palatino Linotype" w:hAnsi="Palatino Linotype" w:cs="Palatino Linotype"/>
                <w:b/>
                <w:bCs/>
                <w:i/>
                <w:iCs/>
                <w:color w:val="000000"/>
              </w:rPr>
            </w:pPr>
          </w:p>
        </w:tc>
        <w:tc>
          <w:tcPr>
            <w:tcW w:w="2280" w:type="dxa"/>
          </w:tcPr>
          <w:p w:rsidR="000138CF" w:rsidRDefault="00B95C14">
            <w:pP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Ratifica respuesta inicial</w:t>
            </w:r>
          </w:p>
        </w:tc>
        <w:tc>
          <w:tcPr>
            <w:tcW w:w="2175" w:type="dxa"/>
          </w:tcPr>
          <w:p w:rsidR="000138CF" w:rsidRDefault="00B95C14">
            <w:pP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No colma, toda vez que no se entrega la información solicitada</w:t>
            </w:r>
          </w:p>
        </w:tc>
      </w:tr>
      <w:tr w:rsidR="000138CF">
        <w:trPr>
          <w:jc w:val="center"/>
        </w:trPr>
        <w:tc>
          <w:tcPr>
            <w:tcW w:w="2850" w:type="dxa"/>
          </w:tcPr>
          <w:p w:rsidR="000138CF" w:rsidRDefault="00B95C14">
            <w:pP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 oficios generados en el mes de octubre y noviembre por la Directora de Medio Ambiente y Desarrollo Sustentable. </w:t>
            </w:r>
          </w:p>
          <w:p w:rsidR="000138CF" w:rsidRDefault="000138CF">
            <w:pPr>
              <w:ind w:right="-106"/>
              <w:jc w:val="both"/>
              <w:rPr>
                <w:rFonts w:ascii="Palatino Linotype" w:eastAsia="Palatino Linotype" w:hAnsi="Palatino Linotype" w:cs="Palatino Linotype"/>
                <w:b/>
                <w:bCs/>
                <w:i/>
                <w:iCs/>
                <w:color w:val="000000"/>
              </w:rPr>
            </w:pPr>
          </w:p>
        </w:tc>
        <w:tc>
          <w:tcPr>
            <w:tcW w:w="2430" w:type="dxa"/>
          </w:tcPr>
          <w:p w:rsidR="000138CF" w:rsidRDefault="00B95C14">
            <w:pP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No hay respuesta inicial</w:t>
            </w:r>
          </w:p>
        </w:tc>
        <w:tc>
          <w:tcPr>
            <w:tcW w:w="2280" w:type="dxa"/>
          </w:tcPr>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anexo 1.rar</w:t>
            </w:r>
            <w:r>
              <w:rPr>
                <w:rFonts w:ascii="Palatino Linotype" w:eastAsia="Palatino Linotype" w:hAnsi="Palatino Linotype" w:cs="Palatino Linotype"/>
                <w:i/>
                <w:iCs/>
                <w:color w:val="000000"/>
              </w:rPr>
              <w:t xml:space="preserve">.: carpeta que contiene oficios de la Directora de Medio Ambiente y Desarrollo Sustentable, del mes de octubre, empezando en el folio 232 y terminando en el folio 235.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anexo 3.rar: </w:t>
            </w:r>
            <w:r>
              <w:rPr>
                <w:rFonts w:ascii="Palatino Linotype" w:eastAsia="Palatino Linotype" w:hAnsi="Palatino Linotype" w:cs="Palatino Linotype"/>
                <w:i/>
                <w:iCs/>
                <w:color w:val="000000"/>
              </w:rPr>
              <w:t xml:space="preserve">oficios de la Coordinación de Educación Ambiental, del mes de noviembre que comienza en el folio 254 y termina en el folio 257. </w:t>
            </w:r>
            <w:r>
              <w:rPr>
                <w:rFonts w:ascii="Palatino Linotype" w:eastAsia="Palatino Linotype" w:hAnsi="Palatino Linotype" w:cs="Palatino Linotype"/>
                <w:b/>
                <w:bCs/>
                <w:i/>
                <w:iCs/>
                <w:color w:val="000000"/>
              </w:rPr>
              <w:t xml:space="preserve">anexo 2.rar: </w:t>
            </w:r>
            <w:r>
              <w:rPr>
                <w:rFonts w:ascii="Palatino Linotype" w:eastAsia="Palatino Linotype" w:hAnsi="Palatino Linotype" w:cs="Palatino Linotype"/>
                <w:i/>
                <w:iCs/>
                <w:color w:val="000000"/>
              </w:rPr>
              <w:t xml:space="preserve">oficios generados por la Directora de Medio Ambiente y Desarrollo Sustentable, del mes de octubre que empiezan en el folio 237, 238, y 244, de los cuales se observa que hacen falta folios.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00018-1.pd: </w:t>
            </w:r>
            <w:r>
              <w:rPr>
                <w:rFonts w:ascii="Palatino Linotype" w:eastAsia="Palatino Linotype" w:hAnsi="Palatino Linotype" w:cs="Palatino Linotype"/>
                <w:i/>
                <w:iCs/>
                <w:color w:val="000000"/>
              </w:rPr>
              <w:t xml:space="preserve">documento que contiene el oficio de la </w:t>
            </w:r>
            <w:r>
              <w:rPr>
                <w:rFonts w:ascii="Palatino Linotype" w:eastAsia="Palatino Linotype" w:hAnsi="Palatino Linotype" w:cs="Palatino Linotype"/>
                <w:b/>
                <w:bCs/>
                <w:i/>
                <w:iCs/>
                <w:color w:val="000000"/>
              </w:rPr>
              <w:t xml:space="preserve">Directora de Medio Ambiente y Desarrollo Sustentable, mediante el cual informa que anexa de  manera digital lo referido.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5.rar: </w:t>
            </w:r>
            <w:r>
              <w:rPr>
                <w:rFonts w:ascii="Palatino Linotype" w:eastAsia="Palatino Linotype" w:hAnsi="Palatino Linotype" w:cs="Palatino Linotype"/>
                <w:i/>
                <w:iCs/>
                <w:color w:val="000000"/>
              </w:rPr>
              <w:t xml:space="preserve">oficios de la Directora de Medio Ambiente, del mes de noviembre que inician en el folio 262 y termina en el folio 272.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 1.rar: </w:t>
            </w:r>
            <w:r>
              <w:rPr>
                <w:rFonts w:ascii="Palatino Linotype" w:eastAsia="Palatino Linotype" w:hAnsi="Palatino Linotype" w:cs="Palatino Linotype"/>
                <w:i/>
                <w:iCs/>
                <w:color w:val="000000"/>
              </w:rPr>
              <w:t xml:space="preserve">oficios de la Directora de Medio </w:t>
            </w:r>
            <w:r>
              <w:rPr>
                <w:rFonts w:ascii="Palatino Linotype" w:eastAsia="Palatino Linotype" w:hAnsi="Palatino Linotype" w:cs="Palatino Linotype"/>
                <w:i/>
                <w:iCs/>
                <w:color w:val="000000"/>
              </w:rPr>
              <w:lastRenderedPageBreak/>
              <w:t xml:space="preserve">Ambiente, del mes de octubre, que inician en el folio 245 y termina en el folio el folio 249, faltando el folio 246.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6.rar: </w:t>
            </w:r>
            <w:r>
              <w:rPr>
                <w:rFonts w:ascii="Palatino Linotype" w:eastAsia="Palatino Linotype" w:hAnsi="Palatino Linotype" w:cs="Palatino Linotype"/>
                <w:i/>
                <w:iCs/>
                <w:color w:val="000000"/>
              </w:rPr>
              <w:t xml:space="preserve">oficios de la Directora de Medio Ambiente, del mes de noviembre, inician en el folio 270 y termina en el folio 272.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2.rar: anexo 2.rar: </w:t>
            </w:r>
            <w:r>
              <w:rPr>
                <w:rFonts w:ascii="Palatino Linotype" w:eastAsia="Palatino Linotype" w:hAnsi="Palatino Linotype" w:cs="Palatino Linotype"/>
                <w:i/>
                <w:iCs/>
                <w:color w:val="000000"/>
              </w:rPr>
              <w:t xml:space="preserve">oficios generados por la Directora de Medio Ambiente y Desarrollo Sustentable, del mes de octubre que empiezan en el folio 237, 238, y 244, de los cuales se observa que hacen falta folios. </w:t>
            </w:r>
          </w:p>
          <w:p w:rsidR="000138CF" w:rsidRDefault="00B95C14">
            <w:pPr>
              <w:pBdr>
                <w:top w:val="nil"/>
                <w:left w:val="nil"/>
                <w:bottom w:val="nil"/>
                <w:right w:val="nil"/>
                <w:between w:val="nil"/>
              </w:pBdr>
              <w:ind w:right="-10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anexo 4.rar: </w:t>
            </w:r>
            <w:r>
              <w:rPr>
                <w:rFonts w:ascii="Palatino Linotype" w:eastAsia="Palatino Linotype" w:hAnsi="Palatino Linotype" w:cs="Palatino Linotype"/>
                <w:i/>
                <w:iCs/>
                <w:color w:val="000000"/>
              </w:rPr>
              <w:t xml:space="preserve">oficios de la Directora de Medio Ambiente, del mes de noviembre, que inician en el folio 259 y termina en el folio 262. </w:t>
            </w:r>
          </w:p>
          <w:p w:rsidR="000138CF" w:rsidRDefault="000138CF">
            <w:pPr>
              <w:ind w:right="-106"/>
              <w:jc w:val="both"/>
              <w:rPr>
                <w:rFonts w:ascii="Palatino Linotype" w:eastAsia="Palatino Linotype" w:hAnsi="Palatino Linotype" w:cs="Palatino Linotype"/>
                <w:b/>
                <w:bCs/>
                <w:i/>
                <w:iCs/>
                <w:color w:val="000000"/>
              </w:rPr>
            </w:pPr>
          </w:p>
        </w:tc>
        <w:tc>
          <w:tcPr>
            <w:tcW w:w="2175" w:type="dxa"/>
          </w:tcPr>
          <w:p w:rsidR="000138CF" w:rsidRDefault="00B95C14">
            <w:pPr>
              <w:ind w:right="-10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Colma parcialmente, toda vez que hacen falta números de folios para el mes de octubre y de noviembre. </w:t>
            </w:r>
          </w:p>
        </w:tc>
      </w:tr>
    </w:tbl>
    <w:p w:rsidR="000138CF" w:rsidRDefault="000138CF">
      <w:pPr>
        <w:pBdr>
          <w:top w:val="nil"/>
          <w:left w:val="nil"/>
          <w:bottom w:val="nil"/>
          <w:right w:val="nil"/>
          <w:between w:val="nil"/>
        </w:pBdr>
        <w:ind w:left="720" w:right="-787"/>
        <w:jc w:val="both"/>
        <w:rPr>
          <w:rFonts w:ascii="Palatino Linotype" w:eastAsia="Palatino Linotype" w:hAnsi="Palatino Linotype" w:cs="Palatino Linotype"/>
          <w:b/>
          <w:bCs/>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Del cuadro de análisis se determina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colmo parcialmente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en la etapa de manifestaciones por medio de la Dirección de Medio Ambiente y Desarrollo Sustentable. </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En primer punto se debe de establecer que la Dirección de Medio Ambiente y Desarrollo Sustentable, acepta contar con la información toda vez que remite oficios de los meses de octubre y noviembre de dos mil veinticinco, sin embargo, de la revisión de los mismos se localizó de manera enunciativa más no limitativa que para el mes de octubre hacen falta los folios 239, 240, 241, 242, 243,244 y 246 y para el caso del mes de noviembre los folios 258, 259, 260 y 261. </w:t>
      </w:r>
    </w:p>
    <w:p w:rsidR="000138CF" w:rsidRDefault="000138CF">
      <w:pPr>
        <w:pBdr>
          <w:top w:val="nil"/>
          <w:left w:val="nil"/>
          <w:bottom w:val="nil"/>
          <w:right w:val="nil"/>
          <w:between w:val="nil"/>
        </w:pBdr>
        <w:ind w:left="720" w:right="-787"/>
        <w:rPr>
          <w:rFonts w:ascii="Palatino Linotype" w:eastAsia="Palatino Linotype" w:hAnsi="Palatino Linotype" w:cs="Palatino Linotype"/>
          <w:b/>
          <w:b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lo anterior, se tiene que para que sea colmado el derecho de acceso a la información  por medio de la Dirección de Medio Ambiente y Desarrollo Sustentable, se deberán de entregar los folios faltantes de oficios de los meses de </w:t>
      </w:r>
      <w:r>
        <w:rPr>
          <w:rFonts w:ascii="Palatino Linotype" w:eastAsia="Palatino Linotype" w:hAnsi="Palatino Linotype" w:cs="Palatino Linotype"/>
          <w:b/>
          <w:bCs/>
        </w:rPr>
        <w:t xml:space="preserve">octubre y noviembre de dos mil veinticinco. </w:t>
      </w:r>
    </w:p>
    <w:p w:rsidR="000138CF" w:rsidRDefault="000138CF">
      <w:pPr>
        <w:pBdr>
          <w:top w:val="nil"/>
          <w:left w:val="nil"/>
          <w:bottom w:val="nil"/>
          <w:right w:val="nil"/>
          <w:between w:val="nil"/>
        </w:pBdr>
        <w:ind w:left="720" w:right="-787"/>
        <w:rPr>
          <w:rFonts w:ascii="Palatino Linotype" w:eastAsia="Palatino Linotype" w:hAnsi="Palatino Linotype" w:cs="Palatino Linotype"/>
          <w:b/>
          <w:b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Seguidamente, se debe de precisar que de ser el caso que se hubieran cancelado los números de oficios faltantes, bastará con que se haga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0138CF" w:rsidRDefault="000138CF">
      <w:pPr>
        <w:pBdr>
          <w:top w:val="nil"/>
          <w:left w:val="nil"/>
          <w:bottom w:val="nil"/>
          <w:right w:val="nil"/>
          <w:between w:val="nil"/>
        </w:pBdr>
        <w:ind w:left="720" w:right="-787"/>
        <w:rPr>
          <w:rFonts w:ascii="Palatino Linotype" w:eastAsia="Palatino Linotype" w:hAnsi="Palatino Linotype" w:cs="Palatino Linotype"/>
          <w:b/>
          <w:b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en cuanto a la Dirección de Desarrollo Económico, se debe de precisar que la información solicitada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no guarda relación con generar documentos ad hoc, así como tampoco a un derecho de petición, toda vez que lo solicitado guarda relación con las funciones del Director de Desarrollo Económico,  situación por la cual se analiza lo siguiente. </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 Resulta</w:t>
      </w:r>
      <w:r>
        <w:rPr>
          <w:rFonts w:ascii="Palatino Linotype" w:eastAsia="Palatino Linotype" w:hAnsi="Palatino Linotype" w:cs="Palatino Linotype"/>
          <w:color w:val="000000"/>
        </w:rPr>
        <w:t xml:space="preserve"> necesario referir que, el artículo 6° apartado A fracción I, de la Constituci</w:t>
      </w:r>
      <w:r>
        <w:rPr>
          <w:rFonts w:ascii="Palatino Linotype" w:eastAsia="Palatino Linotype" w:hAnsi="Palatino Linotype" w:cs="Palatino Linotype"/>
        </w:rPr>
        <w:t>ó</w:t>
      </w:r>
      <w:r>
        <w:rPr>
          <w:rFonts w:ascii="Palatino Linotype" w:eastAsia="Palatino Linotype" w:hAnsi="Palatino Linotype" w:cs="Palatino Linotype"/>
          <w:color w:val="000000"/>
        </w:rPr>
        <w:t xml:space="preserve">n Política de los Estados Unidos Mexicanos, artículo 5 fracción I de la Constitución Política </w:t>
      </w:r>
      <w:r>
        <w:rPr>
          <w:rFonts w:ascii="Palatino Linotype" w:eastAsia="Palatino Linotype" w:hAnsi="Palatino Linotype" w:cs="Palatino Linotype"/>
          <w:color w:val="000000"/>
        </w:rPr>
        <w:lastRenderedPageBreak/>
        <w:t xml:space="preserve">del Estado Libre y Soberano de México y el artículo 18 de la Ley de Transparencia y Acceso a la Información Pública del Estado de México y Municipios, guardan una estrecha relación, puesto que los ordenamientos citados concurren refiriendo que los Sujetos Obligados </w:t>
      </w:r>
      <w:r>
        <w:rPr>
          <w:rFonts w:ascii="Palatino Linotype" w:eastAsia="Palatino Linotype" w:hAnsi="Palatino Linotype" w:cs="Palatino Linotype"/>
          <w:b/>
          <w:bCs/>
          <w:i/>
          <w:iCs/>
          <w:color w:val="000000"/>
          <w:u w:val="single"/>
        </w:rPr>
        <w:t>deberán documentar todo acto que se derive del ejercicio de sus facultades, competencias o funciones</w:t>
      </w:r>
      <w:r>
        <w:rPr>
          <w:rFonts w:ascii="Palatino Linotype" w:eastAsia="Palatino Linotype" w:hAnsi="Palatino Linotype" w:cs="Palatino Linotype"/>
          <w:color w:val="000000"/>
        </w:rPr>
        <w:t>, considerando desde su origen la eventual publicidad y reutilización de la información que generen, posean o administren.</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debemos tomar en cuenta los artículos 4 y 12, de la Ley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a la Información Pública del Estado de México y Municipios, los cuales establecen lo siguiente:</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w:t>
      </w:r>
      <w:r>
        <w:rPr>
          <w:rFonts w:ascii="Palatino Linotype" w:eastAsia="Palatino Linotype" w:hAnsi="Palatino Linotype" w:cs="Palatino Linotype"/>
          <w:i/>
          <w:iCs/>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w:t>
      </w:r>
      <w:r>
        <w:rPr>
          <w:rFonts w:ascii="Palatino Linotype" w:eastAsia="Palatino Linotype" w:hAnsi="Palatino Linotype" w:cs="Palatino Linotype"/>
          <w:i/>
          <w:iCs/>
          <w:color w:val="000000"/>
        </w:rPr>
        <w:t xml:space="preserve"> Quienes generen, recopilen, administren, manejen, procesen, archiven o conserven información pública serán responsables de la misma en los términos de las disposiciones jurídicas aplicables. </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Robustece</w:t>
      </w:r>
      <w:r>
        <w:rPr>
          <w:rFonts w:ascii="Palatino Linotype" w:eastAsia="Palatino Linotype" w:hAnsi="Palatino Linotype" w:cs="Palatino Linotype"/>
          <w:color w:val="000000"/>
        </w:rPr>
        <w:t xml:space="preserve"> lo anterior la Tesis aislada identificada con la clave I.4º.A.40 A del Cuarto Tribunal colegiado en Materia Administrativa del Primer Circuito, publicada en el Seminario Judicial de la Federación y su Gaceta en el libro XVIII, Marzo 2013, Página 1899.</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w:t>
      </w:r>
      <w:r>
        <w:rPr>
          <w:rFonts w:ascii="Palatino Linotype" w:eastAsia="Palatino Linotype" w:hAnsi="Palatino Linotype" w:cs="Palatino Linotype"/>
          <w:i/>
          <w:iCs/>
          <w:color w:val="000000"/>
        </w:rPr>
        <w:lastRenderedPageBreak/>
        <w:t xml:space="preserve">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138CF" w:rsidRDefault="000138CF">
      <w:pPr>
        <w:pBdr>
          <w:top w:val="nil"/>
          <w:left w:val="nil"/>
          <w:bottom w:val="nil"/>
          <w:right w:val="nil"/>
          <w:between w:val="nil"/>
        </w:pBdr>
        <w:ind w:left="1134" w:right="-787"/>
        <w:jc w:val="both"/>
        <w:rPr>
          <w:rFonts w:ascii="Palatino Linotype" w:eastAsia="Palatino Linotype" w:hAnsi="Palatino Linotype" w:cs="Palatino Linotype"/>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los Sujetos Obligados deberán proporcionar toda la información </w:t>
      </w:r>
      <w:r>
        <w:rPr>
          <w:rFonts w:ascii="Palatino Linotype" w:eastAsia="Palatino Linotype" w:hAnsi="Palatino Linotype" w:cs="Palatino Linotype"/>
        </w:rPr>
        <w:t>que</w:t>
      </w:r>
      <w:r>
        <w:rPr>
          <w:rFonts w:ascii="Palatino Linotype" w:eastAsia="Palatino Linotype" w:hAnsi="Palatino Linotype" w:cs="Palatino Linotype"/>
          <w:color w:val="000000"/>
        </w:rPr>
        <w:t xml:space="preserve"> se encuentre en su posesión bajo los estándares más altos de transparencia y máxima publicidad. </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6o.</w:t>
      </w:r>
      <w:r>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tiene derecho al libre acceso a información plural y oportuna, así como a buscar, recibir y difundir información e ideas de toda índole por cualquier medio de expresión.</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efectos de lo dispuesto en el presente artículo se observará lo siguiente:</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numPr>
          <w:ilvl w:val="4"/>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Para el ejercicio del derecho de acceso a la información, la Federación, los Estados y el Distrito Federal, en el ámbito de sus respectivas competencias, se regirán por los siguientes principios y bases: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que se refiere a la vida privada y los datos personales será protegida en los términos y con las excepciones que fijen las leyes.</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sin necesidad de acreditar interés alguno o justificar su utilización, tendrá acceso gratuito a la información pública, a sus datos personales o a la rectificación de éstos.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establecerán mecanismos de acceso a la información y procedimientos de revisión expeditos que se sustanciarán ante los organismos autónomos especializados e imparciales que establece esta Constitución.</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leyes determinarán la manera en que los sujetos obligados deberán hacer pública la información relativa a los recursos públicos que entreguen a personas físicas o morales.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inobservancia a las disposiciones en materia de acceso a la información pública será sancionada en los términos que dispongan las leyes.</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ley establecerá aquella información que se considere reservada o confidencial.”</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la Constitución Política del Estado Libre y Soberano de México, en su </w:t>
      </w:r>
      <w:r>
        <w:rPr>
          <w:rFonts w:ascii="Palatino Linotype" w:eastAsia="Palatino Linotype" w:hAnsi="Palatino Linotype" w:cs="Palatino Linotype"/>
        </w:rPr>
        <w:t>artículo</w:t>
      </w:r>
      <w:r>
        <w:rPr>
          <w:rFonts w:ascii="Palatino Linotype" w:eastAsia="Palatino Linotype" w:hAnsi="Palatino Linotype" w:cs="Palatino Linotype"/>
          <w:color w:val="000000"/>
        </w:rPr>
        <w:t xml:space="preserve"> 5°, dispone en su parte conducente, lo siguiente:</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“Artículo 5. …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El derecho a la información será garantizado por el Estado</w:t>
      </w:r>
      <w:r>
        <w:rPr>
          <w:rFonts w:ascii="Palatino Linotype" w:eastAsia="Palatino Linotype" w:hAnsi="Palatino Linotype" w:cs="Palatino Linotype"/>
          <w:i/>
          <w:iCs/>
          <w:color w:val="000000"/>
        </w:rPr>
        <w:t xml:space="preserve">. La ley establecerá las previsiones que permitan asegurar la protección, el respeto y la difusión de este derecho.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Este derecho se regirá por los principios y bases siguientes: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 en posesión de cualquier autoridad</w:t>
      </w:r>
      <w:r>
        <w:rPr>
          <w:rFonts w:ascii="Palatino Linotype" w:eastAsia="Palatino Linotype" w:hAnsi="Palatino Linotype" w:cs="Palatino Linotype"/>
          <w:i/>
          <w:iCs/>
          <w:color w:val="000000"/>
        </w:rPr>
        <w:t xml:space="preserve">, entidad, órgano y organismos de los Poderes Ejecutivo, Legislativo y Judicial, órganos autónomos, partidos políticos, fideicomisos y fondos públicos estatales y municipales, </w:t>
      </w:r>
      <w:r>
        <w:rPr>
          <w:rFonts w:ascii="Palatino Linotype" w:eastAsia="Palatino Linotype" w:hAnsi="Palatino Linotype" w:cs="Palatino Linotype"/>
          <w:b/>
          <w:bCs/>
          <w:i/>
          <w:iCs/>
          <w:color w:val="000000"/>
        </w:rPr>
        <w:t>así como del gobierno y de la administración pública municipal y sus organismos descentralizados</w:t>
      </w:r>
      <w:r>
        <w:rPr>
          <w:rFonts w:ascii="Palatino Linotype" w:eastAsia="Palatino Linotype" w:hAnsi="Palatino Linotype" w:cs="Palatino Linotype"/>
          <w:i/>
          <w:iCs/>
          <w:color w:val="000000"/>
        </w:rPr>
        <w:t xml:space="preserve">,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color w:val="000000"/>
        </w:rPr>
        <w:t>es pública</w:t>
      </w:r>
      <w:r>
        <w:rPr>
          <w:rFonts w:ascii="Palatino Linotype" w:eastAsia="Palatino Linotype" w:hAnsi="Palatino Linotype" w:cs="Palatino Linotype"/>
          <w:i/>
          <w:iCs/>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La información referente a la intimidad de la vida privada y la imagen de las personas será protegida a través de un marco jurídico rígido de tratamiento y manejo de datos personales, con las excepciones que establezca la ley reglamentaria.</w:t>
      </w: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persona, sin necesidad de acreditar interés alguno o justificar su utilización, tendrá acceso gratuito a la información pública, a sus datos personales o a la rectificación de éstos.</w:t>
      </w: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establecerán mecanismos de acceso a la información y procedimientos de revisión expeditos que se sustanciarán ante el organismo autónomo especializado e imparcial que establece esta Constitución.</w:t>
      </w: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Los sujetos obligados deberán preservar sus documentos en archivos administrativos actualizados y publicarán, a través de los medios electrónicos disponibles, la información completa y actualizada sobre el ejercicio de los recursos públicos</w:t>
      </w:r>
      <w:r>
        <w:rPr>
          <w:rFonts w:ascii="Palatino Linotype" w:eastAsia="Palatino Linotype" w:hAnsi="Palatino Linotype" w:cs="Palatino Linotype"/>
          <w:i/>
          <w:iCs/>
          <w:color w:val="000000"/>
        </w:rPr>
        <w:t xml:space="preserve"> y los indicadores que permitan rendir cuenta del cumplimiento de sus objetivos y los resultados obtenidos.</w:t>
      </w:r>
    </w:p>
    <w:p w:rsidR="000138CF" w:rsidRDefault="00B95C14">
      <w:pPr>
        <w:numPr>
          <w:ilvl w:val="3"/>
          <w:numId w:val="9"/>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ley reglamentaria, determinará la manera en que los sujetos obligados deberán hacer pública la información relativa a los recursos públicos que entreguen a personas físicas o jurídicas colectivas.”</w:t>
      </w:r>
    </w:p>
    <w:p w:rsidR="000138CF" w:rsidRDefault="000138CF">
      <w:pPr>
        <w:pBdr>
          <w:top w:val="nil"/>
          <w:left w:val="nil"/>
          <w:bottom w:val="nil"/>
          <w:right w:val="nil"/>
          <w:between w:val="nil"/>
        </w:pBdr>
        <w:ind w:left="1134" w:right="-787"/>
        <w:jc w:val="both"/>
        <w:rPr>
          <w:rFonts w:ascii="Palatino Linotype" w:eastAsia="Palatino Linotype" w:hAnsi="Palatino Linotype" w:cs="Palatino Linotype"/>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Adicional</w:t>
      </w:r>
      <w:r>
        <w:rPr>
          <w:rFonts w:ascii="Palatino Linotype" w:eastAsia="Palatino Linotype" w:hAnsi="Palatino Linotype" w:cs="Palatino Linotype"/>
          <w:color w:val="000000"/>
        </w:rPr>
        <w:t>, tenemos que la Ley de Transparencia y Acceso a la Información Pública del Estado de México y Municipios, prevé en su artículo 23 fracción I, lo siguiente:</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23.</w:t>
      </w:r>
      <w:r>
        <w:rPr>
          <w:rFonts w:ascii="Palatino Linotype" w:eastAsia="Palatino Linotype" w:hAnsi="Palatino Linotype" w:cs="Palatino Linotype"/>
          <w:i/>
          <w:iCs/>
          <w:color w:val="000000"/>
        </w:rPr>
        <w:t xml:space="preserve"> Son sujetos obligados a transparentar y permitir el acceso a su información y proteger los datos personales que obren en su poder:</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El Poder Ejecutivo del Estado de México, las dependencias, organismos auxiliares, órganos, entidades, fideicomisos y fondos públicos, así como la Fiscalía General de Justicia del Estado de México;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servidores públicos deberán transparentar sus acciones así como garantizar y respetar el derecho de acceso a la información pública.”</w:t>
      </w:r>
    </w:p>
    <w:p w:rsidR="000138CF" w:rsidRDefault="000138CF">
      <w:pPr>
        <w:pBdr>
          <w:top w:val="nil"/>
          <w:left w:val="nil"/>
          <w:bottom w:val="nil"/>
          <w:right w:val="nil"/>
          <w:between w:val="nil"/>
        </w:pBdr>
        <w:ind w:left="1134" w:right="-787"/>
        <w:jc w:val="both"/>
        <w:rPr>
          <w:rFonts w:ascii="Palatino Linotype" w:eastAsia="Palatino Linotype" w:hAnsi="Palatino Linotype" w:cs="Palatino Linotype"/>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federales, como </w:t>
      </w:r>
      <w:r>
        <w:rPr>
          <w:rFonts w:ascii="Palatino Linotype" w:eastAsia="Palatino Linotype" w:hAnsi="Palatino Linotype" w:cs="Palatino Linotype"/>
        </w:rPr>
        <w:t>estatales</w:t>
      </w:r>
      <w:r>
        <w:rPr>
          <w:rFonts w:ascii="Palatino Linotype" w:eastAsia="Palatino Linotype" w:hAnsi="Palatino Linotype" w:cs="Palatino Linotype"/>
          <w:color w:val="000000"/>
        </w:rPr>
        <w:t xml:space="preserve">, de la Ciudad de México, o Municipales, con el fin de que los particulares conozcan toda aquella información que es considerada como pública. </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w:t>
      </w:r>
      <w:r>
        <w:rPr>
          <w:rFonts w:ascii="Palatino Linotype" w:eastAsia="Palatino Linotype" w:hAnsi="Palatino Linotype" w:cs="Palatino Linotype"/>
          <w:color w:val="000000"/>
        </w:rPr>
        <w:t xml:space="preserve"> lo anterior, es de referir que, el </w:t>
      </w:r>
      <w:r>
        <w:rPr>
          <w:rFonts w:ascii="Palatino Linotype" w:eastAsia="Palatino Linotype" w:hAnsi="Palatino Linotype" w:cs="Palatino Linotype"/>
          <w:b/>
          <w:bCs/>
          <w:color w:val="000000"/>
        </w:rPr>
        <w:t>Ayuntamiento de Tianguistenco</w:t>
      </w:r>
      <w:r>
        <w:rPr>
          <w:rFonts w:ascii="Palatino Linotype" w:eastAsia="Palatino Linotype" w:hAnsi="Palatino Linotype" w:cs="Palatino Linotype"/>
          <w:color w:val="000000"/>
        </w:rPr>
        <w:t>, al ser un Sujeto Obligado comprendido por la Legislación Local en materia de Transparencia, se encuentra obligado a hacer pública toda aquella información que genere, administre o posea.</w:t>
      </w:r>
    </w:p>
    <w:p w:rsidR="000138CF" w:rsidRDefault="000138CF">
      <w:pPr>
        <w:ind w:right="-787"/>
        <w:rPr>
          <w:rFonts w:ascii="Palatino Linotype" w:eastAsia="Palatino Linotype" w:hAnsi="Palatino Linotype" w:cs="Palatino Linotype"/>
        </w:rPr>
      </w:pPr>
    </w:p>
    <w:p w:rsidR="00A44359" w:rsidRPr="00A44359"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Sirve de reforzamiento a lo anterior, el escrito de contestación del Director de Desarrollo Económico, en el cual se observa que la información se genera en ejercicio sus funciones y atribuciones, precisando así que lo solicitado no es un derecho de petición, por lo que, para atender la solicitud de información no se generan documentos ad hoc. </w:t>
      </w:r>
    </w:p>
    <w:p w:rsidR="00A44359" w:rsidRDefault="00A44359" w:rsidP="00A44359">
      <w:pPr>
        <w:pStyle w:val="Prrafodelista"/>
        <w:rPr>
          <w:rFonts w:ascii="Palatino Linotype" w:eastAsia="Palatino Linotype" w:hAnsi="Palatino Linotype" w:cs="Palatino Linotype"/>
          <w:b/>
          <w:bCs/>
        </w:rPr>
      </w:pPr>
    </w:p>
    <w:p w:rsidR="00A44359" w:rsidRDefault="00A44359" w:rsidP="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A44359" w:rsidRDefault="00A44359" w:rsidP="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A44359" w:rsidRDefault="00A44359" w:rsidP="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A44359" w:rsidRDefault="00A44359" w:rsidP="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A44359" w:rsidRDefault="00A44359" w:rsidP="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A44359" w:rsidP="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r>
        <w:rPr>
          <w:noProof/>
        </w:rPr>
        <w:lastRenderedPageBreak/>
        <w:drawing>
          <wp:anchor distT="0" distB="0" distL="114300" distR="114300" simplePos="0" relativeHeight="251659264" behindDoc="0" locked="0" layoutInCell="1" hidden="0" allowOverlap="1">
            <wp:simplePos x="0" y="0"/>
            <wp:positionH relativeFrom="column">
              <wp:posOffset>3480183</wp:posOffset>
            </wp:positionH>
            <wp:positionV relativeFrom="paragraph">
              <wp:posOffset>9828</wp:posOffset>
            </wp:positionV>
            <wp:extent cx="1994289" cy="3384644"/>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994289" cy="3384644"/>
                    </a:xfrm>
                    <a:prstGeom prst="rect">
                      <a:avLst/>
                    </a:prstGeom>
                    <a:ln/>
                  </pic:spPr>
                </pic:pic>
              </a:graphicData>
            </a:graphic>
          </wp:anchor>
        </w:drawing>
      </w:r>
      <w:r>
        <w:rPr>
          <w:noProof/>
        </w:rPr>
        <w:drawing>
          <wp:anchor distT="0" distB="0" distL="114300" distR="114300" simplePos="0" relativeHeight="251658240" behindDoc="0" locked="0" layoutInCell="1" hidden="0" allowOverlap="1">
            <wp:simplePos x="0" y="0"/>
            <wp:positionH relativeFrom="column">
              <wp:posOffset>68532</wp:posOffset>
            </wp:positionH>
            <wp:positionV relativeFrom="paragraph">
              <wp:posOffset>28146</wp:posOffset>
            </wp:positionV>
            <wp:extent cx="2306226" cy="337099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306226" cy="3370997"/>
                    </a:xfrm>
                    <a:prstGeom prst="rect">
                      <a:avLst/>
                    </a:prstGeom>
                    <a:ln/>
                  </pic:spPr>
                </pic:pic>
              </a:graphicData>
            </a:graphic>
          </wp:anchor>
        </w:drawing>
      </w:r>
    </w:p>
    <w:p w:rsidR="000138CF" w:rsidRDefault="00B95C1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r>
        <w:rPr>
          <w:noProof/>
        </w:rPr>
        <w:drawing>
          <wp:anchor distT="0" distB="0" distL="114300" distR="114300" simplePos="0" relativeHeight="251660288" behindDoc="0" locked="0" layoutInCell="1" hidden="0" allowOverlap="1">
            <wp:simplePos x="0" y="0"/>
            <wp:positionH relativeFrom="column">
              <wp:posOffset>-243516</wp:posOffset>
            </wp:positionH>
            <wp:positionV relativeFrom="paragraph">
              <wp:posOffset>86036</wp:posOffset>
            </wp:positionV>
            <wp:extent cx="2875129" cy="4312693"/>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875129" cy="4312693"/>
                    </a:xfrm>
                    <a:prstGeom prst="rect">
                      <a:avLst/>
                    </a:prstGeom>
                    <a:ln/>
                  </pic:spPr>
                </pic:pic>
              </a:graphicData>
            </a:graphic>
          </wp:anchor>
        </w:drawing>
      </w:r>
    </w:p>
    <w:p w:rsidR="000138CF" w:rsidRDefault="00A44359">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r>
        <w:rPr>
          <w:noProof/>
        </w:rPr>
        <w:drawing>
          <wp:anchor distT="0" distB="0" distL="114300" distR="114300" simplePos="0" relativeHeight="251661312" behindDoc="0" locked="0" layoutInCell="1" hidden="0" allowOverlap="1">
            <wp:simplePos x="0" y="0"/>
            <wp:positionH relativeFrom="column">
              <wp:posOffset>2938976</wp:posOffset>
            </wp:positionH>
            <wp:positionV relativeFrom="paragraph">
              <wp:posOffset>12400</wp:posOffset>
            </wp:positionV>
            <wp:extent cx="3053765" cy="4302471"/>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053765" cy="4302471"/>
                    </a:xfrm>
                    <a:prstGeom prst="rect">
                      <a:avLst/>
                    </a:prstGeom>
                    <a:ln/>
                  </pic:spPr>
                </pic:pic>
              </a:graphicData>
            </a:graphic>
          </wp:anchor>
        </w:drawing>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En consecuencia, se determina que el Director de Desarrollo Económico, si genera oficios por sus funciones y atribuciones, situación por la cual para que sea colmado el derecho de acceso a la información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deberán de ser entregados los oficios que hubieran sido generados en el mes de octubre y noviembre de dos mil veinticinco por el Director de Desarrollo Económico. </w:t>
      </w:r>
    </w:p>
    <w:p w:rsidR="000138CF" w:rsidRDefault="000138CF">
      <w:pPr>
        <w:ind w:left="1134" w:right="-787"/>
        <w:jc w:val="both"/>
        <w:rPr>
          <w:rFonts w:ascii="Palatino Linotype" w:eastAsia="Palatino Linotype" w:hAnsi="Palatino Linotype" w:cs="Palatino Linotype"/>
          <w:i/>
          <w:i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se tiene que de la información que entregue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analizarla y de ser el caso clasificar como confidencial los datos que se encuentren en la misma, los cuales de manera enunciativa más no limitativa son los siguientes. </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i/>
          <w:iCs/>
        </w:rPr>
      </w:pPr>
    </w:p>
    <w:p w:rsidR="000138CF" w:rsidRDefault="00B95C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Registro Federal de Contribuyentes</w:t>
      </w:r>
      <w:r>
        <w:rPr>
          <w:rFonts w:ascii="Palatino Linotype" w:eastAsia="Palatino Linotype" w:hAnsi="Palatino Linotype" w:cs="Palatino Linotype"/>
          <w:color w:val="000000"/>
        </w:rPr>
        <w:t xml:space="preserve"> (RFC)</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w:t>
      </w:r>
      <w:r>
        <w:rPr>
          <w:rFonts w:ascii="Palatino Linotype" w:eastAsia="Palatino Linotype" w:hAnsi="Palatino Linotype" w:cs="Palatino Linotype"/>
          <w:color w:val="000000"/>
        </w:rPr>
        <w:lastRenderedPageBreak/>
        <w:t>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0138CF" w:rsidRDefault="00B95C14">
      <w:pP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Registro Federal de Contribuyentes (RFC) de personas físicas</w:t>
      </w:r>
      <w:r>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0138CF" w:rsidRDefault="000138CF">
      <w:pPr>
        <w:ind w:left="1134" w:right="-787"/>
        <w:jc w:val="both"/>
        <w:rPr>
          <w:rFonts w:ascii="Palatino Linotype" w:eastAsia="Palatino Linotype" w:hAnsi="Palatino Linotype" w:cs="Palatino Linotype"/>
        </w:rPr>
      </w:pPr>
    </w:p>
    <w:p w:rsidR="000138CF" w:rsidRDefault="000138CF">
      <w:pPr>
        <w:ind w:left="1134"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Clave única de Registro de Población –CURP-.</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0138CF" w:rsidRDefault="000138CF">
      <w:pPr>
        <w:spacing w:line="360" w:lineRule="auto"/>
        <w:ind w:right="-787"/>
        <w:jc w:val="both"/>
        <w:rPr>
          <w:rFonts w:ascii="Palatino Linotype" w:eastAsia="Palatino Linotype" w:hAnsi="Palatino Linotype" w:cs="Palatino Linotype"/>
          <w:b/>
          <w:b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conformidad con lo precisado por la propia Secretaría de Gobernación en la dirección </w:t>
      </w:r>
      <w:hyperlink r:id="rId12">
        <w:r>
          <w:rPr>
            <w:rFonts w:ascii="Palatino Linotype" w:eastAsia="Palatino Linotype" w:hAnsi="Palatino Linotype" w:cs="Palatino Linotype"/>
            <w:color w:val="0563C1"/>
            <w:u w:val="single"/>
          </w:rPr>
          <w:t>https://consultas.curp.gob.mx/CurpSP/html/informacionecurpPS.html</w:t>
        </w:r>
      </w:hyperlink>
      <w:r>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Pr>
          <w:rFonts w:ascii="Palatino Linotype" w:eastAsia="Palatino Linotype" w:hAnsi="Palatino Linotype" w:cs="Palatino Linotype"/>
          <w:b/>
          <w:bCs/>
          <w:color w:val="000000"/>
        </w:rPr>
        <w:t xml:space="preserve">se generan a partir de los datos contenidos en el documento probatorio de la identidad del interesado </w:t>
      </w:r>
      <w:r>
        <w:rPr>
          <w:rFonts w:ascii="Palatino Linotype" w:eastAsia="Palatino Linotype" w:hAnsi="Palatino Linotype" w:cs="Palatino Linotype"/>
          <w:color w:val="000000"/>
        </w:rPr>
        <w:t>(acta de nacimiento, carta de naturalización o documento migratorio) de la siguiente forma:</w:t>
      </w:r>
    </w:p>
    <w:p w:rsidR="000138CF" w:rsidRDefault="00B95C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El primero y segundo apellidos, así como </w:t>
      </w:r>
      <w:r>
        <w:rPr>
          <w:rFonts w:ascii="Palatino Linotype" w:eastAsia="Palatino Linotype" w:hAnsi="Palatino Linotype" w:cs="Palatino Linotype"/>
        </w:rPr>
        <w:t>el</w:t>
      </w:r>
      <w:r>
        <w:rPr>
          <w:rFonts w:ascii="Palatino Linotype" w:eastAsia="Palatino Linotype" w:hAnsi="Palatino Linotype" w:cs="Palatino Linotype"/>
          <w:color w:val="000000"/>
        </w:rPr>
        <w:t xml:space="preserve"> nombre de pila.</w:t>
      </w:r>
    </w:p>
    <w:p w:rsidR="000138CF" w:rsidRDefault="00B95C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fecha de nacimiento.</w:t>
      </w:r>
    </w:p>
    <w:p w:rsidR="000138CF" w:rsidRDefault="00B95C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 • El sexo.</w:t>
      </w:r>
    </w:p>
    <w:p w:rsidR="000138CF" w:rsidRDefault="00B95C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 La entidad federativa de nacimiento.</w:t>
      </w:r>
    </w:p>
    <w:p w:rsidR="000138CF" w:rsidRDefault="00B95C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dos últimos elementos de la CURP evitan la duplicidad de la </w:t>
      </w:r>
      <w:r>
        <w:rPr>
          <w:rFonts w:ascii="Palatino Linotype" w:eastAsia="Palatino Linotype" w:hAnsi="Palatino Linotype" w:cs="Palatino Linotype"/>
        </w:rPr>
        <w:t>clave</w:t>
      </w:r>
      <w:r>
        <w:rPr>
          <w:rFonts w:ascii="Palatino Linotype" w:eastAsia="Palatino Linotype" w:hAnsi="Palatino Linotype" w:cs="Palatino Linotype"/>
          <w:color w:val="000000"/>
        </w:rPr>
        <w:t xml:space="preserve"> y garantizan su correcta integración.</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0138CF" w:rsidRDefault="000138C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Resulta aplicable en la especie, como argumento orientador, el Criterio 3/10, emitido por el INAI.</w:t>
      </w:r>
    </w:p>
    <w:p w:rsidR="000138CF" w:rsidRDefault="00B95C14">
      <w:pP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Clave Única de Registro de Población (CURP) es un dato personal confidencial. </w:t>
      </w:r>
      <w:r>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0138CF" w:rsidRDefault="000138CF">
      <w:pPr>
        <w:ind w:left="1134" w:right="-787"/>
        <w:jc w:val="both"/>
        <w:rPr>
          <w:rFonts w:ascii="Palatino Linotype" w:eastAsia="Palatino Linotype" w:hAnsi="Palatino Linotype" w:cs="Palatino Linotype"/>
          <w:color w:val="000000"/>
        </w:rPr>
      </w:pPr>
    </w:p>
    <w:p w:rsidR="00A44359" w:rsidRDefault="00A44359">
      <w:pPr>
        <w:ind w:left="1134"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con lo anterior,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clave CURP, es un dato personal confidencial, en términos del artículo 143, fracción I, de la Ley de Transparencia y Acceso a la Información Pública del Estado de México y Municipios.</w:t>
      </w:r>
    </w:p>
    <w:p w:rsidR="000138CF" w:rsidRDefault="00B95C14">
      <w:pP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Nombre de persona física, Domicilio</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en términos del artículo 2.3 del Código Civil del Estado de México, de tal suerte, el nombre </w:t>
      </w:r>
      <w:r>
        <w:rPr>
          <w:rFonts w:ascii="Palatino Linotype" w:eastAsia="Palatino Linotype" w:hAnsi="Palatino Linotype" w:cs="Palatino Linotype"/>
          <w:i/>
          <w:iCs/>
          <w:color w:val="000000"/>
        </w:rPr>
        <w:t>perse</w:t>
      </w:r>
      <w:r>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0138CF" w:rsidRDefault="000138CF">
      <w:pPr>
        <w:spacing w:line="360" w:lineRule="auto"/>
        <w:ind w:right="-787"/>
        <w:jc w:val="both"/>
        <w:rPr>
          <w:rFonts w:ascii="Palatino Linotype" w:eastAsia="Palatino Linotype" w:hAnsi="Palatino Linotype" w:cs="Palatino Linotype"/>
          <w:b/>
          <w:bCs/>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Pr>
          <w:rFonts w:ascii="Palatino Linotype" w:eastAsia="Palatino Linotype" w:hAnsi="Palatino Linotype" w:cs="Palatino Linotype"/>
          <w:b/>
          <w:bCs/>
          <w:color w:val="000000"/>
        </w:rPr>
        <w:t>el domicilio particular</w:t>
      </w:r>
      <w:r>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0138CF" w:rsidRDefault="00B95C14">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Estado civil.</w:t>
      </w:r>
    </w:p>
    <w:p w:rsidR="00A44359" w:rsidRDefault="00A44359">
      <w:pPr>
        <w:spacing w:line="360" w:lineRule="auto"/>
        <w:ind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w:t>
      </w:r>
      <w:r>
        <w:rPr>
          <w:rFonts w:ascii="Palatino Linotype" w:eastAsia="Palatino Linotype" w:hAnsi="Palatino Linotype" w:cs="Palatino Linotype"/>
        </w:rPr>
        <w:lastRenderedPageBreak/>
        <w:t>personas es irrelevante, ya que tener uno u otro no influye en el mejor o menor desempeño de un cargo público.</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0138CF" w:rsidRDefault="000138CF">
      <w:pPr>
        <w:pBdr>
          <w:top w:val="nil"/>
          <w:left w:val="nil"/>
          <w:bottom w:val="nil"/>
          <w:right w:val="nil"/>
          <w:between w:val="nil"/>
        </w:pBdr>
        <w:ind w:left="720" w:right="-787"/>
        <w:rPr>
          <w:rFonts w:ascii="Palatino Linotype" w:eastAsia="Palatino Linotype" w:hAnsi="Palatino Linotype" w:cs="Palatino Linotype"/>
          <w:color w:val="000000"/>
        </w:rPr>
      </w:pPr>
    </w:p>
    <w:p w:rsidR="000138CF" w:rsidRDefault="00B95C1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Teléfono y celular particular.</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0138CF" w:rsidRDefault="000138CF">
      <w:pPr>
        <w:pBdr>
          <w:top w:val="nil"/>
          <w:left w:val="nil"/>
          <w:bottom w:val="nil"/>
          <w:right w:val="nil"/>
          <w:between w:val="nil"/>
        </w:pBdr>
        <w:ind w:left="720" w:right="-787"/>
        <w:rPr>
          <w:rFonts w:ascii="Palatino Linotype" w:eastAsia="Palatino Linotype" w:hAnsi="Palatino Linotype" w:cs="Palatino Linotype"/>
          <w:color w:val="000000"/>
        </w:rPr>
      </w:pPr>
    </w:p>
    <w:p w:rsidR="000138CF" w:rsidRDefault="00B95C14">
      <w:pPr>
        <w:numPr>
          <w:ilvl w:val="0"/>
          <w:numId w:val="8"/>
        </w:num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Correo electrónico particular.</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 por lo que, corresponde a un dato personal que actualiza la causal de clasificación establecida en el </w:t>
      </w:r>
      <w:r>
        <w:rPr>
          <w:rFonts w:ascii="Palatino Linotype" w:eastAsia="Palatino Linotype" w:hAnsi="Palatino Linotype" w:cs="Palatino Linotype"/>
        </w:rPr>
        <w:lastRenderedPageBreak/>
        <w:t>artículo 143, fracción I de la Ley de Transparencia y Acceso a la Información Pública del Estado de México y Municipios.</w:t>
      </w:r>
    </w:p>
    <w:p w:rsidR="000138CF" w:rsidRDefault="000138CF">
      <w:pPr>
        <w:ind w:right="-787"/>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 Por otro lado, se debe de señalar que para la respuesta inicial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no entregó el Acta del Comité de Transparencia, situación por la cual se analizan los motivos por los cuales la misma debe de ser entregada. </w:t>
      </w:r>
    </w:p>
    <w:p w:rsidR="000138CF" w:rsidRDefault="000138C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esa línea se determina que de acuerdo con  la Ley de Transparencia y Acceso a la Información Pública del Estado de México y Municipios, regula lo siguiente en cuanto a la clasificación de la información. </w:t>
      </w:r>
    </w:p>
    <w:p w:rsidR="000138CF" w:rsidRDefault="00B95C14">
      <w:pPr>
        <w:ind w:left="1134" w:right="-78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49. Los Comités de Transparencia tendrán las siguientes atribuciones: </w:t>
      </w:r>
    </w:p>
    <w:p w:rsidR="000138CF" w:rsidRDefault="00B95C14">
      <w:pPr>
        <w:numPr>
          <w:ilvl w:val="0"/>
          <w:numId w:val="5"/>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Instituir, coordinar y supervisar en términos de las disposiciones aplicables, las acciones, medidas y procedimientos que coadyuven a asegurar una mayor eficacia en la gestión y atención de las solicitudes en materia de acceso a la información;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Confirmar, modificar o revocar las determinaciones que en materia de ampliación del plazo de respuesta, clasificación de la información y declaración de inexistencia o de incompetencia realicen los titulares de las áreas de los sujetos obligados;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Establecer políticas para facilitar la obtención y entrega de información en las solicitudes que permita el adecuado ejercicio del derecho de acceso a la información;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Promover la capacitación y actualización de los servidores públicos o integrantes adscritos a las unidades de transparencia;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Establecer programas de capacitación en materia de transparencia, acceso a la información, accesibilidad y protección de datos personales, para todos los servidores públicos o integrantes del sujeto obligado;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Solicitar y autorizar la ampliación del plazo de reserva de la información a que se refiere esta Ley;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VIII. Aprobar, modificar o revocar la clasificación de la información</w:t>
      </w:r>
      <w:r>
        <w:rPr>
          <w:rFonts w:ascii="Calibri" w:eastAsia="Calibri" w:hAnsi="Calibri" w:cs="Calibri"/>
          <w:b/>
          <w:bCs/>
          <w:i/>
          <w:iCs/>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Supervisar la aplicación de los lineamientos en materia de acceso a la información pública para el manejo, mantenimiento y seguridad de los datos personales, así como de los criterios de clasificación expedidos por el Instituto;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Elaborar un programa para facilitar la sistematización y actualización de la información, mismo que deberá remitirse al Instituto dentro de los primeros veinte días de cada año;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Recabar y enviar al Instituto, de conformidad con los lineamientos que éste expida, los datos necesarios para la elaboración del informe anual;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Emitir las resoluciones que correspondan para la atención de las solicitudes de información;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XIII. Dictaminar las declaratorias de inexistencia de la información que les remitan las unidades administrativas y resolver en consecuencia;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XIV. Supervisar el registro y actualización de las solicitudes de acceso a la información, así como sus trámites, costos y resultados;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 Fomentar la cultura de transparencia;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 Supervisar el cumplimiento de criterios y lineamientos en materia de información clasificada;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XVII. Vigilar el cumplimiento de las resoluciones y recomendaciones que emita el Instituto; y </w:t>
      </w:r>
    </w:p>
    <w:p w:rsidR="000138CF" w:rsidRDefault="00B95C14">
      <w:pPr>
        <w:pBdr>
          <w:top w:val="nil"/>
          <w:left w:val="nil"/>
          <w:bottom w:val="nil"/>
          <w:right w:val="nil"/>
          <w:between w:val="nil"/>
        </w:pBdr>
        <w:ind w:left="1134" w:right="-787"/>
        <w:jc w:val="both"/>
        <w:rPr>
          <w:rFonts w:ascii="Calibri" w:eastAsia="Calibri" w:hAnsi="Calibri" w:cs="Calibri"/>
          <w:color w:val="000000"/>
        </w:rPr>
      </w:pPr>
      <w:r>
        <w:rPr>
          <w:rFonts w:ascii="Palatino Linotype" w:eastAsia="Palatino Linotype" w:hAnsi="Palatino Linotype" w:cs="Palatino Linotype"/>
          <w:i/>
          <w:iCs/>
          <w:color w:val="000000"/>
        </w:rPr>
        <w:t>XVIII. Las demás que se desprendan de la presente Ley y las disposiciones jurídicas aplicables, que faciliten el acceso a la información.</w:t>
      </w:r>
      <w:r>
        <w:rPr>
          <w:rFonts w:ascii="Calibri" w:eastAsia="Calibri" w:hAnsi="Calibri" w:cs="Calibri"/>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53.</w:t>
      </w:r>
      <w:r>
        <w:rPr>
          <w:rFonts w:ascii="Palatino Linotype" w:eastAsia="Palatino Linotype" w:hAnsi="Palatino Linotype" w:cs="Palatino Linotype"/>
          <w:i/>
          <w:iCs/>
          <w:color w:val="000000"/>
        </w:rPr>
        <w:t xml:space="preserve"> Las Unidades de Transparencia tendrán las siguientes funciones: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0138CF" w:rsidRDefault="00B95C14">
      <w:pPr>
        <w:pBdr>
          <w:top w:val="nil"/>
          <w:left w:val="nil"/>
          <w:bottom w:val="nil"/>
          <w:right w:val="nil"/>
          <w:between w:val="nil"/>
        </w:pBdr>
        <w:ind w:left="1134" w:right="-787"/>
        <w:jc w:val="both"/>
        <w:rPr>
          <w:rFonts w:ascii="Calibri" w:eastAsia="Calibri" w:hAnsi="Calibri" w:cs="Calibri"/>
          <w:color w:val="000000"/>
        </w:rPr>
      </w:pPr>
      <w:r>
        <w:rPr>
          <w:rFonts w:ascii="Palatino Linotype" w:eastAsia="Palatino Linotype" w:hAnsi="Palatino Linotype" w:cs="Palatino Linotype"/>
          <w:i/>
          <w:iCs/>
          <w:color w:val="000000"/>
        </w:rPr>
        <w:t>II. Recibir, tramitar y dar respuesta a las solicitudes de acceso a la información;</w:t>
      </w:r>
      <w:r>
        <w:rPr>
          <w:rFonts w:ascii="Calibri" w:eastAsia="Calibri" w:hAnsi="Calibri" w:cs="Calibri"/>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Realizar, con efectividad, los trámites internos necesarios para la atención de las solicitudes de acceso a la información;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Entregar, en su caso, a los particulares la información solicitada;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Efectuar las notificaciones a los solicitantes;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VII. Proponer al Comité de Transparencia, los procedimientos internos que aseguren la mayor eficiencia en la gestión de las solicitudes de acceso a la información, conforme a la normatividad aplicable;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X. Presentar ante el Comité, el proyecto de clasificación de información;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Promover e implementar políticas de transparencia proactiva procurando su accesibilidad;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XII. Fomentar la transparencia y accesibilidad al interior del sujeto obligado;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r>
        <w:rPr>
          <w:rFonts w:ascii="Calibri" w:eastAsia="Calibri" w:hAnsi="Calibri" w:cs="Calibri"/>
          <w:color w:val="000000"/>
        </w:rPr>
        <w:t xml:space="preserve"> </w:t>
      </w:r>
    </w:p>
    <w:p w:rsidR="000138CF" w:rsidRDefault="00B95C14">
      <w:pPr>
        <w:pBdr>
          <w:top w:val="nil"/>
          <w:left w:val="nil"/>
          <w:bottom w:val="nil"/>
          <w:right w:val="nil"/>
          <w:between w:val="nil"/>
        </w:pBdr>
        <w:ind w:left="1134" w:right="-787"/>
        <w:jc w:val="both"/>
        <w:rPr>
          <w:rFonts w:ascii="Calibri" w:eastAsia="Calibri" w:hAnsi="Calibri" w:cs="Calibri"/>
          <w:color w:val="000000"/>
        </w:rPr>
      </w:pPr>
      <w:r>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w:t>
      </w:r>
      <w:r>
        <w:rPr>
          <w:rFonts w:ascii="Calibri" w:eastAsia="Calibri" w:hAnsi="Calibri" w:cs="Calibri"/>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59.</w:t>
      </w:r>
      <w:r>
        <w:rPr>
          <w:rFonts w:ascii="Palatino Linotype" w:eastAsia="Palatino Linotype" w:hAnsi="Palatino Linotype" w:cs="Palatino Linotype"/>
          <w:i/>
          <w:iCs/>
          <w:color w:val="000000"/>
        </w:rPr>
        <w:t xml:space="preserve"> Los servidores públicos habilitados tendrán las funciones siguientes: </w:t>
      </w:r>
    </w:p>
    <w:p w:rsidR="000138CF" w:rsidRDefault="00B95C14">
      <w:pPr>
        <w:numPr>
          <w:ilvl w:val="0"/>
          <w:numId w:val="6"/>
        </w:numPr>
        <w:pBdr>
          <w:top w:val="nil"/>
          <w:left w:val="nil"/>
          <w:bottom w:val="nil"/>
          <w:right w:val="nil"/>
          <w:between w:val="nil"/>
        </w:pBdr>
        <w:ind w:left="1134"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Localizar la información que le solicite la Unidad de Transparencia;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Proporcionar la información que obre en los archivos y que le sea solicitada por la Unidad de Transparencia;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Apoyar a la Unidad de Transparencia en lo que esta le solicite para el cumplimiento de sus funciones;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Proporcionar a la Unidad de Transparencia, las modificaciones a la información pública de oficio que obre en su poder;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 Integrar y presentar al responsable de la Unidad de Transparencia la propuesta de clasificación de información, la cual tendrá los fundamentos y argumentos en que se basa dicha propuesta;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Verificar, una vez analizado el contenido de la información, que no se encuentre en los supuestos de información clasificada; y </w:t>
      </w:r>
    </w:p>
    <w:p w:rsidR="000138CF" w:rsidRDefault="00B95C14">
      <w:pPr>
        <w:pBdr>
          <w:top w:val="nil"/>
          <w:left w:val="nil"/>
          <w:bottom w:val="nil"/>
          <w:right w:val="nil"/>
          <w:between w:val="nil"/>
        </w:pBdr>
        <w:ind w:left="1134" w:right="-787"/>
        <w:jc w:val="both"/>
        <w:rPr>
          <w:rFonts w:ascii="Calibri" w:eastAsia="Calibri" w:hAnsi="Calibri" w:cs="Calibri"/>
          <w:color w:val="000000"/>
        </w:rPr>
      </w:pPr>
      <w:r>
        <w:rPr>
          <w:rFonts w:ascii="Palatino Linotype" w:eastAsia="Palatino Linotype" w:hAnsi="Palatino Linotype" w:cs="Palatino Linotype"/>
          <w:i/>
          <w:iCs/>
          <w:color w:val="000000"/>
        </w:rPr>
        <w:t>VII. Dar cuenta a la Unidad de Transparencia del vencimiento de los plazos de reserva.</w:t>
      </w:r>
      <w:r>
        <w:rPr>
          <w:rFonts w:ascii="Calibri" w:eastAsia="Calibri" w:hAnsi="Calibri" w:cs="Calibri"/>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122. La clasificación es el proceso mediante el cual el sujeto obligado determina que la información en su poder actualiza alguno de los supuestos de reserva o confidencialidad, de conformidad con lo dispuesto en el presente título</w:t>
      </w:r>
      <w:r>
        <w:rPr>
          <w:rFonts w:ascii="Palatino Linotype" w:eastAsia="Palatino Linotype" w:hAnsi="Palatino Linotype" w:cs="Palatino Linotype"/>
          <w:i/>
          <w:iCs/>
          <w:color w:val="000000"/>
        </w:rPr>
        <w:t xml:space="preserve">.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supuestos de reserva o confidencialidad previstos en las leyes deberán ser acordes con las bases, principios y disposiciones establecidos en la Ley General y, en ningún caso, podrán contravenirla. </w:t>
      </w:r>
    </w:p>
    <w:p w:rsidR="000138CF" w:rsidRDefault="00B95C14">
      <w:pPr>
        <w:pBdr>
          <w:top w:val="nil"/>
          <w:left w:val="nil"/>
          <w:bottom w:val="nil"/>
          <w:right w:val="nil"/>
          <w:between w:val="nil"/>
        </w:pBdr>
        <w:ind w:left="1134"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Los titulares de las áreas de los sujetos obligados serán los responsables de clasificar la información, de conformidad con lo dispuesto en la presente Ley y demás disposiciones jurídicas aplicables.</w:t>
      </w:r>
    </w:p>
    <w:p w:rsidR="000138CF" w:rsidRDefault="000138CF">
      <w:pPr>
        <w:pBdr>
          <w:top w:val="nil"/>
          <w:left w:val="nil"/>
          <w:bottom w:val="nil"/>
          <w:right w:val="nil"/>
          <w:between w:val="nil"/>
        </w:pBdr>
        <w:ind w:right="-787"/>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 los artículos citados anteriormente, se colige que los Comités de Transparencia, las  Unidades de Transparencia y los Servidores Públicos Habilitados tiene la función de clasificar la información que obre en sus archivos ya sea de manera confidencial o reservada para velar y resguardar los datos que se consideré necesario hacerlo por su naturaleza como este caso es los datos que fueron los oficios y anexos entregados en respuesta inicial, mismo que tendrá su sustento y fundamentación en el Acta que emita el Comité de Transparencia. </w:t>
      </w:r>
    </w:p>
    <w:p w:rsidR="000138CF" w:rsidRDefault="000138CF">
      <w:pPr>
        <w:pBdr>
          <w:top w:val="nil"/>
          <w:left w:val="nil"/>
          <w:bottom w:val="nil"/>
          <w:right w:val="nil"/>
          <w:between w:val="nil"/>
        </w:pBdr>
        <w:tabs>
          <w:tab w:val="left" w:pos="0"/>
        </w:tabs>
        <w:spacing w:line="360" w:lineRule="auto"/>
        <w:ind w:right="-787"/>
        <w:jc w:val="both"/>
      </w:pPr>
    </w:p>
    <w:p w:rsidR="000138CF" w:rsidRDefault="00B95C14">
      <w:pPr>
        <w:spacing w:line="360" w:lineRule="auto"/>
        <w:ind w:right="-787"/>
        <w:jc w:val="both"/>
        <w:rPr>
          <w:rFonts w:ascii="Palatino Linotype" w:eastAsia="Palatino Linotype" w:hAnsi="Palatino Linotype" w:cs="Palatino Linotype"/>
        </w:rPr>
      </w:pPr>
      <w:bookmarkStart w:id="13" w:name="_heading=h.f4o79wh9njh3" w:colFirst="0" w:colLast="0"/>
      <w:bookmarkEnd w:id="13"/>
      <w:r>
        <w:rPr>
          <w:rFonts w:ascii="Palatino Linotype" w:eastAsia="Palatino Linotype" w:hAnsi="Palatino Linotype" w:cs="Palatino Linotype"/>
          <w:b/>
          <w:bCs/>
        </w:rPr>
        <w:t>QUINTO. De la versión pública.</w:t>
      </w:r>
    </w:p>
    <w:p w:rsidR="000138CF" w:rsidRDefault="00B95C14">
      <w:pPr>
        <w:pStyle w:val="Ttulo1"/>
        <w:numPr>
          <w:ilvl w:val="0"/>
          <w:numId w:val="4"/>
        </w:numPr>
        <w:tabs>
          <w:tab w:val="left" w:pos="284"/>
        </w:tabs>
        <w:spacing w:before="0" w:after="0" w:line="360" w:lineRule="auto"/>
        <w:ind w:left="0" w:right="-787" w:firstLine="0"/>
        <w:rPr>
          <w:rFonts w:ascii="Palatino Linotype" w:eastAsia="Palatino Linotype" w:hAnsi="Palatino Linotype" w:cs="Palatino Linotype"/>
          <w:b/>
          <w:bCs/>
          <w:color w:val="000000"/>
          <w:sz w:val="24"/>
          <w:szCs w:val="24"/>
        </w:rPr>
      </w:pPr>
      <w:bookmarkStart w:id="14" w:name="_heading=h.e6ira7nf24me" w:colFirst="0" w:colLast="0"/>
      <w:bookmarkEnd w:id="14"/>
      <w:r>
        <w:rPr>
          <w:rFonts w:ascii="Palatino Linotype" w:eastAsia="Palatino Linotype" w:hAnsi="Palatino Linotype" w:cs="Palatino Linotype"/>
          <w:b/>
          <w:bCs/>
          <w:color w:val="000000"/>
          <w:sz w:val="24"/>
          <w:szCs w:val="24"/>
        </w:rPr>
        <w:t xml:space="preserve">Nociones generales. </w:t>
      </w: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138CF" w:rsidRDefault="000138CF">
      <w:pPr>
        <w:pBdr>
          <w:top w:val="nil"/>
          <w:left w:val="nil"/>
          <w:bottom w:val="nil"/>
          <w:right w:val="nil"/>
          <w:between w:val="nil"/>
        </w:pBdr>
        <w:tabs>
          <w:tab w:val="left" w:pos="0"/>
          <w:tab w:val="left" w:pos="284"/>
        </w:tabs>
        <w:spacing w:line="360" w:lineRule="auto"/>
        <w:ind w:right="-787"/>
        <w:jc w:val="both"/>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 pasa desapercibido para este Órgano Garante que los </w:t>
      </w:r>
      <w:r>
        <w:rPr>
          <w:rFonts w:ascii="Palatino Linotype" w:eastAsia="Palatino Linotype" w:hAnsi="Palatino Linotype" w:cs="Palatino Linotype"/>
          <w:b/>
          <w:bCs/>
          <w:color w:val="000000"/>
        </w:rPr>
        <w:t xml:space="preserve">Sujetos Obligados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138CF" w:rsidRDefault="000138CF">
      <w:pPr>
        <w:tabs>
          <w:tab w:val="left" w:pos="284"/>
        </w:tabs>
        <w:spacing w:line="360" w:lineRule="auto"/>
        <w:ind w:right="-787"/>
        <w:jc w:val="both"/>
        <w:rPr>
          <w:rFonts w:ascii="Palatino Linotype" w:eastAsia="Palatino Linotype" w:hAnsi="Palatino Linotype" w:cs="Palatino Linotype"/>
          <w:color w:val="000000"/>
        </w:rPr>
      </w:pPr>
    </w:p>
    <w:tbl>
      <w:tblPr>
        <w:tblStyle w:val="a0"/>
        <w:tblW w:w="9375"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75"/>
        <w:gridCol w:w="6600"/>
      </w:tblGrid>
      <w:tr w:rsidR="000138CF">
        <w:tc>
          <w:tcPr>
            <w:tcW w:w="2775"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6600"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0138CF" w:rsidRDefault="00B95C14" w:rsidP="00A44359">
            <w:pPr>
              <w:spacing w:line="360" w:lineRule="auto"/>
              <w:ind w:right="-3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138CF">
        <w:tc>
          <w:tcPr>
            <w:tcW w:w="2775"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600"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138CF" w:rsidRDefault="00B95C14" w:rsidP="00A44359">
            <w:pPr>
              <w:spacing w:line="360" w:lineRule="auto"/>
              <w:ind w:right="-3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138CF">
        <w:tc>
          <w:tcPr>
            <w:tcW w:w="2775"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600"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0138CF" w:rsidRDefault="00B95C14" w:rsidP="00A44359">
            <w:pPr>
              <w:spacing w:line="360" w:lineRule="auto"/>
              <w:ind w:right="-33"/>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138CF">
        <w:tc>
          <w:tcPr>
            <w:tcW w:w="2775" w:type="dxa"/>
            <w:tcBorders>
              <w:top w:val="single" w:sz="4" w:space="0" w:color="BFBFBF"/>
              <w:left w:val="single" w:sz="4" w:space="0" w:color="BFBFBF"/>
              <w:bottom w:val="single" w:sz="4" w:space="0" w:color="BFBFBF"/>
              <w:right w:val="single" w:sz="4" w:space="0" w:color="BFBFBF"/>
            </w:tcBorders>
          </w:tcPr>
          <w:p w:rsidR="000138CF" w:rsidRDefault="000138CF" w:rsidP="00A44359">
            <w:pPr>
              <w:spacing w:line="360" w:lineRule="auto"/>
              <w:ind w:right="-33"/>
              <w:rPr>
                <w:rFonts w:ascii="Palatino Linotype" w:eastAsia="Palatino Linotype" w:hAnsi="Palatino Linotype" w:cs="Palatino Linotype"/>
              </w:rPr>
            </w:pPr>
          </w:p>
          <w:p w:rsidR="000138CF" w:rsidRDefault="00B95C14" w:rsidP="00A44359">
            <w:pPr>
              <w:spacing w:line="360" w:lineRule="auto"/>
              <w:ind w:right="-33"/>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600"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expresar los fundamentos legales que </w:t>
            </w:r>
            <w:r>
              <w:rPr>
                <w:rFonts w:ascii="Palatino Linotype" w:eastAsia="Palatino Linotype" w:hAnsi="Palatino Linotype" w:cs="Palatino Linotype"/>
                <w:color w:val="000000"/>
              </w:rPr>
              <w:lastRenderedPageBreak/>
              <w:t>le dieron origen y las razones por las que se deben aplicar al caso concreto.</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138CF">
        <w:tc>
          <w:tcPr>
            <w:tcW w:w="2775"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600" w:type="dxa"/>
            <w:tcBorders>
              <w:top w:val="single" w:sz="4" w:space="0" w:color="BFBFBF"/>
              <w:left w:val="single" w:sz="4" w:space="0" w:color="BFBFBF"/>
              <w:bottom w:val="single" w:sz="4" w:space="0" w:color="BFBFBF"/>
              <w:right w:val="single" w:sz="4" w:space="0" w:color="BFBFBF"/>
            </w:tcBorders>
          </w:tcPr>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0138CF" w:rsidRDefault="00B95C14" w:rsidP="00A44359">
            <w:pPr>
              <w:spacing w:line="360" w:lineRule="auto"/>
              <w:ind w:right="-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138CF" w:rsidRDefault="00B95C14" w:rsidP="00A44359">
            <w:pPr>
              <w:spacing w:line="360" w:lineRule="auto"/>
              <w:ind w:right="-33"/>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138CF" w:rsidRDefault="000138CF">
      <w:pPr>
        <w:pBdr>
          <w:top w:val="nil"/>
          <w:left w:val="nil"/>
          <w:bottom w:val="nil"/>
          <w:right w:val="nil"/>
          <w:between w:val="nil"/>
        </w:pBdr>
        <w:tabs>
          <w:tab w:val="left" w:pos="284"/>
        </w:tabs>
        <w:ind w:right="-787"/>
        <w:rPr>
          <w:rFonts w:ascii="Palatino Linotype" w:eastAsia="Palatino Linotype" w:hAnsi="Palatino Linotype" w:cs="Palatino Linotype"/>
        </w:rPr>
      </w:pPr>
    </w:p>
    <w:p w:rsidR="000138CF" w:rsidRDefault="000138CF">
      <w:pPr>
        <w:pBdr>
          <w:top w:val="nil"/>
          <w:left w:val="nil"/>
          <w:bottom w:val="nil"/>
          <w:right w:val="nil"/>
          <w:between w:val="nil"/>
        </w:pBdr>
        <w:tabs>
          <w:tab w:val="left" w:pos="284"/>
        </w:tabs>
        <w:ind w:right="-787"/>
        <w:rPr>
          <w:rFonts w:ascii="Palatino Linotype" w:eastAsia="Palatino Linotype" w:hAnsi="Palatino Linotype" w:cs="Palatino Linotype"/>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rsidR="000138CF" w:rsidRDefault="000138CF">
      <w:pPr>
        <w:pBdr>
          <w:top w:val="nil"/>
          <w:left w:val="nil"/>
          <w:bottom w:val="nil"/>
          <w:right w:val="nil"/>
          <w:between w:val="nil"/>
        </w:pBdr>
        <w:ind w:left="720" w:right="-787"/>
        <w:rPr>
          <w:rFonts w:ascii="Palatino Linotype" w:eastAsia="Palatino Linotype" w:hAnsi="Palatino Linotype" w:cs="Palatino Linotype"/>
          <w:color w:val="000000"/>
        </w:rPr>
      </w:pPr>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15" w:name="_heading=h.wpn27ygjtfb" w:colFirst="0" w:colLast="0"/>
      <w:bookmarkEnd w:id="15"/>
      <w:r>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lastRenderedPageBreak/>
        <w:t xml:space="preserve">dentro del recurso de revisión </w:t>
      </w:r>
      <w:r>
        <w:rPr>
          <w:rFonts w:ascii="Palatino Linotype" w:eastAsia="Palatino Linotype" w:hAnsi="Palatino Linotype" w:cs="Palatino Linotype"/>
          <w:b/>
          <w:bCs/>
        </w:rPr>
        <w:t>03043/INFOEM/IP/RR/2026</w:t>
      </w:r>
      <w:r>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rPr>
        <w:t xml:space="preserve">REVOCA </w:t>
      </w:r>
      <w:r>
        <w:rPr>
          <w:rFonts w:ascii="Palatino Linotype" w:eastAsia="Palatino Linotype" w:hAnsi="Palatino Linotype" w:cs="Palatino Linotype"/>
        </w:rPr>
        <w:t>la respuesta a la solicitud de información</w:t>
      </w:r>
      <w:r>
        <w:rPr>
          <w:rFonts w:ascii="Palatino Linotype" w:eastAsia="Palatino Linotype" w:hAnsi="Palatino Linotype" w:cs="Palatino Linotype"/>
          <w:b/>
          <w:bCs/>
        </w:rPr>
        <w:t xml:space="preserve"> 00018/TIANGUIS/IP/2026</w:t>
      </w:r>
      <w:r>
        <w:rPr>
          <w:rFonts w:ascii="Palatino Linotype" w:eastAsia="Palatino Linotype" w:hAnsi="Palatino Linotype" w:cs="Palatino Linotype"/>
        </w:rPr>
        <w:t>.</w:t>
      </w:r>
    </w:p>
    <w:p w:rsidR="000138CF" w:rsidRDefault="000138CF">
      <w:pPr>
        <w:pBdr>
          <w:top w:val="nil"/>
          <w:left w:val="nil"/>
          <w:bottom w:val="nil"/>
          <w:right w:val="nil"/>
          <w:between w:val="nil"/>
        </w:pBdr>
        <w:ind w:left="720" w:right="-787"/>
        <w:rPr>
          <w:rFonts w:ascii="Palatino Linotype" w:eastAsia="Palatino Linotype" w:hAnsi="Palatino Linotype" w:cs="Palatino Linotype"/>
          <w:color w:val="000000"/>
        </w:rPr>
      </w:pPr>
      <w:bookmarkStart w:id="16" w:name="_heading=h.lnxbz9" w:colFirst="0" w:colLast="0"/>
      <w:bookmarkEnd w:id="16"/>
    </w:p>
    <w:p w:rsidR="000138CF" w:rsidRDefault="00B95C14">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anteriormente expuesto y fundado,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w:t>
      </w:r>
    </w:p>
    <w:p w:rsidR="000138CF" w:rsidRDefault="000138CF">
      <w:pPr>
        <w:pBdr>
          <w:top w:val="nil"/>
          <w:left w:val="nil"/>
          <w:bottom w:val="nil"/>
          <w:right w:val="nil"/>
          <w:between w:val="nil"/>
        </w:pBdr>
        <w:ind w:left="720" w:right="-787"/>
        <w:rPr>
          <w:rFonts w:ascii="Palatino Linotype" w:eastAsia="Palatino Linotype" w:hAnsi="Palatino Linotype" w:cs="Palatino Linotype"/>
          <w:color w:val="000000"/>
        </w:rPr>
      </w:pPr>
    </w:p>
    <w:p w:rsidR="000138CF" w:rsidRDefault="00B95C14">
      <w:pPr>
        <w:pStyle w:val="Ttulo1"/>
        <w:spacing w:before="0" w:line="360" w:lineRule="auto"/>
        <w:ind w:right="-78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0138CF" w:rsidRDefault="000138CF">
      <w:pPr>
        <w:spacing w:line="360" w:lineRule="auto"/>
        <w:ind w:right="-787"/>
        <w:rPr>
          <w:rFonts w:ascii="Palatino Linotype" w:eastAsia="Palatino Linotype" w:hAnsi="Palatino Linotype" w:cs="Palatino Linotype"/>
        </w:rPr>
      </w:pPr>
    </w:p>
    <w:p w:rsidR="000138CF" w:rsidRDefault="00B95C1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 xml:space="preserve">03043/INFOEM/IP/RR/2026, </w:t>
      </w:r>
      <w:r>
        <w:rPr>
          <w:rFonts w:ascii="Palatino Linotype" w:eastAsia="Palatino Linotype" w:hAnsi="Palatino Linotype" w:cs="Palatino Linotype"/>
        </w:rPr>
        <w:t xml:space="preserve">en términos de los 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rsidR="000138CF" w:rsidRDefault="000138CF">
      <w:pPr>
        <w:spacing w:line="360" w:lineRule="auto"/>
        <w:ind w:right="-787"/>
        <w:jc w:val="both"/>
        <w:rPr>
          <w:rFonts w:ascii="Palatino Linotype" w:eastAsia="Palatino Linotype" w:hAnsi="Palatino Linotype" w:cs="Palatino Linotype"/>
        </w:rPr>
      </w:pPr>
    </w:p>
    <w:p w:rsidR="000138CF" w:rsidRDefault="00B95C14">
      <w:pPr>
        <w:spacing w:line="360" w:lineRule="auto"/>
        <w:ind w:right="-787"/>
        <w:jc w:val="both"/>
        <w:rPr>
          <w:rFonts w:ascii="Palatino Linotype" w:eastAsia="Palatino Linotype" w:hAnsi="Palatino Linotype" w:cs="Palatino Linotype"/>
          <w:color w:val="000000"/>
        </w:rPr>
      </w:pPr>
      <w:bookmarkStart w:id="17" w:name="_heading=h.fslc99i1zfog" w:colFirst="0" w:colLast="0"/>
      <w:bookmarkEnd w:id="17"/>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Tianguistenco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w:t>
      </w:r>
      <w:r>
        <w:rPr>
          <w:rFonts w:ascii="Palatino Linotype" w:eastAsia="Palatino Linotype" w:hAnsi="Palatino Linotype" w:cs="Palatino Linotype"/>
          <w:b/>
          <w:bCs/>
          <w:color w:val="000000"/>
        </w:rPr>
        <w:t xml:space="preserve">vía SAIMEX </w:t>
      </w:r>
      <w:r>
        <w:rPr>
          <w:rFonts w:ascii="Palatino Linotype" w:eastAsia="Palatino Linotype" w:hAnsi="Palatino Linotype" w:cs="Palatino Linotype"/>
          <w:color w:val="000000"/>
        </w:rPr>
        <w:t xml:space="preserve">la siguiente información. </w:t>
      </w:r>
    </w:p>
    <w:p w:rsidR="000249EF" w:rsidRDefault="000249EF">
      <w:pPr>
        <w:spacing w:line="360" w:lineRule="auto"/>
        <w:ind w:right="-787"/>
        <w:jc w:val="both"/>
        <w:rPr>
          <w:rFonts w:ascii="Palatino Linotype" w:eastAsia="Palatino Linotype" w:hAnsi="Palatino Linotype" w:cs="Palatino Linotype"/>
          <w:color w:val="000000"/>
        </w:rPr>
      </w:pPr>
    </w:p>
    <w:p w:rsidR="000138CF" w:rsidRDefault="00B95C14">
      <w:pPr>
        <w:numPr>
          <w:ilvl w:val="0"/>
          <w:numId w:val="7"/>
        </w:numPr>
        <w:pBdr>
          <w:top w:val="nil"/>
          <w:left w:val="nil"/>
          <w:bottom w:val="nil"/>
          <w:right w:val="nil"/>
          <w:between w:val="nil"/>
        </w:pBdr>
        <w:spacing w:line="360" w:lineRule="auto"/>
        <w:ind w:left="1134" w:right="-787" w:firstLine="0"/>
        <w:jc w:val="both"/>
        <w:rPr>
          <w:rFonts w:ascii="Palatino Linotype" w:eastAsia="Palatino Linotype" w:hAnsi="Palatino Linotype" w:cs="Palatino Linotype"/>
          <w:b/>
          <w:bCs/>
          <w:color w:val="000000"/>
        </w:rPr>
      </w:pPr>
      <w:r w:rsidRPr="00326BB5">
        <w:rPr>
          <w:rFonts w:ascii="Palatino Linotype" w:eastAsia="Palatino Linotype" w:hAnsi="Palatino Linotype" w:cs="Palatino Linotype"/>
          <w:b/>
          <w:bCs/>
          <w:color w:val="000000"/>
        </w:rPr>
        <w:t>Oficios</w:t>
      </w:r>
      <w:r w:rsidR="00F472B2" w:rsidRPr="00326BB5">
        <w:rPr>
          <w:rFonts w:ascii="Palatino Linotype" w:eastAsia="Palatino Linotype" w:hAnsi="Palatino Linotype" w:cs="Palatino Linotype"/>
          <w:b/>
          <w:bCs/>
          <w:color w:val="000000"/>
        </w:rPr>
        <w:t xml:space="preserve"> generados</w:t>
      </w:r>
      <w:r w:rsidRPr="00326BB5">
        <w:rPr>
          <w:rFonts w:ascii="Palatino Linotype" w:eastAsia="Palatino Linotype" w:hAnsi="Palatino Linotype" w:cs="Palatino Linotype"/>
          <w:b/>
          <w:bCs/>
          <w:color w:val="000000"/>
        </w:rPr>
        <w:t xml:space="preserve"> faltantes</w:t>
      </w:r>
      <w:r>
        <w:rPr>
          <w:rFonts w:ascii="Palatino Linotype" w:eastAsia="Palatino Linotype" w:hAnsi="Palatino Linotype" w:cs="Palatino Linotype"/>
          <w:b/>
          <w:bCs/>
          <w:color w:val="000000"/>
        </w:rPr>
        <w:t xml:space="preserve"> de los meses de octubre y noviembre  de dos mil veinticinco, de la Directora de Medio Ambiente y Desarrollo Sustentable; y </w:t>
      </w:r>
    </w:p>
    <w:p w:rsidR="000138CF" w:rsidRDefault="00B95C14">
      <w:pPr>
        <w:numPr>
          <w:ilvl w:val="0"/>
          <w:numId w:val="7"/>
        </w:numPr>
        <w:pBdr>
          <w:top w:val="nil"/>
          <w:left w:val="nil"/>
          <w:bottom w:val="nil"/>
          <w:right w:val="nil"/>
          <w:between w:val="nil"/>
        </w:pBdr>
        <w:spacing w:line="360" w:lineRule="auto"/>
        <w:ind w:left="1134"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Oficios generados en los meses de octubre y noviembre de dos </w:t>
      </w:r>
      <w:r>
        <w:rPr>
          <w:rFonts w:ascii="Palatino Linotype" w:eastAsia="Palatino Linotype" w:hAnsi="Palatino Linotype" w:cs="Palatino Linotype"/>
          <w:b/>
          <w:bCs/>
        </w:rPr>
        <w:t>mil veinticinco</w:t>
      </w:r>
      <w:r>
        <w:rPr>
          <w:rFonts w:ascii="Palatino Linotype" w:eastAsia="Palatino Linotype" w:hAnsi="Palatino Linotype" w:cs="Palatino Linotype"/>
          <w:b/>
          <w:bCs/>
          <w:color w:val="000000"/>
        </w:rPr>
        <w:t xml:space="preserve"> por el Director de Desarrollo Económico. </w:t>
      </w:r>
    </w:p>
    <w:p w:rsidR="000138CF" w:rsidRDefault="000138CF">
      <w:pPr>
        <w:pBdr>
          <w:top w:val="nil"/>
          <w:left w:val="nil"/>
          <w:bottom w:val="nil"/>
          <w:right w:val="nil"/>
          <w:between w:val="nil"/>
        </w:pBdr>
        <w:spacing w:line="360" w:lineRule="auto"/>
        <w:ind w:right="-787"/>
        <w:jc w:val="both"/>
        <w:rPr>
          <w:rFonts w:ascii="Palatino Linotype" w:eastAsia="Palatino Linotype" w:hAnsi="Palatino Linotype" w:cs="Palatino Linotype"/>
          <w:b/>
          <w:bCs/>
        </w:rPr>
      </w:pPr>
    </w:p>
    <w:p w:rsidR="000138CF" w:rsidRDefault="00B95C14">
      <w:pPr>
        <w:tabs>
          <w:tab w:val="left" w:pos="808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w:t>
      </w:r>
      <w:r>
        <w:rPr>
          <w:rFonts w:ascii="Palatino Linotype" w:eastAsia="Palatino Linotype" w:hAnsi="Palatino Linotype" w:cs="Palatino Linotype"/>
        </w:rPr>
        <w:lastRenderedPageBreak/>
        <w:t xml:space="preserve">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rPr>
        <w:t>RECURRENTE</w:t>
      </w:r>
      <w:r>
        <w:rPr>
          <w:rFonts w:ascii="Palatino Linotype" w:eastAsia="Palatino Linotype" w:hAnsi="Palatino Linotype" w:cs="Palatino Linotype"/>
        </w:rPr>
        <w:t>.</w:t>
      </w:r>
    </w:p>
    <w:p w:rsidR="000138CF" w:rsidRDefault="000138CF">
      <w:pPr>
        <w:tabs>
          <w:tab w:val="left" w:pos="8080"/>
        </w:tabs>
        <w:spacing w:line="360" w:lineRule="auto"/>
        <w:ind w:right="-787"/>
        <w:jc w:val="both"/>
        <w:rPr>
          <w:rFonts w:ascii="Palatino Linotype" w:eastAsia="Palatino Linotype" w:hAnsi="Palatino Linotype" w:cs="Palatino Linotype"/>
        </w:rPr>
      </w:pPr>
    </w:p>
    <w:p w:rsidR="000138CF" w:rsidRDefault="00B95C14">
      <w:pPr>
        <w:tabs>
          <w:tab w:val="left" w:pos="808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rPr>
        <w:t xml:space="preserve">De ser el caso que de los oficios faltantes se hubieran cancelado folios o no se hubieran generado,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hacerlo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 acuerdo con el artículo 19 párrafo segundo de la Ley de Transparencia y Acceso a la Información Pública del Estado de México y Municipios. </w:t>
      </w:r>
    </w:p>
    <w:p w:rsidR="000138CF" w:rsidRDefault="000138CF">
      <w:pPr>
        <w:tabs>
          <w:tab w:val="left" w:pos="8080"/>
        </w:tabs>
        <w:spacing w:line="360" w:lineRule="auto"/>
        <w:ind w:right="-787"/>
        <w:jc w:val="both"/>
        <w:rPr>
          <w:rFonts w:ascii="Palatino Linotype" w:eastAsia="Palatino Linotype" w:hAnsi="Palatino Linotype" w:cs="Palatino Linotype"/>
        </w:rPr>
      </w:pPr>
      <w:bookmarkStart w:id="18" w:name="_heading=h.44sinio" w:colFirst="0" w:colLast="0"/>
      <w:bookmarkEnd w:id="18"/>
    </w:p>
    <w:p w:rsidR="000138CF" w:rsidRDefault="00B95C14">
      <w:pPr>
        <w:tabs>
          <w:tab w:val="left" w:pos="8080"/>
        </w:tabs>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b/>
          <w:bCs/>
          <w:color w:val="222222"/>
        </w:rPr>
        <w:t>vía SAIMEX</w:t>
      </w:r>
      <w:r>
        <w:rPr>
          <w:rFonts w:ascii="Palatino Linotype" w:eastAsia="Palatino Linotype" w:hAnsi="Palatino Linotype" w:cs="Palatino Linotype"/>
          <w:color w:val="2222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1E2A2D">
        <w:rPr>
          <w:rFonts w:ascii="Palatino Linotype" w:eastAsia="Palatino Linotype" w:hAnsi="Palatino Linotype" w:cs="Palatino Linotype"/>
          <w:b/>
          <w:color w:val="222222"/>
        </w:rPr>
        <w:t>dé cumplimiento a lo ordenado dentro del plazo de diez días hábiles</w:t>
      </w:r>
      <w:r>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Pr>
          <w:rFonts w:ascii="Palatino Linotype" w:eastAsia="Palatino Linotype" w:hAnsi="Palatino Linotype" w:cs="Palatino Linotype"/>
        </w:rPr>
        <w:t>.</w:t>
      </w:r>
    </w:p>
    <w:p w:rsidR="000138CF" w:rsidRDefault="000138CF">
      <w:pPr>
        <w:tabs>
          <w:tab w:val="left" w:pos="8080"/>
        </w:tabs>
        <w:spacing w:line="360" w:lineRule="auto"/>
        <w:ind w:right="-787"/>
        <w:jc w:val="both"/>
        <w:rPr>
          <w:rFonts w:ascii="Palatino Linotype" w:eastAsia="Palatino Linotype" w:hAnsi="Palatino Linotype" w:cs="Palatino Linotype"/>
        </w:rPr>
      </w:pPr>
    </w:p>
    <w:p w:rsidR="000138CF" w:rsidRDefault="00B95C1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0138CF" w:rsidRDefault="00B95C14">
      <w:pPr>
        <w:tabs>
          <w:tab w:val="left" w:pos="8080"/>
        </w:tabs>
        <w:spacing w:line="360" w:lineRule="auto"/>
        <w:ind w:right="-787"/>
        <w:jc w:val="both"/>
        <w:rPr>
          <w:rFonts w:ascii="Palatino Linotype" w:eastAsia="Palatino Linotype" w:hAnsi="Palatino Linotype" w:cs="Palatino Linotype"/>
        </w:rPr>
      </w:pPr>
      <w:bookmarkStart w:id="19" w:name="_heading=h.2jxsxqh" w:colFirst="0" w:colLast="0"/>
      <w:bookmarkEnd w:id="19"/>
      <w:r>
        <w:rPr>
          <w:rFonts w:ascii="Palatino Linotype" w:eastAsia="Palatino Linotype" w:hAnsi="Palatino Linotype" w:cs="Palatino Linotype"/>
          <w:b/>
          <w:bCs/>
        </w:rPr>
        <w:lastRenderedPageBreak/>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0138CF" w:rsidRDefault="000138CF">
      <w:pPr>
        <w:tabs>
          <w:tab w:val="left" w:pos="8080"/>
        </w:tabs>
        <w:spacing w:line="360" w:lineRule="auto"/>
        <w:ind w:right="-787"/>
        <w:jc w:val="both"/>
        <w:rPr>
          <w:rFonts w:ascii="Palatino Linotype" w:eastAsia="Palatino Linotype" w:hAnsi="Palatino Linotype" w:cs="Palatino Linotype"/>
        </w:rPr>
      </w:pPr>
    </w:p>
    <w:p w:rsidR="000138CF" w:rsidRDefault="00B95C14">
      <w:pPr>
        <w:shd w:val="clear" w:color="auto" w:fill="FFFFFF"/>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 xml:space="preserve">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138CF" w:rsidRDefault="000138CF">
      <w:pPr>
        <w:spacing w:line="360" w:lineRule="auto"/>
        <w:ind w:right="-787"/>
        <w:jc w:val="both"/>
        <w:rPr>
          <w:rFonts w:ascii="Palatino Linotype" w:eastAsia="Palatino Linotype" w:hAnsi="Palatino Linotype" w:cs="Palatino Linotype"/>
        </w:rPr>
      </w:pPr>
    </w:p>
    <w:p w:rsidR="001E2A2D" w:rsidRPr="003E2295" w:rsidRDefault="001E2A2D" w:rsidP="001E2A2D">
      <w:pPr>
        <w:spacing w:before="240" w:after="240" w:line="360" w:lineRule="auto"/>
        <w:ind w:right="-801" w:firstLine="1"/>
        <w:jc w:val="both"/>
        <w:rPr>
          <w:rFonts w:ascii="Palatino Linotype" w:hAnsi="Palatino Linotype"/>
        </w:rPr>
      </w:pPr>
      <w:bookmarkStart w:id="2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20"/>
    <w:p w:rsidR="000138CF" w:rsidRDefault="000138CF" w:rsidP="001E2A2D">
      <w:pPr>
        <w:spacing w:line="360" w:lineRule="auto"/>
        <w:ind w:right="-801"/>
        <w:jc w:val="both"/>
        <w:rPr>
          <w:rFonts w:ascii="Palatino Linotype" w:eastAsia="Palatino Linotype" w:hAnsi="Palatino Linotype" w:cs="Palatino Linotype"/>
        </w:rPr>
      </w:pPr>
    </w:p>
    <w:p w:rsidR="000138CF" w:rsidRDefault="000138CF" w:rsidP="001E2A2D">
      <w:pPr>
        <w:spacing w:line="360" w:lineRule="auto"/>
        <w:ind w:right="-801"/>
        <w:jc w:val="both"/>
        <w:rPr>
          <w:rFonts w:ascii="Palatino Linotype" w:eastAsia="Palatino Linotype" w:hAnsi="Palatino Linotype" w:cs="Palatino Linotype"/>
        </w:rPr>
      </w:pPr>
    </w:p>
    <w:p w:rsidR="000138CF" w:rsidRDefault="000138CF">
      <w:pPr>
        <w:spacing w:line="360" w:lineRule="auto"/>
        <w:ind w:right="-787"/>
        <w:jc w:val="both"/>
        <w:rPr>
          <w:rFonts w:ascii="Palatino Linotype" w:eastAsia="Palatino Linotype" w:hAnsi="Palatino Linotype" w:cs="Palatino Linotype"/>
        </w:rPr>
      </w:pPr>
    </w:p>
    <w:p w:rsidR="000138CF" w:rsidRDefault="000138CF">
      <w:pPr>
        <w:spacing w:line="360" w:lineRule="auto"/>
        <w:ind w:right="-787"/>
        <w:jc w:val="both"/>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0138CF">
      <w:pPr>
        <w:spacing w:line="360" w:lineRule="auto"/>
        <w:ind w:right="-787"/>
        <w:rPr>
          <w:rFonts w:ascii="Palatino Linotype" w:eastAsia="Palatino Linotype" w:hAnsi="Palatino Linotype" w:cs="Palatino Linotype"/>
        </w:rPr>
      </w:pPr>
    </w:p>
    <w:p w:rsidR="000138CF" w:rsidRDefault="00B95C14">
      <w:pPr>
        <w:tabs>
          <w:tab w:val="left" w:pos="3374"/>
        </w:tabs>
        <w:spacing w:line="360" w:lineRule="auto"/>
        <w:ind w:right="-787"/>
        <w:rPr>
          <w:rFonts w:ascii="Palatino Linotype" w:eastAsia="Palatino Linotype" w:hAnsi="Palatino Linotype" w:cs="Palatino Linotype"/>
        </w:rPr>
      </w:pPr>
      <w:r>
        <w:rPr>
          <w:rFonts w:ascii="Palatino Linotype" w:eastAsia="Palatino Linotype" w:hAnsi="Palatino Linotype" w:cs="Palatino Linotype"/>
        </w:rPr>
        <w:tab/>
      </w:r>
    </w:p>
    <w:p w:rsidR="000138CF" w:rsidRDefault="000138CF">
      <w:pPr>
        <w:tabs>
          <w:tab w:val="left" w:pos="3374"/>
        </w:tabs>
        <w:spacing w:line="360" w:lineRule="auto"/>
        <w:ind w:right="-787"/>
        <w:rPr>
          <w:rFonts w:ascii="Palatino Linotype" w:eastAsia="Palatino Linotype" w:hAnsi="Palatino Linotype" w:cs="Palatino Linotype"/>
        </w:rPr>
      </w:pPr>
    </w:p>
    <w:p w:rsidR="000138CF" w:rsidRDefault="000138CF">
      <w:pPr>
        <w:tabs>
          <w:tab w:val="left" w:pos="3374"/>
        </w:tabs>
        <w:spacing w:line="360" w:lineRule="auto"/>
        <w:ind w:right="-787"/>
        <w:rPr>
          <w:rFonts w:ascii="Palatino Linotype" w:eastAsia="Palatino Linotype" w:hAnsi="Palatino Linotype" w:cs="Palatino Linotype"/>
        </w:rPr>
      </w:pPr>
    </w:p>
    <w:p w:rsidR="000138CF" w:rsidRDefault="000138CF">
      <w:pPr>
        <w:tabs>
          <w:tab w:val="left" w:pos="3374"/>
        </w:tabs>
        <w:spacing w:line="360" w:lineRule="auto"/>
        <w:ind w:right="-787"/>
        <w:rPr>
          <w:rFonts w:ascii="Palatino Linotype" w:eastAsia="Palatino Linotype" w:hAnsi="Palatino Linotype" w:cs="Palatino Linotype"/>
        </w:rPr>
      </w:pPr>
    </w:p>
    <w:p w:rsidR="000138CF" w:rsidRDefault="000138CF">
      <w:pPr>
        <w:ind w:right="-787"/>
      </w:pPr>
    </w:p>
    <w:sectPr w:rsidR="000138CF">
      <w:headerReference w:type="even" r:id="rId13"/>
      <w:headerReference w:type="default" r:id="rId14"/>
      <w:footerReference w:type="default" r:id="rId15"/>
      <w:headerReference w:type="first" r:id="rId16"/>
      <w:footerReference w:type="first" r:id="rId17"/>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7A1" w:rsidRDefault="001C17A1">
      <w:r>
        <w:separator/>
      </w:r>
    </w:p>
  </w:endnote>
  <w:endnote w:type="continuationSeparator" w:id="0">
    <w:p w:rsidR="001C17A1" w:rsidRDefault="001C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298D4B0C-2E6A-41CA-85FF-0A5199F54B27}"/>
    <w:embedBold r:id="rId2" w:fontKey="{541C0D32-87DA-46BD-934B-E65E339F9129}"/>
    <w:embedItalic r:id="rId3" w:fontKey="{EB3346C5-2A8E-4B84-A90A-531564EDF294}"/>
    <w:embedBoldItalic r:id="rId4" w:fontKey="{604D757B-8CFD-4075-8808-BE57E138D0B8}"/>
  </w:font>
  <w:font w:name="Noto Sans Symbols">
    <w:altName w:val="Times New Roman"/>
    <w:charset w:val="00"/>
    <w:family w:val="auto"/>
    <w:pitch w:val="default"/>
    <w:embedRegular r:id="rId5" w:fontKey="{8527C8BE-BE58-43FD-BEC4-B4BE58BD8E8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E95FF49-34E7-446E-8940-27EDCF7730E0}"/>
    <w:embedBoldItalic r:id="rId7" w:fontKey="{3D6534EF-186E-4A04-8FDD-98975F85B42E}"/>
  </w:font>
  <w:font w:name="Georgia">
    <w:panose1 w:val="02040502050405020303"/>
    <w:charset w:val="00"/>
    <w:family w:val="roman"/>
    <w:pitch w:val="variable"/>
    <w:sig w:usb0="00000287" w:usb1="00000000" w:usb2="00000000" w:usb3="00000000" w:csb0="0000009F" w:csb1="00000000"/>
    <w:embedItalic r:id="rId8" w:fontKey="{8482A1CE-D78B-4EB8-A752-7584A956DDCD}"/>
  </w:font>
  <w:font w:name="Cambria">
    <w:panose1 w:val="02040503050406030204"/>
    <w:charset w:val="00"/>
    <w:family w:val="roman"/>
    <w:pitch w:val="variable"/>
    <w:sig w:usb0="E00006FF" w:usb1="420024FF" w:usb2="02000000" w:usb3="00000000" w:csb0="0000019F" w:csb1="00000000"/>
    <w:embedRegular r:id="rId9" w:fontKey="{411A7C4C-614C-44A9-8075-21C3D050B3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8CF" w:rsidRDefault="00B95C1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E547CE">
      <w:rPr>
        <w:rFonts w:ascii="Palatino Linotype" w:eastAsia="Palatino Linotype" w:hAnsi="Palatino Linotype" w:cs="Palatino Linotype"/>
        <w:noProof/>
        <w:color w:val="000000"/>
        <w:sz w:val="22"/>
        <w:szCs w:val="22"/>
      </w:rPr>
      <w:t>7</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E547CE">
      <w:rPr>
        <w:rFonts w:ascii="Palatino Linotype" w:eastAsia="Palatino Linotype" w:hAnsi="Palatino Linotype" w:cs="Palatino Linotype"/>
        <w:noProof/>
        <w:color w:val="000000"/>
        <w:sz w:val="22"/>
        <w:szCs w:val="22"/>
      </w:rPr>
      <w:t>40</w:t>
    </w:r>
    <w:r>
      <w:rPr>
        <w:rFonts w:ascii="Palatino Linotype" w:eastAsia="Palatino Linotype" w:hAnsi="Palatino Linotype" w:cs="Palatino Linotype"/>
        <w:color w:val="000000"/>
        <w:sz w:val="22"/>
        <w:szCs w:val="22"/>
      </w:rPr>
      <w:fldChar w:fldCharType="end"/>
    </w:r>
  </w:p>
  <w:p w:rsidR="000138CF" w:rsidRDefault="000138C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8CF" w:rsidRDefault="00B95C1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E547CE">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E547CE">
      <w:rPr>
        <w:rFonts w:ascii="Palatino Linotype" w:eastAsia="Palatino Linotype" w:hAnsi="Palatino Linotype" w:cs="Palatino Linotype"/>
        <w:noProof/>
        <w:color w:val="000000"/>
        <w:sz w:val="22"/>
        <w:szCs w:val="22"/>
      </w:rPr>
      <w:t>40</w:t>
    </w:r>
    <w:r>
      <w:rPr>
        <w:rFonts w:ascii="Palatino Linotype" w:eastAsia="Palatino Linotype" w:hAnsi="Palatino Linotype" w:cs="Palatino Linotype"/>
        <w:color w:val="000000"/>
        <w:sz w:val="22"/>
        <w:szCs w:val="22"/>
      </w:rPr>
      <w:fldChar w:fldCharType="end"/>
    </w:r>
  </w:p>
  <w:p w:rsidR="000138CF" w:rsidRDefault="000138C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7A1" w:rsidRDefault="001C17A1">
      <w:r>
        <w:separator/>
      </w:r>
    </w:p>
  </w:footnote>
  <w:footnote w:type="continuationSeparator" w:id="0">
    <w:p w:rsidR="001C17A1" w:rsidRDefault="001C17A1">
      <w:r>
        <w:continuationSeparator/>
      </w:r>
    </w:p>
  </w:footnote>
  <w:footnote w:id="1">
    <w:p w:rsidR="000138CF" w:rsidRDefault="00B95C1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0138CF" w:rsidRDefault="00B95C1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0138CF" w:rsidRDefault="00B95C1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0138CF" w:rsidRDefault="00B95C1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8CF" w:rsidRDefault="001C17A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395" w:type="dxa"/>
      <w:tblInd w:w="2694" w:type="dxa"/>
      <w:tblLayout w:type="fixed"/>
      <w:tblLook w:val="0400" w:firstRow="0" w:lastRow="0" w:firstColumn="0" w:lastColumn="0" w:noHBand="0" w:noVBand="1"/>
    </w:tblPr>
    <w:tblGrid>
      <w:gridCol w:w="3375"/>
      <w:gridCol w:w="4020"/>
    </w:tblGrid>
    <w:tr w:rsidR="000138CF">
      <w:trPr>
        <w:trHeight w:val="227"/>
      </w:trPr>
      <w:tc>
        <w:tcPr>
          <w:tcW w:w="3375" w:type="dxa"/>
          <w:vAlign w:val="center"/>
        </w:tcPr>
        <w:p w:rsidR="000138CF" w:rsidRDefault="00B95C1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20" w:type="dxa"/>
          <w:vAlign w:val="center"/>
        </w:tcPr>
        <w:p w:rsidR="000138CF" w:rsidRDefault="00B95C1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03043/INFOEM/IP/RR/2026</w:t>
          </w:r>
        </w:p>
      </w:tc>
    </w:tr>
    <w:tr w:rsidR="000138CF">
      <w:trPr>
        <w:trHeight w:val="242"/>
      </w:trPr>
      <w:tc>
        <w:tcPr>
          <w:tcW w:w="3375" w:type="dxa"/>
          <w:vAlign w:val="center"/>
        </w:tcPr>
        <w:p w:rsidR="000138CF" w:rsidRDefault="00B95C1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20" w:type="dxa"/>
          <w:vAlign w:val="center"/>
        </w:tcPr>
        <w:p w:rsidR="000138CF" w:rsidRDefault="00B95C1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Tianguistenco</w:t>
          </w:r>
        </w:p>
      </w:tc>
    </w:tr>
    <w:tr w:rsidR="000138CF">
      <w:trPr>
        <w:trHeight w:val="342"/>
      </w:trPr>
      <w:tc>
        <w:tcPr>
          <w:tcW w:w="3375" w:type="dxa"/>
          <w:vAlign w:val="center"/>
        </w:tcPr>
        <w:p w:rsidR="000138CF" w:rsidRDefault="00B95C14">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20" w:type="dxa"/>
          <w:vAlign w:val="center"/>
        </w:tcPr>
        <w:p w:rsidR="000138CF" w:rsidRDefault="00B95C1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138CF" w:rsidRDefault="001C17A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320" w:type="dxa"/>
      <w:tblInd w:w="2552" w:type="dxa"/>
      <w:tblLayout w:type="fixed"/>
      <w:tblLook w:val="0400" w:firstRow="0" w:lastRow="0" w:firstColumn="0" w:lastColumn="0" w:noHBand="0" w:noVBand="1"/>
    </w:tblPr>
    <w:tblGrid>
      <w:gridCol w:w="3369"/>
      <w:gridCol w:w="3951"/>
    </w:tblGrid>
    <w:tr w:rsidR="000138CF" w:rsidTr="00A44359">
      <w:trPr>
        <w:trHeight w:val="227"/>
      </w:trPr>
      <w:tc>
        <w:tcPr>
          <w:tcW w:w="3369" w:type="dxa"/>
          <w:vAlign w:val="center"/>
        </w:tcPr>
        <w:p w:rsidR="000138CF" w:rsidRDefault="00B95C14">
          <w:pPr>
            <w:ind w:left="425"/>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51" w:type="dxa"/>
          <w:vAlign w:val="center"/>
        </w:tcPr>
        <w:p w:rsidR="000138CF" w:rsidRDefault="00B95C14">
          <w:pPr>
            <w:pBdr>
              <w:top w:val="nil"/>
              <w:left w:val="nil"/>
              <w:bottom w:val="nil"/>
              <w:right w:val="nil"/>
              <w:between w:val="nil"/>
            </w:pBdr>
            <w:tabs>
              <w:tab w:val="center" w:pos="4419"/>
              <w:tab w:val="right" w:pos="8838"/>
            </w:tabs>
            <w:ind w:left="26"/>
            <w:rPr>
              <w:rFonts w:ascii="Palatino Linotype" w:eastAsia="Palatino Linotype" w:hAnsi="Palatino Linotype" w:cs="Palatino Linotype"/>
              <w:highlight w:val="green"/>
            </w:rPr>
          </w:pPr>
          <w:r>
            <w:rPr>
              <w:rFonts w:ascii="Palatino Linotype" w:eastAsia="Palatino Linotype" w:hAnsi="Palatino Linotype" w:cs="Palatino Linotype"/>
            </w:rPr>
            <w:t>03043/INFOEM/IP/RR/2026</w:t>
          </w:r>
        </w:p>
      </w:tc>
    </w:tr>
    <w:tr w:rsidR="000138CF" w:rsidTr="00A44359">
      <w:trPr>
        <w:trHeight w:val="242"/>
      </w:trPr>
      <w:tc>
        <w:tcPr>
          <w:tcW w:w="3369" w:type="dxa"/>
          <w:vAlign w:val="center"/>
        </w:tcPr>
        <w:p w:rsidR="000138CF" w:rsidRDefault="00B95C14">
          <w:pPr>
            <w:ind w:left="425"/>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951" w:type="dxa"/>
        </w:tcPr>
        <w:p w:rsidR="000138CF" w:rsidRDefault="00B95C14" w:rsidP="00E547CE">
          <w:pPr>
            <w:pBdr>
              <w:top w:val="nil"/>
              <w:left w:val="nil"/>
              <w:bottom w:val="nil"/>
              <w:right w:val="nil"/>
              <w:between w:val="nil"/>
            </w:pBdr>
            <w:tabs>
              <w:tab w:val="center" w:pos="4419"/>
              <w:tab w:val="right" w:pos="8838"/>
              <w:tab w:val="left" w:pos="521"/>
            </w:tabs>
            <w:ind w:left="26"/>
            <w:rPr>
              <w:rFonts w:ascii="Palatino Linotype" w:eastAsia="Palatino Linotype" w:hAnsi="Palatino Linotype" w:cs="Palatino Linotype"/>
              <w:highlight w:val="green"/>
            </w:rPr>
          </w:pPr>
          <w:r>
            <w:rPr>
              <w:rFonts w:ascii="Palatino Linotype" w:eastAsia="Palatino Linotype" w:hAnsi="Palatino Linotype" w:cs="Palatino Linotype"/>
            </w:rPr>
            <w:t> </w:t>
          </w:r>
          <w:r w:rsidR="00E547CE">
            <w:rPr>
              <w:rFonts w:ascii="Palatino Linotype" w:eastAsia="Palatino Linotype" w:hAnsi="Palatino Linotype" w:cs="Palatino Linotype"/>
            </w:rPr>
            <w:t>XXXX</w:t>
          </w:r>
        </w:p>
      </w:tc>
    </w:tr>
    <w:tr w:rsidR="000138CF" w:rsidTr="00A44359">
      <w:trPr>
        <w:trHeight w:val="342"/>
      </w:trPr>
      <w:tc>
        <w:tcPr>
          <w:tcW w:w="3369" w:type="dxa"/>
          <w:vAlign w:val="center"/>
        </w:tcPr>
        <w:p w:rsidR="000138CF" w:rsidRDefault="00B95C14">
          <w:pPr>
            <w:ind w:left="425"/>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51" w:type="dxa"/>
          <w:vAlign w:val="center"/>
        </w:tcPr>
        <w:p w:rsidR="000138CF" w:rsidRDefault="00B95C14">
          <w:pPr>
            <w:pBdr>
              <w:top w:val="nil"/>
              <w:left w:val="nil"/>
              <w:bottom w:val="nil"/>
              <w:right w:val="nil"/>
              <w:between w:val="nil"/>
            </w:pBdr>
            <w:tabs>
              <w:tab w:val="center" w:pos="4419"/>
              <w:tab w:val="right" w:pos="8838"/>
            </w:tabs>
            <w:ind w:left="26"/>
            <w:jc w:val="both"/>
            <w:rPr>
              <w:rFonts w:ascii="Palatino Linotype" w:eastAsia="Palatino Linotype" w:hAnsi="Palatino Linotype" w:cs="Palatino Linotype"/>
              <w:highlight w:val="green"/>
            </w:rPr>
          </w:pPr>
          <w:r>
            <w:rPr>
              <w:rFonts w:ascii="Palatino Linotype" w:eastAsia="Palatino Linotype" w:hAnsi="Palatino Linotype" w:cs="Palatino Linotype"/>
            </w:rPr>
            <w:t>Ayuntamiento de Tianguistenco</w:t>
          </w:r>
        </w:p>
      </w:tc>
    </w:tr>
    <w:tr w:rsidR="000138CF" w:rsidTr="00A44359">
      <w:trPr>
        <w:trHeight w:val="342"/>
      </w:trPr>
      <w:tc>
        <w:tcPr>
          <w:tcW w:w="3369" w:type="dxa"/>
          <w:vAlign w:val="center"/>
        </w:tcPr>
        <w:p w:rsidR="000138CF" w:rsidRDefault="00B95C14">
          <w:pPr>
            <w:ind w:left="425"/>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51" w:type="dxa"/>
          <w:vAlign w:val="center"/>
        </w:tcPr>
        <w:p w:rsidR="000138CF" w:rsidRDefault="00B95C14">
          <w:pPr>
            <w:pBdr>
              <w:top w:val="nil"/>
              <w:left w:val="nil"/>
              <w:bottom w:val="nil"/>
              <w:right w:val="nil"/>
              <w:between w:val="nil"/>
            </w:pBdr>
            <w:tabs>
              <w:tab w:val="center" w:pos="4419"/>
              <w:tab w:val="right" w:pos="8838"/>
            </w:tabs>
            <w:ind w:left="26"/>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0138CF" w:rsidRDefault="001C17A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D3B3D"/>
    <w:multiLevelType w:val="multilevel"/>
    <w:tmpl w:val="B8EE2820"/>
    <w:lvl w:ilvl="0">
      <w:start w:val="1"/>
      <w:numFmt w:val="decimal"/>
      <w:lvlText w:val="%1."/>
      <w:lvlJc w:val="left"/>
      <w:pPr>
        <w:ind w:left="720" w:hanging="360"/>
      </w:pPr>
      <w:rPr>
        <w:b/>
        <w:bCs/>
        <w:i w:val="0"/>
        <w:iCs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2D12BF"/>
    <w:multiLevelType w:val="multilevel"/>
    <w:tmpl w:val="969A365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9C6FFC"/>
    <w:multiLevelType w:val="multilevel"/>
    <w:tmpl w:val="E4B2124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 w15:restartNumberingAfterBreak="0">
    <w:nsid w:val="379213D1"/>
    <w:multiLevelType w:val="multilevel"/>
    <w:tmpl w:val="D58CF148"/>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44EF5618"/>
    <w:multiLevelType w:val="multilevel"/>
    <w:tmpl w:val="32EAB52C"/>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569F53D2"/>
    <w:multiLevelType w:val="multilevel"/>
    <w:tmpl w:val="B5F2863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65AA03AA"/>
    <w:multiLevelType w:val="multilevel"/>
    <w:tmpl w:val="8FA42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B82ADF"/>
    <w:multiLevelType w:val="multilevel"/>
    <w:tmpl w:val="E7BA8B9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8DE3EFE"/>
    <w:multiLevelType w:val="multilevel"/>
    <w:tmpl w:val="A6243264"/>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1"/>
  </w:num>
  <w:num w:numId="2">
    <w:abstractNumId w:val="2"/>
  </w:num>
  <w:num w:numId="3">
    <w:abstractNumId w:val="5"/>
  </w:num>
  <w:num w:numId="4">
    <w:abstractNumId w:val="6"/>
  </w:num>
  <w:num w:numId="5">
    <w:abstractNumId w:val="3"/>
  </w:num>
  <w:num w:numId="6">
    <w:abstractNumId w:val="8"/>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8CF"/>
    <w:rsid w:val="000138CF"/>
    <w:rsid w:val="000249EF"/>
    <w:rsid w:val="001C17A1"/>
    <w:rsid w:val="001E2A2D"/>
    <w:rsid w:val="00326BB5"/>
    <w:rsid w:val="006C4E25"/>
    <w:rsid w:val="008A244F"/>
    <w:rsid w:val="00931DDD"/>
    <w:rsid w:val="00A44359"/>
    <w:rsid w:val="00B95C14"/>
    <w:rsid w:val="00D67F8E"/>
    <w:rsid w:val="00E547CE"/>
    <w:rsid w:val="00F472B2"/>
    <w:rsid w:val="00F974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35670FB-3671-42D5-836B-29B3A28B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Calibri" w:eastAsia="Calibri" w:hAnsi="Calibri" w:cs="Calibri"/>
      <w:color w:val="2E75B5"/>
      <w:sz w:val="40"/>
      <w:szCs w:val="40"/>
    </w:rPr>
  </w:style>
  <w:style w:type="paragraph" w:styleId="Ttulo2">
    <w:name w:val="heading 2"/>
    <w:basedOn w:val="Normal"/>
    <w:next w:val="Normal"/>
    <w:pPr>
      <w:keepNext/>
      <w:keepLines/>
      <w:spacing w:before="160" w:after="80"/>
      <w:outlineLvl w:val="1"/>
    </w:pPr>
    <w:rPr>
      <w:rFonts w:ascii="Calibri" w:eastAsia="Calibri" w:hAnsi="Calibri" w:cs="Calibri"/>
      <w:color w:val="2E75B5"/>
      <w:sz w:val="32"/>
      <w:szCs w:val="32"/>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A44359"/>
    <w:pPr>
      <w:tabs>
        <w:tab w:val="center" w:pos="4419"/>
        <w:tab w:val="right" w:pos="8838"/>
      </w:tabs>
    </w:pPr>
  </w:style>
  <w:style w:type="character" w:customStyle="1" w:styleId="PiedepginaCar">
    <w:name w:val="Pie de página Car"/>
    <w:basedOn w:val="Fuentedeprrafopredeter"/>
    <w:link w:val="Piedepgina"/>
    <w:uiPriority w:val="99"/>
    <w:rsid w:val="00A44359"/>
  </w:style>
  <w:style w:type="paragraph" w:styleId="Prrafodelista">
    <w:name w:val="List Paragraph"/>
    <w:basedOn w:val="Normal"/>
    <w:uiPriority w:val="34"/>
    <w:qFormat/>
    <w:rsid w:val="00A44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sultas.curp.gob.mx/CurpSP/html/informacionecurpP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QEMYMj87jU6Q2H+uhv+t9LcjTA==">CgMxLjAyDmguYXB2aGNhNHpscXljMg5oLjlwZjh2eTFkZ2toZDIOaC5idTQ4bjM1MDdjeDgyDmguOTY2Z2hmZjBiM2ZuMg5oLmwzeHhha2M3dDZpMDIOaC50Z3liOXBveHBvOWUyDmguOHZxYzlqcDF1em82Mg5oLjF5bWMyazV2ajRjczIOaC5ta2U0eG5idXYyeWsyDmguajAxeTZqNHg1eXAzMgloLjJzOGV5bzEyCWguMTdkcDh2dTIOaC5mNG83OXdoOW5qaDMyDmguZTZpcmE3bmYyNG1lMg1oLndwbjI3eWdqdGZiMghoLmxueGJ6OTIOaC5mc2xjOTlpMXpmb2cyCWguNDRzaW5pbzIJaC4yanhzeHFoOAByITFqSXllb2hCcU9sYW5QOWtmU09ubzNSWjI5MXNRYmtK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40</Pages>
  <Words>9607</Words>
  <Characters>52842</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2026-06-05T16:41:00Z</cp:lastPrinted>
  <dcterms:created xsi:type="dcterms:W3CDTF">2026-06-01T18:34:00Z</dcterms:created>
  <dcterms:modified xsi:type="dcterms:W3CDTF">2026-06-09T23:08:00Z</dcterms:modified>
</cp:coreProperties>
</file>