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E8F6" w14:textId="18D9877C"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E02EF6" w:rsidRPr="00BA1F6B">
        <w:rPr>
          <w:rFonts w:ascii="Palatino Linotype" w:eastAsia="Times New Roman" w:hAnsi="Palatino Linotype" w:cs="Palatino Linotype"/>
          <w:b/>
          <w:color w:val="000000"/>
          <w:sz w:val="24"/>
          <w:szCs w:val="24"/>
          <w:lang w:val="es-ES_tradnl" w:eastAsia="es-MX"/>
        </w:rPr>
        <w:t>a ocho de abril de dos mil veintiséis.</w:t>
      </w:r>
    </w:p>
    <w:p w14:paraId="46CFF95D"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39E3004" w14:textId="32002489"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b/>
          <w:color w:val="000000"/>
          <w:sz w:val="24"/>
          <w:szCs w:val="24"/>
          <w:lang w:val="es-ES_tradnl" w:eastAsia="es-MX"/>
        </w:rPr>
        <w:t>VISTO</w:t>
      </w:r>
      <w:r w:rsidRPr="00BA1F6B">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897B0E" w:rsidRPr="00BA1F6B">
        <w:rPr>
          <w:rFonts w:ascii="Palatino Linotype" w:eastAsia="Times New Roman" w:hAnsi="Palatino Linotype" w:cs="Palatino Linotype"/>
          <w:b/>
          <w:color w:val="000000"/>
          <w:sz w:val="24"/>
          <w:szCs w:val="24"/>
          <w:lang w:val="es-ES_tradnl" w:eastAsia="es-MX"/>
        </w:rPr>
        <w:t>0</w:t>
      </w:r>
      <w:r w:rsidR="00AC1A5E" w:rsidRPr="00BA1F6B">
        <w:rPr>
          <w:rFonts w:ascii="Palatino Linotype" w:eastAsia="Times New Roman" w:hAnsi="Palatino Linotype" w:cs="Palatino Linotype"/>
          <w:b/>
          <w:color w:val="000000"/>
          <w:sz w:val="24"/>
          <w:szCs w:val="24"/>
          <w:lang w:val="es-ES_tradnl" w:eastAsia="es-MX"/>
        </w:rPr>
        <w:t>14445</w:t>
      </w:r>
      <w:r w:rsidRPr="00BA1F6B">
        <w:rPr>
          <w:rFonts w:ascii="Palatino Linotype" w:eastAsia="Times New Roman" w:hAnsi="Palatino Linotype" w:cs="Palatino Linotype"/>
          <w:b/>
          <w:color w:val="000000"/>
          <w:sz w:val="24"/>
          <w:szCs w:val="24"/>
          <w:lang w:val="es-ES_tradnl" w:eastAsia="es-MX"/>
        </w:rPr>
        <w:t>/INFOEM/IP/RR/202</w:t>
      </w:r>
      <w:r w:rsidR="00AC1A5E" w:rsidRPr="00BA1F6B">
        <w:rPr>
          <w:rFonts w:ascii="Palatino Linotype" w:eastAsia="Times New Roman" w:hAnsi="Palatino Linotype" w:cs="Palatino Linotype"/>
          <w:b/>
          <w:color w:val="000000"/>
          <w:sz w:val="24"/>
          <w:szCs w:val="24"/>
          <w:lang w:val="es-ES_tradnl" w:eastAsia="es-MX"/>
        </w:rPr>
        <w:t>5</w:t>
      </w:r>
      <w:bookmarkEnd w:id="0"/>
      <w:r w:rsidRPr="00BA1F6B">
        <w:rPr>
          <w:rFonts w:ascii="Palatino Linotype" w:eastAsia="Times New Roman" w:hAnsi="Palatino Linotype" w:cs="Palatino Linotype"/>
          <w:color w:val="000000"/>
          <w:sz w:val="24"/>
          <w:szCs w:val="24"/>
          <w:lang w:val="es-ES_tradnl" w:eastAsia="es-MX"/>
        </w:rPr>
        <w:t xml:space="preserve">, interpuesto por </w:t>
      </w:r>
      <w:r w:rsidR="0092771D" w:rsidRPr="00BA1F6B">
        <w:rPr>
          <w:rFonts w:ascii="Palatino Linotype" w:eastAsia="Times New Roman" w:hAnsi="Palatino Linotype" w:cs="Palatino Linotype"/>
          <w:color w:val="000000"/>
          <w:sz w:val="24"/>
          <w:szCs w:val="24"/>
          <w:lang w:val="es-ES_tradnl" w:eastAsia="es-MX"/>
        </w:rPr>
        <w:t xml:space="preserve">el C. </w:t>
      </w:r>
      <w:r w:rsidR="000051E3">
        <w:rPr>
          <w:rFonts w:ascii="Palatino Linotype" w:hAnsi="Palatino Linotype" w:cs="Arial"/>
          <w:b/>
          <w:bCs/>
          <w:sz w:val="24"/>
          <w:szCs w:val="24"/>
        </w:rPr>
        <w:t>XXXXXXXXXXXXXXXX</w:t>
      </w:r>
      <w:r w:rsidRPr="00BA1F6B">
        <w:rPr>
          <w:rFonts w:ascii="Palatino Linotype" w:eastAsia="Times New Roman" w:hAnsi="Palatino Linotype" w:cs="Arial"/>
          <w:sz w:val="24"/>
          <w:szCs w:val="24"/>
          <w:lang w:val="es-ES_tradnl" w:eastAsia="es-MX"/>
        </w:rPr>
        <w:t xml:space="preserve">, </w:t>
      </w:r>
      <w:r w:rsidRPr="00BA1F6B">
        <w:rPr>
          <w:rFonts w:ascii="Palatino Linotype" w:eastAsia="Times New Roman" w:hAnsi="Palatino Linotype" w:cs="Palatino Linotype"/>
          <w:color w:val="000000"/>
          <w:sz w:val="24"/>
          <w:szCs w:val="24"/>
          <w:lang w:val="es-ES_tradnl" w:eastAsia="es-MX"/>
        </w:rPr>
        <w:t xml:space="preserve">en lo sucesivo el </w:t>
      </w:r>
      <w:r w:rsidRPr="00BA1F6B">
        <w:rPr>
          <w:rFonts w:ascii="Palatino Linotype" w:eastAsia="Times New Roman" w:hAnsi="Palatino Linotype" w:cs="Palatino Linotype"/>
          <w:b/>
          <w:color w:val="000000"/>
          <w:sz w:val="24"/>
          <w:szCs w:val="24"/>
          <w:lang w:val="es-ES_tradnl" w:eastAsia="es-MX"/>
        </w:rPr>
        <w:t>Recurrente</w:t>
      </w:r>
      <w:r w:rsidRPr="00BA1F6B">
        <w:rPr>
          <w:rFonts w:ascii="Palatino Linotype" w:eastAsia="Times New Roman" w:hAnsi="Palatino Linotype" w:cs="Palatino Linotype"/>
          <w:color w:val="000000"/>
          <w:sz w:val="24"/>
          <w:szCs w:val="24"/>
          <w:lang w:val="es-ES_tradnl" w:eastAsia="es-MX"/>
        </w:rPr>
        <w:t xml:space="preserve">, en contra de la respuesta del </w:t>
      </w:r>
      <w:r w:rsidR="0092771D" w:rsidRPr="00BA1F6B">
        <w:rPr>
          <w:rFonts w:ascii="Palatino Linotype" w:hAnsi="Palatino Linotype"/>
          <w:b/>
          <w:bCs/>
          <w:color w:val="000000"/>
          <w:sz w:val="24"/>
          <w:szCs w:val="24"/>
        </w:rPr>
        <w:t xml:space="preserve">Ayuntamiento de </w:t>
      </w:r>
      <w:r w:rsidR="00AC1A5E" w:rsidRPr="00BA1F6B">
        <w:rPr>
          <w:rFonts w:ascii="Palatino Linotype" w:hAnsi="Palatino Linotype"/>
          <w:b/>
          <w:bCs/>
          <w:color w:val="000000"/>
          <w:sz w:val="24"/>
          <w:szCs w:val="24"/>
        </w:rPr>
        <w:t>Huixquilucan</w:t>
      </w:r>
      <w:r w:rsidRPr="00BA1F6B">
        <w:rPr>
          <w:rFonts w:ascii="Palatino Linotype" w:eastAsia="Times New Roman" w:hAnsi="Palatino Linotype" w:cs="Palatino Linotype"/>
          <w:color w:val="000000"/>
          <w:sz w:val="24"/>
          <w:szCs w:val="24"/>
          <w:lang w:val="es-ES_tradnl" w:eastAsia="es-MX"/>
        </w:rPr>
        <w:t>, en lo subsecuente</w:t>
      </w:r>
      <w:r w:rsidRPr="00BA1F6B">
        <w:rPr>
          <w:rFonts w:ascii="Palatino Linotype" w:eastAsia="Times New Roman" w:hAnsi="Palatino Linotype" w:cs="Palatino Linotype"/>
          <w:b/>
          <w:color w:val="000000"/>
          <w:sz w:val="24"/>
          <w:szCs w:val="24"/>
          <w:lang w:val="es-ES_tradnl" w:eastAsia="es-MX"/>
        </w:rPr>
        <w:t xml:space="preserve"> </w:t>
      </w:r>
      <w:r w:rsidRPr="00BA1F6B">
        <w:rPr>
          <w:rFonts w:ascii="Palatino Linotype" w:eastAsia="Times New Roman" w:hAnsi="Palatino Linotype" w:cs="Palatino Linotype"/>
          <w:color w:val="000000"/>
          <w:sz w:val="24"/>
          <w:szCs w:val="24"/>
          <w:lang w:val="es-ES_tradnl" w:eastAsia="es-MX"/>
        </w:rPr>
        <w:t>el</w:t>
      </w:r>
      <w:r w:rsidRPr="00BA1F6B">
        <w:rPr>
          <w:rFonts w:ascii="Palatino Linotype" w:eastAsia="Times New Roman" w:hAnsi="Palatino Linotype" w:cs="Palatino Linotype"/>
          <w:b/>
          <w:color w:val="000000"/>
          <w:sz w:val="24"/>
          <w:szCs w:val="24"/>
          <w:lang w:val="es-ES_tradnl" w:eastAsia="es-MX"/>
        </w:rPr>
        <w:t xml:space="preserve"> Sujeto Obligado, </w:t>
      </w:r>
      <w:r w:rsidRPr="00BA1F6B">
        <w:rPr>
          <w:rFonts w:ascii="Palatino Linotype" w:eastAsia="Times New Roman" w:hAnsi="Palatino Linotype" w:cs="Palatino Linotype"/>
          <w:color w:val="000000"/>
          <w:sz w:val="24"/>
          <w:szCs w:val="24"/>
          <w:lang w:val="es-ES_tradnl" w:eastAsia="es-MX"/>
        </w:rPr>
        <w:t>se procede a dictar la presente resolución.</w:t>
      </w:r>
    </w:p>
    <w:p w14:paraId="56A4CB04"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0D2FD3"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3F05D30" w14:textId="77777777" w:rsidR="000D134C" w:rsidRPr="00BA1F6B"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BA1F6B">
        <w:rPr>
          <w:rFonts w:ascii="Palatino Linotype" w:eastAsia="Times New Roman" w:hAnsi="Palatino Linotype" w:cs="Times New Roman"/>
          <w:b/>
          <w:color w:val="000000" w:themeColor="text1"/>
          <w:sz w:val="32"/>
          <w:szCs w:val="32"/>
          <w:lang w:val="es-ES_tradnl" w:eastAsia="es-ES"/>
        </w:rPr>
        <w:t>ANTECEDENTES</w:t>
      </w:r>
    </w:p>
    <w:p w14:paraId="0733C25F"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B4785F" w14:textId="77777777" w:rsidR="000D134C" w:rsidRPr="00BA1F6B"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1F6B">
        <w:rPr>
          <w:rFonts w:ascii="Palatino Linotype" w:eastAsia="Times New Roman" w:hAnsi="Palatino Linotype" w:cs="Times New Roman"/>
          <w:b/>
          <w:color w:val="000000" w:themeColor="text1"/>
          <w:sz w:val="28"/>
          <w:szCs w:val="28"/>
          <w:lang w:val="es-ES_tradnl" w:eastAsia="es-MX"/>
        </w:rPr>
        <w:t>PRIMERO. De la Solicitud de Información.</w:t>
      </w:r>
    </w:p>
    <w:p w14:paraId="117AC7C1" w14:textId="034DCA0F"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 xml:space="preserve">Con fecha </w:t>
      </w:r>
      <w:r w:rsidR="0001755A" w:rsidRPr="00BA1F6B">
        <w:rPr>
          <w:rFonts w:ascii="Palatino Linotype" w:eastAsia="Times New Roman" w:hAnsi="Palatino Linotype" w:cs="Palatino Linotype"/>
          <w:color w:val="000000"/>
          <w:sz w:val="24"/>
          <w:szCs w:val="24"/>
          <w:lang w:val="es-ES_tradnl" w:eastAsia="es-MX"/>
        </w:rPr>
        <w:t>seis de noviembre</w:t>
      </w:r>
      <w:r w:rsidRPr="00BA1F6B">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BA1F6B">
        <w:rPr>
          <w:rFonts w:ascii="Palatino Linotype" w:eastAsia="Times New Roman" w:hAnsi="Palatino Linotype" w:cs="Palatino Linotype"/>
          <w:sz w:val="24"/>
          <w:szCs w:val="24"/>
          <w:lang w:val="es-ES_tradnl" w:eastAsia="es-MX"/>
        </w:rPr>
        <w:t>expediente</w:t>
      </w:r>
      <w:r w:rsidRPr="00BA1F6B">
        <w:rPr>
          <w:rFonts w:ascii="Verdana" w:eastAsia="Times New Roman" w:hAnsi="Verdana" w:cs="Calibri"/>
          <w:b/>
          <w:bCs/>
          <w:color w:val="FF0000"/>
          <w:sz w:val="24"/>
          <w:lang w:val="es-ES_tradnl" w:eastAsia="es-MX"/>
        </w:rPr>
        <w:t> </w:t>
      </w:r>
      <w:r w:rsidRPr="00BA1F6B">
        <w:rPr>
          <w:color w:val="000000"/>
          <w:sz w:val="27"/>
          <w:szCs w:val="27"/>
        </w:rPr>
        <w:t> </w:t>
      </w:r>
      <w:r w:rsidRPr="00BA1F6B">
        <w:rPr>
          <w:rFonts w:ascii="Verdana" w:hAnsi="Verdana"/>
          <w:b/>
          <w:bCs/>
          <w:color w:val="FF0000"/>
          <w:sz w:val="20"/>
          <w:szCs w:val="20"/>
        </w:rPr>
        <w:t> </w:t>
      </w:r>
      <w:r w:rsidR="005A314A" w:rsidRPr="00BA1F6B">
        <w:rPr>
          <w:rFonts w:ascii="Palatino Linotype" w:hAnsi="Palatino Linotype"/>
          <w:b/>
          <w:bCs/>
          <w:sz w:val="24"/>
          <w:szCs w:val="24"/>
        </w:rPr>
        <w:t>00176/HUIXQUIL/IP/2025</w:t>
      </w:r>
      <w:r w:rsidRPr="00BA1F6B">
        <w:rPr>
          <w:rFonts w:ascii="Palatino Linotype" w:eastAsia="Times New Roman" w:hAnsi="Palatino Linotype" w:cs="Palatino Linotype"/>
          <w:sz w:val="24"/>
          <w:szCs w:val="24"/>
          <w:lang w:val="es-ES_tradnl" w:eastAsia="es-MX"/>
        </w:rPr>
        <w:t>,</w:t>
      </w:r>
      <w:r w:rsidRPr="00BA1F6B">
        <w:rPr>
          <w:rFonts w:ascii="Palatino Linotype" w:eastAsia="Times New Roman" w:hAnsi="Palatino Linotype" w:cs="Palatino Linotype"/>
          <w:b/>
          <w:sz w:val="24"/>
          <w:szCs w:val="24"/>
          <w:lang w:val="es-ES_tradnl" w:eastAsia="es-MX"/>
        </w:rPr>
        <w:t xml:space="preserve"> </w:t>
      </w:r>
      <w:r w:rsidRPr="00BA1F6B">
        <w:rPr>
          <w:rFonts w:ascii="Palatino Linotype" w:eastAsia="Times New Roman" w:hAnsi="Palatino Linotype" w:cs="Palatino Linotype"/>
          <w:color w:val="000000"/>
          <w:sz w:val="24"/>
          <w:szCs w:val="24"/>
          <w:lang w:val="es-ES_tradnl" w:eastAsia="es-MX"/>
        </w:rPr>
        <w:t>mediante la cual solicitó información en el tenor siguiente:</w:t>
      </w:r>
    </w:p>
    <w:p w14:paraId="2E4DF887" w14:textId="77777777" w:rsidR="000D134C" w:rsidRPr="00BA1F6B" w:rsidRDefault="000D134C" w:rsidP="005C2A3E">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00441C7A" w14:textId="6643C28D" w:rsidR="000D134C" w:rsidRPr="00BA1F6B" w:rsidRDefault="000D134C"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BA1F6B">
        <w:rPr>
          <w:rFonts w:ascii="Palatino Linotype" w:eastAsia="Times New Roman" w:hAnsi="Palatino Linotype" w:cs="Palatino Linotype"/>
          <w:i/>
          <w:iCs/>
          <w:color w:val="000000"/>
          <w:sz w:val="24"/>
          <w:szCs w:val="24"/>
          <w:lang w:val="es-ES_tradnl" w:eastAsia="es-MX"/>
        </w:rPr>
        <w:t>“</w:t>
      </w:r>
      <w:r w:rsidR="005A314A" w:rsidRPr="00BA1F6B">
        <w:rPr>
          <w:rFonts w:ascii="Palatino Linotype" w:hAnsi="Palatino Linotype"/>
          <w:i/>
          <w:color w:val="000000"/>
          <w:sz w:val="24"/>
          <w:szCs w:val="24"/>
        </w:rPr>
        <w:t>SOLICITO COPIA SIMPLE DIGITALIZADA A TRAVÉS DEL SISTEMA ELECTRÓNICO SAIMEX DEL PADRON Y/O CÉDULAS DE PROVEEDORES DEL AYUNTAMIENTO VIGENTE A LA FECHA DE ESTA SOLICITUD</w:t>
      </w:r>
      <w:r w:rsidRPr="00BA1F6B">
        <w:rPr>
          <w:rFonts w:ascii="Palatino Linotype" w:hAnsi="Palatino Linotype"/>
          <w:i/>
          <w:iCs/>
          <w:color w:val="000000"/>
          <w:sz w:val="24"/>
          <w:szCs w:val="24"/>
        </w:rPr>
        <w:t>”</w:t>
      </w:r>
      <w:r w:rsidRPr="00BA1F6B">
        <w:rPr>
          <w:rFonts w:ascii="Verdana" w:hAnsi="Verdana"/>
          <w:color w:val="000000"/>
          <w:sz w:val="14"/>
          <w:szCs w:val="14"/>
        </w:rPr>
        <w:t xml:space="preserve"> </w:t>
      </w:r>
      <w:r w:rsidRPr="00BA1F6B">
        <w:rPr>
          <w:rFonts w:ascii="Palatino Linotype" w:eastAsia="Times New Roman" w:hAnsi="Palatino Linotype" w:cs="Palatino Linotype"/>
          <w:i/>
          <w:color w:val="000000"/>
          <w:szCs w:val="24"/>
          <w:lang w:val="es-ES_tradnl" w:eastAsia="es-MX"/>
        </w:rPr>
        <w:t xml:space="preserve"> (Sic)</w:t>
      </w:r>
    </w:p>
    <w:p w14:paraId="50052818" w14:textId="77777777" w:rsidR="00273D73" w:rsidRPr="00BA1F6B" w:rsidRDefault="00273D73"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70E00E43"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 xml:space="preserve">Modalidad de entrega: </w:t>
      </w:r>
      <w:r w:rsidRPr="00BA1F6B">
        <w:rPr>
          <w:rFonts w:ascii="Palatino Linotype" w:eastAsia="Times New Roman" w:hAnsi="Palatino Linotype" w:cs="Palatino Linotype"/>
          <w:b/>
          <w:color w:val="000000"/>
          <w:sz w:val="24"/>
          <w:szCs w:val="24"/>
          <w:lang w:val="es-ES_tradnl" w:eastAsia="es-MX"/>
        </w:rPr>
        <w:t>A través del SAIMEX</w:t>
      </w:r>
      <w:r w:rsidRPr="00BA1F6B">
        <w:rPr>
          <w:rFonts w:ascii="Palatino Linotype" w:eastAsia="Times New Roman" w:hAnsi="Palatino Linotype" w:cs="Palatino Linotype"/>
          <w:color w:val="000000"/>
          <w:sz w:val="24"/>
          <w:szCs w:val="24"/>
          <w:lang w:val="es-ES_tradnl" w:eastAsia="es-MX"/>
        </w:rPr>
        <w:t>.</w:t>
      </w:r>
    </w:p>
    <w:p w14:paraId="5E901DFE" w14:textId="77777777" w:rsidR="000D134C" w:rsidRPr="00BA1F6B" w:rsidRDefault="000D134C" w:rsidP="005C2A3E">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59DB8AA4" w14:textId="77777777" w:rsidR="000D134C" w:rsidRPr="00BA1F6B"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1F6B">
        <w:rPr>
          <w:rFonts w:ascii="Palatino Linotype" w:eastAsia="Times New Roman" w:hAnsi="Palatino Linotype" w:cs="Times New Roman"/>
          <w:b/>
          <w:color w:val="000000" w:themeColor="text1"/>
          <w:sz w:val="28"/>
          <w:szCs w:val="28"/>
          <w:lang w:val="es-ES_tradnl" w:eastAsia="es-MX"/>
        </w:rPr>
        <w:t>SEGUNDO. De la respuesta del Sujeto Obligado.</w:t>
      </w:r>
    </w:p>
    <w:p w14:paraId="7B0B26F1" w14:textId="566EEBED"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FD33B3" w:rsidRPr="00BA1F6B">
        <w:rPr>
          <w:rFonts w:ascii="Palatino Linotype" w:eastAsia="Times New Roman" w:hAnsi="Palatino Linotype" w:cs="Palatino Linotype"/>
          <w:color w:val="000000"/>
          <w:sz w:val="24"/>
          <w:szCs w:val="24"/>
          <w:lang w:val="es-ES_tradnl" w:eastAsia="es-MX"/>
        </w:rPr>
        <w:t>veintisiete de noviembre de dos mil veinticinco</w:t>
      </w:r>
      <w:r w:rsidRPr="00BA1F6B">
        <w:rPr>
          <w:rFonts w:ascii="Palatino Linotype" w:eastAsia="Times New Roman" w:hAnsi="Palatino Linotype" w:cs="Palatino Linotype"/>
          <w:color w:val="000000"/>
          <w:sz w:val="24"/>
          <w:szCs w:val="24"/>
          <w:lang w:val="es-ES_tradnl" w:eastAsia="es-MX"/>
        </w:rPr>
        <w:t>, el Sujeto Obligado dio respuesta a la solicitud de informa</w:t>
      </w:r>
      <w:r w:rsidR="00273D73" w:rsidRPr="00BA1F6B">
        <w:rPr>
          <w:rFonts w:ascii="Palatino Linotype" w:eastAsia="Times New Roman" w:hAnsi="Palatino Linotype" w:cs="Palatino Linotype"/>
          <w:color w:val="000000"/>
          <w:sz w:val="24"/>
          <w:szCs w:val="24"/>
          <w:lang w:val="es-ES_tradnl" w:eastAsia="es-MX"/>
        </w:rPr>
        <w:t>ción manifestando lo siguiente:</w:t>
      </w:r>
    </w:p>
    <w:tbl>
      <w:tblPr>
        <w:tblW w:w="9072" w:type="dxa"/>
        <w:jc w:val="center"/>
        <w:tblCellSpacing w:w="0" w:type="dxa"/>
        <w:tblCellMar>
          <w:left w:w="0" w:type="dxa"/>
          <w:right w:w="0" w:type="dxa"/>
        </w:tblCellMar>
        <w:tblLook w:val="04A0" w:firstRow="1" w:lastRow="0" w:firstColumn="1" w:lastColumn="0" w:noHBand="0" w:noVBand="1"/>
      </w:tblPr>
      <w:tblGrid>
        <w:gridCol w:w="9072"/>
      </w:tblGrid>
      <w:tr w:rsidR="00287997" w:rsidRPr="00BA1F6B" w14:paraId="118CA63C" w14:textId="77777777" w:rsidTr="00FD33B3">
        <w:trPr>
          <w:trHeight w:val="300"/>
          <w:tblCellSpacing w:w="0" w:type="dxa"/>
          <w:jc w:val="center"/>
        </w:trPr>
        <w:tc>
          <w:tcPr>
            <w:tcW w:w="9072" w:type="dxa"/>
            <w:vAlign w:val="center"/>
          </w:tcPr>
          <w:p w14:paraId="609D6731" w14:textId="67EA8FE1" w:rsidR="00287997" w:rsidRPr="00BA1F6B" w:rsidRDefault="00287997" w:rsidP="00AF3EDD">
            <w:pPr>
              <w:spacing w:after="0" w:line="360" w:lineRule="auto"/>
              <w:ind w:right="567"/>
              <w:contextualSpacing/>
              <w:rPr>
                <w:rFonts w:ascii="Palatino Linotype" w:eastAsia="Times New Roman" w:hAnsi="Palatino Linotype" w:cs="Palatino Linotype"/>
                <w:i/>
                <w:color w:val="000000"/>
                <w:sz w:val="24"/>
                <w:szCs w:val="24"/>
                <w:lang w:eastAsia="es-MX"/>
              </w:rPr>
            </w:pPr>
          </w:p>
        </w:tc>
      </w:tr>
      <w:tr w:rsidR="00287997" w:rsidRPr="00BA1F6B" w14:paraId="22718FA5" w14:textId="77777777" w:rsidTr="00FD33B3">
        <w:trPr>
          <w:trHeight w:val="450"/>
          <w:tblCellSpacing w:w="0" w:type="dxa"/>
          <w:jc w:val="center"/>
        </w:trPr>
        <w:tc>
          <w:tcPr>
            <w:tcW w:w="9072" w:type="dxa"/>
            <w:vAlign w:val="center"/>
          </w:tcPr>
          <w:p w14:paraId="2628FF16" w14:textId="39A0B402" w:rsidR="00FD33B3" w:rsidRPr="00BA1F6B" w:rsidRDefault="00AF3EDD" w:rsidP="00FD33B3">
            <w:pPr>
              <w:spacing w:after="0" w:line="360" w:lineRule="auto"/>
              <w:ind w:left="567" w:right="567"/>
              <w:contextualSpacing/>
              <w:jc w:val="right"/>
              <w:rPr>
                <w:rFonts w:ascii="Palatino Linotype" w:eastAsia="Times New Roman" w:hAnsi="Palatino Linotype" w:cs="Palatino Linotype"/>
                <w:i/>
                <w:color w:val="000000"/>
                <w:sz w:val="24"/>
                <w:szCs w:val="24"/>
                <w:lang w:eastAsia="es-MX"/>
              </w:rPr>
            </w:pPr>
            <w:r w:rsidRPr="00BA1F6B">
              <w:rPr>
                <w:rFonts w:ascii="Palatino Linotype" w:eastAsia="Times New Roman" w:hAnsi="Palatino Linotype" w:cs="Palatino Linotype"/>
                <w:i/>
                <w:color w:val="000000"/>
                <w:sz w:val="24"/>
                <w:szCs w:val="24"/>
                <w:lang w:eastAsia="es-MX"/>
              </w:rPr>
              <w:t>“</w:t>
            </w:r>
            <w:r w:rsidR="00FD33B3" w:rsidRPr="00BA1F6B">
              <w:rPr>
                <w:rFonts w:ascii="Palatino Linotype" w:eastAsia="Times New Roman" w:hAnsi="Palatino Linotype" w:cs="Palatino Linotype"/>
                <w:i/>
                <w:color w:val="000000"/>
                <w:sz w:val="24"/>
                <w:szCs w:val="24"/>
                <w:lang w:eastAsia="es-MX"/>
              </w:rPr>
              <w:t>Folio de la solicitud: 00176/HUIXQUIL/IP/2025</w:t>
            </w:r>
          </w:p>
          <w:p w14:paraId="305AB2C7" w14:textId="77777777" w:rsidR="00AF3EDD" w:rsidRPr="00BA1F6B" w:rsidRDefault="00AF3EDD" w:rsidP="00FD33B3">
            <w:pPr>
              <w:spacing w:after="0" w:line="360" w:lineRule="auto"/>
              <w:ind w:left="567" w:right="567"/>
              <w:contextualSpacing/>
              <w:jc w:val="right"/>
              <w:rPr>
                <w:rFonts w:ascii="Palatino Linotype" w:eastAsia="Times New Roman" w:hAnsi="Palatino Linotype" w:cs="Palatino Linotype"/>
                <w:i/>
                <w:color w:val="000000"/>
                <w:sz w:val="24"/>
                <w:szCs w:val="24"/>
                <w:lang w:eastAsia="es-MX"/>
              </w:rPr>
            </w:pPr>
          </w:p>
          <w:p w14:paraId="50AAE8AC" w14:textId="77777777" w:rsidR="00FD33B3" w:rsidRPr="00BA1F6B" w:rsidRDefault="00FD33B3" w:rsidP="00FD33B3">
            <w:pPr>
              <w:spacing w:after="0" w:line="360" w:lineRule="auto"/>
              <w:ind w:left="567" w:right="567"/>
              <w:contextualSpacing/>
              <w:jc w:val="both"/>
              <w:rPr>
                <w:rFonts w:ascii="Palatino Linotype" w:eastAsia="Times New Roman" w:hAnsi="Palatino Linotype" w:cs="Palatino Linotype"/>
                <w:i/>
                <w:color w:val="000000"/>
                <w:sz w:val="24"/>
                <w:szCs w:val="24"/>
                <w:lang w:eastAsia="es-MX"/>
              </w:rPr>
            </w:pPr>
            <w:r w:rsidRPr="00BA1F6B">
              <w:rPr>
                <w:rFonts w:ascii="Palatino Linotype" w:eastAsia="Times New Roman" w:hAnsi="Palatino Linotype" w:cs="Palatino Linotype"/>
                <w:i/>
                <w:color w:val="000000"/>
                <w:sz w:val="24"/>
                <w:szCs w:val="24"/>
                <w:lang w:eastAsia="es-MX"/>
              </w:rPr>
              <w:t xml:space="preserve">En ejercicio de las atribuciones conferidas por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Título Noveno del Código Administrativo del Estado de México; así como el numeral 38 inciso d) de los Lineamientos para la Recepción, Trámite y Resolución de las Solicitudes de Acceso a la Información Pública, Acceso, Modificación, Sustitución, Rectificación o Supresión Parcial o Total de Datos Personales, en atención a su solicitud de información registrada en el Sistema de Acceso a la Información Mexiquense (SAIMEX) con el número de folio 00176/HUIXQUIL/IP/2025, que a la letra dice: “SOLICITO COPIA SIMPLE DIGITALIZADA A TRAVÉS DEL SISTEMA ELECTRÓNICO SAIMEX DEL PADRON Y/O CÉDULAS DE PROVEEDORES DEL AYUNTAMIENTO VIGENTE A LA FECHA DE ESTA SOLICITUD.” (sic). Sobre el particular, esta Unidad de Transparencia, en ejercicio de las atribuciones </w:t>
            </w:r>
            <w:r w:rsidRPr="00BA1F6B">
              <w:rPr>
                <w:rFonts w:ascii="Palatino Linotype" w:eastAsia="Times New Roman" w:hAnsi="Palatino Linotype" w:cs="Palatino Linotype"/>
                <w:i/>
                <w:color w:val="000000"/>
                <w:sz w:val="24"/>
                <w:szCs w:val="24"/>
                <w:lang w:eastAsia="es-MX"/>
              </w:rPr>
              <w:lastRenderedPageBreak/>
              <w:t>que la ley le confiere, turnó su solicitud de información a la siguiente Unidad Administrativa: Dirección General de Administración, que, de conformidad con lo establecido en el Reglamento Orgánico de la Administración Pública Municipal de Huixquilucan, es competente para contestar su solicitud de información, misma que manifestó lo siguiente: Dirección General de Administración: “Respuesta 00174/Huixquil/ip/2025” (sic). Por último, no omito mencionar que el derecho de acceso a la información tiene como objetivo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2BDEFCD1" w14:textId="77777777" w:rsidR="00FD33B3" w:rsidRPr="00BA1F6B" w:rsidRDefault="00FD33B3" w:rsidP="00FD33B3">
            <w:pPr>
              <w:spacing w:after="0" w:line="360" w:lineRule="auto"/>
              <w:ind w:left="567" w:right="567"/>
              <w:contextualSpacing/>
              <w:jc w:val="both"/>
              <w:rPr>
                <w:rFonts w:ascii="Palatino Linotype" w:eastAsia="Times New Roman" w:hAnsi="Palatino Linotype" w:cs="Palatino Linotype"/>
                <w:i/>
                <w:color w:val="000000"/>
                <w:sz w:val="24"/>
                <w:szCs w:val="24"/>
                <w:lang w:eastAsia="es-MX"/>
              </w:rPr>
            </w:pPr>
          </w:p>
          <w:p w14:paraId="47ACE82C" w14:textId="77777777" w:rsidR="00FD33B3" w:rsidRPr="00BA1F6B" w:rsidRDefault="00FD33B3" w:rsidP="00FD33B3">
            <w:pPr>
              <w:spacing w:after="0" w:line="360" w:lineRule="auto"/>
              <w:ind w:left="567" w:right="567"/>
              <w:contextualSpacing/>
              <w:rPr>
                <w:rFonts w:ascii="Palatino Linotype" w:eastAsia="Times New Roman" w:hAnsi="Palatino Linotype" w:cs="Palatino Linotype"/>
                <w:i/>
                <w:color w:val="000000"/>
                <w:sz w:val="24"/>
                <w:szCs w:val="24"/>
                <w:lang w:eastAsia="es-MX"/>
              </w:rPr>
            </w:pPr>
            <w:r w:rsidRPr="00BA1F6B">
              <w:rPr>
                <w:rFonts w:ascii="Palatino Linotype" w:eastAsia="Times New Roman" w:hAnsi="Palatino Linotype" w:cs="Palatino Linotype"/>
                <w:i/>
                <w:color w:val="000000"/>
                <w:sz w:val="24"/>
                <w:szCs w:val="24"/>
                <w:lang w:eastAsia="es-MX"/>
              </w:rPr>
              <w:t>ATENTAMENTE</w:t>
            </w:r>
          </w:p>
          <w:p w14:paraId="5BD200B2" w14:textId="25D04BC0" w:rsidR="00287997" w:rsidRPr="00BA1F6B" w:rsidRDefault="00FD33B3" w:rsidP="00FD33B3">
            <w:pPr>
              <w:spacing w:after="0" w:line="360" w:lineRule="auto"/>
              <w:ind w:left="567" w:right="567"/>
              <w:contextualSpacing/>
              <w:rPr>
                <w:rFonts w:ascii="Palatino Linotype" w:eastAsia="Times New Roman" w:hAnsi="Palatino Linotype" w:cs="Palatino Linotype"/>
                <w:i/>
                <w:color w:val="000000"/>
                <w:sz w:val="24"/>
                <w:szCs w:val="24"/>
                <w:lang w:eastAsia="es-MX"/>
              </w:rPr>
            </w:pPr>
            <w:r w:rsidRPr="00BA1F6B">
              <w:rPr>
                <w:rFonts w:ascii="Palatino Linotype" w:eastAsia="Times New Roman" w:hAnsi="Palatino Linotype" w:cs="Palatino Linotype"/>
                <w:i/>
                <w:color w:val="000000"/>
                <w:sz w:val="24"/>
                <w:szCs w:val="24"/>
                <w:lang w:eastAsia="es-MX"/>
              </w:rPr>
              <w:t>LIC. DIEGO TEJEDA CALVARIO</w:t>
            </w:r>
            <w:r w:rsidR="00AF3EDD" w:rsidRPr="00BA1F6B">
              <w:rPr>
                <w:rFonts w:ascii="Palatino Linotype" w:eastAsia="Times New Roman" w:hAnsi="Palatino Linotype" w:cs="Palatino Linotype"/>
                <w:i/>
                <w:color w:val="000000"/>
                <w:sz w:val="24"/>
                <w:szCs w:val="24"/>
                <w:lang w:eastAsia="es-MX"/>
              </w:rPr>
              <w:t>” (Sic.)</w:t>
            </w:r>
          </w:p>
        </w:tc>
      </w:tr>
    </w:tbl>
    <w:p w14:paraId="5424865B" w14:textId="77777777" w:rsidR="00155D8D" w:rsidRPr="00BA1F6B" w:rsidRDefault="00155D8D"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5551158" w14:textId="182202C2" w:rsidR="000D134C" w:rsidRPr="00BA1F6B" w:rsidRDefault="000D134C" w:rsidP="00155D8D">
      <w:pPr>
        <w:spacing w:after="0" w:line="360" w:lineRule="auto"/>
        <w:contextualSpacing/>
        <w:jc w:val="both"/>
        <w:rPr>
          <w:rFonts w:ascii="Palatino Linotype" w:hAnsi="Palatino Linotype" w:cs="Arial"/>
          <w:b/>
          <w:bCs/>
          <w:i/>
          <w:sz w:val="24"/>
          <w:szCs w:val="24"/>
        </w:rPr>
      </w:pPr>
      <w:r w:rsidRPr="00BA1F6B">
        <w:rPr>
          <w:rFonts w:ascii="Palatino Linotype" w:eastAsia="Times New Roman" w:hAnsi="Palatino Linotype" w:cs="Palatino Linotype"/>
          <w:color w:val="000000"/>
          <w:sz w:val="24"/>
          <w:szCs w:val="24"/>
          <w:lang w:val="es-ES_tradnl" w:eastAsia="es-MX"/>
        </w:rPr>
        <w:t xml:space="preserve">El Sujeto Obligado adjuntó a su respuesta </w:t>
      </w:r>
      <w:r w:rsidR="00287997" w:rsidRPr="00BA1F6B">
        <w:rPr>
          <w:rFonts w:ascii="Palatino Linotype" w:eastAsia="Times New Roman" w:hAnsi="Palatino Linotype" w:cs="Palatino Linotype"/>
          <w:color w:val="000000"/>
          <w:sz w:val="24"/>
          <w:szCs w:val="24"/>
          <w:lang w:val="es-ES_tradnl" w:eastAsia="es-MX"/>
        </w:rPr>
        <w:t>el</w:t>
      </w:r>
      <w:r w:rsidRPr="00BA1F6B">
        <w:rPr>
          <w:rFonts w:ascii="Palatino Linotype" w:eastAsia="Times New Roman" w:hAnsi="Palatino Linotype" w:cs="Palatino Linotype"/>
          <w:color w:val="000000"/>
          <w:sz w:val="24"/>
          <w:szCs w:val="24"/>
          <w:lang w:val="es-ES_tradnl" w:eastAsia="es-MX"/>
        </w:rPr>
        <w:t xml:space="preserve"> documento denominado </w:t>
      </w:r>
      <w:r w:rsidRPr="00BA1F6B">
        <w:rPr>
          <w:rFonts w:ascii="Palatino Linotype" w:eastAsia="Times New Roman" w:hAnsi="Palatino Linotype" w:cs="Palatino Linotype"/>
          <w:i/>
          <w:sz w:val="24"/>
          <w:szCs w:val="24"/>
          <w:lang w:val="es-ES_tradnl" w:eastAsia="es-MX"/>
        </w:rPr>
        <w:t>“</w:t>
      </w:r>
      <w:r w:rsidR="00155D8D" w:rsidRPr="00BA1F6B">
        <w:rPr>
          <w:rFonts w:ascii="Palatino Linotype" w:hAnsi="Palatino Linotype" w:cs="Arial"/>
          <w:b/>
          <w:bCs/>
          <w:i/>
          <w:sz w:val="24"/>
          <w:szCs w:val="24"/>
        </w:rPr>
        <w:t>Of. DGA-1759. Envio de Resp. 00176.pdf”, “Anexo Respuesta 00176.pdf” y “Of. DRMySG-2342 Resp. 00176.pdf</w:t>
      </w:r>
      <w:r w:rsidRPr="00BA1F6B">
        <w:rPr>
          <w:rFonts w:ascii="Palatino Linotype" w:hAnsi="Palatino Linotype" w:cs="Arial"/>
          <w:b/>
          <w:bCs/>
          <w:i/>
          <w:iCs/>
          <w:sz w:val="24"/>
          <w:szCs w:val="24"/>
        </w:rPr>
        <w:t>”</w:t>
      </w:r>
      <w:r w:rsidRPr="00BA1F6B">
        <w:rPr>
          <w:rFonts w:ascii="Palatino Linotype" w:hAnsi="Palatino Linotype" w:cs="Arial"/>
          <w:b/>
          <w:bCs/>
          <w:i/>
          <w:sz w:val="24"/>
          <w:szCs w:val="24"/>
        </w:rPr>
        <w:t>,</w:t>
      </w:r>
      <w:r w:rsidRPr="00BA1F6B">
        <w:rPr>
          <w:rFonts w:ascii="Palatino Linotype" w:hAnsi="Palatino Linotype" w:cs="Arial"/>
          <w:b/>
          <w:bCs/>
          <w:sz w:val="24"/>
          <w:szCs w:val="24"/>
        </w:rPr>
        <w:t xml:space="preserve"> </w:t>
      </w:r>
      <w:r w:rsidR="00287997" w:rsidRPr="00BA1F6B">
        <w:rPr>
          <w:rFonts w:ascii="Palatino Linotype" w:hAnsi="Palatino Linotype" w:cs="Arial"/>
          <w:bCs/>
          <w:sz w:val="24"/>
          <w:szCs w:val="24"/>
        </w:rPr>
        <w:t>el</w:t>
      </w:r>
      <w:r w:rsidRPr="00BA1F6B">
        <w:rPr>
          <w:rFonts w:ascii="Palatino Linotype" w:hAnsi="Palatino Linotype" w:cs="Arial"/>
          <w:bCs/>
          <w:sz w:val="24"/>
          <w:szCs w:val="24"/>
        </w:rPr>
        <w:t xml:space="preserve"> cual </w:t>
      </w:r>
      <w:r w:rsidRPr="00BA1F6B">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5B875FDE" w14:textId="77777777" w:rsidR="000D134C" w:rsidRPr="00BA1F6B" w:rsidRDefault="000D134C" w:rsidP="005C2A3E">
      <w:pPr>
        <w:spacing w:after="0" w:line="360" w:lineRule="auto"/>
        <w:contextualSpacing/>
        <w:jc w:val="both"/>
        <w:rPr>
          <w:rFonts w:ascii="Palatino Linotype" w:hAnsi="Palatino Linotype"/>
          <w:sz w:val="24"/>
          <w:szCs w:val="24"/>
        </w:rPr>
      </w:pPr>
    </w:p>
    <w:p w14:paraId="7375AE13" w14:textId="77777777" w:rsidR="000D134C" w:rsidRPr="00BA1F6B"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1F6B">
        <w:rPr>
          <w:rFonts w:ascii="Palatino Linotype" w:eastAsia="Times New Roman" w:hAnsi="Palatino Linotype" w:cs="Times New Roman"/>
          <w:b/>
          <w:color w:val="000000" w:themeColor="text1"/>
          <w:sz w:val="28"/>
          <w:szCs w:val="28"/>
          <w:lang w:val="es-ES_tradnl" w:eastAsia="es-MX"/>
        </w:rPr>
        <w:t>TERCERO. Del recurso de revisión.</w:t>
      </w:r>
    </w:p>
    <w:p w14:paraId="04A3F45C" w14:textId="75665D0D"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2F11B1" w:rsidRPr="00BA1F6B">
        <w:rPr>
          <w:rFonts w:ascii="Palatino Linotype" w:eastAsia="Times New Roman" w:hAnsi="Palatino Linotype" w:cs="Palatino Linotype"/>
          <w:color w:val="000000"/>
          <w:sz w:val="24"/>
          <w:szCs w:val="24"/>
          <w:lang w:val="es-ES_tradnl" w:eastAsia="es-MX"/>
        </w:rPr>
        <w:t>veinti</w:t>
      </w:r>
      <w:r w:rsidR="00176925" w:rsidRPr="00BA1F6B">
        <w:rPr>
          <w:rFonts w:ascii="Palatino Linotype" w:eastAsia="Times New Roman" w:hAnsi="Palatino Linotype" w:cs="Palatino Linotype"/>
          <w:color w:val="000000"/>
          <w:sz w:val="24"/>
          <w:szCs w:val="24"/>
          <w:lang w:val="es-ES_tradnl" w:eastAsia="es-MX"/>
        </w:rPr>
        <w:t xml:space="preserve">uno de enero </w:t>
      </w:r>
      <w:r w:rsidRPr="00BA1F6B">
        <w:rPr>
          <w:rFonts w:ascii="Palatino Linotype" w:eastAsia="Times New Roman" w:hAnsi="Palatino Linotype" w:cs="Palatino Linotype"/>
          <w:color w:val="000000"/>
          <w:sz w:val="24"/>
          <w:szCs w:val="24"/>
          <w:lang w:val="es-ES_tradnl" w:eastAsia="es-MX"/>
        </w:rPr>
        <w:t xml:space="preserve">de dos mil </w:t>
      </w:r>
      <w:r w:rsidR="00176925" w:rsidRPr="00BA1F6B">
        <w:rPr>
          <w:rFonts w:ascii="Palatino Linotype" w:eastAsia="Times New Roman" w:hAnsi="Palatino Linotype" w:cs="Palatino Linotype"/>
          <w:color w:val="000000"/>
          <w:sz w:val="24"/>
          <w:szCs w:val="24"/>
          <w:lang w:val="es-ES_tradnl" w:eastAsia="es-MX"/>
        </w:rPr>
        <w:t>veintiséis</w:t>
      </w:r>
      <w:r w:rsidRPr="00BA1F6B">
        <w:rPr>
          <w:rFonts w:ascii="Palatino Linotype" w:eastAsia="Times New Roman" w:hAnsi="Palatino Linotype" w:cs="Palatino Linotype"/>
          <w:color w:val="000000"/>
          <w:sz w:val="24"/>
          <w:szCs w:val="24"/>
          <w:lang w:val="es-ES_tradnl" w:eastAsia="es-MX"/>
        </w:rPr>
        <w:t xml:space="preserve">, el cual se registró con el expediente número </w:t>
      </w:r>
      <w:r w:rsidR="00176925" w:rsidRPr="00BA1F6B">
        <w:rPr>
          <w:rFonts w:ascii="Palatino Linotype" w:eastAsia="Times New Roman" w:hAnsi="Palatino Linotype" w:cs="Palatino Linotype"/>
          <w:b/>
          <w:color w:val="000000"/>
          <w:sz w:val="24"/>
          <w:szCs w:val="24"/>
          <w:lang w:val="es-ES_tradnl" w:eastAsia="es-MX"/>
        </w:rPr>
        <w:t>0</w:t>
      </w:r>
      <w:r w:rsidR="00E65ED9" w:rsidRPr="00BA1F6B">
        <w:rPr>
          <w:rFonts w:ascii="Palatino Linotype" w:eastAsia="Times New Roman" w:hAnsi="Palatino Linotype" w:cs="Palatino Linotype"/>
          <w:b/>
          <w:color w:val="000000"/>
          <w:sz w:val="24"/>
          <w:szCs w:val="24"/>
          <w:lang w:val="es-ES_tradnl" w:eastAsia="es-MX"/>
        </w:rPr>
        <w:t>14445</w:t>
      </w:r>
      <w:r w:rsidRPr="00BA1F6B">
        <w:rPr>
          <w:rFonts w:ascii="Palatino Linotype" w:eastAsia="Times New Roman" w:hAnsi="Palatino Linotype" w:cs="Palatino Linotype"/>
          <w:b/>
          <w:color w:val="000000"/>
          <w:sz w:val="24"/>
          <w:szCs w:val="24"/>
          <w:lang w:val="es-ES_tradnl" w:eastAsia="es-MX"/>
        </w:rPr>
        <w:t>/INFOEM/IP/RR/202</w:t>
      </w:r>
      <w:r w:rsidR="00E65ED9" w:rsidRPr="00BA1F6B">
        <w:rPr>
          <w:rFonts w:ascii="Palatino Linotype" w:eastAsia="Times New Roman" w:hAnsi="Palatino Linotype" w:cs="Palatino Linotype"/>
          <w:b/>
          <w:color w:val="000000"/>
          <w:sz w:val="24"/>
          <w:szCs w:val="24"/>
          <w:lang w:val="es-ES_tradnl" w:eastAsia="es-MX"/>
        </w:rPr>
        <w:t>5</w:t>
      </w:r>
      <w:r w:rsidRPr="00BA1F6B">
        <w:rPr>
          <w:rFonts w:ascii="Palatino Linotype" w:eastAsia="Times New Roman" w:hAnsi="Palatino Linotype" w:cs="Palatino Linotype"/>
          <w:color w:val="000000"/>
          <w:sz w:val="24"/>
          <w:szCs w:val="24"/>
          <w:lang w:val="es-ES_tradnl" w:eastAsia="es-MX"/>
        </w:rPr>
        <w:t>, manifestando lo siguiente:</w:t>
      </w:r>
    </w:p>
    <w:p w14:paraId="6283396E" w14:textId="77777777" w:rsidR="002F11B1" w:rsidRPr="00BA1F6B" w:rsidRDefault="002F11B1"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0E21ECD" w14:textId="77777777" w:rsidR="000D134C" w:rsidRPr="00BA1F6B"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BA1F6B">
        <w:rPr>
          <w:rFonts w:ascii="Palatino Linotype" w:hAnsi="Palatino Linotype" w:cs="Palatino Linotype"/>
          <w:b/>
          <w:i/>
          <w:sz w:val="24"/>
          <w:szCs w:val="24"/>
          <w:lang w:val="es-ES_tradnl" w:eastAsia="es-MX"/>
        </w:rPr>
        <w:t xml:space="preserve">Acto Impugnado y </w:t>
      </w:r>
    </w:p>
    <w:p w14:paraId="1DC46CDA" w14:textId="3F9E9486" w:rsidR="000D134C" w:rsidRPr="00BA1F6B" w:rsidRDefault="000D134C" w:rsidP="005C2A3E">
      <w:pPr>
        <w:spacing w:after="0"/>
        <w:ind w:left="425"/>
        <w:jc w:val="both"/>
        <w:rPr>
          <w:rFonts w:ascii="Times New Roman" w:eastAsia="Times New Roman" w:hAnsi="Times New Roman" w:cs="Times New Roman"/>
          <w:sz w:val="24"/>
          <w:szCs w:val="24"/>
          <w:lang w:eastAsia="es-MX"/>
        </w:rPr>
      </w:pPr>
      <w:r w:rsidRPr="00BA1F6B">
        <w:rPr>
          <w:rFonts w:ascii="Palatino Linotype" w:hAnsi="Palatino Linotype"/>
          <w:i/>
          <w:iCs/>
          <w:color w:val="000000"/>
          <w:sz w:val="24"/>
          <w:szCs w:val="24"/>
        </w:rPr>
        <w:t>“</w:t>
      </w:r>
      <w:r w:rsidR="00E65ED9" w:rsidRPr="00BA1F6B">
        <w:rPr>
          <w:rFonts w:ascii="Palatino Linotype" w:hAnsi="Palatino Linotype"/>
          <w:i/>
          <w:iCs/>
          <w:color w:val="000000"/>
          <w:sz w:val="24"/>
          <w:szCs w:val="24"/>
        </w:rPr>
        <w:t>RESPUESTA A LA SOLICITUD 00176/HUIXQUIL/IP/2025</w:t>
      </w:r>
      <w:r w:rsidRPr="00BA1F6B">
        <w:rPr>
          <w:rFonts w:ascii="Palatino Linotype" w:hAnsi="Palatino Linotype"/>
          <w:i/>
          <w:color w:val="000000"/>
          <w:sz w:val="24"/>
          <w:szCs w:val="24"/>
        </w:rPr>
        <w:t>” (Sic)</w:t>
      </w:r>
    </w:p>
    <w:p w14:paraId="13909A86" w14:textId="77777777" w:rsidR="000D134C" w:rsidRPr="00BA1F6B" w:rsidRDefault="000D134C" w:rsidP="005C2A3E">
      <w:pPr>
        <w:pStyle w:val="Prrafodelista"/>
        <w:spacing w:after="0" w:line="360" w:lineRule="auto"/>
        <w:ind w:left="785" w:right="567"/>
        <w:jc w:val="both"/>
        <w:rPr>
          <w:rFonts w:ascii="Palatino Linotype" w:hAnsi="Palatino Linotype"/>
          <w:i/>
          <w:color w:val="000000"/>
          <w:sz w:val="24"/>
          <w:szCs w:val="24"/>
        </w:rPr>
      </w:pPr>
    </w:p>
    <w:p w14:paraId="2D84CA6B" w14:textId="0A32981F" w:rsidR="000D134C" w:rsidRPr="00BA1F6B"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BA1F6B">
        <w:rPr>
          <w:rFonts w:ascii="Palatino Linotype" w:eastAsia="Times New Roman" w:hAnsi="Palatino Linotype" w:cs="Palatino Linotype"/>
          <w:b/>
          <w:i/>
          <w:sz w:val="24"/>
          <w:szCs w:val="24"/>
          <w:lang w:val="es-ES_tradnl" w:eastAsia="es-MX"/>
        </w:rPr>
        <w:t xml:space="preserve"> Motivos de Inconformidad</w:t>
      </w:r>
      <w:r w:rsidRPr="00BA1F6B">
        <w:rPr>
          <w:rFonts w:ascii="Palatino Linotype" w:hAnsi="Palatino Linotype" w:cs="Palatino Linotype"/>
          <w:b/>
          <w:i/>
          <w:sz w:val="24"/>
          <w:szCs w:val="24"/>
          <w:lang w:val="es-ES_tradnl" w:eastAsia="es-MX"/>
        </w:rPr>
        <w:t xml:space="preserve">: </w:t>
      </w:r>
    </w:p>
    <w:p w14:paraId="5A562623" w14:textId="3C4EA6F9" w:rsidR="000D134C" w:rsidRPr="00BA1F6B" w:rsidRDefault="000D134C" w:rsidP="005C2A3E">
      <w:pPr>
        <w:spacing w:after="0" w:line="360" w:lineRule="auto"/>
        <w:ind w:left="425" w:right="567"/>
        <w:contextualSpacing/>
        <w:jc w:val="both"/>
        <w:rPr>
          <w:rFonts w:ascii="Palatino Linotype" w:eastAsia="Times New Roman" w:hAnsi="Palatino Linotype" w:cs="Palatino Linotype"/>
          <w:bCs/>
          <w:i/>
          <w:color w:val="000000"/>
          <w:lang w:eastAsia="es-MX"/>
        </w:rPr>
      </w:pPr>
      <w:r w:rsidRPr="00BA1F6B">
        <w:rPr>
          <w:rFonts w:ascii="Palatino Linotype" w:eastAsia="Times New Roman" w:hAnsi="Palatino Linotype" w:cs="Palatino Linotype"/>
          <w:bCs/>
          <w:i/>
          <w:color w:val="000000"/>
          <w:sz w:val="24"/>
          <w:szCs w:val="24"/>
          <w:lang w:eastAsia="es-MX"/>
        </w:rPr>
        <w:t>“</w:t>
      </w:r>
      <w:r w:rsidR="00E65ED9" w:rsidRPr="00BA1F6B">
        <w:rPr>
          <w:rFonts w:ascii="Palatino Linotype" w:hAnsi="Palatino Linotype"/>
          <w:i/>
          <w:color w:val="000000"/>
          <w:sz w:val="24"/>
          <w:szCs w:val="24"/>
        </w:rPr>
        <w:t xml:space="preserve">LA INFORMACION QUE EL SUJETO OBLIGADO PONE A DISPOSICIÓN MEDIANTE ENLACES ELECTRÓNICOS ES INCOMPLETA Y NO CUMPLE CON LOS TÉRMINOS EXPRESADOS EN LA SOLICITUD, LA CUAL ESTABLECE QUE SE SOLICITA COPIA SIMPLE A TRAVES DEL SISTEMA ELECTRÓNICO SAIMEX. CON ESTO EL SUJETO OBLIGADO INCURRE EN UNA MODIFICACION UNILATERAL EN LA MODALIDAD DE ENTREGA QUE NO CUMPLE CON LO ESTABLECIDO EN LA SOLICITUD, POR LO ANTERIOR, SOLICITO SE REVOQUE LA RESPUESTA Y SE ORDENE LA </w:t>
      </w:r>
      <w:r w:rsidR="00E65ED9" w:rsidRPr="00BA1F6B">
        <w:rPr>
          <w:rFonts w:ascii="Palatino Linotype" w:hAnsi="Palatino Linotype"/>
          <w:i/>
          <w:color w:val="000000"/>
          <w:sz w:val="24"/>
          <w:szCs w:val="24"/>
        </w:rPr>
        <w:lastRenderedPageBreak/>
        <w:t>ENTREGA DE LA INFORMACION EN LOS TÉRMINOS EXACTOS EN QUE FUE SOLICITADA.</w:t>
      </w:r>
      <w:r w:rsidRPr="00BA1F6B">
        <w:rPr>
          <w:rFonts w:ascii="Palatino Linotype" w:hAnsi="Palatino Linotype"/>
          <w:i/>
          <w:color w:val="000000"/>
          <w:sz w:val="24"/>
          <w:szCs w:val="24"/>
        </w:rPr>
        <w:t>” (Sic)</w:t>
      </w:r>
    </w:p>
    <w:p w14:paraId="3602008E" w14:textId="77777777" w:rsidR="000D134C" w:rsidRPr="00BA1F6B" w:rsidRDefault="000D134C" w:rsidP="005C2A3E">
      <w:pPr>
        <w:spacing w:after="0" w:line="360" w:lineRule="auto"/>
        <w:ind w:right="567"/>
        <w:contextualSpacing/>
        <w:jc w:val="both"/>
        <w:rPr>
          <w:rFonts w:ascii="Palatino Linotype" w:eastAsia="Times New Roman" w:hAnsi="Palatino Linotype" w:cs="Palatino Linotype"/>
          <w:b/>
          <w:i/>
          <w:color w:val="000000"/>
          <w:lang w:eastAsia="es-MX"/>
        </w:rPr>
      </w:pPr>
    </w:p>
    <w:p w14:paraId="05DC1A63" w14:textId="77777777" w:rsidR="000D134C" w:rsidRPr="00BA1F6B" w:rsidRDefault="000D134C" w:rsidP="005C2A3E">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67ECF06D" w14:textId="31D6E82A" w:rsidR="000D134C" w:rsidRPr="00BA1F6B"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1F6B">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7D062BD" w14:textId="230C439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 xml:space="preserve">Medio de impugnación que le fue turnado al </w:t>
      </w:r>
      <w:r w:rsidRPr="00BA1F6B">
        <w:rPr>
          <w:rFonts w:ascii="Palatino Linotype" w:eastAsia="Times New Roman" w:hAnsi="Palatino Linotype" w:cs="Palatino Linotype"/>
          <w:b/>
          <w:color w:val="000000"/>
          <w:sz w:val="24"/>
          <w:szCs w:val="24"/>
          <w:lang w:val="es-ES_tradnl" w:eastAsia="es-MX"/>
        </w:rPr>
        <w:t>Comisionado Presidente José Martínez Vilchis</w:t>
      </w:r>
      <w:r w:rsidRPr="00BA1F6B">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BA1F6B">
        <w:rPr>
          <w:rFonts w:ascii="Palatino Linotype" w:eastAsia="Times New Roman" w:hAnsi="Palatino Linotype" w:cs="Palatino Linotype"/>
          <w:b/>
          <w:color w:val="000000"/>
          <w:sz w:val="24"/>
          <w:szCs w:val="24"/>
          <w:lang w:val="es-ES_tradnl" w:eastAsia="es-MX"/>
        </w:rPr>
        <w:t xml:space="preserve"> </w:t>
      </w:r>
      <w:r w:rsidR="00027CC9" w:rsidRPr="00BA1F6B">
        <w:rPr>
          <w:rFonts w:ascii="Palatino Linotype" w:eastAsia="Times New Roman" w:hAnsi="Palatino Linotype" w:cs="Palatino Linotype"/>
          <w:b/>
          <w:color w:val="000000"/>
          <w:sz w:val="24"/>
          <w:szCs w:val="24"/>
          <w:lang w:val="es-ES_tradnl" w:eastAsia="es-MX"/>
        </w:rPr>
        <w:t>dieciocho de diciembre</w:t>
      </w:r>
      <w:r w:rsidR="00DF38D1" w:rsidRPr="00BA1F6B">
        <w:rPr>
          <w:rFonts w:ascii="Palatino Linotype" w:eastAsia="Times New Roman" w:hAnsi="Palatino Linotype" w:cs="Palatino Linotype"/>
          <w:b/>
          <w:color w:val="000000"/>
          <w:sz w:val="24"/>
          <w:szCs w:val="24"/>
          <w:lang w:val="es-ES_tradnl" w:eastAsia="es-MX"/>
        </w:rPr>
        <w:t xml:space="preserve"> de dos mil veinti</w:t>
      </w:r>
      <w:r w:rsidR="00027CC9" w:rsidRPr="00BA1F6B">
        <w:rPr>
          <w:rFonts w:ascii="Palatino Linotype" w:eastAsia="Times New Roman" w:hAnsi="Palatino Linotype" w:cs="Palatino Linotype"/>
          <w:b/>
          <w:color w:val="000000"/>
          <w:sz w:val="24"/>
          <w:szCs w:val="24"/>
          <w:lang w:val="es-ES_tradnl" w:eastAsia="es-MX"/>
        </w:rPr>
        <w:t>cinco</w:t>
      </w:r>
      <w:r w:rsidRPr="00BA1F6B">
        <w:rPr>
          <w:rFonts w:ascii="Palatino Linotype" w:eastAsia="Times New Roman" w:hAnsi="Palatino Linotype" w:cs="Palatino Linotype"/>
          <w:color w:val="000000"/>
          <w:sz w:val="24"/>
          <w:szCs w:val="24"/>
          <w:lang w:val="es-ES_tradnl" w:eastAsia="es-MX"/>
        </w:rPr>
        <w:t xml:space="preserve">, </w:t>
      </w:r>
      <w:r w:rsidRPr="00BA1F6B">
        <w:rPr>
          <w:rFonts w:ascii="Palatino Linotype" w:eastAsia="Times New Roman" w:hAnsi="Palatino Linotype" w:cs="Palatino Linotype"/>
          <w:sz w:val="24"/>
          <w:szCs w:val="24"/>
          <w:lang w:val="es-ES_tradnl" w:eastAsia="es-MX"/>
        </w:rPr>
        <w:t>otorgándose</w:t>
      </w:r>
      <w:r w:rsidRPr="00BA1F6B">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06897AB"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278F5F01" w14:textId="77777777" w:rsidR="000D134C" w:rsidRPr="00BA1F6B"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1F6B">
        <w:rPr>
          <w:rFonts w:ascii="Palatino Linotype" w:eastAsia="Times New Roman" w:hAnsi="Palatino Linotype" w:cs="Times New Roman"/>
          <w:b/>
          <w:color w:val="000000" w:themeColor="text1"/>
          <w:sz w:val="28"/>
          <w:szCs w:val="28"/>
          <w:lang w:val="es-ES_tradnl" w:eastAsia="es-MX"/>
        </w:rPr>
        <w:t>QUINTO. De la etapa de instrucción.</w:t>
      </w:r>
    </w:p>
    <w:p w14:paraId="00807A07" w14:textId="6DAE0FBA" w:rsidR="00263B15" w:rsidRPr="00BA1F6B" w:rsidRDefault="00263B15" w:rsidP="00263B15">
      <w:pPr>
        <w:spacing w:after="0" w:line="360" w:lineRule="auto"/>
        <w:jc w:val="both"/>
        <w:rPr>
          <w:rFonts w:ascii="Palatino Linotype" w:hAnsi="Palatino Linotype" w:cs="Arial"/>
          <w:sz w:val="24"/>
          <w:szCs w:val="24"/>
        </w:rPr>
      </w:pPr>
      <w:r w:rsidRPr="00BA1F6B">
        <w:rPr>
          <w:rFonts w:ascii="Palatino Linotype" w:hAnsi="Palatino Linotype" w:cs="Arial"/>
          <w:sz w:val="24"/>
          <w:szCs w:val="24"/>
        </w:rPr>
        <w:t xml:space="preserve">Una vez transcurrido el término legal referido se destaca que, en fecha </w:t>
      </w:r>
      <w:r w:rsidR="004A157D" w:rsidRPr="00BA1F6B">
        <w:rPr>
          <w:rFonts w:ascii="Palatino Linotype" w:hAnsi="Palatino Linotype" w:cs="Arial"/>
          <w:b/>
          <w:bCs/>
          <w:sz w:val="24"/>
          <w:szCs w:val="24"/>
        </w:rPr>
        <w:t>veintiséis</w:t>
      </w:r>
      <w:r w:rsidRPr="00BA1F6B">
        <w:rPr>
          <w:rFonts w:ascii="Palatino Linotype" w:hAnsi="Palatino Linotype" w:cs="Arial"/>
          <w:b/>
          <w:bCs/>
          <w:sz w:val="24"/>
          <w:szCs w:val="24"/>
        </w:rPr>
        <w:t xml:space="preserve"> de enero de dos mil veintiséis</w:t>
      </w:r>
      <w:r w:rsidRPr="00BA1F6B">
        <w:rPr>
          <w:rFonts w:ascii="Palatino Linotype" w:hAnsi="Palatino Linotype" w:cs="Arial"/>
          <w:sz w:val="24"/>
          <w:szCs w:val="24"/>
        </w:rPr>
        <w:t xml:space="preserve">, el </w:t>
      </w:r>
      <w:r w:rsidRPr="00BA1F6B">
        <w:rPr>
          <w:rFonts w:ascii="Palatino Linotype" w:hAnsi="Palatino Linotype" w:cs="Arial"/>
          <w:b/>
          <w:sz w:val="24"/>
          <w:szCs w:val="24"/>
        </w:rPr>
        <w:t>Sujeto Obligado</w:t>
      </w:r>
      <w:r w:rsidRPr="00BA1F6B">
        <w:rPr>
          <w:rFonts w:ascii="Palatino Linotype" w:hAnsi="Palatino Linotype" w:cs="Arial"/>
          <w:sz w:val="24"/>
          <w:szCs w:val="24"/>
        </w:rPr>
        <w:t xml:space="preserve"> remitió su informe justificado mediante el archivo electrónico denominado </w:t>
      </w:r>
      <w:r w:rsidR="004A157D" w:rsidRPr="00BA1F6B">
        <w:rPr>
          <w:rFonts w:ascii="Palatino Linotype" w:hAnsi="Palatino Linotype" w:cs="Arial"/>
          <w:i/>
          <w:iCs/>
          <w:sz w:val="24"/>
          <w:szCs w:val="24"/>
        </w:rPr>
        <w:t>"Oficio DGIyE 1445-2025.pdf", "Nota Informativa "UT 14445-2025.pdf" y "Oficio DGA 14445-2025.pdf"</w:t>
      </w:r>
      <w:r w:rsidRPr="00BA1F6B">
        <w:rPr>
          <w:rFonts w:ascii="Palatino Linotype" w:hAnsi="Palatino Linotype" w:cs="Arial"/>
          <w:sz w:val="24"/>
          <w:szCs w:val="24"/>
        </w:rPr>
        <w:t xml:space="preserve">; mismo que fue puesto a la vista del particular, mediante Acuerdo de fecha </w:t>
      </w:r>
      <w:r w:rsidR="004A157D" w:rsidRPr="00BA1F6B">
        <w:rPr>
          <w:rFonts w:ascii="Palatino Linotype" w:hAnsi="Palatino Linotype" w:cs="Arial"/>
          <w:sz w:val="24"/>
          <w:szCs w:val="24"/>
        </w:rPr>
        <w:t>veintinueve de enero</w:t>
      </w:r>
      <w:r w:rsidRPr="00BA1F6B">
        <w:rPr>
          <w:rFonts w:ascii="Palatino Linotype" w:hAnsi="Palatino Linotype" w:cs="Arial"/>
          <w:sz w:val="24"/>
          <w:szCs w:val="24"/>
        </w:rPr>
        <w:t xml:space="preserve"> del </w:t>
      </w:r>
      <w:r w:rsidR="00643D14" w:rsidRPr="00BA1F6B">
        <w:rPr>
          <w:rFonts w:ascii="Palatino Linotype" w:hAnsi="Palatino Linotype" w:cs="Arial"/>
          <w:sz w:val="24"/>
          <w:szCs w:val="24"/>
        </w:rPr>
        <w:t xml:space="preserve">mismo </w:t>
      </w:r>
      <w:r w:rsidRPr="00BA1F6B">
        <w:rPr>
          <w:rFonts w:ascii="Palatino Linotype" w:hAnsi="Palatino Linotype" w:cs="Arial"/>
          <w:sz w:val="24"/>
          <w:szCs w:val="24"/>
        </w:rPr>
        <w:t xml:space="preserve">año; asimismo, se aprecia que la parte </w:t>
      </w:r>
      <w:r w:rsidRPr="00BA1F6B">
        <w:rPr>
          <w:rFonts w:ascii="Palatino Linotype" w:hAnsi="Palatino Linotype" w:cs="Arial"/>
          <w:b/>
          <w:sz w:val="24"/>
          <w:szCs w:val="24"/>
        </w:rPr>
        <w:t>Recurrente</w:t>
      </w:r>
      <w:r w:rsidRPr="00BA1F6B">
        <w:rPr>
          <w:rFonts w:ascii="Palatino Linotype" w:hAnsi="Palatino Linotype" w:cs="Arial"/>
          <w:sz w:val="24"/>
          <w:szCs w:val="24"/>
        </w:rPr>
        <w:t xml:space="preserve"> no realizó alegatos, ni ofreció pruebas o manifestaciones, de conformidad con lo siguiente:</w:t>
      </w:r>
    </w:p>
    <w:p w14:paraId="59F3F6DC" w14:textId="499E430A" w:rsidR="004A157D" w:rsidRPr="00BA1F6B" w:rsidRDefault="004A157D" w:rsidP="00263B15">
      <w:pPr>
        <w:spacing w:after="0" w:line="360" w:lineRule="auto"/>
        <w:jc w:val="both"/>
        <w:rPr>
          <w:rFonts w:ascii="Palatino Linotype" w:hAnsi="Palatino Linotype" w:cs="Arial"/>
          <w:sz w:val="24"/>
          <w:szCs w:val="24"/>
        </w:rPr>
      </w:pPr>
      <w:r w:rsidRPr="00BA1F6B">
        <w:rPr>
          <w:rFonts w:ascii="Palatino Linotype" w:eastAsia="Times New Roman" w:hAnsi="Palatino Linotype" w:cs="Palatino Linotype"/>
          <w:noProof/>
          <w:color w:val="000000"/>
          <w:sz w:val="24"/>
          <w:szCs w:val="24"/>
          <w:lang w:eastAsia="es-MX"/>
        </w:rPr>
        <w:lastRenderedPageBreak/>
        <w:drawing>
          <wp:anchor distT="0" distB="0" distL="114300" distR="114300" simplePos="0" relativeHeight="251658240" behindDoc="0" locked="0" layoutInCell="1" allowOverlap="1" wp14:anchorId="1B0CBCE6" wp14:editId="392228A8">
            <wp:simplePos x="0" y="0"/>
            <wp:positionH relativeFrom="margin">
              <wp:posOffset>657733</wp:posOffset>
            </wp:positionH>
            <wp:positionV relativeFrom="paragraph">
              <wp:posOffset>127</wp:posOffset>
            </wp:positionV>
            <wp:extent cx="4699635" cy="1802130"/>
            <wp:effectExtent l="0" t="0" r="5715"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4699635" cy="1802130"/>
                    </a:xfrm>
                    <a:prstGeom prst="rect">
                      <a:avLst/>
                    </a:prstGeom>
                  </pic:spPr>
                </pic:pic>
              </a:graphicData>
            </a:graphic>
            <wp14:sizeRelH relativeFrom="margin">
              <wp14:pctWidth>0</wp14:pctWidth>
            </wp14:sizeRelH>
            <wp14:sizeRelV relativeFrom="margin">
              <wp14:pctHeight>0</wp14:pctHeight>
            </wp14:sizeRelV>
          </wp:anchor>
        </w:drawing>
      </w:r>
    </w:p>
    <w:p w14:paraId="310C5D16" w14:textId="2D7DBE6D" w:rsidR="004A157D" w:rsidRPr="00BA1F6B" w:rsidRDefault="004A157D" w:rsidP="00263B15">
      <w:pPr>
        <w:spacing w:after="0" w:line="360" w:lineRule="auto"/>
        <w:jc w:val="both"/>
        <w:rPr>
          <w:rFonts w:ascii="Palatino Linotype" w:hAnsi="Palatino Linotype" w:cs="Arial"/>
          <w:sz w:val="24"/>
          <w:szCs w:val="24"/>
        </w:rPr>
      </w:pPr>
    </w:p>
    <w:p w14:paraId="5B819793" w14:textId="77777777" w:rsidR="004A157D" w:rsidRPr="00BA1F6B" w:rsidRDefault="004A157D" w:rsidP="00263B15">
      <w:pPr>
        <w:spacing w:after="0" w:line="360" w:lineRule="auto"/>
        <w:jc w:val="both"/>
        <w:rPr>
          <w:rFonts w:ascii="Palatino Linotype" w:hAnsi="Palatino Linotype" w:cs="Arial"/>
          <w:sz w:val="24"/>
          <w:szCs w:val="24"/>
        </w:rPr>
      </w:pPr>
    </w:p>
    <w:p w14:paraId="56AF56AA" w14:textId="77777777" w:rsidR="004A157D" w:rsidRPr="00BA1F6B" w:rsidRDefault="004A157D" w:rsidP="00263B15">
      <w:pPr>
        <w:spacing w:after="0" w:line="360" w:lineRule="auto"/>
        <w:jc w:val="both"/>
        <w:rPr>
          <w:rFonts w:ascii="Palatino Linotype" w:hAnsi="Palatino Linotype" w:cs="Arial"/>
          <w:sz w:val="24"/>
          <w:szCs w:val="24"/>
        </w:rPr>
      </w:pPr>
    </w:p>
    <w:p w14:paraId="53A75678" w14:textId="77777777" w:rsidR="004A157D" w:rsidRPr="00BA1F6B" w:rsidRDefault="004A157D" w:rsidP="00263B15">
      <w:pPr>
        <w:spacing w:after="0" w:line="360" w:lineRule="auto"/>
        <w:jc w:val="both"/>
        <w:rPr>
          <w:rFonts w:ascii="Palatino Linotype" w:hAnsi="Palatino Linotype" w:cs="Arial"/>
          <w:sz w:val="24"/>
          <w:szCs w:val="24"/>
        </w:rPr>
      </w:pPr>
    </w:p>
    <w:p w14:paraId="6E89DB91" w14:textId="77777777" w:rsidR="004A157D" w:rsidRPr="00BA1F6B" w:rsidRDefault="004A157D" w:rsidP="00263B15">
      <w:pPr>
        <w:spacing w:after="0" w:line="360" w:lineRule="auto"/>
        <w:jc w:val="both"/>
        <w:rPr>
          <w:rFonts w:ascii="Palatino Linotype" w:hAnsi="Palatino Linotype" w:cs="Arial"/>
          <w:sz w:val="24"/>
          <w:szCs w:val="24"/>
        </w:rPr>
      </w:pPr>
    </w:p>
    <w:p w14:paraId="13AA760B" w14:textId="77777777" w:rsidR="004A157D" w:rsidRPr="00BA1F6B" w:rsidRDefault="004A157D" w:rsidP="00263B15">
      <w:pPr>
        <w:spacing w:after="0" w:line="360" w:lineRule="auto"/>
        <w:jc w:val="both"/>
        <w:rPr>
          <w:rFonts w:ascii="Palatino Linotype" w:hAnsi="Palatino Linotype" w:cs="Arial"/>
          <w:sz w:val="24"/>
          <w:szCs w:val="24"/>
        </w:rPr>
      </w:pPr>
    </w:p>
    <w:p w14:paraId="5BD61D1B" w14:textId="120FE62B" w:rsidR="00263B15" w:rsidRPr="00BA1F6B" w:rsidRDefault="00263B15" w:rsidP="00263B15">
      <w:pPr>
        <w:spacing w:after="0" w:line="240" w:lineRule="auto"/>
        <w:rPr>
          <w:rFonts w:ascii="Times New Roman" w:hAnsi="Times New Roman" w:cs="Times New Roman"/>
          <w:sz w:val="24"/>
          <w:szCs w:val="24"/>
        </w:rPr>
      </w:pPr>
    </w:p>
    <w:p w14:paraId="5F0E0F93" w14:textId="5367D4D4" w:rsidR="000D134C" w:rsidRPr="00BA1F6B"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A1F6B">
        <w:rPr>
          <w:rFonts w:ascii="Palatino Linotype" w:eastAsia="Times New Roman" w:hAnsi="Palatino Linotype" w:cs="Times New Roman"/>
          <w:b/>
          <w:color w:val="000000" w:themeColor="text1"/>
          <w:sz w:val="28"/>
          <w:szCs w:val="28"/>
          <w:lang w:val="es-ES_tradnl" w:eastAsia="es-MX"/>
        </w:rPr>
        <w:t>SEXTO. Del cierre de instrucción.</w:t>
      </w:r>
    </w:p>
    <w:p w14:paraId="5A2D4A35" w14:textId="707247EE" w:rsidR="00273D73"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BA1F6B">
        <w:rPr>
          <w:rFonts w:ascii="Palatino Linotype" w:eastAsia="Times New Roman" w:hAnsi="Palatino Linotype" w:cs="Palatino Linotype"/>
          <w:b/>
          <w:color w:val="000000"/>
          <w:sz w:val="24"/>
          <w:szCs w:val="24"/>
          <w:lang w:val="es-ES_tradnl" w:eastAsia="es-MX"/>
        </w:rPr>
        <w:t xml:space="preserve"> </w:t>
      </w:r>
      <w:r w:rsidR="00275AFA" w:rsidRPr="00BA1F6B">
        <w:rPr>
          <w:rFonts w:ascii="Palatino Linotype" w:eastAsia="Times New Roman" w:hAnsi="Palatino Linotype" w:cs="Palatino Linotype"/>
          <w:b/>
          <w:color w:val="000000"/>
          <w:sz w:val="24"/>
          <w:szCs w:val="24"/>
          <w:lang w:val="es-ES_tradnl" w:eastAsia="es-MX"/>
        </w:rPr>
        <w:t>diecinueve</w:t>
      </w:r>
      <w:r w:rsidR="00CE4C85" w:rsidRPr="00BA1F6B">
        <w:rPr>
          <w:rFonts w:ascii="Palatino Linotype" w:eastAsia="Times New Roman" w:hAnsi="Palatino Linotype" w:cs="Palatino Linotype"/>
          <w:b/>
          <w:color w:val="000000"/>
          <w:sz w:val="24"/>
          <w:szCs w:val="24"/>
          <w:lang w:val="es-ES_tradnl" w:eastAsia="es-MX"/>
        </w:rPr>
        <w:t xml:space="preserve"> de marzo</w:t>
      </w:r>
      <w:r w:rsidR="00906047" w:rsidRPr="00BA1F6B">
        <w:rPr>
          <w:rFonts w:ascii="Palatino Linotype" w:eastAsia="Times New Roman" w:hAnsi="Palatino Linotype" w:cs="Palatino Linotype"/>
          <w:b/>
          <w:color w:val="000000"/>
          <w:sz w:val="24"/>
          <w:szCs w:val="24"/>
          <w:lang w:val="es-ES_tradnl" w:eastAsia="es-MX"/>
        </w:rPr>
        <w:t xml:space="preserve"> de dos mil veintiséis</w:t>
      </w:r>
      <w:r w:rsidRPr="00BA1F6B">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AA9FFC1" w14:textId="77777777" w:rsidR="00847824" w:rsidRPr="00BA1F6B" w:rsidRDefault="00847824"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CCA9070" w14:textId="3B94B853" w:rsidR="00847824" w:rsidRPr="00BA1F6B" w:rsidRDefault="00847824" w:rsidP="00847824">
      <w:pPr>
        <w:spacing w:after="0" w:line="360" w:lineRule="auto"/>
        <w:jc w:val="both"/>
        <w:rPr>
          <w:rFonts w:ascii="Palatino Linotype" w:eastAsia="Calibri" w:hAnsi="Palatino Linotype" w:cs="Arial"/>
          <w:b/>
          <w:sz w:val="28"/>
          <w:szCs w:val="24"/>
          <w:lang w:val="es-ES_tradnl" w:eastAsia="es-ES"/>
        </w:rPr>
      </w:pPr>
      <w:r w:rsidRPr="00BA1F6B">
        <w:rPr>
          <w:rFonts w:ascii="Palatino Linotype" w:eastAsia="Calibri" w:hAnsi="Palatino Linotype" w:cs="Arial"/>
          <w:b/>
          <w:sz w:val="28"/>
          <w:szCs w:val="24"/>
          <w:lang w:val="es-ES_tradnl" w:eastAsia="es-ES"/>
        </w:rPr>
        <w:t>S</w:t>
      </w:r>
      <w:r w:rsidR="00CD561C" w:rsidRPr="00BA1F6B">
        <w:rPr>
          <w:rFonts w:ascii="Palatino Linotype" w:eastAsia="Calibri" w:hAnsi="Palatino Linotype" w:cs="Arial"/>
          <w:b/>
          <w:sz w:val="28"/>
          <w:szCs w:val="24"/>
          <w:lang w:val="es-ES_tradnl" w:eastAsia="es-ES"/>
        </w:rPr>
        <w:t>ÉP</w:t>
      </w:r>
      <w:r w:rsidRPr="00BA1F6B">
        <w:rPr>
          <w:rFonts w:ascii="Palatino Linotype" w:eastAsia="Calibri" w:hAnsi="Palatino Linotype" w:cs="Arial"/>
          <w:b/>
          <w:sz w:val="28"/>
          <w:szCs w:val="24"/>
          <w:lang w:val="es-ES_tradnl" w:eastAsia="es-ES"/>
        </w:rPr>
        <w:t>TIMO. De la ampliación del término para resolver.</w:t>
      </w:r>
    </w:p>
    <w:p w14:paraId="5213D5C1" w14:textId="2791BCC1" w:rsidR="00847824" w:rsidRPr="00BA1F6B" w:rsidRDefault="00847824" w:rsidP="00847824">
      <w:pPr>
        <w:spacing w:after="0" w:line="360" w:lineRule="auto"/>
        <w:jc w:val="both"/>
        <w:rPr>
          <w:rFonts w:ascii="Palatino Linotype" w:eastAsia="Times New Roman" w:hAnsi="Palatino Linotype" w:cs="Arial"/>
          <w:sz w:val="24"/>
          <w:szCs w:val="24"/>
          <w:lang w:val="es-ES" w:eastAsia="es-ES"/>
        </w:rPr>
      </w:pPr>
      <w:r w:rsidRPr="00BA1F6B">
        <w:rPr>
          <w:rFonts w:ascii="Palatino Linotype" w:eastAsia="Times New Roman" w:hAnsi="Palatino Linotype" w:cs="Arial"/>
          <w:sz w:val="24"/>
          <w:szCs w:val="24"/>
          <w:lang w:val="es-ES" w:eastAsia="es-ES"/>
        </w:rPr>
        <w:t xml:space="preserve">De las constancias que integran el expediente electrónico, se advierte que han transcurrido los términos de Ley, para la emisión de la resolución en el presente recurso de revisión, por lo que en fecha </w:t>
      </w:r>
      <w:r w:rsidR="00275AFA" w:rsidRPr="00BA1F6B">
        <w:rPr>
          <w:rFonts w:ascii="Palatino Linotype" w:eastAsia="Times New Roman" w:hAnsi="Palatino Linotype" w:cs="Arial"/>
          <w:b/>
          <w:sz w:val="24"/>
          <w:szCs w:val="24"/>
          <w:lang w:val="es-ES" w:eastAsia="es-ES"/>
        </w:rPr>
        <w:t>diecinueve de marzo</w:t>
      </w:r>
      <w:r w:rsidRPr="00BA1F6B">
        <w:rPr>
          <w:rFonts w:ascii="Palatino Linotype" w:eastAsia="Times New Roman" w:hAnsi="Palatino Linotype" w:cs="Arial"/>
          <w:b/>
          <w:sz w:val="24"/>
          <w:szCs w:val="24"/>
          <w:lang w:val="es-ES" w:eastAsia="es-ES"/>
        </w:rPr>
        <w:t xml:space="preserve"> de dos mil veintiséis</w:t>
      </w:r>
      <w:r w:rsidRPr="00BA1F6B">
        <w:rPr>
          <w:rFonts w:ascii="Palatino Linotype" w:eastAsia="Times New Roman" w:hAnsi="Palatino Linotype" w:cs="Arial"/>
          <w:sz w:val="24"/>
          <w:szCs w:val="24"/>
          <w:lang w:val="es-ES" w:eastAsia="es-E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F1E9347" w14:textId="77777777" w:rsidR="000D134C" w:rsidRPr="00BA1F6B"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BA1F6B">
        <w:rPr>
          <w:rFonts w:ascii="Palatino Linotype" w:eastAsia="Times New Roman" w:hAnsi="Palatino Linotype" w:cs="Times New Roman"/>
          <w:b/>
          <w:color w:val="000000" w:themeColor="text1"/>
          <w:sz w:val="28"/>
          <w:szCs w:val="32"/>
          <w:lang w:val="es-ES_tradnl" w:eastAsia="es-ES"/>
        </w:rPr>
        <w:lastRenderedPageBreak/>
        <w:t>C  O   N   S   I   D  E   R  A   N   D   O</w:t>
      </w:r>
    </w:p>
    <w:p w14:paraId="53050C0B" w14:textId="77777777" w:rsidR="000D134C" w:rsidRPr="00BA1F6B"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5061C6D" w14:textId="77777777" w:rsidR="000D134C" w:rsidRPr="00BA1F6B" w:rsidRDefault="000D134C" w:rsidP="005C2A3E">
      <w:pPr>
        <w:spacing w:after="0" w:line="360" w:lineRule="auto"/>
        <w:jc w:val="both"/>
        <w:rPr>
          <w:rFonts w:ascii="Palatino Linotype" w:hAnsi="Palatino Linotype" w:cs="Arial"/>
          <w:sz w:val="28"/>
          <w:szCs w:val="28"/>
        </w:rPr>
      </w:pPr>
      <w:r w:rsidRPr="00BA1F6B">
        <w:rPr>
          <w:rFonts w:ascii="Palatino Linotype" w:hAnsi="Palatino Linotype" w:cs="Arial"/>
          <w:b/>
          <w:sz w:val="28"/>
          <w:szCs w:val="28"/>
        </w:rPr>
        <w:t xml:space="preserve">PRIMERO. </w:t>
      </w:r>
      <w:r w:rsidRPr="00BA1F6B">
        <w:rPr>
          <w:rFonts w:ascii="Palatino Linotype" w:hAnsi="Palatino Linotype" w:cs="Arial"/>
          <w:b/>
          <w:sz w:val="26"/>
          <w:szCs w:val="26"/>
        </w:rPr>
        <w:t>De la competencia</w:t>
      </w:r>
      <w:r w:rsidRPr="00BA1F6B">
        <w:rPr>
          <w:rFonts w:ascii="Palatino Linotype" w:hAnsi="Palatino Linotype" w:cs="Arial"/>
          <w:sz w:val="26"/>
          <w:szCs w:val="26"/>
        </w:rPr>
        <w:t>.</w:t>
      </w:r>
    </w:p>
    <w:p w14:paraId="067D7750" w14:textId="77777777" w:rsidR="000D134C" w:rsidRPr="00BA1F6B" w:rsidRDefault="000D134C" w:rsidP="005C2A3E">
      <w:pPr>
        <w:spacing w:after="0" w:line="360" w:lineRule="auto"/>
        <w:jc w:val="both"/>
        <w:rPr>
          <w:rFonts w:ascii="Palatino Linotype" w:hAnsi="Palatino Linotype"/>
          <w:sz w:val="24"/>
          <w:szCs w:val="24"/>
        </w:rPr>
      </w:pPr>
      <w:r w:rsidRPr="00BA1F6B">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56F954" w14:textId="77777777" w:rsidR="000D134C" w:rsidRPr="00BA1F6B" w:rsidRDefault="000D134C" w:rsidP="005C2A3E">
      <w:pPr>
        <w:autoSpaceDE w:val="0"/>
        <w:autoSpaceDN w:val="0"/>
        <w:adjustRightInd w:val="0"/>
        <w:spacing w:after="0" w:line="360" w:lineRule="auto"/>
        <w:jc w:val="both"/>
        <w:rPr>
          <w:rFonts w:ascii="Palatino Linotype" w:hAnsi="Palatino Linotype" w:cs="Arial"/>
          <w:b/>
          <w:sz w:val="28"/>
          <w:szCs w:val="28"/>
        </w:rPr>
      </w:pPr>
    </w:p>
    <w:p w14:paraId="21A7C703" w14:textId="77777777" w:rsidR="000D134C" w:rsidRPr="00BA1F6B" w:rsidRDefault="000D134C" w:rsidP="005C2A3E">
      <w:pPr>
        <w:autoSpaceDE w:val="0"/>
        <w:autoSpaceDN w:val="0"/>
        <w:adjustRightInd w:val="0"/>
        <w:spacing w:after="0" w:line="360" w:lineRule="auto"/>
        <w:jc w:val="both"/>
        <w:rPr>
          <w:rFonts w:ascii="Palatino Linotype" w:hAnsi="Palatino Linotype" w:cs="Arial"/>
          <w:b/>
          <w:sz w:val="28"/>
          <w:szCs w:val="28"/>
        </w:rPr>
      </w:pPr>
      <w:r w:rsidRPr="00BA1F6B">
        <w:rPr>
          <w:rFonts w:ascii="Palatino Linotype" w:hAnsi="Palatino Linotype" w:cs="Arial"/>
          <w:b/>
          <w:sz w:val="28"/>
          <w:szCs w:val="28"/>
        </w:rPr>
        <w:t xml:space="preserve">SEGUNDO. </w:t>
      </w:r>
      <w:r w:rsidRPr="00BA1F6B">
        <w:rPr>
          <w:rFonts w:ascii="Palatino Linotype" w:hAnsi="Palatino Linotype" w:cs="Arial"/>
          <w:b/>
          <w:sz w:val="26"/>
          <w:szCs w:val="26"/>
        </w:rPr>
        <w:t>Alcances del recurso de revisión.</w:t>
      </w:r>
      <w:r w:rsidRPr="00BA1F6B">
        <w:rPr>
          <w:rFonts w:ascii="Palatino Linotype" w:hAnsi="Palatino Linotype" w:cs="Arial"/>
          <w:b/>
          <w:sz w:val="28"/>
          <w:szCs w:val="28"/>
        </w:rPr>
        <w:t xml:space="preserve"> </w:t>
      </w:r>
    </w:p>
    <w:p w14:paraId="277B4A9B" w14:textId="0DDDEA6E" w:rsidR="000D134C" w:rsidRPr="00BA1F6B" w:rsidRDefault="000D134C" w:rsidP="005C2A3E">
      <w:pPr>
        <w:autoSpaceDE w:val="0"/>
        <w:autoSpaceDN w:val="0"/>
        <w:adjustRightInd w:val="0"/>
        <w:spacing w:after="0" w:line="360" w:lineRule="auto"/>
        <w:jc w:val="both"/>
        <w:rPr>
          <w:rFonts w:ascii="Palatino Linotype" w:hAnsi="Palatino Linotype" w:cs="Arial"/>
          <w:lang w:val="es-ES" w:eastAsia="es-ES"/>
        </w:rPr>
      </w:pPr>
      <w:r w:rsidRPr="00BA1F6B">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152722" w14:textId="77777777" w:rsidR="00D67F3A" w:rsidRPr="00BA1F6B" w:rsidRDefault="00D67F3A" w:rsidP="005C2A3E">
      <w:pPr>
        <w:autoSpaceDE w:val="0"/>
        <w:autoSpaceDN w:val="0"/>
        <w:adjustRightInd w:val="0"/>
        <w:spacing w:after="0" w:line="360" w:lineRule="auto"/>
        <w:jc w:val="both"/>
        <w:rPr>
          <w:rFonts w:ascii="Palatino Linotype" w:hAnsi="Palatino Linotype" w:cs="Arial"/>
          <w:lang w:val="es-ES" w:eastAsia="es-ES"/>
        </w:rPr>
      </w:pPr>
    </w:p>
    <w:p w14:paraId="311299E6" w14:textId="5C5DC4A7" w:rsidR="000D134C" w:rsidRPr="00BA1F6B" w:rsidRDefault="000D134C" w:rsidP="00D67F3A">
      <w:pPr>
        <w:autoSpaceDE w:val="0"/>
        <w:autoSpaceDN w:val="0"/>
        <w:adjustRightInd w:val="0"/>
        <w:spacing w:after="0"/>
        <w:rPr>
          <w:rFonts w:ascii="Palatino Linotype" w:hAnsi="Palatino Linotype"/>
          <w:b/>
          <w:color w:val="000000" w:themeColor="text1"/>
          <w:sz w:val="26"/>
          <w:szCs w:val="26"/>
          <w:lang w:val="es-ES_tradnl"/>
        </w:rPr>
      </w:pPr>
      <w:r w:rsidRPr="00BA1F6B">
        <w:rPr>
          <w:rFonts w:ascii="Palatino Linotype" w:hAnsi="Palatino Linotype"/>
          <w:b/>
          <w:color w:val="000000" w:themeColor="text1"/>
          <w:sz w:val="26"/>
          <w:szCs w:val="26"/>
          <w:lang w:val="es-ES_tradnl"/>
        </w:rPr>
        <w:t>TERCERO.</w:t>
      </w:r>
      <w:r w:rsidRPr="00BA1F6B">
        <w:rPr>
          <w:rFonts w:ascii="Palatino Linotype" w:hAnsi="Palatino Linotype" w:cs="Arial"/>
          <w:b/>
          <w:sz w:val="28"/>
          <w:szCs w:val="28"/>
        </w:rPr>
        <w:t xml:space="preserve"> </w:t>
      </w:r>
      <w:r w:rsidRPr="00BA1F6B">
        <w:rPr>
          <w:rFonts w:ascii="Palatino Linotype" w:hAnsi="Palatino Linotype"/>
          <w:b/>
          <w:color w:val="000000" w:themeColor="text1"/>
          <w:sz w:val="26"/>
          <w:szCs w:val="26"/>
          <w:lang w:val="es-ES_tradnl"/>
        </w:rPr>
        <w:t>De las causas de improcedencia.</w:t>
      </w:r>
    </w:p>
    <w:p w14:paraId="31A6DB75" w14:textId="77777777" w:rsidR="000D134C" w:rsidRPr="00BA1F6B"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BA1F6B">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la </w:t>
      </w:r>
      <w:r w:rsidRPr="00BA1F6B">
        <w:rPr>
          <w:rFonts w:ascii="Palatino Linotype" w:hAnsi="Palatino Linotype" w:cs="Palatino Linotype"/>
          <w:color w:val="000000"/>
          <w:sz w:val="24"/>
          <w:szCs w:val="24"/>
          <w:lang w:val="es-ES_tradnl"/>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3DD53E" w14:textId="77777777" w:rsidR="000D134C" w:rsidRPr="00BA1F6B"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042A9F24" w14:textId="77777777" w:rsidR="000D134C" w:rsidRPr="00BA1F6B"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BA1F6B">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A1F6B">
        <w:rPr>
          <w:rFonts w:ascii="Palatino Linotype" w:hAnsi="Palatino Linotype" w:cs="Palatino Linotype"/>
          <w:color w:val="000000"/>
          <w:sz w:val="24"/>
          <w:szCs w:val="24"/>
          <w:vertAlign w:val="superscript"/>
          <w:lang w:val="es-ES_tradnl"/>
        </w:rPr>
        <w:footnoteReference w:id="1"/>
      </w:r>
      <w:r w:rsidRPr="00BA1F6B">
        <w:rPr>
          <w:rFonts w:ascii="Palatino Linotype" w:hAnsi="Palatino Linotype" w:cs="Palatino Linotype"/>
          <w:color w:val="000000"/>
          <w:sz w:val="24"/>
          <w:szCs w:val="24"/>
          <w:lang w:val="es-ES_tradnl"/>
        </w:rPr>
        <w:t xml:space="preserve">, la cual permite dilucidar alguna </w:t>
      </w:r>
      <w:r w:rsidRPr="00BA1F6B">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227E5F7" w14:textId="77777777" w:rsidR="000D134C" w:rsidRPr="00BA1F6B"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7FAE3647" w14:textId="77777777" w:rsidR="000D134C" w:rsidRPr="00BA1F6B"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BA1F6B">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965443E" w14:textId="77777777" w:rsidR="000D134C" w:rsidRPr="00BA1F6B"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1CF7E182" w14:textId="13435A94" w:rsidR="000D134C" w:rsidRPr="00BA1F6B" w:rsidRDefault="003530A6" w:rsidP="005C2A3E">
      <w:pPr>
        <w:autoSpaceDE w:val="0"/>
        <w:autoSpaceDN w:val="0"/>
        <w:adjustRightInd w:val="0"/>
        <w:spacing w:after="0" w:line="360" w:lineRule="auto"/>
        <w:jc w:val="both"/>
        <w:rPr>
          <w:rFonts w:ascii="Palatino Linotype" w:hAnsi="Palatino Linotype" w:cs="Arial"/>
          <w:b/>
          <w:sz w:val="28"/>
        </w:rPr>
      </w:pPr>
      <w:r w:rsidRPr="00BA1F6B">
        <w:rPr>
          <w:rFonts w:ascii="Palatino Linotype" w:hAnsi="Palatino Linotype"/>
          <w:b/>
          <w:color w:val="000000" w:themeColor="text1"/>
          <w:sz w:val="26"/>
          <w:szCs w:val="26"/>
          <w:lang w:val="es-ES_tradnl"/>
        </w:rPr>
        <w:t>CUARTO</w:t>
      </w:r>
      <w:r w:rsidR="000D134C" w:rsidRPr="00BA1F6B">
        <w:rPr>
          <w:rFonts w:ascii="Palatino Linotype" w:hAnsi="Palatino Linotype"/>
          <w:b/>
          <w:color w:val="000000" w:themeColor="text1"/>
          <w:sz w:val="26"/>
          <w:szCs w:val="26"/>
          <w:lang w:val="es-ES_tradnl"/>
        </w:rPr>
        <w:t xml:space="preserve">. </w:t>
      </w:r>
      <w:r w:rsidR="000D134C" w:rsidRPr="00BA1F6B">
        <w:rPr>
          <w:rFonts w:ascii="Palatino Linotype" w:hAnsi="Palatino Linotype" w:cs="Arial"/>
          <w:b/>
          <w:sz w:val="28"/>
        </w:rPr>
        <w:t>Del estudio y resolución del asunto.</w:t>
      </w:r>
      <w:r w:rsidR="000D134C" w:rsidRPr="00BA1F6B">
        <w:rPr>
          <w:rFonts w:ascii="Palatino Linotype" w:hAnsi="Palatino Linotype" w:cs="Arial"/>
          <w:sz w:val="28"/>
        </w:rPr>
        <w:t xml:space="preserve"> </w:t>
      </w:r>
    </w:p>
    <w:p w14:paraId="6C92E9AD"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1B8D8E"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12563B" w14:textId="77777777"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1D75F908" w14:textId="77777777" w:rsidR="00202397" w:rsidRPr="00BA1F6B" w:rsidRDefault="00202397" w:rsidP="00202397">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7BCAEABC" w14:textId="4841C02A" w:rsidR="00FE3EE1" w:rsidRPr="00BA1F6B" w:rsidRDefault="00FE3EE1" w:rsidP="00FE3EE1">
      <w:pPr>
        <w:pStyle w:val="Prrafodelista"/>
        <w:numPr>
          <w:ilvl w:val="0"/>
          <w:numId w:val="18"/>
        </w:numPr>
        <w:spacing w:after="0" w:line="360" w:lineRule="auto"/>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Copia simple del padrón y/o cédulas de proveedores del ayuntamiento</w:t>
      </w:r>
      <w:r w:rsidR="00202397" w:rsidRPr="00BA1F6B">
        <w:rPr>
          <w:rFonts w:ascii="Palatino Linotype" w:eastAsia="Times New Roman" w:hAnsi="Palatino Linotype" w:cs="Palatino Linotype"/>
          <w:color w:val="000000"/>
          <w:sz w:val="24"/>
          <w:szCs w:val="24"/>
          <w:lang w:val="es-ES_tradnl" w:eastAsia="es-MX"/>
        </w:rPr>
        <w:t>.</w:t>
      </w:r>
    </w:p>
    <w:p w14:paraId="203E7734" w14:textId="77777777" w:rsidR="00F562EE" w:rsidRPr="00BA1F6B" w:rsidRDefault="00F562EE"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5A2E006" w14:textId="4B2D094F" w:rsidR="000D134C" w:rsidRPr="00BA1F6B"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lastRenderedPageBreak/>
        <w:t>Por lo que atento a la solicitud de información el Sujeto Obligado hizo entrega de</w:t>
      </w:r>
      <w:r w:rsidR="00202397" w:rsidRPr="00BA1F6B">
        <w:rPr>
          <w:rFonts w:ascii="Palatino Linotype" w:eastAsia="Times New Roman" w:hAnsi="Palatino Linotype" w:cs="Palatino Linotype"/>
          <w:color w:val="000000"/>
          <w:sz w:val="24"/>
          <w:szCs w:val="24"/>
          <w:lang w:val="es-ES_tradnl" w:eastAsia="es-MX"/>
        </w:rPr>
        <w:t xml:space="preserve"> tres </w:t>
      </w:r>
      <w:r w:rsidRPr="00BA1F6B">
        <w:rPr>
          <w:rFonts w:ascii="Palatino Linotype" w:eastAsia="Times New Roman" w:hAnsi="Palatino Linotype" w:cs="Palatino Linotype"/>
          <w:color w:val="000000"/>
          <w:sz w:val="24"/>
          <w:szCs w:val="24"/>
          <w:lang w:val="es-ES_tradnl" w:eastAsia="es-MX"/>
        </w:rPr>
        <w:t>archivo</w:t>
      </w:r>
      <w:r w:rsidR="00202397" w:rsidRPr="00BA1F6B">
        <w:rPr>
          <w:rFonts w:ascii="Palatino Linotype" w:eastAsia="Times New Roman" w:hAnsi="Palatino Linotype" w:cs="Palatino Linotype"/>
          <w:color w:val="000000"/>
          <w:sz w:val="24"/>
          <w:szCs w:val="24"/>
          <w:lang w:val="es-ES_tradnl" w:eastAsia="es-MX"/>
        </w:rPr>
        <w:t>s</w:t>
      </w:r>
      <w:r w:rsidRPr="00BA1F6B">
        <w:rPr>
          <w:rFonts w:ascii="Palatino Linotype" w:eastAsia="Times New Roman" w:hAnsi="Palatino Linotype" w:cs="Palatino Linotype"/>
          <w:color w:val="000000"/>
          <w:sz w:val="24"/>
          <w:szCs w:val="24"/>
          <w:lang w:val="es-ES_tradnl" w:eastAsia="es-MX"/>
        </w:rPr>
        <w:t xml:space="preserve"> electrónico</w:t>
      </w:r>
      <w:r w:rsidR="00202397" w:rsidRPr="00BA1F6B">
        <w:rPr>
          <w:rFonts w:ascii="Palatino Linotype" w:eastAsia="Times New Roman" w:hAnsi="Palatino Linotype" w:cs="Palatino Linotype"/>
          <w:color w:val="000000"/>
          <w:sz w:val="24"/>
          <w:szCs w:val="24"/>
          <w:lang w:val="es-ES_tradnl" w:eastAsia="es-MX"/>
        </w:rPr>
        <w:t>s</w:t>
      </w:r>
      <w:r w:rsidRPr="00BA1F6B">
        <w:rPr>
          <w:rFonts w:ascii="Palatino Linotype" w:eastAsia="Times New Roman" w:hAnsi="Palatino Linotype" w:cs="Palatino Linotype"/>
          <w:color w:val="000000"/>
          <w:sz w:val="24"/>
          <w:szCs w:val="24"/>
          <w:lang w:val="es-ES_tradnl" w:eastAsia="es-MX"/>
        </w:rPr>
        <w:t>:</w:t>
      </w:r>
    </w:p>
    <w:p w14:paraId="650ACBC4" w14:textId="77777777" w:rsidR="009B46EE" w:rsidRPr="00BA1F6B" w:rsidRDefault="009B46EE"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1CADA03" w14:textId="68FA4474" w:rsidR="00202397" w:rsidRPr="00BA1F6B" w:rsidRDefault="00202397"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b/>
          <w:bCs/>
          <w:color w:val="000000"/>
          <w:sz w:val="24"/>
          <w:szCs w:val="24"/>
          <w:lang w:val="es-ES_tradnl" w:eastAsia="es-MX"/>
        </w:rPr>
        <w:t>Of. DGA-1759. Envio de Resp. 00176.pdf</w:t>
      </w:r>
      <w:r w:rsidR="009B46EE" w:rsidRPr="00BA1F6B">
        <w:rPr>
          <w:rFonts w:ascii="Palatino Linotype" w:eastAsia="Times New Roman" w:hAnsi="Palatino Linotype" w:cs="Palatino Linotype"/>
          <w:color w:val="000000"/>
          <w:sz w:val="24"/>
          <w:szCs w:val="24"/>
          <w:lang w:val="es-ES_tradnl" w:eastAsia="es-MX"/>
        </w:rPr>
        <w:t xml:space="preserve"> Oficio número de </w:t>
      </w:r>
      <w:r w:rsidR="00931495" w:rsidRPr="00BA1F6B">
        <w:rPr>
          <w:rFonts w:ascii="Palatino Linotype" w:eastAsia="Times New Roman" w:hAnsi="Palatino Linotype" w:cs="Palatino Linotype"/>
          <w:color w:val="000000"/>
          <w:sz w:val="24"/>
          <w:szCs w:val="24"/>
          <w:lang w:val="es-ES_tradnl" w:eastAsia="es-MX"/>
        </w:rPr>
        <w:t>DGA/</w:t>
      </w:r>
      <w:r w:rsidR="009B46EE" w:rsidRPr="00BA1F6B">
        <w:rPr>
          <w:rFonts w:ascii="Palatino Linotype" w:eastAsia="Times New Roman" w:hAnsi="Palatino Linotype" w:cs="Palatino Linotype"/>
          <w:color w:val="000000"/>
          <w:sz w:val="24"/>
          <w:szCs w:val="24"/>
          <w:lang w:val="es-ES_tradnl" w:eastAsia="es-MX"/>
        </w:rPr>
        <w:t>SPA</w:t>
      </w:r>
      <w:r w:rsidR="00931495" w:rsidRPr="00BA1F6B">
        <w:rPr>
          <w:rFonts w:ascii="Palatino Linotype" w:eastAsia="Times New Roman" w:hAnsi="Palatino Linotype" w:cs="Palatino Linotype"/>
          <w:color w:val="000000"/>
          <w:sz w:val="24"/>
          <w:szCs w:val="24"/>
          <w:lang w:val="es-ES_tradnl" w:eastAsia="es-MX"/>
        </w:rPr>
        <w:t>/</w:t>
      </w:r>
      <w:r w:rsidR="009B46EE" w:rsidRPr="00BA1F6B">
        <w:rPr>
          <w:rFonts w:ascii="Palatino Linotype" w:eastAsia="Times New Roman" w:hAnsi="Palatino Linotype" w:cs="Palatino Linotype"/>
          <w:color w:val="000000"/>
          <w:sz w:val="24"/>
          <w:szCs w:val="24"/>
          <w:lang w:val="es-ES_tradnl" w:eastAsia="es-MX"/>
        </w:rPr>
        <w:t>1759</w:t>
      </w:r>
      <w:r w:rsidR="00931495" w:rsidRPr="00BA1F6B">
        <w:rPr>
          <w:rFonts w:ascii="Palatino Linotype" w:eastAsia="Times New Roman" w:hAnsi="Palatino Linotype" w:cs="Palatino Linotype"/>
          <w:color w:val="000000"/>
          <w:sz w:val="24"/>
          <w:szCs w:val="24"/>
          <w:lang w:val="es-ES_tradnl" w:eastAsia="es-MX"/>
        </w:rPr>
        <w:t>/</w:t>
      </w:r>
      <w:r w:rsidR="009B46EE" w:rsidRPr="00BA1F6B">
        <w:rPr>
          <w:rFonts w:ascii="Palatino Linotype" w:eastAsia="Times New Roman" w:hAnsi="Palatino Linotype" w:cs="Palatino Linotype"/>
          <w:color w:val="000000"/>
          <w:sz w:val="24"/>
          <w:szCs w:val="24"/>
          <w:lang w:val="es-ES_tradnl" w:eastAsia="es-MX"/>
        </w:rPr>
        <w:t>1</w:t>
      </w:r>
      <w:r w:rsidR="00931495" w:rsidRPr="00BA1F6B">
        <w:rPr>
          <w:rFonts w:ascii="Palatino Linotype" w:eastAsia="Times New Roman" w:hAnsi="Palatino Linotype" w:cs="Palatino Linotype"/>
          <w:color w:val="000000"/>
          <w:sz w:val="24"/>
          <w:szCs w:val="24"/>
          <w:lang w:val="es-ES_tradnl" w:eastAsia="es-MX"/>
        </w:rPr>
        <w:t>1/</w:t>
      </w:r>
      <w:r w:rsidR="009B46EE" w:rsidRPr="00BA1F6B">
        <w:rPr>
          <w:rFonts w:ascii="Palatino Linotype" w:eastAsia="Times New Roman" w:hAnsi="Palatino Linotype" w:cs="Palatino Linotype"/>
          <w:color w:val="000000"/>
          <w:sz w:val="24"/>
          <w:szCs w:val="24"/>
          <w:lang w:val="es-ES_tradnl" w:eastAsia="es-MX"/>
        </w:rPr>
        <w:t xml:space="preserve">2025 emitido por la </w:t>
      </w:r>
      <w:r w:rsidR="00931495" w:rsidRPr="00BA1F6B">
        <w:rPr>
          <w:rFonts w:ascii="Palatino Linotype" w:eastAsia="Times New Roman" w:hAnsi="Palatino Linotype" w:cs="Palatino Linotype"/>
          <w:color w:val="000000"/>
          <w:sz w:val="24"/>
          <w:szCs w:val="24"/>
          <w:lang w:val="es-ES_tradnl" w:eastAsia="es-MX"/>
        </w:rPr>
        <w:t xml:space="preserve">Directora </w:t>
      </w:r>
      <w:r w:rsidR="009B46EE" w:rsidRPr="00BA1F6B">
        <w:rPr>
          <w:rFonts w:ascii="Palatino Linotype" w:eastAsia="Times New Roman" w:hAnsi="Palatino Linotype" w:cs="Palatino Linotype"/>
          <w:color w:val="000000"/>
          <w:sz w:val="24"/>
          <w:szCs w:val="24"/>
          <w:lang w:val="es-ES_tradnl" w:eastAsia="es-MX"/>
        </w:rPr>
        <w:t xml:space="preserve">General de </w:t>
      </w:r>
      <w:r w:rsidR="00931495" w:rsidRPr="00BA1F6B">
        <w:rPr>
          <w:rFonts w:ascii="Palatino Linotype" w:eastAsia="Times New Roman" w:hAnsi="Palatino Linotype" w:cs="Palatino Linotype"/>
          <w:color w:val="000000"/>
          <w:sz w:val="24"/>
          <w:szCs w:val="24"/>
          <w:lang w:val="es-ES_tradnl" w:eastAsia="es-MX"/>
        </w:rPr>
        <w:t xml:space="preserve">Administración, </w:t>
      </w:r>
      <w:r w:rsidR="009B46EE" w:rsidRPr="00BA1F6B">
        <w:rPr>
          <w:rFonts w:ascii="Palatino Linotype" w:eastAsia="Times New Roman" w:hAnsi="Palatino Linotype" w:cs="Palatino Linotype"/>
          <w:color w:val="000000"/>
          <w:sz w:val="24"/>
          <w:szCs w:val="24"/>
          <w:lang w:val="es-ES_tradnl" w:eastAsia="es-MX"/>
        </w:rPr>
        <w:t xml:space="preserve">en la cual manifiesta que </w:t>
      </w:r>
      <w:r w:rsidR="00C66174" w:rsidRPr="00BA1F6B">
        <w:rPr>
          <w:rFonts w:ascii="Palatino Linotype" w:eastAsia="Times New Roman" w:hAnsi="Palatino Linotype" w:cs="Palatino Linotype"/>
          <w:color w:val="000000"/>
          <w:sz w:val="24"/>
          <w:szCs w:val="24"/>
          <w:lang w:val="es-ES_tradnl" w:eastAsia="es-MX"/>
        </w:rPr>
        <w:t xml:space="preserve">se adjunta la respuesta emitida por </w:t>
      </w:r>
      <w:r w:rsidR="009B46EE" w:rsidRPr="00BA1F6B">
        <w:rPr>
          <w:rFonts w:ascii="Palatino Linotype" w:eastAsia="Times New Roman" w:hAnsi="Palatino Linotype" w:cs="Palatino Linotype"/>
          <w:color w:val="000000"/>
          <w:sz w:val="24"/>
          <w:szCs w:val="24"/>
          <w:lang w:val="es-ES_tradnl" w:eastAsia="es-MX"/>
        </w:rPr>
        <w:t xml:space="preserve">la </w:t>
      </w:r>
      <w:r w:rsidR="00931495" w:rsidRPr="00BA1F6B">
        <w:rPr>
          <w:rFonts w:ascii="Palatino Linotype" w:eastAsia="Times New Roman" w:hAnsi="Palatino Linotype" w:cs="Palatino Linotype"/>
          <w:color w:val="000000"/>
          <w:sz w:val="24"/>
          <w:szCs w:val="24"/>
          <w:lang w:val="es-ES_tradnl" w:eastAsia="es-MX"/>
        </w:rPr>
        <w:t>Dirección de Recursos Materiales, Adquisiciones</w:t>
      </w:r>
      <w:r w:rsidR="009B46EE" w:rsidRPr="00BA1F6B">
        <w:rPr>
          <w:rFonts w:ascii="Palatino Linotype" w:eastAsia="Times New Roman" w:hAnsi="Palatino Linotype" w:cs="Palatino Linotype"/>
          <w:color w:val="000000"/>
          <w:sz w:val="24"/>
          <w:szCs w:val="24"/>
          <w:lang w:val="es-ES_tradnl" w:eastAsia="es-MX"/>
        </w:rPr>
        <w:t xml:space="preserve"> y </w:t>
      </w:r>
      <w:r w:rsidR="00931495" w:rsidRPr="00BA1F6B">
        <w:rPr>
          <w:rFonts w:ascii="Palatino Linotype" w:eastAsia="Times New Roman" w:hAnsi="Palatino Linotype" w:cs="Palatino Linotype"/>
          <w:color w:val="000000"/>
          <w:sz w:val="24"/>
          <w:szCs w:val="24"/>
          <w:lang w:val="es-ES_tradnl" w:eastAsia="es-MX"/>
        </w:rPr>
        <w:t xml:space="preserve">Servicios Generales, </w:t>
      </w:r>
      <w:r w:rsidR="00C66174" w:rsidRPr="00BA1F6B">
        <w:rPr>
          <w:rFonts w:ascii="Palatino Linotype" w:eastAsia="Times New Roman" w:hAnsi="Palatino Linotype" w:cs="Palatino Linotype"/>
          <w:color w:val="000000"/>
          <w:sz w:val="24"/>
          <w:szCs w:val="24"/>
          <w:lang w:val="es-ES_tradnl" w:eastAsia="es-MX"/>
        </w:rPr>
        <w:t xml:space="preserve">que </w:t>
      </w:r>
      <w:r w:rsidR="009B46EE" w:rsidRPr="00BA1F6B">
        <w:rPr>
          <w:rFonts w:ascii="Palatino Linotype" w:eastAsia="Times New Roman" w:hAnsi="Palatino Linotype" w:cs="Palatino Linotype"/>
          <w:color w:val="000000"/>
          <w:sz w:val="24"/>
          <w:szCs w:val="24"/>
          <w:lang w:val="es-ES_tradnl" w:eastAsia="es-MX"/>
        </w:rPr>
        <w:t>es la unidad poseedora generadora de la información requerida afecto que se tenga por presentada y atendida la solicitud.</w:t>
      </w:r>
    </w:p>
    <w:p w14:paraId="1960A656" w14:textId="77777777" w:rsidR="009B46EE" w:rsidRPr="00BA1F6B" w:rsidRDefault="009B46EE"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E1A61B5" w14:textId="3849461E" w:rsidR="00202397" w:rsidRPr="00BA1F6B" w:rsidRDefault="00202397"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b/>
          <w:bCs/>
          <w:color w:val="000000"/>
          <w:sz w:val="24"/>
          <w:szCs w:val="24"/>
          <w:lang w:val="es-ES_tradnl" w:eastAsia="es-MX"/>
        </w:rPr>
        <w:t>Anexo Respuesta 00176.pdf</w:t>
      </w:r>
      <w:r w:rsidR="00A348DE" w:rsidRPr="00BA1F6B">
        <w:rPr>
          <w:rFonts w:ascii="Palatino Linotype" w:eastAsia="Times New Roman" w:hAnsi="Palatino Linotype" w:cs="Palatino Linotype"/>
          <w:b/>
          <w:bCs/>
          <w:color w:val="000000"/>
          <w:sz w:val="24"/>
          <w:szCs w:val="24"/>
          <w:lang w:val="es-ES_tradnl" w:eastAsia="es-MX"/>
        </w:rPr>
        <w:t>.</w:t>
      </w:r>
      <w:r w:rsidR="00A348DE" w:rsidRPr="00BA1F6B">
        <w:rPr>
          <w:rFonts w:ascii="Palatino Linotype" w:eastAsia="Times New Roman" w:hAnsi="Palatino Linotype" w:cs="Palatino Linotype"/>
          <w:color w:val="000000"/>
          <w:sz w:val="24"/>
          <w:szCs w:val="24"/>
          <w:lang w:val="es-ES_tradnl" w:eastAsia="es-MX"/>
        </w:rPr>
        <w:t xml:space="preserve"> Denominado anexo 1 que contiene una serie de pasos y la Liga electrónica reconduce de forma directa al Ipomex en la cual muestran al recurrente cómo puede consultar la información peticionada.</w:t>
      </w:r>
    </w:p>
    <w:p w14:paraId="7B63930F" w14:textId="13A08490" w:rsidR="009C0CAD"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color w:val="000000"/>
          <w:sz w:val="24"/>
          <w:szCs w:val="24"/>
          <w:lang w:val="es-ES_tradnl" w:eastAsia="es-MX"/>
        </w:rPr>
        <w:t>Sirve de ilustración la siguiente imagen.</w:t>
      </w:r>
    </w:p>
    <w:p w14:paraId="1D0F4DA8" w14:textId="325445AC"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noProof/>
          <w:color w:val="000000"/>
          <w:sz w:val="24"/>
          <w:szCs w:val="24"/>
          <w:lang w:eastAsia="es-MX"/>
        </w:rPr>
        <w:drawing>
          <wp:anchor distT="0" distB="0" distL="114300" distR="114300" simplePos="0" relativeHeight="251660288" behindDoc="0" locked="0" layoutInCell="1" allowOverlap="1" wp14:anchorId="2223AA3D" wp14:editId="1A51F5DF">
            <wp:simplePos x="0" y="0"/>
            <wp:positionH relativeFrom="margin">
              <wp:posOffset>1108837</wp:posOffset>
            </wp:positionH>
            <wp:positionV relativeFrom="paragraph">
              <wp:posOffset>88900</wp:posOffset>
            </wp:positionV>
            <wp:extent cx="4013835" cy="2275840"/>
            <wp:effectExtent l="0" t="0" r="571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4013835" cy="2275840"/>
                    </a:xfrm>
                    <a:prstGeom prst="rect">
                      <a:avLst/>
                    </a:prstGeom>
                  </pic:spPr>
                </pic:pic>
              </a:graphicData>
            </a:graphic>
            <wp14:sizeRelH relativeFrom="margin">
              <wp14:pctWidth>0</wp14:pctWidth>
            </wp14:sizeRelH>
            <wp14:sizeRelV relativeFrom="margin">
              <wp14:pctHeight>0</wp14:pctHeight>
            </wp14:sizeRelV>
          </wp:anchor>
        </w:drawing>
      </w:r>
    </w:p>
    <w:p w14:paraId="3C58EE3D" w14:textId="77777777"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2A13EAC" w14:textId="511F217B"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146CF91" w14:textId="50F3EB2C"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FC673A1" w14:textId="77777777"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430E9A9" w14:textId="3BA039A6"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BEC490F" w14:textId="77777777"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839BB1F" w14:textId="47CA3D0E" w:rsidR="00E838EA" w:rsidRPr="00BA1F6B" w:rsidRDefault="00E838EA"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F79D18B" w14:textId="1A8432B7" w:rsidR="00A348DE" w:rsidRPr="00BA1F6B" w:rsidRDefault="00A348DE"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A90BCED" w14:textId="245A4A4C" w:rsidR="00202397" w:rsidRPr="00BA1F6B" w:rsidRDefault="00202397"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b/>
          <w:bCs/>
          <w:color w:val="000000"/>
          <w:sz w:val="24"/>
          <w:szCs w:val="24"/>
          <w:lang w:val="es-ES_tradnl" w:eastAsia="es-MX"/>
        </w:rPr>
        <w:t>Of. DRMySG-2342 Resp. 00176.pdf</w:t>
      </w:r>
      <w:r w:rsidR="007325E2" w:rsidRPr="00BA1F6B">
        <w:rPr>
          <w:rFonts w:ascii="Palatino Linotype" w:eastAsia="Times New Roman" w:hAnsi="Palatino Linotype" w:cs="Palatino Linotype"/>
          <w:color w:val="000000"/>
          <w:sz w:val="24"/>
          <w:szCs w:val="24"/>
          <w:lang w:val="es-ES_tradnl" w:eastAsia="es-MX"/>
        </w:rPr>
        <w:t xml:space="preserve"> Oficio número DGA/DRMAySG/2342/11/2025, emitido por el Director de Recursos Materiales, Adquisiciones y Servicios Generales</w:t>
      </w:r>
      <w:r w:rsidR="00FC1EA6" w:rsidRPr="00BA1F6B">
        <w:rPr>
          <w:rFonts w:ascii="Palatino Linotype" w:eastAsia="Times New Roman" w:hAnsi="Palatino Linotype" w:cs="Palatino Linotype"/>
          <w:color w:val="000000"/>
          <w:sz w:val="24"/>
          <w:szCs w:val="24"/>
          <w:lang w:val="es-ES_tradnl" w:eastAsia="es-MX"/>
        </w:rPr>
        <w:t xml:space="preserve">, </w:t>
      </w:r>
      <w:r w:rsidR="00FC1EA6" w:rsidRPr="00BA1F6B">
        <w:rPr>
          <w:rFonts w:ascii="Palatino Linotype" w:eastAsia="Times New Roman" w:hAnsi="Palatino Linotype" w:cs="Palatino Linotype"/>
          <w:color w:val="000000"/>
          <w:sz w:val="24"/>
          <w:szCs w:val="24"/>
          <w:lang w:val="es-ES_tradnl" w:eastAsia="es-MX"/>
        </w:rPr>
        <w:lastRenderedPageBreak/>
        <w:t xml:space="preserve">manifestando que de conformidad artículo 131 del Reglamento Orgánico Municipal, la  </w:t>
      </w:r>
      <w:r w:rsidR="000E59FE" w:rsidRPr="00BA1F6B">
        <w:rPr>
          <w:rFonts w:ascii="Palatino Linotype" w:eastAsia="Times New Roman" w:hAnsi="Palatino Linotype" w:cs="Palatino Linotype"/>
          <w:color w:val="000000"/>
          <w:sz w:val="24"/>
          <w:szCs w:val="24"/>
          <w:lang w:val="es-ES_tradnl" w:eastAsia="es-MX"/>
        </w:rPr>
        <w:t>información peticionada,</w:t>
      </w:r>
      <w:r w:rsidR="00FC1EA6" w:rsidRPr="00BA1F6B">
        <w:rPr>
          <w:rFonts w:ascii="Palatino Linotype" w:eastAsia="Times New Roman" w:hAnsi="Palatino Linotype" w:cs="Palatino Linotype"/>
          <w:color w:val="000000"/>
          <w:sz w:val="24"/>
          <w:szCs w:val="24"/>
          <w:lang w:val="es-ES_tradnl" w:eastAsia="es-MX"/>
        </w:rPr>
        <w:t xml:space="preserve"> forma parte de las obligaciones de transparencia comunes estipulad</w:t>
      </w:r>
      <w:r w:rsidR="000E59FE" w:rsidRPr="00BA1F6B">
        <w:rPr>
          <w:rFonts w:ascii="Palatino Linotype" w:eastAsia="Times New Roman" w:hAnsi="Palatino Linotype" w:cs="Palatino Linotype"/>
          <w:color w:val="000000"/>
          <w:sz w:val="24"/>
          <w:szCs w:val="24"/>
          <w:lang w:val="es-ES_tradnl" w:eastAsia="es-MX"/>
        </w:rPr>
        <w:t>a</w:t>
      </w:r>
      <w:r w:rsidR="00FC1EA6" w:rsidRPr="00BA1F6B">
        <w:rPr>
          <w:rFonts w:ascii="Palatino Linotype" w:eastAsia="Times New Roman" w:hAnsi="Palatino Linotype" w:cs="Palatino Linotype"/>
          <w:color w:val="000000"/>
          <w:sz w:val="24"/>
          <w:szCs w:val="24"/>
          <w:lang w:val="es-ES_tradnl" w:eastAsia="es-MX"/>
        </w:rPr>
        <w:t xml:space="preserve">s en artículo 92 de la </w:t>
      </w:r>
      <w:r w:rsidR="000E59FE" w:rsidRPr="00BA1F6B">
        <w:rPr>
          <w:rFonts w:ascii="Palatino Linotype" w:eastAsia="Times New Roman" w:hAnsi="Palatino Linotype" w:cs="Palatino Linotype"/>
          <w:color w:val="000000"/>
          <w:sz w:val="24"/>
          <w:szCs w:val="24"/>
          <w:lang w:val="es-ES_tradnl" w:eastAsia="es-MX"/>
        </w:rPr>
        <w:t xml:space="preserve">Ley </w:t>
      </w:r>
      <w:r w:rsidR="00FC1EA6" w:rsidRPr="00BA1F6B">
        <w:rPr>
          <w:rFonts w:ascii="Palatino Linotype" w:eastAsia="Times New Roman" w:hAnsi="Palatino Linotype" w:cs="Palatino Linotype"/>
          <w:color w:val="000000"/>
          <w:sz w:val="24"/>
          <w:szCs w:val="24"/>
          <w:lang w:val="es-ES_tradnl" w:eastAsia="es-MX"/>
        </w:rPr>
        <w:t xml:space="preserve">de la </w:t>
      </w:r>
      <w:r w:rsidR="000E59FE" w:rsidRPr="00BA1F6B">
        <w:rPr>
          <w:rFonts w:ascii="Palatino Linotype" w:eastAsia="Times New Roman" w:hAnsi="Palatino Linotype" w:cs="Palatino Linotype"/>
          <w:color w:val="000000"/>
          <w:sz w:val="24"/>
          <w:szCs w:val="24"/>
          <w:lang w:val="es-ES_tradnl" w:eastAsia="es-MX"/>
        </w:rPr>
        <w:t xml:space="preserve">Materia, </w:t>
      </w:r>
      <w:r w:rsidR="00FC1EA6" w:rsidRPr="00BA1F6B">
        <w:rPr>
          <w:rFonts w:ascii="Palatino Linotype" w:eastAsia="Times New Roman" w:hAnsi="Palatino Linotype" w:cs="Palatino Linotype"/>
          <w:color w:val="000000"/>
          <w:sz w:val="24"/>
          <w:szCs w:val="24"/>
          <w:lang w:val="es-ES_tradnl" w:eastAsia="es-MX"/>
        </w:rPr>
        <w:t xml:space="preserve">pudiendo ser consultada a través de la </w:t>
      </w:r>
      <w:r w:rsidR="000E59FE" w:rsidRPr="00BA1F6B">
        <w:rPr>
          <w:rFonts w:ascii="Palatino Linotype" w:eastAsia="Times New Roman" w:hAnsi="Palatino Linotype" w:cs="Palatino Linotype"/>
          <w:color w:val="000000"/>
          <w:sz w:val="24"/>
          <w:szCs w:val="24"/>
          <w:lang w:val="es-ES_tradnl" w:eastAsia="es-MX"/>
        </w:rPr>
        <w:t>l</w:t>
      </w:r>
      <w:r w:rsidR="00FC1EA6" w:rsidRPr="00BA1F6B">
        <w:rPr>
          <w:rFonts w:ascii="Palatino Linotype" w:eastAsia="Times New Roman" w:hAnsi="Palatino Linotype" w:cs="Palatino Linotype"/>
          <w:color w:val="000000"/>
          <w:sz w:val="24"/>
          <w:szCs w:val="24"/>
          <w:lang w:val="es-ES_tradnl" w:eastAsia="es-MX"/>
        </w:rPr>
        <w:t>iga electrónica</w:t>
      </w:r>
      <w:r w:rsidR="000E59FE" w:rsidRPr="00BA1F6B">
        <w:rPr>
          <w:rFonts w:ascii="Palatino Linotype" w:eastAsia="Times New Roman" w:hAnsi="Palatino Linotype" w:cs="Palatino Linotype"/>
          <w:color w:val="000000"/>
          <w:sz w:val="24"/>
          <w:szCs w:val="24"/>
          <w:lang w:val="es-ES_tradnl" w:eastAsia="es-MX"/>
        </w:rPr>
        <w:t>. -</w:t>
      </w:r>
      <w:r w:rsidR="00FC1EA6" w:rsidRPr="00BA1F6B">
        <w:rPr>
          <w:rFonts w:ascii="Palatino Linotype" w:eastAsia="Times New Roman" w:hAnsi="Palatino Linotype" w:cs="Palatino Linotype"/>
          <w:color w:val="000000"/>
          <w:sz w:val="24"/>
          <w:szCs w:val="24"/>
          <w:lang w:val="es-ES_tradnl" w:eastAsia="es-MX"/>
        </w:rPr>
        <w:t xml:space="preserve"> </w:t>
      </w:r>
      <w:r w:rsidR="000E59FE" w:rsidRPr="00BA1F6B">
        <w:rPr>
          <w:rFonts w:ascii="Palatino Linotype" w:eastAsia="Times New Roman" w:hAnsi="Palatino Linotype" w:cs="Palatino Linotype"/>
          <w:color w:val="000000"/>
          <w:sz w:val="24"/>
          <w:szCs w:val="24"/>
          <w:lang w:val="es-ES_tradnl" w:eastAsia="es-MX"/>
        </w:rPr>
        <w:t>Y</w:t>
      </w:r>
      <w:r w:rsidR="00FC1EA6" w:rsidRPr="00BA1F6B">
        <w:rPr>
          <w:rFonts w:ascii="Palatino Linotype" w:eastAsia="Times New Roman" w:hAnsi="Palatino Linotype" w:cs="Palatino Linotype"/>
          <w:color w:val="000000"/>
          <w:sz w:val="24"/>
          <w:szCs w:val="24"/>
          <w:lang w:val="es-ES_tradnl" w:eastAsia="es-MX"/>
        </w:rPr>
        <w:t xml:space="preserve"> proporciona </w:t>
      </w:r>
      <w:r w:rsidR="000E59FE" w:rsidRPr="00BA1F6B">
        <w:rPr>
          <w:rFonts w:ascii="Palatino Linotype" w:eastAsia="Times New Roman" w:hAnsi="Palatino Linotype" w:cs="Palatino Linotype"/>
          <w:color w:val="000000"/>
          <w:sz w:val="24"/>
          <w:szCs w:val="24"/>
          <w:lang w:val="es-ES_tradnl" w:eastAsia="es-MX"/>
        </w:rPr>
        <w:t>l</w:t>
      </w:r>
      <w:r w:rsidR="00FC1EA6" w:rsidRPr="00BA1F6B">
        <w:rPr>
          <w:rFonts w:ascii="Palatino Linotype" w:eastAsia="Times New Roman" w:hAnsi="Palatino Linotype" w:cs="Palatino Linotype"/>
          <w:color w:val="000000"/>
          <w:sz w:val="24"/>
          <w:szCs w:val="24"/>
          <w:lang w:val="es-ES_tradnl" w:eastAsia="es-MX"/>
        </w:rPr>
        <w:t>iga electrónica en formato cerrado</w:t>
      </w:r>
      <w:r w:rsidR="000E59FE" w:rsidRPr="00BA1F6B">
        <w:rPr>
          <w:rFonts w:ascii="Palatino Linotype" w:eastAsia="Times New Roman" w:hAnsi="Palatino Linotype" w:cs="Palatino Linotype"/>
          <w:color w:val="000000"/>
          <w:sz w:val="24"/>
          <w:szCs w:val="24"/>
          <w:lang w:val="es-ES_tradnl" w:eastAsia="es-MX"/>
        </w:rPr>
        <w:t>.</w:t>
      </w:r>
    </w:p>
    <w:p w14:paraId="51EB0998" w14:textId="4E6EE69F" w:rsidR="000E59FE" w:rsidRPr="00BA1F6B" w:rsidRDefault="000E59FE" w:rsidP="0020239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A1F6B">
        <w:rPr>
          <w:rFonts w:ascii="Palatino Linotype" w:eastAsia="Times New Roman" w:hAnsi="Palatino Linotype" w:cs="Palatino Linotype"/>
          <w:noProof/>
          <w:color w:val="000000"/>
          <w:sz w:val="24"/>
          <w:szCs w:val="24"/>
          <w:lang w:eastAsia="es-MX"/>
        </w:rPr>
        <w:drawing>
          <wp:anchor distT="0" distB="0" distL="114300" distR="114300" simplePos="0" relativeHeight="251659264" behindDoc="0" locked="0" layoutInCell="1" allowOverlap="1" wp14:anchorId="0F9243FF" wp14:editId="041C6DB1">
            <wp:simplePos x="0" y="0"/>
            <wp:positionH relativeFrom="column">
              <wp:posOffset>1876552</wp:posOffset>
            </wp:positionH>
            <wp:positionV relativeFrom="paragraph">
              <wp:posOffset>108585</wp:posOffset>
            </wp:positionV>
            <wp:extent cx="2682472" cy="259102"/>
            <wp:effectExtent l="0" t="0" r="381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2682472" cy="259102"/>
                    </a:xfrm>
                    <a:prstGeom prst="rect">
                      <a:avLst/>
                    </a:prstGeom>
                  </pic:spPr>
                </pic:pic>
              </a:graphicData>
            </a:graphic>
          </wp:anchor>
        </w:drawing>
      </w:r>
    </w:p>
    <w:p w14:paraId="22A73D61" w14:textId="77777777" w:rsidR="00202397" w:rsidRPr="00BA1F6B" w:rsidRDefault="00202397"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45A74F5" w14:textId="77777777" w:rsidR="00202397" w:rsidRPr="00BA1F6B" w:rsidRDefault="00202397"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2548697" w14:textId="181A2DC7" w:rsidR="00F11C89" w:rsidRPr="00BA1F6B" w:rsidRDefault="000D134C" w:rsidP="005C2A3E">
      <w:pPr>
        <w:spacing w:after="0" w:line="360" w:lineRule="auto"/>
        <w:jc w:val="both"/>
        <w:rPr>
          <w:rFonts w:ascii="Palatino Linotype" w:eastAsia="Times New Roman" w:hAnsi="Palatino Linotype" w:cs="Palatino Linotype"/>
          <w:color w:val="000000"/>
          <w:sz w:val="24"/>
          <w:szCs w:val="24"/>
          <w:lang w:eastAsia="es-MX"/>
        </w:rPr>
      </w:pPr>
      <w:r w:rsidRPr="00BA1F6B">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00F31760" w:rsidRPr="00BA1F6B">
        <w:rPr>
          <w:rFonts w:ascii="Palatino Linotype" w:eastAsia="Times New Roman" w:hAnsi="Palatino Linotype" w:cs="Palatino Linotype"/>
          <w:i/>
          <w:iCs/>
          <w:color w:val="000000"/>
          <w:sz w:val="24"/>
          <w:lang w:val="es-ES_tradnl" w:eastAsia="es-MX"/>
        </w:rPr>
        <w:t>“</w:t>
      </w:r>
      <w:r w:rsidR="00D15FA3" w:rsidRPr="00BA1F6B">
        <w:rPr>
          <w:rFonts w:ascii="Palatino Linotype" w:eastAsia="Times New Roman" w:hAnsi="Palatino Linotype" w:cs="Palatino Linotype"/>
          <w:i/>
          <w:iCs/>
          <w:color w:val="000000"/>
          <w:sz w:val="24"/>
          <w:lang w:eastAsia="es-MX"/>
        </w:rPr>
        <w:t>RESPUESTA A LA SOLICITUD 00176/HUIXQUIL/IP/2025</w:t>
      </w:r>
      <w:r w:rsidR="00F31760" w:rsidRPr="00BA1F6B">
        <w:rPr>
          <w:rFonts w:ascii="Palatino Linotype" w:eastAsia="Times New Roman" w:hAnsi="Palatino Linotype" w:cs="Palatino Linotype"/>
          <w:i/>
          <w:iCs/>
          <w:color w:val="000000"/>
          <w:sz w:val="24"/>
          <w:lang w:val="es-ES_tradnl" w:eastAsia="es-MX"/>
        </w:rPr>
        <w:t xml:space="preserve">” </w:t>
      </w:r>
      <w:r w:rsidRPr="00BA1F6B">
        <w:rPr>
          <w:rFonts w:ascii="Palatino Linotype" w:eastAsia="Times New Roman" w:hAnsi="Palatino Linotype" w:cs="Palatino Linotype"/>
          <w:color w:val="000000"/>
          <w:sz w:val="24"/>
          <w:lang w:val="es-ES_tradnl" w:eastAsia="es-MX"/>
        </w:rPr>
        <w:t xml:space="preserve">y motivos de inconformidad </w:t>
      </w:r>
      <w:r w:rsidR="00DD180D" w:rsidRPr="00BA1F6B">
        <w:rPr>
          <w:rFonts w:ascii="Palatino Linotype" w:eastAsia="Times New Roman" w:hAnsi="Palatino Linotype" w:cs="Palatino Linotype"/>
          <w:i/>
          <w:color w:val="000000"/>
          <w:sz w:val="24"/>
          <w:szCs w:val="24"/>
          <w:lang w:val="es-ES_tradnl" w:eastAsia="es-MX"/>
        </w:rPr>
        <w:t>“</w:t>
      </w:r>
      <w:r w:rsidR="00D15FA3" w:rsidRPr="00BA1F6B">
        <w:rPr>
          <w:rFonts w:ascii="Palatino Linotype" w:eastAsia="Times New Roman" w:hAnsi="Palatino Linotype" w:cs="Palatino Linotype"/>
          <w:i/>
          <w:color w:val="000000"/>
          <w:sz w:val="24"/>
          <w:szCs w:val="24"/>
          <w:lang w:eastAsia="es-MX"/>
        </w:rPr>
        <w:t>LA INFORMACION QUE EL SUJETO OBLIGADO PONE A DISPOSICIÓN MEDIANTE ENLACES ELECTRÓNICOS ES INCOMPLETA Y NO CUMPLE CON LOS TÉRMINOS EXPRESADOS EN LA SOLICITUD, LA CUAL ESTABLECE QUE SE SOLICITA COPIA SIMPLE A TRAVES DEL SISTEMA ELECTRÓNICO SAIMEX. CON ESTO EL SUJETO OBLIGADO INCURRE EN UNA MODIFICACION UNILATERAL EN LA MODALIDAD DE ENTREGA QUE NO CUMPLE CON LO ESTABLECIDO EN LA SOLICITUD, POR LO ANTERIOR, SOLICITO SE REVOQUE LA RESPUESTA Y SE ORDENE LA ENTREGA DE LA INFORMACION EN LOS TÉRMINOS EXACTOS EN QUE FUE SOLICITADA.</w:t>
      </w:r>
      <w:r w:rsidR="00DD180D" w:rsidRPr="00BA1F6B">
        <w:rPr>
          <w:rFonts w:ascii="Palatino Linotype" w:eastAsia="Times New Roman" w:hAnsi="Palatino Linotype" w:cs="Palatino Linotype"/>
          <w:i/>
          <w:color w:val="000000"/>
          <w:sz w:val="24"/>
          <w:szCs w:val="24"/>
          <w:lang w:val="es-ES_tradnl" w:eastAsia="es-MX"/>
        </w:rPr>
        <w:t>”</w:t>
      </w:r>
      <w:r w:rsidRPr="00BA1F6B">
        <w:rPr>
          <w:rFonts w:ascii="Palatino Linotype" w:eastAsia="Times New Roman" w:hAnsi="Palatino Linotype" w:cs="Palatino Linotype"/>
          <w:i/>
          <w:color w:val="000000"/>
          <w:sz w:val="24"/>
          <w:szCs w:val="24"/>
          <w:lang w:val="es-ES_tradnl" w:eastAsia="es-MX"/>
        </w:rPr>
        <w:t>,</w:t>
      </w:r>
      <w:r w:rsidRPr="00BA1F6B">
        <w:rPr>
          <w:rFonts w:ascii="Palatino Linotype" w:eastAsia="Times New Roman" w:hAnsi="Palatino Linotype" w:cs="Palatino Linotype"/>
          <w:i/>
          <w:color w:val="000000"/>
          <w:lang w:val="es-ES_tradnl" w:eastAsia="es-MX"/>
        </w:rPr>
        <w:t xml:space="preserve"> </w:t>
      </w:r>
      <w:r w:rsidRPr="00BA1F6B">
        <w:rPr>
          <w:rFonts w:ascii="Palatino Linotype" w:eastAsia="Times New Roman" w:hAnsi="Palatino Linotype" w:cs="Palatino Linotype"/>
          <w:color w:val="000000"/>
          <w:sz w:val="24"/>
          <w:lang w:val="es-ES_tradnl" w:eastAsia="es-MX"/>
        </w:rPr>
        <w:t>en este sentido el Recurrente</w:t>
      </w:r>
      <w:r w:rsidR="00534385" w:rsidRPr="00BA1F6B">
        <w:rPr>
          <w:rFonts w:ascii="Palatino Linotype" w:eastAsia="Times New Roman" w:hAnsi="Palatino Linotype" w:cs="Palatino Linotype"/>
          <w:color w:val="000000"/>
          <w:sz w:val="24"/>
          <w:lang w:val="es-ES_tradnl" w:eastAsia="es-MX"/>
        </w:rPr>
        <w:t xml:space="preserve"> considero que el Sujeto Obligado no </w:t>
      </w:r>
      <w:r w:rsidR="00DD180D" w:rsidRPr="00BA1F6B">
        <w:rPr>
          <w:rFonts w:ascii="Palatino Linotype" w:eastAsia="Times New Roman" w:hAnsi="Palatino Linotype" w:cs="Palatino Linotype"/>
          <w:color w:val="000000"/>
          <w:sz w:val="24"/>
          <w:lang w:val="es-ES_tradnl" w:eastAsia="es-MX"/>
        </w:rPr>
        <w:t>le entrega la información</w:t>
      </w:r>
      <w:r w:rsidR="00FF022F" w:rsidRPr="00BA1F6B">
        <w:rPr>
          <w:rFonts w:ascii="Palatino Linotype" w:eastAsia="Times New Roman" w:hAnsi="Palatino Linotype" w:cs="Palatino Linotype"/>
          <w:color w:val="000000"/>
          <w:sz w:val="24"/>
          <w:lang w:val="es-ES_tradnl" w:eastAsia="es-MX"/>
        </w:rPr>
        <w:t xml:space="preserve"> y por el cambio en la modalidad de entrega de la información</w:t>
      </w:r>
      <w:r w:rsidR="004E4894" w:rsidRPr="00BA1F6B">
        <w:rPr>
          <w:rFonts w:ascii="Palatino Linotype" w:eastAsia="Times New Roman" w:hAnsi="Palatino Linotype" w:cs="Palatino Linotype"/>
          <w:color w:val="000000"/>
          <w:sz w:val="24"/>
          <w:lang w:val="es-ES_tradnl" w:eastAsia="es-MX"/>
        </w:rPr>
        <w:t>.</w:t>
      </w:r>
      <w:r w:rsidR="00DD180D" w:rsidRPr="00BA1F6B">
        <w:rPr>
          <w:rFonts w:ascii="Palatino Linotype" w:eastAsia="Times New Roman" w:hAnsi="Palatino Linotype" w:cs="Palatino Linotype"/>
          <w:color w:val="000000"/>
          <w:sz w:val="24"/>
          <w:lang w:val="es-ES_tradnl" w:eastAsia="es-MX"/>
        </w:rPr>
        <w:t xml:space="preserve"> </w:t>
      </w:r>
      <w:r w:rsidR="00067548" w:rsidRPr="00BA1F6B">
        <w:rPr>
          <w:rFonts w:ascii="Palatino Linotype" w:eastAsia="Times New Roman" w:hAnsi="Palatino Linotype" w:cs="Palatino Linotype"/>
          <w:color w:val="000000"/>
          <w:sz w:val="24"/>
          <w:lang w:val="es-ES_tradnl" w:eastAsia="es-MX"/>
        </w:rPr>
        <w:t xml:space="preserve"> </w:t>
      </w:r>
    </w:p>
    <w:p w14:paraId="0FBC295F" w14:textId="4A1A67DE" w:rsidR="00534385" w:rsidRPr="00BA1F6B" w:rsidRDefault="00F11C89" w:rsidP="005C2A3E">
      <w:pPr>
        <w:spacing w:after="0" w:line="360" w:lineRule="auto"/>
        <w:jc w:val="center"/>
        <w:rPr>
          <w:rFonts w:ascii="Palatino Linotype" w:hAnsi="Palatino Linotype" w:cs="Arial"/>
          <w:b/>
          <w:bCs/>
          <w:i/>
          <w:iCs/>
          <w:sz w:val="24"/>
          <w:szCs w:val="24"/>
        </w:rPr>
      </w:pPr>
      <w:r w:rsidRPr="00BA1F6B">
        <w:rPr>
          <w:noProof/>
          <w:lang w:eastAsia="es-MX"/>
        </w:rPr>
        <w:t xml:space="preserve"> </w:t>
      </w:r>
    </w:p>
    <w:p w14:paraId="0E13872F" w14:textId="73768358" w:rsidR="001F12A0" w:rsidRPr="00BA1F6B" w:rsidRDefault="00A55B11" w:rsidP="005C2A3E">
      <w:pPr>
        <w:tabs>
          <w:tab w:val="left" w:pos="709"/>
        </w:tabs>
        <w:spacing w:after="0" w:line="360" w:lineRule="auto"/>
        <w:contextualSpacing/>
        <w:jc w:val="both"/>
        <w:rPr>
          <w:rFonts w:ascii="Palatino Linotype" w:eastAsia="Times New Roman" w:hAnsi="Palatino Linotype" w:cs="Arial"/>
          <w:sz w:val="24"/>
          <w:lang w:eastAsia="es-MX"/>
        </w:rPr>
      </w:pPr>
      <w:r w:rsidRPr="00BA1F6B">
        <w:rPr>
          <w:rFonts w:ascii="Palatino Linotype" w:eastAsia="Times New Roman" w:hAnsi="Palatino Linotype" w:cs="Arial"/>
          <w:sz w:val="24"/>
          <w:lang w:val="es-ES_tradnl" w:eastAsia="es-MX"/>
        </w:rPr>
        <w:lastRenderedPageBreak/>
        <w:t>Así, en actuaciones subsecuentes, el Sujeto Obligado, presenta su informe justificado por medio de</w:t>
      </w:r>
      <w:r w:rsidR="001F12A0" w:rsidRPr="00BA1F6B">
        <w:rPr>
          <w:rFonts w:ascii="Palatino Linotype" w:eastAsia="Times New Roman" w:hAnsi="Palatino Linotype" w:cs="Arial"/>
          <w:sz w:val="24"/>
          <w:lang w:val="es-ES_tradnl" w:eastAsia="es-MX"/>
        </w:rPr>
        <w:t xml:space="preserve"> tres</w:t>
      </w:r>
      <w:r w:rsidRPr="00BA1F6B">
        <w:rPr>
          <w:rFonts w:ascii="Palatino Linotype" w:eastAsia="Times New Roman" w:hAnsi="Palatino Linotype" w:cs="Arial"/>
          <w:sz w:val="24"/>
          <w:lang w:val="es-ES_tradnl" w:eastAsia="es-MX"/>
        </w:rPr>
        <w:t xml:space="preserve"> archivo</w:t>
      </w:r>
      <w:r w:rsidR="001F12A0" w:rsidRPr="00BA1F6B">
        <w:rPr>
          <w:rFonts w:ascii="Palatino Linotype" w:eastAsia="Times New Roman" w:hAnsi="Palatino Linotype" w:cs="Arial"/>
          <w:sz w:val="24"/>
          <w:lang w:val="es-ES_tradnl" w:eastAsia="es-MX"/>
        </w:rPr>
        <w:t>s</w:t>
      </w:r>
      <w:r w:rsidRPr="00BA1F6B">
        <w:rPr>
          <w:rFonts w:ascii="Palatino Linotype" w:eastAsia="Times New Roman" w:hAnsi="Palatino Linotype" w:cs="Arial"/>
          <w:sz w:val="24"/>
          <w:lang w:val="es-ES_tradnl" w:eastAsia="es-MX"/>
        </w:rPr>
        <w:t xml:space="preserve"> electrónico</w:t>
      </w:r>
      <w:r w:rsidR="001F12A0" w:rsidRPr="00BA1F6B">
        <w:rPr>
          <w:rFonts w:ascii="Palatino Linotype" w:eastAsia="Times New Roman" w:hAnsi="Palatino Linotype" w:cs="Arial"/>
          <w:sz w:val="24"/>
          <w:lang w:val="es-ES_tradnl" w:eastAsia="es-MX"/>
        </w:rPr>
        <w:t xml:space="preserve">s </w:t>
      </w:r>
      <w:r w:rsidR="001F12A0" w:rsidRPr="00BA1F6B">
        <w:rPr>
          <w:rFonts w:ascii="Palatino Linotype" w:eastAsia="Times New Roman" w:hAnsi="Palatino Linotype" w:cs="Arial"/>
          <w:i/>
          <w:iCs/>
          <w:sz w:val="24"/>
          <w:lang w:eastAsia="es-MX"/>
        </w:rPr>
        <w:t xml:space="preserve">"Oficio DGIyE 1445-2025.pdf", "Nota Informativa "UT 14445-2025.pdf" y "Oficio DGA 14445-2025.pdf", </w:t>
      </w:r>
      <w:r w:rsidR="001F12A0" w:rsidRPr="00BA1F6B">
        <w:rPr>
          <w:rFonts w:ascii="Palatino Linotype" w:eastAsia="Times New Roman" w:hAnsi="Palatino Linotype" w:cs="Arial"/>
          <w:sz w:val="24"/>
          <w:lang w:eastAsia="es-MX"/>
        </w:rPr>
        <w:t xml:space="preserve">los cuales </w:t>
      </w:r>
      <w:r w:rsidR="00AC3BB6" w:rsidRPr="00BA1F6B">
        <w:rPr>
          <w:rFonts w:ascii="Palatino Linotype" w:eastAsia="Times New Roman" w:hAnsi="Palatino Linotype" w:cs="Arial"/>
          <w:sz w:val="24"/>
          <w:lang w:eastAsia="es-MX"/>
        </w:rPr>
        <w:t>se componen de:</w:t>
      </w:r>
    </w:p>
    <w:p w14:paraId="2FDE1B41" w14:textId="77777777" w:rsidR="009512F4" w:rsidRPr="00BA1F6B" w:rsidRDefault="009512F4" w:rsidP="005C2A3E">
      <w:pPr>
        <w:tabs>
          <w:tab w:val="left" w:pos="709"/>
        </w:tabs>
        <w:spacing w:after="0" w:line="360" w:lineRule="auto"/>
        <w:contextualSpacing/>
        <w:jc w:val="both"/>
        <w:rPr>
          <w:rFonts w:ascii="Palatino Linotype" w:eastAsia="Times New Roman" w:hAnsi="Palatino Linotype" w:cs="Arial"/>
          <w:i/>
          <w:iCs/>
          <w:sz w:val="24"/>
          <w:lang w:eastAsia="es-MX"/>
        </w:rPr>
      </w:pPr>
    </w:p>
    <w:p w14:paraId="395CB190" w14:textId="64AE2B48" w:rsidR="00AC3BB6" w:rsidRPr="00BA1F6B" w:rsidRDefault="0094345E" w:rsidP="0094345E">
      <w:pPr>
        <w:pStyle w:val="Prrafodelista"/>
        <w:numPr>
          <w:ilvl w:val="0"/>
          <w:numId w:val="19"/>
        </w:numPr>
        <w:tabs>
          <w:tab w:val="left" w:pos="709"/>
        </w:tabs>
        <w:spacing w:after="0" w:line="360" w:lineRule="auto"/>
        <w:jc w:val="both"/>
        <w:rPr>
          <w:rFonts w:ascii="Palatino Linotype" w:eastAsia="Times New Roman" w:hAnsi="Palatino Linotype" w:cs="Arial"/>
          <w:sz w:val="24"/>
          <w:lang w:eastAsia="es-MX"/>
        </w:rPr>
      </w:pPr>
      <w:r w:rsidRPr="00BA1F6B">
        <w:rPr>
          <w:rFonts w:ascii="Palatino Linotype" w:eastAsia="Times New Roman" w:hAnsi="Palatino Linotype" w:cs="Arial"/>
          <w:sz w:val="24"/>
          <w:lang w:eastAsia="es-MX"/>
        </w:rPr>
        <w:t>Oficio DGIE/0065</w:t>
      </w:r>
      <w:r w:rsidR="009512F4" w:rsidRPr="00BA1F6B">
        <w:rPr>
          <w:rFonts w:ascii="Palatino Linotype" w:eastAsia="Times New Roman" w:hAnsi="Palatino Linotype" w:cs="Arial"/>
          <w:sz w:val="24"/>
          <w:lang w:eastAsia="es-MX"/>
        </w:rPr>
        <w:t>/</w:t>
      </w:r>
      <w:r w:rsidRPr="00BA1F6B">
        <w:rPr>
          <w:rFonts w:ascii="Palatino Linotype" w:eastAsia="Times New Roman" w:hAnsi="Palatino Linotype" w:cs="Arial"/>
          <w:sz w:val="24"/>
          <w:lang w:eastAsia="es-MX"/>
        </w:rPr>
        <w:t>2026 asignado por la directora General de edificación en el que hace una narrativa de hechos para posteriormente presentar su argumento en la cual manifiesta que la Dirección General de infraestructura y edificación no cuenta con información documental referente relativa al padrón de proveedores finalmente deja medios de contacto.</w:t>
      </w:r>
    </w:p>
    <w:p w14:paraId="15834864" w14:textId="77777777" w:rsidR="003C5E75" w:rsidRPr="00BA1F6B" w:rsidRDefault="003C5E75" w:rsidP="003C5E75">
      <w:pPr>
        <w:tabs>
          <w:tab w:val="left" w:pos="709"/>
        </w:tabs>
        <w:spacing w:after="0" w:line="360" w:lineRule="auto"/>
        <w:ind w:left="360"/>
        <w:jc w:val="both"/>
        <w:rPr>
          <w:rFonts w:ascii="Palatino Linotype" w:eastAsia="Times New Roman" w:hAnsi="Palatino Linotype" w:cs="Arial"/>
          <w:sz w:val="24"/>
          <w:lang w:eastAsia="es-MX"/>
        </w:rPr>
      </w:pPr>
    </w:p>
    <w:p w14:paraId="44CAC83C" w14:textId="3C4B3217" w:rsidR="00AC3BB6" w:rsidRPr="00BA1F6B" w:rsidRDefault="009512F4" w:rsidP="005C2A3E">
      <w:pPr>
        <w:pStyle w:val="Prrafodelista"/>
        <w:numPr>
          <w:ilvl w:val="0"/>
          <w:numId w:val="19"/>
        </w:numPr>
        <w:tabs>
          <w:tab w:val="left" w:pos="709"/>
        </w:tabs>
        <w:spacing w:after="0" w:line="360" w:lineRule="auto"/>
        <w:jc w:val="both"/>
        <w:rPr>
          <w:rFonts w:ascii="Palatino Linotype" w:eastAsia="Times New Roman" w:hAnsi="Palatino Linotype" w:cs="Arial"/>
          <w:sz w:val="24"/>
          <w:lang w:eastAsia="es-MX"/>
        </w:rPr>
      </w:pPr>
      <w:r w:rsidRPr="00BA1F6B">
        <w:rPr>
          <w:rFonts w:ascii="Palatino Linotype" w:eastAsia="Times New Roman" w:hAnsi="Palatino Linotype" w:cs="Arial"/>
          <w:sz w:val="24"/>
          <w:lang w:eastAsia="es-MX"/>
        </w:rPr>
        <w:t>Oficio número DG</w:t>
      </w:r>
      <w:r w:rsidR="00E26EAE" w:rsidRPr="00BA1F6B">
        <w:rPr>
          <w:rFonts w:ascii="Palatino Linotype" w:eastAsia="Times New Roman" w:hAnsi="Palatino Linotype" w:cs="Arial"/>
          <w:sz w:val="24"/>
          <w:lang w:eastAsia="es-MX"/>
        </w:rPr>
        <w:t>A/S</w:t>
      </w:r>
      <w:r w:rsidRPr="00BA1F6B">
        <w:rPr>
          <w:rFonts w:ascii="Palatino Linotype" w:eastAsia="Times New Roman" w:hAnsi="Palatino Linotype" w:cs="Arial"/>
          <w:sz w:val="24"/>
          <w:lang w:eastAsia="es-MX"/>
        </w:rPr>
        <w:t>PAI</w:t>
      </w:r>
      <w:r w:rsidR="00E26EAE" w:rsidRPr="00BA1F6B">
        <w:rPr>
          <w:rFonts w:ascii="Palatino Linotype" w:eastAsia="Times New Roman" w:hAnsi="Palatino Linotype" w:cs="Arial"/>
          <w:sz w:val="24"/>
          <w:lang w:eastAsia="es-MX"/>
        </w:rPr>
        <w:t>/</w:t>
      </w:r>
      <w:r w:rsidRPr="00BA1F6B">
        <w:rPr>
          <w:rFonts w:ascii="Palatino Linotype" w:eastAsia="Times New Roman" w:hAnsi="Palatino Linotype" w:cs="Arial"/>
          <w:sz w:val="24"/>
          <w:lang w:eastAsia="es-MX"/>
        </w:rPr>
        <w:t>096</w:t>
      </w:r>
      <w:r w:rsidR="00E26EAE" w:rsidRPr="00BA1F6B">
        <w:rPr>
          <w:rFonts w:ascii="Palatino Linotype" w:eastAsia="Times New Roman" w:hAnsi="Palatino Linotype" w:cs="Arial"/>
          <w:sz w:val="24"/>
          <w:lang w:eastAsia="es-MX"/>
        </w:rPr>
        <w:t>/01/</w:t>
      </w:r>
      <w:r w:rsidRPr="00BA1F6B">
        <w:rPr>
          <w:rFonts w:ascii="Palatino Linotype" w:eastAsia="Times New Roman" w:hAnsi="Palatino Linotype" w:cs="Arial"/>
          <w:sz w:val="24"/>
          <w:lang w:eastAsia="es-MX"/>
        </w:rPr>
        <w:t>2025 emitid</w:t>
      </w:r>
      <w:r w:rsidR="00E26EAE" w:rsidRPr="00BA1F6B">
        <w:rPr>
          <w:rFonts w:ascii="Palatino Linotype" w:eastAsia="Times New Roman" w:hAnsi="Palatino Linotype" w:cs="Arial"/>
          <w:sz w:val="24"/>
          <w:lang w:eastAsia="es-MX"/>
        </w:rPr>
        <w:t>o</w:t>
      </w:r>
      <w:r w:rsidRPr="00BA1F6B">
        <w:rPr>
          <w:rFonts w:ascii="Palatino Linotype" w:eastAsia="Times New Roman" w:hAnsi="Palatino Linotype" w:cs="Arial"/>
          <w:sz w:val="24"/>
          <w:lang w:eastAsia="es-MX"/>
        </w:rPr>
        <w:t xml:space="preserve"> por la </w:t>
      </w:r>
      <w:r w:rsidR="00E26EAE" w:rsidRPr="00BA1F6B">
        <w:rPr>
          <w:rFonts w:ascii="Palatino Linotype" w:eastAsia="Times New Roman" w:hAnsi="Palatino Linotype" w:cs="Arial"/>
          <w:sz w:val="24"/>
          <w:lang w:eastAsia="es-MX"/>
        </w:rPr>
        <w:t xml:space="preserve">Directora </w:t>
      </w:r>
      <w:r w:rsidRPr="00BA1F6B">
        <w:rPr>
          <w:rFonts w:ascii="Palatino Linotype" w:eastAsia="Times New Roman" w:hAnsi="Palatino Linotype" w:cs="Arial"/>
          <w:sz w:val="24"/>
          <w:lang w:eastAsia="es-MX"/>
        </w:rPr>
        <w:t xml:space="preserve">General de </w:t>
      </w:r>
      <w:r w:rsidR="00E26EAE" w:rsidRPr="00BA1F6B">
        <w:rPr>
          <w:rFonts w:ascii="Palatino Linotype" w:eastAsia="Times New Roman" w:hAnsi="Palatino Linotype" w:cs="Arial"/>
          <w:sz w:val="24"/>
          <w:lang w:eastAsia="es-MX"/>
        </w:rPr>
        <w:t xml:space="preserve">Administración, </w:t>
      </w:r>
      <w:r w:rsidRPr="00BA1F6B">
        <w:rPr>
          <w:rFonts w:ascii="Palatino Linotype" w:eastAsia="Times New Roman" w:hAnsi="Palatino Linotype" w:cs="Arial"/>
          <w:sz w:val="24"/>
          <w:lang w:eastAsia="es-MX"/>
        </w:rPr>
        <w:t>en el cual posterior a su narrativa de antecedentes manifiesta como argumento</w:t>
      </w:r>
      <w:r w:rsidR="00E26EAE" w:rsidRPr="00BA1F6B">
        <w:rPr>
          <w:rFonts w:ascii="Palatino Linotype" w:eastAsia="Times New Roman" w:hAnsi="Palatino Linotype" w:cs="Arial"/>
          <w:sz w:val="24"/>
          <w:lang w:eastAsia="es-MX"/>
        </w:rPr>
        <w:t xml:space="preserve"> general</w:t>
      </w:r>
      <w:r w:rsidRPr="00BA1F6B">
        <w:rPr>
          <w:rFonts w:ascii="Palatino Linotype" w:eastAsia="Times New Roman" w:hAnsi="Palatino Linotype" w:cs="Arial"/>
          <w:sz w:val="24"/>
          <w:lang w:eastAsia="es-MX"/>
        </w:rPr>
        <w:t xml:space="preserve"> que la Dirección General de administración ratifica en todos y cada una de las pretensiones la respuesta primigenia manifestada</w:t>
      </w:r>
      <w:r w:rsidR="00E26EAE" w:rsidRPr="00BA1F6B">
        <w:rPr>
          <w:rFonts w:ascii="Palatino Linotype" w:eastAsia="Times New Roman" w:hAnsi="Palatino Linotype" w:cs="Arial"/>
          <w:sz w:val="24"/>
          <w:lang w:eastAsia="es-MX"/>
        </w:rPr>
        <w:t xml:space="preserve">, y como específicos que </w:t>
      </w:r>
      <w:r w:rsidR="005F1572" w:rsidRPr="00BA1F6B">
        <w:rPr>
          <w:rFonts w:ascii="Palatino Linotype" w:eastAsia="Times New Roman" w:hAnsi="Palatino Linotype" w:cs="Arial"/>
          <w:sz w:val="24"/>
          <w:lang w:eastAsia="es-MX"/>
        </w:rPr>
        <w:t>Uso a disposición del solicitante el enlace electrónico qué envía el sistema de información pública de oficio mexiquense el cual contiene la información.</w:t>
      </w:r>
    </w:p>
    <w:p w14:paraId="226B8B48" w14:textId="77777777" w:rsidR="003C5E75" w:rsidRPr="00BA1F6B" w:rsidRDefault="003C5E75" w:rsidP="003C5E75">
      <w:pPr>
        <w:pStyle w:val="Prrafodelista"/>
        <w:tabs>
          <w:tab w:val="left" w:pos="709"/>
        </w:tabs>
        <w:spacing w:after="0" w:line="360" w:lineRule="auto"/>
        <w:jc w:val="both"/>
        <w:rPr>
          <w:rFonts w:ascii="Palatino Linotype" w:eastAsia="Times New Roman" w:hAnsi="Palatino Linotype" w:cs="Arial"/>
          <w:sz w:val="24"/>
          <w:lang w:eastAsia="es-MX"/>
        </w:rPr>
      </w:pPr>
    </w:p>
    <w:p w14:paraId="58A3443A" w14:textId="5264119F" w:rsidR="0035046C" w:rsidRPr="00BA1F6B" w:rsidRDefault="0035046C" w:rsidP="003C5E75">
      <w:pPr>
        <w:pStyle w:val="Prrafodelista"/>
        <w:tabs>
          <w:tab w:val="left" w:pos="709"/>
        </w:tabs>
        <w:spacing w:after="0" w:line="360" w:lineRule="auto"/>
        <w:jc w:val="both"/>
        <w:rPr>
          <w:rFonts w:ascii="Palatino Linotype" w:eastAsia="Times New Roman" w:hAnsi="Palatino Linotype" w:cs="Arial"/>
          <w:sz w:val="24"/>
          <w:lang w:eastAsia="es-MX"/>
        </w:rPr>
      </w:pPr>
      <w:r w:rsidRPr="00BA1F6B">
        <w:rPr>
          <w:rFonts w:ascii="Palatino Linotype" w:eastAsia="Times New Roman" w:hAnsi="Palatino Linotype" w:cs="Arial"/>
          <w:sz w:val="24"/>
          <w:lang w:eastAsia="es-MX"/>
        </w:rPr>
        <w:t>Por otra parte</w:t>
      </w:r>
      <w:r w:rsidR="008C5B6E" w:rsidRPr="00BA1F6B">
        <w:rPr>
          <w:rFonts w:ascii="Palatino Linotype" w:eastAsia="Times New Roman" w:hAnsi="Palatino Linotype" w:cs="Arial"/>
          <w:sz w:val="24"/>
          <w:lang w:eastAsia="es-MX"/>
        </w:rPr>
        <w:t>,</w:t>
      </w:r>
      <w:r w:rsidRPr="00BA1F6B">
        <w:rPr>
          <w:rFonts w:ascii="Palatino Linotype" w:eastAsia="Times New Roman" w:hAnsi="Palatino Linotype" w:cs="Arial"/>
          <w:sz w:val="24"/>
          <w:lang w:eastAsia="es-MX"/>
        </w:rPr>
        <w:t xml:space="preserve"> manifiesta que la cédulas de proveedores, </w:t>
      </w:r>
      <w:r w:rsidR="00CB2B24" w:rsidRPr="00BA1F6B">
        <w:rPr>
          <w:rFonts w:ascii="Palatino Linotype" w:eastAsia="Times New Roman" w:hAnsi="Palatino Linotype" w:cs="Arial"/>
          <w:sz w:val="24"/>
          <w:lang w:eastAsia="es-MX"/>
        </w:rPr>
        <w:t>solo se puede expedir a los interesados que se encuentren facultados en el acta constitutiva de la empresa o su última modificación.</w:t>
      </w:r>
    </w:p>
    <w:p w14:paraId="00B59673" w14:textId="0B5C2408" w:rsidR="00347145" w:rsidRPr="00BA1F6B" w:rsidRDefault="00CB2B24" w:rsidP="009530DA">
      <w:pPr>
        <w:pStyle w:val="Prrafodelista"/>
        <w:tabs>
          <w:tab w:val="left" w:pos="709"/>
        </w:tabs>
        <w:spacing w:after="0" w:line="360" w:lineRule="auto"/>
        <w:jc w:val="both"/>
        <w:rPr>
          <w:rFonts w:ascii="Palatino Linotype" w:eastAsia="Times New Roman" w:hAnsi="Palatino Linotype" w:cs="Arial"/>
          <w:sz w:val="24"/>
          <w:lang w:eastAsia="es-MX"/>
        </w:rPr>
      </w:pPr>
      <w:r w:rsidRPr="00BA1F6B">
        <w:rPr>
          <w:rFonts w:ascii="Palatino Linotype" w:eastAsia="Times New Roman" w:hAnsi="Palatino Linotype" w:cs="Arial"/>
          <w:sz w:val="24"/>
          <w:lang w:eastAsia="es-MX"/>
        </w:rPr>
        <w:t>Por lo que el Sujeto Obligado, manifiesta localizar una restricción de acceso a un documento en un reglamento con carácter de Ley.</w:t>
      </w:r>
    </w:p>
    <w:p w14:paraId="1E0BE25A" w14:textId="77777777" w:rsidR="00AC3BB6" w:rsidRPr="00BA1F6B" w:rsidRDefault="00AC3BB6" w:rsidP="005C2A3E">
      <w:pPr>
        <w:tabs>
          <w:tab w:val="left" w:pos="709"/>
        </w:tabs>
        <w:spacing w:after="0" w:line="360" w:lineRule="auto"/>
        <w:contextualSpacing/>
        <w:jc w:val="both"/>
        <w:rPr>
          <w:rFonts w:ascii="Palatino Linotype" w:eastAsia="Times New Roman" w:hAnsi="Palatino Linotype" w:cs="Arial"/>
          <w:sz w:val="24"/>
          <w:lang w:eastAsia="es-MX"/>
        </w:rPr>
      </w:pPr>
    </w:p>
    <w:p w14:paraId="6DAD940C" w14:textId="3C07DD2C" w:rsidR="00C614D1" w:rsidRPr="00BA1F6B" w:rsidRDefault="00C614D1" w:rsidP="005C2A3E">
      <w:pPr>
        <w:tabs>
          <w:tab w:val="left" w:pos="709"/>
        </w:tabs>
        <w:spacing w:after="0" w:line="360" w:lineRule="auto"/>
        <w:contextualSpacing/>
        <w:jc w:val="both"/>
        <w:rPr>
          <w:rFonts w:ascii="Palatino Linotype" w:eastAsia="Times New Roman" w:hAnsi="Palatino Linotype" w:cs="Arial"/>
          <w:sz w:val="24"/>
          <w:lang w:eastAsia="es-MX"/>
        </w:rPr>
      </w:pPr>
      <w:r w:rsidRPr="00BA1F6B">
        <w:rPr>
          <w:rFonts w:ascii="Palatino Linotype" w:eastAsia="Times New Roman" w:hAnsi="Palatino Linotype" w:cs="Arial"/>
          <w:sz w:val="24"/>
          <w:lang w:eastAsia="es-MX"/>
        </w:rPr>
        <w:lastRenderedPageBreak/>
        <w:t xml:space="preserve">Situación que de hecho fue verificada por la Ponencia resolutora, y se </w:t>
      </w:r>
      <w:r w:rsidR="00C70B4B" w:rsidRPr="00BA1F6B">
        <w:rPr>
          <w:rFonts w:ascii="Palatino Linotype" w:eastAsia="Times New Roman" w:hAnsi="Palatino Linotype" w:cs="Arial"/>
          <w:sz w:val="24"/>
          <w:lang w:eastAsia="es-MX"/>
        </w:rPr>
        <w:t>desprende</w:t>
      </w:r>
      <w:r w:rsidRPr="00BA1F6B">
        <w:rPr>
          <w:rFonts w:ascii="Palatino Linotype" w:eastAsia="Times New Roman" w:hAnsi="Palatino Linotype" w:cs="Arial"/>
          <w:sz w:val="24"/>
          <w:lang w:eastAsia="es-MX"/>
        </w:rPr>
        <w:t xml:space="preserve"> que efectivamente </w:t>
      </w:r>
      <w:r w:rsidR="00C70B4B" w:rsidRPr="00BA1F6B">
        <w:rPr>
          <w:rFonts w:ascii="Palatino Linotype" w:eastAsia="Times New Roman" w:hAnsi="Palatino Linotype" w:cs="Arial"/>
          <w:sz w:val="24"/>
          <w:lang w:eastAsia="es-MX"/>
        </w:rPr>
        <w:t>para hacer entrega del duplicado (copia) se debe acreditar estar facultado en el acta constitutiva de la empresa, o en su modificación, en su caso.</w:t>
      </w:r>
    </w:p>
    <w:p w14:paraId="0C6A13B2" w14:textId="77777777" w:rsidR="00C94FA5" w:rsidRPr="00BA1F6B" w:rsidRDefault="00C94FA5" w:rsidP="005C2A3E">
      <w:pPr>
        <w:tabs>
          <w:tab w:val="left" w:pos="709"/>
        </w:tabs>
        <w:spacing w:after="0" w:line="360" w:lineRule="auto"/>
        <w:contextualSpacing/>
        <w:jc w:val="both"/>
        <w:rPr>
          <w:rFonts w:ascii="Palatino Linotype" w:eastAsia="Times New Roman" w:hAnsi="Palatino Linotype" w:cs="Arial"/>
          <w:sz w:val="24"/>
          <w:lang w:eastAsia="es-MX"/>
        </w:rPr>
      </w:pPr>
    </w:p>
    <w:p w14:paraId="3E1EE74E" w14:textId="124B10DF" w:rsidR="00500758" w:rsidRPr="00BA1F6B" w:rsidRDefault="00C94FA5" w:rsidP="005C2A3E">
      <w:pPr>
        <w:tabs>
          <w:tab w:val="left" w:pos="709"/>
        </w:tabs>
        <w:spacing w:after="0" w:line="360" w:lineRule="auto"/>
        <w:contextualSpacing/>
        <w:jc w:val="both"/>
        <w:rPr>
          <w:rFonts w:ascii="Palatino Linotype" w:eastAsia="Times New Roman" w:hAnsi="Palatino Linotype" w:cs="Arial"/>
          <w:b/>
          <w:bCs/>
          <w:i/>
          <w:iCs/>
          <w:szCs w:val="20"/>
          <w:lang w:eastAsia="es-MX"/>
        </w:rPr>
      </w:pPr>
      <w:r w:rsidRPr="00BA1F6B">
        <w:rPr>
          <w:rFonts w:ascii="Palatino Linotype" w:eastAsia="Times New Roman" w:hAnsi="Palatino Linotype" w:cs="Arial"/>
          <w:b/>
          <w:bCs/>
          <w:i/>
          <w:iCs/>
          <w:szCs w:val="20"/>
          <w:lang w:eastAsia="es-MX"/>
        </w:rPr>
        <w:t>Del Reglamento de la Ley de Contratación Pública del Estado de México y Municipios</w:t>
      </w:r>
    </w:p>
    <w:p w14:paraId="71CC129F" w14:textId="4000F7F3" w:rsidR="006D5DD2" w:rsidRPr="00BA1F6B" w:rsidRDefault="006D5DD2" w:rsidP="006D5DD2">
      <w:pPr>
        <w:tabs>
          <w:tab w:val="left" w:pos="709"/>
        </w:tabs>
        <w:spacing w:after="0" w:line="276" w:lineRule="auto"/>
        <w:ind w:left="851" w:right="849"/>
        <w:contextualSpacing/>
        <w:jc w:val="center"/>
        <w:rPr>
          <w:rFonts w:ascii="Palatino Linotype" w:eastAsia="Times New Roman" w:hAnsi="Palatino Linotype" w:cs="Arial"/>
          <w:b/>
          <w:bCs/>
          <w:i/>
          <w:iCs/>
          <w:szCs w:val="20"/>
          <w:lang w:eastAsia="es-MX"/>
        </w:rPr>
      </w:pPr>
      <w:r w:rsidRPr="00BA1F6B">
        <w:rPr>
          <w:rFonts w:ascii="Palatino Linotype" w:eastAsia="Times New Roman" w:hAnsi="Palatino Linotype" w:cs="Arial"/>
          <w:b/>
          <w:bCs/>
          <w:i/>
          <w:iCs/>
          <w:szCs w:val="20"/>
          <w:lang w:eastAsia="es-MX"/>
        </w:rPr>
        <w:t>CAPÍTULO SEGUNDO</w:t>
      </w:r>
    </w:p>
    <w:p w14:paraId="29F616E2" w14:textId="6581CF77" w:rsidR="006D5DD2" w:rsidRPr="00BA1F6B" w:rsidRDefault="006D5DD2" w:rsidP="006D5DD2">
      <w:pPr>
        <w:tabs>
          <w:tab w:val="left" w:pos="709"/>
        </w:tabs>
        <w:spacing w:after="0" w:line="276" w:lineRule="auto"/>
        <w:ind w:left="851" w:right="849"/>
        <w:contextualSpacing/>
        <w:jc w:val="center"/>
        <w:rPr>
          <w:rFonts w:ascii="Palatino Linotype" w:eastAsia="Times New Roman" w:hAnsi="Palatino Linotype" w:cs="Arial"/>
          <w:b/>
          <w:bCs/>
          <w:i/>
          <w:iCs/>
          <w:szCs w:val="20"/>
          <w:lang w:eastAsia="es-MX"/>
        </w:rPr>
      </w:pPr>
      <w:r w:rsidRPr="00BA1F6B">
        <w:rPr>
          <w:rFonts w:ascii="Palatino Linotype" w:eastAsia="Times New Roman" w:hAnsi="Palatino Linotype" w:cs="Arial"/>
          <w:b/>
          <w:bCs/>
          <w:i/>
          <w:iCs/>
          <w:szCs w:val="20"/>
          <w:lang w:eastAsia="es-MX"/>
        </w:rPr>
        <w:t>DE LA CÉDULA DE PROVEEDOR DE BIENES Y/O PRESTADOR DE SERVICIOS</w:t>
      </w:r>
    </w:p>
    <w:p w14:paraId="0B2C1F15" w14:textId="77777777" w:rsidR="006D5DD2" w:rsidRPr="00BA1F6B" w:rsidRDefault="006D5DD2"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b/>
          <w:bCs/>
          <w:i/>
          <w:iCs/>
          <w:szCs w:val="20"/>
          <w:lang w:eastAsia="es-MX"/>
        </w:rPr>
        <w:t>Artículo 29.-</w:t>
      </w:r>
      <w:r w:rsidRPr="00BA1F6B">
        <w:rPr>
          <w:rFonts w:ascii="Palatino Linotype" w:eastAsia="Times New Roman" w:hAnsi="Palatino Linotype" w:cs="Arial"/>
          <w:i/>
          <w:iCs/>
          <w:szCs w:val="20"/>
          <w:lang w:eastAsia="es-MX"/>
        </w:rPr>
        <w:t xml:space="preserve"> La cédula es el documento que contiene los datos generales del proveedor o prestador de servicios, acreditando que éste cumple con todos los requisitos establecidos por la Secretaría y permitirá a su titular participar en los actos adquisitivos o de contratación de servicios, que realicen la Secretaría, las dependencias, organismos auxiliares y tribunales administrativos,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 </w:t>
      </w:r>
    </w:p>
    <w:p w14:paraId="46B7D384" w14:textId="77777777" w:rsidR="006D5DD2" w:rsidRPr="00BA1F6B" w:rsidRDefault="006D5DD2"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p>
    <w:p w14:paraId="74953141" w14:textId="77777777" w:rsidR="00DF6FB6" w:rsidRPr="00BA1F6B" w:rsidRDefault="006D5DD2"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La Secretaría expedirá cédula a los proveedores de bienes y prestadores de servicios que reúnan los requisitos para ello. </w:t>
      </w:r>
    </w:p>
    <w:p w14:paraId="31647190" w14:textId="6A70630F" w:rsidR="006D5DD2" w:rsidRPr="00BA1F6B" w:rsidRDefault="006D5DD2"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En el caso de los Municipios, se estará a lo que determinen sus autoridades.</w:t>
      </w:r>
    </w:p>
    <w:p w14:paraId="70F4B9A3" w14:textId="77777777" w:rsidR="006D5DD2" w:rsidRPr="00BA1F6B" w:rsidRDefault="006D5DD2"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p>
    <w:p w14:paraId="0514AA5F" w14:textId="269324F5" w:rsidR="00500758" w:rsidRPr="00BA1F6B" w:rsidRDefault="006D5DD2"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b/>
          <w:bCs/>
          <w:i/>
          <w:iCs/>
          <w:szCs w:val="20"/>
          <w:lang w:eastAsia="es-MX"/>
        </w:rPr>
        <w:t>Artículo 30.-</w:t>
      </w:r>
      <w:r w:rsidRPr="00BA1F6B">
        <w:rPr>
          <w:rFonts w:ascii="Palatino Linotype" w:eastAsia="Times New Roman" w:hAnsi="Palatino Linotype" w:cs="Arial"/>
          <w:i/>
          <w:iCs/>
          <w:szCs w:val="20"/>
          <w:lang w:eastAsia="es-MX"/>
        </w:rPr>
        <w:t xml:space="preserve"> Las dependencias, organismos auxiliares y tribunales administrativos deberán canalizar a la Secretaría, a toda persona física o jurídica colectiva que externe ante ellas su interés de obtener la cédula.</w:t>
      </w:r>
    </w:p>
    <w:p w14:paraId="31E34B94" w14:textId="77777777" w:rsidR="00DF6FB6" w:rsidRPr="00BA1F6B" w:rsidRDefault="00DF6FB6"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p>
    <w:p w14:paraId="4E8229EA" w14:textId="582C9F46" w:rsidR="00DF6FB6" w:rsidRPr="00BA1F6B" w:rsidRDefault="00DF6FB6" w:rsidP="006D5DD2">
      <w:pPr>
        <w:tabs>
          <w:tab w:val="left" w:pos="709"/>
        </w:tabs>
        <w:spacing w:after="0" w:line="276" w:lineRule="auto"/>
        <w:ind w:left="851" w:right="849"/>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b/>
          <w:bCs/>
          <w:i/>
          <w:iCs/>
          <w:szCs w:val="20"/>
          <w:lang w:eastAsia="es-MX"/>
        </w:rPr>
        <w:t>Artículo 39.-</w:t>
      </w:r>
      <w:r w:rsidRPr="00BA1F6B">
        <w:rPr>
          <w:rFonts w:ascii="Palatino Linotype" w:eastAsia="Times New Roman" w:hAnsi="Palatino Linotype" w:cs="Arial"/>
          <w:i/>
          <w:iCs/>
          <w:szCs w:val="20"/>
          <w:lang w:eastAsia="es-MX"/>
        </w:rPr>
        <w:t xml:space="preserve"> Los duplicados sólo se expedirán a los interesados que se encuentren facultados en el acta constitutiva de la empresa o su última modificación. En el caso de los representantes legales, a quienes se haya otorgado poder suficiente emitido por fedatario público, el que se anexará al expediente respectivo.</w:t>
      </w:r>
    </w:p>
    <w:p w14:paraId="519D6EE3" w14:textId="77777777" w:rsidR="00AC3BB6" w:rsidRPr="00BA1F6B" w:rsidRDefault="00AC3BB6"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0EA4CD5E" w14:textId="05C4BD45" w:rsidR="001F12A0" w:rsidRPr="00BA1F6B" w:rsidRDefault="00DF6FB6"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lastRenderedPageBreak/>
        <w:t xml:space="preserve">De lo anterior podemos formular dos consideraciones; que el Sujeto Obligado, manifiesta </w:t>
      </w:r>
      <w:r w:rsidR="007C355E" w:rsidRPr="00BA1F6B">
        <w:rPr>
          <w:rFonts w:ascii="Palatino Linotype" w:eastAsia="Times New Roman" w:hAnsi="Palatino Linotype" w:cs="Arial"/>
          <w:sz w:val="24"/>
          <w:lang w:val="es-ES_tradnl" w:eastAsia="es-MX"/>
        </w:rPr>
        <w:t>tácitamente</w:t>
      </w:r>
      <w:r w:rsidRPr="00BA1F6B">
        <w:rPr>
          <w:rFonts w:ascii="Palatino Linotype" w:eastAsia="Times New Roman" w:hAnsi="Palatino Linotype" w:cs="Arial"/>
          <w:sz w:val="24"/>
          <w:lang w:val="es-ES_tradnl" w:eastAsia="es-MX"/>
        </w:rPr>
        <w:t xml:space="preserve"> no poseer las cédulas de proveedores ya que son documentos que se entregan directamente al</w:t>
      </w:r>
      <w:r w:rsidR="007C355E" w:rsidRPr="00BA1F6B">
        <w:rPr>
          <w:rFonts w:ascii="Palatino Linotype" w:eastAsia="Times New Roman" w:hAnsi="Palatino Linotype" w:cs="Arial"/>
          <w:sz w:val="24"/>
          <w:lang w:val="es-ES_tradnl" w:eastAsia="es-MX"/>
        </w:rPr>
        <w:t xml:space="preserve"> solicitante de aquellas</w:t>
      </w:r>
      <w:r w:rsidRPr="00BA1F6B">
        <w:rPr>
          <w:rFonts w:ascii="Palatino Linotype" w:eastAsia="Times New Roman" w:hAnsi="Palatino Linotype" w:cs="Arial"/>
          <w:sz w:val="24"/>
          <w:lang w:val="es-ES_tradnl" w:eastAsia="es-MX"/>
        </w:rPr>
        <w:t xml:space="preserve"> </w:t>
      </w:r>
      <w:r w:rsidR="007C355E" w:rsidRPr="00BA1F6B">
        <w:rPr>
          <w:rFonts w:ascii="Palatino Linotype" w:eastAsia="Times New Roman" w:hAnsi="Palatino Linotype" w:cs="Arial"/>
          <w:sz w:val="24"/>
          <w:lang w:val="es-ES_tradnl" w:eastAsia="es-MX"/>
        </w:rPr>
        <w:t>(el proveedor)</w:t>
      </w:r>
      <w:r w:rsidRPr="00BA1F6B">
        <w:rPr>
          <w:rFonts w:ascii="Palatino Linotype" w:eastAsia="Times New Roman" w:hAnsi="Palatino Linotype" w:cs="Arial"/>
          <w:sz w:val="24"/>
          <w:lang w:val="es-ES_tradnl" w:eastAsia="es-MX"/>
        </w:rPr>
        <w:t>,</w:t>
      </w:r>
      <w:r w:rsidR="00D84A81" w:rsidRPr="00BA1F6B">
        <w:rPr>
          <w:rFonts w:ascii="Palatino Linotype" w:eastAsia="Times New Roman" w:hAnsi="Palatino Linotype" w:cs="Arial"/>
          <w:sz w:val="24"/>
          <w:lang w:val="es-ES_tradnl" w:eastAsia="es-MX"/>
        </w:rPr>
        <w:t xml:space="preserve"> por lo que la vía para obtener una copia de la misma es por medio del duplicado. </w:t>
      </w:r>
    </w:p>
    <w:p w14:paraId="29313F55" w14:textId="77777777" w:rsidR="00D84A81" w:rsidRPr="00BA1F6B" w:rsidRDefault="00D84A81"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70FCDB02" w14:textId="263A7028" w:rsidR="00D84A81" w:rsidRPr="00BA1F6B" w:rsidRDefault="00127888"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t xml:space="preserve">Y en todo caso, para acceder a la información (duplicado de cédula) se podría realizar por la vía de acceso a datos personales; cuestión que no sucedió, ya que se presento por la vía de </w:t>
      </w:r>
      <w:r w:rsidR="00225201" w:rsidRPr="00BA1F6B">
        <w:rPr>
          <w:rFonts w:ascii="Palatino Linotype" w:eastAsia="Times New Roman" w:hAnsi="Palatino Linotype" w:cs="Arial"/>
          <w:sz w:val="24"/>
          <w:lang w:val="es-ES_tradnl" w:eastAsia="es-MX"/>
        </w:rPr>
        <w:t>acceso</w:t>
      </w:r>
      <w:r w:rsidRPr="00BA1F6B">
        <w:rPr>
          <w:rFonts w:ascii="Palatino Linotype" w:eastAsia="Times New Roman" w:hAnsi="Palatino Linotype" w:cs="Arial"/>
          <w:sz w:val="24"/>
          <w:lang w:val="es-ES_tradnl" w:eastAsia="es-MX"/>
        </w:rPr>
        <w:t xml:space="preserve"> a la </w:t>
      </w:r>
      <w:r w:rsidR="00225201" w:rsidRPr="00BA1F6B">
        <w:rPr>
          <w:rFonts w:ascii="Palatino Linotype" w:eastAsia="Times New Roman" w:hAnsi="Palatino Linotype" w:cs="Arial"/>
          <w:sz w:val="24"/>
          <w:lang w:val="es-ES_tradnl" w:eastAsia="es-MX"/>
        </w:rPr>
        <w:t>información</w:t>
      </w:r>
      <w:r w:rsidRPr="00BA1F6B">
        <w:rPr>
          <w:rFonts w:ascii="Palatino Linotype" w:eastAsia="Times New Roman" w:hAnsi="Palatino Linotype" w:cs="Arial"/>
          <w:sz w:val="24"/>
          <w:lang w:val="es-ES_tradnl" w:eastAsia="es-MX"/>
        </w:rPr>
        <w:t xml:space="preserve"> pública y no se acreditó interés jurídico</w:t>
      </w:r>
      <w:r w:rsidR="00225201" w:rsidRPr="00BA1F6B">
        <w:rPr>
          <w:rFonts w:ascii="Palatino Linotype" w:eastAsia="Times New Roman" w:hAnsi="Palatino Linotype" w:cs="Arial"/>
          <w:sz w:val="24"/>
          <w:lang w:val="es-ES_tradnl" w:eastAsia="es-MX"/>
        </w:rPr>
        <w:t>.</w:t>
      </w:r>
    </w:p>
    <w:p w14:paraId="20EB822B" w14:textId="77777777" w:rsidR="00E50D8B" w:rsidRPr="00BA1F6B" w:rsidRDefault="00E50D8B"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C0F1F44" w14:textId="14899F2B" w:rsidR="004B5B75" w:rsidRPr="00BA1F6B" w:rsidRDefault="004B5B75"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t xml:space="preserve">Dado lo anterior, se colige respecto de este primer punto que efectivamente, en versión íntegra </w:t>
      </w:r>
      <w:r w:rsidR="00560EC9" w:rsidRPr="00BA1F6B">
        <w:rPr>
          <w:rFonts w:ascii="Palatino Linotype" w:eastAsia="Times New Roman" w:hAnsi="Palatino Linotype" w:cs="Arial"/>
          <w:sz w:val="24"/>
          <w:lang w:val="es-ES_tradnl" w:eastAsia="es-MX"/>
        </w:rPr>
        <w:t>no se podría entregar ya que contiene datos personales.</w:t>
      </w:r>
    </w:p>
    <w:p w14:paraId="47CB6B23" w14:textId="77777777" w:rsidR="008F4401" w:rsidRPr="00BA1F6B" w:rsidRDefault="008F4401" w:rsidP="005C2A3E">
      <w:pPr>
        <w:tabs>
          <w:tab w:val="left" w:pos="709"/>
        </w:tabs>
        <w:spacing w:after="0" w:line="360" w:lineRule="auto"/>
        <w:contextualSpacing/>
        <w:jc w:val="both"/>
        <w:rPr>
          <w:rFonts w:ascii="Palatino Linotype" w:eastAsia="Times New Roman" w:hAnsi="Palatino Linotype" w:cs="Arial"/>
          <w:sz w:val="24"/>
          <w:lang w:eastAsia="es-MX"/>
        </w:rPr>
      </w:pPr>
    </w:p>
    <w:p w14:paraId="54B02504" w14:textId="77777777"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b/>
          <w:bCs/>
          <w:i/>
          <w:iCs/>
          <w:szCs w:val="20"/>
          <w:lang w:eastAsia="es-MX"/>
        </w:rPr>
        <w:t>Artículo 34.-</w:t>
      </w:r>
      <w:r w:rsidRPr="00BA1F6B">
        <w:rPr>
          <w:rFonts w:ascii="Palatino Linotype" w:eastAsia="Times New Roman" w:hAnsi="Palatino Linotype" w:cs="Arial"/>
          <w:i/>
          <w:iCs/>
          <w:szCs w:val="20"/>
          <w:lang w:eastAsia="es-MX"/>
        </w:rPr>
        <w:t xml:space="preserve"> La cédula contendrá como mínimo, los siguientes datos: </w:t>
      </w:r>
    </w:p>
    <w:p w14:paraId="0D0940BB" w14:textId="3704F823"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I. Nombre de la persona física o razón social de la persona jurídica colectiva; </w:t>
      </w:r>
    </w:p>
    <w:p w14:paraId="6FDA089C" w14:textId="24F60422"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II. Giro y/o subgiro comercial u objeto social; </w:t>
      </w:r>
    </w:p>
    <w:p w14:paraId="20A0A0FB" w14:textId="77777777"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III. Número de folio; </w:t>
      </w:r>
    </w:p>
    <w:p w14:paraId="0D843BC7" w14:textId="77777777"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IV. Fotografía y firma del titular; </w:t>
      </w:r>
    </w:p>
    <w:p w14:paraId="031A4754" w14:textId="4D4C91DA"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V. Nombre y firma del servidor público que autoriza; </w:t>
      </w:r>
    </w:p>
    <w:p w14:paraId="04AF55A8" w14:textId="77777777"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VI. Lugar y fecha de expedición; </w:t>
      </w:r>
    </w:p>
    <w:p w14:paraId="21DB0669" w14:textId="77777777"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VII. Vigencia; y </w:t>
      </w:r>
    </w:p>
    <w:p w14:paraId="4E2C3A21" w14:textId="5575C387"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r w:rsidRPr="00BA1F6B">
        <w:rPr>
          <w:rFonts w:ascii="Palatino Linotype" w:eastAsia="Times New Roman" w:hAnsi="Palatino Linotype" w:cs="Arial"/>
          <w:i/>
          <w:iCs/>
          <w:szCs w:val="20"/>
          <w:lang w:eastAsia="es-MX"/>
        </w:rPr>
        <w:t xml:space="preserve">VIII. Sello de la unidad administrativa que expide dicha cédula. </w:t>
      </w:r>
    </w:p>
    <w:p w14:paraId="658CBA71" w14:textId="77777777" w:rsidR="008F4401"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eastAsia="es-MX"/>
        </w:rPr>
      </w:pPr>
    </w:p>
    <w:p w14:paraId="4B256691" w14:textId="11BEF369" w:rsidR="00C94FA5" w:rsidRPr="00BA1F6B" w:rsidRDefault="008F4401" w:rsidP="008F4401">
      <w:pPr>
        <w:tabs>
          <w:tab w:val="left" w:pos="709"/>
        </w:tabs>
        <w:spacing w:after="0" w:line="276" w:lineRule="auto"/>
        <w:ind w:left="851" w:right="707"/>
        <w:contextualSpacing/>
        <w:jc w:val="both"/>
        <w:rPr>
          <w:rFonts w:ascii="Palatino Linotype" w:eastAsia="Times New Roman" w:hAnsi="Palatino Linotype" w:cs="Arial"/>
          <w:i/>
          <w:iCs/>
          <w:szCs w:val="20"/>
          <w:lang w:val="es-ES_tradnl" w:eastAsia="es-MX"/>
        </w:rPr>
      </w:pPr>
      <w:r w:rsidRPr="00BA1F6B">
        <w:rPr>
          <w:rFonts w:ascii="Palatino Linotype" w:eastAsia="Times New Roman" w:hAnsi="Palatino Linotype" w:cs="Arial"/>
          <w:b/>
          <w:bCs/>
          <w:i/>
          <w:iCs/>
          <w:szCs w:val="20"/>
          <w:lang w:eastAsia="es-MX"/>
        </w:rPr>
        <w:t>Artículo 35.-</w:t>
      </w:r>
      <w:r w:rsidRPr="00BA1F6B">
        <w:rPr>
          <w:rFonts w:ascii="Palatino Linotype" w:eastAsia="Times New Roman" w:hAnsi="Palatino Linotype" w:cs="Arial"/>
          <w:i/>
          <w:iCs/>
          <w:szCs w:val="20"/>
          <w:lang w:eastAsia="es-MX"/>
        </w:rPr>
        <w:t xml:space="preserve"> La cédula podrá expedirse por alta, modificación, renovación, reposición o duplicado.</w:t>
      </w:r>
    </w:p>
    <w:p w14:paraId="7FD60332" w14:textId="77777777" w:rsidR="00E50D8B" w:rsidRPr="00BA1F6B" w:rsidRDefault="00E50D8B"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9DEB91F" w14:textId="4BF95A22" w:rsidR="00E50D8B" w:rsidRPr="00BA1F6B" w:rsidRDefault="003C5E75" w:rsidP="003C5E75">
      <w:pPr>
        <w:pStyle w:val="Prrafodelista"/>
        <w:numPr>
          <w:ilvl w:val="0"/>
          <w:numId w:val="19"/>
        </w:numPr>
        <w:tabs>
          <w:tab w:val="left" w:pos="709"/>
        </w:tabs>
        <w:spacing w:after="0" w:line="360" w:lineRule="auto"/>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t xml:space="preserve">Nota informativa, emitida </w:t>
      </w:r>
      <w:r w:rsidR="00457AD8" w:rsidRPr="00BA1F6B">
        <w:rPr>
          <w:rFonts w:ascii="Palatino Linotype" w:eastAsia="Times New Roman" w:hAnsi="Palatino Linotype" w:cs="Arial"/>
          <w:sz w:val="24"/>
          <w:lang w:val="es-ES_tradnl" w:eastAsia="es-MX"/>
        </w:rPr>
        <w:t xml:space="preserve">por el Titular de la Unidad de Transparencia, </w:t>
      </w:r>
      <w:r w:rsidR="00435DDC" w:rsidRPr="00BA1F6B">
        <w:rPr>
          <w:rFonts w:ascii="Palatino Linotype" w:eastAsia="Times New Roman" w:hAnsi="Palatino Linotype" w:cs="Arial"/>
          <w:sz w:val="24"/>
          <w:lang w:val="es-ES_tradnl" w:eastAsia="es-MX"/>
        </w:rPr>
        <w:t>que contiene alegatos dentro del procedimiento seguido ante este órgano garante</w:t>
      </w:r>
      <w:r w:rsidR="00444516" w:rsidRPr="00BA1F6B">
        <w:rPr>
          <w:rFonts w:ascii="Palatino Linotype" w:eastAsia="Times New Roman" w:hAnsi="Palatino Linotype" w:cs="Arial"/>
          <w:sz w:val="24"/>
          <w:lang w:val="es-ES_tradnl" w:eastAsia="es-MX"/>
        </w:rPr>
        <w:t xml:space="preserve">, </w:t>
      </w:r>
      <w:r w:rsidR="00444516" w:rsidRPr="00BA1F6B">
        <w:rPr>
          <w:rFonts w:ascii="Palatino Linotype" w:eastAsia="Times New Roman" w:hAnsi="Palatino Linotype" w:cs="Arial"/>
          <w:sz w:val="24"/>
          <w:lang w:val="es-ES_tradnl" w:eastAsia="es-MX"/>
        </w:rPr>
        <w:lastRenderedPageBreak/>
        <w:t xml:space="preserve">exponiendo que </w:t>
      </w:r>
      <w:r w:rsidR="005F25D5" w:rsidRPr="00BA1F6B">
        <w:rPr>
          <w:rFonts w:ascii="Palatino Linotype" w:eastAsia="Times New Roman" w:hAnsi="Palatino Linotype" w:cs="Arial"/>
          <w:sz w:val="24"/>
          <w:lang w:val="es-ES_tradnl" w:eastAsia="es-MX"/>
        </w:rPr>
        <w:t xml:space="preserve">el anexo 1, de la Dirección General de Administración proporciona la </w:t>
      </w:r>
      <w:r w:rsidR="0048312C" w:rsidRPr="00BA1F6B">
        <w:rPr>
          <w:rFonts w:ascii="Palatino Linotype" w:eastAsia="Times New Roman" w:hAnsi="Palatino Linotype" w:cs="Arial"/>
          <w:sz w:val="24"/>
          <w:lang w:val="es-ES_tradnl" w:eastAsia="es-MX"/>
        </w:rPr>
        <w:t>información que obra en los archivos institucionales.</w:t>
      </w:r>
    </w:p>
    <w:p w14:paraId="4B72B356" w14:textId="3BBA4B01" w:rsidR="0048312C" w:rsidRPr="00BA1F6B" w:rsidRDefault="0048312C" w:rsidP="0048312C">
      <w:pPr>
        <w:pStyle w:val="Prrafodelista"/>
        <w:tabs>
          <w:tab w:val="left" w:pos="709"/>
        </w:tabs>
        <w:spacing w:after="0" w:line="360" w:lineRule="auto"/>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t xml:space="preserve">Finaliza el oficio </w:t>
      </w:r>
      <w:r w:rsidR="0000731F" w:rsidRPr="00BA1F6B">
        <w:rPr>
          <w:rFonts w:ascii="Palatino Linotype" w:eastAsia="Times New Roman" w:hAnsi="Palatino Linotype" w:cs="Arial"/>
          <w:sz w:val="24"/>
          <w:lang w:val="es-ES_tradnl" w:eastAsia="es-MX"/>
        </w:rPr>
        <w:t>solicitando se confirme el actuar de la Unidad de Transparencia.</w:t>
      </w:r>
    </w:p>
    <w:p w14:paraId="190F78BA" w14:textId="77777777" w:rsidR="00F375A2" w:rsidRPr="00BA1F6B" w:rsidRDefault="00F375A2"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51E3A3A6" w14:textId="1E86163A" w:rsidR="000D134C" w:rsidRPr="00BA1F6B"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37C25DF1" w14:textId="77777777" w:rsidR="00067548" w:rsidRPr="00BA1F6B" w:rsidRDefault="00067548"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509E8E7" w14:textId="77777777" w:rsidR="000D134C" w:rsidRPr="00BA1F6B" w:rsidRDefault="000D134C" w:rsidP="005C2A3E">
      <w:pPr>
        <w:spacing w:after="0" w:line="360" w:lineRule="auto"/>
        <w:ind w:left="567" w:right="616"/>
        <w:jc w:val="both"/>
        <w:rPr>
          <w:rFonts w:ascii="Palatino Linotype" w:eastAsia="Times New Roman" w:hAnsi="Palatino Linotype" w:cs="Arial"/>
          <w:i/>
          <w:lang w:val="es-ES_tradnl" w:eastAsia="es-MX"/>
        </w:rPr>
      </w:pPr>
      <w:r w:rsidRPr="00BA1F6B">
        <w:rPr>
          <w:rFonts w:ascii="Palatino Linotype" w:eastAsia="Times New Roman" w:hAnsi="Palatino Linotype" w:cs="Arial"/>
          <w:i/>
          <w:lang w:val="es-ES_tradnl" w:eastAsia="es-MX"/>
        </w:rPr>
        <w:t>“</w:t>
      </w:r>
      <w:r w:rsidRPr="00BA1F6B">
        <w:rPr>
          <w:rFonts w:ascii="Palatino Linotype" w:eastAsia="Times New Roman" w:hAnsi="Palatino Linotype" w:cs="Arial"/>
          <w:b/>
          <w:i/>
          <w:lang w:val="es-ES_tradnl" w:eastAsia="es-MX"/>
        </w:rPr>
        <w:t xml:space="preserve">Artículo 4. </w:t>
      </w:r>
      <w:r w:rsidRPr="00BA1F6B">
        <w:rPr>
          <w:rFonts w:ascii="Palatino Linotype" w:eastAsia="Times New Roman" w:hAnsi="Palatino Linotype" w:cs="Arial"/>
          <w:i/>
          <w:lang w:val="es-ES_tradnl" w:eastAsia="es-MX"/>
        </w:rPr>
        <w:t xml:space="preserve">… </w:t>
      </w:r>
    </w:p>
    <w:p w14:paraId="0838B858" w14:textId="77777777" w:rsidR="000D134C" w:rsidRPr="00BA1F6B" w:rsidRDefault="000D134C" w:rsidP="005C2A3E">
      <w:pPr>
        <w:spacing w:after="0" w:line="360" w:lineRule="auto"/>
        <w:ind w:left="567" w:right="616"/>
        <w:jc w:val="both"/>
        <w:rPr>
          <w:rFonts w:ascii="Palatino Linotype" w:eastAsia="Times New Roman" w:hAnsi="Palatino Linotype" w:cs="Arial"/>
          <w:i/>
          <w:lang w:val="es-ES_tradnl" w:eastAsia="es-MX"/>
        </w:rPr>
      </w:pPr>
      <w:r w:rsidRPr="00BA1F6B">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04B3F5" w14:textId="77777777" w:rsidR="000D134C" w:rsidRPr="00BA1F6B" w:rsidRDefault="000D134C" w:rsidP="005C2A3E">
      <w:pPr>
        <w:spacing w:after="0" w:line="360" w:lineRule="auto"/>
        <w:ind w:left="567" w:right="616"/>
        <w:jc w:val="both"/>
        <w:rPr>
          <w:rFonts w:ascii="Palatino Linotype" w:eastAsia="Times New Roman" w:hAnsi="Palatino Linotype" w:cs="Arial"/>
          <w:i/>
          <w:lang w:val="es-ES_tradnl" w:eastAsia="es-MX"/>
        </w:rPr>
      </w:pPr>
    </w:p>
    <w:p w14:paraId="66786304" w14:textId="77777777" w:rsidR="000D134C" w:rsidRPr="00BA1F6B"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37B8652" w14:textId="77777777" w:rsidR="000D134C" w:rsidRPr="00BA1F6B"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4DCB78E" w14:textId="77777777" w:rsidR="000D134C" w:rsidRPr="00BA1F6B"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BA1F6B">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BA1F6B">
        <w:rPr>
          <w:rFonts w:ascii="Palatino Linotype" w:eastAsia="Times New Roman" w:hAnsi="Palatino Linotype" w:cs="Arial"/>
          <w:b/>
          <w:sz w:val="24"/>
          <w:u w:val="single"/>
          <w:lang w:val="es-ES_tradnl" w:eastAsia="es-MX"/>
        </w:rPr>
        <w:t xml:space="preserve">expedientes, reportes, estudios, actas, resoluciones, oficios, correspondencia, </w:t>
      </w:r>
      <w:r w:rsidRPr="00BA1F6B">
        <w:rPr>
          <w:rFonts w:ascii="Palatino Linotype" w:eastAsia="Times New Roman" w:hAnsi="Palatino Linotype" w:cs="Arial"/>
          <w:b/>
          <w:sz w:val="24"/>
          <w:u w:val="single"/>
          <w:lang w:val="es-ES_tradnl" w:eastAsia="es-MX"/>
        </w:rPr>
        <w:lastRenderedPageBreak/>
        <w:t>acuerdos, directivas, directrices, circulares, contratos, convenios, instructivos, notas, memorandos, estadísticas o bien, cualquier otro registro que documente el ejercicio de las facultades, funciones y competencias</w:t>
      </w:r>
      <w:r w:rsidRPr="00BA1F6B">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4D87A17" w14:textId="77777777" w:rsidR="005C2A3E" w:rsidRPr="00BA1F6B" w:rsidRDefault="005C2A3E"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27A8C2A" w14:textId="77777777" w:rsidR="000D134C" w:rsidRPr="00BA1F6B" w:rsidRDefault="000D134C" w:rsidP="005C2A3E">
      <w:pPr>
        <w:spacing w:after="0" w:line="360" w:lineRule="auto"/>
        <w:ind w:left="567" w:right="616"/>
        <w:jc w:val="both"/>
        <w:rPr>
          <w:rFonts w:ascii="Palatino Linotype" w:eastAsia="Times New Roman" w:hAnsi="Palatino Linotype" w:cs="Arial"/>
          <w:i/>
          <w:lang w:val="es-ES_tradnl" w:eastAsia="es-MX"/>
        </w:rPr>
      </w:pPr>
      <w:r w:rsidRPr="00BA1F6B">
        <w:rPr>
          <w:rFonts w:ascii="Palatino Linotype" w:eastAsia="Times New Roman" w:hAnsi="Palatino Linotype" w:cs="Arial"/>
          <w:i/>
          <w:lang w:val="es-ES_tradnl" w:eastAsia="es-MX"/>
        </w:rPr>
        <w:t>“</w:t>
      </w:r>
      <w:r w:rsidRPr="00BA1F6B">
        <w:rPr>
          <w:rFonts w:ascii="Palatino Linotype" w:eastAsia="Times New Roman" w:hAnsi="Palatino Linotype" w:cs="Arial"/>
          <w:b/>
          <w:i/>
          <w:lang w:val="es-ES_tradnl" w:eastAsia="es-MX"/>
        </w:rPr>
        <w:t xml:space="preserve">Artículo 3. </w:t>
      </w:r>
      <w:r w:rsidRPr="00BA1F6B">
        <w:rPr>
          <w:rFonts w:ascii="Palatino Linotype" w:eastAsia="Times New Roman" w:hAnsi="Palatino Linotype" w:cs="Arial"/>
          <w:i/>
          <w:lang w:val="es-ES_tradnl" w:eastAsia="es-MX"/>
        </w:rPr>
        <w:t>Para los efectos de la presente Ley se entenderá por:</w:t>
      </w:r>
    </w:p>
    <w:p w14:paraId="72600F55" w14:textId="77777777" w:rsidR="000D134C" w:rsidRPr="00BA1F6B" w:rsidRDefault="000D134C" w:rsidP="005C2A3E">
      <w:pPr>
        <w:spacing w:after="0" w:line="360" w:lineRule="auto"/>
        <w:ind w:left="567" w:right="616"/>
        <w:jc w:val="both"/>
        <w:rPr>
          <w:rFonts w:ascii="Palatino Linotype" w:eastAsia="Times New Roman" w:hAnsi="Palatino Linotype" w:cs="Arial"/>
          <w:i/>
          <w:lang w:val="es-ES_tradnl" w:eastAsia="es-MX"/>
        </w:rPr>
      </w:pPr>
      <w:r w:rsidRPr="00BA1F6B">
        <w:rPr>
          <w:rFonts w:ascii="Palatino Linotype" w:eastAsia="Times New Roman" w:hAnsi="Palatino Linotype" w:cs="Arial"/>
          <w:i/>
          <w:lang w:val="es-ES_tradnl" w:eastAsia="es-MX"/>
        </w:rPr>
        <w:t>(…)</w:t>
      </w:r>
    </w:p>
    <w:p w14:paraId="6A39152E" w14:textId="77777777" w:rsidR="000D134C" w:rsidRPr="00BA1F6B" w:rsidRDefault="000D134C" w:rsidP="005C2A3E">
      <w:pPr>
        <w:spacing w:after="0" w:line="360" w:lineRule="auto"/>
        <w:ind w:left="567" w:right="616"/>
        <w:jc w:val="both"/>
        <w:rPr>
          <w:rFonts w:ascii="Palatino Linotype" w:eastAsia="Times New Roman" w:hAnsi="Palatino Linotype" w:cs="Arial"/>
          <w:i/>
          <w:lang w:val="es-ES_tradnl" w:eastAsia="es-MX"/>
        </w:rPr>
      </w:pPr>
      <w:r w:rsidRPr="00BA1F6B">
        <w:rPr>
          <w:rFonts w:ascii="Palatino Linotype" w:eastAsia="Times New Roman" w:hAnsi="Palatino Linotype" w:cs="Arial"/>
          <w:b/>
          <w:i/>
          <w:lang w:val="es-ES_tradnl" w:eastAsia="es-MX"/>
        </w:rPr>
        <w:t>XI. Documento:</w:t>
      </w:r>
      <w:r w:rsidRPr="00BA1F6B">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BA1F6B">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BA1F6B">
        <w:rPr>
          <w:rFonts w:ascii="Palatino Linotype" w:eastAsia="Times New Roman" w:hAnsi="Palatino Linotype" w:cs="Arial"/>
          <w:i/>
          <w:u w:val="single"/>
          <w:lang w:val="es-ES_tradnl" w:eastAsia="es-MX"/>
        </w:rPr>
        <w:t>,</w:t>
      </w:r>
      <w:r w:rsidRPr="00BA1F6B">
        <w:rPr>
          <w:rFonts w:ascii="Palatino Linotype" w:eastAsia="Times New Roman" w:hAnsi="Palatino Linotype" w:cs="Arial"/>
          <w:i/>
          <w:lang w:val="es-ES_tradnl" w:eastAsia="es-MX"/>
        </w:rPr>
        <w:t xml:space="preserve"> sus servidores públicos e integrantes, </w:t>
      </w:r>
      <w:r w:rsidRPr="00BA1F6B">
        <w:rPr>
          <w:rFonts w:ascii="Palatino Linotype" w:eastAsia="Times New Roman" w:hAnsi="Palatino Linotype" w:cs="Arial"/>
          <w:b/>
          <w:i/>
          <w:u w:val="single"/>
          <w:lang w:val="es-ES_tradnl" w:eastAsia="es-MX"/>
        </w:rPr>
        <w:t>sin importar su fuente o fecha de elaboración.</w:t>
      </w:r>
      <w:r w:rsidRPr="00BA1F6B">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AEE75BB" w14:textId="77777777" w:rsidR="000D134C" w:rsidRPr="00BA1F6B" w:rsidRDefault="000D134C" w:rsidP="005C2A3E">
      <w:pPr>
        <w:spacing w:after="0" w:line="360" w:lineRule="auto"/>
        <w:ind w:left="567" w:right="616"/>
        <w:jc w:val="both"/>
        <w:rPr>
          <w:rFonts w:ascii="Palatino Linotype" w:eastAsia="Times New Roman" w:hAnsi="Palatino Linotype" w:cs="Arial"/>
          <w:i/>
          <w:lang w:val="es-ES_tradnl" w:eastAsia="es-MX"/>
        </w:rPr>
      </w:pPr>
      <w:r w:rsidRPr="00BA1F6B">
        <w:rPr>
          <w:rFonts w:ascii="Palatino Linotype" w:eastAsia="Times New Roman" w:hAnsi="Palatino Linotype" w:cs="Arial"/>
          <w:i/>
          <w:lang w:val="es-ES_tradnl" w:eastAsia="es-MX"/>
        </w:rPr>
        <w:t>(…)”</w:t>
      </w:r>
    </w:p>
    <w:p w14:paraId="19274F9E" w14:textId="77777777" w:rsidR="000D134C" w:rsidRPr="00BA1F6B" w:rsidRDefault="000D134C" w:rsidP="005C2A3E">
      <w:pPr>
        <w:spacing w:after="0" w:line="360" w:lineRule="auto"/>
        <w:ind w:right="49"/>
        <w:contextualSpacing/>
        <w:jc w:val="both"/>
        <w:rPr>
          <w:rFonts w:ascii="Palatino Linotype" w:eastAsia="Times New Roman" w:hAnsi="Palatino Linotype" w:cs="Arial"/>
          <w:sz w:val="24"/>
          <w:lang w:val="es-ES_tradnl" w:eastAsia="es-MX"/>
        </w:rPr>
      </w:pPr>
    </w:p>
    <w:p w14:paraId="14EEFD60" w14:textId="5FD0A157" w:rsidR="000D134C" w:rsidRPr="00BA1F6B" w:rsidRDefault="000D134C" w:rsidP="005C2A3E">
      <w:pPr>
        <w:spacing w:after="0" w:line="360" w:lineRule="auto"/>
        <w:ind w:right="49"/>
        <w:contextualSpacing/>
        <w:jc w:val="both"/>
        <w:rPr>
          <w:rFonts w:ascii="Palatino Linotype" w:eastAsia="MS Mincho" w:hAnsi="Palatino Linotype" w:cs="Calibri"/>
          <w:sz w:val="24"/>
          <w:lang w:val="es-ES_tradnl" w:eastAsia="es-MX"/>
        </w:rPr>
      </w:pPr>
      <w:r w:rsidRPr="00BA1F6B">
        <w:rPr>
          <w:rFonts w:ascii="Palatino Linotype" w:eastAsia="Times New Roman" w:hAnsi="Palatino Linotype" w:cs="Arial"/>
          <w:sz w:val="24"/>
          <w:lang w:val="es-ES_tradnl" w:eastAsia="es-MX"/>
        </w:rPr>
        <w:t xml:space="preserve">Además, </w:t>
      </w:r>
      <w:r w:rsidRPr="00BA1F6B">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w:t>
      </w:r>
      <w:r w:rsidRPr="00BA1F6B">
        <w:rPr>
          <w:rFonts w:ascii="Palatino Linotype" w:eastAsia="MS Mincho" w:hAnsi="Palatino Linotype" w:cs="Calibri"/>
          <w:sz w:val="24"/>
          <w:lang w:val="es-ES_tradnl" w:eastAsia="es-MX"/>
        </w:rPr>
        <w:lastRenderedPageBreak/>
        <w:t>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3EADF79" w14:textId="77777777" w:rsidR="005C2A3E" w:rsidRPr="00BA1F6B" w:rsidRDefault="005C2A3E" w:rsidP="005C2A3E">
      <w:pPr>
        <w:spacing w:after="0" w:line="360" w:lineRule="auto"/>
        <w:ind w:right="49"/>
        <w:contextualSpacing/>
        <w:jc w:val="both"/>
        <w:rPr>
          <w:rFonts w:ascii="Palatino Linotype" w:eastAsia="MS Mincho" w:hAnsi="Palatino Linotype" w:cs="Calibri"/>
          <w:sz w:val="24"/>
          <w:lang w:val="es-ES_tradnl" w:eastAsia="es-MX"/>
        </w:rPr>
      </w:pPr>
    </w:p>
    <w:p w14:paraId="2F7B1109" w14:textId="77777777" w:rsidR="000D134C" w:rsidRPr="00BA1F6B" w:rsidRDefault="000D134C" w:rsidP="005C2A3E">
      <w:pPr>
        <w:spacing w:after="0" w:line="360" w:lineRule="auto"/>
        <w:ind w:right="49"/>
        <w:contextualSpacing/>
        <w:jc w:val="both"/>
        <w:rPr>
          <w:rFonts w:ascii="Palatino Linotype" w:eastAsia="MS Mincho" w:hAnsi="Palatino Linotype" w:cs="Tahoma"/>
          <w:sz w:val="24"/>
          <w:lang w:val="es-ES_tradnl" w:eastAsia="es-MX"/>
        </w:rPr>
      </w:pPr>
      <w:r w:rsidRPr="00BA1F6B">
        <w:rPr>
          <w:rFonts w:ascii="Palatino Linotype" w:eastAsia="Times New Roman" w:hAnsi="Palatino Linotype" w:cs="Arial"/>
          <w:sz w:val="24"/>
          <w:lang w:val="es-ES_tradnl" w:eastAsia="es-MX"/>
        </w:rPr>
        <w:t xml:space="preserve">De la misma forma, </w:t>
      </w:r>
      <w:r w:rsidRPr="00BA1F6B">
        <w:rPr>
          <w:rFonts w:ascii="Palatino Linotype" w:eastAsia="MS Mincho" w:hAnsi="Palatino Linotype" w:cs="Calibri"/>
          <w:sz w:val="24"/>
          <w:lang w:val="es-ES_tradnl" w:eastAsia="es-MX"/>
        </w:rPr>
        <w:t>de acuerdo al contenido del artículo 160,</w:t>
      </w:r>
      <w:r w:rsidRPr="00BA1F6B">
        <w:rPr>
          <w:rFonts w:ascii="Palatino Linotype" w:eastAsia="Times New Roman" w:hAnsi="Palatino Linotype" w:cs="Arial"/>
          <w:sz w:val="24"/>
          <w:lang w:val="es-ES_tradnl" w:eastAsia="es-MX"/>
        </w:rPr>
        <w:t xml:space="preserve"> de la Ley </w:t>
      </w:r>
      <w:r w:rsidRPr="00BA1F6B">
        <w:rPr>
          <w:rFonts w:ascii="Palatino Linotype" w:eastAsia="MS Mincho" w:hAnsi="Palatino Linotype" w:cs="Tahoma"/>
          <w:sz w:val="24"/>
          <w:lang w:val="es-ES_tradnl" w:eastAsia="es-MX"/>
        </w:rPr>
        <w:t>General de Transparencia y Acceso a la Información Pública que a la letra dispone</w:t>
      </w:r>
    </w:p>
    <w:p w14:paraId="61CA7067" w14:textId="77777777" w:rsidR="005C2A3E" w:rsidRPr="00BA1F6B" w:rsidRDefault="005C2A3E" w:rsidP="005C2A3E">
      <w:pPr>
        <w:spacing w:after="0" w:line="360" w:lineRule="auto"/>
        <w:ind w:right="49"/>
        <w:contextualSpacing/>
        <w:jc w:val="both"/>
        <w:rPr>
          <w:rFonts w:ascii="Palatino Linotype" w:eastAsia="MS Mincho" w:hAnsi="Palatino Linotype" w:cs="Tahoma"/>
          <w:sz w:val="24"/>
          <w:lang w:val="es-ES_tradnl" w:eastAsia="es-MX"/>
        </w:rPr>
      </w:pPr>
    </w:p>
    <w:p w14:paraId="1F4952D9" w14:textId="77777777" w:rsidR="000D134C" w:rsidRPr="00BA1F6B" w:rsidRDefault="000D134C" w:rsidP="005C2A3E">
      <w:pPr>
        <w:spacing w:after="0" w:line="360" w:lineRule="auto"/>
        <w:ind w:left="567" w:right="616"/>
        <w:contextualSpacing/>
        <w:jc w:val="both"/>
        <w:rPr>
          <w:rFonts w:ascii="Palatino Linotype" w:eastAsia="Times New Roman" w:hAnsi="Palatino Linotype" w:cs="Arial"/>
          <w:i/>
          <w:sz w:val="24"/>
          <w:lang w:val="es-ES_tradnl" w:eastAsia="gl-ES"/>
        </w:rPr>
      </w:pPr>
      <w:r w:rsidRPr="00BA1F6B">
        <w:rPr>
          <w:rFonts w:ascii="Palatino Linotype" w:eastAsia="Times New Roman" w:hAnsi="Palatino Linotype" w:cs="Arial"/>
          <w:b/>
          <w:i/>
          <w:sz w:val="24"/>
          <w:lang w:val="es-ES_tradnl" w:eastAsia="gl-ES"/>
        </w:rPr>
        <w:t>Artículo 160</w:t>
      </w:r>
      <w:r w:rsidRPr="00BA1F6B">
        <w:rPr>
          <w:rFonts w:ascii="Palatino Linotype" w:eastAsia="Times New Roman" w:hAnsi="Palatino Linotype" w:cs="Arial"/>
          <w:i/>
          <w:sz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AFC1ABC" w14:textId="77777777" w:rsidR="000D134C" w:rsidRPr="00BA1F6B" w:rsidRDefault="000D134C" w:rsidP="005C2A3E">
      <w:pPr>
        <w:spacing w:after="0" w:line="360" w:lineRule="auto"/>
        <w:jc w:val="both"/>
        <w:rPr>
          <w:rFonts w:ascii="Palatino Linotype" w:eastAsia="Times New Roman" w:hAnsi="Palatino Linotype" w:cs="Arial"/>
          <w:sz w:val="24"/>
        </w:rPr>
      </w:pPr>
    </w:p>
    <w:p w14:paraId="149A7837" w14:textId="77777777" w:rsidR="000D134C" w:rsidRPr="00BA1F6B" w:rsidRDefault="000D134C" w:rsidP="005C2A3E">
      <w:pPr>
        <w:spacing w:after="0" w:line="360" w:lineRule="auto"/>
        <w:jc w:val="both"/>
        <w:rPr>
          <w:rFonts w:ascii="Palatino Linotype" w:eastAsia="Times New Roman" w:hAnsi="Palatino Linotype" w:cs="Arial"/>
          <w:sz w:val="24"/>
        </w:rPr>
      </w:pPr>
      <w:r w:rsidRPr="00BA1F6B">
        <w:rPr>
          <w:rFonts w:ascii="Palatino Linotype" w:eastAsia="Times New Roman" w:hAnsi="Palatino Linotype" w:cs="Arial"/>
          <w:sz w:val="24"/>
        </w:rPr>
        <w:t xml:space="preserve">Expuesto lo anterior, se procede al análisis de la totalidad de las constancias que integran el expediente electrónico del </w:t>
      </w:r>
      <w:r w:rsidRPr="00BA1F6B">
        <w:rPr>
          <w:rFonts w:ascii="Palatino Linotype" w:eastAsia="Times New Roman" w:hAnsi="Palatino Linotype" w:cs="Arial"/>
          <w:b/>
          <w:sz w:val="24"/>
        </w:rPr>
        <w:t>SAIMEX</w:t>
      </w:r>
      <w:r w:rsidRPr="00BA1F6B">
        <w:rPr>
          <w:rFonts w:ascii="Palatino Linotype" w:eastAsia="Times New Roman" w:hAnsi="Palatino Linotype" w:cs="Arial"/>
          <w:sz w:val="24"/>
        </w:rPr>
        <w:t xml:space="preserve">, a efecto de determinar si con la información remitida por </w:t>
      </w:r>
      <w:r w:rsidRPr="00BA1F6B">
        <w:rPr>
          <w:rFonts w:ascii="Palatino Linotype" w:eastAsia="Times New Roman" w:hAnsi="Palatino Linotype" w:cs="Arial"/>
          <w:b/>
          <w:sz w:val="24"/>
        </w:rPr>
        <w:t>El Sujeto Obligado</w:t>
      </w:r>
      <w:r w:rsidRPr="00BA1F6B">
        <w:rPr>
          <w:rFonts w:ascii="Palatino Linotype" w:eastAsia="Times New Roman" w:hAnsi="Palatino Linotype" w:cs="Arial"/>
          <w:sz w:val="24"/>
        </w:rPr>
        <w:t xml:space="preserve"> a través de su respuesta se colma lo requerido en dicha solicitud.</w:t>
      </w:r>
    </w:p>
    <w:p w14:paraId="2E470B8A" w14:textId="77777777" w:rsidR="005C2A3E" w:rsidRPr="00BA1F6B" w:rsidRDefault="005C2A3E" w:rsidP="005C2A3E">
      <w:pPr>
        <w:spacing w:after="0" w:line="360" w:lineRule="auto"/>
        <w:jc w:val="both"/>
        <w:rPr>
          <w:rFonts w:ascii="Palatino Linotype" w:eastAsia="Times New Roman" w:hAnsi="Palatino Linotype" w:cs="Arial"/>
          <w:sz w:val="24"/>
        </w:rPr>
      </w:pPr>
    </w:p>
    <w:p w14:paraId="05028843" w14:textId="77777777" w:rsidR="000D134C" w:rsidRPr="00BA1F6B" w:rsidRDefault="000D134C" w:rsidP="005C2A3E">
      <w:pPr>
        <w:pStyle w:val="Prrafodelista"/>
        <w:tabs>
          <w:tab w:val="left" w:pos="426"/>
        </w:tabs>
        <w:spacing w:after="0" w:line="360" w:lineRule="auto"/>
        <w:ind w:left="0" w:right="51"/>
        <w:jc w:val="both"/>
        <w:rPr>
          <w:rFonts w:ascii="Palatino Linotype" w:hAnsi="Palatino Linotype"/>
          <w:color w:val="000000" w:themeColor="text1"/>
          <w:sz w:val="24"/>
          <w:szCs w:val="24"/>
        </w:rPr>
      </w:pPr>
      <w:r w:rsidRPr="00BA1F6B">
        <w:rPr>
          <w:rFonts w:ascii="Palatino Linotype" w:hAnsi="Palatino Linotype"/>
          <w:sz w:val="24"/>
          <w:szCs w:val="24"/>
          <w:lang w:val="es-ES"/>
        </w:rPr>
        <w:t xml:space="preserve">Previo a iniciar el análisis de la información solicitada, se considera </w:t>
      </w:r>
      <w:r w:rsidRPr="00BA1F6B">
        <w:rPr>
          <w:rFonts w:ascii="Palatino Linotype" w:hAnsi="Palatino Linotype"/>
          <w:color w:val="000000" w:themeColor="text1"/>
          <w:sz w:val="24"/>
          <w:szCs w:val="24"/>
        </w:rPr>
        <w:t xml:space="preserve">esencial citar el Criterio de Interpretación en el orden administrativo número 0002-11, emitido por Acuerdo del Pleno de este Instituto de Transparencia y Acceso a la Información Pública del Estado de México y Municipios, publicado en el Periódico Oficial del Gobierno del </w:t>
      </w:r>
      <w:r w:rsidRPr="00BA1F6B">
        <w:rPr>
          <w:rFonts w:ascii="Palatino Linotype" w:hAnsi="Palatino Linotype"/>
          <w:color w:val="000000" w:themeColor="text1"/>
          <w:sz w:val="24"/>
          <w:szCs w:val="24"/>
        </w:rPr>
        <w:lastRenderedPageBreak/>
        <w:t>Estado Libre y Soberano de México “Gaceta del Gobierno” el diecinueve (19) de octubre de dos mil once, cuyo rubro y texto dispone:</w:t>
      </w:r>
    </w:p>
    <w:p w14:paraId="70BA3E09" w14:textId="77777777" w:rsidR="005C2A3E" w:rsidRPr="00BA1F6B" w:rsidRDefault="005C2A3E" w:rsidP="005C2A3E">
      <w:pPr>
        <w:pStyle w:val="Prrafodelista"/>
        <w:tabs>
          <w:tab w:val="left" w:pos="426"/>
        </w:tabs>
        <w:spacing w:after="0" w:line="360" w:lineRule="auto"/>
        <w:ind w:left="0" w:right="51"/>
        <w:jc w:val="both"/>
        <w:rPr>
          <w:rFonts w:ascii="Palatino Linotype" w:hAnsi="Palatino Linotype"/>
          <w:color w:val="000000" w:themeColor="text1"/>
          <w:sz w:val="24"/>
          <w:szCs w:val="24"/>
        </w:rPr>
      </w:pPr>
    </w:p>
    <w:p w14:paraId="4D32213F" w14:textId="77777777" w:rsidR="000D134C" w:rsidRPr="00BA1F6B" w:rsidRDefault="000D134C" w:rsidP="005C2A3E">
      <w:pPr>
        <w:spacing w:after="0" w:line="276" w:lineRule="auto"/>
        <w:ind w:left="567" w:right="567"/>
        <w:jc w:val="both"/>
        <w:rPr>
          <w:rFonts w:ascii="Palatino Linotype" w:eastAsia="Palatino Linotype" w:hAnsi="Palatino Linotype" w:cs="Palatino Linotype"/>
          <w:i/>
          <w:sz w:val="24"/>
        </w:rPr>
      </w:pPr>
      <w:r w:rsidRPr="00BA1F6B">
        <w:rPr>
          <w:rFonts w:ascii="Palatino Linotype" w:eastAsia="Palatino Linotype" w:hAnsi="Palatino Linotype" w:cs="Palatino Linotype"/>
          <w:b/>
          <w:i/>
          <w:sz w:val="24"/>
        </w:rPr>
        <w:t>INFORMACIÓN PÚBLICA, CONCEPTO DE, EN MATERIA DE TRANSPARENCIA. INTERPRETACIÓN TEMÁTICA DE LOS ARTÍCULOS 2, FRACCIÓN V, XV, Y XVI, 3, 4,11 Y 41.</w:t>
      </w:r>
      <w:r w:rsidRPr="00BA1F6B">
        <w:rPr>
          <w:rFonts w:ascii="Palatino Linotype" w:eastAsia="Palatino Linotype" w:hAnsi="Palatino Linotype" w:cs="Palatino Linotype"/>
          <w:i/>
          <w:sz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323C7D" w14:textId="77777777" w:rsidR="000D134C" w:rsidRPr="00BA1F6B" w:rsidRDefault="000D134C" w:rsidP="005C2A3E">
      <w:pPr>
        <w:spacing w:after="0" w:line="276" w:lineRule="auto"/>
        <w:ind w:left="567" w:right="567"/>
        <w:jc w:val="both"/>
        <w:rPr>
          <w:rFonts w:ascii="Palatino Linotype" w:eastAsia="Palatino Linotype" w:hAnsi="Palatino Linotype" w:cs="Palatino Linotype"/>
          <w:i/>
          <w:sz w:val="24"/>
        </w:rPr>
      </w:pPr>
      <w:r w:rsidRPr="00BA1F6B">
        <w:rPr>
          <w:rFonts w:ascii="Palatino Linotype" w:eastAsia="Palatino Linotype" w:hAnsi="Palatino Linotype" w:cs="Palatino Linotype"/>
          <w:i/>
          <w:sz w:val="24"/>
        </w:rPr>
        <w:t>En consecuencia el acceso a la información se refiere a que se cumplan cualquiera de los siguientes tres supuestos:</w:t>
      </w:r>
    </w:p>
    <w:p w14:paraId="7D474FA3" w14:textId="77777777" w:rsidR="000D134C" w:rsidRPr="00BA1F6B" w:rsidRDefault="000D134C" w:rsidP="005C2A3E">
      <w:pPr>
        <w:spacing w:after="0" w:line="276" w:lineRule="auto"/>
        <w:ind w:left="567" w:right="567"/>
        <w:jc w:val="both"/>
        <w:rPr>
          <w:rFonts w:ascii="Palatino Linotype" w:eastAsia="Palatino Linotype" w:hAnsi="Palatino Linotype" w:cs="Palatino Linotype"/>
          <w:i/>
          <w:sz w:val="24"/>
        </w:rPr>
      </w:pPr>
      <w:r w:rsidRPr="00BA1F6B">
        <w:rPr>
          <w:rFonts w:ascii="Palatino Linotype" w:eastAsia="Palatino Linotype" w:hAnsi="Palatino Linotype" w:cs="Palatino Linotype"/>
          <w:i/>
          <w:sz w:val="24"/>
        </w:rPr>
        <w:t>Que se trate de información registrada en cualquier soporte documental, que en ejercicio de las atribuciones conferidas, sea generada por los Sujetos Obligados;</w:t>
      </w:r>
    </w:p>
    <w:p w14:paraId="33C72451" w14:textId="77777777" w:rsidR="000D134C" w:rsidRPr="00BA1F6B" w:rsidRDefault="000D134C" w:rsidP="005C2A3E">
      <w:pPr>
        <w:spacing w:after="0" w:line="276" w:lineRule="auto"/>
        <w:ind w:left="567" w:right="567"/>
        <w:jc w:val="both"/>
        <w:rPr>
          <w:rFonts w:ascii="Palatino Linotype" w:eastAsia="Palatino Linotype" w:hAnsi="Palatino Linotype" w:cs="Palatino Linotype"/>
          <w:i/>
          <w:sz w:val="24"/>
        </w:rPr>
      </w:pPr>
      <w:r w:rsidRPr="00BA1F6B">
        <w:rPr>
          <w:rFonts w:ascii="Palatino Linotype" w:eastAsia="Palatino Linotype" w:hAnsi="Palatino Linotype" w:cs="Palatino Linotype"/>
          <w:i/>
          <w:sz w:val="24"/>
        </w:rPr>
        <w:t>Que se trate de información registrada en cualquier soporte documental, que en ejercicio de las atribuciones conferidas, sea administrada por los Sujetos Obligados, y</w:t>
      </w:r>
    </w:p>
    <w:p w14:paraId="188437C0" w14:textId="77777777" w:rsidR="005C2A3E" w:rsidRPr="00BA1F6B" w:rsidRDefault="000D134C" w:rsidP="005C2A3E">
      <w:pPr>
        <w:spacing w:after="0" w:line="276" w:lineRule="auto"/>
        <w:ind w:left="567" w:right="567"/>
        <w:jc w:val="both"/>
        <w:rPr>
          <w:rFonts w:ascii="Palatino Linotype" w:eastAsia="Palatino Linotype" w:hAnsi="Palatino Linotype" w:cs="Palatino Linotype"/>
          <w:i/>
          <w:sz w:val="24"/>
        </w:rPr>
      </w:pPr>
      <w:r w:rsidRPr="00BA1F6B">
        <w:rPr>
          <w:rFonts w:ascii="Palatino Linotype" w:eastAsia="Palatino Linotype" w:hAnsi="Palatino Linotype" w:cs="Palatino Linotype"/>
          <w:i/>
          <w:sz w:val="24"/>
        </w:rPr>
        <w:t>Que se trate de información registrada en cualquier soporte documental, que en ejercicio de las atribuciones conferidas, se encuentre en posesión de los Sujetos Obligados.”</w:t>
      </w:r>
    </w:p>
    <w:p w14:paraId="61986DF7" w14:textId="77777777" w:rsidR="005C2A3E" w:rsidRPr="00BA1F6B" w:rsidRDefault="005C2A3E" w:rsidP="005C2A3E">
      <w:pPr>
        <w:spacing w:after="0" w:line="276" w:lineRule="auto"/>
        <w:ind w:right="567"/>
        <w:jc w:val="both"/>
        <w:rPr>
          <w:rFonts w:ascii="Palatino Linotype" w:eastAsia="Palatino Linotype" w:hAnsi="Palatino Linotype" w:cs="Palatino Linotype"/>
          <w:i/>
          <w:sz w:val="24"/>
        </w:rPr>
      </w:pPr>
    </w:p>
    <w:p w14:paraId="405C2A46" w14:textId="235B8ADB" w:rsidR="000D134C" w:rsidRPr="00BA1F6B" w:rsidRDefault="000D134C" w:rsidP="005C2A3E">
      <w:pPr>
        <w:spacing w:after="0" w:line="360" w:lineRule="auto"/>
        <w:ind w:right="567"/>
        <w:jc w:val="both"/>
        <w:rPr>
          <w:rFonts w:ascii="Palatino Linotype" w:eastAsia="Palatino Linotype" w:hAnsi="Palatino Linotype" w:cs="Palatino Linotype"/>
          <w:color w:val="000000"/>
          <w:sz w:val="24"/>
          <w:szCs w:val="24"/>
        </w:rPr>
      </w:pPr>
      <w:r w:rsidRPr="00BA1F6B">
        <w:rPr>
          <w:rFonts w:ascii="Palatino Linotype" w:hAnsi="Palatino Linotype"/>
          <w:color w:val="000000" w:themeColor="text1"/>
          <w:sz w:val="24"/>
          <w:szCs w:val="24"/>
        </w:rPr>
        <w:t xml:space="preserve">El </w:t>
      </w:r>
      <w:r w:rsidRPr="00BA1F6B">
        <w:rPr>
          <w:rFonts w:ascii="Palatino Linotype" w:eastAsia="Palatino Linotype" w:hAnsi="Palatino Linotype" w:cs="Palatino Linotype"/>
          <w:color w:val="000000"/>
          <w:sz w:val="24"/>
          <w:szCs w:val="24"/>
        </w:rPr>
        <w:t>derecho de acceso a la información encuentra su materia elemental en los documentos, y la Ley de Transparencia local nos brinda el siguiente concepto</w:t>
      </w:r>
      <w:r w:rsidRPr="00BA1F6B">
        <w:rPr>
          <w:rFonts w:ascii="Palatino Linotype" w:eastAsia="Palatino Linotype" w:hAnsi="Palatino Linotype" w:cs="Palatino Linotype"/>
          <w:color w:val="000000"/>
          <w:sz w:val="24"/>
          <w:szCs w:val="24"/>
          <w:vertAlign w:val="superscript"/>
        </w:rPr>
        <w:footnoteReference w:id="2"/>
      </w:r>
      <w:r w:rsidRPr="00BA1F6B">
        <w:rPr>
          <w:rFonts w:ascii="Palatino Linotype" w:eastAsia="Palatino Linotype" w:hAnsi="Palatino Linotype" w:cs="Palatino Linotype"/>
          <w:color w:val="000000"/>
          <w:sz w:val="24"/>
          <w:szCs w:val="24"/>
        </w:rPr>
        <w:t>, para darnos un mejor panorama:</w:t>
      </w:r>
    </w:p>
    <w:p w14:paraId="2FBF997D" w14:textId="77777777" w:rsidR="005C2A3E" w:rsidRPr="00BA1F6B" w:rsidRDefault="005C2A3E" w:rsidP="005C2A3E">
      <w:pPr>
        <w:spacing w:after="0" w:line="276" w:lineRule="auto"/>
        <w:ind w:right="567"/>
        <w:jc w:val="both"/>
        <w:rPr>
          <w:rFonts w:ascii="Palatino Linotype" w:eastAsia="Palatino Linotype" w:hAnsi="Palatino Linotype" w:cs="Palatino Linotype"/>
          <w:sz w:val="24"/>
        </w:rPr>
      </w:pPr>
    </w:p>
    <w:p w14:paraId="2ACEA230" w14:textId="77777777" w:rsidR="000D134C" w:rsidRPr="00BA1F6B" w:rsidRDefault="000D134C" w:rsidP="005C2A3E">
      <w:pPr>
        <w:spacing w:after="0" w:line="360" w:lineRule="auto"/>
        <w:ind w:left="567" w:right="567"/>
        <w:jc w:val="both"/>
        <w:rPr>
          <w:rFonts w:ascii="Palatino Linotype" w:eastAsia="Palatino Linotype" w:hAnsi="Palatino Linotype" w:cs="Palatino Linotype"/>
          <w:i/>
        </w:rPr>
      </w:pPr>
      <w:r w:rsidRPr="00BA1F6B">
        <w:rPr>
          <w:rFonts w:ascii="Palatino Linotype" w:eastAsia="Palatino Linotype" w:hAnsi="Palatino Linotype" w:cs="Palatino Linotype"/>
          <w:b/>
          <w:i/>
        </w:rPr>
        <w:t xml:space="preserve">“XI. Documento: </w:t>
      </w:r>
      <w:r w:rsidRPr="00BA1F6B">
        <w:rPr>
          <w:rFonts w:ascii="Palatino Linotype" w:eastAsia="Palatino Linotype" w:hAnsi="Palatino Linotype" w:cs="Palatino Linotype"/>
          <w:b/>
          <w:bCs/>
          <w:i/>
        </w:rPr>
        <w:t>Los expedientes, reportes, estudios,</w:t>
      </w:r>
      <w:r w:rsidRPr="00BA1F6B">
        <w:rPr>
          <w:rFonts w:ascii="Palatino Linotype" w:eastAsia="Palatino Linotype" w:hAnsi="Palatino Linotype" w:cs="Palatino Linotype"/>
          <w:b/>
          <w:i/>
        </w:rPr>
        <w:t xml:space="preserve"> actas, resoluciones, oficios, correspondencia, acuerdos, directivas, directrices, circulares, contratos, convenios, </w:t>
      </w:r>
      <w:r w:rsidRPr="00BA1F6B">
        <w:rPr>
          <w:rFonts w:ascii="Palatino Linotype" w:eastAsia="Palatino Linotype" w:hAnsi="Palatino Linotype" w:cs="Palatino Linotype"/>
          <w:b/>
          <w:i/>
        </w:rPr>
        <w:lastRenderedPageBreak/>
        <w:t>instructivos, notas, memorandos, estadísticas o</w:t>
      </w:r>
      <w:r w:rsidRPr="00BA1F6B">
        <w:rPr>
          <w:rFonts w:ascii="Palatino Linotype" w:eastAsia="Palatino Linotype" w:hAnsi="Palatino Linotype" w:cs="Palatino Linotype"/>
          <w:i/>
        </w:rPr>
        <w:t xml:space="preserve"> bien, </w:t>
      </w:r>
      <w:r w:rsidRPr="00BA1F6B">
        <w:rPr>
          <w:rFonts w:ascii="Palatino Linotype" w:eastAsia="Palatino Linotype" w:hAnsi="Palatino Linotype" w:cs="Palatino Linotype"/>
          <w:b/>
          <w:bCs/>
          <w:i/>
        </w:rPr>
        <w:t>cualquier</w:t>
      </w:r>
      <w:r w:rsidRPr="00BA1F6B">
        <w:rPr>
          <w:rFonts w:ascii="Palatino Linotype" w:eastAsia="Palatino Linotype" w:hAnsi="Palatino Linotype" w:cs="Palatino Linotype"/>
          <w:i/>
        </w:rPr>
        <w:t xml:space="preserve"> otro </w:t>
      </w:r>
      <w:r w:rsidRPr="00BA1F6B">
        <w:rPr>
          <w:rFonts w:ascii="Palatino Linotype" w:eastAsia="Palatino Linotype" w:hAnsi="Palatino Linotype" w:cs="Palatino Linotype"/>
          <w:b/>
          <w:bCs/>
          <w:i/>
        </w:rPr>
        <w:t>registro que documente el ejercicio de las facultades, funciones y competencias de los</w:t>
      </w:r>
      <w:r w:rsidRPr="00BA1F6B">
        <w:rPr>
          <w:rFonts w:ascii="Palatino Linotype" w:eastAsia="Palatino Linotype" w:hAnsi="Palatino Linotype" w:cs="Palatino Linotype"/>
          <w:i/>
        </w:rPr>
        <w:t xml:space="preserve"> </w:t>
      </w:r>
      <w:r w:rsidRPr="00BA1F6B">
        <w:rPr>
          <w:rFonts w:ascii="Palatino Linotype" w:eastAsia="Palatino Linotype" w:hAnsi="Palatino Linotype" w:cs="Palatino Linotype"/>
          <w:b/>
          <w:i/>
        </w:rPr>
        <w:t>sujetos obligados</w:t>
      </w:r>
      <w:r w:rsidRPr="00BA1F6B">
        <w:rPr>
          <w:rFonts w:ascii="Palatino Linotype" w:eastAsia="Palatino Linotype" w:hAnsi="Palatino Linotype" w:cs="Palatino Linotype"/>
          <w:i/>
        </w:rPr>
        <w:t xml:space="preserve">, sus </w:t>
      </w:r>
      <w:r w:rsidRPr="00BA1F6B">
        <w:rPr>
          <w:rFonts w:ascii="Palatino Linotype" w:eastAsia="Palatino Linotype" w:hAnsi="Palatino Linotype" w:cs="Palatino Linotype"/>
          <w:bCs/>
          <w:i/>
        </w:rPr>
        <w:t>servidores públicos</w:t>
      </w:r>
      <w:r w:rsidRPr="00BA1F6B">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14:paraId="5430CE59" w14:textId="77777777" w:rsidR="000D134C" w:rsidRPr="00BA1F6B" w:rsidRDefault="000D134C" w:rsidP="005C2A3E">
      <w:pPr>
        <w:spacing w:after="0" w:line="360" w:lineRule="auto"/>
        <w:jc w:val="both"/>
        <w:rPr>
          <w:rFonts w:ascii="Palatino Linotype" w:hAnsi="Palatino Linotype"/>
          <w:sz w:val="24"/>
          <w:szCs w:val="24"/>
        </w:rPr>
      </w:pPr>
    </w:p>
    <w:p w14:paraId="6F690E09" w14:textId="77777777" w:rsidR="000D134C" w:rsidRPr="00BA1F6B" w:rsidRDefault="000D134C" w:rsidP="005C2A3E">
      <w:pPr>
        <w:spacing w:after="0" w:line="360" w:lineRule="auto"/>
        <w:jc w:val="both"/>
        <w:rPr>
          <w:rFonts w:ascii="Palatino Linotype" w:hAnsi="Palatino Linotype" w:cs="Tahoma"/>
          <w:b/>
          <w:bCs/>
          <w:sz w:val="24"/>
          <w:szCs w:val="24"/>
          <w:lang w:val="es-ES" w:eastAsia="es-ES"/>
        </w:rPr>
      </w:pPr>
      <w:r w:rsidRPr="00BA1F6B">
        <w:rPr>
          <w:rFonts w:ascii="Palatino Linotype" w:hAnsi="Palatino Linotype"/>
          <w:sz w:val="24"/>
          <w:szCs w:val="24"/>
        </w:rPr>
        <w:t xml:space="preserve">Atento a lo anterior, el </w:t>
      </w:r>
      <w:r w:rsidRPr="00BA1F6B">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BA1F6B">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p>
    <w:p w14:paraId="2C4C6A14" w14:textId="77777777" w:rsidR="000D134C" w:rsidRPr="00BA1F6B" w:rsidRDefault="000D134C" w:rsidP="005C2A3E">
      <w:pPr>
        <w:spacing w:after="0" w:line="360" w:lineRule="auto"/>
        <w:jc w:val="both"/>
        <w:rPr>
          <w:rFonts w:ascii="Palatino Linotype" w:hAnsi="Palatino Linotype"/>
          <w:sz w:val="24"/>
          <w:szCs w:val="24"/>
        </w:rPr>
      </w:pPr>
    </w:p>
    <w:p w14:paraId="0A8E5005" w14:textId="77777777" w:rsidR="000D134C" w:rsidRPr="00BA1F6B" w:rsidRDefault="000D134C" w:rsidP="005C2A3E">
      <w:pPr>
        <w:spacing w:after="0" w:line="360" w:lineRule="auto"/>
        <w:jc w:val="both"/>
        <w:rPr>
          <w:rFonts w:ascii="Palatino Linotype" w:hAnsi="Palatino Linotype" w:cs="Tahoma"/>
          <w:bCs/>
          <w:sz w:val="24"/>
          <w:szCs w:val="24"/>
          <w:lang w:val="es-ES" w:eastAsia="es-ES"/>
        </w:rPr>
      </w:pPr>
      <w:r w:rsidRPr="00BA1F6B">
        <w:rPr>
          <w:rFonts w:ascii="Palatino Linotype" w:hAnsi="Palatino Linotype" w:cs="Tahoma"/>
          <w:bCs/>
          <w:sz w:val="24"/>
          <w:szCs w:val="24"/>
          <w:lang w:val="es-ES" w:eastAsia="es-ES"/>
        </w:rPr>
        <w:t>Da la misma manera, los diversos 12 y 24 de la Ley de Transparencia Local,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10A07FA0" w14:textId="77777777" w:rsidR="000D134C" w:rsidRPr="00BA1F6B" w:rsidRDefault="000D134C" w:rsidP="005C2A3E">
      <w:pPr>
        <w:spacing w:after="0" w:line="360" w:lineRule="auto"/>
        <w:jc w:val="both"/>
        <w:rPr>
          <w:rFonts w:ascii="Palatino Linotype" w:hAnsi="Palatino Linotype" w:cs="Tahoma"/>
          <w:bCs/>
          <w:sz w:val="24"/>
          <w:szCs w:val="24"/>
          <w:lang w:val="es-ES" w:eastAsia="es-ES"/>
        </w:rPr>
      </w:pPr>
    </w:p>
    <w:p w14:paraId="784CCC40" w14:textId="77777777" w:rsidR="000D134C" w:rsidRPr="00BA1F6B" w:rsidRDefault="000D134C" w:rsidP="005C2A3E">
      <w:pPr>
        <w:spacing w:after="0" w:line="360" w:lineRule="auto"/>
        <w:jc w:val="both"/>
        <w:rPr>
          <w:rFonts w:ascii="Palatino Linotype" w:hAnsi="Palatino Linotype" w:cs="Tahoma"/>
          <w:bCs/>
          <w:lang w:val="es-ES" w:eastAsia="es-ES"/>
        </w:rPr>
      </w:pPr>
      <w:r w:rsidRPr="00BA1F6B">
        <w:rPr>
          <w:rFonts w:ascii="Palatino Linotype" w:hAnsi="Palatino Linotype" w:cs="Tahoma"/>
          <w:bCs/>
          <w:sz w:val="24"/>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r w:rsidRPr="00BA1F6B">
        <w:rPr>
          <w:rFonts w:ascii="Palatino Linotype" w:hAnsi="Palatino Linotype" w:cs="Tahoma"/>
          <w:bCs/>
          <w:lang w:val="es-ES" w:eastAsia="es-ES"/>
        </w:rPr>
        <w:t>.</w:t>
      </w:r>
    </w:p>
    <w:p w14:paraId="3544BD1E" w14:textId="77777777" w:rsidR="000D134C" w:rsidRPr="00BA1F6B" w:rsidRDefault="000D134C" w:rsidP="005C2A3E">
      <w:pPr>
        <w:spacing w:after="0" w:line="360" w:lineRule="auto"/>
        <w:jc w:val="both"/>
        <w:rPr>
          <w:rFonts w:ascii="Palatino Linotype" w:hAnsi="Palatino Linotype" w:cs="Tahoma"/>
          <w:bCs/>
          <w:lang w:val="es-ES" w:eastAsia="es-ES"/>
        </w:rPr>
      </w:pPr>
    </w:p>
    <w:p w14:paraId="2288B86F" w14:textId="2C96B918" w:rsidR="00F375A2" w:rsidRPr="00BA1F6B" w:rsidRDefault="000D134C" w:rsidP="005C2A3E">
      <w:pPr>
        <w:spacing w:after="0" w:line="360" w:lineRule="auto"/>
        <w:jc w:val="both"/>
        <w:rPr>
          <w:rFonts w:ascii="Palatino Linotype" w:hAnsi="Palatino Linotype"/>
          <w:sz w:val="24"/>
          <w:szCs w:val="24"/>
        </w:rPr>
      </w:pPr>
      <w:r w:rsidRPr="00BA1F6B">
        <w:rPr>
          <w:rFonts w:ascii="Palatino Linotype" w:hAnsi="Palatino Linotype"/>
          <w:sz w:val="24"/>
          <w:szCs w:val="24"/>
        </w:rPr>
        <w:lastRenderedPageBreak/>
        <w:t>En este tenor, en alusión a los requerimientos formulados por el particular, resulta oportuno traer a colación</w:t>
      </w:r>
      <w:r w:rsidR="00BB73F6" w:rsidRPr="00BA1F6B">
        <w:rPr>
          <w:rFonts w:ascii="Palatino Linotype" w:hAnsi="Palatino Linotype"/>
          <w:sz w:val="24"/>
          <w:szCs w:val="24"/>
        </w:rPr>
        <w:t xml:space="preserve">, </w:t>
      </w:r>
      <w:r w:rsidR="007D46DF" w:rsidRPr="00BA1F6B">
        <w:rPr>
          <w:rFonts w:ascii="Palatino Linotype" w:hAnsi="Palatino Linotype"/>
          <w:sz w:val="24"/>
          <w:szCs w:val="24"/>
        </w:rPr>
        <w:t xml:space="preserve">el contenido del artículo 161 de la </w:t>
      </w:r>
      <w:r w:rsidR="007D46DF" w:rsidRPr="00BA1F6B">
        <w:rPr>
          <w:rFonts w:ascii="Palatino Linotype" w:hAnsi="Palatino Linotype"/>
          <w:sz w:val="24"/>
          <w:szCs w:val="24"/>
          <w:lang w:val="es-ES"/>
        </w:rPr>
        <w:t>Ley de Transparencia Local:</w:t>
      </w:r>
    </w:p>
    <w:p w14:paraId="280327B8" w14:textId="77777777" w:rsidR="00F375A2" w:rsidRPr="00BA1F6B" w:rsidRDefault="00F375A2" w:rsidP="00D3624B">
      <w:pPr>
        <w:spacing w:after="0" w:line="276" w:lineRule="auto"/>
        <w:jc w:val="both"/>
        <w:rPr>
          <w:rFonts w:ascii="Palatino Linotype" w:hAnsi="Palatino Linotype"/>
          <w:sz w:val="24"/>
          <w:szCs w:val="24"/>
        </w:rPr>
      </w:pPr>
    </w:p>
    <w:p w14:paraId="2881E2AB" w14:textId="77777777" w:rsidR="007D46DF" w:rsidRPr="00BA1F6B" w:rsidRDefault="007D46DF" w:rsidP="00D3624B">
      <w:pPr>
        <w:spacing w:after="0" w:line="276" w:lineRule="auto"/>
        <w:ind w:left="851" w:right="707"/>
        <w:jc w:val="both"/>
        <w:rPr>
          <w:rFonts w:ascii="Palatino Linotype" w:hAnsi="Palatino Linotype"/>
          <w:i/>
          <w:sz w:val="24"/>
          <w:szCs w:val="24"/>
          <w:lang w:val="es-ES"/>
        </w:rPr>
      </w:pPr>
      <w:r w:rsidRPr="00BA1F6B">
        <w:rPr>
          <w:rFonts w:ascii="Palatino Linotype" w:hAnsi="Palatino Linotype"/>
          <w:b/>
          <w:bCs/>
          <w:i/>
          <w:sz w:val="24"/>
          <w:szCs w:val="24"/>
        </w:rPr>
        <w:t xml:space="preserve">Artículo 161. </w:t>
      </w:r>
      <w:r w:rsidRPr="00BA1F6B">
        <w:rPr>
          <w:rFonts w:ascii="Palatino Linotype" w:hAnsi="Palatino Linotype"/>
          <w:b/>
          <w:i/>
          <w:sz w:val="24"/>
          <w:szCs w:val="24"/>
        </w:rPr>
        <w:t>Cuando la información requerida por el solicitante ya esté disponible</w:t>
      </w:r>
      <w:r w:rsidRPr="00BA1F6B">
        <w:rPr>
          <w:rFonts w:ascii="Palatino Linotype" w:hAnsi="Palatino Linotype"/>
          <w:i/>
          <w:sz w:val="24"/>
          <w:szCs w:val="24"/>
        </w:rPr>
        <w:t xml:space="preserve"> al público en medios impresos, tales como libros, compendios, trípticos, registros públicos, </w:t>
      </w:r>
      <w:r w:rsidRPr="00BA1F6B">
        <w:rPr>
          <w:rFonts w:ascii="Palatino Linotype" w:hAnsi="Palatino Linotype"/>
          <w:b/>
          <w:i/>
          <w:sz w:val="24"/>
          <w:szCs w:val="24"/>
        </w:rPr>
        <w:t xml:space="preserve">en formatos electrónicos disponibles en Internet </w:t>
      </w:r>
      <w:r w:rsidRPr="00BA1F6B">
        <w:rPr>
          <w:rFonts w:ascii="Palatino Linotype" w:hAnsi="Palatino Linotype"/>
          <w:i/>
          <w:sz w:val="24"/>
          <w:szCs w:val="24"/>
        </w:rPr>
        <w:t xml:space="preserve">o en cualquier otro medio, se le hará saber por el medio requerido por el solicitante la fuente, el lugar y la forma en que puede consultar, reproducir o adquirir dicha información </w:t>
      </w:r>
      <w:r w:rsidRPr="00BA1F6B">
        <w:rPr>
          <w:rFonts w:ascii="Palatino Linotype" w:hAnsi="Palatino Linotype"/>
          <w:b/>
          <w:i/>
          <w:sz w:val="24"/>
          <w:szCs w:val="24"/>
        </w:rPr>
        <w:t>en un plazo no mayor a cinco días hábiles</w:t>
      </w:r>
      <w:r w:rsidRPr="00BA1F6B">
        <w:rPr>
          <w:rFonts w:ascii="Palatino Linotype" w:hAnsi="Palatino Linotype"/>
          <w:i/>
          <w:sz w:val="24"/>
          <w:szCs w:val="24"/>
        </w:rPr>
        <w:t xml:space="preserve">. </w:t>
      </w:r>
      <w:r w:rsidRPr="00BA1F6B">
        <w:rPr>
          <w:rFonts w:ascii="Palatino Linotype" w:hAnsi="Palatino Linotype"/>
          <w:b/>
          <w:i/>
          <w:sz w:val="24"/>
          <w:szCs w:val="24"/>
        </w:rPr>
        <w:t>La fuente deberá ser precisa y concreta y no debe implicar que el solicitante realice una búsqueda en toda la información que se encuentre disponible</w:t>
      </w:r>
      <w:r w:rsidRPr="00BA1F6B">
        <w:rPr>
          <w:rFonts w:ascii="Palatino Linotype" w:hAnsi="Palatino Linotype"/>
          <w:i/>
          <w:sz w:val="24"/>
          <w:szCs w:val="24"/>
        </w:rPr>
        <w:t>.</w:t>
      </w:r>
    </w:p>
    <w:p w14:paraId="7E18947C" w14:textId="77777777" w:rsidR="007D46DF" w:rsidRPr="00BA1F6B" w:rsidRDefault="007D46DF" w:rsidP="007D46DF">
      <w:pPr>
        <w:spacing w:after="0" w:line="360" w:lineRule="auto"/>
        <w:ind w:right="707"/>
        <w:jc w:val="both"/>
        <w:rPr>
          <w:rFonts w:ascii="Palatino Linotype" w:hAnsi="Palatino Linotype"/>
          <w:b/>
          <w:bCs/>
          <w:i/>
          <w:sz w:val="24"/>
          <w:szCs w:val="24"/>
        </w:rPr>
      </w:pPr>
    </w:p>
    <w:p w14:paraId="096761F8" w14:textId="19E194DD" w:rsidR="007D46DF" w:rsidRPr="00BA1F6B" w:rsidRDefault="007D46DF" w:rsidP="00D3624B">
      <w:pPr>
        <w:spacing w:after="0" w:line="360" w:lineRule="auto"/>
        <w:ind w:right="-2"/>
        <w:jc w:val="both"/>
        <w:rPr>
          <w:rFonts w:ascii="Palatino Linotype" w:hAnsi="Palatino Linotype"/>
          <w:i/>
          <w:sz w:val="24"/>
          <w:szCs w:val="24"/>
          <w:lang w:val="es-ES"/>
        </w:rPr>
      </w:pPr>
      <w:r w:rsidRPr="00BA1F6B">
        <w:rPr>
          <w:rFonts w:ascii="Palatino Linotype" w:hAnsi="Palatino Linotype"/>
          <w:sz w:val="24"/>
          <w:szCs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505C63A9" w14:textId="77777777" w:rsidR="00F375A2" w:rsidRPr="00BA1F6B" w:rsidRDefault="00F375A2" w:rsidP="005C2A3E">
      <w:pPr>
        <w:spacing w:after="0" w:line="360" w:lineRule="auto"/>
        <w:jc w:val="both"/>
        <w:rPr>
          <w:rFonts w:ascii="Palatino Linotype" w:hAnsi="Palatino Linotype"/>
          <w:sz w:val="24"/>
          <w:szCs w:val="24"/>
        </w:rPr>
      </w:pPr>
    </w:p>
    <w:p w14:paraId="3D0F45CF" w14:textId="6C931CD1" w:rsidR="00773107" w:rsidRPr="00BA1F6B" w:rsidRDefault="00773107" w:rsidP="005C2A3E">
      <w:pPr>
        <w:spacing w:after="0" w:line="360" w:lineRule="auto"/>
        <w:jc w:val="both"/>
        <w:rPr>
          <w:rFonts w:ascii="Palatino Linotype" w:hAnsi="Palatino Linotype"/>
          <w:b/>
          <w:sz w:val="24"/>
          <w:szCs w:val="24"/>
          <w:lang w:val="es-ES"/>
        </w:rPr>
      </w:pPr>
      <w:r w:rsidRPr="00BA1F6B">
        <w:rPr>
          <w:rFonts w:ascii="Palatino Linotype" w:hAnsi="Palatino Linotype"/>
          <w:b/>
          <w:sz w:val="24"/>
          <w:szCs w:val="24"/>
          <w:lang w:val="es-ES"/>
        </w:rPr>
        <w:t>La orientación</w:t>
      </w:r>
      <w:r w:rsidRPr="00BA1F6B">
        <w:rPr>
          <w:rFonts w:ascii="Palatino Linotype" w:hAnsi="Palatino Linotype"/>
          <w:sz w:val="24"/>
          <w:szCs w:val="24"/>
          <w:lang w:val="es-ES"/>
        </w:rPr>
        <w:t xml:space="preserve"> que realicen los Sujetos Obligados a los sitios electrónicos para la consulta de la información </w:t>
      </w:r>
      <w:r w:rsidRPr="00BA1F6B">
        <w:rPr>
          <w:rFonts w:ascii="Palatino Linotype" w:hAnsi="Palatino Linotype"/>
          <w:b/>
          <w:sz w:val="24"/>
          <w:szCs w:val="24"/>
          <w:lang w:val="es-ES"/>
        </w:rPr>
        <w:t>debe cumplir con las características de tiempo y forma.</w:t>
      </w:r>
    </w:p>
    <w:p w14:paraId="4DC3C6E4" w14:textId="030D1C2D" w:rsidR="00773107" w:rsidRPr="00BA1F6B" w:rsidRDefault="00773107" w:rsidP="005C2A3E">
      <w:pPr>
        <w:spacing w:after="0" w:line="360" w:lineRule="auto"/>
        <w:jc w:val="both"/>
        <w:rPr>
          <w:rFonts w:ascii="Palatino Linotype" w:hAnsi="Palatino Linotype"/>
          <w:bCs/>
          <w:sz w:val="24"/>
          <w:szCs w:val="24"/>
          <w:lang w:val="es-ES"/>
        </w:rPr>
      </w:pPr>
      <w:r w:rsidRPr="00BA1F6B">
        <w:rPr>
          <w:rFonts w:ascii="Palatino Linotype" w:hAnsi="Palatino Linotype"/>
          <w:bCs/>
          <w:sz w:val="24"/>
          <w:szCs w:val="24"/>
          <w:lang w:val="es-ES"/>
        </w:rPr>
        <w:t xml:space="preserve">Por lo que, se </w:t>
      </w:r>
      <w:r w:rsidR="000F41B0" w:rsidRPr="00BA1F6B">
        <w:rPr>
          <w:rFonts w:ascii="Palatino Linotype" w:hAnsi="Palatino Linotype"/>
          <w:bCs/>
          <w:sz w:val="24"/>
          <w:szCs w:val="24"/>
          <w:lang w:val="es-ES"/>
        </w:rPr>
        <w:t>considera</w:t>
      </w:r>
      <w:r w:rsidRPr="00BA1F6B">
        <w:rPr>
          <w:rFonts w:ascii="Palatino Linotype" w:hAnsi="Palatino Linotype"/>
          <w:bCs/>
          <w:sz w:val="24"/>
          <w:szCs w:val="24"/>
          <w:lang w:val="es-ES"/>
        </w:rPr>
        <w:t xml:space="preserve"> q</w:t>
      </w:r>
      <w:r w:rsidR="000F41B0" w:rsidRPr="00BA1F6B">
        <w:rPr>
          <w:rFonts w:ascii="Palatino Linotype" w:hAnsi="Palatino Linotype"/>
          <w:bCs/>
          <w:sz w:val="24"/>
          <w:szCs w:val="24"/>
          <w:lang w:val="es-ES"/>
        </w:rPr>
        <w:t>u</w:t>
      </w:r>
      <w:r w:rsidRPr="00BA1F6B">
        <w:rPr>
          <w:rFonts w:ascii="Palatino Linotype" w:hAnsi="Palatino Linotype"/>
          <w:bCs/>
          <w:sz w:val="24"/>
          <w:szCs w:val="24"/>
          <w:lang w:val="es-ES"/>
        </w:rPr>
        <w:t xml:space="preserve">e el Sujeto Obligado, </w:t>
      </w:r>
      <w:r w:rsidR="000F41B0" w:rsidRPr="00BA1F6B">
        <w:rPr>
          <w:rFonts w:ascii="Palatino Linotype" w:hAnsi="Palatino Linotype"/>
          <w:bCs/>
          <w:sz w:val="24"/>
          <w:szCs w:val="24"/>
          <w:lang w:val="es-ES"/>
        </w:rPr>
        <w:t>proporcionó</w:t>
      </w:r>
      <w:r w:rsidRPr="00BA1F6B">
        <w:rPr>
          <w:rFonts w:ascii="Palatino Linotype" w:hAnsi="Palatino Linotype"/>
          <w:bCs/>
          <w:sz w:val="24"/>
          <w:szCs w:val="24"/>
          <w:lang w:val="es-ES"/>
        </w:rPr>
        <w:t xml:space="preserve"> la liga electrónica en formato abierto y anexo la serie de pasos para </w:t>
      </w:r>
      <w:r w:rsidR="000F41B0" w:rsidRPr="00BA1F6B">
        <w:rPr>
          <w:rFonts w:ascii="Palatino Linotype" w:hAnsi="Palatino Linotype"/>
          <w:bCs/>
          <w:sz w:val="24"/>
          <w:szCs w:val="24"/>
          <w:lang w:val="es-ES"/>
        </w:rPr>
        <w:t>encontrar</w:t>
      </w:r>
      <w:r w:rsidRPr="00BA1F6B">
        <w:rPr>
          <w:rFonts w:ascii="Palatino Linotype" w:hAnsi="Palatino Linotype"/>
          <w:bCs/>
          <w:sz w:val="24"/>
          <w:szCs w:val="24"/>
          <w:lang w:val="es-ES"/>
        </w:rPr>
        <w:t xml:space="preserve"> la información, cuestión que fue </w:t>
      </w:r>
      <w:r w:rsidRPr="00BA1F6B">
        <w:rPr>
          <w:rFonts w:ascii="Palatino Linotype" w:hAnsi="Palatino Linotype"/>
          <w:bCs/>
          <w:sz w:val="24"/>
          <w:szCs w:val="24"/>
          <w:lang w:val="es-ES"/>
        </w:rPr>
        <w:lastRenderedPageBreak/>
        <w:t xml:space="preserve">verificada por la ponencia </w:t>
      </w:r>
      <w:r w:rsidR="000F41B0" w:rsidRPr="00BA1F6B">
        <w:rPr>
          <w:rFonts w:ascii="Palatino Linotype" w:hAnsi="Palatino Linotype"/>
          <w:bCs/>
          <w:sz w:val="24"/>
          <w:szCs w:val="24"/>
          <w:lang w:val="es-ES"/>
        </w:rPr>
        <w:t>resolutora y efectivamente se desprende que el Recurrente tiene acceso a la misma.</w:t>
      </w:r>
    </w:p>
    <w:p w14:paraId="0D262CBC" w14:textId="77777777" w:rsidR="000F41B0" w:rsidRPr="00BA1F6B" w:rsidRDefault="000F41B0" w:rsidP="005C2A3E">
      <w:pPr>
        <w:spacing w:after="0" w:line="360" w:lineRule="auto"/>
        <w:jc w:val="both"/>
        <w:rPr>
          <w:rFonts w:ascii="Palatino Linotype" w:hAnsi="Palatino Linotype"/>
          <w:bCs/>
          <w:sz w:val="24"/>
          <w:szCs w:val="24"/>
          <w:lang w:val="es-ES"/>
        </w:rPr>
      </w:pPr>
    </w:p>
    <w:p w14:paraId="5EFDB32F" w14:textId="7E5BE080" w:rsidR="000F41B0" w:rsidRPr="00BA1F6B" w:rsidRDefault="000F41B0" w:rsidP="005C2A3E">
      <w:pPr>
        <w:spacing w:after="0" w:line="360" w:lineRule="auto"/>
        <w:jc w:val="both"/>
        <w:rPr>
          <w:rFonts w:ascii="Palatino Linotype" w:hAnsi="Palatino Linotype"/>
          <w:bCs/>
          <w:sz w:val="24"/>
          <w:szCs w:val="24"/>
          <w:lang w:val="es-ES"/>
        </w:rPr>
      </w:pPr>
      <w:r w:rsidRPr="00BA1F6B">
        <w:rPr>
          <w:rFonts w:ascii="Palatino Linotype" w:hAnsi="Palatino Linotype"/>
          <w:bCs/>
          <w:sz w:val="24"/>
          <w:szCs w:val="24"/>
          <w:lang w:val="es-ES"/>
        </w:rPr>
        <w:t>En esa virtud resulta indispensable traer a estudio el contenido del artículo 166</w:t>
      </w:r>
      <w:r w:rsidR="00E50FDC" w:rsidRPr="00BA1F6B">
        <w:rPr>
          <w:rFonts w:ascii="Palatino Linotype" w:hAnsi="Palatino Linotype"/>
          <w:bCs/>
          <w:sz w:val="24"/>
          <w:szCs w:val="24"/>
          <w:lang w:val="es-ES"/>
        </w:rPr>
        <w:t xml:space="preserve">, primer párrafo, </w:t>
      </w:r>
      <w:r w:rsidRPr="00BA1F6B">
        <w:rPr>
          <w:rFonts w:ascii="Palatino Linotype" w:hAnsi="Palatino Linotype"/>
          <w:bCs/>
          <w:sz w:val="24"/>
          <w:szCs w:val="24"/>
          <w:lang w:val="es-ES"/>
        </w:rPr>
        <w:t>de la Ley de transparencia estatal.</w:t>
      </w:r>
    </w:p>
    <w:p w14:paraId="38B46342" w14:textId="77777777" w:rsidR="000F41B0" w:rsidRPr="00BA1F6B" w:rsidRDefault="000F41B0" w:rsidP="00E50FDC">
      <w:pPr>
        <w:spacing w:after="0" w:line="276" w:lineRule="auto"/>
        <w:ind w:left="851" w:right="707"/>
        <w:jc w:val="both"/>
        <w:rPr>
          <w:rFonts w:ascii="Palatino Linotype" w:hAnsi="Palatino Linotype"/>
          <w:bCs/>
          <w:i/>
          <w:iCs/>
          <w:lang w:val="es-ES"/>
        </w:rPr>
      </w:pPr>
    </w:p>
    <w:p w14:paraId="32E37338" w14:textId="153EBE8D" w:rsidR="00E50FDC" w:rsidRPr="00BA1F6B" w:rsidRDefault="00E50FDC" w:rsidP="00E50FDC">
      <w:pPr>
        <w:spacing w:after="0" w:line="276" w:lineRule="auto"/>
        <w:ind w:left="851" w:right="707"/>
        <w:jc w:val="both"/>
        <w:rPr>
          <w:rFonts w:ascii="Palatino Linotype" w:hAnsi="Palatino Linotype"/>
          <w:bCs/>
          <w:i/>
          <w:iCs/>
        </w:rPr>
      </w:pPr>
      <w:r w:rsidRPr="00BA1F6B">
        <w:rPr>
          <w:rFonts w:ascii="Palatino Linotype" w:hAnsi="Palatino Linotype"/>
          <w:b/>
          <w:i/>
          <w:iCs/>
        </w:rPr>
        <w:t>Artículo 166.</w:t>
      </w:r>
      <w:r w:rsidRPr="00BA1F6B">
        <w:rPr>
          <w:rFonts w:ascii="Palatino Linotype" w:hAnsi="Palatino Linotype"/>
          <w:bCs/>
          <w:i/>
          <w:iCs/>
        </w:rPr>
        <w:t xml:space="preserve"> La obligación de acceso a la información pública se tendrá por cumplida cuando el solicitante tenga a su disposición la información requerida, o cuando realice la consulta de la misma en el lugar en el que ésta se localice.</w:t>
      </w:r>
    </w:p>
    <w:p w14:paraId="5EF3ED1A" w14:textId="77777777" w:rsidR="000F41B0" w:rsidRPr="00BA1F6B" w:rsidRDefault="000F41B0" w:rsidP="005C2A3E">
      <w:pPr>
        <w:spacing w:after="0" w:line="360" w:lineRule="auto"/>
        <w:jc w:val="both"/>
        <w:rPr>
          <w:rFonts w:ascii="Palatino Linotype" w:hAnsi="Palatino Linotype"/>
          <w:bCs/>
          <w:sz w:val="24"/>
          <w:szCs w:val="24"/>
        </w:rPr>
      </w:pPr>
    </w:p>
    <w:p w14:paraId="4C572E13" w14:textId="2D20329B" w:rsidR="00F375A2" w:rsidRPr="00BA1F6B" w:rsidRDefault="00852EE0" w:rsidP="005C2A3E">
      <w:pPr>
        <w:spacing w:after="0" w:line="360" w:lineRule="auto"/>
        <w:jc w:val="both"/>
        <w:rPr>
          <w:rFonts w:ascii="Palatino Linotype" w:hAnsi="Palatino Linotype"/>
          <w:sz w:val="24"/>
          <w:szCs w:val="24"/>
        </w:rPr>
      </w:pPr>
      <w:r w:rsidRPr="00BA1F6B">
        <w:rPr>
          <w:rFonts w:ascii="Palatino Linotype" w:hAnsi="Palatino Linotype"/>
          <w:sz w:val="24"/>
          <w:szCs w:val="24"/>
        </w:rPr>
        <w:t>No pasa por alto mencionar que es posible descargar los registros localizados de esta fracción, en distintos formatos y con ello realizar la copia o copias que desee de la información.</w:t>
      </w:r>
    </w:p>
    <w:p w14:paraId="319F1F7C" w14:textId="77777777" w:rsidR="00852EE0" w:rsidRPr="00BA1F6B" w:rsidRDefault="00852EE0" w:rsidP="005C2A3E">
      <w:pPr>
        <w:spacing w:after="0" w:line="360" w:lineRule="auto"/>
        <w:jc w:val="both"/>
        <w:rPr>
          <w:rFonts w:ascii="Palatino Linotype" w:hAnsi="Palatino Linotype"/>
          <w:sz w:val="24"/>
          <w:szCs w:val="24"/>
        </w:rPr>
      </w:pPr>
    </w:p>
    <w:p w14:paraId="30A86C39" w14:textId="0BE028AC" w:rsidR="00852EE0" w:rsidRPr="00BA1F6B" w:rsidRDefault="00852EE0" w:rsidP="005C2A3E">
      <w:pPr>
        <w:spacing w:after="0" w:line="360" w:lineRule="auto"/>
        <w:jc w:val="both"/>
        <w:rPr>
          <w:rFonts w:ascii="Palatino Linotype" w:hAnsi="Palatino Linotype"/>
          <w:sz w:val="24"/>
          <w:szCs w:val="24"/>
        </w:rPr>
      </w:pPr>
      <w:r w:rsidRPr="00BA1F6B">
        <w:rPr>
          <w:rFonts w:ascii="Palatino Linotype" w:hAnsi="Palatino Linotype"/>
          <w:sz w:val="24"/>
          <w:szCs w:val="24"/>
        </w:rPr>
        <w:t xml:space="preserve">Por otra parte, se invita al Sujeto Obligado, </w:t>
      </w:r>
      <w:r w:rsidR="00D3624B" w:rsidRPr="00BA1F6B">
        <w:rPr>
          <w:rFonts w:ascii="Palatino Linotype" w:hAnsi="Palatino Linotype"/>
          <w:sz w:val="24"/>
          <w:szCs w:val="24"/>
        </w:rPr>
        <w:t>que,</w:t>
      </w:r>
      <w:r w:rsidRPr="00BA1F6B">
        <w:rPr>
          <w:rFonts w:ascii="Palatino Linotype" w:hAnsi="Palatino Linotype"/>
          <w:sz w:val="24"/>
          <w:szCs w:val="24"/>
        </w:rPr>
        <w:t xml:space="preserve"> en estos casos</w:t>
      </w:r>
      <w:r w:rsidR="00DC49A0" w:rsidRPr="00BA1F6B">
        <w:rPr>
          <w:rFonts w:ascii="Palatino Linotype" w:hAnsi="Palatino Linotype"/>
          <w:sz w:val="24"/>
          <w:szCs w:val="24"/>
        </w:rPr>
        <w:t>, la información ya se encuentre disponible en medios tecnológicos, se emita la respuesta en el término que marca la Ley.</w:t>
      </w:r>
    </w:p>
    <w:p w14:paraId="62872025" w14:textId="77777777" w:rsidR="00F375A2" w:rsidRPr="00BA1F6B" w:rsidRDefault="00F375A2" w:rsidP="005C2A3E">
      <w:pPr>
        <w:spacing w:after="0" w:line="360" w:lineRule="auto"/>
        <w:jc w:val="both"/>
        <w:rPr>
          <w:rFonts w:ascii="Palatino Linotype" w:hAnsi="Palatino Linotype"/>
          <w:sz w:val="24"/>
          <w:szCs w:val="24"/>
        </w:rPr>
      </w:pPr>
    </w:p>
    <w:p w14:paraId="49C3ECC8" w14:textId="592D5B65" w:rsidR="00664D8D" w:rsidRPr="00BA1F6B" w:rsidRDefault="00664D8D" w:rsidP="00664D8D">
      <w:pPr>
        <w:spacing w:after="0" w:line="360" w:lineRule="auto"/>
        <w:jc w:val="both"/>
        <w:rPr>
          <w:rFonts w:ascii="Palatino Linotype" w:eastAsia="Times New Roman" w:hAnsi="Palatino Linotype" w:cs="Arial"/>
          <w:sz w:val="24"/>
          <w:szCs w:val="24"/>
          <w:lang w:val="es-ES" w:eastAsia="es-ES"/>
        </w:rPr>
      </w:pPr>
      <w:r w:rsidRPr="00BA1F6B">
        <w:rPr>
          <w:rFonts w:ascii="Palatino Linotype" w:eastAsia="Times New Roman" w:hAnsi="Palatino Linotype" w:cs="Arial"/>
          <w:sz w:val="24"/>
          <w:szCs w:val="24"/>
          <w:lang w:val="es-ES" w:eastAsia="es-ES"/>
        </w:rPr>
        <w:t xml:space="preserve">Luego entonces se tiene </w:t>
      </w:r>
      <w:r w:rsidR="006D5161" w:rsidRPr="00BA1F6B">
        <w:rPr>
          <w:rFonts w:ascii="Palatino Linotype" w:eastAsia="Times New Roman" w:hAnsi="Palatino Linotype" w:cs="Arial"/>
          <w:sz w:val="24"/>
          <w:szCs w:val="24"/>
          <w:lang w:val="es-ES" w:eastAsia="es-ES"/>
        </w:rPr>
        <w:t>por atendido</w:t>
      </w:r>
      <w:r w:rsidRPr="00BA1F6B">
        <w:rPr>
          <w:rFonts w:ascii="Palatino Linotype" w:eastAsia="Times New Roman" w:hAnsi="Palatino Linotype" w:cs="Arial"/>
          <w:sz w:val="24"/>
          <w:szCs w:val="24"/>
          <w:lang w:val="es-ES" w:eastAsia="es-ES"/>
        </w:rPr>
        <w:t xml:space="preserve"> </w:t>
      </w:r>
      <w:r w:rsidR="006D5161" w:rsidRPr="00BA1F6B">
        <w:rPr>
          <w:rFonts w:ascii="Palatino Linotype" w:eastAsia="Times New Roman" w:hAnsi="Palatino Linotype" w:cs="Arial"/>
          <w:sz w:val="24"/>
          <w:szCs w:val="24"/>
          <w:lang w:val="es-ES" w:eastAsia="es-ES"/>
        </w:rPr>
        <w:t>el</w:t>
      </w:r>
      <w:r w:rsidRPr="00BA1F6B">
        <w:rPr>
          <w:rFonts w:ascii="Palatino Linotype" w:eastAsia="Times New Roman" w:hAnsi="Palatino Linotype" w:cs="Arial"/>
          <w:sz w:val="24"/>
          <w:szCs w:val="24"/>
          <w:lang w:val="es-ES" w:eastAsia="es-ES"/>
        </w:rPr>
        <w:t xml:space="preserve"> punto de la solicitud, de ello que se confirme la respuesta del Sujeto Obligado.</w:t>
      </w:r>
    </w:p>
    <w:p w14:paraId="7C5F7FCE" w14:textId="77777777" w:rsidR="00664D8D" w:rsidRPr="00BA1F6B" w:rsidRDefault="00664D8D" w:rsidP="00664D8D">
      <w:pPr>
        <w:spacing w:after="0" w:line="360" w:lineRule="auto"/>
        <w:jc w:val="both"/>
        <w:rPr>
          <w:rFonts w:ascii="Palatino Linotype" w:eastAsia="Times New Roman" w:hAnsi="Palatino Linotype" w:cs="Arial"/>
          <w:sz w:val="24"/>
          <w:szCs w:val="24"/>
          <w:lang w:val="es-ES" w:eastAsia="es-ES"/>
        </w:rPr>
      </w:pPr>
    </w:p>
    <w:p w14:paraId="76B70927" w14:textId="77777777" w:rsidR="00664D8D" w:rsidRPr="00BA1F6B" w:rsidRDefault="00664D8D" w:rsidP="00664D8D">
      <w:pPr>
        <w:spacing w:after="0" w:line="360" w:lineRule="auto"/>
        <w:ind w:right="49"/>
        <w:jc w:val="both"/>
        <w:rPr>
          <w:rFonts w:ascii="Palatino Linotype" w:eastAsia="Calibri" w:hAnsi="Palatino Linotype" w:cs="Calibri"/>
          <w:sz w:val="24"/>
          <w:lang w:val="es-ES_tradnl" w:eastAsia="es-MX"/>
        </w:rPr>
      </w:pPr>
      <w:r w:rsidRPr="00BA1F6B">
        <w:rPr>
          <w:rFonts w:ascii="Palatino Linotype" w:eastAsia="Palatino Linotype" w:hAnsi="Palatino Linotype" w:cs="Palatino Linotype"/>
          <w:bCs/>
          <w:sz w:val="24"/>
          <w:lang w:val="es-ES_tradnl" w:eastAsia="es-MX"/>
        </w:rPr>
        <w:t xml:space="preserve">Por lo tanto, al haber señalado que después de realizar una búsqueda exhaustiva y razonable de la información, y al haber remitido la información solicitada y generada por parte del </w:t>
      </w:r>
      <w:r w:rsidRPr="00BA1F6B">
        <w:rPr>
          <w:rFonts w:ascii="Palatino Linotype" w:eastAsia="Palatino Linotype" w:hAnsi="Palatino Linotype" w:cs="Palatino Linotype"/>
          <w:b/>
          <w:bCs/>
          <w:sz w:val="24"/>
          <w:lang w:val="es-ES_tradnl" w:eastAsia="es-MX"/>
        </w:rPr>
        <w:t>Sujeto Obligado</w:t>
      </w:r>
      <w:r w:rsidRPr="00BA1F6B">
        <w:rPr>
          <w:rFonts w:ascii="Palatino Linotype" w:eastAsia="Palatino Linotype" w:hAnsi="Palatino Linotype" w:cs="Palatino Linotype"/>
          <w:bCs/>
          <w:sz w:val="24"/>
          <w:lang w:val="es-ES_tradnl" w:eastAsia="es-MX"/>
        </w:rPr>
        <w:t xml:space="preserve">, </w:t>
      </w:r>
      <w:r w:rsidRPr="00BA1F6B">
        <w:rPr>
          <w:rFonts w:ascii="Palatino Linotype" w:eastAsia="Calibri" w:hAnsi="Palatino Linotype" w:cs="Calibri"/>
          <w:sz w:val="24"/>
          <w:lang w:val="es-ES_tradnl" w:eastAsia="es-MX"/>
        </w:rPr>
        <w:t xml:space="preserve">se considera que, con el pronunciamiento realizado </w:t>
      </w:r>
      <w:r w:rsidRPr="00BA1F6B">
        <w:rPr>
          <w:rFonts w:ascii="Palatino Linotype" w:eastAsia="Calibri" w:hAnsi="Palatino Linotype" w:cs="Calibri"/>
          <w:sz w:val="24"/>
          <w:lang w:val="es-ES_tradnl" w:eastAsia="es-MX"/>
        </w:rPr>
        <w:lastRenderedPageBreak/>
        <w:t xml:space="preserve">desde su respuesta primigenia por el </w:t>
      </w:r>
      <w:r w:rsidRPr="00BA1F6B">
        <w:rPr>
          <w:rFonts w:ascii="Palatino Linotype" w:eastAsia="Calibri" w:hAnsi="Palatino Linotype" w:cs="Calibri"/>
          <w:b/>
          <w:sz w:val="24"/>
          <w:lang w:val="es-ES_tradnl" w:eastAsia="es-MX"/>
        </w:rPr>
        <w:t>Sujeto Obligado</w:t>
      </w:r>
      <w:r w:rsidRPr="00BA1F6B">
        <w:rPr>
          <w:rFonts w:ascii="Palatino Linotype" w:eastAsia="Calibri" w:hAnsi="Palatino Linotype" w:cs="Calibri"/>
          <w:sz w:val="24"/>
          <w:lang w:val="es-ES_tradnl" w:eastAsia="es-MX"/>
        </w:rPr>
        <w:t>, colma en su totalidad con la información solicitada por el particular.</w:t>
      </w:r>
    </w:p>
    <w:p w14:paraId="66E71F2B" w14:textId="77777777" w:rsidR="00664D8D" w:rsidRPr="00BA1F6B" w:rsidRDefault="00664D8D" w:rsidP="00664D8D">
      <w:pPr>
        <w:spacing w:after="0" w:line="360" w:lineRule="auto"/>
        <w:contextualSpacing/>
        <w:jc w:val="both"/>
        <w:rPr>
          <w:rFonts w:ascii="Palatino Linotype" w:eastAsia="Calibri" w:hAnsi="Palatino Linotype" w:cs="Calibri"/>
          <w:sz w:val="24"/>
          <w:lang w:val="es-ES_tradnl" w:eastAsia="es-MX"/>
        </w:rPr>
      </w:pPr>
    </w:p>
    <w:p w14:paraId="4BA39427" w14:textId="0705ABCB" w:rsidR="00664D8D" w:rsidRPr="00BA1F6B" w:rsidRDefault="00664D8D" w:rsidP="00664D8D">
      <w:pP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BA1F6B">
        <w:rPr>
          <w:rFonts w:ascii="Palatino Linotype" w:eastAsia="Palatino Linotype" w:hAnsi="Palatino Linotype" w:cs="Palatino Linotype"/>
          <w:color w:val="000000"/>
          <w:sz w:val="24"/>
          <w:szCs w:val="24"/>
          <w:lang w:val="es-ES_tradnl" w:eastAsia="es-MX"/>
        </w:rPr>
        <w:t xml:space="preserve">Así, con fundamento en el artículo 186 fracción II de la Ley de Transparencia y Acceso a la Información Pública del Estado de México y Municipios, se </w:t>
      </w:r>
      <w:r w:rsidRPr="00BA1F6B">
        <w:rPr>
          <w:rFonts w:ascii="Palatino Linotype" w:eastAsia="Palatino Linotype" w:hAnsi="Palatino Linotype" w:cs="Palatino Linotype"/>
          <w:b/>
          <w:color w:val="000000"/>
          <w:sz w:val="24"/>
          <w:szCs w:val="24"/>
          <w:lang w:val="es-ES_tradnl" w:eastAsia="es-MX"/>
        </w:rPr>
        <w:t>CONFIRMA</w:t>
      </w:r>
      <w:r w:rsidRPr="00BA1F6B">
        <w:rPr>
          <w:rFonts w:ascii="Palatino Linotype" w:eastAsia="Palatino Linotype" w:hAnsi="Palatino Linotype" w:cs="Palatino Linotype"/>
          <w:color w:val="000000"/>
          <w:sz w:val="24"/>
          <w:szCs w:val="24"/>
          <w:lang w:val="es-ES_tradnl" w:eastAsia="es-MX"/>
        </w:rPr>
        <w:t xml:space="preserve"> la respuesta a la solicitud de información pública </w:t>
      </w:r>
      <w:r w:rsidR="006D5161" w:rsidRPr="00BA1F6B">
        <w:rPr>
          <w:rFonts w:ascii="Palatino Linotype" w:eastAsia="Palatino Linotype" w:hAnsi="Palatino Linotype" w:cs="Palatino Linotype"/>
          <w:b/>
          <w:bCs/>
          <w:color w:val="000000"/>
          <w:sz w:val="24"/>
          <w:szCs w:val="24"/>
          <w:lang w:eastAsia="es-MX"/>
        </w:rPr>
        <w:t>00176/HUIXQUIL/IP/2025</w:t>
      </w:r>
      <w:r w:rsidRPr="00BA1F6B">
        <w:rPr>
          <w:rFonts w:ascii="Palatino Linotype" w:eastAsia="Palatino Linotype" w:hAnsi="Palatino Linotype" w:cs="Palatino Linotype"/>
          <w:bCs/>
          <w:color w:val="000000"/>
          <w:sz w:val="24"/>
          <w:szCs w:val="24"/>
          <w:lang w:val="es-ES_tradnl" w:eastAsia="es-MX"/>
        </w:rPr>
        <w:t xml:space="preserve">, </w:t>
      </w:r>
      <w:r w:rsidRPr="00BA1F6B">
        <w:rPr>
          <w:rFonts w:ascii="Palatino Linotype" w:eastAsia="Palatino Linotype" w:hAnsi="Palatino Linotype" w:cs="Palatino Linotype"/>
          <w:color w:val="000000"/>
          <w:sz w:val="24"/>
          <w:szCs w:val="24"/>
          <w:lang w:val="es-ES_tradnl" w:eastAsia="es-MX"/>
        </w:rPr>
        <w:t>que ha sido materia del presente fallo, por lo que este Pleno:</w:t>
      </w:r>
    </w:p>
    <w:p w14:paraId="5D778CB5" w14:textId="77777777" w:rsidR="00664D8D" w:rsidRPr="00BA1F6B" w:rsidRDefault="00664D8D" w:rsidP="00664D8D">
      <w:pPr>
        <w:spacing w:after="0" w:line="360" w:lineRule="auto"/>
        <w:jc w:val="both"/>
        <w:rPr>
          <w:rFonts w:ascii="Palatino Linotype" w:eastAsia="Calibri" w:hAnsi="Palatino Linotype" w:cs="Times New Roman"/>
          <w:sz w:val="24"/>
          <w:szCs w:val="24"/>
        </w:rPr>
      </w:pPr>
    </w:p>
    <w:p w14:paraId="4E5DF536" w14:textId="77777777" w:rsidR="00664D8D" w:rsidRPr="00BA1F6B" w:rsidRDefault="00664D8D" w:rsidP="00664D8D">
      <w:pPr>
        <w:spacing w:after="0" w:line="360" w:lineRule="auto"/>
        <w:jc w:val="both"/>
        <w:rPr>
          <w:rFonts w:ascii="Palatino Linotype" w:eastAsia="Times New Roman" w:hAnsi="Palatino Linotype" w:cs="Times New Roman"/>
          <w:sz w:val="24"/>
          <w:szCs w:val="24"/>
          <w:lang w:eastAsia="es-ES"/>
        </w:rPr>
      </w:pPr>
      <w:r w:rsidRPr="00BA1F6B">
        <w:rPr>
          <w:rFonts w:ascii="Palatino Linotype" w:eastAsia="Times New Roman" w:hAnsi="Palatino Linotype" w:cs="Times New Roman"/>
          <w:sz w:val="24"/>
          <w:szCs w:val="24"/>
          <w:lang w:eastAsia="es-ES"/>
        </w:rPr>
        <w:t>Por lo antes expuesto y fundado es de resolverse y,</w:t>
      </w:r>
    </w:p>
    <w:p w14:paraId="05950352" w14:textId="77777777" w:rsidR="00664D8D" w:rsidRPr="00BA1F6B" w:rsidRDefault="00664D8D" w:rsidP="00664D8D">
      <w:pPr>
        <w:spacing w:after="0" w:line="360" w:lineRule="auto"/>
        <w:jc w:val="both"/>
        <w:rPr>
          <w:rFonts w:ascii="Palatino Linotype" w:eastAsia="Times New Roman" w:hAnsi="Palatino Linotype" w:cs="Times New Roman"/>
          <w:sz w:val="24"/>
          <w:szCs w:val="24"/>
          <w:lang w:eastAsia="es-ES"/>
        </w:rPr>
      </w:pPr>
    </w:p>
    <w:p w14:paraId="40AD0714" w14:textId="77777777" w:rsidR="00664D8D" w:rsidRPr="00BA1F6B" w:rsidRDefault="00664D8D" w:rsidP="00664D8D">
      <w:pPr>
        <w:spacing w:after="0" w:line="360" w:lineRule="auto"/>
        <w:jc w:val="center"/>
        <w:rPr>
          <w:rFonts w:ascii="Palatino Linotype" w:eastAsia="Times New Roman" w:hAnsi="Palatino Linotype" w:cs="Times New Roman"/>
          <w:bCs/>
          <w:spacing w:val="60"/>
          <w:sz w:val="24"/>
          <w:szCs w:val="24"/>
          <w:lang w:val="es-ES_tradnl" w:eastAsia="es-ES"/>
        </w:rPr>
      </w:pPr>
      <w:r w:rsidRPr="00BA1F6B">
        <w:rPr>
          <w:rFonts w:ascii="Palatino Linotype" w:eastAsia="Times New Roman" w:hAnsi="Palatino Linotype" w:cs="Times New Roman"/>
          <w:b/>
          <w:bCs/>
          <w:spacing w:val="60"/>
          <w:sz w:val="28"/>
          <w:szCs w:val="24"/>
          <w:lang w:val="es-ES_tradnl" w:eastAsia="es-ES"/>
        </w:rPr>
        <w:t>SE    RESUELVE</w:t>
      </w:r>
    </w:p>
    <w:p w14:paraId="48F55D23" w14:textId="77777777" w:rsidR="00664D8D" w:rsidRPr="00BA1F6B" w:rsidRDefault="00664D8D" w:rsidP="00664D8D">
      <w:pPr>
        <w:autoSpaceDE w:val="0"/>
        <w:autoSpaceDN w:val="0"/>
        <w:adjustRightInd w:val="0"/>
        <w:spacing w:after="0" w:line="360" w:lineRule="auto"/>
        <w:ind w:right="49"/>
        <w:jc w:val="both"/>
        <w:rPr>
          <w:rFonts w:ascii="Palatino Linotype" w:eastAsia="Calibri" w:hAnsi="Palatino Linotype" w:cs="Arial"/>
          <w:sz w:val="28"/>
          <w:szCs w:val="28"/>
          <w:lang w:val="es-ES_tradnl"/>
        </w:rPr>
      </w:pPr>
    </w:p>
    <w:p w14:paraId="0802DD83" w14:textId="5ED6B275" w:rsidR="00664D8D" w:rsidRPr="00BA1F6B" w:rsidRDefault="00664D8D" w:rsidP="00664D8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BA1F6B">
        <w:rPr>
          <w:rFonts w:ascii="Palatino Linotype" w:eastAsia="Palatino Linotype" w:hAnsi="Palatino Linotype" w:cs="Palatino Linotype"/>
          <w:b/>
          <w:bCs/>
          <w:color w:val="000000"/>
          <w:sz w:val="28"/>
          <w:lang w:val="es-ES_tradnl" w:eastAsia="es-MX"/>
        </w:rPr>
        <w:t>PRIMERO</w:t>
      </w:r>
      <w:r w:rsidRPr="00BA1F6B">
        <w:rPr>
          <w:rFonts w:ascii="Palatino Linotype" w:eastAsia="Palatino Linotype" w:hAnsi="Palatino Linotype" w:cs="Palatino Linotype"/>
          <w:b/>
          <w:bCs/>
          <w:color w:val="000000"/>
          <w:sz w:val="24"/>
          <w:lang w:val="es-ES_tradnl" w:eastAsia="es-MX"/>
        </w:rPr>
        <w:t xml:space="preserve">. </w:t>
      </w:r>
      <w:r w:rsidRPr="00BA1F6B">
        <w:rPr>
          <w:rFonts w:ascii="Palatino Linotype" w:eastAsia="Palatino Linotype" w:hAnsi="Palatino Linotype" w:cs="Palatino Linotype"/>
          <w:color w:val="000000"/>
          <w:sz w:val="24"/>
          <w:lang w:val="es-ES_tradnl" w:eastAsia="es-MX"/>
        </w:rPr>
        <w:t xml:space="preserve">Se </w:t>
      </w:r>
      <w:r w:rsidRPr="00BA1F6B">
        <w:rPr>
          <w:rFonts w:ascii="Palatino Linotype" w:eastAsia="Palatino Linotype" w:hAnsi="Palatino Linotype" w:cs="Palatino Linotype"/>
          <w:b/>
          <w:bCs/>
          <w:color w:val="000000"/>
          <w:sz w:val="24"/>
          <w:lang w:val="es-ES_tradnl" w:eastAsia="es-MX"/>
        </w:rPr>
        <w:t>CONFIRMA</w:t>
      </w:r>
      <w:r w:rsidRPr="00BA1F6B">
        <w:rPr>
          <w:rFonts w:ascii="Palatino Linotype" w:eastAsia="Palatino Linotype" w:hAnsi="Palatino Linotype" w:cs="Palatino Linotype"/>
          <w:color w:val="000000"/>
          <w:sz w:val="24"/>
          <w:lang w:val="es-ES_tradnl" w:eastAsia="es-MX"/>
        </w:rPr>
        <w:t xml:space="preserve"> la respuesta del Sujeto Obligado</w:t>
      </w:r>
      <w:r w:rsidRPr="00BA1F6B">
        <w:rPr>
          <w:rFonts w:ascii="Palatino Linotype" w:eastAsia="Palatino Linotype" w:hAnsi="Palatino Linotype" w:cs="Palatino Linotype"/>
          <w:b/>
          <w:bCs/>
          <w:color w:val="000000"/>
          <w:sz w:val="24"/>
          <w:lang w:val="es-ES_tradnl" w:eastAsia="es-MX"/>
        </w:rPr>
        <w:t xml:space="preserve"> </w:t>
      </w:r>
      <w:r w:rsidRPr="00BA1F6B">
        <w:rPr>
          <w:rFonts w:ascii="Palatino Linotype" w:eastAsia="Palatino Linotype" w:hAnsi="Palatino Linotype" w:cs="Palatino Linotype"/>
          <w:color w:val="000000"/>
          <w:sz w:val="24"/>
          <w:lang w:val="es-ES_tradnl" w:eastAsia="es-MX"/>
        </w:rPr>
        <w:t xml:space="preserve">a la solicitud de información </w:t>
      </w:r>
      <w:r w:rsidR="006D5161" w:rsidRPr="00BA1F6B">
        <w:rPr>
          <w:rFonts w:ascii="Palatino Linotype" w:eastAsia="Palatino Linotype" w:hAnsi="Palatino Linotype" w:cs="Palatino Linotype"/>
          <w:b/>
          <w:bCs/>
          <w:color w:val="000000"/>
          <w:sz w:val="24"/>
          <w:lang w:eastAsia="es-MX"/>
        </w:rPr>
        <w:t>00176/HUIXQUIL/IP/2025</w:t>
      </w:r>
      <w:r w:rsidRPr="00BA1F6B">
        <w:rPr>
          <w:rFonts w:ascii="Palatino Linotype" w:eastAsia="Palatino Linotype" w:hAnsi="Palatino Linotype" w:cs="Palatino Linotype"/>
          <w:color w:val="000000"/>
          <w:sz w:val="24"/>
          <w:lang w:val="es-ES_tradnl" w:eastAsia="es-MX"/>
        </w:rPr>
        <w:t>,</w:t>
      </w:r>
      <w:r w:rsidRPr="00BA1F6B">
        <w:rPr>
          <w:rFonts w:ascii="Palatino Linotype" w:eastAsia="Palatino Linotype" w:hAnsi="Palatino Linotype" w:cs="Palatino Linotype"/>
          <w:b/>
          <w:bCs/>
          <w:color w:val="000000"/>
          <w:sz w:val="24"/>
          <w:lang w:val="es-ES_tradnl" w:eastAsia="es-MX"/>
        </w:rPr>
        <w:t xml:space="preserve"> </w:t>
      </w:r>
      <w:r w:rsidRPr="00BA1F6B">
        <w:rPr>
          <w:rFonts w:ascii="Palatino Linotype" w:eastAsia="Palatino Linotype" w:hAnsi="Palatino Linotype" w:cs="Palatino Linotype"/>
          <w:color w:val="000000"/>
          <w:sz w:val="24"/>
          <w:lang w:val="es-ES_tradnl" w:eastAsia="es-MX"/>
        </w:rPr>
        <w:t xml:space="preserve">por resultar infundadas las razones o motivos de inconformidad hechos valer por el Recurrente, en términos del Considerando </w:t>
      </w:r>
      <w:r w:rsidRPr="00BA1F6B">
        <w:rPr>
          <w:rFonts w:ascii="Palatino Linotype" w:eastAsia="Palatino Linotype" w:hAnsi="Palatino Linotype" w:cs="Palatino Linotype"/>
          <w:b/>
          <w:bCs/>
          <w:color w:val="000000"/>
          <w:sz w:val="24"/>
          <w:lang w:val="es-ES_tradnl" w:eastAsia="es-MX"/>
        </w:rPr>
        <w:t xml:space="preserve">QUINTO </w:t>
      </w:r>
      <w:r w:rsidRPr="00BA1F6B">
        <w:rPr>
          <w:rFonts w:ascii="Palatino Linotype" w:eastAsia="Palatino Linotype" w:hAnsi="Palatino Linotype" w:cs="Palatino Linotype"/>
          <w:color w:val="000000"/>
          <w:sz w:val="24"/>
          <w:lang w:val="es-ES_tradnl" w:eastAsia="es-MX"/>
        </w:rPr>
        <w:t>de esta resolución.</w:t>
      </w:r>
    </w:p>
    <w:p w14:paraId="70F89D3D" w14:textId="77777777" w:rsidR="00664D8D" w:rsidRPr="00BA1F6B" w:rsidRDefault="00664D8D" w:rsidP="00664D8D">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eastAsia="es-MX"/>
        </w:rPr>
      </w:pPr>
    </w:p>
    <w:p w14:paraId="0CB52546" w14:textId="77777777" w:rsidR="00664D8D" w:rsidRPr="00BA1F6B" w:rsidRDefault="00664D8D" w:rsidP="00664D8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BA1F6B">
        <w:rPr>
          <w:rFonts w:ascii="Palatino Linotype" w:eastAsia="Palatino Linotype" w:hAnsi="Palatino Linotype" w:cs="Palatino Linotype"/>
          <w:b/>
          <w:color w:val="000000"/>
          <w:sz w:val="28"/>
          <w:szCs w:val="24"/>
          <w:lang w:val="es-ES_tradnl" w:eastAsia="es-MX"/>
        </w:rPr>
        <w:t>SEGUNDO.</w:t>
      </w:r>
      <w:r w:rsidRPr="00BA1F6B">
        <w:rPr>
          <w:rFonts w:ascii="Palatino Linotype" w:eastAsia="Palatino Linotype" w:hAnsi="Palatino Linotype" w:cs="Palatino Linotype"/>
          <w:color w:val="000000"/>
          <w:sz w:val="28"/>
          <w:szCs w:val="24"/>
          <w:lang w:val="es-ES_tradnl" w:eastAsia="es-MX"/>
        </w:rPr>
        <w:t xml:space="preserve"> </w:t>
      </w:r>
      <w:r w:rsidRPr="00BA1F6B">
        <w:rPr>
          <w:rFonts w:ascii="Palatino Linotype" w:eastAsia="Palatino Linotype" w:hAnsi="Palatino Linotype" w:cs="Palatino Linotype"/>
          <w:b/>
          <w:color w:val="000000"/>
          <w:sz w:val="24"/>
          <w:szCs w:val="24"/>
          <w:lang w:val="es-ES_tradnl" w:eastAsia="es-MX"/>
        </w:rPr>
        <w:t>Notifíquese</w:t>
      </w:r>
      <w:r w:rsidRPr="00BA1F6B">
        <w:rPr>
          <w:rFonts w:ascii="Palatino Linotype" w:eastAsia="Palatino Linotype" w:hAnsi="Palatino Linotype" w:cs="Palatino Linotype"/>
          <w:color w:val="000000"/>
          <w:sz w:val="24"/>
          <w:szCs w:val="24"/>
          <w:lang w:val="es-ES_tradnl" w:eastAsia="es-MX"/>
        </w:rPr>
        <w:t xml:space="preserve"> la presente resolución </w:t>
      </w:r>
      <w:r w:rsidRPr="00BA1F6B">
        <w:rPr>
          <w:rFonts w:ascii="Palatino Linotype" w:eastAsia="Palatino Linotype" w:hAnsi="Palatino Linotype" w:cs="Palatino Linotype"/>
          <w:sz w:val="24"/>
          <w:szCs w:val="24"/>
          <w:lang w:val="es-ES_tradnl" w:eastAsia="es-MX"/>
        </w:rPr>
        <w:t>mediante el Sistema de Acceso a la Información Mexiquense</w:t>
      </w:r>
      <w:r w:rsidRPr="00BA1F6B">
        <w:rPr>
          <w:rFonts w:ascii="Palatino Linotype" w:eastAsia="Palatino Linotype" w:hAnsi="Palatino Linotype" w:cs="Palatino Linotype"/>
          <w:color w:val="000000"/>
          <w:sz w:val="24"/>
          <w:szCs w:val="24"/>
          <w:lang w:val="es-ES_tradnl" w:eastAsia="es-MX"/>
        </w:rPr>
        <w:t xml:space="preserve"> (SAIMEX) al Titular de la Unidad de Transparencia del Sujeto Obligado.</w:t>
      </w:r>
    </w:p>
    <w:p w14:paraId="1C63A880" w14:textId="77777777" w:rsidR="00664D8D" w:rsidRPr="00BA1F6B" w:rsidRDefault="00664D8D" w:rsidP="00664D8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6440793" w14:textId="77777777" w:rsidR="00664D8D" w:rsidRPr="00BA1F6B" w:rsidRDefault="00664D8D" w:rsidP="00664D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BA1F6B">
        <w:rPr>
          <w:rFonts w:ascii="Palatino Linotype" w:eastAsia="Palatino Linotype" w:hAnsi="Palatino Linotype" w:cs="Palatino Linotype"/>
          <w:b/>
          <w:color w:val="000000"/>
          <w:sz w:val="28"/>
          <w:szCs w:val="24"/>
          <w:lang w:eastAsia="es-MX"/>
        </w:rPr>
        <w:t>TERCERO.</w:t>
      </w:r>
      <w:r w:rsidRPr="00BA1F6B">
        <w:rPr>
          <w:rFonts w:ascii="Palatino Linotype" w:eastAsia="Palatino Linotype" w:hAnsi="Palatino Linotype" w:cs="Palatino Linotype"/>
          <w:color w:val="000000"/>
          <w:sz w:val="28"/>
          <w:szCs w:val="24"/>
          <w:lang w:eastAsia="es-MX"/>
        </w:rPr>
        <w:t xml:space="preserve"> </w:t>
      </w:r>
      <w:r w:rsidRPr="00BA1F6B">
        <w:rPr>
          <w:rFonts w:ascii="Palatino Linotype" w:eastAsia="Palatino Linotype" w:hAnsi="Palatino Linotype" w:cs="Palatino Linotype"/>
          <w:b/>
          <w:color w:val="000000"/>
          <w:sz w:val="24"/>
          <w:szCs w:val="24"/>
          <w:lang w:eastAsia="es-MX"/>
        </w:rPr>
        <w:t>Notifíquese</w:t>
      </w:r>
      <w:r w:rsidRPr="00BA1F6B">
        <w:rPr>
          <w:rFonts w:ascii="Palatino Linotype" w:eastAsia="Palatino Linotype" w:hAnsi="Palatino Linotype" w:cs="Palatino Linotype"/>
          <w:color w:val="000000"/>
          <w:sz w:val="24"/>
          <w:szCs w:val="24"/>
          <w:lang w:eastAsia="es-MX"/>
        </w:rPr>
        <w:t xml:space="preserve"> al Recurrente</w:t>
      </w:r>
      <w:r w:rsidRPr="00BA1F6B">
        <w:rPr>
          <w:rFonts w:ascii="Palatino Linotype" w:eastAsia="Palatino Linotype" w:hAnsi="Palatino Linotype" w:cs="Palatino Linotype"/>
          <w:b/>
          <w:color w:val="000000"/>
          <w:sz w:val="24"/>
          <w:szCs w:val="24"/>
          <w:lang w:eastAsia="es-MX"/>
        </w:rPr>
        <w:t xml:space="preserve"> </w:t>
      </w:r>
      <w:r w:rsidRPr="00BA1F6B">
        <w:rPr>
          <w:rFonts w:ascii="Palatino Linotype" w:eastAsia="Palatino Linotype" w:hAnsi="Palatino Linotype" w:cs="Palatino Linotype"/>
          <w:color w:val="000000"/>
          <w:sz w:val="24"/>
          <w:szCs w:val="24"/>
          <w:lang w:eastAsia="es-MX"/>
        </w:rPr>
        <w:t>la presente resolución vía S</w:t>
      </w:r>
      <w:r w:rsidRPr="00BA1F6B">
        <w:rPr>
          <w:rFonts w:ascii="Palatino Linotype" w:eastAsia="Palatino Linotype" w:hAnsi="Palatino Linotype" w:cs="Palatino Linotype"/>
          <w:sz w:val="24"/>
          <w:szCs w:val="24"/>
          <w:lang w:eastAsia="es-MX"/>
        </w:rPr>
        <w:t>istema de Acceso a la Información Mexiquense</w:t>
      </w:r>
      <w:r w:rsidRPr="00BA1F6B">
        <w:rPr>
          <w:rFonts w:ascii="Palatino Linotype" w:eastAsia="Palatino Linotype" w:hAnsi="Palatino Linotype" w:cs="Palatino Linotype"/>
          <w:color w:val="000000"/>
          <w:sz w:val="24"/>
          <w:szCs w:val="24"/>
          <w:lang w:eastAsia="es-MX"/>
        </w:rPr>
        <w:t xml:space="preserve"> (SAIMEX) y hágase de su conocimiento que en caso de que </w:t>
      </w:r>
      <w:r w:rsidRPr="00BA1F6B">
        <w:rPr>
          <w:rFonts w:ascii="Palatino Linotype" w:eastAsia="Palatino Linotype" w:hAnsi="Palatino Linotype" w:cs="Palatino Linotype"/>
          <w:color w:val="000000"/>
          <w:sz w:val="24"/>
          <w:szCs w:val="24"/>
          <w:lang w:eastAsia="es-MX"/>
        </w:rPr>
        <w:lastRenderedPageBreak/>
        <w:t>considere que le causa algún perjuicio, podrá promover el Juicio de Amparo en los términos de las leyes aplicables, conforme al artículo 196 de la Ley de Transparencia y Acceso a la Información Pública del Estado de México y Municipios.</w:t>
      </w:r>
    </w:p>
    <w:p w14:paraId="4DE531CF" w14:textId="77777777" w:rsidR="00664D8D" w:rsidRPr="00BA1F6B" w:rsidRDefault="00664D8D" w:rsidP="005C2A3E">
      <w:pPr>
        <w:spacing w:after="0" w:line="360" w:lineRule="auto"/>
        <w:jc w:val="both"/>
        <w:rPr>
          <w:rFonts w:ascii="Palatino Linotype" w:hAnsi="Palatino Linotype"/>
          <w:sz w:val="24"/>
          <w:szCs w:val="24"/>
        </w:rPr>
      </w:pPr>
    </w:p>
    <w:p w14:paraId="5F971D81" w14:textId="32B1C6BA" w:rsidR="000D134C" w:rsidRPr="00BA1F6B" w:rsidRDefault="00BA1F6B" w:rsidP="00432E3D">
      <w:pPr>
        <w:spacing w:after="0" w:line="360" w:lineRule="auto"/>
        <w:jc w:val="both"/>
        <w:rPr>
          <w:rFonts w:ascii="Palatino Linotype" w:eastAsia="Times New Roman" w:hAnsi="Palatino Linotype" w:cs="Arial"/>
          <w:sz w:val="20"/>
          <w:lang w:val="es-ES_tradnl" w:eastAsia="es-MX"/>
        </w:rPr>
      </w:pPr>
      <w:r w:rsidRPr="00BA1F6B">
        <w:rPr>
          <w:rFonts w:ascii="Palatino Linotype" w:eastAsia="Times New Roman" w:hAnsi="Palatino Linotype" w:cs="Arial"/>
          <w:sz w:val="24"/>
          <w:szCs w:val="24"/>
          <w:lang w:val="es-ES_tradnl"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DE ABRIL DE DOS MIL VEINTISÉIS, ANTE EL SECRETARIO TÉCNICO, ALEXIS TAPIA RAMÍREZ</w:t>
      </w:r>
      <w:r w:rsidR="00242265" w:rsidRPr="00BA1F6B">
        <w:rPr>
          <w:rFonts w:ascii="Palatino Linotype" w:eastAsia="Times New Roman" w:hAnsi="Palatino Linotype" w:cs="Arial"/>
          <w:sz w:val="24"/>
          <w:szCs w:val="24"/>
          <w:lang w:val="es-ES_tradnl" w:eastAsia="es-MX"/>
        </w:rPr>
        <w:t>.</w:t>
      </w:r>
      <w:r w:rsidR="000D134C" w:rsidRPr="00BA1F6B">
        <w:rPr>
          <w:rFonts w:ascii="Palatino Linotype" w:eastAsia="Times New Roman" w:hAnsi="Palatino Linotype" w:cs="Arial"/>
          <w:sz w:val="24"/>
          <w:szCs w:val="24"/>
          <w:lang w:val="es-ES_tradnl" w:eastAsia="es-MX"/>
        </w:rPr>
        <w:t>---------------------------------------------------------------------------------------------------------------------------------------------------------------------------------------------------------------------------</w:t>
      </w:r>
      <w:r w:rsidR="00242265" w:rsidRPr="00BA1F6B">
        <w:rPr>
          <w:rFonts w:ascii="Palatino Linotype" w:eastAsia="Times New Roman" w:hAnsi="Palatino Linotype" w:cs="Arial"/>
          <w:sz w:val="24"/>
          <w:szCs w:val="24"/>
          <w:lang w:val="es-ES_tradnl" w:eastAsia="es-MX"/>
        </w:rPr>
        <w:t xml:space="preserve"> ---------------------------------------</w:t>
      </w:r>
      <w:r w:rsidR="00242265" w:rsidRPr="00BA1F6B">
        <w:rPr>
          <w:rFonts w:ascii="Palatino Linotype" w:hAnsi="Palatino Linotype" w:cs="Arial"/>
          <w:sz w:val="24"/>
          <w:szCs w:val="24"/>
        </w:rPr>
        <w:t>------------------------------------------------------------------------------</w:t>
      </w:r>
      <w:r w:rsidR="00242265" w:rsidRPr="00BA1F6B">
        <w:rPr>
          <w:rFonts w:ascii="Palatino Linotype" w:eastAsia="Times New Roman" w:hAnsi="Palatino Linotype" w:cs="Arial"/>
          <w:sz w:val="24"/>
          <w:szCs w:val="24"/>
          <w:lang w:val="es-ES_tradnl" w:eastAsia="es-MX"/>
        </w:rPr>
        <w:t>---------------------------------------</w:t>
      </w:r>
      <w:r w:rsidR="00242265" w:rsidRPr="00BA1F6B">
        <w:rPr>
          <w:rFonts w:ascii="Palatino Linotype" w:hAnsi="Palatino Linotype" w:cs="Arial"/>
          <w:sz w:val="24"/>
          <w:szCs w:val="24"/>
        </w:rPr>
        <w:t>------------------------------------------------------------------------------</w:t>
      </w:r>
      <w:r w:rsidR="00242265" w:rsidRPr="00BA1F6B">
        <w:rPr>
          <w:rFonts w:ascii="Palatino Linotype" w:eastAsia="Times New Roman" w:hAnsi="Palatino Linotype" w:cs="Arial"/>
          <w:sz w:val="24"/>
          <w:szCs w:val="24"/>
          <w:lang w:val="es-ES_tradnl" w:eastAsia="es-MX"/>
        </w:rPr>
        <w:t>---------------------------------------</w:t>
      </w:r>
      <w:r w:rsidR="00242265" w:rsidRPr="00BA1F6B">
        <w:rPr>
          <w:rFonts w:ascii="Palatino Linotype" w:hAnsi="Palatino Linotype" w:cs="Arial"/>
          <w:sz w:val="24"/>
          <w:szCs w:val="24"/>
        </w:rPr>
        <w:t>------------------------------------------------------------------------------</w:t>
      </w:r>
      <w:r w:rsidR="00242265" w:rsidRPr="00BA1F6B">
        <w:rPr>
          <w:rFonts w:ascii="Palatino Linotype" w:eastAsia="Times New Roman" w:hAnsi="Palatino Linotype" w:cs="Arial"/>
          <w:sz w:val="24"/>
          <w:szCs w:val="24"/>
          <w:lang w:val="es-ES_tradnl" w:eastAsia="es-MX"/>
        </w:rPr>
        <w:t>---------------------------------------</w:t>
      </w:r>
      <w:r w:rsidR="00242265" w:rsidRPr="00BA1F6B">
        <w:rPr>
          <w:rFonts w:ascii="Palatino Linotype" w:hAnsi="Palatino Linotype" w:cs="Arial"/>
          <w:sz w:val="24"/>
          <w:szCs w:val="24"/>
        </w:rPr>
        <w:t>------------------------------------------------------------------------------</w:t>
      </w:r>
      <w:r w:rsidR="00242265" w:rsidRPr="00BA1F6B">
        <w:rPr>
          <w:rFonts w:ascii="Palatino Linotype" w:eastAsia="Times New Roman" w:hAnsi="Palatino Linotype" w:cs="Arial"/>
          <w:sz w:val="24"/>
          <w:szCs w:val="24"/>
          <w:lang w:val="es-ES_tradnl" w:eastAsia="es-MX"/>
        </w:rPr>
        <w:t>---------------------------------------</w:t>
      </w:r>
      <w:r w:rsidR="00242265" w:rsidRPr="00BA1F6B">
        <w:rPr>
          <w:rFonts w:ascii="Palatino Linotype" w:hAnsi="Palatino Linotype" w:cs="Arial"/>
          <w:sz w:val="24"/>
          <w:szCs w:val="24"/>
        </w:rPr>
        <w:t>------------------------------------------------------------------------------</w:t>
      </w:r>
      <w:r w:rsidR="00242265" w:rsidRPr="00BA1F6B">
        <w:rPr>
          <w:rFonts w:ascii="Palatino Linotype" w:eastAsia="Times New Roman" w:hAnsi="Palatino Linotype" w:cs="Arial"/>
          <w:sz w:val="24"/>
          <w:szCs w:val="24"/>
          <w:lang w:val="es-ES_tradnl" w:eastAsia="es-MX"/>
        </w:rPr>
        <w:t>---------------------------------------</w:t>
      </w:r>
      <w:r w:rsidR="00242265" w:rsidRPr="00BA1F6B">
        <w:rPr>
          <w:rFonts w:ascii="Palatino Linotype" w:hAnsi="Palatino Linotype" w:cs="Arial"/>
          <w:sz w:val="24"/>
          <w:szCs w:val="24"/>
        </w:rPr>
        <w:t>------------------------------------------------------------------------------</w:t>
      </w:r>
      <w:r w:rsidR="00242265" w:rsidRPr="00BA1F6B">
        <w:rPr>
          <w:rFonts w:ascii="Palatino Linotype" w:eastAsia="Times New Roman" w:hAnsi="Palatino Linotype" w:cs="Arial"/>
          <w:sz w:val="24"/>
          <w:szCs w:val="24"/>
          <w:lang w:val="es-ES_tradnl" w:eastAsia="es-MX"/>
        </w:rPr>
        <w:t>---------------------------------------</w:t>
      </w:r>
      <w:r w:rsidR="00242265" w:rsidRPr="00BA1F6B">
        <w:rPr>
          <w:rFonts w:ascii="Palatino Linotype" w:hAnsi="Palatino Linotype" w:cs="Arial"/>
          <w:sz w:val="24"/>
          <w:szCs w:val="24"/>
        </w:rPr>
        <w:t>------------------------------------------------------------------------------</w:t>
      </w:r>
      <w:r w:rsidR="00242265" w:rsidRPr="00BA1F6B">
        <w:rPr>
          <w:rFonts w:ascii="Palatino Linotype" w:eastAsia="Times New Roman" w:hAnsi="Palatino Linotype" w:cs="Arial"/>
          <w:sz w:val="24"/>
          <w:szCs w:val="24"/>
          <w:lang w:val="es-ES_tradnl" w:eastAsia="es-MX"/>
        </w:rPr>
        <w:t>---------------------------------------</w:t>
      </w:r>
      <w:r w:rsidR="00242265" w:rsidRPr="00BA1F6B">
        <w:rPr>
          <w:rFonts w:ascii="Palatino Linotype" w:hAnsi="Palatino Linotype" w:cs="Arial"/>
          <w:sz w:val="24"/>
          <w:szCs w:val="24"/>
        </w:rPr>
        <w:t>------------------------------------------------------------------------------</w:t>
      </w:r>
      <w:r w:rsidR="00DE7B65" w:rsidRPr="00BA1F6B">
        <w:rPr>
          <w:rFonts w:ascii="Palatino Linotype" w:hAnsi="Palatino Linotype" w:cs="Arial"/>
          <w:sz w:val="24"/>
          <w:szCs w:val="24"/>
        </w:rPr>
        <w:t>-----------------------------------------</w:t>
      </w:r>
    </w:p>
    <w:p w14:paraId="4353D1ED" w14:textId="74C7FF90"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r w:rsidRPr="00BA1F6B">
        <w:rPr>
          <w:rFonts w:ascii="Palatino Linotype" w:eastAsia="Times New Roman" w:hAnsi="Palatino Linotype" w:cs="Arial"/>
          <w:sz w:val="20"/>
          <w:lang w:val="es-ES_tradnl" w:eastAsia="es-MX"/>
        </w:rPr>
        <w:t>JMV</w:t>
      </w:r>
      <w:r w:rsidR="00432E3D" w:rsidRPr="00BA1F6B">
        <w:rPr>
          <w:rFonts w:ascii="Palatino Linotype" w:eastAsia="Times New Roman" w:hAnsi="Palatino Linotype" w:cs="Arial"/>
          <w:sz w:val="20"/>
          <w:lang w:val="es-ES_tradnl" w:eastAsia="es-MX"/>
        </w:rPr>
        <w:t>/CCR/</w:t>
      </w:r>
      <w:r w:rsidR="009945E0" w:rsidRPr="00BA1F6B">
        <w:rPr>
          <w:rFonts w:ascii="Palatino Linotype" w:eastAsia="Times New Roman" w:hAnsi="Palatino Linotype" w:cs="Arial"/>
          <w:sz w:val="20"/>
          <w:lang w:val="es-ES_tradnl" w:eastAsia="es-MX"/>
        </w:rPr>
        <w:t>ikdf</w:t>
      </w:r>
    </w:p>
    <w:p w14:paraId="01A958CD"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58C072EF"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6A061915"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6FD3344"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AA47C1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33A382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B89254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681153"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E6D72CB"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D9C730"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8BB566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5EF7335"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E238966"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45B0364"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129DFE8E"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523B3E4A" w14:textId="77777777" w:rsidR="000D134C" w:rsidRDefault="000D134C" w:rsidP="005C2A3E">
      <w:pPr>
        <w:spacing w:after="0" w:line="360" w:lineRule="auto"/>
      </w:pPr>
    </w:p>
    <w:p w14:paraId="45D17945" w14:textId="77777777" w:rsidR="000D134C" w:rsidRDefault="000D134C" w:rsidP="005C2A3E">
      <w:pPr>
        <w:spacing w:after="0" w:line="360" w:lineRule="auto"/>
      </w:pPr>
    </w:p>
    <w:p w14:paraId="1026247C" w14:textId="77777777" w:rsidR="000D134C" w:rsidRDefault="000D134C" w:rsidP="005C2A3E">
      <w:pPr>
        <w:spacing w:after="0" w:line="360" w:lineRule="auto"/>
      </w:pPr>
    </w:p>
    <w:p w14:paraId="2252696A" w14:textId="77777777" w:rsidR="000D134C" w:rsidRDefault="000D134C" w:rsidP="005C2A3E">
      <w:pPr>
        <w:spacing w:after="0" w:line="360" w:lineRule="auto"/>
      </w:pPr>
    </w:p>
    <w:p w14:paraId="4EA2BC1B" w14:textId="77777777" w:rsidR="000D134C" w:rsidRDefault="000D134C" w:rsidP="005C2A3E">
      <w:pPr>
        <w:spacing w:after="0" w:line="360" w:lineRule="auto"/>
      </w:pPr>
    </w:p>
    <w:p w14:paraId="54174547" w14:textId="77777777" w:rsidR="000D134C" w:rsidRDefault="000D134C" w:rsidP="005C2A3E">
      <w:pPr>
        <w:spacing w:after="0"/>
      </w:pPr>
    </w:p>
    <w:p w14:paraId="1BC99D18" w14:textId="77777777" w:rsidR="000D134C" w:rsidRDefault="000D134C" w:rsidP="005C2A3E">
      <w:pPr>
        <w:spacing w:after="0"/>
      </w:pPr>
    </w:p>
    <w:p w14:paraId="209C7591" w14:textId="77777777" w:rsidR="000D134C" w:rsidRDefault="000D134C" w:rsidP="005C2A3E">
      <w:pPr>
        <w:spacing w:after="0"/>
      </w:pPr>
    </w:p>
    <w:p w14:paraId="2D56F8F8" w14:textId="77777777" w:rsidR="00F27565" w:rsidRDefault="00F27565" w:rsidP="005C2A3E">
      <w:pPr>
        <w:spacing w:after="0"/>
      </w:pPr>
    </w:p>
    <w:sectPr w:rsidR="00F27565" w:rsidSect="0027169F">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96B70" w14:textId="77777777" w:rsidR="00B20E90" w:rsidRDefault="00B20E90" w:rsidP="000D134C">
      <w:pPr>
        <w:spacing w:after="0" w:line="240" w:lineRule="auto"/>
      </w:pPr>
      <w:r>
        <w:separator/>
      </w:r>
    </w:p>
  </w:endnote>
  <w:endnote w:type="continuationSeparator" w:id="0">
    <w:p w14:paraId="756209D7" w14:textId="77777777" w:rsidR="00B20E90" w:rsidRDefault="00B20E90" w:rsidP="000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70A2" w14:textId="387BD767" w:rsidR="006A0A55" w:rsidRPr="00871A91" w:rsidRDefault="006A0A55"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051E3">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051E3">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E2A3" w14:textId="311BB8D1" w:rsidR="006A0A55" w:rsidRPr="00871A91" w:rsidRDefault="006A0A55"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051E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051E3">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67E5A" w14:textId="77777777" w:rsidR="00B20E90" w:rsidRDefault="00B20E90" w:rsidP="000D134C">
      <w:pPr>
        <w:spacing w:after="0" w:line="240" w:lineRule="auto"/>
      </w:pPr>
      <w:r>
        <w:separator/>
      </w:r>
    </w:p>
  </w:footnote>
  <w:footnote w:type="continuationSeparator" w:id="0">
    <w:p w14:paraId="23BD0B31" w14:textId="77777777" w:rsidR="00B20E90" w:rsidRDefault="00B20E90" w:rsidP="000D134C">
      <w:pPr>
        <w:spacing w:after="0" w:line="240" w:lineRule="auto"/>
      </w:pPr>
      <w:r>
        <w:continuationSeparator/>
      </w:r>
    </w:p>
  </w:footnote>
  <w:footnote w:id="1">
    <w:p w14:paraId="05C9BBE6" w14:textId="77777777" w:rsidR="006A0A55" w:rsidRPr="0031280C" w:rsidRDefault="006A0A55" w:rsidP="000D134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73A177C" w14:textId="77777777" w:rsidR="006A0A55" w:rsidRPr="0031280C" w:rsidRDefault="006A0A55" w:rsidP="000D134C">
      <w:pPr>
        <w:rPr>
          <w:rFonts w:cs="Palatino Linotype"/>
          <w:color w:val="000000"/>
          <w:sz w:val="20"/>
          <w:szCs w:val="20"/>
        </w:rPr>
      </w:pPr>
    </w:p>
    <w:p w14:paraId="7AA3BAF9" w14:textId="77777777" w:rsidR="006A0A55" w:rsidRPr="0031280C" w:rsidRDefault="006A0A55" w:rsidP="000D134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648D4DF" w14:textId="77777777" w:rsidR="006A0A55" w:rsidRPr="00783A97" w:rsidRDefault="006A0A55" w:rsidP="000D134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68555A" w14:textId="77777777" w:rsidR="006A0A55" w:rsidRDefault="006A0A55" w:rsidP="000D13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5559" w14:textId="77777777" w:rsidR="006A0A55" w:rsidRDefault="00B20E90">
    <w:pPr>
      <w:pStyle w:val="Encabezado"/>
    </w:pPr>
    <w:r>
      <w:rPr>
        <w:noProof/>
        <w:lang w:val="es-MX" w:eastAsia="es-MX"/>
      </w:rPr>
      <w:pict w14:anchorId="5BA2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A0A55" w:rsidRPr="00B17577" w14:paraId="58CB8F55" w14:textId="77777777" w:rsidTr="0027169F">
      <w:trPr>
        <w:trHeight w:val="237"/>
      </w:trPr>
      <w:tc>
        <w:tcPr>
          <w:tcW w:w="5180" w:type="dxa"/>
          <w:hideMark/>
        </w:tcPr>
        <w:p w14:paraId="2701CCC2" w14:textId="77777777" w:rsidR="006A0A55" w:rsidRPr="00F70BDE" w:rsidRDefault="006A0A55"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B18FDC1" w14:textId="578E724A" w:rsidR="006A0A55" w:rsidRPr="00F70BDE" w:rsidRDefault="00B50740" w:rsidP="0092771D">
          <w:pPr>
            <w:spacing w:after="120" w:line="240" w:lineRule="auto"/>
            <w:ind w:right="71"/>
            <w:jc w:val="right"/>
            <w:rPr>
              <w:rFonts w:ascii="Palatino Linotype" w:hAnsi="Palatino Linotype" w:cs="Arial"/>
              <w:b/>
              <w:sz w:val="24"/>
              <w:szCs w:val="24"/>
            </w:rPr>
          </w:pPr>
          <w:r w:rsidRPr="00B50740">
            <w:rPr>
              <w:rFonts w:ascii="Palatino Linotype" w:hAnsi="Palatino Linotype" w:cs="Arial"/>
              <w:b/>
              <w:bCs/>
              <w:sz w:val="24"/>
              <w:szCs w:val="24"/>
            </w:rPr>
            <w:t>0</w:t>
          </w:r>
          <w:r w:rsidR="001C6F6C">
            <w:rPr>
              <w:rFonts w:ascii="Palatino Linotype" w:hAnsi="Palatino Linotype" w:cs="Arial"/>
              <w:b/>
              <w:bCs/>
              <w:sz w:val="24"/>
              <w:szCs w:val="24"/>
            </w:rPr>
            <w:t>14445</w:t>
          </w:r>
          <w:r w:rsidRPr="00B50740">
            <w:rPr>
              <w:rFonts w:ascii="Palatino Linotype" w:hAnsi="Palatino Linotype" w:cs="Arial"/>
              <w:b/>
              <w:bCs/>
              <w:sz w:val="24"/>
              <w:szCs w:val="24"/>
            </w:rPr>
            <w:t>/INFOEM/IP/RR/202</w:t>
          </w:r>
          <w:r w:rsidR="001C6F6C">
            <w:rPr>
              <w:rFonts w:ascii="Palatino Linotype" w:hAnsi="Palatino Linotype" w:cs="Arial"/>
              <w:b/>
              <w:bCs/>
              <w:sz w:val="24"/>
              <w:szCs w:val="24"/>
            </w:rPr>
            <w:t>5</w:t>
          </w:r>
        </w:p>
      </w:tc>
    </w:tr>
    <w:tr w:rsidR="006A0A55" w14:paraId="662610CC" w14:textId="77777777" w:rsidTr="0027169F">
      <w:trPr>
        <w:trHeight w:val="252"/>
      </w:trPr>
      <w:tc>
        <w:tcPr>
          <w:tcW w:w="5180" w:type="dxa"/>
          <w:hideMark/>
        </w:tcPr>
        <w:p w14:paraId="14468EE4" w14:textId="77777777" w:rsidR="006A0A55" w:rsidRPr="00F70BDE" w:rsidRDefault="006A0A55"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1E48097" w14:textId="08346FAA" w:rsidR="006A0A55" w:rsidRPr="00F70BDE" w:rsidRDefault="001C6F6C" w:rsidP="0027169F">
          <w:pPr>
            <w:spacing w:after="120" w:line="240" w:lineRule="auto"/>
            <w:ind w:left="-81" w:right="71"/>
            <w:jc w:val="right"/>
            <w:rPr>
              <w:rFonts w:ascii="Palatino Linotype" w:hAnsi="Palatino Linotype" w:cs="Arial"/>
              <w:sz w:val="24"/>
              <w:szCs w:val="24"/>
            </w:rPr>
          </w:pPr>
          <w:r w:rsidRPr="001C6F6C">
            <w:rPr>
              <w:rFonts w:ascii="Palatino Linotype" w:hAnsi="Palatino Linotype"/>
              <w:b/>
              <w:bCs/>
              <w:color w:val="000000"/>
              <w:sz w:val="24"/>
              <w:szCs w:val="24"/>
            </w:rPr>
            <w:t>Ayuntamiento de Huixquilucan</w:t>
          </w:r>
        </w:p>
      </w:tc>
    </w:tr>
    <w:tr w:rsidR="006A0A55" w:rsidRPr="00F63239" w14:paraId="56646647" w14:textId="77777777" w:rsidTr="0027169F">
      <w:trPr>
        <w:trHeight w:val="357"/>
      </w:trPr>
      <w:tc>
        <w:tcPr>
          <w:tcW w:w="5180" w:type="dxa"/>
          <w:hideMark/>
        </w:tcPr>
        <w:p w14:paraId="5D5F4A55" w14:textId="77777777" w:rsidR="006A0A55" w:rsidRPr="00F70BDE" w:rsidRDefault="006A0A55" w:rsidP="0027169F">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BB3921F" w14:textId="77777777" w:rsidR="006A0A55" w:rsidRPr="0092771D" w:rsidRDefault="006A0A55" w:rsidP="0027169F">
          <w:pPr>
            <w:spacing w:after="120" w:line="240" w:lineRule="auto"/>
            <w:ind w:left="-486" w:right="71"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p w14:paraId="22F970AD" w14:textId="77777777" w:rsidR="006A0A55" w:rsidRPr="00F70BDE" w:rsidRDefault="006A0A55" w:rsidP="0027169F">
          <w:pPr>
            <w:spacing w:after="120" w:line="240" w:lineRule="auto"/>
            <w:ind w:left="-486" w:right="71" w:firstLine="567"/>
            <w:jc w:val="right"/>
            <w:rPr>
              <w:rFonts w:ascii="Palatino Linotype" w:hAnsi="Palatino Linotype" w:cs="Arial"/>
              <w:sz w:val="24"/>
              <w:szCs w:val="24"/>
            </w:rPr>
          </w:pPr>
        </w:p>
      </w:tc>
    </w:tr>
  </w:tbl>
  <w:p w14:paraId="64B48BEE" w14:textId="77777777" w:rsidR="006A0A55" w:rsidRPr="00871A91" w:rsidRDefault="00B20E90">
    <w:pPr>
      <w:pStyle w:val="Encabezado"/>
      <w:rPr>
        <w:sz w:val="2"/>
      </w:rPr>
    </w:pPr>
    <w:r>
      <w:rPr>
        <w:noProof/>
        <w:lang w:val="es-MX" w:eastAsia="es-MX"/>
      </w:rPr>
      <w:pict w14:anchorId="74830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6A0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A0A55" w:rsidRPr="00F70BDE" w14:paraId="45B19BE3" w14:textId="77777777" w:rsidTr="0027169F">
      <w:trPr>
        <w:trHeight w:val="227"/>
      </w:trPr>
      <w:tc>
        <w:tcPr>
          <w:tcW w:w="5103" w:type="dxa"/>
          <w:hideMark/>
        </w:tcPr>
        <w:p w14:paraId="0BAEB94E"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907A77F" w14:textId="3BF1CF69" w:rsidR="006A0A55" w:rsidRPr="00F70BDE" w:rsidRDefault="00B50740" w:rsidP="0027169F">
          <w:pPr>
            <w:spacing w:after="120" w:line="240" w:lineRule="auto"/>
            <w:ind w:left="-486" w:right="68" w:firstLine="558"/>
            <w:jc w:val="right"/>
            <w:rPr>
              <w:rFonts w:ascii="Palatino Linotype" w:hAnsi="Palatino Linotype" w:cs="Arial"/>
              <w:b/>
              <w:bCs/>
              <w:sz w:val="24"/>
              <w:szCs w:val="24"/>
            </w:rPr>
          </w:pPr>
          <w:r w:rsidRPr="00B50740">
            <w:rPr>
              <w:rFonts w:ascii="Palatino Linotype" w:hAnsi="Palatino Linotype" w:cs="Arial"/>
              <w:b/>
              <w:bCs/>
              <w:sz w:val="24"/>
              <w:szCs w:val="24"/>
            </w:rPr>
            <w:t>0</w:t>
          </w:r>
          <w:r w:rsidR="001C6F6C">
            <w:rPr>
              <w:rFonts w:ascii="Palatino Linotype" w:hAnsi="Palatino Linotype" w:cs="Arial"/>
              <w:b/>
              <w:bCs/>
              <w:sz w:val="24"/>
              <w:szCs w:val="24"/>
            </w:rPr>
            <w:t>14445</w:t>
          </w:r>
          <w:r w:rsidRPr="00B50740">
            <w:rPr>
              <w:rFonts w:ascii="Palatino Linotype" w:hAnsi="Palatino Linotype" w:cs="Arial"/>
              <w:b/>
              <w:bCs/>
              <w:sz w:val="24"/>
              <w:szCs w:val="24"/>
            </w:rPr>
            <w:t>/INFOEM/IP/RR/202</w:t>
          </w:r>
          <w:r w:rsidR="001C6F6C">
            <w:rPr>
              <w:rFonts w:ascii="Palatino Linotype" w:hAnsi="Palatino Linotype" w:cs="Arial"/>
              <w:b/>
              <w:bCs/>
              <w:sz w:val="24"/>
              <w:szCs w:val="24"/>
            </w:rPr>
            <w:t>5</w:t>
          </w:r>
        </w:p>
      </w:tc>
    </w:tr>
    <w:tr w:rsidR="006A0A55" w:rsidRPr="00F70BDE" w14:paraId="6328A4D5" w14:textId="77777777" w:rsidTr="0027169F">
      <w:trPr>
        <w:trHeight w:val="227"/>
      </w:trPr>
      <w:tc>
        <w:tcPr>
          <w:tcW w:w="5103" w:type="dxa"/>
        </w:tcPr>
        <w:p w14:paraId="49B62AC2"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6C931F67" w14:textId="7E2AA258" w:rsidR="006A0A55" w:rsidRPr="00F70BDE" w:rsidRDefault="000051E3" w:rsidP="00516DE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w:t>
          </w:r>
        </w:p>
      </w:tc>
    </w:tr>
    <w:tr w:rsidR="006A0A55" w:rsidRPr="00F70BDE" w14:paraId="4DFEB549" w14:textId="77777777" w:rsidTr="0027169F">
      <w:trPr>
        <w:trHeight w:val="242"/>
      </w:trPr>
      <w:tc>
        <w:tcPr>
          <w:tcW w:w="5103" w:type="dxa"/>
          <w:hideMark/>
        </w:tcPr>
        <w:p w14:paraId="2948674E"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9AFF2B3" w14:textId="44890420" w:rsidR="006A0A55" w:rsidRPr="00056169" w:rsidRDefault="001C6F6C" w:rsidP="0027169F">
          <w:pPr>
            <w:spacing w:after="120" w:line="240" w:lineRule="auto"/>
            <w:ind w:left="-70" w:right="68"/>
            <w:jc w:val="right"/>
            <w:rPr>
              <w:rFonts w:ascii="Palatino Linotype" w:hAnsi="Palatino Linotype" w:cs="Arial"/>
              <w:sz w:val="24"/>
              <w:szCs w:val="24"/>
            </w:rPr>
          </w:pPr>
          <w:r w:rsidRPr="001C6F6C">
            <w:rPr>
              <w:rFonts w:ascii="Palatino Linotype" w:hAnsi="Palatino Linotype"/>
              <w:b/>
              <w:bCs/>
              <w:color w:val="000000"/>
              <w:sz w:val="24"/>
              <w:szCs w:val="24"/>
            </w:rPr>
            <w:t>Ayuntamiento de Huixquilucan</w:t>
          </w:r>
        </w:p>
      </w:tc>
    </w:tr>
    <w:tr w:rsidR="006A0A55" w:rsidRPr="00F70BDE" w14:paraId="3E04D042" w14:textId="77777777" w:rsidTr="0027169F">
      <w:trPr>
        <w:trHeight w:val="342"/>
      </w:trPr>
      <w:tc>
        <w:tcPr>
          <w:tcW w:w="5103" w:type="dxa"/>
          <w:hideMark/>
        </w:tcPr>
        <w:p w14:paraId="3F7D9FD0" w14:textId="77777777" w:rsidR="006A0A55" w:rsidRPr="00F70BDE" w:rsidRDefault="006A0A55" w:rsidP="0027169F">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168D6C9" w14:textId="77777777" w:rsidR="006A0A55" w:rsidRPr="0092771D" w:rsidRDefault="006A0A55" w:rsidP="0027169F">
          <w:pPr>
            <w:spacing w:after="120" w:line="240" w:lineRule="auto"/>
            <w:ind w:left="-486" w:right="68"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tc>
    </w:tr>
  </w:tbl>
  <w:p w14:paraId="59B65BC0" w14:textId="77777777" w:rsidR="006A0A55" w:rsidRPr="00871A91" w:rsidRDefault="006A0A55">
    <w:pPr>
      <w:pStyle w:val="Encabezado"/>
      <w:rPr>
        <w:sz w:val="2"/>
      </w:rPr>
    </w:pPr>
    <w:r>
      <w:rPr>
        <w:noProof/>
        <w:lang w:val="es-MX" w:eastAsia="es-MX"/>
      </w:rPr>
      <w:drawing>
        <wp:anchor distT="0" distB="0" distL="114300" distR="114300" simplePos="0" relativeHeight="251659264" behindDoc="1" locked="0" layoutInCell="0" allowOverlap="1" wp14:anchorId="62CBB23F" wp14:editId="3B82036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4DDA"/>
    <w:multiLevelType w:val="hybridMultilevel"/>
    <w:tmpl w:val="A7424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35237"/>
    <w:multiLevelType w:val="hybridMultilevel"/>
    <w:tmpl w:val="5F6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6D4516"/>
    <w:multiLevelType w:val="hybridMultilevel"/>
    <w:tmpl w:val="85626674"/>
    <w:lvl w:ilvl="0" w:tplc="B1323AEA">
      <w:start w:val="4749"/>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62319"/>
    <w:multiLevelType w:val="hybridMultilevel"/>
    <w:tmpl w:val="F066029C"/>
    <w:lvl w:ilvl="0" w:tplc="686ECFFE">
      <w:start w:val="4749"/>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A77C2"/>
    <w:multiLevelType w:val="multilevel"/>
    <w:tmpl w:val="407E71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1F4C40"/>
    <w:multiLevelType w:val="multilevel"/>
    <w:tmpl w:val="DCA41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9" w15:restartNumberingAfterBreak="0">
    <w:nsid w:val="32DA189A"/>
    <w:multiLevelType w:val="hybridMultilevel"/>
    <w:tmpl w:val="41A25E30"/>
    <w:lvl w:ilvl="0" w:tplc="903257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2E5AC8"/>
    <w:multiLevelType w:val="multilevel"/>
    <w:tmpl w:val="F01C13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3DA4FAF"/>
    <w:multiLevelType w:val="hybridMultilevel"/>
    <w:tmpl w:val="72AA58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EF14FA"/>
    <w:multiLevelType w:val="multilevel"/>
    <w:tmpl w:val="EE865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1B628E"/>
    <w:multiLevelType w:val="hybridMultilevel"/>
    <w:tmpl w:val="EF2608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D41B5A"/>
    <w:multiLevelType w:val="multilevel"/>
    <w:tmpl w:val="0564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2A3AEC"/>
    <w:multiLevelType w:val="hybridMultilevel"/>
    <w:tmpl w:val="8C2A8B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5650D4"/>
    <w:multiLevelType w:val="multilevel"/>
    <w:tmpl w:val="5A94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0C51AA"/>
    <w:multiLevelType w:val="multilevel"/>
    <w:tmpl w:val="4F8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2"/>
  </w:num>
  <w:num w:numId="6">
    <w:abstractNumId w:val="3"/>
  </w:num>
  <w:num w:numId="7">
    <w:abstractNumId w:val="19"/>
  </w:num>
  <w:num w:numId="8">
    <w:abstractNumId w:val="12"/>
  </w:num>
  <w:num w:numId="9">
    <w:abstractNumId w:val="10"/>
  </w:num>
  <w:num w:numId="10">
    <w:abstractNumId w:val="15"/>
  </w:num>
  <w:num w:numId="11">
    <w:abstractNumId w:val="17"/>
  </w:num>
  <w:num w:numId="12">
    <w:abstractNumId w:val="18"/>
  </w:num>
  <w:num w:numId="13">
    <w:abstractNumId w:val="5"/>
  </w:num>
  <w:num w:numId="14">
    <w:abstractNumId w:val="6"/>
  </w:num>
  <w:num w:numId="15">
    <w:abstractNumId w:val="9"/>
  </w:num>
  <w:num w:numId="16">
    <w:abstractNumId w:val="1"/>
  </w:num>
  <w:num w:numId="17">
    <w:abstractNumId w:val="11"/>
  </w:num>
  <w:num w:numId="18">
    <w:abstractNumId w:val="16"/>
  </w:num>
  <w:num w:numId="19">
    <w:abstractNumId w:val="13"/>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4C"/>
    <w:rsid w:val="000051E3"/>
    <w:rsid w:val="0000731F"/>
    <w:rsid w:val="0001755A"/>
    <w:rsid w:val="00027CC9"/>
    <w:rsid w:val="000329DF"/>
    <w:rsid w:val="000406BF"/>
    <w:rsid w:val="00052210"/>
    <w:rsid w:val="000620A3"/>
    <w:rsid w:val="00067548"/>
    <w:rsid w:val="000758B0"/>
    <w:rsid w:val="0008225C"/>
    <w:rsid w:val="00085910"/>
    <w:rsid w:val="00093F28"/>
    <w:rsid w:val="000B4E09"/>
    <w:rsid w:val="000C7439"/>
    <w:rsid w:val="000D134C"/>
    <w:rsid w:val="000E59FE"/>
    <w:rsid w:val="000F41B0"/>
    <w:rsid w:val="00110085"/>
    <w:rsid w:val="00123E1F"/>
    <w:rsid w:val="00127888"/>
    <w:rsid w:val="001319D6"/>
    <w:rsid w:val="00155D8D"/>
    <w:rsid w:val="00176925"/>
    <w:rsid w:val="001C6F6C"/>
    <w:rsid w:val="001D5FC0"/>
    <w:rsid w:val="001F12A0"/>
    <w:rsid w:val="00201590"/>
    <w:rsid w:val="00202397"/>
    <w:rsid w:val="0020690A"/>
    <w:rsid w:val="002214C6"/>
    <w:rsid w:val="00225201"/>
    <w:rsid w:val="002356E1"/>
    <w:rsid w:val="00242265"/>
    <w:rsid w:val="00263B15"/>
    <w:rsid w:val="0027169F"/>
    <w:rsid w:val="00273D73"/>
    <w:rsid w:val="00275AFA"/>
    <w:rsid w:val="00280420"/>
    <w:rsid w:val="00285B3F"/>
    <w:rsid w:val="00287997"/>
    <w:rsid w:val="002A5311"/>
    <w:rsid w:val="002B79A5"/>
    <w:rsid w:val="002F11B1"/>
    <w:rsid w:val="002F67DD"/>
    <w:rsid w:val="00303EF2"/>
    <w:rsid w:val="003235A9"/>
    <w:rsid w:val="00332FA6"/>
    <w:rsid w:val="00333974"/>
    <w:rsid w:val="00342337"/>
    <w:rsid w:val="0034567E"/>
    <w:rsid w:val="00347145"/>
    <w:rsid w:val="0035046C"/>
    <w:rsid w:val="003530A6"/>
    <w:rsid w:val="003A14FF"/>
    <w:rsid w:val="003A20BC"/>
    <w:rsid w:val="003A71F6"/>
    <w:rsid w:val="003B225B"/>
    <w:rsid w:val="003B2C54"/>
    <w:rsid w:val="003B4D81"/>
    <w:rsid w:val="003B7645"/>
    <w:rsid w:val="003C5E75"/>
    <w:rsid w:val="003D09C8"/>
    <w:rsid w:val="003F2D96"/>
    <w:rsid w:val="003F3835"/>
    <w:rsid w:val="00431501"/>
    <w:rsid w:val="00432E3D"/>
    <w:rsid w:val="00435DDC"/>
    <w:rsid w:val="00437829"/>
    <w:rsid w:val="00444516"/>
    <w:rsid w:val="00457AD8"/>
    <w:rsid w:val="00470C95"/>
    <w:rsid w:val="0048312C"/>
    <w:rsid w:val="00497F3A"/>
    <w:rsid w:val="004A157D"/>
    <w:rsid w:val="004B5B75"/>
    <w:rsid w:val="004C0C18"/>
    <w:rsid w:val="004C57BF"/>
    <w:rsid w:val="004E21CE"/>
    <w:rsid w:val="004E4894"/>
    <w:rsid w:val="00500758"/>
    <w:rsid w:val="00510365"/>
    <w:rsid w:val="00514BE0"/>
    <w:rsid w:val="00516DE7"/>
    <w:rsid w:val="00524258"/>
    <w:rsid w:val="00534385"/>
    <w:rsid w:val="00560EC9"/>
    <w:rsid w:val="0056377E"/>
    <w:rsid w:val="005959E2"/>
    <w:rsid w:val="00597B06"/>
    <w:rsid w:val="005A314A"/>
    <w:rsid w:val="005C2A3E"/>
    <w:rsid w:val="005F1572"/>
    <w:rsid w:val="005F25D5"/>
    <w:rsid w:val="005F557C"/>
    <w:rsid w:val="005F7112"/>
    <w:rsid w:val="00622CF1"/>
    <w:rsid w:val="00643D14"/>
    <w:rsid w:val="00664B02"/>
    <w:rsid w:val="00664D8D"/>
    <w:rsid w:val="00683379"/>
    <w:rsid w:val="00683FEC"/>
    <w:rsid w:val="006A0A55"/>
    <w:rsid w:val="006D03BE"/>
    <w:rsid w:val="006D5161"/>
    <w:rsid w:val="006D5DD2"/>
    <w:rsid w:val="006F4A7F"/>
    <w:rsid w:val="007325E2"/>
    <w:rsid w:val="00747169"/>
    <w:rsid w:val="00763371"/>
    <w:rsid w:val="00773107"/>
    <w:rsid w:val="007C355E"/>
    <w:rsid w:val="007D46DF"/>
    <w:rsid w:val="00803A0A"/>
    <w:rsid w:val="008169A7"/>
    <w:rsid w:val="00847824"/>
    <w:rsid w:val="00852EE0"/>
    <w:rsid w:val="008579AE"/>
    <w:rsid w:val="008763BA"/>
    <w:rsid w:val="00897B0E"/>
    <w:rsid w:val="008C5B6E"/>
    <w:rsid w:val="008D22BB"/>
    <w:rsid w:val="008E046C"/>
    <w:rsid w:val="008E77E8"/>
    <w:rsid w:val="008F4401"/>
    <w:rsid w:val="00906047"/>
    <w:rsid w:val="00913699"/>
    <w:rsid w:val="0092771D"/>
    <w:rsid w:val="00931495"/>
    <w:rsid w:val="0094345E"/>
    <w:rsid w:val="009512F4"/>
    <w:rsid w:val="009530DA"/>
    <w:rsid w:val="009634D7"/>
    <w:rsid w:val="00973C6A"/>
    <w:rsid w:val="00976F57"/>
    <w:rsid w:val="009945E0"/>
    <w:rsid w:val="00996620"/>
    <w:rsid w:val="009B1D61"/>
    <w:rsid w:val="009B46EE"/>
    <w:rsid w:val="009C0CAD"/>
    <w:rsid w:val="00A31C9B"/>
    <w:rsid w:val="00A348DE"/>
    <w:rsid w:val="00A45768"/>
    <w:rsid w:val="00A52AFC"/>
    <w:rsid w:val="00A55B11"/>
    <w:rsid w:val="00A928AE"/>
    <w:rsid w:val="00A979D5"/>
    <w:rsid w:val="00AB529D"/>
    <w:rsid w:val="00AC1A5E"/>
    <w:rsid w:val="00AC3BB6"/>
    <w:rsid w:val="00AC4653"/>
    <w:rsid w:val="00AE39F6"/>
    <w:rsid w:val="00AE692D"/>
    <w:rsid w:val="00AE6D43"/>
    <w:rsid w:val="00AE71DB"/>
    <w:rsid w:val="00AF3EDD"/>
    <w:rsid w:val="00B10F8C"/>
    <w:rsid w:val="00B155D3"/>
    <w:rsid w:val="00B20E90"/>
    <w:rsid w:val="00B50740"/>
    <w:rsid w:val="00B571FF"/>
    <w:rsid w:val="00B73106"/>
    <w:rsid w:val="00B85733"/>
    <w:rsid w:val="00B861D9"/>
    <w:rsid w:val="00BA1F6B"/>
    <w:rsid w:val="00BB2BA4"/>
    <w:rsid w:val="00BB4B99"/>
    <w:rsid w:val="00BB73F6"/>
    <w:rsid w:val="00BC2A15"/>
    <w:rsid w:val="00BC7773"/>
    <w:rsid w:val="00BD3885"/>
    <w:rsid w:val="00BE6583"/>
    <w:rsid w:val="00C165C6"/>
    <w:rsid w:val="00C20E1A"/>
    <w:rsid w:val="00C408FD"/>
    <w:rsid w:val="00C572E1"/>
    <w:rsid w:val="00C614D1"/>
    <w:rsid w:val="00C66174"/>
    <w:rsid w:val="00C70B4B"/>
    <w:rsid w:val="00C72132"/>
    <w:rsid w:val="00C94FA5"/>
    <w:rsid w:val="00CA42CC"/>
    <w:rsid w:val="00CB2B24"/>
    <w:rsid w:val="00CC023A"/>
    <w:rsid w:val="00CC1723"/>
    <w:rsid w:val="00CD561C"/>
    <w:rsid w:val="00CE4C85"/>
    <w:rsid w:val="00D05370"/>
    <w:rsid w:val="00D15FA3"/>
    <w:rsid w:val="00D17D99"/>
    <w:rsid w:val="00D3624B"/>
    <w:rsid w:val="00D61B6F"/>
    <w:rsid w:val="00D67F3A"/>
    <w:rsid w:val="00D84A81"/>
    <w:rsid w:val="00D9382F"/>
    <w:rsid w:val="00DC49A0"/>
    <w:rsid w:val="00DD180D"/>
    <w:rsid w:val="00DE5EB7"/>
    <w:rsid w:val="00DE6A51"/>
    <w:rsid w:val="00DE7B65"/>
    <w:rsid w:val="00DF38D1"/>
    <w:rsid w:val="00DF6FB6"/>
    <w:rsid w:val="00E02EF6"/>
    <w:rsid w:val="00E26EAE"/>
    <w:rsid w:val="00E50D8B"/>
    <w:rsid w:val="00E50FDC"/>
    <w:rsid w:val="00E5305A"/>
    <w:rsid w:val="00E63F51"/>
    <w:rsid w:val="00E64858"/>
    <w:rsid w:val="00E65ED9"/>
    <w:rsid w:val="00E70459"/>
    <w:rsid w:val="00E838EA"/>
    <w:rsid w:val="00EA017B"/>
    <w:rsid w:val="00EA3D96"/>
    <w:rsid w:val="00EA5B54"/>
    <w:rsid w:val="00EB6E7D"/>
    <w:rsid w:val="00ED5F3C"/>
    <w:rsid w:val="00F11C89"/>
    <w:rsid w:val="00F14E84"/>
    <w:rsid w:val="00F22D91"/>
    <w:rsid w:val="00F27565"/>
    <w:rsid w:val="00F31760"/>
    <w:rsid w:val="00F3681D"/>
    <w:rsid w:val="00F375A2"/>
    <w:rsid w:val="00F52561"/>
    <w:rsid w:val="00F562EE"/>
    <w:rsid w:val="00F83F27"/>
    <w:rsid w:val="00FA3553"/>
    <w:rsid w:val="00FC1EA6"/>
    <w:rsid w:val="00FD33B3"/>
    <w:rsid w:val="00FE232D"/>
    <w:rsid w:val="00FE3EE1"/>
    <w:rsid w:val="00FF022F"/>
    <w:rsid w:val="00FF38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BDF471"/>
  <w15:chartTrackingRefBased/>
  <w15:docId w15:val="{387D6C65-46A4-450D-82C0-BF40C2A9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4C"/>
  </w:style>
  <w:style w:type="paragraph" w:styleId="Ttulo1">
    <w:name w:val="heading 1"/>
    <w:basedOn w:val="Normal"/>
    <w:next w:val="Normal"/>
    <w:link w:val="Ttulo1Car"/>
    <w:uiPriority w:val="9"/>
    <w:qFormat/>
    <w:rsid w:val="000D13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D13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D134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D134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D134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D13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13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13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13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34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D134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D134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D134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D134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D13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13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13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134C"/>
    <w:rPr>
      <w:rFonts w:eastAsiaTheme="majorEastAsia" w:cstheme="majorBidi"/>
      <w:color w:val="272727" w:themeColor="text1" w:themeTint="D8"/>
    </w:rPr>
  </w:style>
  <w:style w:type="paragraph" w:styleId="Puesto">
    <w:name w:val="Title"/>
    <w:basedOn w:val="Normal"/>
    <w:next w:val="Normal"/>
    <w:link w:val="PuestoCar"/>
    <w:uiPriority w:val="10"/>
    <w:qFormat/>
    <w:rsid w:val="000D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D13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13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13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134C"/>
    <w:pPr>
      <w:spacing w:before="160"/>
      <w:jc w:val="center"/>
    </w:pPr>
    <w:rPr>
      <w:i/>
      <w:iCs/>
      <w:color w:val="404040" w:themeColor="text1" w:themeTint="BF"/>
    </w:rPr>
  </w:style>
  <w:style w:type="character" w:customStyle="1" w:styleId="CitaCar">
    <w:name w:val="Cita Car"/>
    <w:basedOn w:val="Fuentedeprrafopredeter"/>
    <w:link w:val="Cita"/>
    <w:uiPriority w:val="29"/>
    <w:rsid w:val="000D134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134C"/>
    <w:pPr>
      <w:ind w:left="720"/>
      <w:contextualSpacing/>
    </w:pPr>
  </w:style>
  <w:style w:type="character" w:styleId="nfasisintenso">
    <w:name w:val="Intense Emphasis"/>
    <w:basedOn w:val="Fuentedeprrafopredeter"/>
    <w:uiPriority w:val="21"/>
    <w:qFormat/>
    <w:rsid w:val="000D134C"/>
    <w:rPr>
      <w:i/>
      <w:iCs/>
      <w:color w:val="2E74B5" w:themeColor="accent1" w:themeShade="BF"/>
    </w:rPr>
  </w:style>
  <w:style w:type="paragraph" w:styleId="Citadestacada">
    <w:name w:val="Intense Quote"/>
    <w:basedOn w:val="Normal"/>
    <w:next w:val="Normal"/>
    <w:link w:val="CitadestacadaCar"/>
    <w:uiPriority w:val="30"/>
    <w:qFormat/>
    <w:rsid w:val="000D13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D134C"/>
    <w:rPr>
      <w:i/>
      <w:iCs/>
      <w:color w:val="2E74B5" w:themeColor="accent1" w:themeShade="BF"/>
    </w:rPr>
  </w:style>
  <w:style w:type="character" w:styleId="Referenciaintensa">
    <w:name w:val="Intense Reference"/>
    <w:basedOn w:val="Fuentedeprrafopredeter"/>
    <w:uiPriority w:val="32"/>
    <w:qFormat/>
    <w:rsid w:val="000D134C"/>
    <w:rPr>
      <w:b/>
      <w:bCs/>
      <w:smallCaps/>
      <w:color w:val="2E74B5" w:themeColor="accent1" w:themeShade="BF"/>
      <w:spacing w:val="5"/>
    </w:rPr>
  </w:style>
  <w:style w:type="paragraph" w:styleId="Encabezado">
    <w:name w:val="header"/>
    <w:basedOn w:val="Normal"/>
    <w:link w:val="Encabezado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13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134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134C"/>
  </w:style>
  <w:style w:type="character" w:styleId="Hipervnculo">
    <w:name w:val="Hyperlink"/>
    <w:aliases w:val="Hipervínculo1,Hipervínculo11,Hipervínculo12,Hipervínculo13,Hipervínculo14,Hipervínculo15"/>
    <w:basedOn w:val="Fuentedeprrafopredeter"/>
    <w:uiPriority w:val="99"/>
    <w:unhideWhenUsed/>
    <w:rsid w:val="000D134C"/>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134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13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134C"/>
    <w:rPr>
      <w:rFonts w:ascii="Times New Roman" w:eastAsia="Times New Roman" w:hAnsi="Times New Roman" w:cs="Times New Roman"/>
      <w:sz w:val="20"/>
      <w:szCs w:val="20"/>
      <w:lang w:val="es-ES" w:eastAsia="es-ES"/>
    </w:rPr>
  </w:style>
  <w:style w:type="paragraph" w:customStyle="1" w:styleId="Citas">
    <w:name w:val="Citas"/>
    <w:basedOn w:val="Normal"/>
    <w:qFormat/>
    <w:rsid w:val="000D134C"/>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0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134C"/>
    <w:rPr>
      <w:color w:val="605E5C"/>
      <w:shd w:val="clear" w:color="auto" w:fill="E1DFDD"/>
    </w:rPr>
  </w:style>
  <w:style w:type="character" w:customStyle="1" w:styleId="UnresolvedMention">
    <w:name w:val="Unresolved Mention"/>
    <w:basedOn w:val="Fuentedeprrafopredeter"/>
    <w:uiPriority w:val="99"/>
    <w:semiHidden/>
    <w:unhideWhenUsed/>
    <w:rsid w:val="0028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46271">
      <w:bodyDiv w:val="1"/>
      <w:marLeft w:val="0"/>
      <w:marRight w:val="0"/>
      <w:marTop w:val="0"/>
      <w:marBottom w:val="0"/>
      <w:divBdr>
        <w:top w:val="none" w:sz="0" w:space="0" w:color="auto"/>
        <w:left w:val="none" w:sz="0" w:space="0" w:color="auto"/>
        <w:bottom w:val="none" w:sz="0" w:space="0" w:color="auto"/>
        <w:right w:val="none" w:sz="0" w:space="0" w:color="auto"/>
      </w:divBdr>
    </w:div>
    <w:div w:id="1197305004">
      <w:bodyDiv w:val="1"/>
      <w:marLeft w:val="0"/>
      <w:marRight w:val="0"/>
      <w:marTop w:val="0"/>
      <w:marBottom w:val="0"/>
      <w:divBdr>
        <w:top w:val="none" w:sz="0" w:space="0" w:color="auto"/>
        <w:left w:val="none" w:sz="0" w:space="0" w:color="auto"/>
        <w:bottom w:val="none" w:sz="0" w:space="0" w:color="auto"/>
        <w:right w:val="none" w:sz="0" w:space="0" w:color="auto"/>
      </w:divBdr>
    </w:div>
    <w:div w:id="1242181776">
      <w:bodyDiv w:val="1"/>
      <w:marLeft w:val="0"/>
      <w:marRight w:val="0"/>
      <w:marTop w:val="0"/>
      <w:marBottom w:val="0"/>
      <w:divBdr>
        <w:top w:val="none" w:sz="0" w:space="0" w:color="auto"/>
        <w:left w:val="none" w:sz="0" w:space="0" w:color="auto"/>
        <w:bottom w:val="none" w:sz="0" w:space="0" w:color="auto"/>
        <w:right w:val="none" w:sz="0" w:space="0" w:color="auto"/>
      </w:divBdr>
    </w:div>
    <w:div w:id="1292975513">
      <w:bodyDiv w:val="1"/>
      <w:marLeft w:val="0"/>
      <w:marRight w:val="0"/>
      <w:marTop w:val="0"/>
      <w:marBottom w:val="0"/>
      <w:divBdr>
        <w:top w:val="none" w:sz="0" w:space="0" w:color="auto"/>
        <w:left w:val="none" w:sz="0" w:space="0" w:color="auto"/>
        <w:bottom w:val="none" w:sz="0" w:space="0" w:color="auto"/>
        <w:right w:val="none" w:sz="0" w:space="0" w:color="auto"/>
      </w:divBdr>
    </w:div>
    <w:div w:id="1741319092">
      <w:bodyDiv w:val="1"/>
      <w:marLeft w:val="0"/>
      <w:marRight w:val="0"/>
      <w:marTop w:val="0"/>
      <w:marBottom w:val="0"/>
      <w:divBdr>
        <w:top w:val="none" w:sz="0" w:space="0" w:color="auto"/>
        <w:left w:val="none" w:sz="0" w:space="0" w:color="auto"/>
        <w:bottom w:val="none" w:sz="0" w:space="0" w:color="auto"/>
        <w:right w:val="none" w:sz="0" w:space="0" w:color="auto"/>
      </w:divBdr>
    </w:div>
    <w:div w:id="1803381339">
      <w:bodyDiv w:val="1"/>
      <w:marLeft w:val="0"/>
      <w:marRight w:val="0"/>
      <w:marTop w:val="0"/>
      <w:marBottom w:val="0"/>
      <w:divBdr>
        <w:top w:val="none" w:sz="0" w:space="0" w:color="auto"/>
        <w:left w:val="none" w:sz="0" w:space="0" w:color="auto"/>
        <w:bottom w:val="none" w:sz="0" w:space="0" w:color="auto"/>
        <w:right w:val="none" w:sz="0" w:space="0" w:color="auto"/>
      </w:divBdr>
    </w:div>
    <w:div w:id="21275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6B501-EE86-444D-8C4F-88F47DDB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24</Pages>
  <Words>4964</Words>
  <Characters>27302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49</cp:revision>
  <cp:lastPrinted>2026-04-10T16:56:00Z</cp:lastPrinted>
  <dcterms:created xsi:type="dcterms:W3CDTF">2026-03-18T23:23:00Z</dcterms:created>
  <dcterms:modified xsi:type="dcterms:W3CDTF">2026-04-17T15:56:00Z</dcterms:modified>
</cp:coreProperties>
</file>