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664" w:rsidRPr="004268A6" w:rsidRDefault="001F24AE" w:rsidP="004268A6">
      <w:pPr>
        <w:tabs>
          <w:tab w:val="left" w:pos="3465"/>
        </w:tabs>
        <w:spacing w:line="360" w:lineRule="auto"/>
        <w:jc w:val="both"/>
        <w:rPr>
          <w:rFonts w:ascii="Palatino Linotype" w:eastAsia="Palatino Linotype" w:hAnsi="Palatino Linotype" w:cs="Palatino Linotype"/>
          <w:b/>
          <w:bCs/>
          <w:color w:val="000000" w:themeColor="text1"/>
        </w:rPr>
      </w:pPr>
      <w:bookmarkStart w:id="0" w:name="_GoBack"/>
      <w:bookmarkEnd w:id="0"/>
      <w:r w:rsidRPr="004268A6">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4268A6">
        <w:rPr>
          <w:rFonts w:ascii="Palatino Linotype" w:eastAsia="Palatino Linotype" w:hAnsi="Palatino Linotype" w:cs="Palatino Linotype"/>
          <w:b/>
          <w:color w:val="000000" w:themeColor="text1"/>
        </w:rPr>
        <w:t>de fecha</w:t>
      </w:r>
      <w:r w:rsidRPr="004268A6">
        <w:rPr>
          <w:rFonts w:ascii="Palatino Linotype" w:eastAsia="Palatino Linotype" w:hAnsi="Palatino Linotype" w:cs="Palatino Linotype"/>
          <w:color w:val="000000" w:themeColor="text1"/>
        </w:rPr>
        <w:t xml:space="preserve"> </w:t>
      </w:r>
      <w:r w:rsidRPr="004268A6">
        <w:rPr>
          <w:rFonts w:ascii="Palatino Linotype" w:eastAsia="Palatino Linotype" w:hAnsi="Palatino Linotype" w:cs="Palatino Linotype"/>
          <w:b/>
          <w:bCs/>
          <w:color w:val="000000" w:themeColor="text1"/>
        </w:rPr>
        <w:t>catorce</w:t>
      </w:r>
      <w:r w:rsidR="00FA3C5E">
        <w:rPr>
          <w:rFonts w:ascii="Palatino Linotype" w:eastAsia="Palatino Linotype" w:hAnsi="Palatino Linotype" w:cs="Palatino Linotype"/>
          <w:b/>
          <w:bCs/>
          <w:color w:val="000000" w:themeColor="text1"/>
        </w:rPr>
        <w:t xml:space="preserve"> (14)</w:t>
      </w:r>
      <w:r w:rsidRPr="004268A6">
        <w:rPr>
          <w:rFonts w:ascii="Palatino Linotype" w:eastAsia="Palatino Linotype" w:hAnsi="Palatino Linotype" w:cs="Palatino Linotype"/>
          <w:b/>
          <w:bCs/>
          <w:color w:val="000000" w:themeColor="text1"/>
        </w:rPr>
        <w:t xml:space="preserve"> de enero de dos mil veintiséis.</w:t>
      </w:r>
    </w:p>
    <w:p w:rsidR="00320664" w:rsidRPr="004268A6" w:rsidRDefault="00320664" w:rsidP="004268A6">
      <w:pPr>
        <w:tabs>
          <w:tab w:val="left" w:pos="3465"/>
        </w:tabs>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spacing w:line="360" w:lineRule="auto"/>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b/>
          <w:bCs/>
          <w:color w:val="000000" w:themeColor="text1"/>
        </w:rPr>
        <w:t>VISTO</w:t>
      </w:r>
      <w:r w:rsidRPr="004268A6">
        <w:rPr>
          <w:rFonts w:ascii="Palatino Linotype" w:eastAsia="Palatino Linotype" w:hAnsi="Palatino Linotype" w:cs="Palatino Linotype"/>
          <w:color w:val="000000" w:themeColor="text1"/>
        </w:rPr>
        <w:t xml:space="preserve"> el expediente electrónico formado con motivo del Recurso de Revisión </w:t>
      </w:r>
      <w:r w:rsidRPr="004268A6">
        <w:rPr>
          <w:rFonts w:ascii="Palatino Linotype" w:eastAsia="Palatino Linotype" w:hAnsi="Palatino Linotype" w:cs="Palatino Linotype"/>
          <w:b/>
          <w:bCs/>
          <w:color w:val="000000" w:themeColor="text1"/>
        </w:rPr>
        <w:t>05313/INFOEM/IP/RR/2025</w:t>
      </w:r>
      <w:r w:rsidRPr="004268A6">
        <w:rPr>
          <w:rFonts w:ascii="Palatino Linotype" w:eastAsia="Palatino Linotype" w:hAnsi="Palatino Linotype" w:cs="Palatino Linotype"/>
          <w:color w:val="000000" w:themeColor="text1"/>
        </w:rPr>
        <w:t>,</w:t>
      </w:r>
      <w:r w:rsidRPr="004268A6">
        <w:rPr>
          <w:rFonts w:ascii="Palatino Linotype" w:eastAsia="Palatino Linotype" w:hAnsi="Palatino Linotype" w:cs="Palatino Linotype"/>
          <w:b/>
          <w:bCs/>
          <w:color w:val="000000" w:themeColor="text1"/>
        </w:rPr>
        <w:t xml:space="preserve"> </w:t>
      </w:r>
      <w:r w:rsidRPr="004268A6">
        <w:rPr>
          <w:rFonts w:ascii="Palatino Linotype" w:eastAsia="Palatino Linotype" w:hAnsi="Palatino Linotype" w:cs="Palatino Linotype"/>
          <w:color w:val="000000" w:themeColor="text1"/>
        </w:rPr>
        <w:t xml:space="preserve">promovido por </w:t>
      </w:r>
      <w:r w:rsidR="004716DB" w:rsidRPr="004716DB">
        <w:rPr>
          <w:rFonts w:ascii="Palatino Linotype" w:eastAsia="Palatino Linotype" w:hAnsi="Palatino Linotype" w:cs="Palatino Linotype"/>
          <w:b/>
          <w:bCs/>
          <w:color w:val="000000" w:themeColor="text1"/>
        </w:rPr>
        <w:t xml:space="preserve">una persona que no proporcionó datos de identificación, </w:t>
      </w:r>
      <w:r w:rsidR="004716DB" w:rsidRPr="004716DB">
        <w:rPr>
          <w:rFonts w:ascii="Palatino Linotype" w:eastAsia="Palatino Linotype" w:hAnsi="Palatino Linotype" w:cs="Palatino Linotype"/>
          <w:bCs/>
          <w:color w:val="000000" w:themeColor="text1"/>
        </w:rPr>
        <w:t>a quien en lo sucesivo se le identificara como</w:t>
      </w:r>
      <w:r w:rsidR="004716DB" w:rsidRPr="004716DB">
        <w:rPr>
          <w:rFonts w:ascii="Palatino Linotype" w:eastAsia="Palatino Linotype" w:hAnsi="Palatino Linotype" w:cs="Palatino Linotype"/>
          <w:b/>
          <w:bCs/>
          <w:color w:val="000000" w:themeColor="text1"/>
        </w:rPr>
        <w:t xml:space="preserve"> EL RECURRENTE</w:t>
      </w:r>
      <w:r w:rsidRPr="004268A6">
        <w:rPr>
          <w:rFonts w:ascii="Palatino Linotype" w:eastAsia="Palatino Linotype" w:hAnsi="Palatino Linotype" w:cs="Palatino Linotype"/>
          <w:color w:val="000000" w:themeColor="text1"/>
        </w:rPr>
        <w:t xml:space="preserve">, en contra de la respuesta del </w:t>
      </w:r>
      <w:r w:rsidRPr="004268A6">
        <w:rPr>
          <w:rFonts w:ascii="Palatino Linotype" w:eastAsia="Palatino Linotype" w:hAnsi="Palatino Linotype" w:cs="Palatino Linotype"/>
          <w:b/>
          <w:bCs/>
          <w:color w:val="000000" w:themeColor="text1"/>
        </w:rPr>
        <w:t>Instituto de Transparencia, Acceso a la Información Pública y Protección de Datos Personales del Estado de México y Municipios</w:t>
      </w:r>
      <w:r w:rsidRPr="004268A6">
        <w:rPr>
          <w:rFonts w:ascii="Palatino Linotype" w:eastAsia="Palatino Linotype" w:hAnsi="Palatino Linotype" w:cs="Palatino Linotype"/>
          <w:color w:val="000000" w:themeColor="text1"/>
        </w:rPr>
        <w:t xml:space="preserve">, en </w:t>
      </w:r>
      <w:r w:rsidR="00FA3C5E">
        <w:rPr>
          <w:rFonts w:ascii="Palatino Linotype" w:eastAsia="Palatino Linotype" w:hAnsi="Palatino Linotype" w:cs="Palatino Linotype"/>
          <w:color w:val="000000" w:themeColor="text1"/>
        </w:rPr>
        <w:t>adelante</w:t>
      </w:r>
      <w:r w:rsidRPr="004268A6">
        <w:rPr>
          <w:rFonts w:ascii="Palatino Linotype" w:eastAsia="Palatino Linotype" w:hAnsi="Palatino Linotype" w:cs="Palatino Linotype"/>
          <w:color w:val="000000" w:themeColor="text1"/>
        </w:rPr>
        <w:t xml:space="preserve"> el</w:t>
      </w:r>
      <w:r w:rsidRPr="004268A6">
        <w:rPr>
          <w:rFonts w:ascii="Palatino Linotype" w:eastAsia="Palatino Linotype" w:hAnsi="Palatino Linotype" w:cs="Palatino Linotype"/>
          <w:b/>
          <w:bCs/>
          <w:color w:val="000000" w:themeColor="text1"/>
        </w:rPr>
        <w:t xml:space="preserve"> SUJETO OBLIGADO</w:t>
      </w:r>
      <w:r w:rsidRPr="004268A6">
        <w:rPr>
          <w:rFonts w:ascii="Palatino Linotype" w:eastAsia="Palatino Linotype" w:hAnsi="Palatino Linotype" w:cs="Palatino Linotype"/>
          <w:color w:val="000000" w:themeColor="text1"/>
        </w:rPr>
        <w:t>, se procede a dictar la presente Resolución, con base en los siguientes:</w:t>
      </w:r>
    </w:p>
    <w:p w:rsidR="00320664" w:rsidRPr="004268A6" w:rsidRDefault="00320664" w:rsidP="004268A6">
      <w:pPr>
        <w:jc w:val="both"/>
        <w:rPr>
          <w:rFonts w:ascii="Palatino Linotype" w:eastAsia="Palatino Linotype" w:hAnsi="Palatino Linotype" w:cs="Palatino Linotype"/>
          <w:color w:val="000000" w:themeColor="text1"/>
        </w:rPr>
      </w:pPr>
    </w:p>
    <w:p w:rsidR="00320664" w:rsidRPr="004268A6" w:rsidRDefault="001F24AE" w:rsidP="004268A6">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1" w:name="_heading=h.gblvvbtbyie5" w:colFirst="0" w:colLast="0"/>
      <w:bookmarkEnd w:id="1"/>
      <w:r w:rsidRPr="004268A6">
        <w:rPr>
          <w:rFonts w:ascii="Palatino Linotype" w:eastAsia="Palatino Linotype" w:hAnsi="Palatino Linotype" w:cs="Palatino Linotype"/>
          <w:b/>
          <w:bCs/>
          <w:color w:val="000000" w:themeColor="text1"/>
          <w:sz w:val="24"/>
          <w:szCs w:val="24"/>
        </w:rPr>
        <w:t>A</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N</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T</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E</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C</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E</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D</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E</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N</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T</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E</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S</w:t>
      </w:r>
    </w:p>
    <w:p w:rsidR="00320664" w:rsidRPr="004268A6" w:rsidRDefault="00320664" w:rsidP="004268A6">
      <w:pPr>
        <w:pBdr>
          <w:top w:val="nil"/>
          <w:left w:val="nil"/>
          <w:bottom w:val="nil"/>
          <w:right w:val="nil"/>
          <w:between w:val="nil"/>
        </w:pBdr>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El </w:t>
      </w:r>
      <w:r w:rsidRPr="004268A6">
        <w:rPr>
          <w:rFonts w:ascii="Palatino Linotype" w:eastAsia="Palatino Linotype" w:hAnsi="Palatino Linotype" w:cs="Palatino Linotype"/>
          <w:b/>
          <w:bCs/>
          <w:color w:val="000000" w:themeColor="text1"/>
        </w:rPr>
        <w:t xml:space="preserve">dieciocho de marzo de dos mil veinticinco, </w:t>
      </w:r>
      <w:r w:rsidRPr="004268A6">
        <w:rPr>
          <w:rFonts w:ascii="Palatino Linotype" w:eastAsia="Palatino Linotype" w:hAnsi="Palatino Linotype" w:cs="Palatino Linotype"/>
          <w:color w:val="000000" w:themeColor="text1"/>
        </w:rPr>
        <w:t xml:space="preserve">se presentó ante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vía Sistema de Acceso a la Información Mexiquense (SAIMEX), la solicitud de acceso a datos personales registrada con el número</w:t>
      </w:r>
      <w:r w:rsidRPr="004268A6">
        <w:rPr>
          <w:rFonts w:ascii="Palatino Linotype" w:eastAsia="Palatino Linotype" w:hAnsi="Palatino Linotype" w:cs="Palatino Linotype"/>
          <w:b/>
          <w:bCs/>
          <w:color w:val="000000" w:themeColor="text1"/>
        </w:rPr>
        <w:t xml:space="preserve"> 00247/INFOEM/IP/2025;</w:t>
      </w:r>
      <w:r w:rsidR="00FA3C5E">
        <w:rPr>
          <w:rFonts w:ascii="Palatino Linotype" w:eastAsia="Palatino Linotype" w:hAnsi="Palatino Linotype" w:cs="Palatino Linotype"/>
          <w:b/>
          <w:bCs/>
          <w:color w:val="000000" w:themeColor="text1"/>
        </w:rPr>
        <w:t xml:space="preserve"> </w:t>
      </w:r>
      <w:r w:rsidR="00FA3C5E">
        <w:rPr>
          <w:rFonts w:ascii="Palatino Linotype" w:eastAsia="Palatino Linotype" w:hAnsi="Palatino Linotype" w:cs="Palatino Linotype"/>
          <w:color w:val="000000" w:themeColor="text1"/>
        </w:rPr>
        <w:t xml:space="preserve">en la que </w:t>
      </w:r>
      <w:r w:rsidRPr="004268A6">
        <w:rPr>
          <w:rFonts w:ascii="Palatino Linotype" w:eastAsia="Palatino Linotype" w:hAnsi="Palatino Linotype" w:cs="Palatino Linotype"/>
          <w:color w:val="000000" w:themeColor="text1"/>
        </w:rPr>
        <w:t>se solicitó la siguiente información:</w:t>
      </w:r>
    </w:p>
    <w:p w:rsidR="00320664" w:rsidRPr="004268A6" w:rsidRDefault="00320664" w:rsidP="004268A6">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320664" w:rsidRPr="004268A6" w:rsidRDefault="001F24AE" w:rsidP="004268A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“REQUIERO TODOS LOS DOCUMENTOS DONDE CONSTE LA ACTUALIZACION DEL SISTEMA REDATOSEM Y LA ACTUALIZACIÓN DE LOS AVISOS DE PRIVACIDAD, TAMBIEN LOS DOCUMENTOS DE SEGURIDAD, TODO LO ANTERIOR DE LOS AÑOS 2024 Y DEL 01 DE ENERO A LA FECHA DEL AÑO 2025. GRACIAS” (Sic)</w:t>
      </w:r>
    </w:p>
    <w:p w:rsidR="00320664" w:rsidRPr="004268A6" w:rsidRDefault="00320664" w:rsidP="004268A6">
      <w:pPr>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lastRenderedPageBreak/>
        <w:t xml:space="preserve">Se hace constar que se señaló como modalidad de entrega de la información a través del </w:t>
      </w:r>
      <w:r w:rsidRPr="004268A6">
        <w:rPr>
          <w:rFonts w:ascii="Palatino Linotype" w:eastAsia="Palatino Linotype" w:hAnsi="Palatino Linotype" w:cs="Palatino Linotype"/>
          <w:b/>
          <w:bCs/>
          <w:color w:val="000000" w:themeColor="text1"/>
        </w:rPr>
        <w:t>SAIMEX.</w:t>
      </w:r>
    </w:p>
    <w:p w:rsidR="00320664" w:rsidRPr="004268A6" w:rsidRDefault="00320664" w:rsidP="004268A6">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El cuatro de abril de dos mil veinticinco,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notificó una prórroga para atender la solicitud de información, en los siguientes términos:</w:t>
      </w:r>
    </w:p>
    <w:p w:rsidR="00320664" w:rsidRPr="004268A6" w:rsidRDefault="001F24AE" w:rsidP="004268A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“Con fundamento en el artículo 163, segundo párrafo, de la Ley de Transparencia y Acceso a la Información Pública del Estado de México y Municipios, el Comité de Transparencia del Instituto de Transparencia, Acceso a la Información Pública y Protección de Datos Personales del Estado de México y Municipios, en Sesión Ordinaria de fecha dos de abril de dos mil veinticinco, aprobó la ampliación de plazo para notificar la respuesta al solicitante; para tal efecto, se adjunta un archivo en formato “.pdf” que contiene la resolución correspondiente.”</w:t>
      </w:r>
    </w:p>
    <w:p w:rsidR="00320664" w:rsidRPr="004268A6" w:rsidRDefault="00320664" w:rsidP="004268A6">
      <w:pPr>
        <w:rPr>
          <w:rFonts w:ascii="Palatino Linotype" w:eastAsia="Palatino Linotype" w:hAnsi="Palatino Linotype" w:cs="Palatino Linotype"/>
          <w:color w:val="000000" w:themeColor="text1"/>
        </w:rPr>
      </w:pPr>
    </w:p>
    <w:p w:rsidR="00320664" w:rsidRPr="004268A6" w:rsidRDefault="001F24AE" w:rsidP="004268A6">
      <w:pPr>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Archivos electrónicos adjuntos:</w:t>
      </w:r>
    </w:p>
    <w:p w:rsidR="00320664" w:rsidRPr="004268A6" w:rsidRDefault="00320664" w:rsidP="004268A6">
      <w:pPr>
        <w:rPr>
          <w:rFonts w:ascii="Palatino Linotype" w:eastAsia="Palatino Linotype" w:hAnsi="Palatino Linotype" w:cs="Palatino Linotype"/>
          <w:color w:val="000000" w:themeColor="text1"/>
        </w:rPr>
      </w:pPr>
    </w:p>
    <w:p w:rsidR="00320664" w:rsidRPr="004268A6" w:rsidRDefault="006F4A5D" w:rsidP="004268A6">
      <w:pPr>
        <w:jc w:val="both"/>
        <w:rPr>
          <w:rFonts w:ascii="Palatino Linotype" w:eastAsia="Palatino Linotype" w:hAnsi="Palatino Linotype" w:cs="Palatino Linotype"/>
          <w:color w:val="000000" w:themeColor="text1"/>
        </w:rPr>
      </w:pPr>
      <w:hyperlink r:id="rId8">
        <w:r w:rsidR="001F24AE" w:rsidRPr="004268A6">
          <w:rPr>
            <w:rFonts w:ascii="Palatino Linotype" w:eastAsia="Palatino Linotype" w:hAnsi="Palatino Linotype" w:cs="Palatino Linotype"/>
            <w:b/>
            <w:bCs/>
            <w:color w:val="000000" w:themeColor="text1"/>
          </w:rPr>
          <w:t>SolicitudPrórrogaSIP00247_2025DGAF.pdf</w:t>
        </w:r>
      </w:hyperlink>
      <w:r w:rsidR="001F24AE" w:rsidRPr="004268A6">
        <w:rPr>
          <w:rFonts w:ascii="Palatino Linotype" w:eastAsia="Palatino Linotype" w:hAnsi="Palatino Linotype" w:cs="Palatino Linotype"/>
          <w:color w:val="000000" w:themeColor="text1"/>
        </w:rPr>
        <w:t>: Oficio suscrito por la Directora de Administración y Finanzas.</w:t>
      </w:r>
    </w:p>
    <w:p w:rsidR="00320664" w:rsidRPr="004268A6" w:rsidRDefault="00320664" w:rsidP="004268A6">
      <w:pPr>
        <w:jc w:val="both"/>
        <w:rPr>
          <w:rFonts w:ascii="Palatino Linotype" w:eastAsia="Palatino Linotype" w:hAnsi="Palatino Linotype" w:cs="Palatino Linotype"/>
          <w:color w:val="000000" w:themeColor="text1"/>
        </w:rPr>
      </w:pPr>
    </w:p>
    <w:p w:rsidR="00320664" w:rsidRPr="004268A6" w:rsidRDefault="006F4A5D" w:rsidP="004268A6">
      <w:pPr>
        <w:jc w:val="both"/>
        <w:rPr>
          <w:rFonts w:ascii="Palatino Linotype" w:eastAsia="Palatino Linotype" w:hAnsi="Palatino Linotype" w:cs="Palatino Linotype"/>
          <w:color w:val="000000" w:themeColor="text1"/>
        </w:rPr>
      </w:pPr>
      <w:hyperlink r:id="rId9">
        <w:r w:rsidR="001F24AE" w:rsidRPr="004268A6">
          <w:rPr>
            <w:rFonts w:ascii="Palatino Linotype" w:eastAsia="Palatino Linotype" w:hAnsi="Palatino Linotype" w:cs="Palatino Linotype"/>
            <w:b/>
            <w:bCs/>
            <w:color w:val="000000" w:themeColor="text1"/>
          </w:rPr>
          <w:t>RES-02-INFOEM-ORD-COMT-07a-2025.pdf</w:t>
        </w:r>
      </w:hyperlink>
      <w:r w:rsidR="001F24AE" w:rsidRPr="004268A6">
        <w:rPr>
          <w:rFonts w:ascii="Palatino Linotype" w:eastAsia="Palatino Linotype" w:hAnsi="Palatino Linotype" w:cs="Palatino Linotype"/>
          <w:color w:val="000000" w:themeColor="text1"/>
        </w:rPr>
        <w:t>: Acta del Comité de Transparencia número RES/02/INFOEM/ORD/COMT/07/2025.</w:t>
      </w:r>
    </w:p>
    <w:p w:rsidR="00320664" w:rsidRDefault="00320664" w:rsidP="004268A6">
      <w:pPr>
        <w:rPr>
          <w:rFonts w:ascii="Palatino Linotype" w:eastAsia="Palatino Linotype" w:hAnsi="Palatino Linotype" w:cs="Palatino Linotype"/>
          <w:color w:val="000000" w:themeColor="text1"/>
        </w:rPr>
      </w:pPr>
    </w:p>
    <w:p w:rsidR="00FA3C5E" w:rsidRPr="004268A6" w:rsidRDefault="00FA3C5E" w:rsidP="004268A6">
      <w:pPr>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color w:val="000000" w:themeColor="text1"/>
        </w:rPr>
        <w:t xml:space="preserve">El </w:t>
      </w:r>
      <w:r w:rsidRPr="004268A6">
        <w:rPr>
          <w:rFonts w:ascii="Palatino Linotype" w:eastAsia="Palatino Linotype" w:hAnsi="Palatino Linotype" w:cs="Palatino Linotype"/>
          <w:b/>
          <w:bCs/>
          <w:color w:val="000000" w:themeColor="text1"/>
        </w:rPr>
        <w:t>veinticuatro de abril de dos mil veinticinco</w:t>
      </w:r>
      <w:r w:rsidRPr="004268A6">
        <w:rPr>
          <w:rFonts w:ascii="Palatino Linotype" w:eastAsia="Palatino Linotype" w:hAnsi="Palatino Linotype" w:cs="Palatino Linotype"/>
          <w:color w:val="000000" w:themeColor="text1"/>
        </w:rPr>
        <w:t xml:space="preserve">,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emitió su respuesta a la solicitud en los siguientes términos:</w:t>
      </w:r>
    </w:p>
    <w:p w:rsidR="00320664" w:rsidRPr="004268A6" w:rsidRDefault="001F24AE" w:rsidP="004268A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“Con fundamento en el artículo 53 fracción II de la Ley de Transparencia y Acceso a la Información Pública del Estado de México y Municipios, se adjunta la respuesta a su solicitud de información pública.” (Sic)</w:t>
      </w:r>
    </w:p>
    <w:p w:rsidR="00320664"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FA3C5E" w:rsidRDefault="00FA3C5E" w:rsidP="004268A6">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FA3C5E" w:rsidRPr="004268A6" w:rsidRDefault="00FA3C5E" w:rsidP="004268A6">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320664" w:rsidRPr="004268A6" w:rsidRDefault="001F24AE" w:rsidP="004268A6">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b/>
          <w:bCs/>
          <w:color w:val="000000" w:themeColor="text1"/>
        </w:rPr>
        <w:lastRenderedPageBreak/>
        <w:t>Archivos electrónicos adjuntos:</w:t>
      </w:r>
    </w:p>
    <w:p w:rsidR="00320664" w:rsidRPr="004268A6" w:rsidRDefault="006F4A5D" w:rsidP="004268A6">
      <w:pPr>
        <w:pBdr>
          <w:top w:val="nil"/>
          <w:left w:val="nil"/>
          <w:bottom w:val="nil"/>
          <w:right w:val="nil"/>
          <w:between w:val="nil"/>
        </w:pBdr>
        <w:jc w:val="both"/>
        <w:rPr>
          <w:rFonts w:ascii="Palatino Linotype" w:eastAsia="Palatino Linotype" w:hAnsi="Palatino Linotype" w:cs="Palatino Linotype"/>
          <w:color w:val="000000" w:themeColor="text1"/>
        </w:rPr>
      </w:pPr>
      <w:hyperlink r:id="rId10">
        <w:r w:rsidR="001F24AE" w:rsidRPr="004268A6">
          <w:rPr>
            <w:rFonts w:ascii="Palatino Linotype" w:eastAsia="Palatino Linotype" w:hAnsi="Palatino Linotype" w:cs="Palatino Linotype"/>
            <w:b/>
            <w:bCs/>
            <w:color w:val="000000" w:themeColor="text1"/>
          </w:rPr>
          <w:t>RespuestaSolicitud00247UT2025.zip</w:t>
        </w:r>
      </w:hyperlink>
      <w:r w:rsidR="001F24AE" w:rsidRPr="004268A6">
        <w:rPr>
          <w:rFonts w:ascii="Palatino Linotype" w:eastAsia="Palatino Linotype" w:hAnsi="Palatino Linotype" w:cs="Palatino Linotype"/>
          <w:color w:val="000000" w:themeColor="text1"/>
        </w:rPr>
        <w:t>: Carpeta electrónica que contiene la actualización del Sistema REDATOSEM, la actualización de los Avisos de Privacidad y los documentos de seguridad de 2024 y del 01 de enero al 17 de marzo de 2025, de todas las Direcciones que integran el SUJETO OBLIGADO.</w:t>
      </w:r>
    </w:p>
    <w:p w:rsidR="00320664" w:rsidRPr="004268A6" w:rsidRDefault="00320664" w:rsidP="004268A6">
      <w:pPr>
        <w:pBdr>
          <w:top w:val="nil"/>
          <w:left w:val="nil"/>
          <w:bottom w:val="nil"/>
          <w:right w:val="nil"/>
          <w:between w:val="nil"/>
        </w:pBdr>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color w:val="000000" w:themeColor="text1"/>
        </w:rPr>
        <w:t xml:space="preserve">El </w:t>
      </w:r>
      <w:r w:rsidRPr="004268A6">
        <w:rPr>
          <w:rFonts w:ascii="Palatino Linotype" w:eastAsia="Palatino Linotype" w:hAnsi="Palatino Linotype" w:cs="Palatino Linotype"/>
          <w:b/>
          <w:bCs/>
          <w:color w:val="000000" w:themeColor="text1"/>
        </w:rPr>
        <w:t>doce de mayo de dos mil veinticinco</w:t>
      </w:r>
      <w:r w:rsidRPr="004268A6">
        <w:rPr>
          <w:rFonts w:ascii="Palatino Linotype" w:eastAsia="Palatino Linotype" w:hAnsi="Palatino Linotype" w:cs="Palatino Linotype"/>
          <w:color w:val="000000" w:themeColor="text1"/>
        </w:rPr>
        <w:t xml:space="preserve">, la parte </w:t>
      </w:r>
      <w:r w:rsidRPr="004268A6">
        <w:rPr>
          <w:rFonts w:ascii="Palatino Linotype" w:eastAsia="Palatino Linotype" w:hAnsi="Palatino Linotype" w:cs="Palatino Linotype"/>
          <w:b/>
          <w:bCs/>
          <w:color w:val="000000" w:themeColor="text1"/>
        </w:rPr>
        <w:t>RECURRENTE</w:t>
      </w:r>
      <w:r w:rsidRPr="004268A6">
        <w:rPr>
          <w:rFonts w:ascii="Palatino Linotype" w:eastAsia="Palatino Linotype" w:hAnsi="Palatino Linotype" w:cs="Palatino Linotype"/>
          <w:color w:val="000000" w:themeColor="text1"/>
        </w:rPr>
        <w:t xml:space="preserve"> interpuso recurso de revisión, en los siguientes términos:</w:t>
      </w:r>
    </w:p>
    <w:p w:rsidR="00320664" w:rsidRPr="004268A6" w:rsidRDefault="00320664" w:rsidP="004268A6">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320664" w:rsidRPr="00FA3C5E" w:rsidRDefault="001F24AE" w:rsidP="00FA3C5E">
      <w:pPr>
        <w:pStyle w:val="Prrafodelista"/>
        <w:numPr>
          <w:ilvl w:val="0"/>
          <w:numId w:val="6"/>
        </w:numPr>
        <w:jc w:val="both"/>
        <w:rPr>
          <w:rFonts w:ascii="Palatino Linotype" w:eastAsia="Palatino Linotype" w:hAnsi="Palatino Linotype" w:cs="Palatino Linotype"/>
          <w:i/>
          <w:iCs/>
          <w:color w:val="000000" w:themeColor="text1"/>
        </w:rPr>
      </w:pPr>
      <w:bookmarkStart w:id="2" w:name="_heading=h.a4yqcbbd8811" w:colFirst="0" w:colLast="0"/>
      <w:bookmarkEnd w:id="2"/>
      <w:r w:rsidRPr="00FA3C5E">
        <w:rPr>
          <w:rFonts w:ascii="Palatino Linotype" w:eastAsia="Palatino Linotype" w:hAnsi="Palatino Linotype" w:cs="Palatino Linotype"/>
          <w:b/>
          <w:bCs/>
          <w:color w:val="000000" w:themeColor="text1"/>
        </w:rPr>
        <w:t>ACTO IMPUGNADO</w:t>
      </w:r>
      <w:r w:rsidRPr="00FA3C5E">
        <w:rPr>
          <w:rFonts w:ascii="Palatino Linotype" w:eastAsia="Palatino Linotype" w:hAnsi="Palatino Linotype" w:cs="Palatino Linotype"/>
          <w:b/>
          <w:bCs/>
          <w:i/>
          <w:iCs/>
          <w:color w:val="000000" w:themeColor="text1"/>
        </w:rPr>
        <w:t xml:space="preserve">: </w:t>
      </w:r>
      <w:r w:rsidRPr="00FA3C5E">
        <w:rPr>
          <w:rFonts w:ascii="Palatino Linotype" w:eastAsia="Palatino Linotype" w:hAnsi="Palatino Linotype" w:cs="Palatino Linotype"/>
          <w:i/>
          <w:iCs/>
          <w:color w:val="000000" w:themeColor="text1"/>
        </w:rPr>
        <w:t>“LA INFORMACIÓN SE ME ENTREGO INCOMPLETA” (Sic)</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320664" w:rsidRPr="00FA3C5E" w:rsidRDefault="001F24AE" w:rsidP="00FA3C5E">
      <w:pPr>
        <w:pStyle w:val="Prrafodelista"/>
        <w:numPr>
          <w:ilvl w:val="0"/>
          <w:numId w:val="6"/>
        </w:numPr>
        <w:pBdr>
          <w:top w:val="nil"/>
          <w:left w:val="nil"/>
          <w:bottom w:val="nil"/>
          <w:right w:val="nil"/>
          <w:between w:val="nil"/>
        </w:pBdr>
        <w:jc w:val="both"/>
        <w:rPr>
          <w:rFonts w:ascii="Palatino Linotype" w:eastAsia="Palatino Linotype" w:hAnsi="Palatino Linotype" w:cs="Palatino Linotype"/>
          <w:i/>
          <w:iCs/>
          <w:color w:val="000000" w:themeColor="text1"/>
        </w:rPr>
      </w:pPr>
      <w:r w:rsidRPr="00FA3C5E">
        <w:rPr>
          <w:rFonts w:ascii="Palatino Linotype" w:eastAsia="Palatino Linotype" w:hAnsi="Palatino Linotype" w:cs="Palatino Linotype"/>
          <w:b/>
          <w:bCs/>
          <w:color w:val="000000" w:themeColor="text1"/>
        </w:rPr>
        <w:t>RAZONES O MOTIVOS DE LA INCONFORMIDAD:</w:t>
      </w:r>
      <w:r w:rsidRPr="00FA3C5E">
        <w:rPr>
          <w:rFonts w:ascii="Palatino Linotype" w:eastAsia="Palatino Linotype" w:hAnsi="Palatino Linotype" w:cs="Palatino Linotype"/>
          <w:b/>
          <w:bCs/>
          <w:i/>
          <w:iCs/>
          <w:color w:val="000000" w:themeColor="text1"/>
        </w:rPr>
        <w:t xml:space="preserve"> </w:t>
      </w:r>
      <w:r w:rsidRPr="00FA3C5E">
        <w:rPr>
          <w:rFonts w:ascii="Palatino Linotype" w:eastAsia="Palatino Linotype" w:hAnsi="Palatino Linotype" w:cs="Palatino Linotype"/>
          <w:i/>
          <w:iCs/>
          <w:color w:val="000000" w:themeColor="text1"/>
        </w:rPr>
        <w:t>“FALTO ME ENTREGARAN LAS CEDULAS GENERADOAS POR EL SISTEMA REDATOSEM QUE MENCIONAN EN SU RESPUESTA ASÍ COMO LOS DOCUMENTOS DE SEGURIDAD” (Sic)</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320664" w:rsidRPr="004268A6" w:rsidRDefault="00FA3C5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Pr>
          <w:rFonts w:ascii="Palatino Linotype" w:eastAsia="Palatino Linotype" w:hAnsi="Palatino Linotype" w:cs="Palatino Linotype"/>
          <w:color w:val="000000" w:themeColor="text1"/>
        </w:rPr>
        <w:t>La Comisionada p</w:t>
      </w:r>
      <w:r w:rsidR="001F24AE" w:rsidRPr="004268A6">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 fecha </w:t>
      </w:r>
      <w:r w:rsidR="001F24AE" w:rsidRPr="004268A6">
        <w:rPr>
          <w:rFonts w:ascii="Palatino Linotype" w:eastAsia="Palatino Linotype" w:hAnsi="Palatino Linotype" w:cs="Palatino Linotype"/>
          <w:b/>
          <w:bCs/>
          <w:color w:val="000000" w:themeColor="text1"/>
        </w:rPr>
        <w:t>doce de mayo de dos mil veinticinco</w:t>
      </w:r>
      <w:r w:rsidR="001F24AE" w:rsidRPr="004268A6">
        <w:rPr>
          <w:rFonts w:ascii="Palatino Linotype" w:eastAsia="Palatino Linotype" w:hAnsi="Palatino Linotype" w:cs="Palatino Linotype"/>
          <w:color w:val="000000" w:themeColor="text1"/>
        </w:rPr>
        <w:t xml:space="preserve">, puso a disposición de las partes el expediente electrónico vía </w:t>
      </w:r>
      <w:r w:rsidR="001F24AE" w:rsidRPr="004268A6">
        <w:rPr>
          <w:rFonts w:ascii="Palatino Linotype" w:eastAsia="Palatino Linotype" w:hAnsi="Palatino Linotype" w:cs="Palatino Linotype"/>
          <w:b/>
          <w:bCs/>
          <w:color w:val="000000" w:themeColor="text1"/>
        </w:rPr>
        <w:t xml:space="preserve">SAIMEX </w:t>
      </w:r>
      <w:r w:rsidR="001F24AE" w:rsidRPr="004268A6">
        <w:rPr>
          <w:rFonts w:ascii="Palatino Linotype" w:eastAsia="Palatino Linotype" w:hAnsi="Palatino Linotype" w:cs="Palatino Linotype"/>
          <w:color w:val="000000" w:themeColor="text1"/>
        </w:rPr>
        <w:t xml:space="preserve">a efecto de que en un plazo máximo de siete días manifestaran lo que a su derecho conviniera, ofrecieran pruebas y alegatos según corresponda a los casos concretos, y el </w:t>
      </w:r>
      <w:r w:rsidR="001F24AE" w:rsidRPr="004268A6">
        <w:rPr>
          <w:rFonts w:ascii="Palatino Linotype" w:eastAsia="Palatino Linotype" w:hAnsi="Palatino Linotype" w:cs="Palatino Linotype"/>
          <w:b/>
          <w:bCs/>
          <w:color w:val="000000" w:themeColor="text1"/>
        </w:rPr>
        <w:t>SUJETO OBLIGADO</w:t>
      </w:r>
      <w:r w:rsidR="001F24AE" w:rsidRPr="004268A6">
        <w:rPr>
          <w:rFonts w:ascii="Palatino Linotype" w:eastAsia="Palatino Linotype" w:hAnsi="Palatino Linotype" w:cs="Palatino Linotype"/>
          <w:color w:val="000000" w:themeColor="text1"/>
        </w:rPr>
        <w:t xml:space="preserve"> presentará el Informe Justificado procedente.</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El </w:t>
      </w:r>
      <w:r w:rsidRPr="004268A6">
        <w:rPr>
          <w:rFonts w:ascii="Palatino Linotype" w:eastAsia="Palatino Linotype" w:hAnsi="Palatino Linotype" w:cs="Palatino Linotype"/>
          <w:b/>
          <w:bCs/>
          <w:color w:val="000000" w:themeColor="text1"/>
        </w:rPr>
        <w:t>veintiséis de mayo de dos mil veinticinco</w:t>
      </w:r>
      <w:r w:rsidRPr="004268A6">
        <w:rPr>
          <w:rFonts w:ascii="Palatino Linotype" w:eastAsia="Palatino Linotype" w:hAnsi="Palatino Linotype" w:cs="Palatino Linotype"/>
          <w:color w:val="000000" w:themeColor="text1"/>
        </w:rPr>
        <w:t xml:space="preserve">,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rindió el informe justificado correspondiente, por medio del archivo electrónico denominado </w:t>
      </w:r>
      <w:hyperlink r:id="rId11">
        <w:r w:rsidRPr="004268A6">
          <w:rPr>
            <w:rFonts w:ascii="Palatino Linotype" w:eastAsia="Palatino Linotype" w:hAnsi="Palatino Linotype" w:cs="Palatino Linotype"/>
            <w:b/>
            <w:bCs/>
            <w:color w:val="000000" w:themeColor="text1"/>
          </w:rPr>
          <w:t>InformeJustificadoRecurso05313UT_2025.pdf</w:t>
        </w:r>
      </w:hyperlink>
      <w:r w:rsidRPr="004268A6">
        <w:rPr>
          <w:rFonts w:ascii="Palatino Linotype" w:eastAsia="Palatino Linotype" w:hAnsi="Palatino Linotype" w:cs="Palatino Linotype"/>
          <w:color w:val="000000" w:themeColor="text1"/>
        </w:rPr>
        <w:t xml:space="preserve">, consistente en un oficio suscrito por la Titular de la Unidad de transparencia, por medio del cual, </w:t>
      </w:r>
      <w:r w:rsidRPr="004268A6">
        <w:rPr>
          <w:rFonts w:ascii="Palatino Linotype" w:eastAsia="Palatino Linotype" w:hAnsi="Palatino Linotype" w:cs="Palatino Linotype"/>
          <w:b/>
          <w:bCs/>
          <w:color w:val="000000" w:themeColor="text1"/>
        </w:rPr>
        <w:t>precisó</w:t>
      </w:r>
      <w:r w:rsidRPr="004268A6">
        <w:rPr>
          <w:rFonts w:ascii="Palatino Linotype" w:eastAsia="Palatino Linotype" w:hAnsi="Palatino Linotype" w:cs="Palatino Linotype"/>
          <w:color w:val="000000" w:themeColor="text1"/>
        </w:rPr>
        <w:t xml:space="preserve"> que las cédulas generadas </w:t>
      </w:r>
      <w:r w:rsidRPr="004268A6">
        <w:rPr>
          <w:rFonts w:ascii="Palatino Linotype" w:eastAsia="Palatino Linotype" w:hAnsi="Palatino Linotype" w:cs="Palatino Linotype"/>
          <w:color w:val="000000" w:themeColor="text1"/>
        </w:rPr>
        <w:lastRenderedPageBreak/>
        <w:t xml:space="preserve">por el sistema Redatosem, fueron proporcionadas y forman parte de la serie de archivos que le fueron notificados en la carpeta comprimida "RespuestaSolicitud00247UT2025.zip", específicamente se encuentran contenidos en la carpeta “Redatosem" y tales documentos corresponden con el generado por el sistema Registro de Sistemas de Datos Personales del Estado de México (Redatosem), al visualizar el Registro del Sistema de Datos Personales de cada una de las Unidades Administrativas que cuentan con bases de datos personales de este Instituto. Ahora bien, respecto a los documentos de seguridad, relacionados con lo previsto en el artículo 48 de la Ley de Protección de Datos Personales en Posesión de Sujetos Obligados del Estado de México, señaló que existe un documento de seguridad por Sistema de Datos Personales de cada Unidad Administrativa que cuenta con bases de datos personales de este Instituto, relacionadas con el ejercicio de sus funciones y atribuciones y que se relacionan con datos personales; no obstante, al ser documentales que se componen de información que se relaciona con las medidas de seguridad, lo proporcionado fueron los documentos en una versión que omite dicha información relacionada con las medidas de seguridad, al haber sido clasificada por las áreas como información confidencial, acorde particularmente con el artículo 43 de la Ley de Protección de Datos Personales en Posesión de Sujetos Obligados del Estado de México y Municipios. De ahí que, en cada carpeta contenida en el archivo </w:t>
      </w:r>
      <w:r w:rsidRPr="004268A6">
        <w:rPr>
          <w:rFonts w:ascii="Palatino Linotype" w:eastAsia="Palatino Linotype" w:hAnsi="Palatino Linotype" w:cs="Palatino Linotype"/>
          <w:i/>
          <w:iCs/>
          <w:color w:val="000000" w:themeColor="text1"/>
        </w:rPr>
        <w:t>.zip</w:t>
      </w:r>
      <w:r w:rsidRPr="004268A6">
        <w:rPr>
          <w:rFonts w:ascii="Palatino Linotype" w:eastAsia="Palatino Linotype" w:hAnsi="Palatino Linotype" w:cs="Palatino Linotype"/>
          <w:color w:val="000000" w:themeColor="text1"/>
        </w:rPr>
        <w:t xml:space="preserve"> remitido en respuesta, correspondiente con las siglas de cada Unidad Administrativa que proporciona la documentación, se encuentran tales documentos de seguridad únicamente con los elementos que no se relacionan con medidas de seguridad para la protección de los datos personales.</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lastRenderedPageBreak/>
        <w:t xml:space="preserve">El </w:t>
      </w:r>
      <w:r w:rsidRPr="004268A6">
        <w:rPr>
          <w:rFonts w:ascii="Palatino Linotype" w:eastAsia="Palatino Linotype" w:hAnsi="Palatino Linotype" w:cs="Palatino Linotype"/>
          <w:b/>
          <w:bCs/>
          <w:color w:val="000000" w:themeColor="text1"/>
        </w:rPr>
        <w:t xml:space="preserve">tres de diciembre de dos mil veinticinco, </w:t>
      </w:r>
      <w:r w:rsidRPr="004268A6">
        <w:rPr>
          <w:rFonts w:ascii="Palatino Linotype" w:eastAsia="Palatino Linotype" w:hAnsi="Palatino Linotype" w:cs="Palatino Linotype"/>
          <w:color w:val="000000" w:themeColor="text1"/>
        </w:rPr>
        <w:t xml:space="preserve">se decretó el cierre de instrucción, por lo que no habiendo más que hacer constar y </w:t>
      </w:r>
    </w:p>
    <w:p w:rsidR="00320664" w:rsidRPr="004268A6" w:rsidRDefault="00320664" w:rsidP="004268A6">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320664" w:rsidRPr="004268A6" w:rsidRDefault="001F24AE" w:rsidP="004268A6">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3" w:name="_heading=h.tcdf2ax2f2z" w:colFirst="0" w:colLast="0"/>
      <w:bookmarkEnd w:id="3"/>
      <w:r w:rsidRPr="004268A6">
        <w:rPr>
          <w:rFonts w:ascii="Palatino Linotype" w:eastAsia="Palatino Linotype" w:hAnsi="Palatino Linotype" w:cs="Palatino Linotype"/>
          <w:b/>
          <w:bCs/>
          <w:color w:val="000000" w:themeColor="text1"/>
          <w:sz w:val="24"/>
          <w:szCs w:val="24"/>
        </w:rPr>
        <w:t>C</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O</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N</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S</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I</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D</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E</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R</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A</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N</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D</w:t>
      </w:r>
      <w:r w:rsidR="00FA3C5E">
        <w:rPr>
          <w:rFonts w:ascii="Palatino Linotype" w:eastAsia="Palatino Linotype" w:hAnsi="Palatino Linotype" w:cs="Palatino Linotype"/>
          <w:b/>
          <w:bCs/>
          <w:color w:val="000000" w:themeColor="text1"/>
          <w:sz w:val="24"/>
          <w:szCs w:val="24"/>
        </w:rPr>
        <w:t xml:space="preserve"> </w:t>
      </w:r>
      <w:r w:rsidRPr="004268A6">
        <w:rPr>
          <w:rFonts w:ascii="Palatino Linotype" w:eastAsia="Palatino Linotype" w:hAnsi="Palatino Linotype" w:cs="Palatino Linotype"/>
          <w:b/>
          <w:bCs/>
          <w:color w:val="000000" w:themeColor="text1"/>
          <w:sz w:val="24"/>
          <w:szCs w:val="24"/>
        </w:rPr>
        <w:t>O</w:t>
      </w:r>
    </w:p>
    <w:p w:rsidR="00320664" w:rsidRPr="004268A6" w:rsidRDefault="00320664" w:rsidP="004268A6">
      <w:pPr>
        <w:pStyle w:val="Ttulo2"/>
        <w:spacing w:before="0"/>
        <w:rPr>
          <w:rFonts w:ascii="Palatino Linotype" w:eastAsia="Palatino Linotype" w:hAnsi="Palatino Linotype" w:cs="Palatino Linotype"/>
          <w:b/>
          <w:bCs/>
          <w:color w:val="000000" w:themeColor="text1"/>
          <w:sz w:val="24"/>
          <w:szCs w:val="24"/>
        </w:rPr>
      </w:pPr>
      <w:bookmarkStart w:id="4" w:name="_heading=h.eukquq32djgq" w:colFirst="0" w:colLast="0"/>
      <w:bookmarkEnd w:id="4"/>
    </w:p>
    <w:p w:rsidR="00320664" w:rsidRPr="004268A6" w:rsidRDefault="001F24AE" w:rsidP="004268A6">
      <w:pPr>
        <w:pStyle w:val="Ttulo2"/>
        <w:spacing w:before="0" w:line="360" w:lineRule="auto"/>
        <w:rPr>
          <w:rFonts w:ascii="Palatino Linotype" w:eastAsia="Palatino Linotype" w:hAnsi="Palatino Linotype" w:cs="Palatino Linotype"/>
          <w:b/>
          <w:bCs/>
          <w:color w:val="000000" w:themeColor="text1"/>
          <w:sz w:val="24"/>
          <w:szCs w:val="24"/>
        </w:rPr>
      </w:pPr>
      <w:r w:rsidRPr="004268A6">
        <w:rPr>
          <w:rFonts w:ascii="Palatino Linotype" w:eastAsia="Palatino Linotype" w:hAnsi="Palatino Linotype" w:cs="Palatino Linotype"/>
          <w:b/>
          <w:bCs/>
          <w:color w:val="000000" w:themeColor="text1"/>
          <w:sz w:val="24"/>
          <w:szCs w:val="24"/>
        </w:rPr>
        <w:t>PRIMERO. De la competencia</w:t>
      </w: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1, 81, 82 fracciones I y III, 119, 127, 128 y 129, de la Ley de Protección de Datos Personales en Posesión de Sujetos Obligados del Estado de México y Municipios;  1, 2, fracción II, 13, 29, 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rsidR="00320664" w:rsidRPr="004268A6" w:rsidRDefault="00320664" w:rsidP="004268A6">
      <w:pPr>
        <w:jc w:val="both"/>
        <w:rPr>
          <w:rFonts w:ascii="Palatino Linotype" w:eastAsia="Palatino Linotype" w:hAnsi="Palatino Linotype" w:cs="Palatino Linotype"/>
          <w:color w:val="000000" w:themeColor="text1"/>
        </w:rPr>
      </w:pPr>
    </w:p>
    <w:p w:rsidR="00320664" w:rsidRPr="004268A6" w:rsidRDefault="001F24AE" w:rsidP="004268A6">
      <w:pPr>
        <w:spacing w:line="360" w:lineRule="auto"/>
        <w:jc w:val="both"/>
        <w:rPr>
          <w:rFonts w:ascii="Palatino Linotype" w:eastAsia="Palatino Linotype" w:hAnsi="Palatino Linotype" w:cs="Palatino Linotype"/>
          <w:b/>
          <w:bCs/>
          <w:color w:val="000000" w:themeColor="text1"/>
        </w:rPr>
      </w:pPr>
      <w:bookmarkStart w:id="5" w:name="_heading=h.dyf81up906hi" w:colFirst="0" w:colLast="0"/>
      <w:bookmarkEnd w:id="5"/>
      <w:r w:rsidRPr="004268A6">
        <w:rPr>
          <w:rFonts w:ascii="Palatino Linotype" w:eastAsia="Palatino Linotype" w:hAnsi="Palatino Linotype" w:cs="Palatino Linotype"/>
          <w:color w:val="000000" w:themeColor="text1"/>
        </w:rPr>
        <w:t xml:space="preserve"> </w:t>
      </w:r>
      <w:r w:rsidRPr="004268A6">
        <w:rPr>
          <w:rFonts w:ascii="Palatino Linotype" w:eastAsia="Palatino Linotype" w:hAnsi="Palatino Linotype" w:cs="Palatino Linotype"/>
          <w:b/>
          <w:bCs/>
          <w:color w:val="000000" w:themeColor="text1"/>
        </w:rPr>
        <w:t>SEGUNDO. De la oportunidad y procedencia.</w:t>
      </w: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El medio de impugnación fue presentado a través del </w:t>
      </w:r>
      <w:r w:rsidRPr="004268A6">
        <w:rPr>
          <w:rFonts w:ascii="Palatino Linotype" w:eastAsia="Palatino Linotype" w:hAnsi="Palatino Linotype" w:cs="Palatino Linotype"/>
          <w:b/>
          <w:bCs/>
          <w:color w:val="000000" w:themeColor="text1"/>
        </w:rPr>
        <w:t>SAIMEX,</w:t>
      </w:r>
      <w:r w:rsidRPr="004268A6">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entregó </w:t>
      </w:r>
      <w:r w:rsidRPr="004268A6">
        <w:rPr>
          <w:rFonts w:ascii="Palatino Linotype" w:eastAsia="Palatino Linotype" w:hAnsi="Palatino Linotype" w:cs="Palatino Linotype"/>
          <w:color w:val="000000" w:themeColor="text1"/>
        </w:rPr>
        <w:lastRenderedPageBreak/>
        <w:t xml:space="preserve">respuesta el </w:t>
      </w:r>
      <w:r w:rsidRPr="004268A6">
        <w:rPr>
          <w:rFonts w:ascii="Palatino Linotype" w:eastAsia="Palatino Linotype" w:hAnsi="Palatino Linotype" w:cs="Palatino Linotype"/>
          <w:b/>
          <w:bCs/>
          <w:color w:val="000000" w:themeColor="text1"/>
        </w:rPr>
        <w:t>veinticuatro de abril de dos mil veinticinco</w:t>
      </w:r>
      <w:r w:rsidRPr="004268A6">
        <w:rPr>
          <w:rFonts w:ascii="Palatino Linotype" w:eastAsia="Palatino Linotype" w:hAnsi="Palatino Linotype" w:cs="Palatino Linotype"/>
          <w:color w:val="000000" w:themeColor="text1"/>
        </w:rPr>
        <w:t xml:space="preserve">, de tal forma que el plazo para interponer el recurso transcurrió del </w:t>
      </w:r>
      <w:r w:rsidRPr="004268A6">
        <w:rPr>
          <w:rFonts w:ascii="Palatino Linotype" w:eastAsia="Palatino Linotype" w:hAnsi="Palatino Linotype" w:cs="Palatino Linotype"/>
          <w:b/>
          <w:bCs/>
          <w:color w:val="000000" w:themeColor="text1"/>
        </w:rPr>
        <w:t xml:space="preserve">veintinueve de abril al veintidós de mayo de dos mil veinticinco, </w:t>
      </w:r>
      <w:r w:rsidRPr="004268A6">
        <w:rPr>
          <w:rFonts w:ascii="Palatino Linotype" w:eastAsia="Palatino Linotype" w:hAnsi="Palatino Linotype" w:cs="Palatino Linotype"/>
          <w:color w:val="000000" w:themeColor="text1"/>
        </w:rPr>
        <w:t xml:space="preserve">en consecuencia, si el </w:t>
      </w:r>
      <w:r w:rsidRPr="004268A6">
        <w:rPr>
          <w:rFonts w:ascii="Palatino Linotype" w:eastAsia="Palatino Linotype" w:hAnsi="Palatino Linotype" w:cs="Palatino Linotype"/>
          <w:b/>
          <w:bCs/>
          <w:color w:val="000000" w:themeColor="text1"/>
        </w:rPr>
        <w:t>PARTICULAR</w:t>
      </w:r>
      <w:r w:rsidRPr="004268A6">
        <w:rPr>
          <w:rFonts w:ascii="Palatino Linotype" w:eastAsia="Palatino Linotype" w:hAnsi="Palatino Linotype" w:cs="Palatino Linotype"/>
          <w:color w:val="000000" w:themeColor="text1"/>
        </w:rPr>
        <w:t xml:space="preserve"> presentó su inconformidad el </w:t>
      </w:r>
      <w:r w:rsidRPr="004268A6">
        <w:rPr>
          <w:rFonts w:ascii="Palatino Linotype" w:eastAsia="Palatino Linotype" w:hAnsi="Palatino Linotype" w:cs="Palatino Linotype"/>
          <w:b/>
          <w:bCs/>
          <w:color w:val="000000" w:themeColor="text1"/>
        </w:rPr>
        <w:t>diez de mayo de dos mil veinticinco</w:t>
      </w:r>
      <w:r w:rsidRPr="004268A6">
        <w:rPr>
          <w:rFonts w:ascii="Palatino Linotype" w:eastAsia="Palatino Linotype" w:hAnsi="Palatino Linotype" w:cs="Palatino Linotype"/>
          <w:color w:val="000000" w:themeColor="text1"/>
        </w:rPr>
        <w:t xml:space="preserve">, este se encuentra dentro de los márgenes temporales previstos en el artículo 178 de la </w:t>
      </w:r>
      <w:r w:rsidRPr="004268A6">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4268A6">
        <w:rPr>
          <w:rFonts w:ascii="Palatino Linotype" w:eastAsia="Palatino Linotype" w:hAnsi="Palatino Linotype" w:cs="Palatino Linotype"/>
          <w:color w:val="000000" w:themeColor="text1"/>
        </w:rPr>
        <w:t xml:space="preserve">vigente. </w:t>
      </w:r>
    </w:p>
    <w:p w:rsidR="00320664" w:rsidRPr="004268A6" w:rsidRDefault="00320664" w:rsidP="004268A6">
      <w:pPr>
        <w:rPr>
          <w:rFonts w:ascii="Palatino Linotype" w:eastAsia="Palatino Linotype" w:hAnsi="Palatino Linotype" w:cs="Palatino Linotype"/>
          <w:color w:val="000000" w:themeColor="text1"/>
        </w:rPr>
      </w:pPr>
    </w:p>
    <w:p w:rsidR="00320664" w:rsidRPr="004268A6" w:rsidRDefault="001F24AE" w:rsidP="004268A6">
      <w:pPr>
        <w:spacing w:line="360" w:lineRule="auto"/>
        <w:jc w:val="both"/>
        <w:rPr>
          <w:rFonts w:ascii="Palatino Linotype" w:eastAsia="Palatino Linotype" w:hAnsi="Palatino Linotype" w:cs="Palatino Linotype"/>
          <w:b/>
          <w:bCs/>
          <w:color w:val="000000" w:themeColor="text1"/>
        </w:rPr>
      </w:pPr>
      <w:bookmarkStart w:id="6" w:name="_heading=h.460b73ogeowf" w:colFirst="0" w:colLast="0"/>
      <w:bookmarkEnd w:id="6"/>
      <w:r w:rsidRPr="004268A6">
        <w:rPr>
          <w:rFonts w:ascii="Palatino Linotype" w:eastAsia="Palatino Linotype" w:hAnsi="Palatino Linotype" w:cs="Palatino Linotype"/>
          <w:b/>
          <w:bCs/>
          <w:color w:val="000000" w:themeColor="text1"/>
        </w:rPr>
        <w:t>TERCERO. TERCERO. Planteamiento de la Litis.</w:t>
      </w: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7" w:name="_heading=h.5eydxgo93i9r" w:colFirst="0" w:colLast="0"/>
      <w:bookmarkEnd w:id="7"/>
      <w:r w:rsidRPr="004268A6">
        <w:rPr>
          <w:rFonts w:ascii="Palatino Linotype" w:eastAsia="Palatino Linotype" w:hAnsi="Palatino Linotype" w:cs="Palatino Linotype"/>
          <w:color w:val="000000" w:themeColor="text1"/>
        </w:rPr>
        <w:t xml:space="preserve">El </w:t>
      </w:r>
      <w:r w:rsidRPr="004268A6">
        <w:rPr>
          <w:rFonts w:ascii="Palatino Linotype" w:eastAsia="Palatino Linotype" w:hAnsi="Palatino Linotype" w:cs="Palatino Linotype"/>
          <w:b/>
          <w:bCs/>
          <w:color w:val="000000" w:themeColor="text1"/>
        </w:rPr>
        <w:t xml:space="preserve">RECURRENTE </w:t>
      </w:r>
      <w:r w:rsidRPr="004268A6">
        <w:rPr>
          <w:rFonts w:ascii="Palatino Linotype" w:eastAsia="Palatino Linotype" w:hAnsi="Palatino Linotype" w:cs="Palatino Linotype"/>
          <w:color w:val="000000" w:themeColor="text1"/>
        </w:rPr>
        <w:t>solicitó los documentos donde conste la actualización del Sistema REDATOSEM, la actualización de los Avisos de Privacidad y los documentos de seguridad de 2024 y del 01 de enero al 17 de marzo de 2025.</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emitió respuesta en términos del </w:t>
      </w:r>
      <w:r w:rsidRPr="004268A6">
        <w:rPr>
          <w:rFonts w:ascii="Palatino Linotype" w:eastAsia="Palatino Linotype" w:hAnsi="Palatino Linotype" w:cs="Palatino Linotype"/>
          <w:b/>
          <w:bCs/>
          <w:color w:val="000000" w:themeColor="text1"/>
        </w:rPr>
        <w:t>párrafo 4</w:t>
      </w:r>
      <w:r w:rsidRPr="004268A6">
        <w:rPr>
          <w:rFonts w:ascii="Palatino Linotype" w:eastAsia="Palatino Linotype" w:hAnsi="Palatino Linotype" w:cs="Palatino Linotype"/>
          <w:color w:val="000000" w:themeColor="text1"/>
        </w:rPr>
        <w:t xml:space="preserve"> de la presente resolución.</w:t>
      </w:r>
    </w:p>
    <w:p w:rsidR="00320664" w:rsidRPr="004268A6" w:rsidRDefault="00320664" w:rsidP="004268A6">
      <w:pPr>
        <w:pBdr>
          <w:top w:val="nil"/>
          <w:left w:val="nil"/>
          <w:bottom w:val="nil"/>
          <w:right w:val="nil"/>
          <w:between w:val="nil"/>
        </w:pBdr>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8" w:name="_heading=h.gjdgxs" w:colFirst="0" w:colLast="0"/>
      <w:bookmarkEnd w:id="8"/>
      <w:r w:rsidRPr="004268A6">
        <w:rPr>
          <w:rFonts w:ascii="Palatino Linotype" w:eastAsia="Palatino Linotype" w:hAnsi="Palatino Linotype" w:cs="Palatino Linotype"/>
          <w:color w:val="000000" w:themeColor="text1"/>
        </w:rPr>
        <w:t xml:space="preserve">Posteriormente, el </w:t>
      </w:r>
      <w:r w:rsidRPr="004268A6">
        <w:rPr>
          <w:rFonts w:ascii="Palatino Linotype" w:eastAsia="Palatino Linotype" w:hAnsi="Palatino Linotype" w:cs="Palatino Linotype"/>
          <w:b/>
          <w:bCs/>
          <w:color w:val="000000" w:themeColor="text1"/>
        </w:rPr>
        <w:t>RECURRENTE</w:t>
      </w:r>
      <w:r w:rsidRPr="004268A6">
        <w:rPr>
          <w:rFonts w:ascii="Palatino Linotype" w:eastAsia="Palatino Linotype" w:hAnsi="Palatino Linotype" w:cs="Palatino Linotype"/>
          <w:color w:val="000000" w:themeColor="text1"/>
        </w:rPr>
        <w:t xml:space="preserve"> se inconformó por </w:t>
      </w:r>
      <w:r w:rsidRPr="004268A6">
        <w:rPr>
          <w:rFonts w:ascii="Palatino Linotype" w:eastAsia="Palatino Linotype" w:hAnsi="Palatino Linotype" w:cs="Palatino Linotype"/>
          <w:b/>
          <w:bCs/>
          <w:color w:val="000000" w:themeColor="text1"/>
        </w:rPr>
        <w:t>la entrega de información incompleta, al referir que no le fueron entregadas las cédulas generadas por el sistema REDATOSEM, así como, los documentos de seguridad.</w:t>
      </w:r>
    </w:p>
    <w:p w:rsidR="00320664" w:rsidRPr="004268A6" w:rsidRDefault="00320664" w:rsidP="004268A6">
      <w:pPr>
        <w:pBdr>
          <w:top w:val="nil"/>
          <w:left w:val="nil"/>
          <w:bottom w:val="nil"/>
          <w:right w:val="nil"/>
          <w:between w:val="nil"/>
        </w:pBdr>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En dichas condiciones, la </w:t>
      </w:r>
      <w:r w:rsidRPr="004268A6">
        <w:rPr>
          <w:rFonts w:ascii="Palatino Linotype" w:eastAsia="Palatino Linotype" w:hAnsi="Palatino Linotype" w:cs="Palatino Linotype"/>
          <w:i/>
          <w:iCs/>
          <w:color w:val="000000" w:themeColor="text1"/>
        </w:rPr>
        <w:t>Litis</w:t>
      </w:r>
      <w:r w:rsidRPr="004268A6">
        <w:rPr>
          <w:rFonts w:ascii="Palatino Linotype" w:eastAsia="Palatino Linotype" w:hAnsi="Palatino Linotype" w:cs="Palatino Linotype"/>
          <w:color w:val="000000" w:themeColor="text1"/>
        </w:rPr>
        <w:t xml:space="preserve"> a resolver en el presente recurso de revisión se circunscribe a determinar si se actualizan la causal de procedencia prevista en el artículo 179, fracción</w:t>
      </w:r>
      <w:r w:rsidRPr="004268A6">
        <w:rPr>
          <w:rFonts w:ascii="Palatino Linotype" w:eastAsia="Palatino Linotype" w:hAnsi="Palatino Linotype" w:cs="Palatino Linotype"/>
          <w:b/>
          <w:bCs/>
          <w:color w:val="000000" w:themeColor="text1"/>
        </w:rPr>
        <w:t xml:space="preserve"> V </w:t>
      </w:r>
      <w:r w:rsidRPr="004268A6">
        <w:rPr>
          <w:rFonts w:ascii="Palatino Linotype" w:eastAsia="Palatino Linotype" w:hAnsi="Palatino Linotype" w:cs="Palatino Linotype"/>
          <w:color w:val="000000" w:themeColor="text1"/>
        </w:rPr>
        <w:t xml:space="preserve">de la </w:t>
      </w:r>
      <w:r w:rsidRPr="004268A6">
        <w:rPr>
          <w:rFonts w:ascii="Palatino Linotype" w:eastAsia="Palatino Linotype" w:hAnsi="Palatino Linotype" w:cs="Palatino Linotype"/>
          <w:b/>
          <w:bCs/>
          <w:color w:val="000000" w:themeColor="text1"/>
        </w:rPr>
        <w:t>Ley de Transparencia y Acceso a la Información Pública del Estado de México y Municipios</w:t>
      </w:r>
      <w:r w:rsidRPr="004268A6">
        <w:rPr>
          <w:rFonts w:ascii="Palatino Linotype" w:eastAsia="Palatino Linotype" w:hAnsi="Palatino Linotype" w:cs="Palatino Linotype"/>
          <w:color w:val="000000" w:themeColor="text1"/>
        </w:rPr>
        <w:t>.</w:t>
      </w:r>
    </w:p>
    <w:p w:rsidR="00320664" w:rsidRPr="004268A6" w:rsidRDefault="001F24AE" w:rsidP="004268A6">
      <w:pPr>
        <w:pStyle w:val="Ttulo2"/>
        <w:spacing w:before="0" w:line="360" w:lineRule="auto"/>
        <w:rPr>
          <w:rFonts w:ascii="Palatino Linotype" w:eastAsia="Palatino Linotype" w:hAnsi="Palatino Linotype" w:cs="Palatino Linotype"/>
          <w:b/>
          <w:bCs/>
          <w:color w:val="000000" w:themeColor="text1"/>
          <w:sz w:val="24"/>
          <w:szCs w:val="24"/>
        </w:rPr>
      </w:pPr>
      <w:r w:rsidRPr="004268A6">
        <w:rPr>
          <w:rFonts w:ascii="Palatino Linotype" w:eastAsia="Palatino Linotype" w:hAnsi="Palatino Linotype" w:cs="Palatino Linotype"/>
          <w:b/>
          <w:bCs/>
          <w:color w:val="000000" w:themeColor="text1"/>
          <w:sz w:val="24"/>
          <w:szCs w:val="24"/>
        </w:rPr>
        <w:lastRenderedPageBreak/>
        <w:t>CUARTA. Estudio y resolución del asunto.</w:t>
      </w: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Definiendo el Derecho de Acceso a la Información Pública como: </w:t>
      </w:r>
      <w:r w:rsidRPr="004268A6">
        <w:rPr>
          <w:rFonts w:ascii="Palatino Linotype" w:eastAsia="Palatino Linotype" w:hAnsi="Palatino Linotype" w:cs="Palatino Linotype"/>
          <w:i/>
          <w:iCs/>
          <w:color w:val="000000" w:themeColor="text1"/>
        </w:rPr>
        <w:t xml:space="preserve">La igualdad de </w:t>
      </w:r>
      <w:r w:rsidRPr="004268A6">
        <w:rPr>
          <w:rFonts w:ascii="Palatino Linotype" w:eastAsia="Palatino Linotype" w:hAnsi="Palatino Linotype" w:cs="Palatino Linotype"/>
          <w:color w:val="000000" w:themeColor="text1"/>
        </w:rPr>
        <w:t>oportunidades</w:t>
      </w:r>
      <w:r w:rsidRPr="004268A6">
        <w:rPr>
          <w:rFonts w:ascii="Palatino Linotype" w:eastAsia="Palatino Linotype" w:hAnsi="Palatino Linotype" w:cs="Palatino Linotype"/>
          <w:i/>
          <w:iCs/>
          <w:color w:val="000000" w:themeColor="text1"/>
        </w:rPr>
        <w:t xml:space="preserve"> para recibir, buscar e impartir información</w:t>
      </w:r>
      <w:r w:rsidRPr="004268A6">
        <w:rPr>
          <w:rFonts w:ascii="Palatino Linotype" w:eastAsia="Palatino Linotype" w:hAnsi="Palatino Linotype" w:cs="Palatino Linotype"/>
          <w:i/>
          <w:iCs/>
          <w:color w:val="000000" w:themeColor="text1"/>
          <w:vertAlign w:val="superscript"/>
        </w:rPr>
        <w:footnoteReference w:id="1"/>
      </w:r>
      <w:r w:rsidRPr="004268A6">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268A6">
        <w:rPr>
          <w:rFonts w:ascii="Palatino Linotype" w:eastAsia="Palatino Linotype" w:hAnsi="Palatino Linotype" w:cs="Palatino Linotype"/>
          <w:i/>
          <w:iCs/>
          <w:color w:val="000000" w:themeColor="text1"/>
          <w:vertAlign w:val="superscript"/>
        </w:rPr>
        <w:footnoteReference w:id="2"/>
      </w:r>
      <w:r w:rsidRPr="004268A6">
        <w:rPr>
          <w:rFonts w:ascii="Palatino Linotype" w:eastAsia="Palatino Linotype" w:hAnsi="Palatino Linotype" w:cs="Palatino Linotype"/>
          <w:color w:val="000000" w:themeColor="text1"/>
        </w:rPr>
        <w:t>que se constituye como una herramienta fundamental para ejercer</w:t>
      </w:r>
      <w:r w:rsidRPr="004268A6">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4268A6">
        <w:rPr>
          <w:rFonts w:ascii="Palatino Linotype" w:eastAsia="Palatino Linotype" w:hAnsi="Palatino Linotype" w:cs="Palatino Linotype"/>
          <w:i/>
          <w:iCs/>
          <w:color w:val="000000" w:themeColor="text1"/>
          <w:vertAlign w:val="superscript"/>
        </w:rPr>
        <w:footnoteReference w:id="3"/>
      </w:r>
      <w:r w:rsidRPr="004268A6">
        <w:rPr>
          <w:rFonts w:ascii="Palatino Linotype" w:eastAsia="Palatino Linotype" w:hAnsi="Palatino Linotype" w:cs="Palatino Linotype"/>
          <w:color w:val="000000" w:themeColor="text1"/>
        </w:rPr>
        <w:t>fomentando</w:t>
      </w:r>
      <w:r w:rsidRPr="004268A6">
        <w:rPr>
          <w:rFonts w:ascii="Palatino Linotype" w:eastAsia="Palatino Linotype" w:hAnsi="Palatino Linotype" w:cs="Palatino Linotype"/>
          <w:i/>
          <w:iCs/>
          <w:color w:val="000000" w:themeColor="text1"/>
        </w:rPr>
        <w:t xml:space="preserve"> la transparencia de las actividades estatales y </w:t>
      </w:r>
      <w:r w:rsidRPr="004268A6">
        <w:rPr>
          <w:rFonts w:ascii="Palatino Linotype" w:eastAsia="Palatino Linotype" w:hAnsi="Palatino Linotype" w:cs="Palatino Linotype"/>
          <w:color w:val="000000" w:themeColor="text1"/>
        </w:rPr>
        <w:t>promoviendo</w:t>
      </w:r>
      <w:r w:rsidRPr="004268A6">
        <w:rPr>
          <w:rFonts w:ascii="Palatino Linotype" w:eastAsia="Palatino Linotype" w:hAnsi="Palatino Linotype" w:cs="Palatino Linotype"/>
          <w:i/>
          <w:iCs/>
          <w:color w:val="000000" w:themeColor="text1"/>
        </w:rPr>
        <w:t xml:space="preserve"> la responsabilidad de los funcionarios sobre su gestión pública,</w:t>
      </w:r>
      <w:r w:rsidRPr="004268A6">
        <w:rPr>
          <w:rFonts w:ascii="Palatino Linotype" w:eastAsia="Palatino Linotype" w:hAnsi="Palatino Linotype" w:cs="Palatino Linotype"/>
          <w:i/>
          <w:iCs/>
          <w:color w:val="000000" w:themeColor="text1"/>
          <w:vertAlign w:val="superscript"/>
        </w:rPr>
        <w:footnoteReference w:id="4"/>
      </w:r>
      <w:r w:rsidRPr="004268A6">
        <w:rPr>
          <w:rFonts w:ascii="Palatino Linotype" w:eastAsia="Palatino Linotype" w:hAnsi="Palatino Linotype" w:cs="Palatino Linotype"/>
          <w:color w:val="000000" w:themeColor="text1"/>
        </w:rPr>
        <w:t>que permite</w:t>
      </w:r>
      <w:r w:rsidRPr="004268A6">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320664" w:rsidRPr="004268A6" w:rsidRDefault="00320664" w:rsidP="004268A6">
      <w:pPr>
        <w:pBdr>
          <w:top w:val="nil"/>
          <w:left w:val="nil"/>
          <w:bottom w:val="nil"/>
          <w:right w:val="nil"/>
          <w:between w:val="nil"/>
        </w:pBdr>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lastRenderedPageBreak/>
        <w:t>En México, además de los derechos, están reconocidas las garantías para su protección, en ese sentido el párrafo tercero de artículo primero de la Constitución Política de los Estados Unidos Mexicanos, dispone lo siguiente:</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w:t>
      </w:r>
      <w:r w:rsidRPr="004268A6">
        <w:rPr>
          <w:rFonts w:ascii="Palatino Linotype" w:eastAsia="Palatino Linotype" w:hAnsi="Palatino Linotype" w:cs="Palatino Linotype"/>
          <w:b/>
          <w:bCs/>
          <w:i/>
          <w:iCs/>
          <w:color w:val="000000" w:themeColor="text1"/>
        </w:rPr>
        <w:t>Artículo 1.-</w:t>
      </w:r>
      <w:r w:rsidRPr="004268A6">
        <w:rPr>
          <w:rFonts w:ascii="Palatino Linotype" w:eastAsia="Palatino Linotype" w:hAnsi="Palatino Linotype" w:cs="Palatino Linotype"/>
          <w:i/>
          <w:iCs/>
          <w:color w:val="000000" w:themeColor="text1"/>
        </w:rPr>
        <w:t xml:space="preserve"> </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Todas las</w:t>
      </w:r>
      <w:r w:rsidRPr="004268A6">
        <w:rPr>
          <w:rFonts w:ascii="Palatino Linotype" w:eastAsia="Palatino Linotype" w:hAnsi="Palatino Linotype" w:cs="Palatino Linotype"/>
          <w:color w:val="000000" w:themeColor="text1"/>
        </w:rPr>
        <w:t xml:space="preserve"> </w:t>
      </w:r>
      <w:r w:rsidRPr="004268A6">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20664" w:rsidRPr="004268A6" w:rsidRDefault="001F24AE" w:rsidP="004268A6">
      <w:pPr>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i/>
          <w:iCs/>
          <w:color w:val="000000" w:themeColor="text1"/>
        </w:rPr>
        <w:t>(…)</w:t>
      </w:r>
      <w:r w:rsidRPr="004268A6">
        <w:rPr>
          <w:rFonts w:ascii="Palatino Linotype" w:eastAsia="Palatino Linotype" w:hAnsi="Palatino Linotype" w:cs="Palatino Linotype"/>
          <w:color w:val="000000" w:themeColor="text1"/>
        </w:rPr>
        <w:t>”</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320664" w:rsidRPr="004268A6" w:rsidRDefault="001F24AE" w:rsidP="004268A6">
      <w:pPr>
        <w:jc w:val="both"/>
        <w:rPr>
          <w:rFonts w:ascii="Palatino Linotype" w:eastAsia="Palatino Linotype" w:hAnsi="Palatino Linotype" w:cs="Palatino Linotype"/>
          <w:b/>
          <w:bCs/>
          <w:i/>
          <w:iCs/>
          <w:color w:val="000000" w:themeColor="text1"/>
        </w:rPr>
      </w:pPr>
      <w:r w:rsidRPr="004268A6">
        <w:rPr>
          <w:rFonts w:ascii="Palatino Linotype" w:eastAsia="Palatino Linotype" w:hAnsi="Palatino Linotype" w:cs="Palatino Linotype"/>
          <w:b/>
          <w:bCs/>
          <w:i/>
          <w:iCs/>
          <w:color w:val="000000" w:themeColor="text1"/>
        </w:rPr>
        <w:t>Constitución Política de los Estados Unidos Mexicanos</w:t>
      </w:r>
    </w:p>
    <w:p w:rsidR="00320664" w:rsidRPr="004268A6" w:rsidRDefault="00320664" w:rsidP="004268A6">
      <w:pPr>
        <w:jc w:val="both"/>
        <w:rPr>
          <w:rFonts w:ascii="Palatino Linotype" w:eastAsia="Palatino Linotype" w:hAnsi="Palatino Linotype" w:cs="Palatino Linotype"/>
          <w:b/>
          <w:bCs/>
          <w:i/>
          <w:iCs/>
          <w:color w:val="000000" w:themeColor="text1"/>
        </w:rPr>
      </w:pPr>
    </w:p>
    <w:p w:rsidR="00320664" w:rsidRPr="004268A6" w:rsidRDefault="001F24AE" w:rsidP="004268A6">
      <w:pPr>
        <w:jc w:val="both"/>
        <w:rPr>
          <w:rFonts w:ascii="Palatino Linotype" w:eastAsia="Palatino Linotype" w:hAnsi="Palatino Linotype" w:cs="Palatino Linotype"/>
          <w:b/>
          <w:bCs/>
          <w:i/>
          <w:iCs/>
          <w:color w:val="000000" w:themeColor="text1"/>
        </w:rPr>
      </w:pPr>
      <w:r w:rsidRPr="004268A6">
        <w:rPr>
          <w:rFonts w:ascii="Palatino Linotype" w:eastAsia="Palatino Linotype" w:hAnsi="Palatino Linotype" w:cs="Palatino Linotype"/>
          <w:b/>
          <w:bCs/>
          <w:i/>
          <w:iCs/>
          <w:color w:val="000000" w:themeColor="text1"/>
        </w:rPr>
        <w:t>“Artículo 6.</w:t>
      </w:r>
      <w:r w:rsidRPr="004268A6">
        <w:rPr>
          <w:rFonts w:ascii="Palatino Linotype" w:eastAsia="Palatino Linotype" w:hAnsi="Palatino Linotype" w:cs="Palatino Linotype"/>
          <w:i/>
          <w:iCs/>
          <w:color w:val="000000" w:themeColor="text1"/>
        </w:rPr>
        <w:t xml:space="preserve"> …</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lastRenderedPageBreak/>
        <w:t>Para efectos de lo dispuesto en el presente artículo se observará lo siguiente:</w:t>
      </w:r>
    </w:p>
    <w:p w:rsidR="00320664" w:rsidRPr="004268A6" w:rsidRDefault="001F24AE" w:rsidP="004268A6">
      <w:pPr>
        <w:jc w:val="both"/>
        <w:rPr>
          <w:rFonts w:ascii="Palatino Linotype" w:eastAsia="Palatino Linotype" w:hAnsi="Palatino Linotype" w:cs="Palatino Linotype"/>
          <w:b/>
          <w:bCs/>
          <w:i/>
          <w:iCs/>
          <w:color w:val="000000" w:themeColor="text1"/>
        </w:rPr>
      </w:pPr>
      <w:r w:rsidRPr="004268A6">
        <w:rPr>
          <w:rFonts w:ascii="Palatino Linotype" w:eastAsia="Palatino Linotype" w:hAnsi="Palatino Linotype" w:cs="Palatino Linotype"/>
          <w:b/>
          <w:bCs/>
          <w:i/>
          <w:iCs/>
          <w:color w:val="000000" w:themeColor="text1"/>
        </w:rPr>
        <w:t>A</w:t>
      </w:r>
      <w:r w:rsidRPr="004268A6">
        <w:rPr>
          <w:rFonts w:ascii="Palatino Linotype" w:eastAsia="Palatino Linotype" w:hAnsi="Palatino Linotype" w:cs="Palatino Linotype"/>
          <w:i/>
          <w:iCs/>
          <w:color w:val="000000" w:themeColor="text1"/>
        </w:rPr>
        <w:t xml:space="preserve">. </w:t>
      </w:r>
      <w:r w:rsidRPr="004268A6">
        <w:rPr>
          <w:rFonts w:ascii="Palatino Linotype" w:eastAsia="Palatino Linotype" w:hAnsi="Palatino Linotype" w:cs="Palatino Linotype"/>
          <w:b/>
          <w:bCs/>
          <w:i/>
          <w:iCs/>
          <w:color w:val="000000" w:themeColor="text1"/>
        </w:rPr>
        <w:t>Para el ejercicio del derecho de acceso a la información</w:t>
      </w:r>
      <w:r w:rsidRPr="004268A6">
        <w:rPr>
          <w:rFonts w:ascii="Palatino Linotype" w:eastAsia="Palatino Linotype" w:hAnsi="Palatino Linotype" w:cs="Palatino Linotype"/>
          <w:i/>
          <w:iCs/>
          <w:color w:val="000000" w:themeColor="text1"/>
        </w:rPr>
        <w:t xml:space="preserve">, la Federación y </w:t>
      </w:r>
      <w:r w:rsidRPr="004268A6">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b/>
          <w:bCs/>
          <w:i/>
          <w:iCs/>
          <w:color w:val="000000" w:themeColor="text1"/>
        </w:rPr>
        <w:t xml:space="preserve">I. </w:t>
      </w:r>
      <w:r w:rsidRPr="004268A6">
        <w:rPr>
          <w:rFonts w:ascii="Palatino Linotype" w:eastAsia="Palatino Linotype" w:hAnsi="Palatino Linotype" w:cs="Palatino Linotype"/>
          <w:b/>
          <w:bCs/>
          <w:i/>
          <w:iCs/>
          <w:color w:val="000000" w:themeColor="text1"/>
        </w:rPr>
        <w:tab/>
        <w:t>Toda la información en posesión de cualquier</w:t>
      </w:r>
      <w:r w:rsidRPr="004268A6">
        <w:rPr>
          <w:rFonts w:ascii="Palatino Linotype" w:eastAsia="Palatino Linotype" w:hAnsi="Palatino Linotype" w:cs="Palatino Linotype"/>
          <w:i/>
          <w:iCs/>
          <w:color w:val="000000" w:themeColor="text1"/>
        </w:rPr>
        <w:t xml:space="preserve"> </w:t>
      </w:r>
      <w:r w:rsidRPr="004268A6">
        <w:rPr>
          <w:rFonts w:ascii="Palatino Linotype" w:eastAsia="Palatino Linotype" w:hAnsi="Palatino Linotype" w:cs="Palatino Linotype"/>
          <w:b/>
          <w:bCs/>
          <w:i/>
          <w:iCs/>
          <w:color w:val="000000" w:themeColor="text1"/>
        </w:rPr>
        <w:t>autoridad</w:t>
      </w:r>
      <w:r w:rsidRPr="004268A6">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268A6">
        <w:rPr>
          <w:rFonts w:ascii="Palatino Linotype" w:eastAsia="Palatino Linotype" w:hAnsi="Palatino Linotype" w:cs="Palatino Linotype"/>
          <w:b/>
          <w:bCs/>
          <w:i/>
          <w:iCs/>
          <w:color w:val="000000" w:themeColor="text1"/>
        </w:rPr>
        <w:t>municipal</w:t>
      </w:r>
      <w:r w:rsidRPr="004268A6">
        <w:rPr>
          <w:rFonts w:ascii="Palatino Linotype" w:eastAsia="Palatino Linotype" w:hAnsi="Palatino Linotype" w:cs="Palatino Linotype"/>
          <w:i/>
          <w:iCs/>
          <w:color w:val="000000" w:themeColor="text1"/>
        </w:rPr>
        <w:t xml:space="preserve">, </w:t>
      </w:r>
      <w:r w:rsidRPr="004268A6">
        <w:rPr>
          <w:rFonts w:ascii="Palatino Linotype" w:eastAsia="Palatino Linotype" w:hAnsi="Palatino Linotype" w:cs="Palatino Linotype"/>
          <w:b/>
          <w:bCs/>
          <w:i/>
          <w:iCs/>
          <w:color w:val="000000" w:themeColor="text1"/>
        </w:rPr>
        <w:t>es pública</w:t>
      </w:r>
      <w:r w:rsidRPr="004268A6">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4268A6">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4268A6">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320664" w:rsidRPr="004268A6" w:rsidRDefault="00320664" w:rsidP="004268A6">
      <w:pPr>
        <w:tabs>
          <w:tab w:val="left" w:pos="426"/>
          <w:tab w:val="left" w:pos="567"/>
        </w:tabs>
        <w:jc w:val="both"/>
        <w:rPr>
          <w:rFonts w:ascii="Palatino Linotype" w:eastAsia="Palatino Linotype" w:hAnsi="Palatino Linotype" w:cs="Palatino Linotype"/>
          <w:color w:val="000000" w:themeColor="text1"/>
        </w:rPr>
      </w:pPr>
    </w:p>
    <w:p w:rsidR="00320664" w:rsidRPr="004268A6" w:rsidRDefault="001F24AE" w:rsidP="004268A6">
      <w:pPr>
        <w:jc w:val="both"/>
        <w:rPr>
          <w:rFonts w:ascii="Palatino Linotype" w:eastAsia="Palatino Linotype" w:hAnsi="Palatino Linotype" w:cs="Palatino Linotype"/>
          <w:b/>
          <w:bCs/>
          <w:i/>
          <w:iCs/>
          <w:color w:val="000000" w:themeColor="text1"/>
        </w:rPr>
      </w:pPr>
      <w:r w:rsidRPr="004268A6">
        <w:rPr>
          <w:rFonts w:ascii="Palatino Linotype" w:eastAsia="Palatino Linotype" w:hAnsi="Palatino Linotype" w:cs="Palatino Linotype"/>
          <w:b/>
          <w:bCs/>
          <w:i/>
          <w:iCs/>
          <w:color w:val="000000" w:themeColor="text1"/>
        </w:rPr>
        <w:t>Constitución Política del Estado Libre y Soberano de México</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b/>
          <w:bCs/>
          <w:i/>
          <w:iCs/>
          <w:color w:val="000000" w:themeColor="text1"/>
        </w:rPr>
        <w:t>“Artículo 5</w:t>
      </w:r>
      <w:r w:rsidRPr="004268A6">
        <w:rPr>
          <w:rFonts w:ascii="Palatino Linotype" w:eastAsia="Palatino Linotype" w:hAnsi="Palatino Linotype" w:cs="Palatino Linotype"/>
          <w:i/>
          <w:iCs/>
          <w:color w:val="000000" w:themeColor="text1"/>
        </w:rPr>
        <w:t>.-…</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4268A6">
        <w:rPr>
          <w:rFonts w:ascii="Palatino Linotype" w:eastAsia="Palatino Linotype" w:hAnsi="Palatino Linotype" w:cs="Palatino Linotype"/>
          <w:i/>
          <w:iCs/>
          <w:color w:val="000000" w:themeColor="text1"/>
        </w:rPr>
        <w:t>.</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20664" w:rsidRPr="004268A6" w:rsidRDefault="00320664" w:rsidP="004268A6">
      <w:pPr>
        <w:jc w:val="both"/>
        <w:rPr>
          <w:rFonts w:ascii="Palatino Linotype" w:eastAsia="Palatino Linotype" w:hAnsi="Palatino Linotype" w:cs="Palatino Linotype"/>
          <w:i/>
          <w:iCs/>
          <w:color w:val="000000" w:themeColor="text1"/>
        </w:rPr>
      </w:pP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b/>
          <w:bCs/>
          <w:i/>
          <w:iCs/>
          <w:color w:val="000000" w:themeColor="text1"/>
        </w:rPr>
        <w:t>Este derecho se regirá por los principios y bases siguientes</w:t>
      </w:r>
      <w:r w:rsidRPr="004268A6">
        <w:rPr>
          <w:rFonts w:ascii="Palatino Linotype" w:eastAsia="Palatino Linotype" w:hAnsi="Palatino Linotype" w:cs="Palatino Linotype"/>
          <w:i/>
          <w:iCs/>
          <w:color w:val="000000" w:themeColor="text1"/>
        </w:rPr>
        <w:t>:</w:t>
      </w:r>
    </w:p>
    <w:p w:rsidR="00320664" w:rsidRPr="004268A6" w:rsidRDefault="001F24AE" w:rsidP="004268A6">
      <w:pPr>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b/>
          <w:bCs/>
          <w:i/>
          <w:iCs/>
          <w:color w:val="000000" w:themeColor="text1"/>
        </w:rPr>
        <w:t>Toda la información en posesión de cualquier autoridad, entidad, órgano y organismos de los</w:t>
      </w:r>
      <w:r w:rsidRPr="004268A6">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4268A6">
        <w:rPr>
          <w:rFonts w:ascii="Palatino Linotype" w:eastAsia="Palatino Linotype" w:hAnsi="Palatino Linotype" w:cs="Palatino Linotype"/>
          <w:b/>
          <w:bCs/>
          <w:i/>
          <w:iCs/>
          <w:color w:val="000000" w:themeColor="text1"/>
        </w:rPr>
        <w:t>municipales</w:t>
      </w:r>
      <w:r w:rsidRPr="004268A6">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268A6">
        <w:rPr>
          <w:rFonts w:ascii="Palatino Linotype" w:eastAsia="Palatino Linotype" w:hAnsi="Palatino Linotype" w:cs="Palatino Linotype"/>
          <w:b/>
          <w:bCs/>
          <w:i/>
          <w:iCs/>
          <w:color w:val="000000" w:themeColor="text1"/>
        </w:rPr>
        <w:t>es pública</w:t>
      </w:r>
      <w:r w:rsidRPr="004268A6">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4268A6">
        <w:rPr>
          <w:rFonts w:ascii="Palatino Linotype" w:eastAsia="Palatino Linotype" w:hAnsi="Palatino Linotype" w:cs="Palatino Linotype"/>
          <w:b/>
          <w:bCs/>
          <w:i/>
          <w:iCs/>
          <w:color w:val="000000" w:themeColor="text1"/>
        </w:rPr>
        <w:t>En la interpretación de este derecho deberá prevalecer el principio de máxima publicidad</w:t>
      </w:r>
      <w:r w:rsidRPr="004268A6">
        <w:rPr>
          <w:rFonts w:ascii="Palatino Linotype" w:eastAsia="Palatino Linotype" w:hAnsi="Palatino Linotype" w:cs="Palatino Linotype"/>
          <w:i/>
          <w:iCs/>
          <w:color w:val="000000" w:themeColor="text1"/>
        </w:rPr>
        <w:t xml:space="preserve">. </w:t>
      </w:r>
      <w:r w:rsidRPr="004268A6">
        <w:rPr>
          <w:rFonts w:ascii="Palatino Linotype" w:eastAsia="Palatino Linotype" w:hAnsi="Palatino Linotype" w:cs="Palatino Linotype"/>
          <w:b/>
          <w:bCs/>
          <w:i/>
          <w:iCs/>
          <w:color w:val="000000" w:themeColor="text1"/>
        </w:rPr>
        <w:t xml:space="preserve">Los sujetos obligados deberán documentar todo acto que derive del ejercicio de </w:t>
      </w:r>
      <w:r w:rsidRPr="004268A6">
        <w:rPr>
          <w:rFonts w:ascii="Palatino Linotype" w:eastAsia="Palatino Linotype" w:hAnsi="Palatino Linotype" w:cs="Palatino Linotype"/>
          <w:b/>
          <w:bCs/>
          <w:i/>
          <w:iCs/>
          <w:color w:val="000000" w:themeColor="text1"/>
        </w:rPr>
        <w:lastRenderedPageBreak/>
        <w:t>sus facultades, competencias o funciones</w:t>
      </w:r>
      <w:r w:rsidRPr="004268A6">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4268A6">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4268A6">
        <w:rPr>
          <w:rFonts w:ascii="Palatino Linotype" w:eastAsia="Palatino Linotype" w:hAnsi="Palatino Linotype" w:cs="Palatino Linotype"/>
          <w:color w:val="000000" w:themeColor="text1"/>
        </w:rPr>
        <w:t>, contemplando el derecho de las personas con discapacidad y hablantes de lengua indígena.</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4268A6">
        <w:rPr>
          <w:rFonts w:ascii="Palatino Linotype" w:eastAsia="Palatino Linotype" w:hAnsi="Palatino Linotype" w:cs="Palatino Linotype"/>
          <w:i/>
          <w:iCs/>
          <w:color w:val="000000" w:themeColor="text1"/>
        </w:rPr>
        <w:t>solicitudes de acceso a la información</w:t>
      </w:r>
      <w:r w:rsidRPr="004268A6">
        <w:rPr>
          <w:rFonts w:ascii="Palatino Linotype" w:eastAsia="Palatino Linotype" w:hAnsi="Palatino Linotype" w:cs="Palatino Linotype"/>
          <w:color w:val="000000" w:themeColor="text1"/>
        </w:rPr>
        <w:t>.</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Así entonces, se procede analizar, en primer lugar, si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320664" w:rsidRPr="004268A6" w:rsidRDefault="00320664" w:rsidP="004268A6">
      <w:pPr>
        <w:rPr>
          <w:rFonts w:ascii="Palatino Linotype" w:eastAsia="Palatino Linotype" w:hAnsi="Palatino Linotype" w:cs="Palatino Linotype"/>
          <w:b/>
          <w:bCs/>
          <w:color w:val="000000" w:themeColor="text1"/>
        </w:rPr>
      </w:pPr>
    </w:p>
    <w:p w:rsidR="00320664" w:rsidRPr="004268A6" w:rsidRDefault="001F24AE" w:rsidP="004268A6">
      <w:pPr>
        <w:keepNext/>
        <w:keepLines/>
        <w:numPr>
          <w:ilvl w:val="1"/>
          <w:numId w:val="5"/>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b/>
          <w:bCs/>
          <w:color w:val="000000" w:themeColor="text1"/>
        </w:rPr>
        <w:t>De la información solicitada y la respuesta del SUJETO OBLIGADO.</w:t>
      </w: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w:t>
      </w:r>
      <w:r w:rsidRPr="004268A6">
        <w:rPr>
          <w:rFonts w:ascii="Palatino Linotype" w:eastAsia="Palatino Linotype" w:hAnsi="Palatino Linotype" w:cs="Palatino Linotype"/>
          <w:color w:val="000000" w:themeColor="text1"/>
        </w:rPr>
        <w:lastRenderedPageBreak/>
        <w:t>establecido en el artículo 8 de la Ley de Transparencia y Acceso a la Información Pública del Estado de México y Municipios.</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 xml:space="preserve">Así, resulta conveniente reiterar que el </w:t>
      </w:r>
      <w:r w:rsidRPr="004268A6">
        <w:rPr>
          <w:rFonts w:ascii="Palatino Linotype" w:eastAsia="Palatino Linotype" w:hAnsi="Palatino Linotype" w:cs="Palatino Linotype"/>
          <w:b/>
          <w:bCs/>
          <w:color w:val="000000" w:themeColor="text1"/>
        </w:rPr>
        <w:t xml:space="preserve">RECURRENTE </w:t>
      </w:r>
      <w:r w:rsidRPr="004268A6">
        <w:rPr>
          <w:rFonts w:ascii="Palatino Linotype" w:eastAsia="Palatino Linotype" w:hAnsi="Palatino Linotype" w:cs="Palatino Linotype"/>
          <w:color w:val="000000" w:themeColor="text1"/>
        </w:rPr>
        <w:t>solicitó los documentos donde conste la actualización del Sistema REDATOSEM, la actualización de los Avisos de Privacidad y los documentos de seguridad de 2024 y del 01 de enero al 17 de marzo de 2025.</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En respuesta,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remitió una carpeta electrónica consistente en los documentos que advierten la actualización del Sistema REDATOSEM, la actualización de los Avisos de Privacidad y los documentos de seguridad de 2024 y del 01 de enero al 17 de marzo de 2025, de todas las Direcciones.</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Inconforme con la respuesta, la parte</w:t>
      </w:r>
      <w:r w:rsidRPr="004268A6">
        <w:rPr>
          <w:rFonts w:ascii="Palatino Linotype" w:eastAsia="Palatino Linotype" w:hAnsi="Palatino Linotype" w:cs="Palatino Linotype"/>
          <w:b/>
          <w:bCs/>
          <w:color w:val="000000" w:themeColor="text1"/>
        </w:rPr>
        <w:t xml:space="preserve"> RECURRENTE </w:t>
      </w:r>
      <w:r w:rsidRPr="004268A6">
        <w:rPr>
          <w:rFonts w:ascii="Palatino Linotype" w:eastAsia="Palatino Linotype" w:hAnsi="Palatino Linotype" w:cs="Palatino Linotype"/>
          <w:color w:val="000000" w:themeColor="text1"/>
        </w:rPr>
        <w:t>refirió que no le fueron proporcionadas las cédulas generadas por el Sistema REDATOSEM y los documentos de seguridad.</w:t>
      </w:r>
    </w:p>
    <w:p w:rsidR="00320664" w:rsidRPr="004268A6" w:rsidRDefault="00320664" w:rsidP="004268A6">
      <w:pPr>
        <w:pBdr>
          <w:top w:val="nil"/>
          <w:left w:val="nil"/>
          <w:bottom w:val="nil"/>
          <w:right w:val="nil"/>
          <w:between w:val="nil"/>
        </w:pBdr>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En este sentido, resulta necesario señalar que, el </w:t>
      </w:r>
      <w:r w:rsidRPr="004268A6">
        <w:rPr>
          <w:rFonts w:ascii="Palatino Linotype" w:eastAsia="Palatino Linotype" w:hAnsi="Palatino Linotype" w:cs="Palatino Linotype"/>
          <w:b/>
          <w:bCs/>
          <w:color w:val="000000" w:themeColor="text1"/>
        </w:rPr>
        <w:t xml:space="preserve">RECURRENTE </w:t>
      </w:r>
      <w:r w:rsidRPr="004268A6">
        <w:rPr>
          <w:rFonts w:ascii="Palatino Linotype" w:eastAsia="Palatino Linotype" w:hAnsi="Palatino Linotype" w:cs="Palatino Linotype"/>
          <w:color w:val="000000" w:themeColor="text1"/>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satisface este punto de la solicitud presentada. </w:t>
      </w:r>
    </w:p>
    <w:p w:rsidR="00320664" w:rsidRPr="004268A6" w:rsidRDefault="00320664" w:rsidP="004268A6">
      <w:pPr>
        <w:pBdr>
          <w:top w:val="nil"/>
          <w:left w:val="nil"/>
          <w:bottom w:val="nil"/>
          <w:right w:val="nil"/>
          <w:between w:val="nil"/>
        </w:pBdr>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lastRenderedPageBreak/>
        <w:t xml:space="preserve">Lo anterior es así, debido a que cuando un Recurrente impugna la respuesta del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320664" w:rsidRPr="004268A6" w:rsidRDefault="001F24AE" w:rsidP="004268A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b/>
          <w:bCs/>
          <w:i/>
          <w:iCs/>
          <w:color w:val="000000" w:themeColor="text1"/>
        </w:rPr>
        <w:t xml:space="preserve">“REVISIÓN EN AMPARO. LOS RESOLUTIVOS NO COMBATIDOS DEBEN DECLARARSE FIRMES. </w:t>
      </w:r>
      <w:r w:rsidRPr="004268A6">
        <w:rPr>
          <w:rFonts w:ascii="Palatino Linotype" w:eastAsia="Palatino Linotype" w:hAnsi="Palatino Linotype" w:cs="Palatino Linotype"/>
          <w:i/>
          <w:iCs/>
          <w:color w:val="000000" w:themeColor="text1"/>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Consecuentemente, se reitera que la parte de la solicitud que no fue impugnada debe declararse consentida por el </w:t>
      </w:r>
      <w:r w:rsidRPr="004268A6">
        <w:rPr>
          <w:rFonts w:ascii="Palatino Linotype" w:eastAsia="Palatino Linotype" w:hAnsi="Palatino Linotype" w:cs="Palatino Linotype"/>
          <w:b/>
          <w:bCs/>
          <w:color w:val="000000" w:themeColor="text1"/>
        </w:rPr>
        <w:t>RECURRENTE</w:t>
      </w:r>
      <w:r w:rsidRPr="004268A6">
        <w:rPr>
          <w:rFonts w:ascii="Palatino Linotype" w:eastAsia="Palatino Linotype" w:hAnsi="Palatino Linotype" w:cs="Palatino Linotype"/>
          <w:color w:val="000000" w:themeColor="text1"/>
        </w:rPr>
        <w:t>, debido a que no se realizaron manifestaciones de inconformidad, por lo que no pueden producirse efectos jurídicos tendentes a revocar, confirmar o modificar el acto reclamado ya que se infiere un consentimiento del Recurrente</w:t>
      </w:r>
      <w:r w:rsidRPr="004268A6">
        <w:rPr>
          <w:rFonts w:ascii="Palatino Linotype" w:eastAsia="Palatino Linotype" w:hAnsi="Palatino Linotype" w:cs="Palatino Linotype"/>
          <w:b/>
          <w:bCs/>
          <w:color w:val="000000" w:themeColor="text1"/>
        </w:rPr>
        <w:t xml:space="preserve"> </w:t>
      </w:r>
      <w:r w:rsidRPr="004268A6">
        <w:rPr>
          <w:rFonts w:ascii="Palatino Linotype" w:eastAsia="Palatino Linotype" w:hAnsi="Palatino Linotype" w:cs="Palatino Linotype"/>
          <w:color w:val="000000" w:themeColor="text1"/>
        </w:rPr>
        <w:t>ante la falta de impugnación eficaz.</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Sirve de sustento a lo anterior por analogía la tesis jurisprudencial número VI.3o.C. J/60, publicada en el Semanario Judicial de la Federación y su Gaceta bajo el número de registro 176,608 que a la letra dice:</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b/>
          <w:bCs/>
          <w:i/>
          <w:iCs/>
          <w:smallCaps/>
          <w:color w:val="000000" w:themeColor="text1"/>
        </w:rPr>
        <w:lastRenderedPageBreak/>
        <w:t xml:space="preserve">ACTOS CONSENTIDOS. SON LOS QUE NO SE IMPUGNAN MEDIANTE EL RECURSO IDÓNEO. </w:t>
      </w:r>
      <w:r w:rsidRPr="004268A6">
        <w:rPr>
          <w:rFonts w:ascii="Palatino Linotype" w:eastAsia="Palatino Linotype" w:hAnsi="Palatino Linotype" w:cs="Palatino Linotype"/>
          <w:i/>
          <w:iCs/>
          <w:color w:val="000000" w:themeColor="text1"/>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Para mayor abundamiento, también resulta aplicable el criterio 01/20 emitido por el Instituto Nacional de Transparencia, Acceso a la Información Pública y Protección de Datos Personales, que a la letra estipula lo siguiente:</w:t>
      </w:r>
    </w:p>
    <w:p w:rsidR="00320664" w:rsidRPr="004268A6" w:rsidRDefault="001F24AE" w:rsidP="004268A6">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b/>
          <w:bCs/>
          <w:i/>
          <w:iCs/>
          <w:color w:val="000000" w:themeColor="text1"/>
        </w:rPr>
        <w:t>Actos consentidos tácitamente. Improcedencia de su análisis.</w:t>
      </w:r>
      <w:r w:rsidRPr="004268A6">
        <w:rPr>
          <w:rFonts w:ascii="Palatino Linotype" w:eastAsia="Palatino Linotype" w:hAnsi="Palatino Linotype" w:cs="Palatino Linotype"/>
          <w:i/>
          <w:iCs/>
          <w:color w:val="000000" w:themeColor="text1"/>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De lo referido, y a efecto de garantizar el efectivo ejercicio del derecho de acceso a la información pública que asiste al </w:t>
      </w:r>
      <w:r w:rsidRPr="004268A6">
        <w:rPr>
          <w:rFonts w:ascii="Palatino Linotype" w:eastAsia="Palatino Linotype" w:hAnsi="Palatino Linotype" w:cs="Palatino Linotype"/>
          <w:b/>
          <w:bCs/>
          <w:color w:val="000000" w:themeColor="text1"/>
        </w:rPr>
        <w:t>RECURRENTE</w:t>
      </w:r>
      <w:r w:rsidRPr="004268A6">
        <w:rPr>
          <w:rFonts w:ascii="Palatino Linotype" w:eastAsia="Palatino Linotype" w:hAnsi="Palatino Linotype" w:cs="Palatino Linotype"/>
          <w:color w:val="000000" w:themeColor="text1"/>
        </w:rPr>
        <w:t>, resulta conveniente precisar que el presente análisis versará únicamente sobre</w:t>
      </w:r>
      <w:r w:rsidRPr="004268A6">
        <w:rPr>
          <w:rFonts w:ascii="Palatino Linotype" w:eastAsia="Palatino Linotype" w:hAnsi="Palatino Linotype" w:cs="Palatino Linotype"/>
          <w:b/>
          <w:bCs/>
          <w:color w:val="000000" w:themeColor="text1"/>
        </w:rPr>
        <w:t xml:space="preserve"> las células generadas por el Sistema REDATOSEM y los documentos de seguridad.</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Así, mediante un acto jurídico posterior como lo es el informe justificado,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por medio de la Titular de la Unidad de Transparencia, precisó que las cédulas generadas por el sistema Redatosem, fueron proporcionadas y forman parte de la serie de archivos que le fueron notificados en la carpeta comprimida "RespuestaSolicitud00247UT2025.zip", específicamente se encuentran contenidos en la carpeta “Redatosem" y tales documentos corresponden con el generado por el sistema </w:t>
      </w:r>
      <w:r w:rsidRPr="004268A6">
        <w:rPr>
          <w:rFonts w:ascii="Palatino Linotype" w:eastAsia="Palatino Linotype" w:hAnsi="Palatino Linotype" w:cs="Palatino Linotype"/>
          <w:color w:val="000000" w:themeColor="text1"/>
        </w:rPr>
        <w:lastRenderedPageBreak/>
        <w:t xml:space="preserve">Registro de Sistemas de Datos Personales del Estado de México (Redatosem), al visualizar el Registro del Sistema de Datos Personales de cada una de las Unidades Administrativas que cuentan con bases de datos personales de este Instituto. </w:t>
      </w:r>
    </w:p>
    <w:p w:rsidR="00320664" w:rsidRPr="004268A6" w:rsidRDefault="00320664" w:rsidP="004268A6">
      <w:pPr>
        <w:pBdr>
          <w:top w:val="nil"/>
          <w:left w:val="nil"/>
          <w:bottom w:val="nil"/>
          <w:right w:val="nil"/>
          <w:between w:val="nil"/>
        </w:pBdr>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Ahora bien, respecto a los documentos de seguridad, relacionados con lo previsto en el artículo 48 de la Ley de Protección de Datos Personales en Posesión de Sujetos Obligados del Estado de México, señaló que existe un documento de seguridad por Sistema de Datos Personales de cada Unidad Administrativa que cuenta con bases de datos personales de este Instituto, relacionadas con el ejercicio de sus funciones y atribuciones y que se relacionan con datos personales; no obstante, al ser documentales que se componen de información que se relaciona con las medidas de seguridad, lo proporcionado fueron los documentos en una versión que omite dicha información relacionada con las medidas de seguridad, al haber sido clasificada por las áreas como información confidencial, acorde particularmente con el artículo 43 de la Ley de Protección de Datos Personales en Posesión de Sujetos Obligados del Estado de México y Municipios. De ahí que, en cada carpeta contenida en el archivo .zip remitido en respuesta, correspondiente con las siglas de cada Unidad Administrativa que proporciona la documentación, se encuentran tales documentos de seguridad únicamente con los elementos que no se relacionan con medidas de seguridad para la protección de los datos personales.</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 xml:space="preserve">Al respecto, cabe resaltar que, la Ley de Transparencia y Acceso a la Información Pública del Estado de México y Municipios, en su artículo 150, establece que el procedimiento de acceso a la información es la garantía primaria del derecho en cuestión y se rige por los </w:t>
      </w:r>
      <w:r w:rsidRPr="004268A6">
        <w:rPr>
          <w:rFonts w:ascii="Palatino Linotype" w:eastAsia="Palatino Linotype" w:hAnsi="Palatino Linotype" w:cs="Palatino Linotype"/>
          <w:color w:val="000000" w:themeColor="text1"/>
        </w:rPr>
        <w:lastRenderedPageBreak/>
        <w:t>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320664" w:rsidRPr="004268A6" w:rsidRDefault="00320664" w:rsidP="004268A6">
      <w:pP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En este sentido, para atender las solicitudes de información, los Sujetos Obligados contarán con un área denominada Unidad de Transparencia</w:t>
      </w:r>
      <w:r w:rsidRPr="004268A6">
        <w:rPr>
          <w:rFonts w:ascii="Palatino Linotype" w:eastAsia="Palatino Linotype" w:hAnsi="Palatino Linotype" w:cs="Palatino Linotype"/>
          <w:color w:val="000000" w:themeColor="text1"/>
          <w:vertAlign w:val="superscript"/>
        </w:rPr>
        <w:footnoteReference w:id="5"/>
      </w:r>
      <w:r w:rsidRPr="004268A6">
        <w:rPr>
          <w:rFonts w:ascii="Palatino Linotype" w:eastAsia="Palatino Linotype" w:hAnsi="Palatino Linotype" w:cs="Palatino Linotype"/>
          <w:color w:val="000000" w:themeColor="text1"/>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4268A6">
        <w:rPr>
          <w:rFonts w:ascii="Palatino Linotype" w:eastAsia="Palatino Linotype" w:hAnsi="Palatino Linotype" w:cs="Palatino Linotype"/>
          <w:b/>
          <w:bCs/>
          <w:color w:val="000000" w:themeColor="text1"/>
        </w:rPr>
        <w:t xml:space="preserve"> </w:t>
      </w:r>
      <w:r w:rsidRPr="004268A6">
        <w:rPr>
          <w:rFonts w:ascii="Palatino Linotype" w:eastAsia="Palatino Linotype" w:hAnsi="Palatino Linotype" w:cs="Palatino Linotype"/>
          <w:color w:val="000000" w:themeColor="text1"/>
        </w:rPr>
        <w:t>en los términos de la Ley General y la Ley de Transparencia y Acceso a la Información Pública del Estado de México y Municipios</w:t>
      </w:r>
      <w:r w:rsidRPr="004268A6">
        <w:rPr>
          <w:rFonts w:ascii="Palatino Linotype" w:eastAsia="Palatino Linotype" w:hAnsi="Palatino Linotype" w:cs="Palatino Linotype"/>
          <w:color w:val="000000" w:themeColor="text1"/>
          <w:vertAlign w:val="superscript"/>
        </w:rPr>
        <w:footnoteReference w:id="6"/>
      </w:r>
      <w:r w:rsidRPr="004268A6">
        <w:rPr>
          <w:rFonts w:ascii="Palatino Linotype" w:eastAsia="Palatino Linotype" w:hAnsi="Palatino Linotype" w:cs="Palatino Linotype"/>
          <w:color w:val="000000" w:themeColor="text1"/>
        </w:rPr>
        <w:t>.</w:t>
      </w:r>
    </w:p>
    <w:p w:rsidR="00320664" w:rsidRPr="004268A6" w:rsidRDefault="00320664" w:rsidP="004268A6">
      <w:pP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De conformidad con lo dispuesto en la Ley de Transparencia y Acceso a la Información Pública del Estado de México y Municipios, las Unidades de Transparencia tendrán, entre sus atribuciones, las siguientes:</w:t>
      </w:r>
    </w:p>
    <w:p w:rsidR="00320664" w:rsidRPr="004268A6" w:rsidRDefault="001F24AE" w:rsidP="004268A6">
      <w:pPr>
        <w:numPr>
          <w:ilvl w:val="1"/>
          <w:numId w:val="2"/>
        </w:numPr>
        <w:pBdr>
          <w:top w:val="nil"/>
          <w:left w:val="nil"/>
          <w:bottom w:val="nil"/>
          <w:right w:val="nil"/>
          <w:between w:val="nil"/>
        </w:pBdr>
        <w:spacing w:before="240"/>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Recibir, tramitar y dar respuesta a las solicitudes de acceso a la información;</w:t>
      </w:r>
    </w:p>
    <w:p w:rsidR="00320664" w:rsidRPr="004268A6" w:rsidRDefault="001F24AE" w:rsidP="004268A6">
      <w:pPr>
        <w:numPr>
          <w:ilvl w:val="1"/>
          <w:numId w:val="2"/>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Realizar, con efectividad, los trámites internos necesarios para la atención de las solicitudes de acceso a la información; </w:t>
      </w:r>
    </w:p>
    <w:p w:rsidR="00320664" w:rsidRPr="004268A6" w:rsidRDefault="001F24AE" w:rsidP="004268A6">
      <w:pPr>
        <w:numPr>
          <w:ilvl w:val="1"/>
          <w:numId w:val="2"/>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lastRenderedPageBreak/>
        <w:t xml:space="preserve">Entregar, en su caso, a los particulares la información solicitada; y </w:t>
      </w:r>
    </w:p>
    <w:p w:rsidR="00320664" w:rsidRPr="004268A6" w:rsidRDefault="001F24AE" w:rsidP="004268A6">
      <w:pPr>
        <w:numPr>
          <w:ilvl w:val="1"/>
          <w:numId w:val="2"/>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Efectuar las notificaciones a los solicitantes.</w:t>
      </w:r>
    </w:p>
    <w:p w:rsidR="00320664" w:rsidRPr="004268A6" w:rsidRDefault="00320664" w:rsidP="004268A6">
      <w:pP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Otros sujetos del proceso de atención a las solicitudes de información son los servidores públicos habilitados, quienes serán designados por el titular del </w:t>
      </w:r>
      <w:r w:rsidRPr="004268A6">
        <w:rPr>
          <w:rFonts w:ascii="Palatino Linotype" w:eastAsia="Palatino Linotype" w:hAnsi="Palatino Linotype" w:cs="Palatino Linotype"/>
          <w:b/>
          <w:bCs/>
          <w:color w:val="000000" w:themeColor="text1"/>
        </w:rPr>
        <w:t xml:space="preserve">SUJETO OBLIGADO </w:t>
      </w:r>
      <w:r w:rsidRPr="004268A6">
        <w:rPr>
          <w:rFonts w:ascii="Palatino Linotype" w:eastAsia="Palatino Linotype" w:hAnsi="Palatino Linotype" w:cs="Palatino Linotype"/>
          <w:color w:val="000000" w:themeColor="text1"/>
        </w:rPr>
        <w:t>a propuesta del responsable de la Unidad de Transparencia</w:t>
      </w:r>
      <w:r w:rsidRPr="004268A6">
        <w:rPr>
          <w:rFonts w:ascii="Palatino Linotype" w:eastAsia="Palatino Linotype" w:hAnsi="Palatino Linotype" w:cs="Palatino Linotype"/>
          <w:color w:val="000000" w:themeColor="text1"/>
          <w:vertAlign w:val="superscript"/>
        </w:rPr>
        <w:footnoteReference w:id="7"/>
      </w:r>
      <w:r w:rsidRPr="004268A6">
        <w:rPr>
          <w:rFonts w:ascii="Palatino Linotype" w:eastAsia="Palatino Linotype" w:hAnsi="Palatino Linotype" w:cs="Palatino Linotype"/>
          <w:color w:val="000000" w:themeColor="text1"/>
        </w:rPr>
        <w:t xml:space="preserve"> y tendrán, entre sus atribuciones, las siguientes</w:t>
      </w:r>
      <w:r w:rsidRPr="004268A6">
        <w:rPr>
          <w:rFonts w:ascii="Palatino Linotype" w:eastAsia="Palatino Linotype" w:hAnsi="Palatino Linotype" w:cs="Palatino Linotype"/>
          <w:color w:val="000000" w:themeColor="text1"/>
          <w:vertAlign w:val="superscript"/>
        </w:rPr>
        <w:footnoteReference w:id="8"/>
      </w:r>
      <w:r w:rsidRPr="004268A6">
        <w:rPr>
          <w:rFonts w:ascii="Palatino Linotype" w:eastAsia="Palatino Linotype" w:hAnsi="Palatino Linotype" w:cs="Palatino Linotype"/>
          <w:color w:val="000000" w:themeColor="text1"/>
        </w:rPr>
        <w:t>:</w:t>
      </w:r>
    </w:p>
    <w:p w:rsidR="00320664" w:rsidRPr="004268A6" w:rsidRDefault="001F24AE" w:rsidP="004268A6">
      <w:pPr>
        <w:numPr>
          <w:ilvl w:val="1"/>
          <w:numId w:val="3"/>
        </w:numPr>
        <w:pBdr>
          <w:top w:val="nil"/>
          <w:left w:val="nil"/>
          <w:bottom w:val="nil"/>
          <w:right w:val="nil"/>
          <w:between w:val="nil"/>
        </w:pBdr>
        <w:spacing w:before="240"/>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Localizar la información que le solicite la Unidad de Transparencia; y</w:t>
      </w:r>
    </w:p>
    <w:p w:rsidR="00320664" w:rsidRPr="004268A6" w:rsidRDefault="001F24AE" w:rsidP="004268A6">
      <w:pPr>
        <w:numPr>
          <w:ilvl w:val="1"/>
          <w:numId w:val="3"/>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Proporcionar la información que obre en los archivos y que le sea solicitada por la Unidad de Transparencia.</w:t>
      </w:r>
    </w:p>
    <w:p w:rsidR="00320664" w:rsidRPr="004268A6" w:rsidRDefault="00320664" w:rsidP="004268A6">
      <w:pP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De tal manera que cada una de las áreas administrativas del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320664" w:rsidRPr="004268A6" w:rsidRDefault="00320664" w:rsidP="004268A6">
      <w:pP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lastRenderedPageBreak/>
        <w:t>Aunado a lo anterior, la Ley de Transparencia y Acceso a la Información Pública del Estado de México y Municipios, en su artículo 53, establece las funciones correspondientes a esta Unidad; mismas que se inserta a continuación:</w:t>
      </w:r>
    </w:p>
    <w:p w:rsidR="00320664" w:rsidRPr="004268A6" w:rsidRDefault="001F24AE" w:rsidP="004268A6">
      <w:pPr>
        <w:pBdr>
          <w:top w:val="nil"/>
          <w:left w:val="nil"/>
          <w:bottom w:val="nil"/>
          <w:right w:val="nil"/>
          <w:between w:val="nil"/>
        </w:pBdr>
        <w:tabs>
          <w:tab w:val="left" w:pos="426"/>
        </w:tabs>
        <w:spacing w:before="240"/>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b/>
          <w:bCs/>
          <w:i/>
          <w:iCs/>
          <w:color w:val="000000" w:themeColor="text1"/>
        </w:rPr>
        <w:t>“Artículo 53</w:t>
      </w:r>
      <w:r w:rsidRPr="004268A6">
        <w:rPr>
          <w:rFonts w:ascii="Palatino Linotype" w:eastAsia="Palatino Linotype" w:hAnsi="Palatino Linotype" w:cs="Palatino Linotype"/>
          <w:i/>
          <w:iCs/>
          <w:color w:val="000000" w:themeColor="text1"/>
        </w:rPr>
        <w:t xml:space="preserve">. Las Unidades de Transparencia tendrán las siguientes funciones: </w:t>
      </w:r>
    </w:p>
    <w:p w:rsidR="00320664" w:rsidRPr="004268A6" w:rsidRDefault="00320664"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4268A6">
        <w:rPr>
          <w:rFonts w:ascii="Palatino Linotype" w:eastAsia="Palatino Linotype" w:hAnsi="Palatino Linotype" w:cs="Palatino Linotype"/>
          <w:b/>
          <w:bCs/>
          <w:i/>
          <w:iCs/>
          <w:color w:val="000000" w:themeColor="text1"/>
        </w:rPr>
        <w:t xml:space="preserve">II. Recibir, tramitar y dar respuesta a las solicitudes de acceso a la información;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 xml:space="preserve">III. Auxiliar a los particulares en la elaboración de solicitudes de acceso a la información y, en su caso, orientarlos sobre los sujetos obligados competentes conforme a la normatividad aplicable;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4268A6">
        <w:rPr>
          <w:rFonts w:ascii="Palatino Linotype" w:eastAsia="Palatino Linotype" w:hAnsi="Palatino Linotype" w:cs="Palatino Linotype"/>
          <w:b/>
          <w:bCs/>
          <w:i/>
          <w:iCs/>
          <w:color w:val="000000" w:themeColor="text1"/>
        </w:rPr>
        <w:t xml:space="preserve">IV. Realizar, con efectividad, los trámites internos necesarios para la atención de las solicitudes de acceso a la información;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 xml:space="preserve">V. Entregar, en su caso, a los particulares la información solicitada;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 xml:space="preserve">VI. Efectuar las notificaciones a los solicitantes;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 xml:space="preserve">VII. Proponer al Comité de Transparencia, los procedimientos internos que aseguren la mayor eficiencia en la gestión de las solicitudes de acceso a la información, conforme a la normatividad aplicable;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 xml:space="preserve">VIII. Proponer a quien preside el Comité de Transparencia, personal habilitado que sea necesario para recibir y dar trámite a las solicitudes de acceso a la información;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4268A6">
        <w:rPr>
          <w:rFonts w:ascii="Palatino Linotype" w:eastAsia="Palatino Linotype" w:hAnsi="Palatino Linotype" w:cs="Palatino Linotype"/>
          <w:b/>
          <w:bCs/>
          <w:i/>
          <w:iCs/>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 xml:space="preserve">X. Presentar ante el Comité, el proyecto de clasificación de información;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 xml:space="preserve">XI. Promover e implementar políticas de transparencia proactiva procurando su accesibilidad;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 xml:space="preserve">XII. Fomentar la transparencia y accesibilidad al interior del sujeto obligado; </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XIII. Hacer del conocimiento de la instancia competente la probable responsabilidad por el incumplimiento de las obligaciones previstas en la presente Ley; y</w:t>
      </w:r>
    </w:p>
    <w:p w:rsidR="00320664" w:rsidRPr="004268A6" w:rsidRDefault="001F24AE" w:rsidP="004268A6">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t>XIV. Las demás que resulten necesarias para facilitar el acceso a la información y aquellas que se desprenden de la presente Ley y demás disposiciones jurídicas aplicables. (…)</w:t>
      </w:r>
    </w:p>
    <w:p w:rsidR="00320664" w:rsidRPr="004268A6" w:rsidRDefault="001F24AE" w:rsidP="004268A6">
      <w:pPr>
        <w:pBdr>
          <w:top w:val="nil"/>
          <w:left w:val="nil"/>
          <w:bottom w:val="nil"/>
          <w:right w:val="nil"/>
          <w:between w:val="nil"/>
        </w:pBdr>
        <w:tabs>
          <w:tab w:val="left" w:pos="426"/>
        </w:tabs>
        <w:spacing w:after="240"/>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i/>
          <w:iCs/>
          <w:color w:val="000000" w:themeColor="text1"/>
        </w:rPr>
        <w:lastRenderedPageBreak/>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320664" w:rsidRPr="004268A6" w:rsidRDefault="00320664" w:rsidP="004268A6">
      <w:pP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De lo expuesto y con relación a lo solicitado, se tiene que, la Unidad de Transparencia es la encargada de recibir, tramitar y dar respuesta a las solicitudes de acceso a la información.</w:t>
      </w:r>
    </w:p>
    <w:p w:rsidR="00320664" w:rsidRPr="004268A6" w:rsidRDefault="00320664" w:rsidP="004268A6">
      <w:pP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 xml:space="preserve">En este sentido, se reitera que existió un pronunciamiento por parte del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a través de </w:t>
      </w:r>
      <w:r w:rsidRPr="004268A6">
        <w:rPr>
          <w:rFonts w:ascii="Palatino Linotype" w:eastAsia="Palatino Linotype" w:hAnsi="Palatino Linotype" w:cs="Palatino Linotype"/>
          <w:b/>
          <w:bCs/>
          <w:color w:val="000000" w:themeColor="text1"/>
        </w:rPr>
        <w:t xml:space="preserve">la Titular de la Unidad de Transparencia, </w:t>
      </w:r>
      <w:r w:rsidRPr="004268A6">
        <w:rPr>
          <w:rFonts w:ascii="Palatino Linotype" w:eastAsia="Palatino Linotype" w:hAnsi="Palatino Linotype" w:cs="Palatino Linotype"/>
          <w:color w:val="000000" w:themeColor="text1"/>
        </w:rPr>
        <w:t>así como de los servidores públicos habilitados competentes de cada una de las direcciones que integran el Instituto de Transparencia.</w:t>
      </w:r>
    </w:p>
    <w:p w:rsidR="00320664" w:rsidRPr="004268A6" w:rsidRDefault="00320664" w:rsidP="004268A6">
      <w:pP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color w:val="000000" w:themeColor="text1"/>
        </w:rPr>
        <w:t>En consecuencia,</w:t>
      </w:r>
      <w:r w:rsidRPr="004268A6">
        <w:rPr>
          <w:rFonts w:ascii="Palatino Linotype" w:eastAsia="Palatino Linotype" w:hAnsi="Palatino Linotype" w:cs="Palatino Linotype"/>
          <w:b/>
          <w:bCs/>
          <w:color w:val="000000" w:themeColor="text1"/>
        </w:rPr>
        <w:t xml:space="preserve"> </w:t>
      </w:r>
      <w:r w:rsidRPr="004268A6">
        <w:rPr>
          <w:rFonts w:ascii="Palatino Linotype" w:eastAsia="Palatino Linotype" w:hAnsi="Palatino Linotype" w:cs="Palatino Linotype"/>
          <w:color w:val="000000" w:themeColor="text1"/>
        </w:rPr>
        <w:t xml:space="preserve">se presume que, </w:t>
      </w:r>
      <w:r w:rsidRPr="004268A6">
        <w:rPr>
          <w:rFonts w:ascii="Palatino Linotype" w:eastAsia="Palatino Linotype" w:hAnsi="Palatino Linotype" w:cs="Palatino Linotype"/>
          <w:b/>
          <w:bCs/>
          <w:color w:val="000000" w:themeColor="text1"/>
        </w:rPr>
        <w:t>al haber existido un pronunciamiento por parte del SUJETO OBLIGADO a través del informe justificado,</w:t>
      </w:r>
      <w:r w:rsidRPr="004268A6">
        <w:rPr>
          <w:rFonts w:ascii="Palatino Linotype" w:eastAsia="Palatino Linotype" w:hAnsi="Palatino Linotype" w:cs="Palatino Linotype"/>
          <w:color w:val="000000" w:themeColor="text1"/>
        </w:rPr>
        <w:t xml:space="preserve"> </w:t>
      </w:r>
      <w:r w:rsidRPr="004268A6">
        <w:rPr>
          <w:rFonts w:ascii="Palatino Linotype" w:eastAsia="Palatino Linotype" w:hAnsi="Palatino Linotype" w:cs="Palatino Linotype"/>
          <w:b/>
          <w:bCs/>
          <w:color w:val="000000" w:themeColor="text1"/>
        </w:rPr>
        <w:t>atender el requerimiento del Particular,</w:t>
      </w:r>
      <w:r w:rsidRPr="004268A6">
        <w:rPr>
          <w:rFonts w:ascii="Palatino Linotype" w:eastAsia="Palatino Linotype" w:hAnsi="Palatino Linotype" w:cs="Palatino Linotype"/>
          <w:color w:val="000000" w:themeColor="text1"/>
        </w:rPr>
        <w:t xml:space="preserve"> este Instituto no está facultado para manifestarse sobre la veracidad, pues no existe precepto legal alguno en la Ley de la materia que lo faculte para que, vía recurso de revisión, pueda pronunciarse al respecto.</w:t>
      </w:r>
    </w:p>
    <w:p w:rsidR="00320664" w:rsidRPr="004268A6" w:rsidRDefault="00320664" w:rsidP="004268A6">
      <w:pPr>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 xml:space="preserve">Así, este Pleno advierte que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w:t>
      </w:r>
      <w:r w:rsidRPr="004268A6">
        <w:rPr>
          <w:rFonts w:ascii="Palatino Linotype" w:eastAsia="Palatino Linotype" w:hAnsi="Palatino Linotype" w:cs="Palatino Linotype"/>
          <w:b/>
          <w:bCs/>
          <w:color w:val="000000" w:themeColor="text1"/>
        </w:rPr>
        <w:t xml:space="preserve">modificó </w:t>
      </w:r>
      <w:r w:rsidRPr="004268A6">
        <w:rPr>
          <w:rFonts w:ascii="Palatino Linotype" w:eastAsia="Palatino Linotype" w:hAnsi="Palatino Linotype" w:cs="Palatino Linotype"/>
          <w:color w:val="000000" w:themeColor="text1"/>
        </w:rPr>
        <w:t xml:space="preserve">el acto que le dio origen al recurso de revisión, lo que trae como consecuencia que el mismo quede sin materia, </w:t>
      </w:r>
      <w:r w:rsidRPr="004268A6">
        <w:rPr>
          <w:rFonts w:ascii="Palatino Linotype" w:eastAsia="Palatino Linotype" w:hAnsi="Palatino Linotype" w:cs="Palatino Linotype"/>
          <w:color w:val="000000" w:themeColor="text1"/>
        </w:rPr>
        <w:lastRenderedPageBreak/>
        <w:t>actualizándose de este modo, la hipótesis jurídica contenida en la fracción III del artículo 192 de la Ley de Transparencia Local.</w:t>
      </w:r>
    </w:p>
    <w:p w:rsidR="00320664" w:rsidRPr="004268A6" w:rsidRDefault="00320664" w:rsidP="004268A6">
      <w:pPr>
        <w:pBdr>
          <w:top w:val="nil"/>
          <w:left w:val="nil"/>
          <w:bottom w:val="nil"/>
          <w:right w:val="nil"/>
          <w:between w:val="nil"/>
        </w:pBdr>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como ya fue establecido, se dejan a salvo los derechos de la parte </w:t>
      </w:r>
      <w:r w:rsidRPr="004268A6">
        <w:rPr>
          <w:rFonts w:ascii="Palatino Linotype" w:eastAsia="Palatino Linotype" w:hAnsi="Palatino Linotype" w:cs="Palatino Linotype"/>
          <w:b/>
          <w:bCs/>
          <w:color w:val="000000" w:themeColor="text1"/>
        </w:rPr>
        <w:t>RECURRENTE</w:t>
      </w:r>
      <w:r w:rsidRPr="004268A6">
        <w:rPr>
          <w:rFonts w:ascii="Palatino Linotype" w:eastAsia="Palatino Linotype" w:hAnsi="Palatino Linotype" w:cs="Palatino Linotype"/>
          <w:color w:val="000000" w:themeColor="text1"/>
        </w:rPr>
        <w:t xml:space="preserve"> para que pueda realizar la solicitud de información ante el Sujeto Obligado correspondiente.</w:t>
      </w:r>
    </w:p>
    <w:p w:rsidR="00320664" w:rsidRPr="004268A6" w:rsidRDefault="00320664" w:rsidP="004268A6">
      <w:pPr>
        <w:spacing w:line="360" w:lineRule="auto"/>
        <w:jc w:val="both"/>
        <w:rPr>
          <w:rFonts w:ascii="Palatino Linotype" w:eastAsia="Palatino Linotype" w:hAnsi="Palatino Linotype" w:cs="Palatino Linotype"/>
          <w:b/>
          <w:bCs/>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Ahora bien,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Sujetos Obligados o la negativa de entrega de esta, derivada de la solicitud de información pública.</w:t>
      </w:r>
    </w:p>
    <w:p w:rsidR="00320664" w:rsidRPr="004268A6" w:rsidRDefault="00320664" w:rsidP="004268A6">
      <w:pPr>
        <w:spacing w:line="360" w:lineRule="auto"/>
        <w:jc w:val="both"/>
        <w:rPr>
          <w:rFonts w:ascii="Palatino Linotype" w:eastAsia="Palatino Linotype" w:hAnsi="Palatino Linotype" w:cs="Palatino Linotype"/>
          <w:b/>
          <w:bCs/>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 xml:space="preserve">De este modo, cuando el </w:t>
      </w:r>
      <w:r w:rsidRPr="004268A6">
        <w:rPr>
          <w:rFonts w:ascii="Palatino Linotype" w:eastAsia="Palatino Linotype" w:hAnsi="Palatino Linotype" w:cs="Palatino Linotype"/>
          <w:b/>
          <w:bCs/>
          <w:color w:val="000000" w:themeColor="text1"/>
        </w:rPr>
        <w:t xml:space="preserve">SUJETO OBLIGADO, </w:t>
      </w:r>
      <w:r w:rsidRPr="004268A6">
        <w:rPr>
          <w:rFonts w:ascii="Palatino Linotype" w:eastAsia="Palatino Linotype" w:hAnsi="Palatino Linotype" w:cs="Palatino Linotype"/>
          <w:color w:val="000000" w:themeColor="text1"/>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4268A6">
        <w:rPr>
          <w:rFonts w:ascii="Palatino Linotype" w:eastAsia="Palatino Linotype" w:hAnsi="Palatino Linotype" w:cs="Palatino Linotype"/>
          <w:i/>
          <w:iCs/>
          <w:color w:val="000000" w:themeColor="text1"/>
        </w:rPr>
        <w:t>litis</w:t>
      </w:r>
      <w:r w:rsidRPr="004268A6">
        <w:rPr>
          <w:rFonts w:ascii="Palatino Linotype" w:eastAsia="Palatino Linotype" w:hAnsi="Palatino Linotype" w:cs="Palatino Linotype"/>
          <w:color w:val="000000" w:themeColor="text1"/>
        </w:rPr>
        <w:t xml:space="preserve"> planteada, debido a que la afectación en su esfera de derechos fue restituida por la propia autoridad que emitió el acto motivo de impugnación.</w:t>
      </w:r>
    </w:p>
    <w:p w:rsidR="00320664" w:rsidRPr="004268A6" w:rsidRDefault="00320664" w:rsidP="004268A6">
      <w:pPr>
        <w:spacing w:line="360" w:lineRule="auto"/>
        <w:jc w:val="both"/>
        <w:rPr>
          <w:rFonts w:ascii="Palatino Linotype" w:eastAsia="Palatino Linotype" w:hAnsi="Palatino Linotype" w:cs="Palatino Linotype"/>
          <w:b/>
          <w:bCs/>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lastRenderedPageBreak/>
        <w:t>Sirve de sustento a lo anterior la siguiente jurisprudencia por contradicción, cuyo rubro, texto y datos de identificación son los siguientes:</w:t>
      </w:r>
    </w:p>
    <w:p w:rsidR="00320664" w:rsidRPr="004268A6" w:rsidRDefault="001F24AE" w:rsidP="004268A6">
      <w:pPr>
        <w:pBdr>
          <w:top w:val="nil"/>
          <w:left w:val="nil"/>
          <w:bottom w:val="nil"/>
          <w:right w:val="nil"/>
          <w:between w:val="nil"/>
        </w:pBdr>
        <w:tabs>
          <w:tab w:val="left" w:pos="426"/>
          <w:tab w:val="left" w:pos="567"/>
        </w:tabs>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b/>
          <w:bCs/>
          <w:i/>
          <w:iCs/>
          <w:color w:val="000000" w:themeColor="text1"/>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4268A6">
        <w:rPr>
          <w:rFonts w:ascii="Palatino Linotype" w:eastAsia="Palatino Linotype" w:hAnsi="Palatino Linotype" w:cs="Palatino Linotype"/>
          <w:i/>
          <w:iCs/>
          <w:color w:val="000000" w:themeColor="text1"/>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320664" w:rsidRPr="004268A6" w:rsidRDefault="00320664" w:rsidP="004268A6">
      <w:pPr>
        <w:spacing w:line="360" w:lineRule="auto"/>
        <w:jc w:val="both"/>
        <w:rPr>
          <w:rFonts w:ascii="Palatino Linotype" w:eastAsia="Palatino Linotype" w:hAnsi="Palatino Linotype" w:cs="Palatino Linotype"/>
          <w:b/>
          <w:bCs/>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La anterior jurisprudencia resulta aplicable al presente asunto, en dos aspectos:</w:t>
      </w:r>
    </w:p>
    <w:p w:rsidR="00320664" w:rsidRPr="004268A6" w:rsidRDefault="001F24AE" w:rsidP="004268A6">
      <w:pPr>
        <w:numPr>
          <w:ilvl w:val="0"/>
          <w:numId w:val="4"/>
        </w:numPr>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b/>
          <w:bCs/>
          <w:color w:val="000000" w:themeColor="text1"/>
        </w:rPr>
        <w:t>La cesación de los efectos perniciosos del acto de autoridad:</w:t>
      </w:r>
      <w:r w:rsidRPr="004268A6">
        <w:rPr>
          <w:rFonts w:ascii="Palatino Linotype" w:eastAsia="Palatino Linotype" w:hAnsi="Palatino Linotype" w:cs="Palatino Linotype"/>
          <w:color w:val="000000" w:themeColor="text1"/>
        </w:rPr>
        <w:t xml:space="preserve"> Al respecto, la Ley de Transparencia contempla la figura jurídica del sobreseimiento cuando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de </w:t>
      </w:r>
      <w:r w:rsidRPr="004268A6">
        <w:rPr>
          <w:rFonts w:ascii="Palatino Linotype" w:eastAsia="Palatino Linotype" w:hAnsi="Palatino Linotype" w:cs="Palatino Linotype"/>
          <w:i/>
          <w:iCs/>
          <w:color w:val="000000" w:themeColor="text1"/>
        </w:rPr>
        <w:t>motu proprio</w:t>
      </w:r>
      <w:r w:rsidRPr="004268A6">
        <w:rPr>
          <w:rFonts w:ascii="Palatino Linotype" w:eastAsia="Palatino Linotype" w:hAnsi="Palatino Linotype" w:cs="Palatino Linotype"/>
          <w:color w:val="000000" w:themeColor="text1"/>
        </w:rPr>
        <w:t xml:space="preserve"> modifica o revoca de tal manera el acto motivo de la impugnación que lo deja sin materia; es decir, cesan los efectos de éste y el derecho de acceso a la información pública se encuentra satisfecho.</w:t>
      </w:r>
    </w:p>
    <w:p w:rsidR="00320664" w:rsidRPr="004268A6" w:rsidRDefault="001F24AE" w:rsidP="004268A6">
      <w:pPr>
        <w:numPr>
          <w:ilvl w:val="0"/>
          <w:numId w:val="4"/>
        </w:numPr>
        <w:ind w:left="0" w:firstLine="0"/>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b/>
          <w:bCs/>
          <w:color w:val="000000" w:themeColor="text1"/>
        </w:rPr>
        <w:t>El momento procesal para modificar el acto impugnado:</w:t>
      </w:r>
      <w:r w:rsidRPr="004268A6">
        <w:rPr>
          <w:rFonts w:ascii="Palatino Linotype" w:eastAsia="Palatino Linotype" w:hAnsi="Palatino Linotype" w:cs="Palatino Linotype"/>
          <w:color w:val="000000" w:themeColor="text1"/>
        </w:rPr>
        <w:t xml:space="preserve"> Para que se actualice el sobreseimiento de un recurso de revisión, el </w:t>
      </w:r>
      <w:r w:rsidRPr="004268A6">
        <w:rPr>
          <w:rFonts w:ascii="Palatino Linotype" w:eastAsia="Palatino Linotype" w:hAnsi="Palatino Linotype" w:cs="Palatino Linotype"/>
          <w:b/>
          <w:bCs/>
          <w:color w:val="000000" w:themeColor="text1"/>
        </w:rPr>
        <w:t>SUJETO OBLIGADO</w:t>
      </w:r>
      <w:r w:rsidRPr="004268A6">
        <w:rPr>
          <w:rFonts w:ascii="Palatino Linotype" w:eastAsia="Palatino Linotype" w:hAnsi="Palatino Linotype" w:cs="Palatino Linotype"/>
          <w:color w:val="000000" w:themeColor="text1"/>
        </w:rPr>
        <w:t xml:space="preserve"> puede entregar o completar la información al momento de rendir su informe de justificación o </w:t>
      </w:r>
      <w:r w:rsidRPr="004268A6">
        <w:rPr>
          <w:rFonts w:ascii="Palatino Linotype" w:eastAsia="Palatino Linotype" w:hAnsi="Palatino Linotype" w:cs="Palatino Linotype"/>
          <w:b/>
          <w:bCs/>
          <w:color w:val="000000" w:themeColor="text1"/>
          <w:u w:val="single"/>
        </w:rPr>
        <w:t>posteriormente</w:t>
      </w:r>
      <w:r w:rsidRPr="004268A6">
        <w:rPr>
          <w:rFonts w:ascii="Palatino Linotype" w:eastAsia="Palatino Linotype" w:hAnsi="Palatino Linotype" w:cs="Palatino Linotype"/>
          <w:color w:val="000000" w:themeColor="text1"/>
        </w:rPr>
        <w:t xml:space="preserve"> a éste, siempre y cuando el Pleno del Instituto no haya dictado resolución definitiva.</w:t>
      </w: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lastRenderedPageBreak/>
        <w:t xml:space="preserve">Eduardo Pallares, en su artículo </w:t>
      </w:r>
      <w:r w:rsidRPr="004268A6">
        <w:rPr>
          <w:rFonts w:ascii="Palatino Linotype" w:eastAsia="Palatino Linotype" w:hAnsi="Palatino Linotype" w:cs="Palatino Linotype"/>
          <w:i/>
          <w:iCs/>
          <w:color w:val="000000" w:themeColor="text1"/>
        </w:rPr>
        <w:t>“La caducidad y el sobreseimiento en el amparo”</w:t>
      </w:r>
      <w:r w:rsidRPr="004268A6">
        <w:rPr>
          <w:rFonts w:ascii="Palatino Linotype" w:eastAsia="Palatino Linotype" w:hAnsi="Palatino Linotype" w:cs="Palatino Linotype"/>
          <w:color w:val="000000" w:themeColor="text1"/>
        </w:rPr>
        <w:t xml:space="preserve">, cita la definición de Aguilera Paz, aduciendo que se </w:t>
      </w:r>
      <w:r w:rsidRPr="004268A6">
        <w:rPr>
          <w:rFonts w:ascii="Palatino Linotype" w:eastAsia="Palatino Linotype" w:hAnsi="Palatino Linotype" w:cs="Palatino Linotype"/>
          <w:i/>
          <w:iCs/>
          <w:color w:val="000000" w:themeColor="text1"/>
        </w:rPr>
        <w:t>“...entiende por sobreseimiento en el tecnicismo forense, el hecho de cesar en el procedimiento o curso de la causa, por no existir méritos bastantes para entrar en un juicio o para entablar la contienda judicial que debe ser objeto del mismo...”</w:t>
      </w:r>
      <w:r w:rsidRPr="004268A6">
        <w:rPr>
          <w:rFonts w:ascii="Palatino Linotype" w:eastAsia="Palatino Linotype" w:hAnsi="Palatino Linotype" w:cs="Palatino Linotype"/>
          <w:color w:val="000000" w:themeColor="text1"/>
        </w:rPr>
        <w:t>. Asimismo, señala que existe el sobreseimiento provisional y el definitivo</w:t>
      </w:r>
      <w:r w:rsidRPr="004268A6">
        <w:rPr>
          <w:rFonts w:ascii="Palatino Linotype" w:eastAsia="Palatino Linotype" w:hAnsi="Palatino Linotype" w:cs="Palatino Linotype"/>
          <w:i/>
          <w:iCs/>
          <w:color w:val="000000" w:themeColor="text1"/>
        </w:rPr>
        <w:t>: “...el definitivo es una verdadera sentencia que pone fin al juicio, y que una vez dictada, produce cosa juzgada, mientras que el provisorio tiene por efectos suspender la prosecución de la causa...”</w:t>
      </w:r>
    </w:p>
    <w:p w:rsidR="00320664" w:rsidRPr="004268A6" w:rsidRDefault="00320664" w:rsidP="004268A6">
      <w:pPr>
        <w:spacing w:line="360" w:lineRule="auto"/>
        <w:jc w:val="both"/>
        <w:rPr>
          <w:rFonts w:ascii="Palatino Linotype" w:eastAsia="Palatino Linotype" w:hAnsi="Palatino Linotype" w:cs="Palatino Linotype"/>
          <w:b/>
          <w:bCs/>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 xml:space="preserve">Así, para la doctrina el sobreseimiento provoca que un procedimiento se suspenda o se resuelva en definitiva </w:t>
      </w:r>
      <w:r w:rsidRPr="004268A6">
        <w:rPr>
          <w:rFonts w:ascii="Palatino Linotype" w:eastAsia="Palatino Linotype" w:hAnsi="Palatino Linotype" w:cs="Palatino Linotype"/>
          <w:b/>
          <w:bCs/>
          <w:color w:val="000000" w:themeColor="text1"/>
          <w:u w:val="single"/>
        </w:rPr>
        <w:t xml:space="preserve">sin que se entre al estudio de los agravios o motivos de inconformidad. </w:t>
      </w:r>
      <w:r w:rsidRPr="004268A6">
        <w:rPr>
          <w:rFonts w:ascii="Palatino Linotype" w:eastAsia="Palatino Linotype" w:hAnsi="Palatino Linotype" w:cs="Palatino Linotype"/>
          <w:color w:val="000000" w:themeColor="text1"/>
        </w:rPr>
        <w:t>Este mismo criterio es compartido por el más alto tribunal del país en múltiples jurisprudencias, por lo que a continuación se agrega una de ellas que sirve como orientador en esta resolución:</w:t>
      </w:r>
    </w:p>
    <w:p w:rsidR="00320664" w:rsidRPr="004268A6" w:rsidRDefault="001F24AE" w:rsidP="004268A6">
      <w:pPr>
        <w:jc w:val="both"/>
        <w:rPr>
          <w:rFonts w:ascii="Palatino Linotype" w:eastAsia="Palatino Linotype" w:hAnsi="Palatino Linotype" w:cs="Palatino Linotype"/>
          <w:i/>
          <w:iCs/>
          <w:color w:val="000000" w:themeColor="text1"/>
        </w:rPr>
      </w:pPr>
      <w:r w:rsidRPr="004268A6">
        <w:rPr>
          <w:rFonts w:ascii="Palatino Linotype" w:eastAsia="Palatino Linotype" w:hAnsi="Palatino Linotype" w:cs="Palatino Linotype"/>
          <w:b/>
          <w:bCs/>
          <w:i/>
          <w:iCs/>
          <w:color w:val="000000" w:themeColor="text1"/>
        </w:rPr>
        <w:t>SOBRESEIMIENTO EN EL JUICIO DE AMPARO DIRECTO. IMPIDE EL ESTUDIO DE LAS VIOLACIONES PROCESALES PLANTEADAS EN LOS CONCEPTOS DE VIOLACIÓN. El sobreseimiento</w:t>
      </w:r>
      <w:r w:rsidRPr="004268A6">
        <w:rPr>
          <w:rFonts w:ascii="Palatino Linotype" w:eastAsia="Palatino Linotype" w:hAnsi="Palatino Linotype" w:cs="Palatino Linotype"/>
          <w:i/>
          <w:iCs/>
          <w:color w:val="000000" w:themeColor="text1"/>
        </w:rPr>
        <w:t xml:space="preserve"> en el juicio de amparo directo </w:t>
      </w:r>
      <w:r w:rsidRPr="004268A6">
        <w:rPr>
          <w:rFonts w:ascii="Palatino Linotype" w:eastAsia="Palatino Linotype" w:hAnsi="Palatino Linotype" w:cs="Palatino Linotype"/>
          <w:b/>
          <w:bCs/>
          <w:i/>
          <w:iCs/>
          <w:color w:val="000000" w:themeColor="text1"/>
        </w:rPr>
        <w:t>provoca la terminación de la controversia planteada</w:t>
      </w:r>
      <w:r w:rsidRPr="004268A6">
        <w:rPr>
          <w:rFonts w:ascii="Palatino Linotype" w:eastAsia="Palatino Linotype" w:hAnsi="Palatino Linotype" w:cs="Palatino Linotype"/>
          <w:i/>
          <w:iCs/>
          <w:color w:val="000000" w:themeColor="text1"/>
        </w:rPr>
        <w:t xml:space="preserve"> por el quejoso en la demanda de amparo</w:t>
      </w:r>
      <w:r w:rsidRPr="004268A6">
        <w:rPr>
          <w:rFonts w:ascii="Palatino Linotype" w:eastAsia="Palatino Linotype" w:hAnsi="Palatino Linotype" w:cs="Palatino Linotype"/>
          <w:b/>
          <w:bCs/>
          <w:i/>
          <w:iCs/>
          <w:color w:val="000000" w:themeColor="text1"/>
        </w:rPr>
        <w:t>, sin hacer un pronunciamiento de fondo sobre la legalidad o ilegalidad de la sentencia reclamada</w:t>
      </w:r>
      <w:r w:rsidRPr="004268A6">
        <w:rPr>
          <w:rFonts w:ascii="Palatino Linotype" w:eastAsia="Palatino Linotype" w:hAnsi="Palatino Linotype" w:cs="Palatino Linotype"/>
          <w:i/>
          <w:iCs/>
          <w:color w:val="000000" w:themeColor="text1"/>
        </w:rPr>
        <w:t xml:space="preserve">. </w:t>
      </w:r>
      <w:r w:rsidRPr="004268A6">
        <w:rPr>
          <w:rFonts w:ascii="Palatino Linotype" w:eastAsia="Palatino Linotype" w:hAnsi="Palatino Linotype" w:cs="Palatino Linotype"/>
          <w:b/>
          <w:bCs/>
          <w:i/>
          <w:iCs/>
          <w:color w:val="000000" w:themeColor="text1"/>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4268A6">
        <w:rPr>
          <w:rFonts w:ascii="Palatino Linotype" w:eastAsia="Palatino Linotype" w:hAnsi="Palatino Linotype" w:cs="Palatino Linotype"/>
          <w:i/>
          <w:iCs/>
          <w:color w:val="000000" w:themeColor="text1"/>
        </w:rPr>
        <w:t>.</w:t>
      </w:r>
    </w:p>
    <w:p w:rsidR="00320664" w:rsidRPr="004268A6" w:rsidRDefault="00320664" w:rsidP="004268A6">
      <w:pPr>
        <w:spacing w:line="360" w:lineRule="auto"/>
        <w:jc w:val="both"/>
        <w:rPr>
          <w:rFonts w:ascii="Palatino Linotype" w:eastAsia="Palatino Linotype" w:hAnsi="Palatino Linotype" w:cs="Palatino Linotype"/>
          <w:b/>
          <w:bCs/>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 xml:space="preserve">Consecuentemente, por lo que hace a los motivos de inconformidad, los mismos devienen inatendibles por actualizarse la figura del sobreseimiento, misma que impide el </w:t>
      </w:r>
      <w:r w:rsidRPr="004268A6">
        <w:rPr>
          <w:rFonts w:ascii="Palatino Linotype" w:eastAsia="Palatino Linotype" w:hAnsi="Palatino Linotype" w:cs="Palatino Linotype"/>
          <w:color w:val="000000" w:themeColor="text1"/>
        </w:rPr>
        <w:lastRenderedPageBreak/>
        <w:t>estudio de los agravios planteados, máxime que se ha dado cumplimiento al derecho de acceso a la información.</w:t>
      </w:r>
    </w:p>
    <w:p w:rsidR="00320664" w:rsidRPr="004268A6" w:rsidRDefault="00320664" w:rsidP="004268A6">
      <w:pPr>
        <w:spacing w:line="360" w:lineRule="auto"/>
        <w:jc w:val="both"/>
        <w:rPr>
          <w:rFonts w:ascii="Palatino Linotype" w:eastAsia="Palatino Linotype" w:hAnsi="Palatino Linotype" w:cs="Palatino Linotype"/>
          <w:b/>
          <w:bCs/>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 xml:space="preserve">Bajo ese tenor y en términos del artículo 186 fracción I este Pleno determina el </w:t>
      </w:r>
      <w:r w:rsidRPr="004268A6">
        <w:rPr>
          <w:rFonts w:ascii="Palatino Linotype" w:eastAsia="Palatino Linotype" w:hAnsi="Palatino Linotype" w:cs="Palatino Linotype"/>
          <w:b/>
          <w:bCs/>
          <w:color w:val="000000" w:themeColor="text1"/>
        </w:rPr>
        <w:t xml:space="preserve">SOBRESEIMIENTO </w:t>
      </w:r>
      <w:r w:rsidRPr="004268A6">
        <w:rPr>
          <w:rFonts w:ascii="Palatino Linotype" w:eastAsia="Palatino Linotype" w:hAnsi="Palatino Linotype" w:cs="Palatino Linotype"/>
          <w:color w:val="000000" w:themeColor="text1"/>
        </w:rPr>
        <w:t>del presente recurso de revisión, toda vez que la afectación al derecho de acceso a la información pública establecido constitucionalmente a favor del Particular ha sido resarcida.</w:t>
      </w:r>
    </w:p>
    <w:p w:rsidR="00320664" w:rsidRPr="004268A6" w:rsidRDefault="00320664" w:rsidP="004268A6">
      <w:pPr>
        <w:rPr>
          <w:rFonts w:ascii="Palatino Linotype" w:eastAsia="Palatino Linotype" w:hAnsi="Palatino Linotype" w:cs="Palatino Linotype"/>
          <w:color w:val="000000" w:themeColor="text1"/>
        </w:rPr>
      </w:pPr>
    </w:p>
    <w:p w:rsidR="00320664" w:rsidRPr="004268A6" w:rsidRDefault="001F24AE" w:rsidP="004268A6">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color w:val="000000" w:themeColor="text1"/>
        </w:rPr>
        <w:t xml:space="preserve">Por lo anteriormente expuesto y fundado, este </w:t>
      </w:r>
      <w:r w:rsidRPr="004268A6">
        <w:rPr>
          <w:rFonts w:ascii="Palatino Linotype" w:eastAsia="Palatino Linotype" w:hAnsi="Palatino Linotype" w:cs="Palatino Linotype"/>
          <w:b/>
          <w:bCs/>
          <w:color w:val="000000" w:themeColor="text1"/>
        </w:rPr>
        <w:t>ÓRGANO GARANTE</w:t>
      </w:r>
      <w:r w:rsidRPr="004268A6">
        <w:rPr>
          <w:rFonts w:ascii="Palatino Linotype" w:eastAsia="Palatino Linotype" w:hAnsi="Palatino Linotype" w:cs="Palatino Linotype"/>
          <w:color w:val="000000" w:themeColor="text1"/>
        </w:rPr>
        <w:t xml:space="preserve"> emite los siguientes:</w:t>
      </w:r>
    </w:p>
    <w:p w:rsidR="00320664" w:rsidRPr="004268A6" w:rsidRDefault="00320664" w:rsidP="004268A6">
      <w:pPr>
        <w:pBdr>
          <w:top w:val="nil"/>
          <w:left w:val="nil"/>
          <w:bottom w:val="nil"/>
          <w:right w:val="nil"/>
          <w:between w:val="nil"/>
        </w:pBdr>
        <w:tabs>
          <w:tab w:val="left" w:pos="426"/>
        </w:tabs>
        <w:jc w:val="both"/>
        <w:rPr>
          <w:rFonts w:ascii="Palatino Linotype" w:eastAsia="Palatino Linotype" w:hAnsi="Palatino Linotype" w:cs="Palatino Linotype"/>
          <w:color w:val="000000" w:themeColor="text1"/>
        </w:rPr>
      </w:pPr>
    </w:p>
    <w:p w:rsidR="00320664" w:rsidRPr="004268A6" w:rsidRDefault="001F24AE" w:rsidP="004268A6">
      <w:pPr>
        <w:pStyle w:val="Ttulo1"/>
        <w:spacing w:before="0" w:line="360" w:lineRule="auto"/>
        <w:jc w:val="center"/>
        <w:rPr>
          <w:rFonts w:ascii="Palatino Linotype" w:eastAsia="Palatino Linotype" w:hAnsi="Palatino Linotype" w:cs="Palatino Linotype"/>
          <w:b/>
          <w:bCs/>
          <w:color w:val="000000" w:themeColor="text1"/>
          <w:sz w:val="24"/>
          <w:szCs w:val="24"/>
        </w:rPr>
      </w:pPr>
      <w:r w:rsidRPr="004268A6">
        <w:rPr>
          <w:rFonts w:ascii="Palatino Linotype" w:eastAsia="Palatino Linotype" w:hAnsi="Palatino Linotype" w:cs="Palatino Linotype"/>
          <w:b/>
          <w:bCs/>
          <w:color w:val="000000" w:themeColor="text1"/>
          <w:sz w:val="24"/>
          <w:szCs w:val="24"/>
        </w:rPr>
        <w:t>R E S O L U T I V O S</w:t>
      </w:r>
    </w:p>
    <w:p w:rsidR="00320664" w:rsidRPr="004268A6" w:rsidRDefault="00320664" w:rsidP="004268A6">
      <w:pPr>
        <w:rPr>
          <w:rFonts w:ascii="Palatino Linotype" w:eastAsia="Palatino Linotype" w:hAnsi="Palatino Linotype" w:cs="Palatino Linotype"/>
          <w:color w:val="000000" w:themeColor="text1"/>
        </w:rPr>
      </w:pPr>
    </w:p>
    <w:p w:rsidR="00320664" w:rsidRPr="004268A6" w:rsidRDefault="001F24AE" w:rsidP="004268A6">
      <w:pPr>
        <w:spacing w:line="360" w:lineRule="auto"/>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b/>
          <w:bCs/>
          <w:color w:val="000000" w:themeColor="text1"/>
        </w:rPr>
        <w:t xml:space="preserve">PRIMERO. </w:t>
      </w:r>
      <w:r w:rsidRPr="004268A6">
        <w:rPr>
          <w:rFonts w:ascii="Palatino Linotype" w:eastAsia="Palatino Linotype" w:hAnsi="Palatino Linotype" w:cs="Palatino Linotype"/>
          <w:color w:val="000000" w:themeColor="text1"/>
        </w:rPr>
        <w:t xml:space="preserve">Se </w:t>
      </w:r>
      <w:r w:rsidRPr="004268A6">
        <w:rPr>
          <w:rFonts w:ascii="Palatino Linotype" w:eastAsia="Palatino Linotype" w:hAnsi="Palatino Linotype" w:cs="Palatino Linotype"/>
          <w:b/>
          <w:bCs/>
          <w:color w:val="000000" w:themeColor="text1"/>
        </w:rPr>
        <w:t>SOBRESEE</w:t>
      </w:r>
      <w:r w:rsidRPr="004268A6">
        <w:rPr>
          <w:rFonts w:ascii="Palatino Linotype" w:eastAsia="Palatino Linotype" w:hAnsi="Palatino Linotype" w:cs="Palatino Linotype"/>
          <w:color w:val="000000" w:themeColor="text1"/>
        </w:rPr>
        <w:t xml:space="preserve"> el recurso de revisión número </w:t>
      </w:r>
      <w:r w:rsidRPr="004268A6">
        <w:rPr>
          <w:rFonts w:ascii="Palatino Linotype" w:eastAsia="Palatino Linotype" w:hAnsi="Palatino Linotype" w:cs="Palatino Linotype"/>
          <w:b/>
          <w:bCs/>
          <w:color w:val="000000" w:themeColor="text1"/>
        </w:rPr>
        <w:t xml:space="preserve">05313/INFOEM/IP/RR/2025 </w:t>
      </w:r>
      <w:r w:rsidRPr="004268A6">
        <w:rPr>
          <w:rFonts w:ascii="Palatino Linotype" w:eastAsia="Palatino Linotype" w:hAnsi="Palatino Linotype" w:cs="Palatino Linotype"/>
          <w:color w:val="000000" w:themeColor="text1"/>
        </w:rPr>
        <w:t xml:space="preserve">conforme al artículo 192 fracción III de la Ley de Transparencia y Acceso a la Información Pública del Estado de México y Municipios, porque al </w:t>
      </w:r>
      <w:r w:rsidRPr="004268A6">
        <w:rPr>
          <w:rFonts w:ascii="Palatino Linotype" w:eastAsia="Palatino Linotype" w:hAnsi="Palatino Linotype" w:cs="Palatino Linotype"/>
          <w:b/>
          <w:bCs/>
          <w:color w:val="000000" w:themeColor="text1"/>
        </w:rPr>
        <w:t>modificar la respuesta a través del informe justificado y atender lo solicitado</w:t>
      </w:r>
      <w:r w:rsidRPr="004268A6">
        <w:rPr>
          <w:rFonts w:ascii="Palatino Linotype" w:eastAsia="Palatino Linotype" w:hAnsi="Palatino Linotype" w:cs="Palatino Linotype"/>
          <w:color w:val="000000" w:themeColor="text1"/>
        </w:rPr>
        <w:t xml:space="preserve">, el recurso de revisión quedó sin materia en términos del Considerando </w:t>
      </w:r>
      <w:r w:rsidRPr="004268A6">
        <w:rPr>
          <w:rFonts w:ascii="Palatino Linotype" w:eastAsia="Palatino Linotype" w:hAnsi="Palatino Linotype" w:cs="Palatino Linotype"/>
          <w:b/>
          <w:bCs/>
          <w:color w:val="000000" w:themeColor="text1"/>
        </w:rPr>
        <w:t>TERCERO</w:t>
      </w:r>
      <w:r w:rsidRPr="004268A6">
        <w:rPr>
          <w:rFonts w:ascii="Palatino Linotype" w:eastAsia="Palatino Linotype" w:hAnsi="Palatino Linotype" w:cs="Palatino Linotype"/>
          <w:color w:val="000000" w:themeColor="text1"/>
        </w:rPr>
        <w:t xml:space="preserve"> de la presente resolución.</w:t>
      </w:r>
    </w:p>
    <w:p w:rsidR="00320664" w:rsidRPr="004268A6" w:rsidRDefault="00320664" w:rsidP="004268A6">
      <w:pPr>
        <w:spacing w:line="360" w:lineRule="auto"/>
        <w:jc w:val="both"/>
        <w:rPr>
          <w:rFonts w:ascii="Palatino Linotype" w:eastAsia="Palatino Linotype" w:hAnsi="Palatino Linotype" w:cs="Palatino Linotype"/>
          <w:b/>
          <w:bCs/>
          <w:color w:val="000000" w:themeColor="text1"/>
        </w:rPr>
      </w:pPr>
    </w:p>
    <w:p w:rsidR="00320664" w:rsidRPr="004268A6" w:rsidRDefault="004716DB" w:rsidP="004268A6">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SEGUNDO. NOTIFÍQUESE</w:t>
      </w:r>
      <w:r w:rsidR="001F24AE" w:rsidRPr="004268A6">
        <w:rPr>
          <w:rFonts w:ascii="Palatino Linotype" w:eastAsia="Palatino Linotype" w:hAnsi="Palatino Linotype" w:cs="Palatino Linotype"/>
          <w:b/>
          <w:bCs/>
          <w:color w:val="000000" w:themeColor="text1"/>
        </w:rPr>
        <w:t xml:space="preserve"> </w:t>
      </w:r>
      <w:r w:rsidR="001F24AE" w:rsidRPr="004268A6">
        <w:rPr>
          <w:rFonts w:ascii="Palatino Linotype" w:eastAsia="Palatino Linotype" w:hAnsi="Palatino Linotype" w:cs="Palatino Linotype"/>
          <w:color w:val="000000" w:themeColor="text1"/>
        </w:rPr>
        <w:t xml:space="preserve">a través del Sistema de Acceso a la Información Mexiquense </w:t>
      </w:r>
      <w:r w:rsidR="001F24AE" w:rsidRPr="004268A6">
        <w:rPr>
          <w:rFonts w:ascii="Palatino Linotype" w:eastAsia="Palatino Linotype" w:hAnsi="Palatino Linotype" w:cs="Palatino Linotype"/>
          <w:b/>
          <w:bCs/>
          <w:color w:val="000000" w:themeColor="text1"/>
        </w:rPr>
        <w:t xml:space="preserve">(SAIMEX) </w:t>
      </w:r>
      <w:r w:rsidR="001F24AE" w:rsidRPr="004268A6">
        <w:rPr>
          <w:rFonts w:ascii="Palatino Linotype" w:eastAsia="Palatino Linotype" w:hAnsi="Palatino Linotype" w:cs="Palatino Linotype"/>
          <w:color w:val="000000" w:themeColor="text1"/>
        </w:rPr>
        <w:t>la presente resolución al Titular de la Unidad de Transparencia del</w:t>
      </w:r>
      <w:r w:rsidR="001F24AE" w:rsidRPr="004268A6">
        <w:rPr>
          <w:rFonts w:ascii="Palatino Linotype" w:eastAsia="Palatino Linotype" w:hAnsi="Palatino Linotype" w:cs="Palatino Linotype"/>
          <w:b/>
          <w:bCs/>
          <w:color w:val="000000" w:themeColor="text1"/>
        </w:rPr>
        <w:t xml:space="preserve"> SUJETO OBLIGADO.</w:t>
      </w:r>
    </w:p>
    <w:p w:rsidR="00320664" w:rsidRPr="004268A6" w:rsidRDefault="00320664" w:rsidP="004268A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0664" w:rsidRPr="004268A6" w:rsidRDefault="001F24AE" w:rsidP="004268A6">
      <w:pPr>
        <w:tabs>
          <w:tab w:val="left" w:pos="8080"/>
        </w:tabs>
        <w:spacing w:line="360" w:lineRule="auto"/>
        <w:jc w:val="both"/>
        <w:rPr>
          <w:rFonts w:ascii="Palatino Linotype" w:eastAsia="Palatino Linotype" w:hAnsi="Palatino Linotype" w:cs="Palatino Linotype"/>
          <w:b/>
          <w:bCs/>
          <w:color w:val="000000" w:themeColor="text1"/>
        </w:rPr>
      </w:pPr>
      <w:r w:rsidRPr="004268A6">
        <w:rPr>
          <w:rFonts w:ascii="Palatino Linotype" w:eastAsia="Palatino Linotype" w:hAnsi="Palatino Linotype" w:cs="Palatino Linotype"/>
          <w:b/>
          <w:bCs/>
          <w:color w:val="000000" w:themeColor="text1"/>
        </w:rPr>
        <w:lastRenderedPageBreak/>
        <w:t xml:space="preserve">TERCERO. Notifíquese </w:t>
      </w:r>
      <w:r w:rsidRPr="004268A6">
        <w:rPr>
          <w:rFonts w:ascii="Palatino Linotype" w:eastAsia="Palatino Linotype" w:hAnsi="Palatino Linotype" w:cs="Palatino Linotype"/>
          <w:color w:val="000000" w:themeColor="text1"/>
        </w:rPr>
        <w:t>a</w:t>
      </w:r>
      <w:r w:rsidRPr="004268A6">
        <w:rPr>
          <w:rFonts w:ascii="Palatino Linotype" w:eastAsia="Palatino Linotype" w:hAnsi="Palatino Linotype" w:cs="Palatino Linotype"/>
          <w:b/>
          <w:bCs/>
          <w:color w:val="000000" w:themeColor="text1"/>
        </w:rPr>
        <w:t xml:space="preserve"> </w:t>
      </w:r>
      <w:r w:rsidRPr="004268A6">
        <w:rPr>
          <w:rFonts w:ascii="Palatino Linotype" w:eastAsia="Palatino Linotype" w:hAnsi="Palatino Linotype" w:cs="Palatino Linotype"/>
          <w:color w:val="000000" w:themeColor="text1"/>
        </w:rPr>
        <w:t xml:space="preserve">la parte </w:t>
      </w:r>
      <w:r w:rsidRPr="004268A6">
        <w:rPr>
          <w:rFonts w:ascii="Palatino Linotype" w:eastAsia="Palatino Linotype" w:hAnsi="Palatino Linotype" w:cs="Palatino Linotype"/>
          <w:b/>
          <w:bCs/>
          <w:color w:val="000000" w:themeColor="text1"/>
        </w:rPr>
        <w:t>RECURRENTE</w:t>
      </w:r>
      <w:r w:rsidRPr="004268A6">
        <w:rPr>
          <w:rFonts w:ascii="Palatino Linotype" w:eastAsia="Palatino Linotype" w:hAnsi="Palatino Linotype" w:cs="Palatino Linotype"/>
          <w:color w:val="000000" w:themeColor="text1"/>
        </w:rPr>
        <w:t xml:space="preserve"> la presente resolución a través del Sistema de Acceso a la Información Mexiquense </w:t>
      </w:r>
      <w:r w:rsidRPr="004268A6">
        <w:rPr>
          <w:rFonts w:ascii="Palatino Linotype" w:eastAsia="Palatino Linotype" w:hAnsi="Palatino Linotype" w:cs="Palatino Linotype"/>
          <w:b/>
          <w:bCs/>
          <w:color w:val="000000" w:themeColor="text1"/>
        </w:rPr>
        <w:t>(SAIMEX).</w:t>
      </w:r>
    </w:p>
    <w:p w:rsidR="00320664" w:rsidRPr="004268A6" w:rsidRDefault="00320664" w:rsidP="004268A6">
      <w:pPr>
        <w:tabs>
          <w:tab w:val="left" w:pos="8080"/>
        </w:tabs>
        <w:spacing w:line="360" w:lineRule="auto"/>
        <w:jc w:val="both"/>
        <w:rPr>
          <w:rFonts w:ascii="Palatino Linotype" w:eastAsia="Palatino Linotype" w:hAnsi="Palatino Linotype" w:cs="Palatino Linotype"/>
          <w:b/>
          <w:bCs/>
          <w:color w:val="000000" w:themeColor="text1"/>
        </w:rPr>
      </w:pPr>
    </w:p>
    <w:p w:rsidR="00320664" w:rsidRPr="004268A6" w:rsidRDefault="001F24AE" w:rsidP="004268A6">
      <w:pPr>
        <w:shd w:val="clear" w:color="auto" w:fill="FFFFFF"/>
        <w:spacing w:line="360" w:lineRule="auto"/>
        <w:jc w:val="both"/>
        <w:rPr>
          <w:rFonts w:ascii="Palatino Linotype" w:eastAsia="Palatino Linotype" w:hAnsi="Palatino Linotype" w:cs="Palatino Linotype"/>
          <w:color w:val="000000" w:themeColor="text1"/>
        </w:rPr>
      </w:pPr>
      <w:r w:rsidRPr="004268A6">
        <w:rPr>
          <w:rFonts w:ascii="Palatino Linotype" w:eastAsia="Palatino Linotype" w:hAnsi="Palatino Linotype" w:cs="Palatino Linotype"/>
          <w:b/>
          <w:bCs/>
          <w:color w:val="000000" w:themeColor="text1"/>
        </w:rPr>
        <w:t xml:space="preserve">CUARTO. </w:t>
      </w:r>
      <w:r w:rsidRPr="004268A6">
        <w:rPr>
          <w:rFonts w:ascii="Palatino Linotype" w:eastAsia="Palatino Linotype" w:hAnsi="Palatino Linotype" w:cs="Palatino Linotype"/>
          <w:color w:val="000000" w:themeColor="text1"/>
        </w:rPr>
        <w:t xml:space="preserve">Se hace del conocimiento de la parte </w:t>
      </w:r>
      <w:r w:rsidRPr="004268A6">
        <w:rPr>
          <w:rFonts w:ascii="Palatino Linotype" w:eastAsia="Palatino Linotype" w:hAnsi="Palatino Linotype" w:cs="Palatino Linotype"/>
          <w:b/>
          <w:bCs/>
          <w:color w:val="000000" w:themeColor="text1"/>
        </w:rPr>
        <w:t>RECURRENTE</w:t>
      </w:r>
      <w:r w:rsidRPr="004268A6">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320664" w:rsidRDefault="00320664" w:rsidP="004268A6">
      <w:pPr>
        <w:shd w:val="clear" w:color="auto" w:fill="FFFFFF"/>
        <w:jc w:val="both"/>
        <w:rPr>
          <w:rFonts w:ascii="Palatino Linotype" w:eastAsia="Palatino Linotype" w:hAnsi="Palatino Linotype" w:cs="Palatino Linotype"/>
          <w:color w:val="000000" w:themeColor="text1"/>
        </w:rPr>
      </w:pPr>
    </w:p>
    <w:p w:rsidR="00320664" w:rsidRPr="004268A6" w:rsidRDefault="004716DB" w:rsidP="004268A6">
      <w:pPr>
        <w:spacing w:before="240" w:after="240" w:line="360" w:lineRule="auto"/>
        <w:jc w:val="both"/>
        <w:rPr>
          <w:rFonts w:ascii="Palatino Linotype" w:eastAsia="Palatino Linotype" w:hAnsi="Palatino Linotype" w:cs="Palatino Linotype"/>
          <w:color w:val="000000" w:themeColor="text1"/>
        </w:rPr>
      </w:pPr>
      <w:bookmarkStart w:id="9" w:name="_heading=h.30j0zll" w:colFirst="0" w:colLast="0"/>
      <w:bookmarkEnd w:id="9"/>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CATORCE (14)</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ENERO D</w:t>
      </w:r>
      <w:r w:rsidRPr="00575AE2">
        <w:rPr>
          <w:rFonts w:ascii="Palatino Linotype" w:eastAsia="Palatino Linotype" w:hAnsi="Palatino Linotype" w:cs="Palatino Linotype"/>
        </w:rPr>
        <w:t>E DOS MIL VEINTI</w:t>
      </w:r>
      <w:r>
        <w:rPr>
          <w:rFonts w:ascii="Palatino Linotype" w:eastAsia="Palatino Linotype" w:hAnsi="Palatino Linotype" w:cs="Palatino Linotype"/>
        </w:rPr>
        <w:t>SÉIS,</w:t>
      </w:r>
      <w:r w:rsidRPr="00575AE2">
        <w:rPr>
          <w:rFonts w:ascii="Palatino Linotype" w:eastAsia="Palatino Linotype" w:hAnsi="Palatino Linotype" w:cs="Palatino Linotype"/>
        </w:rPr>
        <w:t xml:space="preserve"> ANTE EL SECRETARIO TÉCNICO DEL PLENO ALEXIS TAPIA RAMÍREZ.</w:t>
      </w:r>
    </w:p>
    <w:p w:rsidR="00320664" w:rsidRPr="004268A6" w:rsidRDefault="00320664" w:rsidP="004268A6">
      <w:pPr>
        <w:spacing w:line="360" w:lineRule="auto"/>
        <w:jc w:val="both"/>
        <w:rPr>
          <w:rFonts w:ascii="Palatino Linotype" w:eastAsia="Palatino Linotype" w:hAnsi="Palatino Linotype" w:cs="Palatino Linotype"/>
          <w:b/>
          <w:bCs/>
          <w:color w:val="000000" w:themeColor="text1"/>
        </w:rPr>
      </w:pPr>
    </w:p>
    <w:p w:rsidR="00320664" w:rsidRDefault="00320664" w:rsidP="004268A6">
      <w:pPr>
        <w:spacing w:line="360" w:lineRule="auto"/>
        <w:jc w:val="both"/>
        <w:rPr>
          <w:rFonts w:ascii="Palatino Linotype" w:eastAsia="Palatino Linotype" w:hAnsi="Palatino Linotype" w:cs="Palatino Linotype"/>
          <w:b/>
          <w:bCs/>
          <w:color w:val="000000" w:themeColor="text1"/>
        </w:rPr>
      </w:pPr>
    </w:p>
    <w:p w:rsidR="00FA3C5E" w:rsidRDefault="00FA3C5E" w:rsidP="004268A6">
      <w:pPr>
        <w:spacing w:line="360" w:lineRule="auto"/>
        <w:jc w:val="both"/>
        <w:rPr>
          <w:rFonts w:ascii="Palatino Linotype" w:eastAsia="Palatino Linotype" w:hAnsi="Palatino Linotype" w:cs="Palatino Linotype"/>
          <w:b/>
          <w:bCs/>
          <w:color w:val="000000" w:themeColor="text1"/>
        </w:rPr>
      </w:pPr>
    </w:p>
    <w:p w:rsidR="00FA3C5E" w:rsidRDefault="00FA3C5E" w:rsidP="004268A6">
      <w:pPr>
        <w:spacing w:line="360" w:lineRule="auto"/>
        <w:jc w:val="both"/>
        <w:rPr>
          <w:rFonts w:ascii="Palatino Linotype" w:eastAsia="Palatino Linotype" w:hAnsi="Palatino Linotype" w:cs="Palatino Linotype"/>
          <w:b/>
          <w:bCs/>
          <w:color w:val="000000" w:themeColor="text1"/>
        </w:rPr>
      </w:pPr>
    </w:p>
    <w:p w:rsidR="00FA3C5E" w:rsidRDefault="00FA3C5E" w:rsidP="004268A6">
      <w:pPr>
        <w:spacing w:line="360" w:lineRule="auto"/>
        <w:jc w:val="both"/>
        <w:rPr>
          <w:rFonts w:ascii="Palatino Linotype" w:eastAsia="Palatino Linotype" w:hAnsi="Palatino Linotype" w:cs="Palatino Linotype"/>
          <w:b/>
          <w:bCs/>
          <w:color w:val="000000" w:themeColor="text1"/>
        </w:rPr>
      </w:pPr>
    </w:p>
    <w:p w:rsidR="00FA3C5E" w:rsidRDefault="00FA3C5E" w:rsidP="004268A6">
      <w:pPr>
        <w:spacing w:line="360" w:lineRule="auto"/>
        <w:jc w:val="both"/>
        <w:rPr>
          <w:rFonts w:ascii="Palatino Linotype" w:eastAsia="Palatino Linotype" w:hAnsi="Palatino Linotype" w:cs="Palatino Linotype"/>
          <w:b/>
          <w:bCs/>
          <w:color w:val="000000" w:themeColor="text1"/>
        </w:rPr>
      </w:pPr>
    </w:p>
    <w:p w:rsidR="00FA3C5E" w:rsidRDefault="00FA3C5E" w:rsidP="004268A6">
      <w:pPr>
        <w:spacing w:line="360" w:lineRule="auto"/>
        <w:jc w:val="both"/>
        <w:rPr>
          <w:rFonts w:ascii="Palatino Linotype" w:eastAsia="Palatino Linotype" w:hAnsi="Palatino Linotype" w:cs="Palatino Linotype"/>
          <w:b/>
          <w:bCs/>
          <w:color w:val="000000" w:themeColor="text1"/>
        </w:rPr>
      </w:pPr>
    </w:p>
    <w:p w:rsidR="00FA3C5E" w:rsidRDefault="00FA3C5E" w:rsidP="004268A6">
      <w:pPr>
        <w:spacing w:line="360" w:lineRule="auto"/>
        <w:jc w:val="both"/>
        <w:rPr>
          <w:rFonts w:ascii="Palatino Linotype" w:eastAsia="Palatino Linotype" w:hAnsi="Palatino Linotype" w:cs="Palatino Linotype"/>
          <w:b/>
          <w:bCs/>
          <w:color w:val="000000" w:themeColor="text1"/>
        </w:rPr>
      </w:pPr>
    </w:p>
    <w:p w:rsidR="00FA3C5E" w:rsidRDefault="00FA3C5E" w:rsidP="004268A6">
      <w:pPr>
        <w:spacing w:line="360" w:lineRule="auto"/>
        <w:jc w:val="both"/>
        <w:rPr>
          <w:rFonts w:ascii="Palatino Linotype" w:eastAsia="Palatino Linotype" w:hAnsi="Palatino Linotype" w:cs="Palatino Linotype"/>
          <w:b/>
          <w:bCs/>
          <w:color w:val="000000" w:themeColor="text1"/>
        </w:rPr>
      </w:pPr>
    </w:p>
    <w:p w:rsidR="00FA3C5E" w:rsidRDefault="00FA3C5E" w:rsidP="004268A6">
      <w:pPr>
        <w:spacing w:line="360" w:lineRule="auto"/>
        <w:jc w:val="both"/>
        <w:rPr>
          <w:rFonts w:ascii="Palatino Linotype" w:eastAsia="Palatino Linotype" w:hAnsi="Palatino Linotype" w:cs="Palatino Linotype"/>
          <w:b/>
          <w:bCs/>
          <w:color w:val="000000" w:themeColor="text1"/>
        </w:rPr>
      </w:pPr>
    </w:p>
    <w:p w:rsidR="00FA3C5E" w:rsidRPr="004268A6" w:rsidRDefault="00FA3C5E" w:rsidP="004268A6">
      <w:pPr>
        <w:spacing w:line="360" w:lineRule="auto"/>
        <w:jc w:val="both"/>
        <w:rPr>
          <w:rFonts w:ascii="Palatino Linotype" w:eastAsia="Palatino Linotype" w:hAnsi="Palatino Linotype" w:cs="Palatino Linotype"/>
          <w:b/>
          <w:bCs/>
          <w:color w:val="000000" w:themeColor="text1"/>
        </w:rPr>
      </w:pPr>
    </w:p>
    <w:p w:rsidR="00320664" w:rsidRPr="004268A6" w:rsidRDefault="00320664" w:rsidP="004268A6">
      <w:pPr>
        <w:spacing w:line="360" w:lineRule="auto"/>
        <w:jc w:val="both"/>
        <w:rPr>
          <w:rFonts w:ascii="Palatino Linotype" w:eastAsia="Palatino Linotype" w:hAnsi="Palatino Linotype" w:cs="Palatino Linotype"/>
          <w:color w:val="000000" w:themeColor="text1"/>
        </w:rPr>
      </w:pPr>
      <w:bookmarkStart w:id="10" w:name="_heading=h.tyjcwt" w:colFirst="0" w:colLast="0"/>
      <w:bookmarkEnd w:id="10"/>
    </w:p>
    <w:p w:rsidR="00320664" w:rsidRPr="004268A6" w:rsidRDefault="00320664" w:rsidP="004268A6">
      <w:pPr>
        <w:spacing w:line="360" w:lineRule="auto"/>
        <w:jc w:val="both"/>
        <w:rPr>
          <w:rFonts w:ascii="Palatino Linotype" w:eastAsia="Palatino Linotype" w:hAnsi="Palatino Linotype" w:cs="Palatino Linotype"/>
          <w:color w:val="000000" w:themeColor="text1"/>
        </w:rPr>
      </w:pPr>
    </w:p>
    <w:p w:rsidR="00320664" w:rsidRPr="004268A6" w:rsidRDefault="00320664" w:rsidP="004268A6">
      <w:pPr>
        <w:spacing w:line="360" w:lineRule="auto"/>
        <w:rPr>
          <w:rFonts w:ascii="Palatino Linotype" w:eastAsia="Palatino Linotype" w:hAnsi="Palatino Linotype" w:cs="Palatino Linotype"/>
          <w:color w:val="000000" w:themeColor="text1"/>
        </w:rPr>
      </w:pPr>
    </w:p>
    <w:sectPr w:rsidR="00320664" w:rsidRPr="004268A6" w:rsidSect="00FA3C5E">
      <w:headerReference w:type="even" r:id="rId12"/>
      <w:headerReference w:type="default" r:id="rId13"/>
      <w:footerReference w:type="default" r:id="rId14"/>
      <w:headerReference w:type="first" r:id="rId15"/>
      <w:footerReference w:type="first" r:id="rId16"/>
      <w:pgSz w:w="12240" w:h="15840"/>
      <w:pgMar w:top="2269" w:right="758" w:bottom="212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A5D" w:rsidRDefault="006F4A5D">
      <w:r>
        <w:separator/>
      </w:r>
    </w:p>
  </w:endnote>
  <w:endnote w:type="continuationSeparator" w:id="0">
    <w:p w:rsidR="006F4A5D" w:rsidRDefault="006F4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86831CFB-6ED0-43EE-A908-FE0DB8542AA1}"/>
    <w:embedBold r:id="rId2" w:fontKey="{E97DAC75-BED5-423D-A055-A8281EE58662}"/>
    <w:embedItalic r:id="rId3" w:fontKey="{0F1CACB4-456F-4DBC-AEE9-F3117FD917E1}"/>
    <w:embedBoldItalic r:id="rId4" w:fontKey="{EFDAE7DB-2457-40D9-A372-573AC8D1A42D}"/>
  </w:font>
  <w:font w:name="Noto Sans Symbols">
    <w:altName w:val="Times New Roman"/>
    <w:charset w:val="00"/>
    <w:family w:val="auto"/>
    <w:pitch w:val="default"/>
    <w:embedRegular r:id="rId5" w:fontKey="{88557C57-B4CF-4808-924F-B5D50483574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2338AF80-BBCF-42F1-8A1D-C9D7D005393C}"/>
    <w:embedBold r:id="rId7" w:fontKey="{3B537AA2-4B6A-4DDC-91D3-AD9B242995EF}"/>
    <w:embedItalic r:id="rId8" w:fontKey="{597D9B90-BB12-449E-BE25-B62812694347}"/>
  </w:font>
  <w:font w:name="Calibri Light">
    <w:panose1 w:val="020F0302020204030204"/>
    <w:charset w:val="00"/>
    <w:family w:val="swiss"/>
    <w:pitch w:val="variable"/>
    <w:sig w:usb0="E4002EFF" w:usb1="C200247B" w:usb2="00000009" w:usb3="00000000" w:csb0="000001FF" w:csb1="00000000"/>
    <w:embedRegular r:id="rId9" w:fontKey="{33228303-FB5D-4ED0-A32E-AABC6756558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EA47A10F-709A-4395-B34B-871C98934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664" w:rsidRPr="00FA3C5E" w:rsidRDefault="001F24A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FA3C5E">
      <w:rPr>
        <w:rFonts w:ascii="Palatino Linotype" w:eastAsia="Palatino Linotype" w:hAnsi="Palatino Linotype" w:cs="Palatino Linotype"/>
        <w:color w:val="000000"/>
        <w:sz w:val="22"/>
        <w:szCs w:val="20"/>
      </w:rPr>
      <w:t xml:space="preserve">Página </w:t>
    </w:r>
    <w:r w:rsidRPr="00FA3C5E">
      <w:rPr>
        <w:rFonts w:ascii="Palatino Linotype" w:eastAsia="Palatino Linotype" w:hAnsi="Palatino Linotype" w:cs="Palatino Linotype"/>
        <w:color w:val="000000"/>
        <w:sz w:val="22"/>
        <w:szCs w:val="20"/>
      </w:rPr>
      <w:fldChar w:fldCharType="begin"/>
    </w:r>
    <w:r w:rsidRPr="00FA3C5E">
      <w:rPr>
        <w:rFonts w:ascii="Palatino Linotype" w:eastAsia="Palatino Linotype" w:hAnsi="Palatino Linotype" w:cs="Palatino Linotype"/>
        <w:color w:val="000000"/>
        <w:sz w:val="22"/>
        <w:szCs w:val="20"/>
      </w:rPr>
      <w:instrText>PAGE</w:instrText>
    </w:r>
    <w:r w:rsidRPr="00FA3C5E">
      <w:rPr>
        <w:rFonts w:ascii="Palatino Linotype" w:eastAsia="Palatino Linotype" w:hAnsi="Palatino Linotype" w:cs="Palatino Linotype"/>
        <w:color w:val="000000"/>
        <w:sz w:val="22"/>
        <w:szCs w:val="20"/>
      </w:rPr>
      <w:fldChar w:fldCharType="separate"/>
    </w:r>
    <w:r w:rsidR="00FA3C5E">
      <w:rPr>
        <w:rFonts w:ascii="Palatino Linotype" w:eastAsia="Palatino Linotype" w:hAnsi="Palatino Linotype" w:cs="Palatino Linotype"/>
        <w:noProof/>
        <w:color w:val="000000"/>
        <w:sz w:val="22"/>
        <w:szCs w:val="20"/>
      </w:rPr>
      <w:t>21</w:t>
    </w:r>
    <w:r w:rsidRPr="00FA3C5E">
      <w:rPr>
        <w:rFonts w:ascii="Palatino Linotype" w:eastAsia="Palatino Linotype" w:hAnsi="Palatino Linotype" w:cs="Palatino Linotype"/>
        <w:color w:val="000000"/>
        <w:sz w:val="22"/>
        <w:szCs w:val="20"/>
      </w:rPr>
      <w:fldChar w:fldCharType="end"/>
    </w:r>
    <w:r w:rsidRPr="00FA3C5E">
      <w:rPr>
        <w:rFonts w:ascii="Palatino Linotype" w:eastAsia="Palatino Linotype" w:hAnsi="Palatino Linotype" w:cs="Palatino Linotype"/>
        <w:color w:val="000000"/>
        <w:sz w:val="22"/>
        <w:szCs w:val="20"/>
      </w:rPr>
      <w:t xml:space="preserve"> de </w:t>
    </w:r>
    <w:r w:rsidRPr="00FA3C5E">
      <w:rPr>
        <w:rFonts w:ascii="Palatino Linotype" w:eastAsia="Palatino Linotype" w:hAnsi="Palatino Linotype" w:cs="Palatino Linotype"/>
        <w:color w:val="000000"/>
        <w:sz w:val="22"/>
        <w:szCs w:val="20"/>
      </w:rPr>
      <w:fldChar w:fldCharType="begin"/>
    </w:r>
    <w:r w:rsidRPr="00FA3C5E">
      <w:rPr>
        <w:rFonts w:ascii="Palatino Linotype" w:eastAsia="Palatino Linotype" w:hAnsi="Palatino Linotype" w:cs="Palatino Linotype"/>
        <w:color w:val="000000"/>
        <w:sz w:val="22"/>
        <w:szCs w:val="20"/>
      </w:rPr>
      <w:instrText>NUMPAGES</w:instrText>
    </w:r>
    <w:r w:rsidRPr="00FA3C5E">
      <w:rPr>
        <w:rFonts w:ascii="Palatino Linotype" w:eastAsia="Palatino Linotype" w:hAnsi="Palatino Linotype" w:cs="Palatino Linotype"/>
        <w:color w:val="000000"/>
        <w:sz w:val="22"/>
        <w:szCs w:val="20"/>
      </w:rPr>
      <w:fldChar w:fldCharType="separate"/>
    </w:r>
    <w:r w:rsidR="00FA3C5E">
      <w:rPr>
        <w:rFonts w:ascii="Palatino Linotype" w:eastAsia="Palatino Linotype" w:hAnsi="Palatino Linotype" w:cs="Palatino Linotype"/>
        <w:noProof/>
        <w:color w:val="000000"/>
        <w:sz w:val="22"/>
        <w:szCs w:val="20"/>
      </w:rPr>
      <w:t>24</w:t>
    </w:r>
    <w:r w:rsidRPr="00FA3C5E">
      <w:rPr>
        <w:rFonts w:ascii="Palatino Linotype" w:eastAsia="Palatino Linotype" w:hAnsi="Palatino Linotype" w:cs="Palatino Linotype"/>
        <w:color w:val="000000"/>
        <w:sz w:val="22"/>
        <w:szCs w:val="20"/>
      </w:rPr>
      <w:fldChar w:fldCharType="end"/>
    </w:r>
  </w:p>
  <w:p w:rsidR="00320664" w:rsidRDefault="0032066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664" w:rsidRPr="00FA3C5E" w:rsidRDefault="001F24A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FA3C5E">
      <w:rPr>
        <w:rFonts w:ascii="Palatino Linotype" w:eastAsia="Palatino Linotype" w:hAnsi="Palatino Linotype" w:cs="Palatino Linotype"/>
        <w:color w:val="000000"/>
        <w:sz w:val="22"/>
        <w:szCs w:val="20"/>
      </w:rPr>
      <w:t xml:space="preserve">Página </w:t>
    </w:r>
    <w:r w:rsidRPr="00FA3C5E">
      <w:rPr>
        <w:rFonts w:ascii="Palatino Linotype" w:eastAsia="Palatino Linotype" w:hAnsi="Palatino Linotype" w:cs="Palatino Linotype"/>
        <w:color w:val="000000"/>
        <w:sz w:val="22"/>
        <w:szCs w:val="20"/>
      </w:rPr>
      <w:fldChar w:fldCharType="begin"/>
    </w:r>
    <w:r w:rsidRPr="00FA3C5E">
      <w:rPr>
        <w:rFonts w:ascii="Palatino Linotype" w:eastAsia="Palatino Linotype" w:hAnsi="Palatino Linotype" w:cs="Palatino Linotype"/>
        <w:color w:val="000000"/>
        <w:sz w:val="22"/>
        <w:szCs w:val="20"/>
      </w:rPr>
      <w:instrText>PAGE</w:instrText>
    </w:r>
    <w:r w:rsidRPr="00FA3C5E">
      <w:rPr>
        <w:rFonts w:ascii="Palatino Linotype" w:eastAsia="Palatino Linotype" w:hAnsi="Palatino Linotype" w:cs="Palatino Linotype"/>
        <w:color w:val="000000"/>
        <w:sz w:val="22"/>
        <w:szCs w:val="20"/>
      </w:rPr>
      <w:fldChar w:fldCharType="separate"/>
    </w:r>
    <w:r w:rsidR="00FA3C5E">
      <w:rPr>
        <w:rFonts w:ascii="Palatino Linotype" w:eastAsia="Palatino Linotype" w:hAnsi="Palatino Linotype" w:cs="Palatino Linotype"/>
        <w:noProof/>
        <w:color w:val="000000"/>
        <w:sz w:val="22"/>
        <w:szCs w:val="20"/>
      </w:rPr>
      <w:t>1</w:t>
    </w:r>
    <w:r w:rsidRPr="00FA3C5E">
      <w:rPr>
        <w:rFonts w:ascii="Palatino Linotype" w:eastAsia="Palatino Linotype" w:hAnsi="Palatino Linotype" w:cs="Palatino Linotype"/>
        <w:color w:val="000000"/>
        <w:sz w:val="22"/>
        <w:szCs w:val="20"/>
      </w:rPr>
      <w:fldChar w:fldCharType="end"/>
    </w:r>
    <w:r w:rsidRPr="00FA3C5E">
      <w:rPr>
        <w:rFonts w:ascii="Palatino Linotype" w:eastAsia="Palatino Linotype" w:hAnsi="Palatino Linotype" w:cs="Palatino Linotype"/>
        <w:color w:val="000000"/>
        <w:sz w:val="22"/>
        <w:szCs w:val="20"/>
      </w:rPr>
      <w:t xml:space="preserve"> de </w:t>
    </w:r>
    <w:r w:rsidRPr="00FA3C5E">
      <w:rPr>
        <w:rFonts w:ascii="Palatino Linotype" w:eastAsia="Palatino Linotype" w:hAnsi="Palatino Linotype" w:cs="Palatino Linotype"/>
        <w:color w:val="000000"/>
        <w:sz w:val="22"/>
        <w:szCs w:val="20"/>
      </w:rPr>
      <w:fldChar w:fldCharType="begin"/>
    </w:r>
    <w:r w:rsidRPr="00FA3C5E">
      <w:rPr>
        <w:rFonts w:ascii="Palatino Linotype" w:eastAsia="Palatino Linotype" w:hAnsi="Palatino Linotype" w:cs="Palatino Linotype"/>
        <w:color w:val="000000"/>
        <w:sz w:val="22"/>
        <w:szCs w:val="20"/>
      </w:rPr>
      <w:instrText>NUMPAGES</w:instrText>
    </w:r>
    <w:r w:rsidRPr="00FA3C5E">
      <w:rPr>
        <w:rFonts w:ascii="Palatino Linotype" w:eastAsia="Palatino Linotype" w:hAnsi="Palatino Linotype" w:cs="Palatino Linotype"/>
        <w:color w:val="000000"/>
        <w:sz w:val="22"/>
        <w:szCs w:val="20"/>
      </w:rPr>
      <w:fldChar w:fldCharType="separate"/>
    </w:r>
    <w:r w:rsidR="00FA3C5E">
      <w:rPr>
        <w:rFonts w:ascii="Palatino Linotype" w:eastAsia="Palatino Linotype" w:hAnsi="Palatino Linotype" w:cs="Palatino Linotype"/>
        <w:noProof/>
        <w:color w:val="000000"/>
        <w:sz w:val="22"/>
        <w:szCs w:val="20"/>
      </w:rPr>
      <w:t>24</w:t>
    </w:r>
    <w:r w:rsidRPr="00FA3C5E">
      <w:rPr>
        <w:rFonts w:ascii="Palatino Linotype" w:eastAsia="Palatino Linotype" w:hAnsi="Palatino Linotype" w:cs="Palatino Linotype"/>
        <w:color w:val="000000"/>
        <w:sz w:val="22"/>
        <w:szCs w:val="20"/>
      </w:rPr>
      <w:fldChar w:fldCharType="end"/>
    </w:r>
  </w:p>
  <w:p w:rsidR="00320664" w:rsidRDefault="0032066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A5D" w:rsidRDefault="006F4A5D">
      <w:r>
        <w:separator/>
      </w:r>
    </w:p>
  </w:footnote>
  <w:footnote w:type="continuationSeparator" w:id="0">
    <w:p w:rsidR="006F4A5D" w:rsidRDefault="006F4A5D">
      <w:r>
        <w:continuationSeparator/>
      </w:r>
    </w:p>
  </w:footnote>
  <w:footnote w:id="1">
    <w:p w:rsidR="00320664" w:rsidRDefault="001F24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320664" w:rsidRDefault="001F24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320664" w:rsidRDefault="001F24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320664" w:rsidRDefault="001F24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320664" w:rsidRDefault="001F24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50, Ley de Transparencia y Acceso a la Información Pública del Estado de México y Municipios.</w:t>
      </w:r>
    </w:p>
  </w:footnote>
  <w:footnote w:id="6">
    <w:p w:rsidR="00320664" w:rsidRDefault="001F24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51, Ídem.</w:t>
      </w:r>
    </w:p>
  </w:footnote>
  <w:footnote w:id="7">
    <w:p w:rsidR="00320664" w:rsidRDefault="001F24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58, Ley de Transparencia y Acceso a la Información Pública del Estado de México y Municipios.</w:t>
      </w:r>
    </w:p>
  </w:footnote>
  <w:footnote w:id="8">
    <w:p w:rsidR="00320664" w:rsidRDefault="001F24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664" w:rsidRDefault="006F4A5D">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7654" w:type="dxa"/>
      <w:tblInd w:w="2694" w:type="dxa"/>
      <w:tblLayout w:type="fixed"/>
      <w:tblLook w:val="0400" w:firstRow="0" w:lastRow="0" w:firstColumn="0" w:lastColumn="0" w:noHBand="0" w:noVBand="1"/>
    </w:tblPr>
    <w:tblGrid>
      <w:gridCol w:w="2976"/>
      <w:gridCol w:w="4678"/>
    </w:tblGrid>
    <w:tr w:rsidR="00320664" w:rsidTr="004268A6">
      <w:trPr>
        <w:trHeight w:val="227"/>
      </w:trPr>
      <w:tc>
        <w:tcPr>
          <w:tcW w:w="2976" w:type="dxa"/>
          <w:vAlign w:val="center"/>
        </w:tcPr>
        <w:p w:rsidR="00320664" w:rsidRPr="004268A6" w:rsidRDefault="001F24AE" w:rsidP="004268A6">
          <w:pPr>
            <w:ind w:right="34"/>
            <w:jc w:val="right"/>
            <w:rPr>
              <w:rFonts w:ascii="Palatino Linotype" w:eastAsia="Palatino Linotype" w:hAnsi="Palatino Linotype" w:cs="Palatino Linotype"/>
              <w:b/>
              <w:bCs/>
            </w:rPr>
          </w:pPr>
          <w:r w:rsidRPr="004268A6">
            <w:rPr>
              <w:rFonts w:ascii="Palatino Linotype" w:eastAsia="Palatino Linotype" w:hAnsi="Palatino Linotype" w:cs="Palatino Linotype"/>
              <w:b/>
              <w:bCs/>
            </w:rPr>
            <w:t>Recurso de Revisión:</w:t>
          </w:r>
        </w:p>
      </w:tc>
      <w:tc>
        <w:tcPr>
          <w:tcW w:w="4678" w:type="dxa"/>
          <w:vAlign w:val="center"/>
        </w:tcPr>
        <w:p w:rsidR="00320664" w:rsidRPr="004268A6" w:rsidRDefault="001F24AE" w:rsidP="00FA3C5E">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4268A6">
            <w:rPr>
              <w:rFonts w:ascii="Palatino Linotype" w:eastAsia="Palatino Linotype" w:hAnsi="Palatino Linotype" w:cs="Palatino Linotype"/>
              <w:bCs/>
              <w:color w:val="000000"/>
            </w:rPr>
            <w:t>05313/INFOEM/IP/RR/2025</w:t>
          </w:r>
        </w:p>
      </w:tc>
    </w:tr>
    <w:tr w:rsidR="00320664" w:rsidTr="004268A6">
      <w:trPr>
        <w:trHeight w:val="242"/>
      </w:trPr>
      <w:tc>
        <w:tcPr>
          <w:tcW w:w="2976" w:type="dxa"/>
          <w:vAlign w:val="center"/>
        </w:tcPr>
        <w:p w:rsidR="00320664" w:rsidRDefault="001F24AE" w:rsidP="004268A6">
          <w:pPr>
            <w:ind w:right="34"/>
            <w:jc w:val="right"/>
            <w:rPr>
              <w:rFonts w:ascii="Palatino Linotype" w:eastAsia="Palatino Linotype" w:hAnsi="Palatino Linotype" w:cs="Palatino Linotype"/>
              <w:b/>
              <w:bCs/>
            </w:rPr>
          </w:pPr>
          <w:r w:rsidRPr="004268A6">
            <w:rPr>
              <w:rFonts w:ascii="Palatino Linotype" w:eastAsia="Palatino Linotype" w:hAnsi="Palatino Linotype" w:cs="Palatino Linotype"/>
              <w:b/>
              <w:bCs/>
            </w:rPr>
            <w:t>Sujeto Obligado:</w:t>
          </w:r>
        </w:p>
        <w:p w:rsidR="004268A6" w:rsidRDefault="004268A6" w:rsidP="004268A6">
          <w:pPr>
            <w:ind w:right="34"/>
            <w:jc w:val="right"/>
            <w:rPr>
              <w:rFonts w:ascii="Palatino Linotype" w:eastAsia="Palatino Linotype" w:hAnsi="Palatino Linotype" w:cs="Palatino Linotype"/>
              <w:b/>
              <w:bCs/>
            </w:rPr>
          </w:pPr>
        </w:p>
        <w:p w:rsidR="004268A6" w:rsidRDefault="004268A6" w:rsidP="004268A6">
          <w:pPr>
            <w:ind w:right="34"/>
            <w:jc w:val="right"/>
            <w:rPr>
              <w:rFonts w:ascii="Palatino Linotype" w:eastAsia="Palatino Linotype" w:hAnsi="Palatino Linotype" w:cs="Palatino Linotype"/>
              <w:b/>
              <w:bCs/>
            </w:rPr>
          </w:pPr>
        </w:p>
        <w:p w:rsidR="004268A6" w:rsidRPr="004268A6" w:rsidRDefault="004268A6" w:rsidP="004268A6">
          <w:pPr>
            <w:ind w:right="34"/>
            <w:jc w:val="right"/>
            <w:rPr>
              <w:rFonts w:ascii="Palatino Linotype" w:eastAsia="Palatino Linotype" w:hAnsi="Palatino Linotype" w:cs="Palatino Linotype"/>
              <w:b/>
              <w:bCs/>
            </w:rPr>
          </w:pPr>
        </w:p>
      </w:tc>
      <w:tc>
        <w:tcPr>
          <w:tcW w:w="4678" w:type="dxa"/>
          <w:vAlign w:val="center"/>
        </w:tcPr>
        <w:p w:rsidR="00320664" w:rsidRPr="004268A6" w:rsidRDefault="001F24AE" w:rsidP="00FA3C5E">
          <w:pPr>
            <w:pBdr>
              <w:top w:val="nil"/>
              <w:left w:val="nil"/>
              <w:bottom w:val="nil"/>
              <w:right w:val="nil"/>
              <w:between w:val="nil"/>
            </w:pBdr>
            <w:tabs>
              <w:tab w:val="right" w:pos="8838"/>
            </w:tabs>
            <w:ind w:right="212"/>
            <w:rPr>
              <w:rFonts w:ascii="Palatino Linotype" w:eastAsia="Palatino Linotype" w:hAnsi="Palatino Linotype" w:cs="Palatino Linotype"/>
              <w:bCs/>
              <w:color w:val="000000"/>
            </w:rPr>
          </w:pPr>
          <w:r w:rsidRPr="004268A6">
            <w:rPr>
              <w:rFonts w:ascii="Palatino Linotype" w:eastAsia="Palatino Linotype" w:hAnsi="Palatino Linotype" w:cs="Palatino Linotype"/>
              <w:bCs/>
              <w:color w:val="000000"/>
            </w:rPr>
            <w:t>Instituto de Transparencia, Acceso a la Información Pública y Protección de Datos Personales del Estado de México y Municipios</w:t>
          </w:r>
        </w:p>
      </w:tc>
    </w:tr>
    <w:tr w:rsidR="00320664" w:rsidTr="004268A6">
      <w:trPr>
        <w:trHeight w:val="342"/>
      </w:trPr>
      <w:tc>
        <w:tcPr>
          <w:tcW w:w="2976" w:type="dxa"/>
          <w:vAlign w:val="center"/>
        </w:tcPr>
        <w:p w:rsidR="00320664" w:rsidRPr="004268A6" w:rsidRDefault="001F24AE" w:rsidP="004268A6">
          <w:pPr>
            <w:ind w:right="34"/>
            <w:jc w:val="right"/>
            <w:rPr>
              <w:rFonts w:ascii="Palatino Linotype" w:eastAsia="Palatino Linotype" w:hAnsi="Palatino Linotype" w:cs="Palatino Linotype"/>
              <w:b/>
              <w:bCs/>
            </w:rPr>
          </w:pPr>
          <w:r w:rsidRPr="004268A6">
            <w:rPr>
              <w:rFonts w:ascii="Palatino Linotype" w:eastAsia="Palatino Linotype" w:hAnsi="Palatino Linotype" w:cs="Palatino Linotype"/>
              <w:b/>
              <w:bCs/>
            </w:rPr>
            <w:t>Comisionada Ponente:</w:t>
          </w:r>
        </w:p>
      </w:tc>
      <w:tc>
        <w:tcPr>
          <w:tcW w:w="4678" w:type="dxa"/>
          <w:vAlign w:val="center"/>
        </w:tcPr>
        <w:p w:rsidR="00320664" w:rsidRPr="004268A6" w:rsidRDefault="001F24AE" w:rsidP="00FA3C5E">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4268A6">
            <w:rPr>
              <w:rFonts w:ascii="Palatino Linotype" w:eastAsia="Palatino Linotype" w:hAnsi="Palatino Linotype" w:cs="Palatino Linotype"/>
              <w:bCs/>
              <w:color w:val="000000"/>
            </w:rPr>
            <w:t>María del Rosario Mejía Ayala</w:t>
          </w:r>
        </w:p>
      </w:tc>
    </w:tr>
  </w:tbl>
  <w:p w:rsidR="00320664" w:rsidRDefault="00FA3C5E">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7.6pt;margin-top:-140.9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7513" w:type="dxa"/>
      <w:tblInd w:w="2552" w:type="dxa"/>
      <w:tblLayout w:type="fixed"/>
      <w:tblLook w:val="0400" w:firstRow="0" w:lastRow="0" w:firstColumn="0" w:lastColumn="0" w:noHBand="0" w:noVBand="1"/>
    </w:tblPr>
    <w:tblGrid>
      <w:gridCol w:w="2977"/>
      <w:gridCol w:w="4536"/>
    </w:tblGrid>
    <w:tr w:rsidR="00320664" w:rsidTr="004268A6">
      <w:trPr>
        <w:trHeight w:val="227"/>
      </w:trPr>
      <w:tc>
        <w:tcPr>
          <w:tcW w:w="2977" w:type="dxa"/>
          <w:vAlign w:val="center"/>
        </w:tcPr>
        <w:p w:rsidR="00320664" w:rsidRPr="004268A6" w:rsidRDefault="001F24AE" w:rsidP="004268A6">
          <w:pPr>
            <w:jc w:val="right"/>
            <w:rPr>
              <w:rFonts w:ascii="Palatino Linotype" w:eastAsia="Palatino Linotype" w:hAnsi="Palatino Linotype" w:cs="Palatino Linotype"/>
              <w:b/>
              <w:bCs/>
            </w:rPr>
          </w:pPr>
          <w:r w:rsidRPr="004268A6">
            <w:rPr>
              <w:rFonts w:ascii="Palatino Linotype" w:eastAsia="Palatino Linotype" w:hAnsi="Palatino Linotype" w:cs="Palatino Linotype"/>
              <w:b/>
              <w:bCs/>
            </w:rPr>
            <w:t>Recurso de Revisión:</w:t>
          </w:r>
        </w:p>
      </w:tc>
      <w:tc>
        <w:tcPr>
          <w:tcW w:w="4536" w:type="dxa"/>
          <w:vAlign w:val="center"/>
        </w:tcPr>
        <w:p w:rsidR="00320664" w:rsidRPr="004268A6" w:rsidRDefault="001F24AE" w:rsidP="00FA3C5E">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4268A6">
            <w:rPr>
              <w:rFonts w:ascii="Palatino Linotype" w:eastAsia="Palatino Linotype" w:hAnsi="Palatino Linotype" w:cs="Palatino Linotype"/>
              <w:bCs/>
              <w:color w:val="000000"/>
            </w:rPr>
            <w:t>05313/INFOEM/IP/RR/2025</w:t>
          </w:r>
        </w:p>
      </w:tc>
    </w:tr>
    <w:tr w:rsidR="00320664" w:rsidTr="004268A6">
      <w:trPr>
        <w:trHeight w:val="242"/>
      </w:trPr>
      <w:tc>
        <w:tcPr>
          <w:tcW w:w="2977" w:type="dxa"/>
          <w:vAlign w:val="center"/>
        </w:tcPr>
        <w:p w:rsidR="00320664" w:rsidRPr="004268A6" w:rsidRDefault="001F24AE" w:rsidP="004268A6">
          <w:pPr>
            <w:jc w:val="right"/>
            <w:rPr>
              <w:rFonts w:ascii="Palatino Linotype" w:eastAsia="Palatino Linotype" w:hAnsi="Palatino Linotype" w:cs="Palatino Linotype"/>
              <w:b/>
              <w:bCs/>
            </w:rPr>
          </w:pPr>
          <w:r w:rsidRPr="004268A6">
            <w:rPr>
              <w:rFonts w:ascii="Palatino Linotype" w:eastAsia="Palatino Linotype" w:hAnsi="Palatino Linotype" w:cs="Palatino Linotype"/>
              <w:b/>
              <w:bCs/>
            </w:rPr>
            <w:t>Recurrente:</w:t>
          </w:r>
        </w:p>
      </w:tc>
      <w:tc>
        <w:tcPr>
          <w:tcW w:w="4536" w:type="dxa"/>
        </w:tcPr>
        <w:p w:rsidR="00320664" w:rsidRPr="004268A6" w:rsidRDefault="00320664" w:rsidP="00FA3C5E">
          <w:pPr>
            <w:pBdr>
              <w:top w:val="nil"/>
              <w:left w:val="nil"/>
              <w:bottom w:val="nil"/>
              <w:right w:val="nil"/>
              <w:between w:val="nil"/>
            </w:pBdr>
            <w:tabs>
              <w:tab w:val="right" w:pos="8838"/>
              <w:tab w:val="left" w:pos="521"/>
            </w:tabs>
            <w:rPr>
              <w:rFonts w:ascii="Palatino Linotype" w:eastAsia="Palatino Linotype" w:hAnsi="Palatino Linotype" w:cs="Palatino Linotype"/>
              <w:bCs/>
              <w:color w:val="000000"/>
            </w:rPr>
          </w:pPr>
        </w:p>
      </w:tc>
    </w:tr>
    <w:tr w:rsidR="00320664" w:rsidTr="004268A6">
      <w:trPr>
        <w:trHeight w:val="342"/>
      </w:trPr>
      <w:tc>
        <w:tcPr>
          <w:tcW w:w="2977" w:type="dxa"/>
          <w:vAlign w:val="center"/>
        </w:tcPr>
        <w:p w:rsidR="00320664" w:rsidRDefault="001F24AE" w:rsidP="004268A6">
          <w:pPr>
            <w:jc w:val="right"/>
            <w:rPr>
              <w:rFonts w:ascii="Palatino Linotype" w:eastAsia="Palatino Linotype" w:hAnsi="Palatino Linotype" w:cs="Palatino Linotype"/>
              <w:b/>
              <w:bCs/>
            </w:rPr>
          </w:pPr>
          <w:r w:rsidRPr="004268A6">
            <w:rPr>
              <w:rFonts w:ascii="Palatino Linotype" w:eastAsia="Palatino Linotype" w:hAnsi="Palatino Linotype" w:cs="Palatino Linotype"/>
              <w:b/>
              <w:bCs/>
            </w:rPr>
            <w:t>Sujeto Obligado:</w:t>
          </w:r>
        </w:p>
        <w:p w:rsidR="004268A6" w:rsidRDefault="004268A6" w:rsidP="004268A6">
          <w:pPr>
            <w:jc w:val="right"/>
            <w:rPr>
              <w:rFonts w:ascii="Palatino Linotype" w:eastAsia="Palatino Linotype" w:hAnsi="Palatino Linotype" w:cs="Palatino Linotype"/>
              <w:b/>
              <w:bCs/>
            </w:rPr>
          </w:pPr>
        </w:p>
        <w:p w:rsidR="004268A6" w:rsidRDefault="004268A6" w:rsidP="004268A6">
          <w:pPr>
            <w:jc w:val="right"/>
            <w:rPr>
              <w:rFonts w:ascii="Palatino Linotype" w:eastAsia="Palatino Linotype" w:hAnsi="Palatino Linotype" w:cs="Palatino Linotype"/>
              <w:b/>
              <w:bCs/>
            </w:rPr>
          </w:pPr>
        </w:p>
        <w:p w:rsidR="004268A6" w:rsidRPr="004268A6" w:rsidRDefault="004268A6" w:rsidP="004268A6">
          <w:pPr>
            <w:jc w:val="right"/>
            <w:rPr>
              <w:rFonts w:ascii="Palatino Linotype" w:eastAsia="Palatino Linotype" w:hAnsi="Palatino Linotype" w:cs="Palatino Linotype"/>
              <w:b/>
              <w:bCs/>
            </w:rPr>
          </w:pPr>
        </w:p>
      </w:tc>
      <w:tc>
        <w:tcPr>
          <w:tcW w:w="4536" w:type="dxa"/>
          <w:vAlign w:val="center"/>
        </w:tcPr>
        <w:p w:rsidR="00320664" w:rsidRPr="004268A6" w:rsidRDefault="001F24AE" w:rsidP="00FA3C5E">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4268A6">
            <w:rPr>
              <w:rFonts w:ascii="Palatino Linotype" w:eastAsia="Palatino Linotype" w:hAnsi="Palatino Linotype" w:cs="Palatino Linotype"/>
              <w:bCs/>
              <w:color w:val="000000"/>
            </w:rPr>
            <w:t>Instituto de Transparencia, Acceso a la Información Pública y Protección de Datos Personales del Estado de México y Municipios</w:t>
          </w:r>
        </w:p>
      </w:tc>
    </w:tr>
    <w:tr w:rsidR="00320664" w:rsidTr="004268A6">
      <w:trPr>
        <w:trHeight w:val="342"/>
      </w:trPr>
      <w:tc>
        <w:tcPr>
          <w:tcW w:w="2977" w:type="dxa"/>
          <w:vAlign w:val="center"/>
        </w:tcPr>
        <w:p w:rsidR="00320664" w:rsidRPr="004268A6" w:rsidRDefault="001F24AE" w:rsidP="004268A6">
          <w:pPr>
            <w:jc w:val="right"/>
            <w:rPr>
              <w:rFonts w:ascii="Palatino Linotype" w:eastAsia="Palatino Linotype" w:hAnsi="Palatino Linotype" w:cs="Palatino Linotype"/>
              <w:b/>
              <w:bCs/>
            </w:rPr>
          </w:pPr>
          <w:r w:rsidRPr="004268A6">
            <w:rPr>
              <w:rFonts w:ascii="Palatino Linotype" w:eastAsia="Palatino Linotype" w:hAnsi="Palatino Linotype" w:cs="Palatino Linotype"/>
              <w:b/>
              <w:bCs/>
            </w:rPr>
            <w:t>Comisionada Ponente:</w:t>
          </w:r>
        </w:p>
      </w:tc>
      <w:tc>
        <w:tcPr>
          <w:tcW w:w="4536" w:type="dxa"/>
          <w:vAlign w:val="center"/>
        </w:tcPr>
        <w:p w:rsidR="00320664" w:rsidRPr="004268A6" w:rsidRDefault="001F24AE" w:rsidP="00FA3C5E">
          <w:pPr>
            <w:pBdr>
              <w:top w:val="nil"/>
              <w:left w:val="nil"/>
              <w:bottom w:val="nil"/>
              <w:right w:val="nil"/>
              <w:between w:val="nil"/>
            </w:pBdr>
            <w:tabs>
              <w:tab w:val="right" w:pos="8838"/>
            </w:tabs>
            <w:rPr>
              <w:rFonts w:ascii="Palatino Linotype" w:eastAsia="Palatino Linotype" w:hAnsi="Palatino Linotype" w:cs="Palatino Linotype"/>
              <w:bCs/>
              <w:color w:val="000000"/>
            </w:rPr>
          </w:pPr>
          <w:r w:rsidRPr="004268A6">
            <w:rPr>
              <w:rFonts w:ascii="Palatino Linotype" w:eastAsia="Palatino Linotype" w:hAnsi="Palatino Linotype" w:cs="Palatino Linotype"/>
              <w:bCs/>
              <w:color w:val="000000"/>
            </w:rPr>
            <w:t>María del Rosario Mejía Ayala</w:t>
          </w:r>
        </w:p>
      </w:tc>
    </w:tr>
  </w:tbl>
  <w:p w:rsidR="00320664" w:rsidRDefault="00FA3C5E">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5.15pt;margin-top:-162.1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444A"/>
    <w:multiLevelType w:val="multilevel"/>
    <w:tmpl w:val="12DE4856"/>
    <w:lvl w:ilvl="0">
      <w:start w:val="1"/>
      <w:numFmt w:val="decimal"/>
      <w:pStyle w:val="Listaconvietas3"/>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347FA1"/>
    <w:multiLevelType w:val="multilevel"/>
    <w:tmpl w:val="488EE7E0"/>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2170E9"/>
    <w:multiLevelType w:val="multilevel"/>
    <w:tmpl w:val="C4D80D7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32634569"/>
    <w:multiLevelType w:val="multilevel"/>
    <w:tmpl w:val="3566F8CC"/>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9B13E5"/>
    <w:multiLevelType w:val="multilevel"/>
    <w:tmpl w:val="C1CC55B0"/>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D53F83"/>
    <w:multiLevelType w:val="hybridMultilevel"/>
    <w:tmpl w:val="E1783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664"/>
    <w:rsid w:val="001F24AE"/>
    <w:rsid w:val="00320664"/>
    <w:rsid w:val="004268A6"/>
    <w:rsid w:val="004716DB"/>
    <w:rsid w:val="006F4A5D"/>
    <w:rsid w:val="00D52B04"/>
    <w:rsid w:val="00F629AE"/>
    <w:rsid w:val="00FA3C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8024562-523E-4EFC-85FD-A83FA064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40"/>
      <w:outlineLvl w:val="2"/>
    </w:pPr>
    <w:rPr>
      <w:color w:val="1F3863"/>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inespaciado">
    <w:name w:val="No Spacing"/>
    <w:aliases w:val="Francesa,INAI,Fundamentos"/>
    <w:link w:val="SinespaciadoCar"/>
    <w:uiPriority w:val="1"/>
    <w:qFormat/>
    <w:rsid w:val="00B90932"/>
  </w:style>
  <w:style w:type="character" w:customStyle="1" w:styleId="SinespaciadoCar">
    <w:name w:val="Sin espaciado Car"/>
    <w:aliases w:val="Francesa Car,INAI Car,Fundamentos Car"/>
    <w:link w:val="Sinespaciado"/>
    <w:uiPriority w:val="1"/>
    <w:qFormat/>
    <w:locked/>
    <w:rsid w:val="00B90932"/>
  </w:style>
  <w:style w:type="paragraph" w:customStyle="1" w:styleId="Default">
    <w:name w:val="Default"/>
    <w:qFormat/>
    <w:rsid w:val="008809BF"/>
    <w:pPr>
      <w:autoSpaceDE w:val="0"/>
      <w:autoSpaceDN w:val="0"/>
      <w:adjustRightInd w:val="0"/>
    </w:pPr>
    <w:rPr>
      <w:rFonts w:ascii="Arial" w:hAnsi="Arial" w:cs="Arial"/>
      <w:color w:val="000000"/>
    </w:rPr>
  </w:style>
  <w:style w:type="paragraph" w:styleId="Textoindependiente">
    <w:name w:val="Body Text"/>
    <w:basedOn w:val="Normal"/>
    <w:link w:val="TextoindependienteCar"/>
    <w:rsid w:val="00186EC3"/>
    <w:pPr>
      <w:jc w:val="both"/>
    </w:pPr>
    <w:rPr>
      <w:rFonts w:ascii="Arial" w:eastAsia="Times New Roman" w:hAnsi="Arial" w:cs="Times New Roman"/>
      <w:szCs w:val="20"/>
      <w:lang w:val="es-MX" w:eastAsia="es-ES_tradnl"/>
    </w:rPr>
  </w:style>
  <w:style w:type="character" w:customStyle="1" w:styleId="TextoindependienteCar">
    <w:name w:val="Texto independiente Car"/>
    <w:basedOn w:val="Fuentedeprrafopredeter"/>
    <w:link w:val="Textoindependiente"/>
    <w:rsid w:val="00186EC3"/>
    <w:rPr>
      <w:rFonts w:ascii="Arial" w:eastAsia="Times New Roman" w:hAnsi="Arial" w:cs="Times New Roman"/>
      <w:sz w:val="24"/>
      <w:szCs w:val="20"/>
      <w:lang w:eastAsia="es-ES_tradnl"/>
    </w:rPr>
  </w:style>
  <w:style w:type="character" w:customStyle="1" w:styleId="Ttulo3Car">
    <w:name w:val="Título 3 Car"/>
    <w:basedOn w:val="Fuentedeprrafopredeter"/>
    <w:uiPriority w:val="9"/>
    <w:rsid w:val="00826670"/>
    <w:rPr>
      <w:rFonts w:asciiTheme="majorHAnsi" w:eastAsiaTheme="majorEastAsia" w:hAnsiTheme="majorHAnsi" w:cstheme="majorBidi"/>
      <w:color w:val="1F3763" w:themeColor="accent1" w:themeShade="7F"/>
      <w:sz w:val="24"/>
      <w:szCs w:val="24"/>
      <w:lang w:val="es-ES_tradnl" w:eastAsia="es-ES"/>
    </w:rPr>
  </w:style>
  <w:style w:type="paragraph" w:customStyle="1" w:styleId="j">
    <w:name w:val="j"/>
    <w:basedOn w:val="Normal"/>
    <w:rsid w:val="00826670"/>
    <w:pPr>
      <w:spacing w:before="100" w:beforeAutospacing="1" w:after="100" w:afterAutospacing="1"/>
    </w:pPr>
    <w:rPr>
      <w:rFonts w:ascii="Times New Roman" w:eastAsia="Times New Roman" w:hAnsi="Times New Roman" w:cs="Times New Roman"/>
      <w:lang w:val="es-MX"/>
    </w:rPr>
  </w:style>
  <w:style w:type="paragraph" w:customStyle="1" w:styleId="francesa">
    <w:name w:val="francesa"/>
    <w:basedOn w:val="Normal"/>
    <w:rsid w:val="00826670"/>
    <w:pPr>
      <w:spacing w:before="100" w:beforeAutospacing="1" w:after="100" w:afterAutospacing="1"/>
    </w:pPr>
    <w:rPr>
      <w:rFonts w:ascii="Times New Roman" w:eastAsia="Times New Roman" w:hAnsi="Times New Roman" w:cs="Times New Roman"/>
      <w:lang w:val="es-MX"/>
    </w:rPr>
  </w:style>
  <w:style w:type="character" w:customStyle="1" w:styleId="charoverride-2">
    <w:name w:val="charoverride-2"/>
    <w:basedOn w:val="Fuentedeprrafopredeter"/>
    <w:rsid w:val="00826670"/>
  </w:style>
  <w:style w:type="character" w:customStyle="1" w:styleId="charoverride-1">
    <w:name w:val="charoverride-1"/>
    <w:basedOn w:val="Fuentedeprrafopredeter"/>
    <w:rsid w:val="00826670"/>
  </w:style>
  <w:style w:type="paragraph" w:styleId="Listaconvietas3">
    <w:name w:val="List Bullet 3"/>
    <w:basedOn w:val="Normal"/>
    <w:uiPriority w:val="99"/>
    <w:unhideWhenUsed/>
    <w:rsid w:val="005301E3"/>
    <w:pPr>
      <w:numPr>
        <w:numId w:val="2"/>
      </w:numPr>
      <w:contextualSpacing/>
    </w:pPr>
    <w:rPr>
      <w:rFonts w:ascii="Times New Roman" w:eastAsia="Times New Roman" w:hAnsi="Times New Roman" w:cs="Times New Roman"/>
      <w:lang w:val="es-MX"/>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styleId="Tablaconcuadrcula">
    <w:name w:val="Table Grid"/>
    <w:basedOn w:val="Tablanormal"/>
    <w:uiPriority w:val="39"/>
    <w:rsid w:val="001F3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0" w:type="dxa"/>
        <w:left w:w="70" w:type="dxa"/>
        <w:bottom w:w="0" w:type="dxa"/>
        <w:right w:w="70" w:type="dxa"/>
      </w:tblCellMar>
    </w:tblPr>
  </w:style>
  <w:style w:type="table" w:customStyle="1" w:styleId="a4">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04598.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56771.pag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saimex.org.mx/saimex/solicitud/downloadAttach/2420719.page" TargetMode="External"/><Relationship Id="rId4" Type="http://schemas.openxmlformats.org/officeDocument/2006/relationships/settings" Target="settings.xml"/><Relationship Id="rId9" Type="http://schemas.openxmlformats.org/officeDocument/2006/relationships/hyperlink" Target="https://saimex.org.mx/saimex/solicitud/downloadAttach/2404599.pag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JPXvhnPQdHns8tAH+XOwTGUlHQ==">CgMxLjAyDmguZ2JsdnZidGJ5aWU1Mg5oLmE0eXFjYmJkODgxMTINaC50Y2RmMmF4MmYyejIOaC5ldWtxdXEzMmRqZ3EyDmguZHlmODF1cDkwNmhpMg5oLjQ2MGI3M29nZW93ZjIOaC41ZXlkeGdvOTNpOXIyCGguZ2pkZ3hzMgloLjMwajB6bGwyCWguMzBqMHpsbDIIaC50eWpjd3Q4AHIhMUlhQzhQaTZRZ3JqZUMyeWFjeXBGa01lNFNFYXlCREFk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24</Pages>
  <Words>5748</Words>
  <Characters>31619</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Cuenta Microsoft</cp:lastModifiedBy>
  <cp:revision>5</cp:revision>
  <cp:lastPrinted>2026-01-16T16:19:00Z</cp:lastPrinted>
  <dcterms:created xsi:type="dcterms:W3CDTF">2025-12-11T21:38:00Z</dcterms:created>
  <dcterms:modified xsi:type="dcterms:W3CDTF">2026-01-26T23:29:00Z</dcterms:modified>
</cp:coreProperties>
</file>