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29A3" w:rsidRPr="00A37AB5" w:rsidRDefault="00D3459A">
      <w:pPr>
        <w:spacing w:after="0" w:line="360" w:lineRule="auto"/>
        <w:ind w:right="49"/>
        <w:jc w:val="both"/>
        <w:rPr>
          <w:rFonts w:ascii="Palatino Linotype" w:eastAsia="Palatino Linotype" w:hAnsi="Palatino Linotype" w:cs="Palatino Linotype"/>
        </w:rPr>
      </w:pPr>
      <w:r w:rsidRPr="00A37AB5">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fecha </w:t>
      </w:r>
      <w:r w:rsidRPr="00A37AB5">
        <w:rPr>
          <w:rFonts w:ascii="Palatino Linotype" w:eastAsia="Palatino Linotype" w:hAnsi="Palatino Linotype" w:cs="Palatino Linotype"/>
          <w:b/>
          <w:bCs/>
        </w:rPr>
        <w:t>cinco de febrero de dos mil veintiséis</w:t>
      </w:r>
      <w:r w:rsidRPr="00A37AB5">
        <w:rPr>
          <w:rFonts w:ascii="Palatino Linotype" w:eastAsia="Palatino Linotype" w:hAnsi="Palatino Linotype" w:cs="Palatino Linotype"/>
        </w:rPr>
        <w:t xml:space="preserve">. </w:t>
      </w:r>
    </w:p>
    <w:p w:rsidR="005029A3" w:rsidRPr="00A37AB5" w:rsidRDefault="005029A3">
      <w:pPr>
        <w:spacing w:after="0" w:line="360" w:lineRule="auto"/>
        <w:ind w:right="49"/>
        <w:jc w:val="center"/>
        <w:rPr>
          <w:rFonts w:ascii="Palatino Linotype" w:eastAsia="Palatino Linotype" w:hAnsi="Palatino Linotype" w:cs="Palatino Linotype"/>
        </w:rPr>
      </w:pPr>
    </w:p>
    <w:p w:rsidR="005029A3" w:rsidRPr="00A37AB5" w:rsidRDefault="00D3459A">
      <w:pPr>
        <w:spacing w:after="0" w:line="360" w:lineRule="auto"/>
        <w:ind w:right="49"/>
        <w:jc w:val="both"/>
        <w:rPr>
          <w:rFonts w:ascii="Palatino Linotype" w:eastAsia="Palatino Linotype" w:hAnsi="Palatino Linotype" w:cs="Palatino Linotype"/>
        </w:rPr>
      </w:pPr>
      <w:r w:rsidRPr="00A37AB5">
        <w:rPr>
          <w:rFonts w:ascii="Palatino Linotype" w:eastAsia="Palatino Linotype" w:hAnsi="Palatino Linotype" w:cs="Palatino Linotype"/>
        </w:rPr>
        <w:t xml:space="preserve">Visto el expediente relativo al recurso de revisión </w:t>
      </w:r>
      <w:r w:rsidRPr="00A37AB5">
        <w:rPr>
          <w:rFonts w:ascii="Palatino Linotype" w:eastAsia="Palatino Linotype" w:hAnsi="Palatino Linotype" w:cs="Palatino Linotype"/>
          <w:b/>
          <w:bCs/>
        </w:rPr>
        <w:t>09064/INFOEM/IP/RR/2025</w:t>
      </w:r>
      <w:r w:rsidRPr="00A37AB5">
        <w:rPr>
          <w:rFonts w:ascii="Palatino Linotype" w:eastAsia="Palatino Linotype" w:hAnsi="Palatino Linotype" w:cs="Palatino Linotype"/>
        </w:rPr>
        <w:t xml:space="preserve">, interpuesto por </w:t>
      </w:r>
      <w:r w:rsidR="00153207" w:rsidRPr="00153207">
        <w:rPr>
          <w:rFonts w:ascii="Palatino Linotype" w:eastAsia="Palatino Linotype" w:hAnsi="Palatino Linotype" w:cs="Palatino Linotype"/>
          <w:b/>
          <w:bCs/>
        </w:rPr>
        <w:t xml:space="preserve">XXXXXXX XXXXX XXXX </w:t>
      </w:r>
      <w:bookmarkStart w:id="0" w:name="_GoBack"/>
      <w:bookmarkEnd w:id="0"/>
      <w:r w:rsidRPr="00A37AB5">
        <w:rPr>
          <w:rFonts w:ascii="Palatino Linotype" w:eastAsia="Palatino Linotype" w:hAnsi="Palatino Linotype" w:cs="Palatino Linotype"/>
        </w:rPr>
        <w:t xml:space="preserve">al cual en lo sucesivo se le denominará la parte </w:t>
      </w:r>
      <w:r w:rsidRPr="00A37AB5">
        <w:rPr>
          <w:rFonts w:ascii="Palatino Linotype" w:eastAsia="Palatino Linotype" w:hAnsi="Palatino Linotype" w:cs="Palatino Linotype"/>
          <w:b/>
          <w:bCs/>
        </w:rPr>
        <w:t>Recurrente</w:t>
      </w:r>
      <w:r w:rsidRPr="00A37AB5">
        <w:rPr>
          <w:rFonts w:ascii="Palatino Linotype" w:eastAsia="Palatino Linotype" w:hAnsi="Palatino Linotype" w:cs="Palatino Linotype"/>
        </w:rPr>
        <w:t xml:space="preserve">, en contra de la respuesta a su solicitud de información identificada con número de folio </w:t>
      </w:r>
      <w:r w:rsidRPr="00A37AB5">
        <w:rPr>
          <w:rFonts w:ascii="Palatino Linotype" w:eastAsia="Palatino Linotype" w:hAnsi="Palatino Linotype" w:cs="Palatino Linotype"/>
          <w:b/>
          <w:bCs/>
        </w:rPr>
        <w:t>01231/CUAUTIZC/IP/2025</w:t>
      </w:r>
      <w:r w:rsidRPr="00A37AB5">
        <w:rPr>
          <w:rFonts w:ascii="Palatino Linotype" w:eastAsia="Palatino Linotype" w:hAnsi="Palatino Linotype" w:cs="Palatino Linotype"/>
        </w:rPr>
        <w:t xml:space="preserve"> proporcionada por parte del </w:t>
      </w:r>
      <w:r w:rsidRPr="00A37AB5">
        <w:rPr>
          <w:rFonts w:ascii="Palatino Linotype" w:eastAsia="Palatino Linotype" w:hAnsi="Palatino Linotype" w:cs="Palatino Linotype"/>
          <w:b/>
          <w:bCs/>
        </w:rPr>
        <w:t>Ayuntamiento de Cuautitlán Izcalli</w:t>
      </w:r>
      <w:r w:rsidRPr="00A37AB5">
        <w:rPr>
          <w:rFonts w:ascii="Palatino Linotype" w:eastAsia="Palatino Linotype" w:hAnsi="Palatino Linotype" w:cs="Palatino Linotype"/>
        </w:rPr>
        <w:t xml:space="preserve">, en lo sucesivo el </w:t>
      </w:r>
      <w:r w:rsidRPr="00A37AB5">
        <w:rPr>
          <w:rFonts w:ascii="Palatino Linotype" w:eastAsia="Palatino Linotype" w:hAnsi="Palatino Linotype" w:cs="Palatino Linotype"/>
          <w:b/>
          <w:bCs/>
        </w:rPr>
        <w:t>Sujeto Obligado</w:t>
      </w:r>
      <w:r w:rsidRPr="00A37AB5">
        <w:rPr>
          <w:rFonts w:ascii="Palatino Linotype" w:eastAsia="Palatino Linotype" w:hAnsi="Palatino Linotype" w:cs="Palatino Linotype"/>
        </w:rPr>
        <w:t>; se procede a dictar la presente resolución, con base en los siguientes:</w:t>
      </w:r>
    </w:p>
    <w:p w:rsidR="005029A3" w:rsidRPr="00A37AB5" w:rsidRDefault="005029A3">
      <w:pPr>
        <w:spacing w:after="0" w:line="360" w:lineRule="auto"/>
        <w:ind w:right="49"/>
        <w:jc w:val="both"/>
        <w:rPr>
          <w:rFonts w:ascii="Palatino Linotype" w:eastAsia="Palatino Linotype" w:hAnsi="Palatino Linotype" w:cs="Palatino Linotype"/>
        </w:rPr>
      </w:pPr>
    </w:p>
    <w:p w:rsidR="005029A3" w:rsidRPr="00A37AB5" w:rsidRDefault="00D3459A">
      <w:pPr>
        <w:spacing w:after="0" w:line="360" w:lineRule="auto"/>
        <w:ind w:right="49"/>
        <w:jc w:val="center"/>
        <w:rPr>
          <w:rFonts w:ascii="Palatino Linotype" w:eastAsia="Palatino Linotype" w:hAnsi="Palatino Linotype" w:cs="Palatino Linotype"/>
          <w:b/>
          <w:bCs/>
        </w:rPr>
      </w:pPr>
      <w:r w:rsidRPr="00A37AB5">
        <w:rPr>
          <w:rFonts w:ascii="Palatino Linotype" w:eastAsia="Palatino Linotype" w:hAnsi="Palatino Linotype" w:cs="Palatino Linotype"/>
          <w:b/>
          <w:bCs/>
        </w:rPr>
        <w:t>I.</w:t>
      </w:r>
      <w:r w:rsidRPr="00A37AB5">
        <w:rPr>
          <w:rFonts w:ascii="Palatino Linotype" w:eastAsia="Palatino Linotype" w:hAnsi="Palatino Linotype" w:cs="Palatino Linotype"/>
          <w:b/>
          <w:bCs/>
        </w:rPr>
        <w:tab/>
        <w:t>A N T E C E D E N T E S</w:t>
      </w:r>
    </w:p>
    <w:p w:rsidR="005029A3" w:rsidRPr="00A37AB5" w:rsidRDefault="005029A3">
      <w:pPr>
        <w:spacing w:after="0" w:line="360" w:lineRule="auto"/>
        <w:ind w:right="49"/>
        <w:jc w:val="both"/>
        <w:rPr>
          <w:rFonts w:ascii="Palatino Linotype" w:eastAsia="Palatino Linotype" w:hAnsi="Palatino Linotype" w:cs="Palatino Linotype"/>
        </w:rPr>
      </w:pPr>
    </w:p>
    <w:p w:rsidR="005029A3" w:rsidRPr="00A37AB5" w:rsidRDefault="00D3459A">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rPr>
      </w:pPr>
      <w:r w:rsidRPr="00A37AB5">
        <w:rPr>
          <w:rFonts w:ascii="Palatino Linotype" w:eastAsia="Palatino Linotype" w:hAnsi="Palatino Linotype" w:cs="Palatino Linotype"/>
          <w:b/>
          <w:bCs/>
        </w:rPr>
        <w:t>Solicitud de acceso a la información.</w:t>
      </w:r>
      <w:r w:rsidRPr="00A37AB5">
        <w:rPr>
          <w:rFonts w:ascii="Palatino Linotype" w:eastAsia="Palatino Linotype" w:hAnsi="Palatino Linotype" w:cs="Palatino Linotype"/>
        </w:rPr>
        <w:t xml:space="preserve"> Con fecha </w:t>
      </w:r>
      <w:r w:rsidRPr="00A37AB5">
        <w:rPr>
          <w:rFonts w:ascii="Palatino Linotype" w:eastAsia="Palatino Linotype" w:hAnsi="Palatino Linotype" w:cs="Palatino Linotype"/>
          <w:b/>
          <w:bCs/>
        </w:rPr>
        <w:t>veintitrés de junio de dos mil veinticinco,</w:t>
      </w:r>
      <w:r w:rsidRPr="00A37AB5">
        <w:rPr>
          <w:rFonts w:ascii="Palatino Linotype" w:eastAsia="Palatino Linotype" w:hAnsi="Palatino Linotype" w:cs="Palatino Linotype"/>
        </w:rPr>
        <w:t xml:space="preserve"> la parte </w:t>
      </w:r>
      <w:r w:rsidRPr="00A37AB5">
        <w:rPr>
          <w:rFonts w:ascii="Palatino Linotype" w:eastAsia="Palatino Linotype" w:hAnsi="Palatino Linotype" w:cs="Palatino Linotype"/>
          <w:b/>
          <w:bCs/>
        </w:rPr>
        <w:t>Recurrente</w:t>
      </w:r>
      <w:r w:rsidRPr="00A37AB5">
        <w:rPr>
          <w:rFonts w:ascii="Palatino Linotype" w:eastAsia="Palatino Linotype" w:hAnsi="Palatino Linotype" w:cs="Palatino Linotype"/>
        </w:rPr>
        <w:t xml:space="preserve"> formuló solicitud de acceso a información pública al</w:t>
      </w:r>
      <w:r w:rsidRPr="00A37AB5">
        <w:rPr>
          <w:rFonts w:ascii="Palatino Linotype" w:eastAsia="Palatino Linotype" w:hAnsi="Palatino Linotype" w:cs="Palatino Linotype"/>
          <w:b/>
          <w:bCs/>
        </w:rPr>
        <w:t xml:space="preserve"> Sujeto Obligado</w:t>
      </w:r>
      <w:r w:rsidRPr="00A37AB5">
        <w:rPr>
          <w:rFonts w:ascii="Palatino Linotype" w:eastAsia="Palatino Linotype" w:hAnsi="Palatino Linotype" w:cs="Palatino Linotype"/>
        </w:rPr>
        <w:t xml:space="preserve"> a través del Sistema de Acceso a la Información Mexiquense, en adelante SAIMEX, en la que requirió lo siguiente: </w:t>
      </w:r>
    </w:p>
    <w:p w:rsidR="005029A3" w:rsidRPr="00A37AB5" w:rsidRDefault="005029A3">
      <w:pPr>
        <w:tabs>
          <w:tab w:val="left" w:pos="1530"/>
        </w:tabs>
        <w:spacing w:after="0" w:line="360" w:lineRule="auto"/>
        <w:ind w:right="49"/>
        <w:jc w:val="both"/>
        <w:rPr>
          <w:rFonts w:ascii="Palatino Linotype" w:eastAsia="Palatino Linotype" w:hAnsi="Palatino Linotype" w:cs="Palatino Linotype"/>
        </w:rPr>
      </w:pPr>
    </w:p>
    <w:p w:rsidR="005029A3" w:rsidRPr="00A37AB5" w:rsidRDefault="00D3459A">
      <w:pPr>
        <w:spacing w:after="0"/>
        <w:ind w:left="851" w:right="843"/>
        <w:jc w:val="both"/>
        <w:rPr>
          <w:rFonts w:ascii="Palatino Linotype" w:eastAsia="Palatino Linotype" w:hAnsi="Palatino Linotype" w:cs="Palatino Linotype"/>
          <w:b/>
          <w:bCs/>
          <w:i/>
          <w:iCs/>
          <w:u w:val="single"/>
        </w:rPr>
      </w:pPr>
      <w:bookmarkStart w:id="1" w:name="_heading=h.30j0zll" w:colFirst="0" w:colLast="0"/>
      <w:bookmarkEnd w:id="1"/>
      <w:r w:rsidRPr="00A37AB5">
        <w:rPr>
          <w:rFonts w:ascii="Palatino Linotype" w:eastAsia="Palatino Linotype" w:hAnsi="Palatino Linotype" w:cs="Palatino Linotype"/>
          <w:i/>
          <w:iCs/>
        </w:rPr>
        <w:t xml:space="preserve">“Informacion sobre la ejecución presupuestal, incluyendo 1.gastos realizados 2.pendientes de pago 3.Evaluación del cumplimiento de metas y objetivos presupuestales del area de Coordinacion Municipal de Proteccion Civil y Bomberos.” </w:t>
      </w:r>
    </w:p>
    <w:p w:rsidR="005029A3" w:rsidRPr="00A37AB5" w:rsidRDefault="005029A3">
      <w:pPr>
        <w:spacing w:after="0"/>
        <w:ind w:right="560"/>
        <w:jc w:val="both"/>
        <w:rPr>
          <w:rFonts w:ascii="Palatino Linotype" w:eastAsia="Palatino Linotype" w:hAnsi="Palatino Linotype" w:cs="Palatino Linotype"/>
        </w:rPr>
      </w:pPr>
    </w:p>
    <w:p w:rsidR="005029A3" w:rsidRPr="00A37AB5" w:rsidRDefault="00D3459A">
      <w:pPr>
        <w:spacing w:after="0" w:line="360" w:lineRule="auto"/>
        <w:ind w:right="49"/>
        <w:jc w:val="both"/>
        <w:rPr>
          <w:rFonts w:ascii="Palatino Linotype" w:eastAsia="Palatino Linotype" w:hAnsi="Palatino Linotype" w:cs="Palatino Linotype"/>
        </w:rPr>
      </w:pPr>
      <w:r w:rsidRPr="00A37AB5">
        <w:rPr>
          <w:rFonts w:ascii="Palatino Linotype" w:eastAsia="Palatino Linotype" w:hAnsi="Palatino Linotype" w:cs="Palatino Linotype"/>
          <w:b/>
          <w:bCs/>
        </w:rPr>
        <w:t>Modalidad elegida para la entrega de la información:</w:t>
      </w:r>
      <w:r w:rsidRPr="00A37AB5">
        <w:rPr>
          <w:rFonts w:ascii="Palatino Linotype" w:eastAsia="Palatino Linotype" w:hAnsi="Palatino Linotype" w:cs="Palatino Linotype"/>
        </w:rPr>
        <w:t xml:space="preserve"> a través del Sistema de Acceso a la Información Mexiquense (SAIMEX). </w:t>
      </w:r>
    </w:p>
    <w:p w:rsidR="005029A3" w:rsidRPr="00A37AB5" w:rsidRDefault="005029A3">
      <w:pPr>
        <w:spacing w:after="0" w:line="360" w:lineRule="auto"/>
        <w:ind w:right="49"/>
        <w:jc w:val="both"/>
        <w:rPr>
          <w:rFonts w:ascii="Palatino Linotype" w:eastAsia="Palatino Linotype" w:hAnsi="Palatino Linotype" w:cs="Palatino Linotype"/>
        </w:rPr>
      </w:pPr>
    </w:p>
    <w:p w:rsidR="005029A3" w:rsidRPr="00A37AB5" w:rsidRDefault="00D3459A">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bCs/>
        </w:rPr>
      </w:pPr>
      <w:r w:rsidRPr="00A37AB5">
        <w:rPr>
          <w:rFonts w:ascii="Palatino Linotype" w:eastAsia="Palatino Linotype" w:hAnsi="Palatino Linotype" w:cs="Palatino Linotype"/>
          <w:b/>
          <w:bCs/>
        </w:rPr>
        <w:lastRenderedPageBreak/>
        <w:t xml:space="preserve">Respuesta. </w:t>
      </w:r>
      <w:r w:rsidRPr="00A37AB5">
        <w:rPr>
          <w:rFonts w:ascii="Palatino Linotype" w:eastAsia="Palatino Linotype" w:hAnsi="Palatino Linotype" w:cs="Palatino Linotype"/>
        </w:rPr>
        <w:t xml:space="preserve">En fecha </w:t>
      </w:r>
      <w:r w:rsidRPr="00A37AB5">
        <w:rPr>
          <w:rFonts w:ascii="Palatino Linotype" w:eastAsia="Palatino Linotype" w:hAnsi="Palatino Linotype" w:cs="Palatino Linotype"/>
          <w:b/>
          <w:bCs/>
        </w:rPr>
        <w:t>once de julio de dos mil veinticinco</w:t>
      </w:r>
      <w:r w:rsidRPr="00A37AB5">
        <w:rPr>
          <w:rFonts w:ascii="Palatino Linotype" w:eastAsia="Palatino Linotype" w:hAnsi="Palatino Linotype" w:cs="Palatino Linotype"/>
        </w:rPr>
        <w:t xml:space="preserve">, el </w:t>
      </w:r>
      <w:r w:rsidRPr="00A37AB5">
        <w:rPr>
          <w:rFonts w:ascii="Palatino Linotype" w:eastAsia="Palatino Linotype" w:hAnsi="Palatino Linotype" w:cs="Palatino Linotype"/>
          <w:b/>
          <w:bCs/>
        </w:rPr>
        <w:t xml:space="preserve">Sujeto Obligado </w:t>
      </w:r>
      <w:r w:rsidRPr="00A37AB5">
        <w:rPr>
          <w:rFonts w:ascii="Palatino Linotype" w:eastAsia="Palatino Linotype" w:hAnsi="Palatino Linotype" w:cs="Palatino Linotype"/>
        </w:rPr>
        <w:t xml:space="preserve">emitió respuesta a la solicitud de información, al tenor de lo siguiente: </w:t>
      </w:r>
    </w:p>
    <w:p w:rsidR="005029A3" w:rsidRPr="00A37AB5" w:rsidRDefault="005029A3">
      <w:pPr>
        <w:spacing w:after="0" w:line="360" w:lineRule="auto"/>
        <w:ind w:left="567"/>
        <w:jc w:val="both"/>
        <w:rPr>
          <w:rFonts w:ascii="Palatino Linotype" w:eastAsia="Palatino Linotype" w:hAnsi="Palatino Linotype" w:cs="Palatino Linotype"/>
          <w:b/>
          <w:bCs/>
        </w:rPr>
      </w:pPr>
    </w:p>
    <w:p w:rsidR="005029A3" w:rsidRPr="00A37AB5" w:rsidRDefault="00D3459A">
      <w:pPr>
        <w:pBdr>
          <w:top w:val="nil"/>
          <w:left w:val="nil"/>
          <w:bottom w:val="nil"/>
          <w:right w:val="nil"/>
          <w:between w:val="nil"/>
        </w:pBdr>
        <w:spacing w:after="0"/>
        <w:ind w:left="851" w:right="843"/>
        <w:jc w:val="both"/>
        <w:rPr>
          <w:rFonts w:ascii="Palatino Linotype" w:eastAsia="Palatino Linotype" w:hAnsi="Palatino Linotype" w:cs="Palatino Linotype"/>
          <w:i/>
          <w:iCs/>
        </w:rPr>
      </w:pPr>
      <w:r w:rsidRPr="00A37AB5">
        <w:rPr>
          <w:rFonts w:ascii="Palatino Linotype" w:eastAsia="Palatino Linotype" w:hAnsi="Palatino Linotype" w:cs="Palatino Linotype"/>
          <w:i/>
          <w:iCs/>
        </w:rPr>
        <w:t>“En respuesta a la solicitud recibida, nos permitimos hacer de su conocimiento que con fundamento en el artículo 53, Fracciones: II, V y VI de la Ley de Transparencia y Acceso a la Información Pública del Estado de México y Municipios, le contestamos que:</w:t>
      </w:r>
    </w:p>
    <w:p w:rsidR="005029A3" w:rsidRPr="00A37AB5" w:rsidRDefault="00D3459A">
      <w:pPr>
        <w:pBdr>
          <w:top w:val="nil"/>
          <w:left w:val="nil"/>
          <w:bottom w:val="nil"/>
          <w:right w:val="nil"/>
          <w:between w:val="nil"/>
        </w:pBdr>
        <w:spacing w:after="0"/>
        <w:ind w:left="851" w:right="843"/>
        <w:jc w:val="both"/>
        <w:rPr>
          <w:rFonts w:ascii="Palatino Linotype" w:eastAsia="Palatino Linotype" w:hAnsi="Palatino Linotype" w:cs="Palatino Linotype"/>
          <w:i/>
          <w:iCs/>
        </w:rPr>
      </w:pPr>
      <w:r w:rsidRPr="00A37AB5">
        <w:rPr>
          <w:rFonts w:ascii="Palatino Linotype" w:eastAsia="Palatino Linotype" w:hAnsi="Palatino Linotype" w:cs="Palatino Linotype"/>
          <w:i/>
          <w:iCs/>
        </w:rPr>
        <w:t>Se procede a notificar la respuesta a la solicitud de información pública. Así mismo se hace de su conocimiento que usted puede interponer su recurso de revisión dentro del plazo de 15 días hábiles contados a partir de la fecha en que se realice la notificación vía electrónica, a través del SAIMEX</w:t>
      </w:r>
    </w:p>
    <w:p w:rsidR="005029A3" w:rsidRPr="00A37AB5" w:rsidRDefault="00D3459A">
      <w:pPr>
        <w:pBdr>
          <w:top w:val="nil"/>
          <w:left w:val="nil"/>
          <w:bottom w:val="nil"/>
          <w:right w:val="nil"/>
          <w:between w:val="nil"/>
        </w:pBdr>
        <w:spacing w:after="0"/>
        <w:ind w:left="851" w:right="843"/>
        <w:jc w:val="both"/>
        <w:rPr>
          <w:rFonts w:ascii="Palatino Linotype" w:eastAsia="Palatino Linotype" w:hAnsi="Palatino Linotype" w:cs="Palatino Linotype"/>
          <w:i/>
          <w:iCs/>
        </w:rPr>
      </w:pPr>
      <w:r w:rsidRPr="00A37AB5">
        <w:rPr>
          <w:rFonts w:ascii="Palatino Linotype" w:eastAsia="Palatino Linotype" w:hAnsi="Palatino Linotype" w:cs="Palatino Linotype"/>
          <w:i/>
          <w:iCs/>
        </w:rPr>
        <w:t>ATENTAMENTE</w:t>
      </w:r>
    </w:p>
    <w:p w:rsidR="005029A3" w:rsidRPr="00A37AB5" w:rsidRDefault="00D3459A">
      <w:pPr>
        <w:pBdr>
          <w:top w:val="nil"/>
          <w:left w:val="nil"/>
          <w:bottom w:val="nil"/>
          <w:right w:val="nil"/>
          <w:between w:val="nil"/>
        </w:pBdr>
        <w:spacing w:after="0"/>
        <w:ind w:left="851" w:right="843"/>
        <w:jc w:val="both"/>
        <w:rPr>
          <w:rFonts w:ascii="Palatino Linotype" w:eastAsia="Palatino Linotype" w:hAnsi="Palatino Linotype" w:cs="Palatino Linotype"/>
          <w:i/>
          <w:iCs/>
        </w:rPr>
      </w:pPr>
      <w:r w:rsidRPr="00A37AB5">
        <w:rPr>
          <w:rFonts w:ascii="Palatino Linotype" w:eastAsia="Palatino Linotype" w:hAnsi="Palatino Linotype" w:cs="Palatino Linotype"/>
          <w:i/>
          <w:iCs/>
        </w:rPr>
        <w:t>GABRIELA ELIZABETH MORALES CRUZ”</w:t>
      </w:r>
    </w:p>
    <w:p w:rsidR="005029A3" w:rsidRPr="00A37AB5" w:rsidRDefault="005029A3">
      <w:pPr>
        <w:pBdr>
          <w:top w:val="nil"/>
          <w:left w:val="nil"/>
          <w:bottom w:val="nil"/>
          <w:right w:val="nil"/>
          <w:between w:val="nil"/>
        </w:pBdr>
        <w:tabs>
          <w:tab w:val="left" w:pos="2865"/>
        </w:tabs>
        <w:spacing w:after="0" w:line="360" w:lineRule="auto"/>
        <w:ind w:right="49"/>
        <w:jc w:val="both"/>
        <w:rPr>
          <w:rFonts w:ascii="Palatino Linotype" w:eastAsia="Palatino Linotype" w:hAnsi="Palatino Linotype" w:cs="Palatino Linotype"/>
          <w:i/>
          <w:iCs/>
        </w:rPr>
      </w:pPr>
    </w:p>
    <w:p w:rsidR="005029A3" w:rsidRPr="00A37AB5" w:rsidRDefault="00D3459A">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r w:rsidRPr="00A37AB5">
        <w:rPr>
          <w:rFonts w:ascii="Palatino Linotype" w:eastAsia="Palatino Linotype" w:hAnsi="Palatino Linotype" w:cs="Palatino Linotype"/>
        </w:rPr>
        <w:t>Asimismo, adjuntó el archivo electrónico denominado “</w:t>
      </w:r>
      <w:r w:rsidRPr="00A37AB5">
        <w:rPr>
          <w:rFonts w:ascii="Palatino Linotype" w:eastAsia="Palatino Linotype" w:hAnsi="Palatino Linotype" w:cs="Palatino Linotype"/>
          <w:b/>
          <w:bCs/>
          <w:i/>
          <w:iCs/>
        </w:rPr>
        <w:t>TM-EJT-1670-2025.pdf</w:t>
      </w:r>
      <w:r w:rsidRPr="00A37AB5">
        <w:rPr>
          <w:rFonts w:ascii="Palatino Linotype" w:eastAsia="Palatino Linotype" w:hAnsi="Palatino Linotype" w:cs="Palatino Linotype"/>
        </w:rPr>
        <w:t xml:space="preserve">”, mismo que contiene el oficio número TM/EJT/1670/2025 de fecha tres de julio de dos mil veinticinco, signado por el Tesorero Municipal, mediante el cual informa que pone a su disposición el uso del sistema y tecnología de información que se encuentra en la página web del Ayuntamiento de Cuautitlán Izcalli, en el apartado de “Información Pública”, Subapartado “CONAC”, Carpeta “2025”, Subcarpeta “1ER TRIMESTRE”, donde podrá visualizar el documento PDF denominado “EAEPEC Clasificación por objeto del gasto”, ahí encontrara la información que solicita: 1. Gastos realizados (pagado), 2. Pendientes de pago (Sub ejercido). </w:t>
      </w:r>
    </w:p>
    <w:p w:rsidR="005029A3" w:rsidRPr="00A37AB5" w:rsidRDefault="005029A3">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p>
    <w:p w:rsidR="005029A3" w:rsidRPr="00A37AB5" w:rsidRDefault="00D3459A">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r w:rsidRPr="00A37AB5">
        <w:rPr>
          <w:rFonts w:ascii="Palatino Linotype" w:eastAsia="Palatino Linotype" w:hAnsi="Palatino Linotype" w:cs="Palatino Linotype"/>
        </w:rPr>
        <w:t xml:space="preserve">En relación a la evaluación del cumplimiento de metas y objetivos presupuestales del área de coordinación municipal de protección civil y bomberos, con fundamento en los artículos 95 de la Ley Orgánica del Municipio del Estado de México, artículo 63 del Reglamento Orgánico de la Administración Pública Municipal de Cuautitlán Izcalli, no es atribución del Tesorero el </w:t>
      </w:r>
      <w:r w:rsidRPr="00A37AB5">
        <w:rPr>
          <w:rFonts w:ascii="Palatino Linotype" w:eastAsia="Palatino Linotype" w:hAnsi="Palatino Linotype" w:cs="Palatino Linotype"/>
        </w:rPr>
        <w:lastRenderedPageBreak/>
        <w:t xml:space="preserve">manejo, generación de información y resguardo de la información citada anteriormente, por este motivo, la Tesorería no es Sujeto Obligado para proporcionar dicha información. </w:t>
      </w:r>
    </w:p>
    <w:p w:rsidR="005029A3" w:rsidRPr="00A37AB5" w:rsidRDefault="005029A3">
      <w:pPr>
        <w:pBdr>
          <w:top w:val="nil"/>
          <w:left w:val="nil"/>
          <w:bottom w:val="nil"/>
          <w:right w:val="nil"/>
          <w:between w:val="nil"/>
        </w:pBdr>
        <w:spacing w:after="0" w:line="360" w:lineRule="auto"/>
        <w:ind w:left="720" w:right="49"/>
        <w:jc w:val="both"/>
        <w:rPr>
          <w:rFonts w:ascii="Palatino Linotype" w:eastAsia="Palatino Linotype" w:hAnsi="Palatino Linotype" w:cs="Palatino Linotype"/>
        </w:rPr>
      </w:pPr>
    </w:p>
    <w:p w:rsidR="005029A3" w:rsidRPr="00A37AB5" w:rsidRDefault="00D3459A">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rPr>
      </w:pPr>
      <w:r w:rsidRPr="00A37AB5">
        <w:rPr>
          <w:rFonts w:ascii="Palatino Linotype" w:eastAsia="Palatino Linotype" w:hAnsi="Palatino Linotype" w:cs="Palatino Linotype"/>
          <w:b/>
          <w:bCs/>
        </w:rPr>
        <w:t xml:space="preserve">Recurso de Revisión. </w:t>
      </w:r>
      <w:r w:rsidRPr="00A37AB5">
        <w:rPr>
          <w:rFonts w:ascii="Palatino Linotype" w:eastAsia="Palatino Linotype" w:hAnsi="Palatino Linotype" w:cs="Palatino Linotype"/>
        </w:rPr>
        <w:t xml:space="preserve">En fecha </w:t>
      </w:r>
      <w:r w:rsidRPr="00A37AB5">
        <w:rPr>
          <w:rFonts w:ascii="Palatino Linotype" w:eastAsia="Palatino Linotype" w:hAnsi="Palatino Linotype" w:cs="Palatino Linotype"/>
          <w:b/>
          <w:bCs/>
        </w:rPr>
        <w:t>veinticinco de julio de dos mil veinticinco,</w:t>
      </w:r>
      <w:r w:rsidRPr="00A37AB5">
        <w:rPr>
          <w:rFonts w:ascii="Palatino Linotype" w:eastAsia="Palatino Linotype" w:hAnsi="Palatino Linotype" w:cs="Palatino Linotype"/>
        </w:rPr>
        <w:t xml:space="preserve"> la parte Recurrente interpuso Recurso de Revisión a través del </w:t>
      </w:r>
      <w:r w:rsidRPr="00A37AB5">
        <w:rPr>
          <w:rFonts w:ascii="Palatino Linotype" w:eastAsia="Palatino Linotype" w:hAnsi="Palatino Linotype" w:cs="Palatino Linotype"/>
          <w:b/>
          <w:bCs/>
        </w:rPr>
        <w:t>SAIMEX</w:t>
      </w:r>
      <w:r w:rsidRPr="00A37AB5">
        <w:rPr>
          <w:rFonts w:ascii="Palatino Linotype" w:eastAsia="Palatino Linotype" w:hAnsi="Palatino Linotype" w:cs="Palatino Linotype"/>
        </w:rPr>
        <w:t xml:space="preserve">; sin embargo, al corresponder a un día inhábil se tuvo por presentada el día </w:t>
      </w:r>
      <w:r w:rsidRPr="00A37AB5">
        <w:rPr>
          <w:rFonts w:ascii="Palatino Linotype" w:eastAsia="Palatino Linotype" w:hAnsi="Palatino Linotype" w:cs="Palatino Linotype"/>
          <w:b/>
          <w:bCs/>
        </w:rPr>
        <w:t>cuatro de agosto de dos mil veinticinco</w:t>
      </w:r>
      <w:r w:rsidRPr="00A37AB5">
        <w:rPr>
          <w:rFonts w:ascii="Palatino Linotype" w:eastAsia="Palatino Linotype" w:hAnsi="Palatino Linotype" w:cs="Palatino Linotype"/>
        </w:rPr>
        <w:t>, a través del cual expresó lo siguiente:</w:t>
      </w:r>
    </w:p>
    <w:p w:rsidR="005029A3" w:rsidRPr="00A37AB5" w:rsidRDefault="005029A3">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p>
    <w:p w:rsidR="005029A3" w:rsidRPr="00A37AB5" w:rsidRDefault="00D3459A">
      <w:pPr>
        <w:pBdr>
          <w:top w:val="nil"/>
          <w:left w:val="nil"/>
          <w:bottom w:val="nil"/>
          <w:right w:val="nil"/>
          <w:between w:val="nil"/>
        </w:pBdr>
        <w:tabs>
          <w:tab w:val="left" w:pos="1276"/>
        </w:tabs>
        <w:spacing w:after="0"/>
        <w:ind w:left="851" w:right="843"/>
        <w:jc w:val="both"/>
        <w:rPr>
          <w:rFonts w:ascii="Palatino Linotype" w:eastAsia="Palatino Linotype" w:hAnsi="Palatino Linotype" w:cs="Palatino Linotype"/>
          <w:b/>
          <w:bCs/>
          <w:i/>
          <w:iCs/>
        </w:rPr>
      </w:pPr>
      <w:r w:rsidRPr="00A37AB5">
        <w:rPr>
          <w:rFonts w:ascii="Palatino Linotype" w:eastAsia="Palatino Linotype" w:hAnsi="Palatino Linotype" w:cs="Palatino Linotype"/>
          <w:b/>
          <w:bCs/>
        </w:rPr>
        <w:t>Acto impugnado</w:t>
      </w:r>
      <w:r w:rsidRPr="00A37AB5">
        <w:rPr>
          <w:rFonts w:ascii="Palatino Linotype" w:eastAsia="Palatino Linotype" w:hAnsi="Palatino Linotype" w:cs="Palatino Linotype"/>
          <w:b/>
          <w:bCs/>
          <w:i/>
          <w:iCs/>
        </w:rPr>
        <w:t xml:space="preserve">. </w:t>
      </w:r>
    </w:p>
    <w:p w:rsidR="005029A3" w:rsidRPr="00A37AB5" w:rsidRDefault="00D3459A">
      <w:pPr>
        <w:pBdr>
          <w:top w:val="nil"/>
          <w:left w:val="nil"/>
          <w:bottom w:val="nil"/>
          <w:right w:val="nil"/>
          <w:between w:val="nil"/>
        </w:pBdr>
        <w:tabs>
          <w:tab w:val="left" w:pos="1276"/>
        </w:tabs>
        <w:spacing w:after="0"/>
        <w:ind w:left="851" w:right="843"/>
        <w:jc w:val="both"/>
        <w:rPr>
          <w:rFonts w:ascii="Palatino Linotype" w:eastAsia="Palatino Linotype" w:hAnsi="Palatino Linotype" w:cs="Palatino Linotype"/>
          <w:i/>
          <w:iCs/>
        </w:rPr>
      </w:pPr>
      <w:r w:rsidRPr="00A37AB5">
        <w:rPr>
          <w:rFonts w:ascii="Palatino Linotype" w:eastAsia="Palatino Linotype" w:hAnsi="Palatino Linotype" w:cs="Palatino Linotype"/>
          <w:i/>
          <w:iCs/>
        </w:rPr>
        <w:t xml:space="preserve">“No se entrega la información solicitada de manera específica.”. </w:t>
      </w:r>
    </w:p>
    <w:p w:rsidR="005029A3" w:rsidRPr="00A37AB5" w:rsidRDefault="005029A3">
      <w:pPr>
        <w:pBdr>
          <w:top w:val="nil"/>
          <w:left w:val="nil"/>
          <w:bottom w:val="nil"/>
          <w:right w:val="nil"/>
          <w:between w:val="nil"/>
        </w:pBdr>
        <w:tabs>
          <w:tab w:val="left" w:pos="1276"/>
        </w:tabs>
        <w:spacing w:after="0"/>
        <w:ind w:left="851" w:right="843"/>
        <w:jc w:val="both"/>
        <w:rPr>
          <w:rFonts w:ascii="Palatino Linotype" w:eastAsia="Palatino Linotype" w:hAnsi="Palatino Linotype" w:cs="Palatino Linotype"/>
          <w:b/>
          <w:bCs/>
        </w:rPr>
      </w:pPr>
    </w:p>
    <w:p w:rsidR="005029A3" w:rsidRPr="00A37AB5" w:rsidRDefault="00D3459A">
      <w:pPr>
        <w:pBdr>
          <w:top w:val="nil"/>
          <w:left w:val="nil"/>
          <w:bottom w:val="nil"/>
          <w:right w:val="nil"/>
          <w:between w:val="nil"/>
        </w:pBdr>
        <w:tabs>
          <w:tab w:val="left" w:pos="1276"/>
        </w:tabs>
        <w:spacing w:after="0"/>
        <w:ind w:left="851" w:right="843"/>
        <w:jc w:val="both"/>
        <w:rPr>
          <w:rFonts w:ascii="Palatino Linotype" w:eastAsia="Palatino Linotype" w:hAnsi="Palatino Linotype" w:cs="Palatino Linotype"/>
          <w:b/>
          <w:bCs/>
        </w:rPr>
      </w:pPr>
      <w:r w:rsidRPr="00A37AB5">
        <w:rPr>
          <w:rFonts w:ascii="Palatino Linotype" w:eastAsia="Palatino Linotype" w:hAnsi="Palatino Linotype" w:cs="Palatino Linotype"/>
          <w:b/>
          <w:bCs/>
        </w:rPr>
        <w:t xml:space="preserve">Razones o motivos de la inconformidad: </w:t>
      </w:r>
    </w:p>
    <w:p w:rsidR="005029A3" w:rsidRPr="00A37AB5" w:rsidRDefault="00D3459A">
      <w:pPr>
        <w:pBdr>
          <w:top w:val="nil"/>
          <w:left w:val="nil"/>
          <w:bottom w:val="nil"/>
          <w:right w:val="nil"/>
          <w:between w:val="nil"/>
        </w:pBdr>
        <w:tabs>
          <w:tab w:val="left" w:pos="1276"/>
        </w:tabs>
        <w:spacing w:after="0"/>
        <w:ind w:left="851" w:right="843"/>
        <w:jc w:val="both"/>
        <w:rPr>
          <w:rFonts w:ascii="Palatino Linotype" w:eastAsia="Palatino Linotype" w:hAnsi="Palatino Linotype" w:cs="Palatino Linotype"/>
          <w:b/>
          <w:bCs/>
          <w:i/>
          <w:iCs/>
          <w:u w:val="single"/>
        </w:rPr>
      </w:pPr>
      <w:r w:rsidRPr="00A37AB5">
        <w:rPr>
          <w:rFonts w:ascii="Palatino Linotype" w:eastAsia="Palatino Linotype" w:hAnsi="Palatino Linotype" w:cs="Palatino Linotype"/>
          <w:i/>
          <w:iCs/>
        </w:rPr>
        <w:t>“E</w:t>
      </w:r>
      <w:r w:rsidRPr="00A37AB5">
        <w:rPr>
          <w:rFonts w:ascii="Palatino Linotype" w:eastAsia="Palatino Linotype" w:hAnsi="Palatino Linotype" w:cs="Palatino Linotype"/>
          <w:b/>
          <w:bCs/>
          <w:i/>
          <w:iCs/>
        </w:rPr>
        <w:t>l área que emitió respuesta</w:t>
      </w:r>
      <w:r w:rsidRPr="00A37AB5">
        <w:rPr>
          <w:rFonts w:ascii="Palatino Linotype" w:eastAsia="Palatino Linotype" w:hAnsi="Palatino Linotype" w:cs="Palatino Linotype"/>
          <w:i/>
          <w:iCs/>
        </w:rPr>
        <w:t xml:space="preserve"> </w:t>
      </w:r>
      <w:r w:rsidRPr="00A37AB5">
        <w:rPr>
          <w:rFonts w:ascii="Palatino Linotype" w:eastAsia="Palatino Linotype" w:hAnsi="Palatino Linotype" w:cs="Palatino Linotype"/>
          <w:b/>
          <w:bCs/>
          <w:i/>
          <w:iCs/>
          <w:u w:val="single"/>
        </w:rPr>
        <w:t xml:space="preserve">declaro no ser su atributo entregar la información solicitada.”. </w:t>
      </w:r>
    </w:p>
    <w:p w:rsidR="005029A3" w:rsidRPr="00A37AB5" w:rsidRDefault="005029A3">
      <w:pPr>
        <w:pBdr>
          <w:top w:val="nil"/>
          <w:left w:val="nil"/>
          <w:bottom w:val="nil"/>
          <w:right w:val="nil"/>
          <w:between w:val="nil"/>
        </w:pBdr>
        <w:tabs>
          <w:tab w:val="left" w:pos="1276"/>
        </w:tabs>
        <w:spacing w:after="0" w:line="360" w:lineRule="auto"/>
        <w:ind w:right="701"/>
        <w:jc w:val="both"/>
        <w:rPr>
          <w:rFonts w:ascii="Palatino Linotype" w:eastAsia="Palatino Linotype" w:hAnsi="Palatino Linotype" w:cs="Palatino Linotype"/>
        </w:rPr>
      </w:pPr>
    </w:p>
    <w:p w:rsidR="005029A3" w:rsidRPr="00A37AB5" w:rsidRDefault="00D3459A">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rPr>
      </w:pPr>
      <w:r w:rsidRPr="00A37AB5">
        <w:rPr>
          <w:rFonts w:ascii="Palatino Linotype" w:eastAsia="Palatino Linotype" w:hAnsi="Palatino Linotype" w:cs="Palatino Linotype"/>
          <w:b/>
          <w:bCs/>
        </w:rPr>
        <w:t>Turno.</w:t>
      </w:r>
      <w:r w:rsidRPr="00A37AB5">
        <w:rPr>
          <w:rFonts w:ascii="Palatino Linotype" w:eastAsia="Palatino Linotype" w:hAnsi="Palatino Linotype" w:cs="Palatino Linotype"/>
        </w:rPr>
        <w:t xml:space="preserve"> De conformidad con el artículo 185, fracción I de la Ley de Transparencia y Acceso a la Información Pública del Estado de México y Municipios, el recurso de revisión número </w:t>
      </w:r>
      <w:r w:rsidRPr="00A37AB5">
        <w:rPr>
          <w:rFonts w:ascii="Palatino Linotype" w:eastAsia="Palatino Linotype" w:hAnsi="Palatino Linotype" w:cs="Palatino Linotype"/>
          <w:b/>
          <w:bCs/>
        </w:rPr>
        <w:t>09064/INFOEM/IP/RR/2025</w:t>
      </w:r>
      <w:r w:rsidRPr="00A37AB5">
        <w:rPr>
          <w:rFonts w:ascii="Palatino Linotype" w:eastAsia="Palatino Linotype" w:hAnsi="Palatino Linotype" w:cs="Palatino Linotype"/>
        </w:rPr>
        <w:t>, se turnó por el sistema electrónico del Instituto de Transparencia, Acceso a la Información Pública y Protección de Datos Personales del Estado de México y Municipios, a la Comisionada Guadalupe Ramírez Peña para su análisis, estudio, elaboración del proyecto y presentación ante el Pleno de este Instituto.</w:t>
      </w:r>
    </w:p>
    <w:p w:rsidR="005029A3" w:rsidRPr="00A37AB5" w:rsidRDefault="005029A3">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p>
    <w:p w:rsidR="005029A3" w:rsidRPr="00A37AB5" w:rsidRDefault="00D3459A">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rPr>
      </w:pPr>
      <w:r w:rsidRPr="00A37AB5">
        <w:rPr>
          <w:rFonts w:ascii="Palatino Linotype" w:eastAsia="Palatino Linotype" w:hAnsi="Palatino Linotype" w:cs="Palatino Linotype"/>
          <w:b/>
          <w:bCs/>
        </w:rPr>
        <w:t>Admisión del recurso de revisión</w:t>
      </w:r>
      <w:r w:rsidRPr="00A37AB5">
        <w:rPr>
          <w:rFonts w:ascii="Palatino Linotype" w:eastAsia="Palatino Linotype" w:hAnsi="Palatino Linotype" w:cs="Palatino Linotype"/>
        </w:rPr>
        <w:t xml:space="preserve">: Mediante acuerdo de fecha </w:t>
      </w:r>
      <w:r w:rsidRPr="00A37AB5">
        <w:rPr>
          <w:rFonts w:ascii="Palatino Linotype" w:eastAsia="Palatino Linotype" w:hAnsi="Palatino Linotype" w:cs="Palatino Linotype"/>
          <w:b/>
          <w:bCs/>
        </w:rPr>
        <w:t>ocho de agosto de dos mil veinticinco</w:t>
      </w:r>
      <w:r w:rsidRPr="00A37AB5">
        <w:rPr>
          <w:rFonts w:ascii="Palatino Linotype" w:eastAsia="Palatino Linotype" w:hAnsi="Palatino Linotype" w:cs="Palatino Linotype"/>
        </w:rPr>
        <w:t>, la Comisionada Ponente admitió a trámite el recurso de revisión que ahora se resuelve, dando un plazo máximo de siete días hábiles para que las partes manifestaran lo que a su derecho resultara conveniente, ofrecieran pruebas, formularan alegatos y el Sujeto Obligado presentara su informe justificado.</w:t>
      </w:r>
    </w:p>
    <w:p w:rsidR="005029A3" w:rsidRPr="00A37AB5" w:rsidRDefault="00D3459A">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r w:rsidRPr="00A37AB5">
        <w:rPr>
          <w:rFonts w:ascii="Palatino Linotype" w:eastAsia="Palatino Linotype" w:hAnsi="Palatino Linotype" w:cs="Palatino Linotype"/>
        </w:rPr>
        <w:t xml:space="preserve"> </w:t>
      </w:r>
    </w:p>
    <w:p w:rsidR="005029A3" w:rsidRPr="00A37AB5" w:rsidRDefault="00D3459A">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rPr>
      </w:pPr>
      <w:r w:rsidRPr="00A37AB5">
        <w:rPr>
          <w:rFonts w:ascii="Palatino Linotype" w:eastAsia="Palatino Linotype" w:hAnsi="Palatino Linotype" w:cs="Palatino Linotype"/>
          <w:b/>
          <w:bCs/>
        </w:rPr>
        <w:t xml:space="preserve">Manifestaciones. </w:t>
      </w:r>
      <w:r w:rsidRPr="00A37AB5">
        <w:rPr>
          <w:rFonts w:ascii="Palatino Linotype" w:eastAsia="Palatino Linotype" w:hAnsi="Palatino Linotype" w:cs="Palatino Linotype"/>
        </w:rPr>
        <w:t xml:space="preserve">De las constancias que obran en el expediente electrónico aperturado con motivo del presente medio de impugnación, se advierte que durante el periodo de manifestaciones el </w:t>
      </w:r>
      <w:r w:rsidRPr="00A37AB5">
        <w:rPr>
          <w:rFonts w:ascii="Palatino Linotype" w:eastAsia="Palatino Linotype" w:hAnsi="Palatino Linotype" w:cs="Palatino Linotype"/>
          <w:b/>
          <w:bCs/>
        </w:rPr>
        <w:t xml:space="preserve">Sujeto Obligado </w:t>
      </w:r>
      <w:r w:rsidRPr="00A37AB5">
        <w:rPr>
          <w:rFonts w:ascii="Palatino Linotype" w:eastAsia="Palatino Linotype" w:hAnsi="Palatino Linotype" w:cs="Palatino Linotype"/>
        </w:rPr>
        <w:t xml:space="preserve">en fecha </w:t>
      </w:r>
      <w:r w:rsidRPr="00A37AB5">
        <w:rPr>
          <w:rFonts w:ascii="Palatino Linotype" w:eastAsia="Palatino Linotype" w:hAnsi="Palatino Linotype" w:cs="Palatino Linotype"/>
          <w:b/>
          <w:bCs/>
        </w:rPr>
        <w:t xml:space="preserve">doce de agosto de dos mil veinticinco </w:t>
      </w:r>
      <w:r w:rsidRPr="00A37AB5">
        <w:rPr>
          <w:rFonts w:ascii="Palatino Linotype" w:eastAsia="Palatino Linotype" w:hAnsi="Palatino Linotype" w:cs="Palatino Linotype"/>
        </w:rPr>
        <w:t>rindió su informe justificado, a través del archivo electrónico que contienen la información siguiente:</w:t>
      </w:r>
    </w:p>
    <w:p w:rsidR="005029A3" w:rsidRPr="00A37AB5" w:rsidRDefault="005029A3">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p>
    <w:p w:rsidR="005029A3" w:rsidRPr="00A37AB5" w:rsidRDefault="00D3459A">
      <w:pPr>
        <w:numPr>
          <w:ilvl w:val="0"/>
          <w:numId w:val="5"/>
        </w:numPr>
        <w:pBdr>
          <w:top w:val="nil"/>
          <w:left w:val="nil"/>
          <w:bottom w:val="nil"/>
          <w:right w:val="nil"/>
          <w:between w:val="nil"/>
        </w:pBdr>
        <w:spacing w:after="0" w:line="360" w:lineRule="auto"/>
        <w:ind w:left="993" w:right="843"/>
        <w:jc w:val="both"/>
        <w:rPr>
          <w:rFonts w:ascii="Palatino Linotype" w:eastAsia="Palatino Linotype" w:hAnsi="Palatino Linotype" w:cs="Palatino Linotype"/>
          <w:b/>
          <w:bCs/>
        </w:rPr>
      </w:pPr>
      <w:r w:rsidRPr="00A37AB5">
        <w:rPr>
          <w:rFonts w:ascii="Palatino Linotype" w:eastAsia="Palatino Linotype" w:hAnsi="Palatino Linotype" w:cs="Palatino Linotype"/>
          <w:b/>
          <w:bCs/>
        </w:rPr>
        <w:t xml:space="preserve">Informe Justificado RR 09064.pdf: </w:t>
      </w:r>
      <w:r w:rsidRPr="00A37AB5">
        <w:rPr>
          <w:rFonts w:ascii="Palatino Linotype" w:eastAsia="Palatino Linotype" w:hAnsi="Palatino Linotype" w:cs="Palatino Linotype"/>
        </w:rPr>
        <w:t xml:space="preserve">Oficio número TM/DJT/1958/2025 de fecha cuatro de agosto de dos mil veinticinco, a través del cual el Tesorero Municipal medularmente confirmó su respuesta inicial, precisando que en cuanto a </w:t>
      </w:r>
      <w:r w:rsidRPr="00A37AB5">
        <w:rPr>
          <w:rFonts w:ascii="Palatino Linotype" w:eastAsia="Palatino Linotype" w:hAnsi="Palatino Linotype" w:cs="Palatino Linotype"/>
          <w:b/>
          <w:bCs/>
          <w:i/>
          <w:iCs/>
        </w:rPr>
        <w:t>”… 3.Evaluación del cumplimiento de metas y objetivos presupuestales del area de Coordinacion Municipal de Proteccion Civil y Bomberos.”</w:t>
      </w:r>
      <w:r w:rsidRPr="00A37AB5">
        <w:rPr>
          <w:rFonts w:ascii="Palatino Linotype" w:eastAsia="Palatino Linotype" w:hAnsi="Palatino Linotype" w:cs="Palatino Linotype"/>
        </w:rPr>
        <w:t xml:space="preserve">, realizó una búsqueda minuciosa y exhaustiva en sus archivos físicos y digitales, de la que no se encontró información referente a la evaluación del cumplimiento de metas y objetivos presupuestales del área de Coordinación Municipal de Protección Civil y Bomberos, por lo que al no tener archivada esta información, la Tesorería no es Sujeto Obligado para proporcionar lo anteriormente citado. </w:t>
      </w:r>
    </w:p>
    <w:p w:rsidR="005029A3" w:rsidRPr="00A37AB5" w:rsidRDefault="005029A3">
      <w:pPr>
        <w:pBdr>
          <w:top w:val="nil"/>
          <w:left w:val="nil"/>
          <w:bottom w:val="nil"/>
          <w:right w:val="nil"/>
          <w:between w:val="nil"/>
        </w:pBdr>
        <w:spacing w:after="0" w:line="360" w:lineRule="auto"/>
        <w:ind w:right="49"/>
        <w:jc w:val="both"/>
        <w:rPr>
          <w:rFonts w:ascii="Palatino Linotype" w:eastAsia="Palatino Linotype" w:hAnsi="Palatino Linotype" w:cs="Palatino Linotype"/>
          <w:b/>
          <w:bCs/>
        </w:rPr>
      </w:pPr>
    </w:p>
    <w:p w:rsidR="005029A3" w:rsidRPr="00A37AB5" w:rsidRDefault="00D3459A">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r w:rsidRPr="00A37AB5">
        <w:rPr>
          <w:rFonts w:ascii="Palatino Linotype" w:eastAsia="Palatino Linotype" w:hAnsi="Palatino Linotype" w:cs="Palatino Linotype"/>
        </w:rPr>
        <w:t xml:space="preserve">Documento que se puso a la vista de la parte </w:t>
      </w:r>
      <w:r w:rsidRPr="00A37AB5">
        <w:rPr>
          <w:rFonts w:ascii="Palatino Linotype" w:eastAsia="Palatino Linotype" w:hAnsi="Palatino Linotype" w:cs="Palatino Linotype"/>
          <w:b/>
          <w:bCs/>
        </w:rPr>
        <w:t>Recurrente</w:t>
      </w:r>
      <w:r w:rsidRPr="00A37AB5">
        <w:rPr>
          <w:rFonts w:ascii="Palatino Linotype" w:eastAsia="Palatino Linotype" w:hAnsi="Palatino Linotype" w:cs="Palatino Linotype"/>
        </w:rPr>
        <w:t xml:space="preserve">, en fecha </w:t>
      </w:r>
      <w:r w:rsidRPr="00A37AB5">
        <w:rPr>
          <w:rFonts w:ascii="Palatino Linotype" w:eastAsia="Palatino Linotype" w:hAnsi="Palatino Linotype" w:cs="Palatino Linotype"/>
          <w:b/>
          <w:bCs/>
        </w:rPr>
        <w:t>veintiséis de febrero de dos mil veintiséis</w:t>
      </w:r>
      <w:r w:rsidRPr="00A37AB5">
        <w:rPr>
          <w:rFonts w:ascii="Palatino Linotype" w:eastAsia="Palatino Linotype" w:hAnsi="Palatino Linotype" w:cs="Palatino Linotype"/>
        </w:rPr>
        <w:t xml:space="preserve">, a efecto de que manifestara lo que a su derecho resultara conveniente. De este modo, la parte </w:t>
      </w:r>
      <w:r w:rsidRPr="00A37AB5">
        <w:rPr>
          <w:rFonts w:ascii="Palatino Linotype" w:eastAsia="Palatino Linotype" w:hAnsi="Palatino Linotype" w:cs="Palatino Linotype"/>
          <w:b/>
          <w:bCs/>
        </w:rPr>
        <w:t>Recurrente</w:t>
      </w:r>
      <w:r w:rsidRPr="00A37AB5">
        <w:rPr>
          <w:rFonts w:ascii="Palatino Linotype" w:eastAsia="Palatino Linotype" w:hAnsi="Palatino Linotype" w:cs="Palatino Linotype"/>
        </w:rPr>
        <w:t xml:space="preserve">, en fecha </w:t>
      </w:r>
      <w:r w:rsidRPr="00A37AB5">
        <w:rPr>
          <w:rFonts w:ascii="Palatino Linotype" w:eastAsia="Palatino Linotype" w:hAnsi="Palatino Linotype" w:cs="Palatino Linotype"/>
          <w:b/>
          <w:bCs/>
        </w:rPr>
        <w:t>veinticuatro de noviembre de dos mil veinticinco</w:t>
      </w:r>
      <w:r w:rsidRPr="00A37AB5">
        <w:rPr>
          <w:rFonts w:ascii="Palatino Linotype" w:eastAsia="Palatino Linotype" w:hAnsi="Palatino Linotype" w:cs="Palatino Linotype"/>
        </w:rPr>
        <w:t xml:space="preserve"> manifestó: </w:t>
      </w:r>
      <w:r w:rsidRPr="00A37AB5">
        <w:rPr>
          <w:rFonts w:ascii="Palatino Linotype" w:eastAsia="Palatino Linotype" w:hAnsi="Palatino Linotype" w:cs="Palatino Linotype"/>
          <w:i/>
          <w:iCs/>
        </w:rPr>
        <w:t>“El área que emitió respuesta declaro no ser su atributo entregar la información solicitada. Solo indica como poder acceder a esta sin embargo no es posible y por eso se le solicita se entrege por este medio el correspondiente desde la fecha de presentacion de la solicitud a la fecha en que se resuelva el precente recurso</w:t>
      </w:r>
      <w:r w:rsidRPr="00A37AB5">
        <w:rPr>
          <w:rFonts w:ascii="Palatino Linotype" w:eastAsia="Palatino Linotype" w:hAnsi="Palatino Linotype" w:cs="Palatino Linotype"/>
        </w:rPr>
        <w:t xml:space="preserve">”. </w:t>
      </w:r>
    </w:p>
    <w:p w:rsidR="005029A3" w:rsidRPr="00A37AB5" w:rsidRDefault="005029A3">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p>
    <w:p w:rsidR="005029A3" w:rsidRPr="00A37AB5" w:rsidRDefault="00D3459A">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b/>
          <w:bCs/>
        </w:rPr>
      </w:pPr>
      <w:r w:rsidRPr="00A37AB5">
        <w:rPr>
          <w:rFonts w:ascii="Palatino Linotype" w:eastAsia="Palatino Linotype" w:hAnsi="Palatino Linotype" w:cs="Palatino Linotype"/>
          <w:b/>
          <w:bCs/>
        </w:rPr>
        <w:t xml:space="preserve">Ampliación de plazo. </w:t>
      </w:r>
      <w:r w:rsidRPr="00A37AB5">
        <w:rPr>
          <w:rFonts w:ascii="Palatino Linotype" w:eastAsia="Palatino Linotype" w:hAnsi="Palatino Linotype" w:cs="Palatino Linotype"/>
        </w:rPr>
        <w:t>El</w:t>
      </w:r>
      <w:r w:rsidRPr="00A37AB5">
        <w:rPr>
          <w:rFonts w:ascii="Palatino Linotype" w:eastAsia="Palatino Linotype" w:hAnsi="Palatino Linotype" w:cs="Palatino Linotype"/>
          <w:b/>
          <w:bCs/>
        </w:rPr>
        <w:t xml:space="preserve"> veintiséis de febrero de dos mil veintiséis</w:t>
      </w:r>
      <w:r w:rsidRPr="00A37AB5">
        <w:rPr>
          <w:rFonts w:ascii="Palatino Linotype" w:eastAsia="Palatino Linotype" w:hAnsi="Palatino Linotype" w:cs="Palatino Linotype"/>
        </w:rPr>
        <w:t>, con fundamento en el artículo 181, párrafo tercero de la Ley de Transparencia y Acceso a la Información Pública del Estado de México y Municipios, se acordó la ampliación del plazo para su resolución.</w:t>
      </w:r>
    </w:p>
    <w:p w:rsidR="005029A3" w:rsidRPr="00A37AB5" w:rsidRDefault="005029A3">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p>
    <w:p w:rsidR="005029A3" w:rsidRPr="00A37AB5" w:rsidRDefault="00D3459A">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r w:rsidRPr="00A37AB5">
        <w:rPr>
          <w:rFonts w:ascii="Palatino Linotype" w:eastAsia="Palatino Linotype" w:hAnsi="Palatino Linotype" w:cs="Palatino Linotype"/>
        </w:rPr>
        <w:t>Este organismo garante no pasa por alto justificar, que el plazo para emitir la resolución en el presente asunto encuentra justificación en el alto número de recursos de revisión recibidos, circunstancia atípica que ha rebasado las capacidades técnicas y humanas del personal encargado de la proyección de las resoluciones a dichos medios de impugnación.</w:t>
      </w:r>
    </w:p>
    <w:p w:rsidR="005029A3" w:rsidRPr="00A37AB5" w:rsidRDefault="005029A3">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p>
    <w:p w:rsidR="005029A3" w:rsidRPr="00A37AB5" w:rsidRDefault="00D3459A">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r w:rsidRPr="00A37AB5">
        <w:rPr>
          <w:rFonts w:ascii="Palatino Linotype" w:eastAsia="Palatino Linotype" w:hAnsi="Palatino Linotype" w:cs="Palatino Linotype"/>
        </w:rPr>
        <w:t>Por ello, es menester precisar que, si bien se ha excedido el plazo para resolver el presente medio de impugnación, de conformidad con la ley de la materia, el plazo para emitir la resolución se encuentra justificado en los elementos para medir la razonabilidad de asuntos conforme a los parámetros establecidos por diversos órganos jurisdiccionales federales, aplicables también en procedimientos análogos, como el que nos ocupa.</w:t>
      </w:r>
    </w:p>
    <w:p w:rsidR="005029A3" w:rsidRPr="00A37AB5" w:rsidRDefault="005029A3">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p>
    <w:p w:rsidR="005029A3" w:rsidRPr="00A37AB5" w:rsidRDefault="00D3459A">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r w:rsidRPr="00A37AB5">
        <w:rPr>
          <w:rFonts w:ascii="Palatino Linotype" w:eastAsia="Palatino Linotype" w:hAnsi="Palatino Linotype" w:cs="Palatino Linotype"/>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rsidR="005029A3" w:rsidRPr="00A37AB5" w:rsidRDefault="005029A3">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p>
    <w:p w:rsidR="005029A3" w:rsidRPr="00A37AB5" w:rsidRDefault="00D3459A">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r w:rsidRPr="00A37AB5">
        <w:rPr>
          <w:rFonts w:ascii="Palatino Linotype" w:eastAsia="Palatino Linotype" w:hAnsi="Palatino Linotype" w:cs="Palatino Linotype"/>
        </w:rPr>
        <w:t xml:space="preserve">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 </w:t>
      </w:r>
    </w:p>
    <w:p w:rsidR="005029A3" w:rsidRPr="00A37AB5" w:rsidRDefault="005029A3">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p>
    <w:p w:rsidR="005029A3" w:rsidRPr="00A37AB5" w:rsidRDefault="00D3459A">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r w:rsidRPr="00A37AB5">
        <w:rPr>
          <w:rFonts w:ascii="Palatino Linotype" w:eastAsia="Palatino Linotype" w:hAnsi="Palatino Linotype" w:cs="Palatino Linotype"/>
        </w:rPr>
        <w:t xml:space="preserve">Por ello, excepcionalmente, si un asunto es resuelto con posterioridad a los plazos señalados por la norma debe analizarse la razonabilidad del tiempo necesario para su resolución, atentos a los siguientes criterios: </w:t>
      </w:r>
    </w:p>
    <w:p w:rsidR="005029A3" w:rsidRPr="00A37AB5" w:rsidRDefault="005029A3">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p>
    <w:p w:rsidR="005029A3" w:rsidRPr="00A37AB5" w:rsidRDefault="00D3459A">
      <w:pPr>
        <w:numPr>
          <w:ilvl w:val="0"/>
          <w:numId w:val="6"/>
        </w:numPr>
        <w:pBdr>
          <w:top w:val="nil"/>
          <w:left w:val="nil"/>
          <w:bottom w:val="nil"/>
          <w:right w:val="nil"/>
          <w:between w:val="nil"/>
        </w:pBdr>
        <w:spacing w:after="0" w:line="360" w:lineRule="auto"/>
        <w:ind w:right="49"/>
        <w:jc w:val="both"/>
        <w:rPr>
          <w:rFonts w:ascii="Palatino Linotype" w:eastAsia="Palatino Linotype" w:hAnsi="Palatino Linotype" w:cs="Palatino Linotype"/>
        </w:rPr>
      </w:pPr>
      <w:r w:rsidRPr="00A37AB5">
        <w:rPr>
          <w:rFonts w:ascii="Palatino Linotype" w:eastAsia="Palatino Linotype" w:hAnsi="Palatino Linotype" w:cs="Palatino Linotype"/>
          <w:b/>
          <w:bCs/>
        </w:rPr>
        <w:t>Complejidad del Asunto:</w:t>
      </w:r>
      <w:r w:rsidRPr="00A37AB5">
        <w:rPr>
          <w:rFonts w:ascii="Palatino Linotype" w:eastAsia="Palatino Linotype" w:hAnsi="Palatino Linotype" w:cs="Palatino Linotype"/>
        </w:rPr>
        <w:t xml:space="preserve"> La complejidad de la prueba, la pluralidad de sujetos procesales, el tiempo transcurrido, las características y contexto del recurso. </w:t>
      </w:r>
    </w:p>
    <w:p w:rsidR="005029A3" w:rsidRPr="00A37AB5" w:rsidRDefault="005029A3">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p>
    <w:p w:rsidR="005029A3" w:rsidRPr="00A37AB5" w:rsidRDefault="00D3459A">
      <w:pPr>
        <w:numPr>
          <w:ilvl w:val="0"/>
          <w:numId w:val="6"/>
        </w:numPr>
        <w:pBdr>
          <w:top w:val="nil"/>
          <w:left w:val="nil"/>
          <w:bottom w:val="nil"/>
          <w:right w:val="nil"/>
          <w:between w:val="nil"/>
        </w:pBdr>
        <w:spacing w:after="0" w:line="360" w:lineRule="auto"/>
        <w:ind w:right="49"/>
        <w:jc w:val="both"/>
        <w:rPr>
          <w:rFonts w:ascii="Palatino Linotype" w:eastAsia="Palatino Linotype" w:hAnsi="Palatino Linotype" w:cs="Palatino Linotype"/>
        </w:rPr>
      </w:pPr>
      <w:r w:rsidRPr="00A37AB5">
        <w:rPr>
          <w:rFonts w:ascii="Palatino Linotype" w:eastAsia="Palatino Linotype" w:hAnsi="Palatino Linotype" w:cs="Palatino Linotype"/>
          <w:b/>
          <w:bCs/>
        </w:rPr>
        <w:t>Actividad Procesal del interesado.</w:t>
      </w:r>
      <w:r w:rsidRPr="00A37AB5">
        <w:rPr>
          <w:rFonts w:ascii="Palatino Linotype" w:eastAsia="Palatino Linotype" w:hAnsi="Palatino Linotype" w:cs="Palatino Linotype"/>
        </w:rPr>
        <w:t xml:space="preserve"> Acciones u omisiones del interesado.</w:t>
      </w:r>
    </w:p>
    <w:p w:rsidR="005029A3" w:rsidRPr="00A37AB5" w:rsidRDefault="005029A3">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p>
    <w:p w:rsidR="005029A3" w:rsidRPr="00A37AB5" w:rsidRDefault="00D3459A">
      <w:pPr>
        <w:numPr>
          <w:ilvl w:val="0"/>
          <w:numId w:val="6"/>
        </w:numPr>
        <w:pBdr>
          <w:top w:val="nil"/>
          <w:left w:val="nil"/>
          <w:bottom w:val="nil"/>
          <w:right w:val="nil"/>
          <w:between w:val="nil"/>
        </w:pBdr>
        <w:spacing w:after="0" w:line="360" w:lineRule="auto"/>
        <w:ind w:right="49"/>
        <w:jc w:val="both"/>
        <w:rPr>
          <w:rFonts w:ascii="Palatino Linotype" w:eastAsia="Palatino Linotype" w:hAnsi="Palatino Linotype" w:cs="Palatino Linotype"/>
        </w:rPr>
      </w:pPr>
      <w:r w:rsidRPr="00A37AB5">
        <w:rPr>
          <w:rFonts w:ascii="Palatino Linotype" w:eastAsia="Palatino Linotype" w:hAnsi="Palatino Linotype" w:cs="Palatino Linotype"/>
          <w:b/>
          <w:bCs/>
        </w:rPr>
        <w:t>Conducta de la Autoridad:</w:t>
      </w:r>
      <w:r w:rsidRPr="00A37AB5">
        <w:rPr>
          <w:rFonts w:ascii="Palatino Linotype" w:eastAsia="Palatino Linotype" w:hAnsi="Palatino Linotype" w:cs="Palatino Linotype"/>
        </w:rPr>
        <w:t xml:space="preserve"> Las Acciones u omisiones realizadas en el procedimiento. Así como si la autoridad actuó con la debida diligencia.</w:t>
      </w:r>
    </w:p>
    <w:p w:rsidR="005029A3" w:rsidRPr="00A37AB5" w:rsidRDefault="005029A3">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p>
    <w:p w:rsidR="005029A3" w:rsidRPr="00A37AB5" w:rsidRDefault="00D3459A">
      <w:pPr>
        <w:numPr>
          <w:ilvl w:val="0"/>
          <w:numId w:val="6"/>
        </w:numPr>
        <w:pBdr>
          <w:top w:val="nil"/>
          <w:left w:val="nil"/>
          <w:bottom w:val="nil"/>
          <w:right w:val="nil"/>
          <w:between w:val="nil"/>
        </w:pBdr>
        <w:spacing w:after="0" w:line="360" w:lineRule="auto"/>
        <w:ind w:right="49"/>
        <w:jc w:val="both"/>
        <w:rPr>
          <w:rFonts w:ascii="Palatino Linotype" w:eastAsia="Palatino Linotype" w:hAnsi="Palatino Linotype" w:cs="Palatino Linotype"/>
        </w:rPr>
      </w:pPr>
      <w:r w:rsidRPr="00A37AB5">
        <w:rPr>
          <w:rFonts w:ascii="Palatino Linotype" w:eastAsia="Palatino Linotype" w:hAnsi="Palatino Linotype" w:cs="Palatino Linotype"/>
        </w:rPr>
        <w:t xml:space="preserve"> </w:t>
      </w:r>
      <w:r w:rsidRPr="00A37AB5">
        <w:rPr>
          <w:rFonts w:ascii="Palatino Linotype" w:eastAsia="Palatino Linotype" w:hAnsi="Palatino Linotype" w:cs="Palatino Linotype"/>
          <w:b/>
          <w:bCs/>
        </w:rPr>
        <w:t xml:space="preserve">La afectación generada en la situación jurídica de la persona involucrada en el proceso: </w:t>
      </w:r>
      <w:r w:rsidRPr="00A37AB5">
        <w:rPr>
          <w:rFonts w:ascii="Palatino Linotype" w:eastAsia="Palatino Linotype" w:hAnsi="Palatino Linotype" w:cs="Palatino Linotype"/>
        </w:rPr>
        <w:t>Violación a sus derechos humanos.</w:t>
      </w:r>
    </w:p>
    <w:p w:rsidR="005029A3" w:rsidRPr="00A37AB5" w:rsidRDefault="005029A3">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p>
    <w:p w:rsidR="005029A3" w:rsidRPr="00A37AB5" w:rsidRDefault="00D3459A">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r w:rsidRPr="00A37AB5">
        <w:rPr>
          <w:rFonts w:ascii="Palatino Linotype" w:eastAsia="Palatino Linotype" w:hAnsi="Palatino Linotype" w:cs="Palatino Linotype"/>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rsidR="005029A3" w:rsidRPr="00A37AB5" w:rsidRDefault="005029A3">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p>
    <w:p w:rsidR="005029A3" w:rsidRPr="00A37AB5" w:rsidRDefault="00D3459A">
      <w:pPr>
        <w:pBdr>
          <w:top w:val="nil"/>
          <w:left w:val="nil"/>
          <w:bottom w:val="nil"/>
          <w:right w:val="nil"/>
          <w:between w:val="nil"/>
        </w:pBdr>
        <w:spacing w:after="0" w:line="360" w:lineRule="auto"/>
        <w:ind w:right="49"/>
        <w:jc w:val="both"/>
        <w:rPr>
          <w:rFonts w:ascii="Palatino Linotype" w:eastAsia="Palatino Linotype" w:hAnsi="Palatino Linotype" w:cs="Palatino Linotype"/>
          <w:b/>
          <w:bCs/>
        </w:rPr>
      </w:pPr>
      <w:r w:rsidRPr="00A37AB5">
        <w:rPr>
          <w:rFonts w:ascii="Palatino Linotype" w:eastAsia="Palatino Linotype" w:hAnsi="Palatino Linotype" w:cs="Palatino Linotype"/>
        </w:rPr>
        <w:t xml:space="preserve">Argumento que encuentra sustento en la jurisprudencia P./J. 32/92 emitida por el Pleno de la Suprema Corte de Justicia de la Nación de rubro </w:t>
      </w:r>
      <w:r w:rsidRPr="00A37AB5">
        <w:rPr>
          <w:rFonts w:ascii="Palatino Linotype" w:eastAsia="Palatino Linotype" w:hAnsi="Palatino Linotype" w:cs="Palatino Linotype"/>
          <w:i/>
          <w:iCs/>
        </w:rPr>
        <w:t>“TÉRMINOS PROCESALES. PARA DETERMINAR SI UN FUNCIONARIO JUDICIAL ACTUÓ INDEBIDAMENTE POR NO RESPETARLOS SE DEBE ATENDER AL PRESUPUESTO QUE CONSIDERÓ EL LEGISLADOR AL FIJARLOS Y LAS CARACTERÍSTICAS DEL CASO.”</w:t>
      </w:r>
      <w:r w:rsidRPr="00A37AB5">
        <w:rPr>
          <w:rFonts w:ascii="Palatino Linotype" w:eastAsia="Palatino Linotype" w:hAnsi="Palatino Linotype" w:cs="Palatino Linotype"/>
        </w:rPr>
        <w:t>, visible en la Gaceta del Seminario Judicial de la Federación con el registro digital 205635.</w:t>
      </w:r>
    </w:p>
    <w:p w:rsidR="005029A3" w:rsidRPr="00A37AB5" w:rsidRDefault="005029A3">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p>
    <w:p w:rsidR="005029A3" w:rsidRPr="00A37AB5" w:rsidRDefault="00D3459A">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r w:rsidRPr="00A37AB5">
        <w:rPr>
          <w:rFonts w:ascii="Palatino Linotype" w:eastAsia="Palatino Linotype" w:hAnsi="Palatino Linotype" w:cs="Palatino Linotype"/>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rsidR="005029A3" w:rsidRPr="00A37AB5" w:rsidRDefault="005029A3">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p>
    <w:p w:rsidR="005029A3" w:rsidRPr="00A37AB5" w:rsidRDefault="00D3459A">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r w:rsidRPr="00A37AB5">
        <w:rPr>
          <w:rFonts w:ascii="Palatino Linotype" w:eastAsia="Palatino Linotype" w:hAnsi="Palatino Linotype" w:cs="Palatino Linotype"/>
        </w:rPr>
        <w:t>Al respecto, también son de considerar los criterios sostenidos por el Cuarto Tribunal Colegiado en Materia Administrativa del Primer Circuito, cuyos rubros y datos de identificación son los siguientes:</w:t>
      </w:r>
    </w:p>
    <w:p w:rsidR="005029A3" w:rsidRPr="00A37AB5" w:rsidRDefault="005029A3">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p>
    <w:p w:rsidR="005029A3" w:rsidRPr="00A37AB5" w:rsidRDefault="00D3459A">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r w:rsidRPr="00A37AB5">
        <w:rPr>
          <w:rFonts w:ascii="Palatino Linotype" w:eastAsia="Palatino Linotype" w:hAnsi="Palatino Linotype" w:cs="Palatino Linotype"/>
        </w:rPr>
        <w:t xml:space="preserve"> </w:t>
      </w:r>
      <w:r w:rsidRPr="00A37AB5">
        <w:rPr>
          <w:rFonts w:ascii="Palatino Linotype" w:eastAsia="Palatino Linotype" w:hAnsi="Palatino Linotype" w:cs="Palatino Linotype"/>
          <w:i/>
          <w:iCs/>
        </w:rPr>
        <w:t>“PLAZO RAZONABLE PARA RESOLVER. DIMENSIÓN Y EFECTOS DE ESTE CONCEPTO CUANDO SE ADUCE EXCESIVA CARGA DE TRABAJO.”</w:t>
      </w:r>
      <w:r w:rsidRPr="00A37AB5">
        <w:rPr>
          <w:rFonts w:ascii="Palatino Linotype" w:eastAsia="Palatino Linotype" w:hAnsi="Palatino Linotype" w:cs="Palatino Linotype"/>
        </w:rPr>
        <w:t xml:space="preserve"> consultable en el Seminario Judicial de la Federación y su gaceta, con el registro digital 2002351.</w:t>
      </w:r>
    </w:p>
    <w:p w:rsidR="005029A3" w:rsidRPr="00A37AB5" w:rsidRDefault="005029A3">
      <w:pPr>
        <w:pBdr>
          <w:top w:val="nil"/>
          <w:left w:val="nil"/>
          <w:bottom w:val="nil"/>
          <w:right w:val="nil"/>
          <w:between w:val="nil"/>
        </w:pBdr>
        <w:spacing w:after="0" w:line="360" w:lineRule="auto"/>
        <w:ind w:right="49"/>
        <w:jc w:val="both"/>
        <w:rPr>
          <w:rFonts w:ascii="Palatino Linotype" w:eastAsia="Palatino Linotype" w:hAnsi="Palatino Linotype" w:cs="Palatino Linotype"/>
          <w:b/>
          <w:bCs/>
        </w:rPr>
      </w:pPr>
    </w:p>
    <w:p w:rsidR="005029A3" w:rsidRPr="00A37AB5" w:rsidRDefault="00D3459A">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r w:rsidRPr="00A37AB5">
        <w:rPr>
          <w:rFonts w:ascii="Palatino Linotype" w:eastAsia="Palatino Linotype" w:hAnsi="Palatino Linotype" w:cs="Palatino Linotype"/>
          <w:i/>
          <w:iCs/>
        </w:rPr>
        <w:t>“PLAZO RAZONABLE PARA RESOLVER. CONCEPTO Y ELEMENTOS QUE LO INTEGRAN A LA LUZ DEL DERECHO INTERNACIONAL DE LOS DERECHOS HUMANOS.”</w:t>
      </w:r>
      <w:r w:rsidRPr="00A37AB5">
        <w:rPr>
          <w:rFonts w:ascii="Palatino Linotype" w:eastAsia="Palatino Linotype" w:hAnsi="Palatino Linotype" w:cs="Palatino Linotype"/>
        </w:rPr>
        <w:t>, visible en el Seminario Judicial de la Federación y su gaceta, con el registro digital 2002350.</w:t>
      </w:r>
    </w:p>
    <w:p w:rsidR="005029A3" w:rsidRPr="00A37AB5" w:rsidRDefault="005029A3">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p>
    <w:p w:rsidR="005029A3" w:rsidRPr="00A37AB5" w:rsidRDefault="00D3459A">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r w:rsidRPr="00A37AB5">
        <w:rPr>
          <w:rFonts w:ascii="Palatino Linotype" w:eastAsia="Palatino Linotype" w:hAnsi="Palatino Linotype" w:cs="Palatino Linotype"/>
        </w:rPr>
        <w:t>Por ello, este organismo garante comprometido con la tutela de los derechos humanos confiados, señala que este exceso de plazo legal para resolver el presente asunto, resulta de carácter excepcional.</w:t>
      </w:r>
    </w:p>
    <w:p w:rsidR="005029A3" w:rsidRPr="00A37AB5" w:rsidRDefault="005029A3">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p>
    <w:p w:rsidR="005029A3" w:rsidRPr="00A37AB5" w:rsidRDefault="00D3459A">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rPr>
      </w:pPr>
      <w:r w:rsidRPr="00A37AB5">
        <w:rPr>
          <w:rFonts w:ascii="Palatino Linotype" w:eastAsia="Palatino Linotype" w:hAnsi="Palatino Linotype" w:cs="Palatino Linotype"/>
          <w:b/>
          <w:bCs/>
        </w:rPr>
        <w:t>Cierre de instrucción</w:t>
      </w:r>
      <w:r w:rsidRPr="00A37AB5">
        <w:rPr>
          <w:rFonts w:ascii="Palatino Linotype" w:eastAsia="Palatino Linotype" w:hAnsi="Palatino Linotype" w:cs="Palatino Linotype"/>
        </w:rPr>
        <w:t xml:space="preserve">. En fecha </w:t>
      </w:r>
      <w:r w:rsidRPr="00A37AB5">
        <w:rPr>
          <w:rFonts w:ascii="Palatino Linotype" w:eastAsia="Palatino Linotype" w:hAnsi="Palatino Linotype" w:cs="Palatino Linotype"/>
          <w:b/>
          <w:bCs/>
        </w:rPr>
        <w:t>cinco de marzo de dos mil veintiséis</w:t>
      </w:r>
      <w:r w:rsidRPr="00A37AB5">
        <w:rPr>
          <w:rFonts w:ascii="Palatino Linotype" w:eastAsia="Palatino Linotype" w:hAnsi="Palatino Linotype" w:cs="Palatino Linotype"/>
        </w:rPr>
        <w:t>, la Comisionada Ponente determinó el cierre de instrucción en términos de la fracción VI del artículo 185 de la Ley de Transparencia y Acceso a la Información Pública del Estado de México y Municipios.</w:t>
      </w:r>
    </w:p>
    <w:p w:rsidR="005029A3" w:rsidRPr="00A37AB5" w:rsidRDefault="005029A3">
      <w:pPr>
        <w:spacing w:after="0" w:line="360" w:lineRule="auto"/>
        <w:ind w:right="49"/>
        <w:jc w:val="both"/>
        <w:rPr>
          <w:rFonts w:ascii="Palatino Linotype" w:eastAsia="Palatino Linotype" w:hAnsi="Palatino Linotype" w:cs="Palatino Linotype"/>
        </w:rPr>
      </w:pPr>
    </w:p>
    <w:p w:rsidR="005029A3" w:rsidRPr="00A37AB5" w:rsidRDefault="00D3459A">
      <w:pPr>
        <w:spacing w:after="0" w:line="360" w:lineRule="auto"/>
        <w:ind w:right="49"/>
        <w:jc w:val="both"/>
        <w:rPr>
          <w:rFonts w:ascii="Palatino Linotype" w:eastAsia="Palatino Linotype" w:hAnsi="Palatino Linotype" w:cs="Palatino Linotype"/>
        </w:rPr>
      </w:pPr>
      <w:r w:rsidRPr="00A37AB5">
        <w:rPr>
          <w:rFonts w:ascii="Palatino Linotype" w:eastAsia="Palatino Linotype" w:hAnsi="Palatino Linotype" w:cs="Palatino Linotype"/>
        </w:rPr>
        <w:t xml:space="preserve">Debido a que fue debidamente sustanciado el expediente electrónico y no existe diligencia pendiente de desahogo, se emite la Resolución que conforme a Derecho proceda, de acuerdo con los siguientes: </w:t>
      </w:r>
    </w:p>
    <w:p w:rsidR="005029A3" w:rsidRPr="00A37AB5" w:rsidRDefault="005029A3">
      <w:pPr>
        <w:spacing w:after="0" w:line="360" w:lineRule="auto"/>
        <w:ind w:right="49"/>
        <w:jc w:val="both"/>
        <w:rPr>
          <w:rFonts w:ascii="Palatino Linotype" w:eastAsia="Palatino Linotype" w:hAnsi="Palatino Linotype" w:cs="Palatino Linotype"/>
        </w:rPr>
      </w:pPr>
    </w:p>
    <w:p w:rsidR="005029A3" w:rsidRPr="00A37AB5" w:rsidRDefault="00D3459A">
      <w:pPr>
        <w:spacing w:after="0" w:line="360" w:lineRule="auto"/>
        <w:ind w:right="49"/>
        <w:jc w:val="center"/>
        <w:rPr>
          <w:rFonts w:ascii="Palatino Linotype" w:eastAsia="Palatino Linotype" w:hAnsi="Palatino Linotype" w:cs="Palatino Linotype"/>
          <w:b/>
          <w:bCs/>
        </w:rPr>
      </w:pPr>
      <w:r w:rsidRPr="00A37AB5">
        <w:rPr>
          <w:rFonts w:ascii="Palatino Linotype" w:eastAsia="Palatino Linotype" w:hAnsi="Palatino Linotype" w:cs="Palatino Linotype"/>
          <w:b/>
          <w:bCs/>
        </w:rPr>
        <w:t>II.</w:t>
      </w:r>
      <w:r w:rsidRPr="00A37AB5">
        <w:rPr>
          <w:rFonts w:ascii="Palatino Linotype" w:eastAsia="Palatino Linotype" w:hAnsi="Palatino Linotype" w:cs="Palatino Linotype"/>
          <w:b/>
          <w:bCs/>
        </w:rPr>
        <w:tab/>
        <w:t>C O N S I D E R A N D O:</w:t>
      </w:r>
    </w:p>
    <w:p w:rsidR="005029A3" w:rsidRPr="00A37AB5" w:rsidRDefault="005029A3">
      <w:pPr>
        <w:spacing w:after="0" w:line="360" w:lineRule="auto"/>
        <w:ind w:right="49"/>
        <w:jc w:val="both"/>
        <w:rPr>
          <w:rFonts w:ascii="Palatino Linotype" w:eastAsia="Palatino Linotype" w:hAnsi="Palatino Linotype" w:cs="Palatino Linotype"/>
        </w:rPr>
      </w:pPr>
    </w:p>
    <w:p w:rsidR="005029A3" w:rsidRPr="00A37AB5" w:rsidRDefault="00D3459A">
      <w:pPr>
        <w:spacing w:after="0" w:line="360" w:lineRule="auto"/>
        <w:jc w:val="both"/>
        <w:rPr>
          <w:rFonts w:ascii="Palatino Linotype" w:eastAsia="Palatino Linotype" w:hAnsi="Palatino Linotype" w:cs="Palatino Linotype"/>
        </w:rPr>
      </w:pPr>
      <w:r w:rsidRPr="00A37AB5">
        <w:rPr>
          <w:rFonts w:ascii="Palatino Linotype" w:eastAsia="Palatino Linotype" w:hAnsi="Palatino Linotype" w:cs="Palatino Linotype"/>
          <w:b/>
          <w:bCs/>
        </w:rPr>
        <w:t xml:space="preserve">Primero. Competencia. </w:t>
      </w:r>
      <w:r w:rsidRPr="00A37AB5">
        <w:rPr>
          <w:rFonts w:ascii="Palatino Linotype" w:eastAsia="Palatino Linotype" w:hAnsi="Palatino Linotype" w:cs="Palatino Linotype"/>
        </w:rPr>
        <w:t>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cuadragésimo cuarto, cuadragésimo quinto y cuadragésimo sexto, fracciones IV y V de la Constitución Política del Estado Libre y Soberano de México; Transitorio Cuarto, párrafo segundo del Decreto número 198 de la “LXII” Legislatura del Estado de México; 1,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rsidR="005029A3" w:rsidRPr="00A37AB5" w:rsidRDefault="005029A3">
      <w:pPr>
        <w:spacing w:after="0" w:line="360" w:lineRule="auto"/>
        <w:jc w:val="both"/>
        <w:rPr>
          <w:rFonts w:ascii="Palatino Linotype" w:eastAsia="Palatino Linotype" w:hAnsi="Palatino Linotype" w:cs="Palatino Linotype"/>
        </w:rPr>
      </w:pPr>
    </w:p>
    <w:p w:rsidR="005029A3" w:rsidRPr="00A37AB5" w:rsidRDefault="00D3459A">
      <w:pPr>
        <w:spacing w:after="0" w:line="360" w:lineRule="auto"/>
        <w:jc w:val="both"/>
        <w:rPr>
          <w:rFonts w:ascii="Palatino Linotype" w:eastAsia="Palatino Linotype" w:hAnsi="Palatino Linotype" w:cs="Palatino Linotype"/>
        </w:rPr>
      </w:pPr>
      <w:r w:rsidRPr="00A37AB5">
        <w:rPr>
          <w:rFonts w:ascii="Palatino Linotype" w:eastAsia="Palatino Linotype" w:hAnsi="Palatino Linotype" w:cs="Palatino Linotype"/>
          <w:b/>
          <w:bCs/>
        </w:rPr>
        <w:t>Segundo. Oportunidad y Procedibilidad del Recurso de Revisión</w:t>
      </w:r>
      <w:r w:rsidRPr="00A37AB5">
        <w:rPr>
          <w:rFonts w:ascii="Palatino Linotype" w:eastAsia="Palatino Linotype" w:hAnsi="Palatino Linotype" w:cs="Palatino Linotype"/>
        </w:rPr>
        <w:t>. Previo al estudio del fondo del asunto, se procede a analizar los requisitos de oportunidad y procedibilidad que debe reunir el recurso de revisión interpuesto, previstos en los artículos 178 y 180 de la Ley de Transparencia y Acceso a la Información Pública del Estado de México y Municipios.</w:t>
      </w:r>
    </w:p>
    <w:p w:rsidR="005029A3" w:rsidRPr="00A37AB5" w:rsidRDefault="005029A3">
      <w:pPr>
        <w:spacing w:after="0" w:line="360" w:lineRule="auto"/>
        <w:jc w:val="both"/>
        <w:rPr>
          <w:rFonts w:ascii="Palatino Linotype" w:eastAsia="Palatino Linotype" w:hAnsi="Palatino Linotype" w:cs="Palatino Linotype"/>
        </w:rPr>
      </w:pPr>
    </w:p>
    <w:p w:rsidR="005029A3" w:rsidRPr="00A37AB5" w:rsidRDefault="00D3459A">
      <w:pPr>
        <w:spacing w:after="0" w:line="360" w:lineRule="auto"/>
        <w:ind w:right="49"/>
        <w:jc w:val="both"/>
        <w:rPr>
          <w:rFonts w:ascii="Palatino Linotype" w:eastAsia="Palatino Linotype" w:hAnsi="Palatino Linotype" w:cs="Palatino Linotype"/>
        </w:rPr>
      </w:pPr>
      <w:r w:rsidRPr="00A37AB5">
        <w:rPr>
          <w:rFonts w:ascii="Palatino Linotype" w:eastAsia="Palatino Linotype" w:hAnsi="Palatino Linotype" w:cs="Palatino Linotype"/>
        </w:rPr>
        <w:t xml:space="preserve">El recurso de revisión fue interpuesto dentro del plazo de quince días hábiles, previsto en el artículo 178 de la Ley de Transparencia y Acceso a la Información Pública del Estado de México y Municipios, ya que el </w:t>
      </w:r>
      <w:r w:rsidRPr="00A37AB5">
        <w:rPr>
          <w:rFonts w:ascii="Palatino Linotype" w:eastAsia="Palatino Linotype" w:hAnsi="Palatino Linotype" w:cs="Palatino Linotype"/>
          <w:b/>
          <w:bCs/>
        </w:rPr>
        <w:t>Sujeto Obligado</w:t>
      </w:r>
      <w:r w:rsidRPr="00A37AB5">
        <w:rPr>
          <w:rFonts w:ascii="Palatino Linotype" w:eastAsia="Palatino Linotype" w:hAnsi="Palatino Linotype" w:cs="Palatino Linotype"/>
        </w:rPr>
        <w:t xml:space="preserve"> proporcionó su respuesta a la solicitud de información el </w:t>
      </w:r>
      <w:r w:rsidRPr="00A37AB5">
        <w:rPr>
          <w:rFonts w:ascii="Palatino Linotype" w:eastAsia="Palatino Linotype" w:hAnsi="Palatino Linotype" w:cs="Palatino Linotype"/>
          <w:b/>
          <w:bCs/>
        </w:rPr>
        <w:t>once de julio de dos mil veinticinco</w:t>
      </w:r>
      <w:r w:rsidRPr="00A37AB5">
        <w:rPr>
          <w:rFonts w:ascii="Palatino Linotype" w:eastAsia="Palatino Linotype" w:hAnsi="Palatino Linotype" w:cs="Palatino Linotype"/>
        </w:rPr>
        <w:t xml:space="preserve">, y la parte </w:t>
      </w:r>
      <w:r w:rsidRPr="00A37AB5">
        <w:rPr>
          <w:rFonts w:ascii="Palatino Linotype" w:eastAsia="Palatino Linotype" w:hAnsi="Palatino Linotype" w:cs="Palatino Linotype"/>
          <w:b/>
          <w:bCs/>
        </w:rPr>
        <w:t>Recurrente</w:t>
      </w:r>
      <w:r w:rsidRPr="00A37AB5">
        <w:rPr>
          <w:rFonts w:ascii="Palatino Linotype" w:eastAsia="Palatino Linotype" w:hAnsi="Palatino Linotype" w:cs="Palatino Linotype"/>
        </w:rPr>
        <w:t xml:space="preserve"> presentó su recurso de revisión el </w:t>
      </w:r>
      <w:r w:rsidRPr="00A37AB5">
        <w:rPr>
          <w:rFonts w:ascii="Palatino Linotype" w:eastAsia="Palatino Linotype" w:hAnsi="Palatino Linotype" w:cs="Palatino Linotype"/>
          <w:b/>
          <w:bCs/>
        </w:rPr>
        <w:t>cuatro de agosto de dos mil veinticinco</w:t>
      </w:r>
      <w:r w:rsidRPr="00A37AB5">
        <w:rPr>
          <w:rFonts w:ascii="Palatino Linotype" w:eastAsia="Palatino Linotype" w:hAnsi="Palatino Linotype" w:cs="Palatino Linotype"/>
        </w:rPr>
        <w:t xml:space="preserve">, esto es el sexto día hábil en que se tuvo conocimiento de la respuesta. </w:t>
      </w:r>
    </w:p>
    <w:p w:rsidR="005029A3" w:rsidRPr="00A37AB5" w:rsidRDefault="005029A3">
      <w:pPr>
        <w:spacing w:after="0" w:line="360" w:lineRule="auto"/>
        <w:jc w:val="both"/>
        <w:rPr>
          <w:rFonts w:ascii="Palatino Linotype" w:eastAsia="Palatino Linotype" w:hAnsi="Palatino Linotype" w:cs="Palatino Linotype"/>
        </w:rPr>
      </w:pPr>
    </w:p>
    <w:p w:rsidR="005029A3" w:rsidRPr="00A37AB5" w:rsidRDefault="00D3459A">
      <w:pPr>
        <w:spacing w:after="0" w:line="360" w:lineRule="auto"/>
        <w:jc w:val="both"/>
        <w:rPr>
          <w:rFonts w:ascii="Palatino Linotype" w:eastAsia="Palatino Linotype" w:hAnsi="Palatino Linotype" w:cs="Palatino Linotype"/>
          <w:b/>
          <w:bCs/>
        </w:rPr>
      </w:pPr>
      <w:r w:rsidRPr="00A37AB5">
        <w:rPr>
          <w:rFonts w:ascii="Palatino Linotype" w:eastAsia="Palatino Linotype" w:hAnsi="Palatino Linotype" w:cs="Palatino Linotype"/>
        </w:rPr>
        <w:t xml:space="preserve">Así también, por cuanto hace a la procedibilidad del recurso de revisión, una vez realizado el análisis de los formatos de interposición del recurso, se concluye la acreditación plena de los elementos formales precisados por el artículo 180 de la Ley de Transparencia y Acceso a la Información Pública del Estado de México y Municipios, en atención a que fue presentado mediante el formato visible en el </w:t>
      </w:r>
      <w:r w:rsidRPr="00A37AB5">
        <w:rPr>
          <w:rFonts w:ascii="Palatino Linotype" w:eastAsia="Palatino Linotype" w:hAnsi="Palatino Linotype" w:cs="Palatino Linotype"/>
          <w:b/>
          <w:bCs/>
        </w:rPr>
        <w:t>SAIMEX.</w:t>
      </w:r>
    </w:p>
    <w:p w:rsidR="005029A3" w:rsidRPr="00A37AB5" w:rsidRDefault="005029A3">
      <w:pPr>
        <w:spacing w:after="0" w:line="360" w:lineRule="auto"/>
        <w:jc w:val="both"/>
        <w:rPr>
          <w:rFonts w:ascii="Palatino Linotype" w:eastAsia="Palatino Linotype" w:hAnsi="Palatino Linotype" w:cs="Palatino Linotype"/>
        </w:rPr>
      </w:pPr>
    </w:p>
    <w:p w:rsidR="005029A3" w:rsidRPr="00A37AB5" w:rsidRDefault="00D3459A">
      <w:pPr>
        <w:spacing w:after="0" w:line="360" w:lineRule="auto"/>
        <w:jc w:val="both"/>
        <w:rPr>
          <w:rFonts w:ascii="Palatino Linotype" w:eastAsia="Palatino Linotype" w:hAnsi="Palatino Linotype" w:cs="Palatino Linotype"/>
        </w:rPr>
      </w:pPr>
      <w:r w:rsidRPr="00A37AB5">
        <w:rPr>
          <w:rFonts w:ascii="Palatino Linotype" w:eastAsia="Palatino Linotype" w:hAnsi="Palatino Linotype" w:cs="Palatino Linotype"/>
        </w:rPr>
        <w:t>Asimismo, resulta procedente la interposición del recurso de revisión al rubro anotado, toda vez que se actualiza la hipótesis prevista en el artículo 179, fracción V la ley de la materia, que a la letra dice:</w:t>
      </w:r>
    </w:p>
    <w:p w:rsidR="005029A3" w:rsidRPr="00A37AB5" w:rsidRDefault="005029A3">
      <w:pPr>
        <w:spacing w:after="0" w:line="360" w:lineRule="auto"/>
        <w:jc w:val="both"/>
        <w:rPr>
          <w:rFonts w:ascii="Palatino Linotype" w:eastAsia="Palatino Linotype" w:hAnsi="Palatino Linotype" w:cs="Palatino Linotype"/>
        </w:rPr>
      </w:pPr>
    </w:p>
    <w:p w:rsidR="005029A3" w:rsidRPr="00A37AB5" w:rsidRDefault="00D3459A">
      <w:pPr>
        <w:spacing w:after="0"/>
        <w:ind w:left="851" w:right="843"/>
        <w:jc w:val="both"/>
        <w:rPr>
          <w:rFonts w:ascii="Palatino Linotype" w:eastAsia="Palatino Linotype" w:hAnsi="Palatino Linotype" w:cs="Palatino Linotype"/>
          <w:i/>
          <w:iCs/>
        </w:rPr>
      </w:pPr>
      <w:r w:rsidRPr="00A37AB5">
        <w:rPr>
          <w:rFonts w:ascii="Palatino Linotype" w:eastAsia="Palatino Linotype" w:hAnsi="Palatino Linotype" w:cs="Palatino Linotype"/>
          <w:i/>
          <w:iCs/>
        </w:rPr>
        <w:t>“</w:t>
      </w:r>
      <w:r w:rsidRPr="00A37AB5">
        <w:rPr>
          <w:rFonts w:ascii="Palatino Linotype" w:eastAsia="Palatino Linotype" w:hAnsi="Palatino Linotype" w:cs="Palatino Linotype"/>
          <w:b/>
          <w:bCs/>
          <w:i/>
          <w:iCs/>
        </w:rPr>
        <w:t xml:space="preserve">Artículo 179. </w:t>
      </w:r>
      <w:r w:rsidRPr="00A37AB5">
        <w:rPr>
          <w:rFonts w:ascii="Palatino Linotype" w:eastAsia="Palatino Linotype" w:hAnsi="Palatino Linotype" w:cs="Palatino Linotype"/>
          <w:i/>
          <w:iCs/>
        </w:rPr>
        <w:t>El recurso de revisión es un medio de protección que la Ley otorga a los particulares, para hacer valer su derecho de acceso a la información pública, y procederá en contra de las siguientes causas:</w:t>
      </w:r>
    </w:p>
    <w:p w:rsidR="005029A3" w:rsidRPr="00A37AB5" w:rsidRDefault="00D3459A">
      <w:pPr>
        <w:spacing w:after="0"/>
        <w:ind w:left="851" w:right="843"/>
        <w:jc w:val="both"/>
        <w:rPr>
          <w:rFonts w:ascii="Palatino Linotype" w:eastAsia="Palatino Linotype" w:hAnsi="Palatino Linotype" w:cs="Palatino Linotype"/>
          <w:i/>
          <w:iCs/>
        </w:rPr>
      </w:pPr>
      <w:r w:rsidRPr="00A37AB5">
        <w:rPr>
          <w:rFonts w:ascii="Palatino Linotype" w:eastAsia="Palatino Linotype" w:hAnsi="Palatino Linotype" w:cs="Palatino Linotype"/>
          <w:i/>
          <w:iCs/>
        </w:rPr>
        <w:t>…</w:t>
      </w:r>
    </w:p>
    <w:p w:rsidR="005029A3" w:rsidRPr="00A37AB5" w:rsidRDefault="00D3459A">
      <w:pPr>
        <w:spacing w:after="0"/>
        <w:ind w:left="851" w:right="843"/>
        <w:jc w:val="both"/>
        <w:rPr>
          <w:rFonts w:ascii="Palatino Linotype" w:eastAsia="Palatino Linotype" w:hAnsi="Palatino Linotype" w:cs="Palatino Linotype"/>
          <w:i/>
          <w:iCs/>
        </w:rPr>
      </w:pPr>
      <w:r w:rsidRPr="00A37AB5">
        <w:rPr>
          <w:rFonts w:ascii="Palatino Linotype" w:eastAsia="Palatino Linotype" w:hAnsi="Palatino Linotype" w:cs="Palatino Linotype"/>
          <w:i/>
          <w:iCs/>
        </w:rPr>
        <w:t>V. La entrega de información incompleta;</w:t>
      </w:r>
    </w:p>
    <w:p w:rsidR="005029A3" w:rsidRPr="00A37AB5" w:rsidRDefault="00D3459A">
      <w:pPr>
        <w:spacing w:after="0"/>
        <w:ind w:left="851" w:right="843"/>
        <w:jc w:val="both"/>
        <w:rPr>
          <w:rFonts w:ascii="Palatino Linotype" w:eastAsia="Palatino Linotype" w:hAnsi="Palatino Linotype" w:cs="Palatino Linotype"/>
          <w:i/>
          <w:iCs/>
        </w:rPr>
      </w:pPr>
      <w:r w:rsidRPr="00A37AB5">
        <w:rPr>
          <w:rFonts w:ascii="Palatino Linotype" w:eastAsia="Palatino Linotype" w:hAnsi="Palatino Linotype" w:cs="Palatino Linotype"/>
          <w:i/>
          <w:iCs/>
        </w:rPr>
        <w:t xml:space="preserve">…” </w:t>
      </w:r>
    </w:p>
    <w:p w:rsidR="005029A3" w:rsidRPr="00A37AB5" w:rsidRDefault="005029A3">
      <w:pPr>
        <w:spacing w:after="0" w:line="360" w:lineRule="auto"/>
        <w:ind w:left="567" w:right="616"/>
        <w:jc w:val="both"/>
        <w:rPr>
          <w:rFonts w:ascii="Palatino Linotype" w:eastAsia="Palatino Linotype" w:hAnsi="Palatino Linotype" w:cs="Palatino Linotype"/>
          <w:i/>
          <w:iCs/>
        </w:rPr>
      </w:pPr>
    </w:p>
    <w:p w:rsidR="005029A3" w:rsidRPr="00A37AB5" w:rsidRDefault="00D3459A">
      <w:pPr>
        <w:spacing w:after="0" w:line="360" w:lineRule="auto"/>
        <w:jc w:val="both"/>
        <w:rPr>
          <w:rFonts w:ascii="Palatino Linotype" w:eastAsia="Palatino Linotype" w:hAnsi="Palatino Linotype" w:cs="Palatino Linotype"/>
        </w:rPr>
      </w:pPr>
      <w:r w:rsidRPr="00A37AB5">
        <w:rPr>
          <w:rFonts w:ascii="Palatino Linotype" w:eastAsia="Palatino Linotype" w:hAnsi="Palatino Linotype" w:cs="Palatino Linotype"/>
          <w:b/>
          <w:bCs/>
        </w:rPr>
        <w:t>Tercero. Materia de Revisión</w:t>
      </w:r>
      <w:r w:rsidRPr="00A37AB5">
        <w:rPr>
          <w:rFonts w:ascii="Palatino Linotype" w:eastAsia="Palatino Linotype" w:hAnsi="Palatino Linotype" w:cs="Palatino Linotype"/>
        </w:rPr>
        <w:t xml:space="preserve">: De las constancias que integran el expediente electrónico se advierte que el tema sobre el que este Instituto se pronunciará será en determinar si se actualiza la fracción V del artículo 179 de la Ley de Transparencia y Acceso a la Información Pública del Estado de México y Municipios.  </w:t>
      </w:r>
    </w:p>
    <w:p w:rsidR="005029A3" w:rsidRPr="00A37AB5" w:rsidRDefault="005029A3">
      <w:pPr>
        <w:spacing w:after="0" w:line="360" w:lineRule="auto"/>
        <w:jc w:val="both"/>
        <w:rPr>
          <w:rFonts w:ascii="Palatino Linotype" w:eastAsia="Palatino Linotype" w:hAnsi="Palatino Linotype" w:cs="Palatino Linotype"/>
        </w:rPr>
      </w:pPr>
    </w:p>
    <w:p w:rsidR="005029A3" w:rsidRPr="00A37AB5" w:rsidRDefault="00D3459A">
      <w:pPr>
        <w:spacing w:after="0" w:line="360" w:lineRule="auto"/>
        <w:ind w:right="49"/>
        <w:jc w:val="both"/>
        <w:rPr>
          <w:rFonts w:ascii="Palatino Linotype" w:eastAsia="Palatino Linotype" w:hAnsi="Palatino Linotype" w:cs="Palatino Linotype"/>
        </w:rPr>
      </w:pPr>
      <w:r w:rsidRPr="00A37AB5">
        <w:rPr>
          <w:rFonts w:ascii="Palatino Linotype" w:eastAsia="Palatino Linotype" w:hAnsi="Palatino Linotype" w:cs="Palatino Linotype"/>
          <w:b/>
          <w:bCs/>
        </w:rPr>
        <w:t>Cuarto.</w:t>
      </w:r>
      <w:r w:rsidRPr="00A37AB5">
        <w:rPr>
          <w:rFonts w:ascii="Palatino Linotype" w:eastAsia="Palatino Linotype" w:hAnsi="Palatino Linotype" w:cs="Palatino Linotype"/>
        </w:rPr>
        <w:t xml:space="preserve"> </w:t>
      </w:r>
      <w:r w:rsidRPr="00A37AB5">
        <w:rPr>
          <w:rFonts w:ascii="Palatino Linotype" w:eastAsia="Palatino Linotype" w:hAnsi="Palatino Linotype" w:cs="Palatino Linotype"/>
          <w:b/>
          <w:bCs/>
        </w:rPr>
        <w:t>Estudio de fondo del asunto.</w:t>
      </w:r>
      <w:r w:rsidRPr="00A37AB5">
        <w:rPr>
          <w:rFonts w:ascii="Palatino Linotype" w:eastAsia="Palatino Linotype" w:hAnsi="Palatino Linotype" w:cs="Palatino Linotype"/>
        </w:rPr>
        <w:t xml:space="preserve"> Es conveniente analizar si la respuesta e informe justificado del Sujeto Obligado</w:t>
      </w:r>
      <w:r w:rsidRPr="00A37AB5">
        <w:rPr>
          <w:rFonts w:ascii="Palatino Linotype" w:eastAsia="Palatino Linotype" w:hAnsi="Palatino Linotype" w:cs="Palatino Linotype"/>
          <w:b/>
          <w:bCs/>
        </w:rPr>
        <w:t xml:space="preserve"> </w:t>
      </w:r>
      <w:r w:rsidRPr="00A37AB5">
        <w:rPr>
          <w:rFonts w:ascii="Palatino Linotype" w:eastAsia="Palatino Linotype" w:hAnsi="Palatino Linotype" w:cs="Palatino Linotype"/>
        </w:rPr>
        <w:t>cumple con los requisitos y procedimientos del derecho de acceso a la información pública, en atención a que en la Ley de Transparencia y Acceso a la Información Pública del Estado de México y Municipios en su artículo 4, que dice que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transcribe para un mejor entendimiento:</w:t>
      </w:r>
    </w:p>
    <w:p w:rsidR="005029A3" w:rsidRPr="00A37AB5" w:rsidRDefault="005029A3">
      <w:pPr>
        <w:spacing w:after="0" w:line="360" w:lineRule="auto"/>
        <w:jc w:val="both"/>
        <w:rPr>
          <w:rFonts w:ascii="Palatino Linotype" w:eastAsia="Palatino Linotype" w:hAnsi="Palatino Linotype" w:cs="Palatino Linotype"/>
        </w:rPr>
      </w:pPr>
    </w:p>
    <w:p w:rsidR="005029A3" w:rsidRPr="00A37AB5" w:rsidRDefault="00D3459A">
      <w:pPr>
        <w:tabs>
          <w:tab w:val="left" w:pos="851"/>
        </w:tabs>
        <w:spacing w:after="0"/>
        <w:ind w:left="851" w:right="843"/>
        <w:jc w:val="both"/>
        <w:rPr>
          <w:rFonts w:ascii="Palatino Linotype" w:eastAsia="Palatino Linotype" w:hAnsi="Palatino Linotype" w:cs="Palatino Linotype"/>
          <w:i/>
          <w:iCs/>
        </w:rPr>
      </w:pPr>
      <w:r w:rsidRPr="00A37AB5">
        <w:rPr>
          <w:rFonts w:ascii="Palatino Linotype" w:eastAsia="Palatino Linotype" w:hAnsi="Palatino Linotype" w:cs="Palatino Linotype"/>
          <w:i/>
          <w:iCs/>
        </w:rPr>
        <w:t>“</w:t>
      </w:r>
      <w:r w:rsidRPr="00A37AB5">
        <w:rPr>
          <w:rFonts w:ascii="Palatino Linotype" w:eastAsia="Palatino Linotype" w:hAnsi="Palatino Linotype" w:cs="Palatino Linotype"/>
          <w:b/>
          <w:bCs/>
          <w:i/>
          <w:iCs/>
        </w:rPr>
        <w:t>Artículo 4</w:t>
      </w:r>
      <w:r w:rsidRPr="00A37AB5">
        <w:rPr>
          <w:rFonts w:ascii="Palatino Linotype" w:eastAsia="Palatino Linotype" w:hAnsi="Palatino Linotype" w:cs="Palatino Linotype"/>
          <w:i/>
          <w:iCs/>
        </w:rPr>
        <w:t xml:space="preserve">. El derecho humano de acceso a la información pública es la prerrogativa de las personas para buscar, difundir, investigar, recabar, recibir y solicitar información pública, sin necesidad de acreditar personalidad ni interés jurídico. </w:t>
      </w:r>
    </w:p>
    <w:p w:rsidR="005029A3" w:rsidRPr="00A37AB5" w:rsidRDefault="00D3459A">
      <w:pPr>
        <w:tabs>
          <w:tab w:val="left" w:pos="851"/>
        </w:tabs>
        <w:spacing w:after="0"/>
        <w:ind w:left="851" w:right="843"/>
        <w:jc w:val="both"/>
        <w:rPr>
          <w:rFonts w:ascii="Palatino Linotype" w:eastAsia="Palatino Linotype" w:hAnsi="Palatino Linotype" w:cs="Palatino Linotype"/>
          <w:i/>
          <w:iCs/>
        </w:rPr>
      </w:pPr>
      <w:r w:rsidRPr="00A37AB5">
        <w:rPr>
          <w:rFonts w:ascii="Palatino Linotype" w:eastAsia="Palatino Linotype" w:hAnsi="Palatino Linotype" w:cs="Palatino Linotype"/>
          <w:b/>
          <w:bCs/>
          <w:i/>
          <w:iCs/>
        </w:rPr>
        <w:t>Toda la información generada, obtenida, adquirida, transformada, administrada o en posesión de los sujetos obligados es pública y accesible de manera permanente a cualquier persona</w:t>
      </w:r>
      <w:r w:rsidRPr="00A37AB5">
        <w:rPr>
          <w:rFonts w:ascii="Palatino Linotype" w:eastAsia="Palatino Linotype" w:hAnsi="Palatino Linotype" w:cs="Palatino Linotype"/>
          <w:i/>
          <w:iCs/>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rsidR="005029A3" w:rsidRPr="00A37AB5" w:rsidRDefault="00D3459A">
      <w:pPr>
        <w:tabs>
          <w:tab w:val="left" w:pos="851"/>
        </w:tabs>
        <w:spacing w:after="0"/>
        <w:ind w:left="851" w:right="843"/>
        <w:jc w:val="both"/>
        <w:rPr>
          <w:rFonts w:ascii="Palatino Linotype" w:eastAsia="Palatino Linotype" w:hAnsi="Palatino Linotype" w:cs="Palatino Linotype"/>
          <w:i/>
          <w:iCs/>
        </w:rPr>
      </w:pPr>
      <w:r w:rsidRPr="00A37AB5">
        <w:rPr>
          <w:rFonts w:ascii="Palatino Linotype" w:eastAsia="Palatino Linotype" w:hAnsi="Palatino Linotype" w:cs="Palatino Linotype"/>
          <w:b/>
          <w:bCs/>
          <w:i/>
          <w:iCs/>
        </w:rPr>
        <w:t>Los sujetos obligados deben poner en práctica, políticas y programas de acceso a la información que se apeguen a criterios de publicidad, veracidad, oportunidad, precisión y suficiencia en beneficio de los solicitantes</w:t>
      </w:r>
      <w:r w:rsidRPr="00A37AB5">
        <w:rPr>
          <w:rFonts w:ascii="Palatino Linotype" w:eastAsia="Palatino Linotype" w:hAnsi="Palatino Linotype" w:cs="Palatino Linotype"/>
          <w:i/>
          <w:iCs/>
        </w:rPr>
        <w:t>.”</w:t>
      </w:r>
    </w:p>
    <w:p w:rsidR="005029A3" w:rsidRPr="00A37AB5" w:rsidRDefault="005029A3">
      <w:pPr>
        <w:spacing w:after="0" w:line="360" w:lineRule="auto"/>
        <w:jc w:val="both"/>
        <w:rPr>
          <w:rFonts w:ascii="Palatino Linotype" w:eastAsia="Palatino Linotype" w:hAnsi="Palatino Linotype" w:cs="Palatino Linotype"/>
        </w:rPr>
      </w:pPr>
    </w:p>
    <w:p w:rsidR="005029A3" w:rsidRPr="00A37AB5" w:rsidRDefault="00D3459A">
      <w:pPr>
        <w:spacing w:after="0" w:line="360" w:lineRule="auto"/>
        <w:jc w:val="both"/>
        <w:rPr>
          <w:rFonts w:ascii="Palatino Linotype" w:eastAsia="Palatino Linotype" w:hAnsi="Palatino Linotype" w:cs="Palatino Linotype"/>
        </w:rPr>
      </w:pPr>
      <w:r w:rsidRPr="00A37AB5">
        <w:rPr>
          <w:rFonts w:ascii="Palatino Linotype" w:eastAsia="Palatino Linotype" w:hAnsi="Palatino Linotype" w:cs="Palatino Linotype"/>
        </w:rPr>
        <w:t>Esto es, que los Sujetos Obligados tiene la obligación o deber de atender las solicitudes de acceso a la información pública que se les hagan de su conocimiento y proporcionar la información pública que obren en su poder conforme el estado que se encuentra y no hacer un procesamiento de la misma, ni presentarla conforme al interés del solicitante; como así lo establece el artículo 12 de la Ley de Transparencia y Acceso a la Información Pública del Estado de México y Municipios, que a la letra dice:</w:t>
      </w:r>
    </w:p>
    <w:p w:rsidR="005029A3" w:rsidRPr="00A37AB5" w:rsidRDefault="005029A3">
      <w:pPr>
        <w:spacing w:after="0"/>
        <w:ind w:left="567" w:right="616"/>
        <w:jc w:val="both"/>
        <w:rPr>
          <w:rFonts w:ascii="Palatino Linotype" w:eastAsia="Palatino Linotype" w:hAnsi="Palatino Linotype" w:cs="Palatino Linotype"/>
        </w:rPr>
      </w:pPr>
    </w:p>
    <w:p w:rsidR="005029A3" w:rsidRPr="00A37AB5" w:rsidRDefault="00D3459A">
      <w:pPr>
        <w:spacing w:after="0"/>
        <w:ind w:left="851" w:right="843"/>
        <w:jc w:val="both"/>
        <w:rPr>
          <w:rFonts w:ascii="Palatino Linotype" w:eastAsia="Palatino Linotype" w:hAnsi="Palatino Linotype" w:cs="Palatino Linotype"/>
          <w:i/>
          <w:iCs/>
        </w:rPr>
      </w:pPr>
      <w:r w:rsidRPr="00A37AB5">
        <w:rPr>
          <w:rFonts w:ascii="Palatino Linotype" w:eastAsia="Palatino Linotype" w:hAnsi="Palatino Linotype" w:cs="Palatino Linotype"/>
          <w:i/>
          <w:iCs/>
        </w:rPr>
        <w:t>“</w:t>
      </w:r>
      <w:r w:rsidRPr="00A37AB5">
        <w:rPr>
          <w:rFonts w:ascii="Palatino Linotype" w:eastAsia="Palatino Linotype" w:hAnsi="Palatino Linotype" w:cs="Palatino Linotype"/>
          <w:b/>
          <w:bCs/>
          <w:i/>
          <w:iCs/>
        </w:rPr>
        <w:t>Artículo 12.-</w:t>
      </w:r>
      <w:r w:rsidRPr="00A37AB5">
        <w:rPr>
          <w:rFonts w:ascii="Palatino Linotype" w:eastAsia="Palatino Linotype" w:hAnsi="Palatino Linotype" w:cs="Palatino Linotype"/>
          <w:i/>
          <w:iCs/>
        </w:rPr>
        <w:t xml:space="preserve"> Quienes generen, recopilen, administren, manejen, procesen, archiven o conserven información pública serán responsables de la misma en los términos de las disposiciones jurídicas aplicables. </w:t>
      </w:r>
    </w:p>
    <w:p w:rsidR="005029A3" w:rsidRPr="00A37AB5" w:rsidRDefault="005029A3">
      <w:pPr>
        <w:spacing w:after="0"/>
        <w:ind w:left="851" w:right="843"/>
        <w:jc w:val="both"/>
        <w:rPr>
          <w:rFonts w:ascii="Palatino Linotype" w:eastAsia="Palatino Linotype" w:hAnsi="Palatino Linotype" w:cs="Palatino Linotype"/>
          <w:i/>
          <w:iCs/>
        </w:rPr>
      </w:pPr>
    </w:p>
    <w:p w:rsidR="005029A3" w:rsidRPr="00A37AB5" w:rsidRDefault="00D3459A">
      <w:pPr>
        <w:spacing w:after="0"/>
        <w:ind w:left="851" w:right="843"/>
        <w:jc w:val="both"/>
        <w:rPr>
          <w:rFonts w:ascii="Palatino Linotype" w:eastAsia="Palatino Linotype" w:hAnsi="Palatino Linotype" w:cs="Palatino Linotype"/>
          <w:i/>
          <w:iCs/>
        </w:rPr>
      </w:pPr>
      <w:r w:rsidRPr="00A37AB5">
        <w:rPr>
          <w:rFonts w:ascii="Palatino Linotype" w:eastAsia="Palatino Linotype" w:hAnsi="Palatino Linotype" w:cs="Palatino Linotype"/>
          <w:b/>
          <w:bCs/>
          <w:i/>
          <w:iCs/>
        </w:rPr>
        <w:t>Los sujetos obligados sólo proporcionarán la información pública que se les requiera y que obre en sus archivos y en el estado en que ésta se encuentre</w:t>
      </w:r>
      <w:r w:rsidRPr="00A37AB5">
        <w:rPr>
          <w:rFonts w:ascii="Palatino Linotype" w:eastAsia="Palatino Linotype" w:hAnsi="Palatino Linotype" w:cs="Palatino Linotype"/>
          <w:i/>
          <w:iCs/>
        </w:rPr>
        <w:t xml:space="preserve">. </w:t>
      </w:r>
      <w:r w:rsidRPr="00A37AB5">
        <w:rPr>
          <w:rFonts w:ascii="Palatino Linotype" w:eastAsia="Palatino Linotype" w:hAnsi="Palatino Linotype" w:cs="Palatino Linotype"/>
          <w:b/>
          <w:bCs/>
          <w:i/>
          <w:iCs/>
        </w:rPr>
        <w:t>La obligación de proporcionar información no comprende el procesamiento de la misma, ni el presentarla conforme al interés del solicitante; no estarán obligados a generarla, resumirla, efectuar cálculos o practicar investigaciones</w:t>
      </w:r>
      <w:r w:rsidRPr="00A37AB5">
        <w:rPr>
          <w:rFonts w:ascii="Palatino Linotype" w:eastAsia="Palatino Linotype" w:hAnsi="Palatino Linotype" w:cs="Palatino Linotype"/>
          <w:i/>
          <w:iCs/>
        </w:rPr>
        <w:t xml:space="preserve">.” </w:t>
      </w:r>
    </w:p>
    <w:p w:rsidR="005029A3" w:rsidRPr="00A37AB5" w:rsidRDefault="005029A3">
      <w:pPr>
        <w:spacing w:after="0"/>
        <w:ind w:left="567" w:right="616"/>
        <w:jc w:val="both"/>
        <w:rPr>
          <w:rFonts w:ascii="Palatino Linotype" w:eastAsia="Palatino Linotype" w:hAnsi="Palatino Linotype" w:cs="Palatino Linotype"/>
          <w:i/>
          <w:iCs/>
        </w:rPr>
      </w:pPr>
    </w:p>
    <w:p w:rsidR="005029A3" w:rsidRPr="00A37AB5" w:rsidRDefault="00D3459A">
      <w:pPr>
        <w:spacing w:after="0" w:line="360" w:lineRule="auto"/>
        <w:ind w:right="-93"/>
        <w:jc w:val="both"/>
        <w:rPr>
          <w:rFonts w:ascii="Palatino Linotype" w:eastAsia="Palatino Linotype" w:hAnsi="Palatino Linotype" w:cs="Palatino Linotype"/>
        </w:rPr>
      </w:pPr>
      <w:r w:rsidRPr="00A37AB5">
        <w:rPr>
          <w:rFonts w:ascii="Palatino Linotype" w:eastAsia="Palatino Linotype" w:hAnsi="Palatino Linotype" w:cs="Palatino Linotype"/>
        </w:rPr>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y practicar investigaciones; en otras palabras, que los Sujetos Obligados sólo se concretarán a proporcionar la información solicitada que tengan en su poder en el estado que se encuentran, sin necesidad de concretarse al interés o términos específicos del solicitante.</w:t>
      </w:r>
    </w:p>
    <w:p w:rsidR="005029A3" w:rsidRPr="00A37AB5" w:rsidRDefault="005029A3">
      <w:pPr>
        <w:spacing w:after="0" w:line="360" w:lineRule="auto"/>
        <w:ind w:right="-93"/>
        <w:jc w:val="both"/>
        <w:rPr>
          <w:rFonts w:ascii="Palatino Linotype" w:eastAsia="Palatino Linotype" w:hAnsi="Palatino Linotype" w:cs="Palatino Linotype"/>
        </w:rPr>
      </w:pPr>
    </w:p>
    <w:p w:rsidR="005029A3" w:rsidRPr="00A37AB5" w:rsidRDefault="00D3459A">
      <w:pPr>
        <w:spacing w:after="0" w:line="360" w:lineRule="auto"/>
        <w:jc w:val="both"/>
        <w:rPr>
          <w:rFonts w:ascii="Palatino Linotype" w:eastAsia="Palatino Linotype" w:hAnsi="Palatino Linotype" w:cs="Palatino Linotype"/>
          <w:b/>
          <w:bCs/>
        </w:rPr>
      </w:pPr>
      <w:r w:rsidRPr="00A37AB5">
        <w:rPr>
          <w:rFonts w:ascii="Palatino Linotype" w:eastAsia="Palatino Linotype" w:hAnsi="Palatino Linotype" w:cs="Palatino Linotype"/>
        </w:rPr>
        <w:t>Sirve de apoyo a lo anterior, el criterio 03-17, expuesto por el Instituto Nacional de Transparencia, Acceso a la Información y Protección de Datos Personales, que dice:</w:t>
      </w:r>
      <w:r w:rsidRPr="00A37AB5">
        <w:rPr>
          <w:rFonts w:ascii="Palatino Linotype" w:eastAsia="Palatino Linotype" w:hAnsi="Palatino Linotype" w:cs="Palatino Linotype"/>
          <w:b/>
          <w:bCs/>
        </w:rPr>
        <w:t xml:space="preserve"> </w:t>
      </w:r>
    </w:p>
    <w:p w:rsidR="005029A3" w:rsidRPr="00A37AB5" w:rsidRDefault="005029A3">
      <w:pPr>
        <w:spacing w:after="0"/>
        <w:ind w:left="851" w:right="850"/>
        <w:jc w:val="both"/>
        <w:rPr>
          <w:rFonts w:ascii="Palatino Linotype" w:eastAsia="Palatino Linotype" w:hAnsi="Palatino Linotype" w:cs="Palatino Linotype"/>
        </w:rPr>
      </w:pPr>
    </w:p>
    <w:p w:rsidR="005029A3" w:rsidRPr="00A37AB5" w:rsidRDefault="00D3459A">
      <w:pPr>
        <w:spacing w:after="0"/>
        <w:ind w:left="851" w:right="843"/>
        <w:jc w:val="both"/>
        <w:rPr>
          <w:rFonts w:ascii="Palatino Linotype" w:eastAsia="Palatino Linotype" w:hAnsi="Palatino Linotype" w:cs="Palatino Linotype"/>
          <w:i/>
          <w:iCs/>
        </w:rPr>
      </w:pPr>
      <w:r w:rsidRPr="00A37AB5">
        <w:rPr>
          <w:rFonts w:ascii="Palatino Linotype" w:eastAsia="Palatino Linotype" w:hAnsi="Palatino Linotype" w:cs="Palatino Linotype"/>
          <w:i/>
          <w:iCs/>
        </w:rPr>
        <w:t>“</w:t>
      </w:r>
      <w:r w:rsidRPr="00A37AB5">
        <w:rPr>
          <w:rFonts w:ascii="Palatino Linotype" w:eastAsia="Palatino Linotype" w:hAnsi="Palatino Linotype" w:cs="Palatino Linotype"/>
          <w:b/>
          <w:bCs/>
          <w:i/>
          <w:iCs/>
        </w:rPr>
        <w:t>No existe obligación de elaborar documentos ad hoc para atender las solicitudes de acceso a la información.</w:t>
      </w:r>
      <w:r w:rsidRPr="00A37AB5">
        <w:rPr>
          <w:rFonts w:ascii="Palatino Linotype" w:eastAsia="Palatino Linotype" w:hAnsi="Palatino Linotype" w:cs="Palatino Linotype"/>
          <w:i/>
          <w:iCs/>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rsidR="005029A3" w:rsidRPr="00A37AB5" w:rsidRDefault="005029A3">
      <w:pPr>
        <w:spacing w:after="0"/>
        <w:ind w:left="567" w:right="616"/>
        <w:jc w:val="both"/>
        <w:rPr>
          <w:rFonts w:ascii="Palatino Linotype" w:eastAsia="Palatino Linotype" w:hAnsi="Palatino Linotype" w:cs="Palatino Linotype"/>
          <w:i/>
          <w:iCs/>
        </w:rPr>
      </w:pPr>
    </w:p>
    <w:p w:rsidR="005029A3" w:rsidRPr="00A37AB5" w:rsidRDefault="00D3459A">
      <w:pPr>
        <w:spacing w:after="0" w:line="360" w:lineRule="auto"/>
        <w:jc w:val="both"/>
        <w:rPr>
          <w:rFonts w:ascii="Palatino Linotype" w:eastAsia="Palatino Linotype" w:hAnsi="Palatino Linotype" w:cs="Palatino Linotype"/>
        </w:rPr>
      </w:pPr>
      <w:r w:rsidRPr="00A37AB5">
        <w:rPr>
          <w:rFonts w:ascii="Palatino Linotype" w:eastAsia="Palatino Linotype" w:hAnsi="Palatino Linotype" w:cs="Palatino Linotype"/>
        </w:rPr>
        <w:t>En esa tesitura, el artículo 24 en su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rsidR="005029A3" w:rsidRPr="00A37AB5" w:rsidRDefault="005029A3">
      <w:pPr>
        <w:spacing w:after="0" w:line="360" w:lineRule="auto"/>
        <w:jc w:val="both"/>
        <w:rPr>
          <w:rFonts w:ascii="Palatino Linotype" w:eastAsia="Palatino Linotype" w:hAnsi="Palatino Linotype" w:cs="Palatino Linotype"/>
        </w:rPr>
      </w:pPr>
    </w:p>
    <w:p w:rsidR="005029A3" w:rsidRPr="00A37AB5" w:rsidRDefault="00D3459A">
      <w:pPr>
        <w:spacing w:after="0" w:line="360" w:lineRule="auto"/>
        <w:ind w:right="49"/>
        <w:jc w:val="both"/>
        <w:rPr>
          <w:rFonts w:ascii="Palatino Linotype" w:eastAsia="Palatino Linotype" w:hAnsi="Palatino Linotype" w:cs="Palatino Linotype"/>
        </w:rPr>
      </w:pPr>
      <w:r w:rsidRPr="00A37AB5">
        <w:rPr>
          <w:rFonts w:ascii="Palatino Linotype" w:eastAsia="Palatino Linotype" w:hAnsi="Palatino Linotype" w:cs="Palatino Linotype"/>
        </w:rPr>
        <w:t>Siempre y cuando no se trate de información reservada o clasificada, que difundirla pondría en riesgo la seguridad jurídica y física del titular de la información,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rsidR="005029A3" w:rsidRPr="00A37AB5" w:rsidRDefault="005029A3">
      <w:pPr>
        <w:spacing w:after="0" w:line="360" w:lineRule="auto"/>
        <w:ind w:right="49"/>
        <w:jc w:val="both"/>
        <w:rPr>
          <w:rFonts w:ascii="Palatino Linotype" w:eastAsia="Palatino Linotype" w:hAnsi="Palatino Linotype" w:cs="Palatino Linotype"/>
        </w:rPr>
      </w:pPr>
    </w:p>
    <w:p w:rsidR="005029A3" w:rsidRPr="00A37AB5" w:rsidRDefault="00D3459A">
      <w:pPr>
        <w:spacing w:after="0" w:line="360" w:lineRule="auto"/>
        <w:jc w:val="both"/>
        <w:rPr>
          <w:rFonts w:ascii="Palatino Linotype" w:eastAsia="Palatino Linotype" w:hAnsi="Palatino Linotype" w:cs="Palatino Linotype"/>
        </w:rPr>
      </w:pPr>
      <w:r w:rsidRPr="00A37AB5">
        <w:rPr>
          <w:rFonts w:ascii="Palatino Linotype" w:eastAsia="Palatino Linotype" w:hAnsi="Palatino Linotype" w:cs="Palatino Linotype"/>
        </w:rPr>
        <w:t xml:space="preserve">En conclusión, el derecho de acceso a la información pública, consiste en que la información solicitada conste en un documento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señala lo siguiente: </w:t>
      </w:r>
    </w:p>
    <w:p w:rsidR="005029A3" w:rsidRPr="00A37AB5" w:rsidRDefault="005029A3">
      <w:pPr>
        <w:spacing w:after="0" w:line="360" w:lineRule="auto"/>
        <w:jc w:val="both"/>
        <w:rPr>
          <w:rFonts w:ascii="Palatino Linotype" w:eastAsia="Palatino Linotype" w:hAnsi="Palatino Linotype" w:cs="Palatino Linotype"/>
        </w:rPr>
      </w:pPr>
    </w:p>
    <w:p w:rsidR="005029A3" w:rsidRPr="00A37AB5" w:rsidRDefault="00D3459A">
      <w:pPr>
        <w:spacing w:after="0"/>
        <w:ind w:left="851" w:right="843"/>
        <w:jc w:val="both"/>
        <w:rPr>
          <w:rFonts w:ascii="Palatino Linotype" w:eastAsia="Palatino Linotype" w:hAnsi="Palatino Linotype" w:cs="Palatino Linotype"/>
          <w:i/>
          <w:iCs/>
        </w:rPr>
      </w:pPr>
      <w:r w:rsidRPr="00A37AB5">
        <w:rPr>
          <w:rFonts w:ascii="Palatino Linotype" w:eastAsia="Palatino Linotype" w:hAnsi="Palatino Linotype" w:cs="Palatino Linotype"/>
          <w:i/>
          <w:iCs/>
        </w:rPr>
        <w:t>“</w:t>
      </w:r>
      <w:r w:rsidRPr="00A37AB5">
        <w:rPr>
          <w:rFonts w:ascii="Palatino Linotype" w:eastAsia="Palatino Linotype" w:hAnsi="Palatino Linotype" w:cs="Palatino Linotype"/>
          <w:b/>
          <w:bCs/>
          <w:i/>
          <w:iCs/>
        </w:rPr>
        <w:t xml:space="preserve">Artículo 3. </w:t>
      </w:r>
      <w:r w:rsidRPr="00A37AB5">
        <w:rPr>
          <w:rFonts w:ascii="Palatino Linotype" w:eastAsia="Palatino Linotype" w:hAnsi="Palatino Linotype" w:cs="Palatino Linotype"/>
          <w:i/>
          <w:iCs/>
        </w:rPr>
        <w:t>Para los efectos de la presente Ley se entenderá por:</w:t>
      </w:r>
    </w:p>
    <w:p w:rsidR="005029A3" w:rsidRPr="00A37AB5" w:rsidRDefault="00D3459A">
      <w:pPr>
        <w:spacing w:after="0"/>
        <w:ind w:left="851" w:right="843"/>
        <w:jc w:val="both"/>
        <w:rPr>
          <w:rFonts w:ascii="Palatino Linotype" w:eastAsia="Palatino Linotype" w:hAnsi="Palatino Linotype" w:cs="Palatino Linotype"/>
          <w:i/>
          <w:iCs/>
        </w:rPr>
      </w:pPr>
      <w:r w:rsidRPr="00A37AB5">
        <w:rPr>
          <w:rFonts w:ascii="Palatino Linotype" w:eastAsia="Palatino Linotype" w:hAnsi="Palatino Linotype" w:cs="Palatino Linotype"/>
          <w:i/>
          <w:iCs/>
        </w:rPr>
        <w:t>…</w:t>
      </w:r>
    </w:p>
    <w:p w:rsidR="005029A3" w:rsidRPr="00A37AB5" w:rsidRDefault="00D3459A">
      <w:pPr>
        <w:spacing w:after="0"/>
        <w:ind w:left="851" w:right="843"/>
        <w:jc w:val="both"/>
        <w:rPr>
          <w:rFonts w:ascii="Palatino Linotype" w:eastAsia="Palatino Linotype" w:hAnsi="Palatino Linotype" w:cs="Palatino Linotype"/>
          <w:i/>
          <w:iCs/>
        </w:rPr>
      </w:pPr>
      <w:r w:rsidRPr="00A37AB5">
        <w:rPr>
          <w:rFonts w:ascii="Palatino Linotype" w:eastAsia="Palatino Linotype" w:hAnsi="Palatino Linotype" w:cs="Palatino Linotype"/>
          <w:b/>
          <w:bCs/>
          <w:i/>
          <w:iCs/>
        </w:rPr>
        <w:t>XI. Documento:</w:t>
      </w:r>
      <w:r w:rsidRPr="00A37AB5">
        <w:rPr>
          <w:rFonts w:ascii="Palatino Linotype" w:eastAsia="Palatino Linotype" w:hAnsi="Palatino Linotype" w:cs="Palatino Linotype"/>
          <w:i/>
          <w:iCs/>
        </w:rPr>
        <w:t xml:space="preserve"> Los expedientes, reportes, estudios, actas</w:t>
      </w:r>
      <w:r w:rsidRPr="00A37AB5">
        <w:rPr>
          <w:rFonts w:ascii="Palatino Linotype" w:eastAsia="Palatino Linotype" w:hAnsi="Palatino Linotype" w:cs="Palatino Linotype"/>
          <w:b/>
          <w:bCs/>
          <w:i/>
          <w:iCs/>
        </w:rPr>
        <w:t>,</w:t>
      </w:r>
      <w:r w:rsidRPr="00A37AB5">
        <w:rPr>
          <w:rFonts w:ascii="Palatino Linotype" w:eastAsia="Palatino Linotype" w:hAnsi="Palatino Linotype" w:cs="Palatino Linotype"/>
          <w:i/>
          <w:iCs/>
        </w:rPr>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 </w:t>
      </w:r>
    </w:p>
    <w:p w:rsidR="005029A3" w:rsidRPr="00A37AB5" w:rsidRDefault="005029A3">
      <w:pPr>
        <w:spacing w:after="0" w:line="360" w:lineRule="auto"/>
        <w:ind w:left="851" w:right="899"/>
        <w:jc w:val="both"/>
        <w:rPr>
          <w:rFonts w:ascii="Palatino Linotype" w:eastAsia="Palatino Linotype" w:hAnsi="Palatino Linotype" w:cs="Palatino Linotype"/>
        </w:rPr>
      </w:pPr>
    </w:p>
    <w:p w:rsidR="005029A3" w:rsidRPr="00A37AB5" w:rsidRDefault="00D3459A">
      <w:pPr>
        <w:spacing w:after="0" w:line="360" w:lineRule="auto"/>
        <w:jc w:val="both"/>
        <w:rPr>
          <w:rFonts w:ascii="Palatino Linotype" w:eastAsia="Palatino Linotype" w:hAnsi="Palatino Linotype" w:cs="Palatino Linotype"/>
        </w:rPr>
      </w:pPr>
      <w:r w:rsidRPr="00A37AB5">
        <w:rPr>
          <w:rFonts w:ascii="Palatino Linotype" w:eastAsia="Palatino Linotype" w:hAnsi="Palatino Linotype" w:cs="Palatino Linotype"/>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rsidR="005029A3" w:rsidRPr="00A37AB5" w:rsidRDefault="005029A3">
      <w:pPr>
        <w:spacing w:after="0" w:line="360" w:lineRule="auto"/>
        <w:ind w:left="851" w:right="899"/>
        <w:jc w:val="both"/>
        <w:rPr>
          <w:rFonts w:ascii="Palatino Linotype" w:eastAsia="Palatino Linotype" w:hAnsi="Palatino Linotype" w:cs="Palatino Linotype"/>
        </w:rPr>
      </w:pPr>
    </w:p>
    <w:p w:rsidR="005029A3" w:rsidRPr="00A37AB5" w:rsidRDefault="00D3459A">
      <w:pPr>
        <w:tabs>
          <w:tab w:val="left" w:pos="7797"/>
        </w:tabs>
        <w:spacing w:after="0"/>
        <w:ind w:left="851" w:right="843"/>
        <w:jc w:val="both"/>
        <w:rPr>
          <w:rFonts w:ascii="Palatino Linotype" w:eastAsia="Palatino Linotype" w:hAnsi="Palatino Linotype" w:cs="Palatino Linotype"/>
          <w:b/>
          <w:bCs/>
          <w:i/>
          <w:iCs/>
        </w:rPr>
      </w:pPr>
      <w:r w:rsidRPr="00A37AB5">
        <w:rPr>
          <w:rFonts w:ascii="Palatino Linotype" w:eastAsia="Palatino Linotype" w:hAnsi="Palatino Linotype" w:cs="Palatino Linotype"/>
          <w:b/>
          <w:bCs/>
        </w:rPr>
        <w:t>“</w:t>
      </w:r>
      <w:r w:rsidRPr="00A37AB5">
        <w:rPr>
          <w:rFonts w:ascii="Palatino Linotype" w:eastAsia="Palatino Linotype" w:hAnsi="Palatino Linotype" w:cs="Palatino Linotype"/>
          <w:b/>
          <w:bCs/>
          <w:i/>
          <w:iCs/>
        </w:rPr>
        <w:t>CRITERIO 0002-11. INFORMACIÓN PÚBLICA, CONCEPTO DE, EN MATERIA DE TRANSPARENCIA. INTERPRETACIÓN SISTEMÁTICA DE LOS ARTÍCULOS 2°, FRACCIÓN V, XV, Y XVI, 3°, 4°, 11 Y 41.</w:t>
      </w:r>
      <w:r w:rsidRPr="00A37AB5">
        <w:rPr>
          <w:rFonts w:ascii="Palatino Linotype" w:eastAsia="Palatino Linotype" w:hAnsi="Palatino Linotype" w:cs="Palatino Linotype"/>
          <w:i/>
          <w:iC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5029A3" w:rsidRPr="00A37AB5" w:rsidRDefault="00D3459A">
      <w:pPr>
        <w:tabs>
          <w:tab w:val="left" w:pos="7797"/>
        </w:tabs>
        <w:spacing w:after="0"/>
        <w:ind w:left="851" w:right="843"/>
        <w:jc w:val="both"/>
        <w:rPr>
          <w:rFonts w:ascii="Palatino Linotype" w:eastAsia="Palatino Linotype" w:hAnsi="Palatino Linotype" w:cs="Palatino Linotype"/>
          <w:i/>
          <w:iCs/>
        </w:rPr>
      </w:pPr>
      <w:r w:rsidRPr="00A37AB5">
        <w:rPr>
          <w:rFonts w:ascii="Palatino Linotype" w:eastAsia="Palatino Linotype" w:hAnsi="Palatino Linotype" w:cs="Palatino Linotype"/>
          <w:i/>
          <w:iCs/>
        </w:rPr>
        <w:t>En consecuencia el acceso a la información se refiere a que se cumplan cualquiera de los siguientes tres supuestos:</w:t>
      </w:r>
    </w:p>
    <w:p w:rsidR="005029A3" w:rsidRPr="00A37AB5" w:rsidRDefault="00D3459A">
      <w:pPr>
        <w:tabs>
          <w:tab w:val="left" w:pos="7797"/>
        </w:tabs>
        <w:spacing w:after="0"/>
        <w:ind w:left="851" w:right="843"/>
        <w:jc w:val="both"/>
        <w:rPr>
          <w:rFonts w:ascii="Palatino Linotype" w:eastAsia="Palatino Linotype" w:hAnsi="Palatino Linotype" w:cs="Palatino Linotype"/>
          <w:i/>
          <w:iCs/>
        </w:rPr>
      </w:pPr>
      <w:r w:rsidRPr="00A37AB5">
        <w:rPr>
          <w:rFonts w:ascii="Palatino Linotype" w:eastAsia="Palatino Linotype" w:hAnsi="Palatino Linotype" w:cs="Palatino Linotype"/>
          <w:i/>
          <w:iCs/>
        </w:rPr>
        <w:t>1) Que se trate de información registrada en cualquier soporte documental, que en ejercicio de las atribuciones conferidas, sea generada por los Sujetos Obligados;</w:t>
      </w:r>
    </w:p>
    <w:p w:rsidR="005029A3" w:rsidRPr="00A37AB5" w:rsidRDefault="00D3459A">
      <w:pPr>
        <w:tabs>
          <w:tab w:val="left" w:pos="7797"/>
        </w:tabs>
        <w:spacing w:after="0"/>
        <w:ind w:left="851" w:right="843"/>
        <w:jc w:val="both"/>
        <w:rPr>
          <w:rFonts w:ascii="Palatino Linotype" w:eastAsia="Palatino Linotype" w:hAnsi="Palatino Linotype" w:cs="Palatino Linotype"/>
          <w:b/>
          <w:bCs/>
          <w:i/>
          <w:iCs/>
        </w:rPr>
      </w:pPr>
      <w:r w:rsidRPr="00A37AB5">
        <w:rPr>
          <w:rFonts w:ascii="Palatino Linotype" w:eastAsia="Palatino Linotype" w:hAnsi="Palatino Linotype" w:cs="Palatino Linotype"/>
          <w:b/>
          <w:bCs/>
          <w:i/>
          <w:iCs/>
        </w:rPr>
        <w:t>2) Que se trate de información registrada en cualquier soporte documental, que en ejercicio de las atribuciones conferidas, sea administrada por los Sujetos Obligados, y</w:t>
      </w:r>
    </w:p>
    <w:p w:rsidR="005029A3" w:rsidRPr="00A37AB5" w:rsidRDefault="00D3459A">
      <w:pPr>
        <w:tabs>
          <w:tab w:val="left" w:pos="7797"/>
        </w:tabs>
        <w:spacing w:after="0"/>
        <w:ind w:left="851" w:right="843"/>
        <w:jc w:val="both"/>
        <w:rPr>
          <w:rFonts w:ascii="Palatino Linotype" w:eastAsia="Palatino Linotype" w:hAnsi="Palatino Linotype" w:cs="Palatino Linotype"/>
          <w:b/>
          <w:bCs/>
          <w:i/>
          <w:iCs/>
        </w:rPr>
      </w:pPr>
      <w:r w:rsidRPr="00A37AB5">
        <w:rPr>
          <w:rFonts w:ascii="Palatino Linotype" w:eastAsia="Palatino Linotype" w:hAnsi="Palatino Linotype" w:cs="Palatino Linotype"/>
          <w:b/>
          <w:bCs/>
          <w:i/>
          <w:iCs/>
        </w:rPr>
        <w:t xml:space="preserve">3) Que se trate de información registrada en cualquier soporte documental, que en ejercicio de las atribuciones conferidas, se encuentre en posesión de los Sujetos Obligados.” </w:t>
      </w:r>
    </w:p>
    <w:p w:rsidR="005029A3" w:rsidRPr="00A37AB5" w:rsidRDefault="005029A3">
      <w:pPr>
        <w:spacing w:after="0" w:line="360" w:lineRule="auto"/>
        <w:jc w:val="both"/>
        <w:rPr>
          <w:rFonts w:ascii="Palatino Linotype" w:eastAsia="Palatino Linotype" w:hAnsi="Palatino Linotype" w:cs="Palatino Linotype"/>
        </w:rPr>
      </w:pPr>
    </w:p>
    <w:p w:rsidR="005029A3" w:rsidRPr="00A37AB5" w:rsidRDefault="00D3459A">
      <w:pPr>
        <w:spacing w:after="0" w:line="360" w:lineRule="auto"/>
        <w:jc w:val="both"/>
        <w:rPr>
          <w:rFonts w:ascii="Palatino Linotype" w:eastAsia="Palatino Linotype" w:hAnsi="Palatino Linotype" w:cs="Palatino Linotype"/>
        </w:rPr>
      </w:pPr>
      <w:r w:rsidRPr="00A37AB5">
        <w:rPr>
          <w:rFonts w:ascii="Palatino Linotype" w:eastAsia="Palatino Linotype" w:hAnsi="Palatino Linotype" w:cs="Palatino Linotype"/>
        </w:rPr>
        <w:t xml:space="preserve">Dicho lo anterior, es de recordar que la parte </w:t>
      </w:r>
      <w:r w:rsidRPr="00A37AB5">
        <w:rPr>
          <w:rFonts w:ascii="Palatino Linotype" w:eastAsia="Palatino Linotype" w:hAnsi="Palatino Linotype" w:cs="Palatino Linotype"/>
          <w:b/>
          <w:bCs/>
        </w:rPr>
        <w:t>Recurrente</w:t>
      </w:r>
      <w:r w:rsidRPr="00A37AB5">
        <w:rPr>
          <w:rFonts w:ascii="Palatino Linotype" w:eastAsia="Palatino Linotype" w:hAnsi="Palatino Linotype" w:cs="Palatino Linotype"/>
        </w:rPr>
        <w:t xml:space="preserve"> requirió información sobre la ejecución presupuestal de la </w:t>
      </w:r>
      <w:r w:rsidRPr="00A37AB5">
        <w:rPr>
          <w:rFonts w:ascii="Palatino Linotype" w:eastAsia="Palatino Linotype" w:hAnsi="Palatino Linotype" w:cs="Palatino Linotype"/>
          <w:b/>
          <w:bCs/>
          <w:u w:val="single"/>
        </w:rPr>
        <w:t>Coordinación Municipal de Protección Civil y Bomberos</w:t>
      </w:r>
      <w:r w:rsidRPr="00A37AB5">
        <w:rPr>
          <w:rFonts w:ascii="Palatino Linotype" w:eastAsia="Palatino Linotype" w:hAnsi="Palatino Linotype" w:cs="Palatino Linotype"/>
        </w:rPr>
        <w:t xml:space="preserve">, incluyendo lo siguiente: </w:t>
      </w:r>
    </w:p>
    <w:p w:rsidR="005029A3" w:rsidRPr="00A37AB5" w:rsidRDefault="005029A3">
      <w:pPr>
        <w:spacing w:after="0" w:line="360" w:lineRule="auto"/>
        <w:jc w:val="both"/>
        <w:rPr>
          <w:rFonts w:ascii="Palatino Linotype" w:eastAsia="Palatino Linotype" w:hAnsi="Palatino Linotype" w:cs="Palatino Linotype"/>
        </w:rPr>
      </w:pPr>
    </w:p>
    <w:p w:rsidR="005029A3" w:rsidRPr="00A37AB5" w:rsidRDefault="00D3459A">
      <w:pPr>
        <w:numPr>
          <w:ilvl w:val="0"/>
          <w:numId w:val="1"/>
        </w:numPr>
        <w:pBdr>
          <w:top w:val="nil"/>
          <w:left w:val="nil"/>
          <w:bottom w:val="nil"/>
          <w:right w:val="nil"/>
          <w:between w:val="nil"/>
        </w:pBdr>
        <w:spacing w:after="0" w:line="360" w:lineRule="auto"/>
        <w:ind w:right="-7"/>
        <w:jc w:val="both"/>
        <w:rPr>
          <w:rFonts w:ascii="Palatino Linotype" w:eastAsia="Palatino Linotype" w:hAnsi="Palatino Linotype" w:cs="Palatino Linotype"/>
          <w:b/>
          <w:bCs/>
        </w:rPr>
      </w:pPr>
      <w:r w:rsidRPr="00A37AB5">
        <w:rPr>
          <w:rFonts w:ascii="Palatino Linotype" w:eastAsia="Palatino Linotype" w:hAnsi="Palatino Linotype" w:cs="Palatino Linotype"/>
          <w:b/>
          <w:bCs/>
        </w:rPr>
        <w:t xml:space="preserve">Gastos realizados </w:t>
      </w:r>
    </w:p>
    <w:p w:rsidR="005029A3" w:rsidRPr="00A37AB5" w:rsidRDefault="00D3459A">
      <w:pPr>
        <w:numPr>
          <w:ilvl w:val="0"/>
          <w:numId w:val="1"/>
        </w:numPr>
        <w:pBdr>
          <w:top w:val="nil"/>
          <w:left w:val="nil"/>
          <w:bottom w:val="nil"/>
          <w:right w:val="nil"/>
          <w:between w:val="nil"/>
        </w:pBdr>
        <w:spacing w:after="0" w:line="360" w:lineRule="auto"/>
        <w:ind w:right="-7"/>
        <w:jc w:val="both"/>
        <w:rPr>
          <w:rFonts w:ascii="Palatino Linotype" w:eastAsia="Palatino Linotype" w:hAnsi="Palatino Linotype" w:cs="Palatino Linotype"/>
          <w:b/>
          <w:bCs/>
        </w:rPr>
      </w:pPr>
      <w:r w:rsidRPr="00A37AB5">
        <w:rPr>
          <w:rFonts w:ascii="Palatino Linotype" w:eastAsia="Palatino Linotype" w:hAnsi="Palatino Linotype" w:cs="Palatino Linotype"/>
          <w:b/>
          <w:bCs/>
        </w:rPr>
        <w:t xml:space="preserve">Pendientes de pago </w:t>
      </w:r>
    </w:p>
    <w:p w:rsidR="005029A3" w:rsidRPr="00A37AB5" w:rsidRDefault="00D3459A">
      <w:pPr>
        <w:numPr>
          <w:ilvl w:val="0"/>
          <w:numId w:val="1"/>
        </w:numPr>
        <w:pBdr>
          <w:top w:val="nil"/>
          <w:left w:val="nil"/>
          <w:bottom w:val="nil"/>
          <w:right w:val="nil"/>
          <w:between w:val="nil"/>
        </w:pBdr>
        <w:spacing w:after="0" w:line="360" w:lineRule="auto"/>
        <w:ind w:right="-7"/>
        <w:jc w:val="both"/>
        <w:rPr>
          <w:rFonts w:ascii="Palatino Linotype" w:eastAsia="Palatino Linotype" w:hAnsi="Palatino Linotype" w:cs="Palatino Linotype"/>
          <w:b/>
          <w:bCs/>
        </w:rPr>
      </w:pPr>
      <w:r w:rsidRPr="00A37AB5">
        <w:rPr>
          <w:rFonts w:ascii="Palatino Linotype" w:eastAsia="Palatino Linotype" w:hAnsi="Palatino Linotype" w:cs="Palatino Linotype"/>
          <w:b/>
          <w:bCs/>
        </w:rPr>
        <w:t xml:space="preserve">Evaluación del cumplimiento de metas y objetivos presupuestales. </w:t>
      </w:r>
    </w:p>
    <w:p w:rsidR="005029A3" w:rsidRPr="00A37AB5" w:rsidRDefault="005029A3">
      <w:pPr>
        <w:spacing w:after="0" w:line="360" w:lineRule="auto"/>
        <w:ind w:right="-7"/>
        <w:jc w:val="both"/>
        <w:rPr>
          <w:rFonts w:ascii="Palatino Linotype" w:eastAsia="Palatino Linotype" w:hAnsi="Palatino Linotype" w:cs="Palatino Linotype"/>
        </w:rPr>
      </w:pPr>
    </w:p>
    <w:p w:rsidR="005029A3" w:rsidRPr="00A37AB5" w:rsidRDefault="00D3459A">
      <w:pPr>
        <w:spacing w:after="0" w:line="360" w:lineRule="auto"/>
        <w:ind w:right="-7"/>
        <w:jc w:val="both"/>
        <w:rPr>
          <w:rFonts w:ascii="Palatino Linotype" w:eastAsia="Palatino Linotype" w:hAnsi="Palatino Linotype" w:cs="Palatino Linotype"/>
        </w:rPr>
      </w:pPr>
      <w:r w:rsidRPr="00A37AB5">
        <w:rPr>
          <w:rFonts w:ascii="Palatino Linotype" w:eastAsia="Palatino Linotype" w:hAnsi="Palatino Linotype" w:cs="Palatino Linotype"/>
        </w:rPr>
        <w:t xml:space="preserve">En respuesta, el </w:t>
      </w:r>
      <w:r w:rsidRPr="00A37AB5">
        <w:rPr>
          <w:rFonts w:ascii="Palatino Linotype" w:eastAsia="Palatino Linotype" w:hAnsi="Palatino Linotype" w:cs="Palatino Linotype"/>
          <w:b/>
          <w:bCs/>
        </w:rPr>
        <w:t>Sujeto Obligado</w:t>
      </w:r>
      <w:r w:rsidRPr="00A37AB5">
        <w:rPr>
          <w:rFonts w:ascii="Palatino Linotype" w:eastAsia="Palatino Linotype" w:hAnsi="Palatino Linotype" w:cs="Palatino Linotype"/>
        </w:rPr>
        <w:t xml:space="preserve"> a través del Tesorero Municipal hizo del conocimiento que la información relativa a los </w:t>
      </w:r>
      <w:r w:rsidRPr="00A37AB5">
        <w:rPr>
          <w:rFonts w:ascii="Palatino Linotype" w:eastAsia="Palatino Linotype" w:hAnsi="Palatino Linotype" w:cs="Palatino Linotype"/>
          <w:b/>
          <w:bCs/>
          <w:i/>
          <w:iCs/>
        </w:rPr>
        <w:t>Gastos realizados</w:t>
      </w:r>
      <w:r w:rsidRPr="00A37AB5">
        <w:rPr>
          <w:rFonts w:ascii="Palatino Linotype" w:eastAsia="Palatino Linotype" w:hAnsi="Palatino Linotype" w:cs="Palatino Linotype"/>
        </w:rPr>
        <w:t xml:space="preserve"> (pagado) y </w:t>
      </w:r>
      <w:r w:rsidRPr="00A37AB5">
        <w:rPr>
          <w:rFonts w:ascii="Palatino Linotype" w:eastAsia="Palatino Linotype" w:hAnsi="Palatino Linotype" w:cs="Palatino Linotype"/>
          <w:b/>
          <w:bCs/>
          <w:i/>
          <w:iCs/>
        </w:rPr>
        <w:t>Pendientes de pago</w:t>
      </w:r>
      <w:r w:rsidRPr="00A37AB5">
        <w:rPr>
          <w:rFonts w:ascii="Palatino Linotype" w:eastAsia="Palatino Linotype" w:hAnsi="Palatino Linotype" w:cs="Palatino Linotype"/>
        </w:rPr>
        <w:t xml:space="preserve"> (Sub ejercido), se encuentra en la página web del Ayuntamiento de Cuautitlán Izcalli, en el apartado de “Información Pública”, Subapartado “CONAC”, Carpeta “2025”, Subcarpeta “1ER TRIMESTRE”, donde podrá visualizar el documento PDF denominado “EAEPEC Clasificación por objeto del gasto”. </w:t>
      </w:r>
    </w:p>
    <w:p w:rsidR="005029A3" w:rsidRPr="00A37AB5" w:rsidRDefault="005029A3">
      <w:pPr>
        <w:spacing w:after="0" w:line="360" w:lineRule="auto"/>
        <w:ind w:right="-7"/>
        <w:jc w:val="both"/>
        <w:rPr>
          <w:rFonts w:ascii="Palatino Linotype" w:eastAsia="Palatino Linotype" w:hAnsi="Palatino Linotype" w:cs="Palatino Linotype"/>
        </w:rPr>
      </w:pPr>
    </w:p>
    <w:p w:rsidR="005029A3" w:rsidRPr="00A37AB5" w:rsidRDefault="00D3459A">
      <w:pPr>
        <w:spacing w:after="0" w:line="360" w:lineRule="auto"/>
        <w:ind w:right="-7"/>
        <w:jc w:val="both"/>
        <w:rPr>
          <w:rFonts w:ascii="Palatino Linotype" w:eastAsia="Palatino Linotype" w:hAnsi="Palatino Linotype" w:cs="Palatino Linotype"/>
        </w:rPr>
      </w:pPr>
      <w:r w:rsidRPr="00A37AB5">
        <w:rPr>
          <w:rFonts w:ascii="Palatino Linotype" w:eastAsia="Palatino Linotype" w:hAnsi="Palatino Linotype" w:cs="Palatino Linotype"/>
        </w:rPr>
        <w:t xml:space="preserve">En relación a la </w:t>
      </w:r>
      <w:r w:rsidRPr="00A37AB5">
        <w:rPr>
          <w:rFonts w:ascii="Palatino Linotype" w:eastAsia="Palatino Linotype" w:hAnsi="Palatino Linotype" w:cs="Palatino Linotype"/>
          <w:b/>
          <w:bCs/>
          <w:i/>
          <w:iCs/>
        </w:rPr>
        <w:t>evaluación del cumplimiento de metas y objetivos presupuestales</w:t>
      </w:r>
      <w:r w:rsidRPr="00A37AB5">
        <w:rPr>
          <w:rFonts w:ascii="Palatino Linotype" w:eastAsia="Palatino Linotype" w:hAnsi="Palatino Linotype" w:cs="Palatino Linotype"/>
        </w:rPr>
        <w:t xml:space="preserve"> del área de coordinación municipal de protección civil y bomberos, con fundamento en los artículos 95 de la Ley Orgánica del Municipio del Estado de México y 63 del Reglamento Orgánico de la Administración Pública Municipal de Cuautitlán Izcalli, no es atribución del Tesorero el manejo, generación y resguardo de la información citada anteriormente, por este motivo, la Tesorería no es Sujeto Obligado para proporcionar dicha información.</w:t>
      </w:r>
    </w:p>
    <w:p w:rsidR="005029A3" w:rsidRPr="00A37AB5" w:rsidRDefault="005029A3">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p>
    <w:p w:rsidR="005029A3" w:rsidRPr="00A37AB5" w:rsidRDefault="00D3459A">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r w:rsidRPr="00A37AB5">
        <w:rPr>
          <w:rFonts w:ascii="Palatino Linotype" w:eastAsia="Palatino Linotype" w:hAnsi="Palatino Linotype" w:cs="Palatino Linotype"/>
        </w:rPr>
        <w:t xml:space="preserve">Derivado de ello, la parte </w:t>
      </w:r>
      <w:r w:rsidRPr="00A37AB5">
        <w:rPr>
          <w:rFonts w:ascii="Palatino Linotype" w:eastAsia="Palatino Linotype" w:hAnsi="Palatino Linotype" w:cs="Palatino Linotype"/>
          <w:b/>
          <w:bCs/>
        </w:rPr>
        <w:t>Recurrente</w:t>
      </w:r>
      <w:r w:rsidRPr="00A37AB5">
        <w:rPr>
          <w:rFonts w:ascii="Palatino Linotype" w:eastAsia="Palatino Linotype" w:hAnsi="Palatino Linotype" w:cs="Palatino Linotype"/>
        </w:rPr>
        <w:t xml:space="preserve"> se inconformó arguyendo que, el área que emitió respuesta declaró no ser su atributo entregar la información solicitada.</w:t>
      </w:r>
    </w:p>
    <w:p w:rsidR="005029A3" w:rsidRPr="00A37AB5" w:rsidRDefault="005029A3">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p>
    <w:p w:rsidR="005029A3" w:rsidRPr="00A37AB5" w:rsidRDefault="00D3459A">
      <w:pPr>
        <w:spacing w:after="0" w:line="360" w:lineRule="auto"/>
        <w:jc w:val="both"/>
        <w:rPr>
          <w:rFonts w:ascii="Palatino Linotype" w:eastAsia="Palatino Linotype" w:hAnsi="Palatino Linotype" w:cs="Palatino Linotype"/>
        </w:rPr>
      </w:pPr>
      <w:r w:rsidRPr="00A37AB5">
        <w:rPr>
          <w:rFonts w:ascii="Palatino Linotype" w:eastAsia="Palatino Linotype" w:hAnsi="Palatino Linotype" w:cs="Palatino Linotype"/>
        </w:rPr>
        <w:t xml:space="preserve">Admitido el presente recurso de revisión, en términos del artículo 185 fracción II de la Ley de Transparencia y Acceso a la Información Pública del Estado de México y Municipios, se integró el expediente y se puso a disposición de las partes para que, en un plazo máximo de siete días hábiles, manifestaran lo que a su derecho resultara conveniente, teniendo así que la parte </w:t>
      </w:r>
      <w:r w:rsidRPr="00A37AB5">
        <w:rPr>
          <w:rFonts w:ascii="Palatino Linotype" w:eastAsia="Palatino Linotype" w:hAnsi="Palatino Linotype" w:cs="Palatino Linotype"/>
          <w:b/>
          <w:bCs/>
        </w:rPr>
        <w:t>Recurrente</w:t>
      </w:r>
      <w:r w:rsidRPr="00A37AB5">
        <w:rPr>
          <w:rFonts w:ascii="Palatino Linotype" w:eastAsia="Palatino Linotype" w:hAnsi="Palatino Linotype" w:cs="Palatino Linotype"/>
        </w:rPr>
        <w:t xml:space="preserve"> manifestó </w:t>
      </w:r>
      <w:r w:rsidRPr="00A37AB5">
        <w:rPr>
          <w:rFonts w:ascii="Palatino Linotype" w:eastAsia="Palatino Linotype" w:hAnsi="Palatino Linotype" w:cs="Palatino Linotype"/>
          <w:i/>
          <w:iCs/>
        </w:rPr>
        <w:t>“El área que emitió respuesta declaro no ser su atributo entregar la información solicitada…”</w:t>
      </w:r>
      <w:r w:rsidRPr="00A37AB5">
        <w:rPr>
          <w:rFonts w:ascii="Palatino Linotype" w:eastAsia="Palatino Linotype" w:hAnsi="Palatino Linotype" w:cs="Palatino Linotype"/>
        </w:rPr>
        <w:t xml:space="preserve">. </w:t>
      </w:r>
    </w:p>
    <w:p w:rsidR="005029A3" w:rsidRPr="00A37AB5" w:rsidRDefault="005029A3">
      <w:pPr>
        <w:spacing w:after="0" w:line="360" w:lineRule="auto"/>
        <w:jc w:val="both"/>
        <w:rPr>
          <w:rFonts w:ascii="Palatino Linotype" w:eastAsia="Palatino Linotype" w:hAnsi="Palatino Linotype" w:cs="Palatino Linotype"/>
        </w:rPr>
      </w:pPr>
    </w:p>
    <w:p w:rsidR="005029A3" w:rsidRPr="00A37AB5" w:rsidRDefault="00D3459A">
      <w:pPr>
        <w:spacing w:after="0" w:line="360" w:lineRule="auto"/>
        <w:jc w:val="both"/>
        <w:rPr>
          <w:rFonts w:ascii="Palatino Linotype" w:eastAsia="Palatino Linotype" w:hAnsi="Palatino Linotype" w:cs="Palatino Linotype"/>
        </w:rPr>
      </w:pPr>
      <w:r w:rsidRPr="00A37AB5">
        <w:rPr>
          <w:rFonts w:ascii="Palatino Linotype" w:eastAsia="Palatino Linotype" w:hAnsi="Palatino Linotype" w:cs="Palatino Linotype"/>
        </w:rPr>
        <w:t xml:space="preserve">Mientras que el </w:t>
      </w:r>
      <w:r w:rsidRPr="00A37AB5">
        <w:rPr>
          <w:rFonts w:ascii="Palatino Linotype" w:eastAsia="Palatino Linotype" w:hAnsi="Palatino Linotype" w:cs="Palatino Linotype"/>
          <w:b/>
          <w:bCs/>
        </w:rPr>
        <w:t>Sujeto Obligado</w:t>
      </w:r>
      <w:r w:rsidRPr="00A37AB5">
        <w:rPr>
          <w:rFonts w:ascii="Palatino Linotype" w:eastAsia="Palatino Linotype" w:hAnsi="Palatino Linotype" w:cs="Palatino Linotype"/>
        </w:rPr>
        <w:t xml:space="preserve"> rindió informe justificado en el que medularmente confirmó la respuesta entregada, precisando que en cuanto a </w:t>
      </w:r>
      <w:r w:rsidRPr="00A37AB5">
        <w:rPr>
          <w:rFonts w:ascii="Palatino Linotype" w:eastAsia="Palatino Linotype" w:hAnsi="Palatino Linotype" w:cs="Palatino Linotype"/>
          <w:i/>
          <w:iCs/>
        </w:rPr>
        <w:t>”… 3.Evaluación del cumplimiento de metas y objetivos presupuestales del area de Coordinacion Municipal de Proteccion Civil y Bomberos.”,</w:t>
      </w:r>
      <w:r w:rsidRPr="00A37AB5">
        <w:rPr>
          <w:rFonts w:ascii="Palatino Linotype" w:eastAsia="Palatino Linotype" w:hAnsi="Palatino Linotype" w:cs="Palatino Linotype"/>
        </w:rPr>
        <w:t xml:space="preserve"> realizó una búsqueda minuciosa y exhaustiva en sus archivos físicos y digitales, de la que no se encontró información referente a la evaluación del cumplimiento de metas y objetivos presupuestales del área de Coordinación Municipal de Protección Civil y Bomberos, por lo que al no tener archivada esta información, la Tesorería no es Sujeto Obligado para proporcionar lo anteriormente citado.</w:t>
      </w:r>
    </w:p>
    <w:p w:rsidR="005029A3" w:rsidRPr="00A37AB5" w:rsidRDefault="005029A3">
      <w:pPr>
        <w:spacing w:after="0" w:line="360" w:lineRule="auto"/>
        <w:jc w:val="both"/>
        <w:rPr>
          <w:rFonts w:ascii="Palatino Linotype" w:eastAsia="Palatino Linotype" w:hAnsi="Palatino Linotype" w:cs="Palatino Linotype"/>
        </w:rPr>
      </w:pPr>
    </w:p>
    <w:p w:rsidR="005029A3" w:rsidRPr="00A37AB5" w:rsidRDefault="00D3459A">
      <w:pPr>
        <w:spacing w:after="0" w:line="360" w:lineRule="auto"/>
        <w:jc w:val="both"/>
        <w:rPr>
          <w:rFonts w:ascii="Palatino Linotype" w:eastAsia="Palatino Linotype" w:hAnsi="Palatino Linotype" w:cs="Palatino Linotype"/>
        </w:rPr>
      </w:pPr>
      <w:r w:rsidRPr="00A37AB5">
        <w:rPr>
          <w:rFonts w:ascii="Palatino Linotype" w:eastAsia="Palatino Linotype" w:hAnsi="Palatino Linotype" w:cs="Palatino Linotype"/>
        </w:rPr>
        <w:t xml:space="preserve">Ahora bien, no pasa inadvertido para este Organismo Garante que, los motivos de inconformidad aducidos en el recurso de revisión no versan sobre la totalidad de la información proporcionada por el </w:t>
      </w:r>
      <w:r w:rsidRPr="00A37AB5">
        <w:rPr>
          <w:rFonts w:ascii="Palatino Linotype" w:eastAsia="Palatino Linotype" w:hAnsi="Palatino Linotype" w:cs="Palatino Linotype"/>
          <w:b/>
          <w:bCs/>
        </w:rPr>
        <w:t>Sujeto Obligado</w:t>
      </w:r>
      <w:r w:rsidRPr="00A37AB5">
        <w:rPr>
          <w:rFonts w:ascii="Palatino Linotype" w:eastAsia="Palatino Linotype" w:hAnsi="Palatino Linotype" w:cs="Palatino Linotype"/>
        </w:rPr>
        <w:t xml:space="preserve">, pues la parte </w:t>
      </w:r>
      <w:r w:rsidRPr="00A37AB5">
        <w:rPr>
          <w:rFonts w:ascii="Palatino Linotype" w:eastAsia="Palatino Linotype" w:hAnsi="Palatino Linotype" w:cs="Palatino Linotype"/>
          <w:b/>
          <w:bCs/>
        </w:rPr>
        <w:t>Recurrente</w:t>
      </w:r>
      <w:r w:rsidRPr="00A37AB5">
        <w:rPr>
          <w:rFonts w:ascii="Palatino Linotype" w:eastAsia="Palatino Linotype" w:hAnsi="Palatino Linotype" w:cs="Palatino Linotype"/>
        </w:rPr>
        <w:t xml:space="preserve"> se inconformó de manera expresa “</w:t>
      </w:r>
      <w:r w:rsidRPr="00A37AB5">
        <w:rPr>
          <w:rFonts w:ascii="Palatino Linotype" w:eastAsia="Palatino Linotype" w:hAnsi="Palatino Linotype" w:cs="Palatino Linotype"/>
          <w:i/>
          <w:iCs/>
        </w:rPr>
        <w:t xml:space="preserve">El área que emitió respuesta declaro no ser su atributo entregar la información solicitada.", </w:t>
      </w:r>
      <w:r w:rsidRPr="00A37AB5">
        <w:rPr>
          <w:rFonts w:ascii="Palatino Linotype" w:eastAsia="Palatino Linotype" w:hAnsi="Palatino Linotype" w:cs="Palatino Linotype"/>
        </w:rPr>
        <w:t xml:space="preserve">por lo que se colige que, en este sentido conviene señalar que la tesorería municipal unicamente se declaró incompetente para conocer de la </w:t>
      </w:r>
      <w:r w:rsidRPr="00A37AB5">
        <w:rPr>
          <w:rFonts w:ascii="Palatino Linotype" w:eastAsia="Palatino Linotype" w:hAnsi="Palatino Linotype" w:cs="Palatino Linotype"/>
          <w:i/>
          <w:iCs/>
        </w:rPr>
        <w:t xml:space="preserve">Evaluación del cumplimiento de metas y objetivos presupuestales del area de Coordinacion Municipal de Proteccion Civil y Bomberos, </w:t>
      </w:r>
      <w:r w:rsidRPr="00A37AB5">
        <w:rPr>
          <w:rFonts w:ascii="Palatino Linotype" w:eastAsia="Palatino Linotype" w:hAnsi="Palatino Linotype" w:cs="Palatino Linotype"/>
        </w:rPr>
        <w:t xml:space="preserve">por lo que la parte de la respuesta que no fue impugnada esto es la información proporcionada por la Tesorería Municipal respecto a los </w:t>
      </w:r>
      <w:r w:rsidRPr="00A37AB5">
        <w:rPr>
          <w:rFonts w:ascii="Palatino Linotype" w:eastAsia="Palatino Linotype" w:hAnsi="Palatino Linotype" w:cs="Palatino Linotype"/>
          <w:b/>
          <w:bCs/>
          <w:i/>
          <w:iCs/>
        </w:rPr>
        <w:t>Gastos realizados</w:t>
      </w:r>
      <w:r w:rsidRPr="00A37AB5">
        <w:rPr>
          <w:rFonts w:ascii="Palatino Linotype" w:eastAsia="Palatino Linotype" w:hAnsi="Palatino Linotype" w:cs="Palatino Linotype"/>
        </w:rPr>
        <w:t xml:space="preserve"> (pagado) y </w:t>
      </w:r>
      <w:r w:rsidRPr="00A37AB5">
        <w:rPr>
          <w:rFonts w:ascii="Palatino Linotype" w:eastAsia="Palatino Linotype" w:hAnsi="Palatino Linotype" w:cs="Palatino Linotype"/>
          <w:b/>
          <w:bCs/>
          <w:i/>
          <w:iCs/>
        </w:rPr>
        <w:t>Pendientes de pago</w:t>
      </w:r>
      <w:r w:rsidRPr="00A37AB5">
        <w:rPr>
          <w:rFonts w:ascii="Palatino Linotype" w:eastAsia="Palatino Linotype" w:hAnsi="Palatino Linotype" w:cs="Palatino Linotype"/>
        </w:rPr>
        <w:t xml:space="preserve"> (Sub ejercido), respecto de los cuales señaló que se encuentran en la página web del Ayuntamiento de Cuautitlán Izcalli, en el apartado de “Información Pública”, Subapartado “CONAC”, Carpeta “2025”, Subcarpeta “1ER TRIMESTRE”, donde podrá visualizar el documento PDF denominado “EAEPEC Clasificación por objeto del gasto”, debe declararse consentida, al no haber realizado manifestaciones de inconformidad al respecto, no pueden producirse efectos jurídicos tendentes a revocar, confirmar o modificar el acto reclamado, ya que, en el caso concreto se infiere que la información proporcionada por el </w:t>
      </w:r>
      <w:r w:rsidRPr="00A37AB5">
        <w:rPr>
          <w:rFonts w:ascii="Palatino Linotype" w:eastAsia="Palatino Linotype" w:hAnsi="Palatino Linotype" w:cs="Palatino Linotype"/>
          <w:b/>
          <w:bCs/>
        </w:rPr>
        <w:t>Sujeto Obligado</w:t>
      </w:r>
      <w:r w:rsidRPr="00A37AB5">
        <w:rPr>
          <w:rFonts w:ascii="Palatino Linotype" w:eastAsia="Palatino Linotype" w:hAnsi="Palatino Linotype" w:cs="Palatino Linotype"/>
        </w:rPr>
        <w:t>, satisface la solicitud presentada.</w:t>
      </w:r>
    </w:p>
    <w:p w:rsidR="005029A3" w:rsidRPr="00A37AB5" w:rsidRDefault="005029A3">
      <w:pPr>
        <w:spacing w:after="0" w:line="360" w:lineRule="auto"/>
        <w:jc w:val="both"/>
        <w:rPr>
          <w:rFonts w:ascii="Palatino Linotype" w:eastAsia="Palatino Linotype" w:hAnsi="Palatino Linotype" w:cs="Palatino Linotype"/>
        </w:rPr>
      </w:pPr>
    </w:p>
    <w:p w:rsidR="005029A3" w:rsidRPr="00A37AB5" w:rsidRDefault="00D3459A">
      <w:pPr>
        <w:spacing w:after="0" w:line="360" w:lineRule="auto"/>
        <w:jc w:val="both"/>
        <w:rPr>
          <w:rFonts w:ascii="Palatino Linotype" w:eastAsia="Palatino Linotype" w:hAnsi="Palatino Linotype" w:cs="Palatino Linotype"/>
        </w:rPr>
      </w:pPr>
      <w:r w:rsidRPr="00A37AB5">
        <w:rPr>
          <w:rFonts w:ascii="Palatino Linotype" w:eastAsia="Palatino Linotype" w:hAnsi="Palatino Linotype" w:cs="Palatino Linotype"/>
        </w:rPr>
        <w:t xml:space="preserve">Lo anterior es así, debido a que cuando la parte </w:t>
      </w:r>
      <w:r w:rsidRPr="00A37AB5">
        <w:rPr>
          <w:rFonts w:ascii="Palatino Linotype" w:eastAsia="Palatino Linotype" w:hAnsi="Palatino Linotype" w:cs="Palatino Linotype"/>
          <w:b/>
          <w:bCs/>
        </w:rPr>
        <w:t>Recurrente</w:t>
      </w:r>
      <w:r w:rsidRPr="00A37AB5">
        <w:rPr>
          <w:rFonts w:ascii="Palatino Linotype" w:eastAsia="Palatino Linotype" w:hAnsi="Palatino Linotype" w:cs="Palatino Linotype"/>
        </w:rPr>
        <w:t xml:space="preserve"> impugna la respuesta del </w:t>
      </w:r>
      <w:r w:rsidRPr="00A37AB5">
        <w:rPr>
          <w:rFonts w:ascii="Palatino Linotype" w:eastAsia="Palatino Linotype" w:hAnsi="Palatino Linotype" w:cs="Palatino Linotype"/>
          <w:b/>
          <w:bCs/>
        </w:rPr>
        <w:t>Sujeto Obligado</w:t>
      </w:r>
      <w:r w:rsidRPr="00A37AB5">
        <w:rPr>
          <w:rFonts w:ascii="Palatino Linotype" w:eastAsia="Palatino Linotype" w:hAnsi="Palatino Linotype" w:cs="Palatino Linotype"/>
        </w:rPr>
        <w:t xml:space="preserve">, y éste no expresa Razón o Motivo de Inconformidad en contra de todos los rubros solicitados, dichos rubros deben declararse atendidos, pues se entiende que la parte </w:t>
      </w:r>
      <w:r w:rsidRPr="00A37AB5">
        <w:rPr>
          <w:rFonts w:ascii="Palatino Linotype" w:eastAsia="Palatino Linotype" w:hAnsi="Palatino Linotype" w:cs="Palatino Linotype"/>
          <w:b/>
          <w:bCs/>
        </w:rPr>
        <w:t>Recurrente</w:t>
      </w:r>
      <w:r w:rsidRPr="00A37AB5">
        <w:rPr>
          <w:rFonts w:ascii="Palatino Linotype" w:eastAsia="Palatino Linotype" w:hAnsi="Palatino Linotype" w:cs="Palatino Linotype"/>
        </w:rPr>
        <w:t xml:space="preserve"> ésta conforme con la información entregada al no contravenir la misma. Sirve de Apoyo a lo anterior, por analogía la Tesis Jurisprudencial Número 3ª./J.7/91, Publicada en el Semanario Judicial de la Federación y su Gaceta bajo el número de registro 174,177, que establece lo siguiente:</w:t>
      </w:r>
    </w:p>
    <w:p w:rsidR="005029A3" w:rsidRPr="00A37AB5" w:rsidRDefault="005029A3">
      <w:pPr>
        <w:spacing w:after="0" w:line="360" w:lineRule="auto"/>
        <w:jc w:val="both"/>
        <w:rPr>
          <w:rFonts w:ascii="Palatino Linotype" w:eastAsia="Palatino Linotype" w:hAnsi="Palatino Linotype" w:cs="Palatino Linotype"/>
          <w:b/>
          <w:bCs/>
          <w:i/>
          <w:iCs/>
        </w:rPr>
      </w:pPr>
    </w:p>
    <w:p w:rsidR="005029A3" w:rsidRPr="00A37AB5" w:rsidRDefault="00D3459A">
      <w:pPr>
        <w:tabs>
          <w:tab w:val="left" w:pos="8222"/>
        </w:tabs>
        <w:spacing w:after="0"/>
        <w:ind w:left="851" w:right="843"/>
        <w:jc w:val="both"/>
        <w:rPr>
          <w:rFonts w:ascii="Palatino Linotype" w:eastAsia="Palatino Linotype" w:hAnsi="Palatino Linotype" w:cs="Palatino Linotype"/>
          <w:i/>
          <w:iCs/>
        </w:rPr>
      </w:pPr>
      <w:r w:rsidRPr="00A37AB5">
        <w:rPr>
          <w:rFonts w:ascii="Palatino Linotype" w:eastAsia="Palatino Linotype" w:hAnsi="Palatino Linotype" w:cs="Palatino Linotype"/>
          <w:b/>
          <w:bCs/>
          <w:i/>
          <w:iCs/>
        </w:rPr>
        <w:t xml:space="preserve">“REVISIÓN EN AMPARO. LOS RESOLUTIVOS NO COMBATIDOS DEBEN DECLARARSE FIRMES. </w:t>
      </w:r>
      <w:r w:rsidRPr="00A37AB5">
        <w:rPr>
          <w:rFonts w:ascii="Palatino Linotype" w:eastAsia="Palatino Linotype" w:hAnsi="Palatino Linotype" w:cs="Palatino Linotype"/>
          <w:i/>
          <w:iCs/>
        </w:rPr>
        <w:t>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agravio y dicha declaración de firmeza debe reflejarse en la parte considerativa y en los resolutivos debe confirmarse la sentencia recurrida en la parte correspondiente.”</w:t>
      </w:r>
    </w:p>
    <w:p w:rsidR="005029A3" w:rsidRPr="00A37AB5" w:rsidRDefault="005029A3">
      <w:pPr>
        <w:spacing w:after="0" w:line="360" w:lineRule="auto"/>
        <w:jc w:val="both"/>
        <w:rPr>
          <w:rFonts w:ascii="Palatino Linotype" w:eastAsia="Palatino Linotype" w:hAnsi="Palatino Linotype" w:cs="Palatino Linotype"/>
        </w:rPr>
      </w:pPr>
    </w:p>
    <w:p w:rsidR="005029A3" w:rsidRPr="00A37AB5" w:rsidRDefault="00D3459A">
      <w:pPr>
        <w:spacing w:after="0" w:line="360" w:lineRule="auto"/>
        <w:jc w:val="both"/>
        <w:rPr>
          <w:rFonts w:ascii="Palatino Linotype" w:eastAsia="Palatino Linotype" w:hAnsi="Palatino Linotype" w:cs="Palatino Linotype"/>
        </w:rPr>
      </w:pPr>
      <w:r w:rsidRPr="00A37AB5">
        <w:rPr>
          <w:rFonts w:ascii="Palatino Linotype" w:eastAsia="Palatino Linotype" w:hAnsi="Palatino Linotype" w:cs="Palatino Linotype"/>
        </w:rPr>
        <w:t>Consecuentemente, se insiste, ante la falta de impugnación eficaz, la respuesta entregada debe declararse consentida por la persona solicitante.</w:t>
      </w:r>
    </w:p>
    <w:p w:rsidR="005029A3" w:rsidRPr="00A37AB5" w:rsidRDefault="005029A3">
      <w:pPr>
        <w:spacing w:after="0" w:line="360" w:lineRule="auto"/>
        <w:jc w:val="both"/>
        <w:rPr>
          <w:rFonts w:ascii="Palatino Linotype" w:eastAsia="Palatino Linotype" w:hAnsi="Palatino Linotype" w:cs="Palatino Linotype"/>
        </w:rPr>
      </w:pPr>
    </w:p>
    <w:p w:rsidR="005029A3" w:rsidRPr="00A37AB5" w:rsidRDefault="00D3459A">
      <w:pPr>
        <w:spacing w:after="0" w:line="360" w:lineRule="auto"/>
        <w:jc w:val="both"/>
        <w:rPr>
          <w:rFonts w:ascii="Palatino Linotype" w:eastAsia="Palatino Linotype" w:hAnsi="Palatino Linotype" w:cs="Palatino Linotype"/>
        </w:rPr>
      </w:pPr>
      <w:r w:rsidRPr="00A37AB5">
        <w:rPr>
          <w:rFonts w:ascii="Palatino Linotype" w:eastAsia="Palatino Linotype" w:hAnsi="Palatino Linotype" w:cs="Palatino Linotype"/>
        </w:rPr>
        <w:t xml:space="preserve">Sirve de sustento lo plasmado en el Criterio de interpretación con clave de control SO/001/2020, emitido por el entonces Pleno del Instituto Nacional de Transparencia, Acceso a la Información, y Protección de Datos Personales, INAI, que lleva por rubro y texto, lo siguiente: </w:t>
      </w:r>
    </w:p>
    <w:p w:rsidR="005029A3" w:rsidRPr="00A37AB5" w:rsidRDefault="00D3459A">
      <w:pPr>
        <w:spacing w:after="0"/>
        <w:ind w:left="851" w:right="843"/>
        <w:jc w:val="both"/>
        <w:rPr>
          <w:rFonts w:ascii="Palatino Linotype" w:eastAsia="Palatino Linotype" w:hAnsi="Palatino Linotype" w:cs="Palatino Linotype"/>
          <w:i/>
          <w:iCs/>
        </w:rPr>
      </w:pPr>
      <w:r w:rsidRPr="00A37AB5">
        <w:rPr>
          <w:rFonts w:ascii="Palatino Linotype" w:eastAsia="Palatino Linotype" w:hAnsi="Palatino Linotype" w:cs="Palatino Linotype"/>
          <w:i/>
          <w:iCs/>
        </w:rPr>
        <w:t>“</w:t>
      </w:r>
      <w:r w:rsidRPr="00A37AB5">
        <w:rPr>
          <w:rFonts w:ascii="Palatino Linotype" w:eastAsia="Palatino Linotype" w:hAnsi="Palatino Linotype" w:cs="Palatino Linotype"/>
          <w:b/>
          <w:bCs/>
          <w:i/>
          <w:iCs/>
        </w:rPr>
        <w:t xml:space="preserve">Actos consentidos tácitamente. Improcedencia de su análisis. </w:t>
      </w:r>
      <w:r w:rsidRPr="00A37AB5">
        <w:rPr>
          <w:rFonts w:ascii="Palatino Linotype" w:eastAsia="Palatino Linotype" w:hAnsi="Palatino Linotype" w:cs="Palatino Linotype"/>
          <w:i/>
          <w:iCs/>
        </w:rPr>
        <w:t>Si en su recurso de revisión, la persona recurrente no expresó inconformidad alguna con ciertas partes de la respuesta otorgada, se entienden tácitamente consentidas, por ende, no deben formar parte del estudio de fondo de la resolución que emite el Instituto.”</w:t>
      </w:r>
    </w:p>
    <w:p w:rsidR="005029A3" w:rsidRPr="00A37AB5" w:rsidRDefault="005029A3">
      <w:pPr>
        <w:spacing w:after="0" w:line="360" w:lineRule="auto"/>
        <w:jc w:val="both"/>
        <w:rPr>
          <w:rFonts w:ascii="Palatino Linotype" w:eastAsia="Palatino Linotype" w:hAnsi="Palatino Linotype" w:cs="Palatino Linotype"/>
        </w:rPr>
      </w:pPr>
    </w:p>
    <w:p w:rsidR="005029A3" w:rsidRPr="00A37AB5" w:rsidRDefault="00D3459A">
      <w:pPr>
        <w:spacing w:after="0" w:line="360" w:lineRule="auto"/>
        <w:jc w:val="both"/>
        <w:rPr>
          <w:rFonts w:ascii="Palatino Linotype" w:eastAsia="Palatino Linotype" w:hAnsi="Palatino Linotype" w:cs="Palatino Linotype"/>
        </w:rPr>
      </w:pPr>
      <w:r w:rsidRPr="00A37AB5">
        <w:rPr>
          <w:rFonts w:ascii="Palatino Linotype" w:eastAsia="Palatino Linotype" w:hAnsi="Palatino Linotype" w:cs="Palatino Linotype"/>
        </w:rPr>
        <w:t>Asimismo, resulta aplicable por analogía la tesis jurisprudencial número VI.3o.C. J/60, publicada en el Semanario Judicial de la Federación y su Gaceta bajo el número de registro 176,608 que a la letra dice:</w:t>
      </w:r>
    </w:p>
    <w:p w:rsidR="005029A3" w:rsidRPr="00A37AB5" w:rsidRDefault="005029A3">
      <w:pPr>
        <w:spacing w:after="0" w:line="360" w:lineRule="auto"/>
        <w:jc w:val="both"/>
        <w:rPr>
          <w:rFonts w:ascii="Palatino Linotype" w:eastAsia="Palatino Linotype" w:hAnsi="Palatino Linotype" w:cs="Palatino Linotype"/>
          <w:i/>
          <w:iCs/>
        </w:rPr>
      </w:pPr>
    </w:p>
    <w:p w:rsidR="005029A3" w:rsidRPr="00A37AB5" w:rsidRDefault="00D3459A">
      <w:pPr>
        <w:spacing w:after="0"/>
        <w:ind w:left="851" w:right="843"/>
        <w:jc w:val="both"/>
        <w:rPr>
          <w:rFonts w:ascii="Palatino Linotype" w:eastAsia="Palatino Linotype" w:hAnsi="Palatino Linotype" w:cs="Palatino Linotype"/>
          <w:i/>
          <w:iCs/>
        </w:rPr>
      </w:pPr>
      <w:r w:rsidRPr="00A37AB5">
        <w:rPr>
          <w:rFonts w:ascii="Palatino Linotype" w:eastAsia="Palatino Linotype" w:hAnsi="Palatino Linotype" w:cs="Palatino Linotype"/>
          <w:i/>
          <w:iCs/>
        </w:rPr>
        <w:t>“</w:t>
      </w:r>
      <w:r w:rsidRPr="00A37AB5">
        <w:rPr>
          <w:rFonts w:ascii="Palatino Linotype" w:eastAsia="Palatino Linotype" w:hAnsi="Palatino Linotype" w:cs="Palatino Linotype"/>
          <w:b/>
          <w:bCs/>
          <w:i/>
          <w:iCs/>
        </w:rPr>
        <w:t xml:space="preserve">ACTOS CONSENTIDOS. SON LOS QUE NO SE IMPUGNAN MEDIANTE EL RECURSO IDÓNEO. </w:t>
      </w:r>
      <w:r w:rsidRPr="00A37AB5">
        <w:rPr>
          <w:rFonts w:ascii="Palatino Linotype" w:eastAsia="Palatino Linotype" w:hAnsi="Palatino Linotype" w:cs="Palatino Linotype"/>
          <w:i/>
          <w:iCs/>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rsidR="005029A3" w:rsidRPr="00A37AB5" w:rsidRDefault="005029A3">
      <w:pPr>
        <w:spacing w:after="0" w:line="360" w:lineRule="auto"/>
        <w:jc w:val="both"/>
        <w:rPr>
          <w:rFonts w:ascii="Palatino Linotype" w:eastAsia="Palatino Linotype" w:hAnsi="Palatino Linotype" w:cs="Palatino Linotype"/>
        </w:rPr>
      </w:pPr>
    </w:p>
    <w:p w:rsidR="005029A3" w:rsidRPr="00A37AB5" w:rsidRDefault="00D3459A">
      <w:pPr>
        <w:spacing w:after="0" w:line="360" w:lineRule="auto"/>
        <w:jc w:val="both"/>
        <w:rPr>
          <w:rFonts w:ascii="Palatino Linotype" w:eastAsia="Palatino Linotype" w:hAnsi="Palatino Linotype" w:cs="Palatino Linotype"/>
        </w:rPr>
      </w:pPr>
      <w:r w:rsidRPr="00A37AB5">
        <w:rPr>
          <w:rFonts w:ascii="Palatino Linotype" w:eastAsia="Palatino Linotype" w:hAnsi="Palatino Linotype" w:cs="Palatino Linotype"/>
        </w:rPr>
        <w:t xml:space="preserve">Acotado lo anterior, se procede al análisis del requerimiento combatido, es decir, la </w:t>
      </w:r>
      <w:r w:rsidRPr="00A37AB5">
        <w:rPr>
          <w:rFonts w:ascii="Palatino Linotype" w:eastAsia="Palatino Linotype" w:hAnsi="Palatino Linotype" w:cs="Palatino Linotype"/>
          <w:b/>
          <w:bCs/>
          <w:i/>
          <w:iCs/>
        </w:rPr>
        <w:t xml:space="preserve">Evaluación del cumplimiento de metas y objetivos presupuestales de la Coordinación Municipal de Protección Civil y Bomberos. </w:t>
      </w:r>
    </w:p>
    <w:p w:rsidR="005029A3" w:rsidRPr="00A37AB5" w:rsidRDefault="005029A3">
      <w:pPr>
        <w:spacing w:after="0" w:line="360" w:lineRule="auto"/>
        <w:jc w:val="both"/>
        <w:rPr>
          <w:rFonts w:ascii="Palatino Linotype" w:eastAsia="Palatino Linotype" w:hAnsi="Palatino Linotype" w:cs="Palatino Linotype"/>
        </w:rPr>
      </w:pPr>
    </w:p>
    <w:p w:rsidR="005029A3" w:rsidRPr="00A37AB5" w:rsidRDefault="00D3459A">
      <w:pPr>
        <w:pBdr>
          <w:top w:val="nil"/>
          <w:left w:val="nil"/>
          <w:bottom w:val="nil"/>
          <w:right w:val="nil"/>
          <w:between w:val="nil"/>
        </w:pBdr>
        <w:spacing w:after="0" w:line="360" w:lineRule="auto"/>
        <w:ind w:right="-150"/>
        <w:jc w:val="both"/>
        <w:rPr>
          <w:rFonts w:ascii="Palatino Linotype" w:eastAsia="Palatino Linotype" w:hAnsi="Palatino Linotype" w:cs="Palatino Linotype"/>
        </w:rPr>
      </w:pPr>
      <w:r w:rsidRPr="00A37AB5">
        <w:rPr>
          <w:rFonts w:ascii="Palatino Linotype" w:eastAsia="Palatino Linotype" w:hAnsi="Palatino Linotype" w:cs="Palatino Linotype"/>
        </w:rPr>
        <w:t xml:space="preserve">Dicho esto, resulta procedente contextualizar la información refiriendo que el Manual para la Planeación, Programación y Presupuesto de Egresos Municipal es un instrumento fundamental para la planeación, programación, elaboración del presupuesto, seguimiento y evaluación del desempeño. </w:t>
      </w:r>
    </w:p>
    <w:p w:rsidR="005029A3" w:rsidRPr="00A37AB5" w:rsidRDefault="005029A3">
      <w:pPr>
        <w:pBdr>
          <w:top w:val="nil"/>
          <w:left w:val="nil"/>
          <w:bottom w:val="nil"/>
          <w:right w:val="nil"/>
          <w:between w:val="nil"/>
        </w:pBdr>
        <w:spacing w:after="0" w:line="360" w:lineRule="auto"/>
        <w:ind w:right="-150"/>
        <w:jc w:val="both"/>
        <w:rPr>
          <w:rFonts w:ascii="Palatino Linotype" w:eastAsia="Palatino Linotype" w:hAnsi="Palatino Linotype" w:cs="Palatino Linotype"/>
        </w:rPr>
      </w:pPr>
    </w:p>
    <w:p w:rsidR="005029A3" w:rsidRPr="00A37AB5" w:rsidRDefault="00D3459A">
      <w:pPr>
        <w:pBdr>
          <w:top w:val="nil"/>
          <w:left w:val="nil"/>
          <w:bottom w:val="nil"/>
          <w:right w:val="nil"/>
          <w:between w:val="nil"/>
        </w:pBdr>
        <w:spacing w:after="0" w:line="360" w:lineRule="auto"/>
        <w:ind w:right="-150"/>
        <w:jc w:val="both"/>
        <w:rPr>
          <w:rFonts w:ascii="Palatino Linotype" w:eastAsia="Palatino Linotype" w:hAnsi="Palatino Linotype" w:cs="Palatino Linotype"/>
        </w:rPr>
      </w:pPr>
      <w:r w:rsidRPr="00A37AB5">
        <w:rPr>
          <w:rFonts w:ascii="Palatino Linotype" w:eastAsia="Palatino Linotype" w:hAnsi="Palatino Linotype" w:cs="Palatino Linotype"/>
        </w:rPr>
        <w:t>En ese sentido, este documento, se apoya en los elementos de la planeación estratégica y constituye un medio para ordenar las acciones y recurso de la gestión gubernamental; ya que se relaciona con las metas con los recursos presupuestados y los resultados que esperan alcanzar las dependencias y organismos municipales, de tal forma que, el Proyecto de Presupuesto deberá contener sus respectivos objetivos, metas de actividades e indicadores</w:t>
      </w:r>
      <w:r w:rsidRPr="00A37AB5">
        <w:rPr>
          <w:rFonts w:ascii="Palatino Linotype" w:eastAsia="Palatino Linotype" w:hAnsi="Palatino Linotype" w:cs="Palatino Linotype"/>
          <w:b/>
          <w:bCs/>
        </w:rPr>
        <w:t xml:space="preserve"> </w:t>
      </w:r>
      <w:r w:rsidRPr="00A37AB5">
        <w:rPr>
          <w:rFonts w:ascii="Palatino Linotype" w:eastAsia="Palatino Linotype" w:hAnsi="Palatino Linotype" w:cs="Palatino Linotype"/>
        </w:rPr>
        <w:t xml:space="preserve">que deberán vincularse al Plan de Desarrollo Municipal correspondiente. </w:t>
      </w:r>
    </w:p>
    <w:p w:rsidR="005029A3" w:rsidRPr="00A37AB5" w:rsidRDefault="005029A3">
      <w:pPr>
        <w:pBdr>
          <w:top w:val="nil"/>
          <w:left w:val="nil"/>
          <w:bottom w:val="nil"/>
          <w:right w:val="nil"/>
          <w:between w:val="nil"/>
        </w:pBdr>
        <w:spacing w:after="0" w:line="360" w:lineRule="auto"/>
        <w:ind w:right="-150"/>
        <w:jc w:val="both"/>
        <w:rPr>
          <w:rFonts w:ascii="Palatino Linotype" w:eastAsia="Palatino Linotype" w:hAnsi="Palatino Linotype" w:cs="Palatino Linotype"/>
        </w:rPr>
      </w:pPr>
    </w:p>
    <w:p w:rsidR="005029A3" w:rsidRPr="00A37AB5" w:rsidRDefault="00D3459A">
      <w:pPr>
        <w:pBdr>
          <w:top w:val="nil"/>
          <w:left w:val="nil"/>
          <w:bottom w:val="nil"/>
          <w:right w:val="nil"/>
          <w:between w:val="nil"/>
        </w:pBdr>
        <w:spacing w:after="0" w:line="360" w:lineRule="auto"/>
        <w:ind w:right="-150"/>
        <w:jc w:val="both"/>
        <w:rPr>
          <w:rFonts w:ascii="Palatino Linotype" w:eastAsia="Palatino Linotype" w:hAnsi="Palatino Linotype" w:cs="Palatino Linotype"/>
        </w:rPr>
      </w:pPr>
      <w:r w:rsidRPr="00A37AB5">
        <w:rPr>
          <w:rFonts w:ascii="Palatino Linotype" w:eastAsia="Palatino Linotype" w:hAnsi="Palatino Linotype" w:cs="Palatino Linotype"/>
        </w:rPr>
        <w:t xml:space="preserve">Ahora bien, las dependencias generales y auxiliares, en forma coordinada con la Unidad de Información, Planeación y Presupuestación verificarán la elaboración y actualización de las fases de la Metodología del Marco Lógico para las Matrices de Indicadores para Resultados, los cuales contienen los indicadores estratégicos y de gestión para el seguimiento y evaluación del desempeño de programas presupuestarios que conformarán el Programa Anual. </w:t>
      </w:r>
    </w:p>
    <w:p w:rsidR="005029A3" w:rsidRPr="00A37AB5" w:rsidRDefault="005029A3">
      <w:pPr>
        <w:pBdr>
          <w:top w:val="nil"/>
          <w:left w:val="nil"/>
          <w:bottom w:val="nil"/>
          <w:right w:val="nil"/>
          <w:between w:val="nil"/>
        </w:pBdr>
        <w:spacing w:after="0" w:line="360" w:lineRule="auto"/>
        <w:ind w:right="-150"/>
        <w:jc w:val="both"/>
        <w:rPr>
          <w:rFonts w:ascii="Palatino Linotype" w:eastAsia="Palatino Linotype" w:hAnsi="Palatino Linotype" w:cs="Palatino Linotype"/>
        </w:rPr>
      </w:pPr>
    </w:p>
    <w:p w:rsidR="005029A3" w:rsidRPr="00A37AB5" w:rsidRDefault="00D3459A">
      <w:pPr>
        <w:spacing w:after="0" w:line="360" w:lineRule="auto"/>
        <w:ind w:right="49"/>
        <w:jc w:val="both"/>
        <w:rPr>
          <w:rFonts w:ascii="Palatino Linotype" w:eastAsia="Palatino Linotype" w:hAnsi="Palatino Linotype" w:cs="Palatino Linotype"/>
        </w:rPr>
      </w:pPr>
      <w:r w:rsidRPr="00A37AB5">
        <w:rPr>
          <w:rFonts w:ascii="Palatino Linotype" w:eastAsia="Palatino Linotype" w:hAnsi="Palatino Linotype" w:cs="Palatino Linotype"/>
        </w:rPr>
        <w:t xml:space="preserve">En relación con lo anterior, es de precisar que en el Presupuesto Basado en Resultados (PbR), se plasman los objetivos, estrategias, metas de actividad, indicadores y proyectos, que se traducen en resultados concretos a visualizarse en el periodo presupuestal determinado, en ese sentido, se cuentan con diferentes formatos, los cuales son encaminados a identificar determinadas áreas o campos, siendo los siguientes: </w:t>
      </w:r>
    </w:p>
    <w:p w:rsidR="005029A3" w:rsidRPr="00A37AB5" w:rsidRDefault="005029A3">
      <w:pPr>
        <w:spacing w:after="0" w:line="360" w:lineRule="auto"/>
        <w:ind w:right="49"/>
        <w:jc w:val="both"/>
        <w:rPr>
          <w:rFonts w:ascii="Palatino Linotype" w:eastAsia="Palatino Linotype" w:hAnsi="Palatino Linotype" w:cs="Palatino Linotype"/>
        </w:rPr>
      </w:pPr>
    </w:p>
    <w:p w:rsidR="005029A3" w:rsidRPr="00A37AB5" w:rsidRDefault="00D3459A">
      <w:pPr>
        <w:numPr>
          <w:ilvl w:val="0"/>
          <w:numId w:val="2"/>
        </w:numPr>
        <w:pBdr>
          <w:top w:val="nil"/>
          <w:left w:val="nil"/>
          <w:bottom w:val="nil"/>
          <w:right w:val="nil"/>
          <w:between w:val="nil"/>
        </w:pBdr>
        <w:spacing w:after="0" w:line="360" w:lineRule="auto"/>
        <w:ind w:left="567" w:right="49"/>
        <w:jc w:val="both"/>
        <w:rPr>
          <w:rFonts w:ascii="Palatino Linotype" w:eastAsia="Palatino Linotype" w:hAnsi="Palatino Linotype" w:cs="Palatino Linotype"/>
        </w:rPr>
      </w:pPr>
      <w:r w:rsidRPr="00A37AB5">
        <w:rPr>
          <w:rFonts w:ascii="Palatino Linotype" w:eastAsia="Palatino Linotype" w:hAnsi="Palatino Linotype" w:cs="Palatino Linotype"/>
          <w:b/>
          <w:bCs/>
        </w:rPr>
        <w:t xml:space="preserve">PbRM-01a “Dimensión Administrativa del Gasto”. </w:t>
      </w:r>
      <w:r w:rsidRPr="00A37AB5">
        <w:rPr>
          <w:rFonts w:ascii="Palatino Linotype" w:eastAsia="Palatino Linotype" w:hAnsi="Palatino Linotype" w:cs="Palatino Linotype"/>
        </w:rPr>
        <w:t xml:space="preserve">El cual tiene como propósito identificar a nivel de estructura administrativa los programas y proyectos de los cuales se responsabiliza cada una de las Dependencias y Organismos Municipales. </w:t>
      </w:r>
    </w:p>
    <w:p w:rsidR="005029A3" w:rsidRPr="00A37AB5" w:rsidRDefault="00D3459A">
      <w:pPr>
        <w:numPr>
          <w:ilvl w:val="0"/>
          <w:numId w:val="2"/>
        </w:numPr>
        <w:pBdr>
          <w:top w:val="nil"/>
          <w:left w:val="nil"/>
          <w:bottom w:val="nil"/>
          <w:right w:val="nil"/>
          <w:between w:val="nil"/>
        </w:pBdr>
        <w:spacing w:after="0" w:line="360" w:lineRule="auto"/>
        <w:ind w:left="567" w:right="49"/>
        <w:jc w:val="both"/>
        <w:rPr>
          <w:rFonts w:ascii="Palatino Linotype" w:eastAsia="Palatino Linotype" w:hAnsi="Palatino Linotype" w:cs="Palatino Linotype"/>
        </w:rPr>
      </w:pPr>
      <w:r w:rsidRPr="00A37AB5">
        <w:rPr>
          <w:rFonts w:ascii="Palatino Linotype" w:eastAsia="Palatino Linotype" w:hAnsi="Palatino Linotype" w:cs="Palatino Linotype"/>
          <w:b/>
          <w:bCs/>
        </w:rPr>
        <w:t xml:space="preserve">PbRM-01b “Descripción del Programa presupuestario”. </w:t>
      </w:r>
      <w:r w:rsidRPr="00A37AB5">
        <w:rPr>
          <w:rFonts w:ascii="Palatino Linotype" w:eastAsia="Palatino Linotype" w:hAnsi="Palatino Linotype" w:cs="Palatino Linotype"/>
        </w:rPr>
        <w:t>Tiene como propósito, identificar el diagnóstico del entorno de responsabilidad del programa respectivo para sustentar y justificar la asignación del presupuesto, definir los objetivos que se pretenden alcanzar y establecer las estrategias que serán aplicadas para dar viabilidad al logro de dichos objetivos.</w:t>
      </w:r>
    </w:p>
    <w:p w:rsidR="005029A3" w:rsidRPr="00A37AB5" w:rsidRDefault="00D3459A">
      <w:pPr>
        <w:numPr>
          <w:ilvl w:val="0"/>
          <w:numId w:val="2"/>
        </w:numPr>
        <w:pBdr>
          <w:top w:val="nil"/>
          <w:left w:val="nil"/>
          <w:bottom w:val="nil"/>
          <w:right w:val="nil"/>
          <w:between w:val="nil"/>
        </w:pBdr>
        <w:spacing w:after="0" w:line="360" w:lineRule="auto"/>
        <w:ind w:left="567" w:right="49"/>
        <w:jc w:val="both"/>
        <w:rPr>
          <w:rFonts w:ascii="Palatino Linotype" w:eastAsia="Palatino Linotype" w:hAnsi="Palatino Linotype" w:cs="Palatino Linotype"/>
        </w:rPr>
      </w:pPr>
      <w:r w:rsidRPr="00A37AB5">
        <w:rPr>
          <w:rFonts w:ascii="Palatino Linotype" w:eastAsia="Palatino Linotype" w:hAnsi="Palatino Linotype" w:cs="Palatino Linotype"/>
          <w:b/>
          <w:bCs/>
        </w:rPr>
        <w:t>PbRM-01c “Programa Anual de Metas de actividad por Proyecto”.</w:t>
      </w:r>
      <w:r w:rsidRPr="00A37AB5">
        <w:rPr>
          <w:rFonts w:ascii="Palatino Linotype" w:eastAsia="Palatino Linotype" w:hAnsi="Palatino Linotype" w:cs="Palatino Linotype"/>
        </w:rPr>
        <w:t xml:space="preserve"> Tiene como propósito establecer las acciones sustantivas para cada proyecto, mismas que deberán reflejar la diferencia entre el cumplimiento alcanzado durante el ejercicio fiscal anterior y las cifras programadas que se estimen alcanzar en el ejercicio en curso. </w:t>
      </w:r>
    </w:p>
    <w:p w:rsidR="005029A3" w:rsidRPr="00A37AB5" w:rsidRDefault="00D3459A">
      <w:pPr>
        <w:numPr>
          <w:ilvl w:val="0"/>
          <w:numId w:val="2"/>
        </w:numPr>
        <w:pBdr>
          <w:top w:val="nil"/>
          <w:left w:val="nil"/>
          <w:bottom w:val="nil"/>
          <w:right w:val="nil"/>
          <w:between w:val="nil"/>
        </w:pBdr>
        <w:spacing w:after="0" w:line="360" w:lineRule="auto"/>
        <w:ind w:left="567" w:right="49"/>
        <w:jc w:val="both"/>
        <w:rPr>
          <w:rFonts w:ascii="Palatino Linotype" w:eastAsia="Palatino Linotype" w:hAnsi="Palatino Linotype" w:cs="Palatino Linotype"/>
        </w:rPr>
      </w:pPr>
      <w:r w:rsidRPr="00A37AB5">
        <w:rPr>
          <w:rFonts w:ascii="Palatino Linotype" w:eastAsia="Palatino Linotype" w:hAnsi="Palatino Linotype" w:cs="Palatino Linotype"/>
          <w:b/>
          <w:bCs/>
        </w:rPr>
        <w:t>PbRM-01d “Ficha técnica de diseño de indicadores estratégicos o de gestión 202</w:t>
      </w:r>
      <w:r w:rsidRPr="00A37AB5">
        <w:rPr>
          <w:rFonts w:ascii="Palatino Linotype" w:eastAsia="Palatino Linotype" w:hAnsi="Palatino Linotype" w:cs="Palatino Linotype"/>
        </w:rPr>
        <w:t>4</w:t>
      </w:r>
      <w:r w:rsidRPr="00A37AB5">
        <w:rPr>
          <w:rFonts w:ascii="Palatino Linotype" w:eastAsia="Palatino Linotype" w:hAnsi="Palatino Linotype" w:cs="Palatino Linotype"/>
          <w:b/>
          <w:bCs/>
        </w:rPr>
        <w:t>”</w:t>
      </w:r>
      <w:r w:rsidRPr="00A37AB5">
        <w:rPr>
          <w:rFonts w:ascii="Palatino Linotype" w:eastAsia="Palatino Linotype" w:hAnsi="Palatino Linotype" w:cs="Palatino Linotype"/>
        </w:rPr>
        <w:t xml:space="preserve"> Tiene como finalidad el registro de los indicadores de gestión que se manejan en el SEGEMUN, mismos que deberán estar vinculados directamente a las metas programadas en el formato </w:t>
      </w:r>
    </w:p>
    <w:p w:rsidR="005029A3" w:rsidRPr="00A37AB5" w:rsidRDefault="00D3459A">
      <w:pPr>
        <w:numPr>
          <w:ilvl w:val="0"/>
          <w:numId w:val="2"/>
        </w:numPr>
        <w:pBdr>
          <w:top w:val="nil"/>
          <w:left w:val="nil"/>
          <w:bottom w:val="nil"/>
          <w:right w:val="nil"/>
          <w:between w:val="nil"/>
        </w:pBdr>
        <w:spacing w:after="0" w:line="360" w:lineRule="auto"/>
        <w:ind w:left="567" w:right="49"/>
        <w:jc w:val="both"/>
        <w:rPr>
          <w:rFonts w:ascii="Palatino Linotype" w:eastAsia="Palatino Linotype" w:hAnsi="Palatino Linotype" w:cs="Palatino Linotype"/>
        </w:rPr>
      </w:pPr>
      <w:r w:rsidRPr="00A37AB5">
        <w:rPr>
          <w:rFonts w:ascii="Palatino Linotype" w:eastAsia="Palatino Linotype" w:hAnsi="Palatino Linotype" w:cs="Palatino Linotype"/>
          <w:b/>
          <w:bCs/>
        </w:rPr>
        <w:t>PbRM-01e “Matriz de Indicadores para Resultados por Programa presupuestario y Dependencia General”.</w:t>
      </w:r>
      <w:r w:rsidRPr="00A37AB5">
        <w:rPr>
          <w:rFonts w:ascii="Palatino Linotype" w:eastAsia="Palatino Linotype" w:hAnsi="Palatino Linotype" w:cs="Palatino Linotype"/>
        </w:rPr>
        <w:t xml:space="preserve"> Estos indicadores están alineados a nivel estratégico o de gestión.</w:t>
      </w:r>
    </w:p>
    <w:p w:rsidR="005029A3" w:rsidRPr="00A37AB5" w:rsidRDefault="00D3459A">
      <w:pPr>
        <w:numPr>
          <w:ilvl w:val="0"/>
          <w:numId w:val="2"/>
        </w:numPr>
        <w:pBdr>
          <w:top w:val="nil"/>
          <w:left w:val="nil"/>
          <w:bottom w:val="nil"/>
          <w:right w:val="nil"/>
          <w:between w:val="nil"/>
        </w:pBdr>
        <w:spacing w:after="0" w:line="360" w:lineRule="auto"/>
        <w:ind w:left="567" w:right="49"/>
        <w:jc w:val="both"/>
        <w:rPr>
          <w:rFonts w:ascii="Palatino Linotype" w:eastAsia="Palatino Linotype" w:hAnsi="Palatino Linotype" w:cs="Palatino Linotype"/>
        </w:rPr>
      </w:pPr>
      <w:r w:rsidRPr="00A37AB5">
        <w:rPr>
          <w:rFonts w:ascii="Palatino Linotype" w:eastAsia="Palatino Linotype" w:hAnsi="Palatino Linotype" w:cs="Palatino Linotype"/>
          <w:b/>
          <w:bCs/>
        </w:rPr>
        <w:t>PbRM-02a “Calendarización de metas de actividad”</w:t>
      </w:r>
      <w:r w:rsidRPr="00A37AB5">
        <w:rPr>
          <w:rFonts w:ascii="Palatino Linotype" w:eastAsia="Palatino Linotype" w:hAnsi="Palatino Linotype" w:cs="Palatino Linotype"/>
        </w:rPr>
        <w:t>. El cual tiene por objeto identificar trimestralmente la ejecución de la meta anual, la cual proviene del formato PbRM-01c.</w:t>
      </w:r>
    </w:p>
    <w:p w:rsidR="005029A3" w:rsidRPr="00A37AB5" w:rsidRDefault="00D3459A">
      <w:pPr>
        <w:numPr>
          <w:ilvl w:val="0"/>
          <w:numId w:val="2"/>
        </w:numPr>
        <w:pBdr>
          <w:top w:val="nil"/>
          <w:left w:val="nil"/>
          <w:bottom w:val="nil"/>
          <w:right w:val="nil"/>
          <w:between w:val="nil"/>
        </w:pBdr>
        <w:spacing w:after="0" w:line="360" w:lineRule="auto"/>
        <w:ind w:left="567" w:right="49"/>
        <w:jc w:val="both"/>
        <w:rPr>
          <w:rFonts w:ascii="Palatino Linotype" w:eastAsia="Palatino Linotype" w:hAnsi="Palatino Linotype" w:cs="Palatino Linotype"/>
        </w:rPr>
      </w:pPr>
      <w:r w:rsidRPr="00A37AB5">
        <w:rPr>
          <w:rFonts w:ascii="Palatino Linotype" w:eastAsia="Palatino Linotype" w:hAnsi="Palatino Linotype" w:cs="Palatino Linotype"/>
          <w:b/>
          <w:bCs/>
        </w:rPr>
        <w:t>PbRM-03a</w:t>
      </w:r>
      <w:r w:rsidRPr="00A37AB5">
        <w:rPr>
          <w:rFonts w:ascii="Palatino Linotype" w:eastAsia="Palatino Linotype" w:hAnsi="Palatino Linotype" w:cs="Palatino Linotype"/>
        </w:rPr>
        <w:t xml:space="preserve">: En este formato se deben registrar los ingresos que se estiman recaudar para el siguiente ejercicio, antes de la publicación de la Ley de Ingresos, Participaciones Federales y Programas Federales y Estatales, el cual servirá como base para comunicar los techos financieros a cada una de las Dependencias Generales. </w:t>
      </w:r>
    </w:p>
    <w:p w:rsidR="005029A3" w:rsidRPr="00A37AB5" w:rsidRDefault="00D3459A">
      <w:pPr>
        <w:numPr>
          <w:ilvl w:val="0"/>
          <w:numId w:val="2"/>
        </w:numPr>
        <w:pBdr>
          <w:top w:val="nil"/>
          <w:left w:val="nil"/>
          <w:bottom w:val="nil"/>
          <w:right w:val="nil"/>
          <w:between w:val="nil"/>
        </w:pBdr>
        <w:spacing w:after="0" w:line="360" w:lineRule="auto"/>
        <w:ind w:left="567" w:right="49"/>
        <w:jc w:val="both"/>
        <w:rPr>
          <w:rFonts w:ascii="Palatino Linotype" w:eastAsia="Palatino Linotype" w:hAnsi="Palatino Linotype" w:cs="Palatino Linotype"/>
        </w:rPr>
      </w:pPr>
      <w:r w:rsidRPr="00A37AB5">
        <w:rPr>
          <w:rFonts w:ascii="Palatino Linotype" w:eastAsia="Palatino Linotype" w:hAnsi="Palatino Linotype" w:cs="Palatino Linotype"/>
          <w:b/>
          <w:bCs/>
        </w:rPr>
        <w:t>PbRM-03b:</w:t>
      </w:r>
      <w:r w:rsidRPr="00A37AB5">
        <w:rPr>
          <w:rFonts w:ascii="Palatino Linotype" w:eastAsia="Palatino Linotype" w:hAnsi="Palatino Linotype" w:cs="Palatino Linotype"/>
        </w:rPr>
        <w:t xml:space="preserve"> Registro de importes por tipo de Ingreso.</w:t>
      </w:r>
    </w:p>
    <w:p w:rsidR="005029A3" w:rsidRPr="00A37AB5" w:rsidRDefault="00D3459A">
      <w:pPr>
        <w:numPr>
          <w:ilvl w:val="0"/>
          <w:numId w:val="2"/>
        </w:numPr>
        <w:pBdr>
          <w:top w:val="nil"/>
          <w:left w:val="nil"/>
          <w:bottom w:val="nil"/>
          <w:right w:val="nil"/>
          <w:between w:val="nil"/>
        </w:pBdr>
        <w:spacing w:after="0" w:line="360" w:lineRule="auto"/>
        <w:ind w:left="567" w:right="49"/>
        <w:jc w:val="both"/>
        <w:rPr>
          <w:rFonts w:ascii="Palatino Linotype" w:eastAsia="Palatino Linotype" w:hAnsi="Palatino Linotype" w:cs="Palatino Linotype"/>
        </w:rPr>
      </w:pPr>
      <w:r w:rsidRPr="00A37AB5">
        <w:rPr>
          <w:rFonts w:ascii="Palatino Linotype" w:eastAsia="Palatino Linotype" w:hAnsi="Palatino Linotype" w:cs="Palatino Linotype"/>
          <w:b/>
          <w:bCs/>
        </w:rPr>
        <w:t>PbRM-04a:</w:t>
      </w:r>
      <w:r w:rsidRPr="00A37AB5">
        <w:rPr>
          <w:rFonts w:ascii="Palatino Linotype" w:eastAsia="Palatino Linotype" w:hAnsi="Palatino Linotype" w:cs="Palatino Linotype"/>
        </w:rPr>
        <w:t xml:space="preserve"> Este formato deberá registrar los proyectos por partida de gasto, los cuales tendrán que coincidir con los formatos del Programa Anual (PbRM-01a, PbRM-01c) en estructura programática y gasto estimado por proyecto.</w:t>
      </w:r>
    </w:p>
    <w:p w:rsidR="005029A3" w:rsidRPr="00A37AB5" w:rsidRDefault="00D3459A">
      <w:pPr>
        <w:numPr>
          <w:ilvl w:val="0"/>
          <w:numId w:val="2"/>
        </w:numPr>
        <w:pBdr>
          <w:top w:val="nil"/>
          <w:left w:val="nil"/>
          <w:bottom w:val="nil"/>
          <w:right w:val="nil"/>
          <w:between w:val="nil"/>
        </w:pBdr>
        <w:spacing w:after="0" w:line="360" w:lineRule="auto"/>
        <w:ind w:left="567" w:right="49"/>
        <w:jc w:val="both"/>
        <w:rPr>
          <w:rFonts w:ascii="Palatino Linotype" w:eastAsia="Palatino Linotype" w:hAnsi="Palatino Linotype" w:cs="Palatino Linotype"/>
        </w:rPr>
      </w:pPr>
      <w:r w:rsidRPr="00A37AB5">
        <w:rPr>
          <w:rFonts w:ascii="Palatino Linotype" w:eastAsia="Palatino Linotype" w:hAnsi="Palatino Linotype" w:cs="Palatino Linotype"/>
          <w:b/>
          <w:bCs/>
        </w:rPr>
        <w:t>PbRM-04b.</w:t>
      </w:r>
      <w:r w:rsidRPr="00A37AB5">
        <w:rPr>
          <w:rFonts w:ascii="Palatino Linotype" w:eastAsia="Palatino Linotype" w:hAnsi="Palatino Linotype" w:cs="Palatino Linotype"/>
        </w:rPr>
        <w:t xml:space="preserve"> En este formato se integran los conceptos por partida específica, y concentra la suma de los formatos de Presupuesto de Egresos detallado (PbRM-04a) a nivel de Dependencia General.</w:t>
      </w:r>
    </w:p>
    <w:p w:rsidR="005029A3" w:rsidRPr="00A37AB5" w:rsidRDefault="00D3459A">
      <w:pPr>
        <w:numPr>
          <w:ilvl w:val="0"/>
          <w:numId w:val="2"/>
        </w:numPr>
        <w:pBdr>
          <w:top w:val="nil"/>
          <w:left w:val="nil"/>
          <w:bottom w:val="nil"/>
          <w:right w:val="nil"/>
          <w:between w:val="nil"/>
        </w:pBdr>
        <w:spacing w:after="0" w:line="360" w:lineRule="auto"/>
        <w:ind w:left="567" w:right="49"/>
        <w:jc w:val="both"/>
        <w:rPr>
          <w:rFonts w:ascii="Palatino Linotype" w:eastAsia="Palatino Linotype" w:hAnsi="Palatino Linotype" w:cs="Palatino Linotype"/>
        </w:rPr>
      </w:pPr>
      <w:r w:rsidRPr="00A37AB5">
        <w:rPr>
          <w:rFonts w:ascii="Palatino Linotype" w:eastAsia="Palatino Linotype" w:hAnsi="Palatino Linotype" w:cs="Palatino Linotype"/>
          <w:b/>
          <w:bCs/>
        </w:rPr>
        <w:t>PbRM-04b.</w:t>
      </w:r>
      <w:r w:rsidRPr="00A37AB5">
        <w:rPr>
          <w:rFonts w:ascii="Palatino Linotype" w:eastAsia="Palatino Linotype" w:hAnsi="Palatino Linotype" w:cs="Palatino Linotype"/>
        </w:rPr>
        <w:t xml:space="preserve"> Este formato deberá ser la suma de los formatos (PbRM-04a) Presupuesto de Egresos Detallado el cual contiene datos a nivel de Partida Específica, Partida Genérica, Concepto y Capítulo del Gasto, de cada proyecto a nivel de Dependencia General.</w:t>
      </w:r>
    </w:p>
    <w:p w:rsidR="005029A3" w:rsidRPr="00A37AB5" w:rsidRDefault="00D3459A">
      <w:pPr>
        <w:numPr>
          <w:ilvl w:val="0"/>
          <w:numId w:val="2"/>
        </w:numPr>
        <w:pBdr>
          <w:top w:val="nil"/>
          <w:left w:val="nil"/>
          <w:bottom w:val="nil"/>
          <w:right w:val="nil"/>
          <w:between w:val="nil"/>
        </w:pBdr>
        <w:spacing w:after="0" w:line="360" w:lineRule="auto"/>
        <w:ind w:left="567" w:right="49"/>
        <w:jc w:val="both"/>
        <w:rPr>
          <w:rFonts w:ascii="Palatino Linotype" w:eastAsia="Palatino Linotype" w:hAnsi="Palatino Linotype" w:cs="Palatino Linotype"/>
        </w:rPr>
      </w:pPr>
      <w:r w:rsidRPr="00A37AB5">
        <w:rPr>
          <w:rFonts w:ascii="Palatino Linotype" w:eastAsia="Palatino Linotype" w:hAnsi="Palatino Linotype" w:cs="Palatino Linotype"/>
          <w:b/>
          <w:bCs/>
        </w:rPr>
        <w:t>PbRM-04c.</w:t>
      </w:r>
      <w:r w:rsidRPr="00A37AB5">
        <w:rPr>
          <w:rFonts w:ascii="Palatino Linotype" w:eastAsia="Palatino Linotype" w:hAnsi="Palatino Linotype" w:cs="Palatino Linotype"/>
        </w:rPr>
        <w:t xml:space="preserve"> Este formato deberá contener la suma de los formatos por Partida Específica, Partida Genérica, Concepto y Capítulo del Gasto (PbRM-04b), de todas las Dependencias Generales.</w:t>
      </w:r>
    </w:p>
    <w:p w:rsidR="005029A3" w:rsidRPr="00A37AB5" w:rsidRDefault="00D3459A">
      <w:pPr>
        <w:numPr>
          <w:ilvl w:val="0"/>
          <w:numId w:val="2"/>
        </w:numPr>
        <w:pBdr>
          <w:top w:val="nil"/>
          <w:left w:val="nil"/>
          <w:bottom w:val="nil"/>
          <w:right w:val="nil"/>
          <w:between w:val="nil"/>
        </w:pBdr>
        <w:spacing w:after="0" w:line="360" w:lineRule="auto"/>
        <w:ind w:left="567" w:right="49"/>
        <w:jc w:val="both"/>
        <w:rPr>
          <w:rFonts w:ascii="Palatino Linotype" w:eastAsia="Palatino Linotype" w:hAnsi="Palatino Linotype" w:cs="Palatino Linotype"/>
        </w:rPr>
      </w:pPr>
      <w:r w:rsidRPr="00A37AB5">
        <w:rPr>
          <w:rFonts w:ascii="Palatino Linotype" w:eastAsia="Palatino Linotype" w:hAnsi="Palatino Linotype" w:cs="Palatino Linotype"/>
          <w:b/>
          <w:bCs/>
        </w:rPr>
        <w:t>PbRM-04d.</w:t>
      </w:r>
      <w:r w:rsidRPr="00A37AB5">
        <w:rPr>
          <w:rFonts w:ascii="Palatino Linotype" w:eastAsia="Palatino Linotype" w:hAnsi="Palatino Linotype" w:cs="Palatino Linotype"/>
        </w:rPr>
        <w:t xml:space="preserve"> Este formato deberá registrar los importes del formato por Capítulo de Gasto (PbRM-04c).</w:t>
      </w:r>
    </w:p>
    <w:p w:rsidR="005029A3" w:rsidRPr="00A37AB5" w:rsidRDefault="00D3459A">
      <w:pPr>
        <w:numPr>
          <w:ilvl w:val="0"/>
          <w:numId w:val="2"/>
        </w:numPr>
        <w:pBdr>
          <w:top w:val="nil"/>
          <w:left w:val="nil"/>
          <w:bottom w:val="nil"/>
          <w:right w:val="nil"/>
          <w:between w:val="nil"/>
        </w:pBdr>
        <w:spacing w:after="0" w:line="360" w:lineRule="auto"/>
        <w:ind w:left="567" w:right="49"/>
        <w:jc w:val="both"/>
        <w:rPr>
          <w:rFonts w:ascii="Palatino Linotype" w:eastAsia="Palatino Linotype" w:hAnsi="Palatino Linotype" w:cs="Palatino Linotype"/>
        </w:rPr>
      </w:pPr>
      <w:r w:rsidRPr="00A37AB5">
        <w:rPr>
          <w:rFonts w:ascii="Palatino Linotype" w:eastAsia="Palatino Linotype" w:hAnsi="Palatino Linotype" w:cs="Palatino Linotype"/>
          <w:b/>
          <w:bCs/>
        </w:rPr>
        <w:t>PbRM-04c.</w:t>
      </w:r>
      <w:r w:rsidRPr="00A37AB5">
        <w:rPr>
          <w:rFonts w:ascii="Palatino Linotype" w:eastAsia="Palatino Linotype" w:hAnsi="Palatino Linotype" w:cs="Palatino Linotype"/>
        </w:rPr>
        <w:t xml:space="preserve"> Este formato deberá ser la suma de los formatos de Presupuesto de Egresos por Objeto del Gasto y Dependencia General PbRM-04b.</w:t>
      </w:r>
    </w:p>
    <w:p w:rsidR="005029A3" w:rsidRPr="00A37AB5" w:rsidRDefault="00D3459A">
      <w:pPr>
        <w:numPr>
          <w:ilvl w:val="0"/>
          <w:numId w:val="2"/>
        </w:numPr>
        <w:pBdr>
          <w:top w:val="nil"/>
          <w:left w:val="nil"/>
          <w:bottom w:val="nil"/>
          <w:right w:val="nil"/>
          <w:between w:val="nil"/>
        </w:pBdr>
        <w:spacing w:after="0" w:line="360" w:lineRule="auto"/>
        <w:ind w:left="567" w:right="49"/>
        <w:jc w:val="both"/>
        <w:rPr>
          <w:rFonts w:ascii="Palatino Linotype" w:eastAsia="Palatino Linotype" w:hAnsi="Palatino Linotype" w:cs="Palatino Linotype"/>
        </w:rPr>
      </w:pPr>
      <w:r w:rsidRPr="00A37AB5">
        <w:rPr>
          <w:rFonts w:ascii="Palatino Linotype" w:eastAsia="Palatino Linotype" w:hAnsi="Palatino Linotype" w:cs="Palatino Linotype"/>
          <w:b/>
          <w:bCs/>
        </w:rPr>
        <w:t>PbRM-04d.</w:t>
      </w:r>
      <w:r w:rsidRPr="00A37AB5">
        <w:rPr>
          <w:rFonts w:ascii="Palatino Linotype" w:eastAsia="Palatino Linotype" w:hAnsi="Palatino Linotype" w:cs="Palatino Linotype"/>
        </w:rPr>
        <w:t xml:space="preserve"> Este formato deberá registrar los importes del formato PbRM-04c.</w:t>
      </w:r>
    </w:p>
    <w:p w:rsidR="005029A3" w:rsidRPr="00A37AB5" w:rsidRDefault="00D3459A">
      <w:pPr>
        <w:numPr>
          <w:ilvl w:val="0"/>
          <w:numId w:val="2"/>
        </w:numPr>
        <w:pBdr>
          <w:top w:val="nil"/>
          <w:left w:val="nil"/>
          <w:bottom w:val="nil"/>
          <w:right w:val="nil"/>
          <w:between w:val="nil"/>
        </w:pBdr>
        <w:spacing w:after="0" w:line="360" w:lineRule="auto"/>
        <w:ind w:left="567" w:right="49"/>
        <w:jc w:val="both"/>
        <w:rPr>
          <w:rFonts w:ascii="Palatino Linotype" w:eastAsia="Palatino Linotype" w:hAnsi="Palatino Linotype" w:cs="Palatino Linotype"/>
        </w:rPr>
      </w:pPr>
      <w:r w:rsidRPr="00A37AB5">
        <w:rPr>
          <w:rFonts w:ascii="Palatino Linotype" w:eastAsia="Palatino Linotype" w:hAnsi="Palatino Linotype" w:cs="Palatino Linotype"/>
          <w:b/>
          <w:bCs/>
        </w:rPr>
        <w:t>PbRM-05.</w:t>
      </w:r>
      <w:r w:rsidRPr="00A37AB5">
        <w:rPr>
          <w:rFonts w:ascii="Palatino Linotype" w:eastAsia="Palatino Linotype" w:hAnsi="Palatino Linotype" w:cs="Palatino Linotype"/>
        </w:rPr>
        <w:t xml:space="preserve"> </w:t>
      </w:r>
      <w:r w:rsidRPr="00A37AB5">
        <w:rPr>
          <w:rFonts w:ascii="Palatino Linotype" w:eastAsia="Palatino Linotype" w:hAnsi="Palatino Linotype" w:cs="Palatino Linotype"/>
          <w:b/>
          <w:bCs/>
        </w:rPr>
        <w:t>Tabulador de sueldos</w:t>
      </w:r>
    </w:p>
    <w:p w:rsidR="005029A3" w:rsidRPr="00A37AB5" w:rsidRDefault="00D3459A">
      <w:pPr>
        <w:numPr>
          <w:ilvl w:val="0"/>
          <w:numId w:val="2"/>
        </w:numPr>
        <w:pBdr>
          <w:top w:val="nil"/>
          <w:left w:val="nil"/>
          <w:bottom w:val="nil"/>
          <w:right w:val="nil"/>
          <w:between w:val="nil"/>
        </w:pBdr>
        <w:spacing w:after="0" w:line="360" w:lineRule="auto"/>
        <w:ind w:left="567" w:right="49"/>
        <w:jc w:val="both"/>
        <w:rPr>
          <w:rFonts w:ascii="Palatino Linotype" w:eastAsia="Palatino Linotype" w:hAnsi="Palatino Linotype" w:cs="Palatino Linotype"/>
        </w:rPr>
      </w:pPr>
      <w:r w:rsidRPr="00A37AB5">
        <w:rPr>
          <w:rFonts w:ascii="Palatino Linotype" w:eastAsia="Palatino Linotype" w:hAnsi="Palatino Linotype" w:cs="Palatino Linotype"/>
          <w:b/>
          <w:bCs/>
        </w:rPr>
        <w:t>PbRM-06.</w:t>
      </w:r>
      <w:r w:rsidRPr="00A37AB5">
        <w:rPr>
          <w:rFonts w:ascii="Palatino Linotype" w:eastAsia="Palatino Linotype" w:hAnsi="Palatino Linotype" w:cs="Palatino Linotype"/>
        </w:rPr>
        <w:t xml:space="preserve"> </w:t>
      </w:r>
      <w:r w:rsidRPr="00A37AB5">
        <w:rPr>
          <w:rFonts w:ascii="Palatino Linotype" w:eastAsia="Palatino Linotype" w:hAnsi="Palatino Linotype" w:cs="Palatino Linotype"/>
          <w:b/>
          <w:bCs/>
        </w:rPr>
        <w:t xml:space="preserve">Programa Anual de Adquisiciones. </w:t>
      </w:r>
    </w:p>
    <w:p w:rsidR="005029A3" w:rsidRPr="00A37AB5" w:rsidRDefault="00D3459A">
      <w:pPr>
        <w:numPr>
          <w:ilvl w:val="0"/>
          <w:numId w:val="2"/>
        </w:numPr>
        <w:pBdr>
          <w:top w:val="nil"/>
          <w:left w:val="nil"/>
          <w:bottom w:val="nil"/>
          <w:right w:val="nil"/>
          <w:between w:val="nil"/>
        </w:pBdr>
        <w:spacing w:after="0" w:line="360" w:lineRule="auto"/>
        <w:ind w:left="567" w:right="49"/>
        <w:jc w:val="both"/>
        <w:rPr>
          <w:rFonts w:ascii="Palatino Linotype" w:eastAsia="Palatino Linotype" w:hAnsi="Palatino Linotype" w:cs="Palatino Linotype"/>
        </w:rPr>
      </w:pPr>
      <w:r w:rsidRPr="00A37AB5">
        <w:rPr>
          <w:rFonts w:ascii="Palatino Linotype" w:eastAsia="Palatino Linotype" w:hAnsi="Palatino Linotype" w:cs="Palatino Linotype"/>
          <w:b/>
          <w:bCs/>
        </w:rPr>
        <w:t xml:space="preserve">PbRM-07a. Programa Anual de Obra </w:t>
      </w:r>
    </w:p>
    <w:p w:rsidR="005029A3" w:rsidRPr="00A37AB5" w:rsidRDefault="00D3459A">
      <w:pPr>
        <w:numPr>
          <w:ilvl w:val="0"/>
          <w:numId w:val="2"/>
        </w:numPr>
        <w:pBdr>
          <w:top w:val="nil"/>
          <w:left w:val="nil"/>
          <w:bottom w:val="nil"/>
          <w:right w:val="nil"/>
          <w:between w:val="nil"/>
        </w:pBdr>
        <w:spacing w:after="0" w:line="360" w:lineRule="auto"/>
        <w:ind w:left="567" w:right="49"/>
        <w:jc w:val="both"/>
        <w:rPr>
          <w:rFonts w:ascii="Palatino Linotype" w:eastAsia="Palatino Linotype" w:hAnsi="Palatino Linotype" w:cs="Palatino Linotype"/>
        </w:rPr>
      </w:pPr>
      <w:r w:rsidRPr="00A37AB5">
        <w:rPr>
          <w:rFonts w:ascii="Palatino Linotype" w:eastAsia="Palatino Linotype" w:hAnsi="Palatino Linotype" w:cs="Palatino Linotype"/>
          <w:b/>
          <w:bCs/>
        </w:rPr>
        <w:t>PbRM-07b.</w:t>
      </w:r>
      <w:r w:rsidRPr="00A37AB5">
        <w:rPr>
          <w:rFonts w:ascii="Palatino Linotype" w:eastAsia="Palatino Linotype" w:hAnsi="Palatino Linotype" w:cs="Palatino Linotype"/>
        </w:rPr>
        <w:t xml:space="preserve"> </w:t>
      </w:r>
      <w:r w:rsidRPr="00A37AB5">
        <w:rPr>
          <w:rFonts w:ascii="Palatino Linotype" w:eastAsia="Palatino Linotype" w:hAnsi="Palatino Linotype" w:cs="Palatino Linotype"/>
          <w:b/>
          <w:bCs/>
        </w:rPr>
        <w:t xml:space="preserve">Programa Anual de Obras (Reparaciones y Mantenimiento). </w:t>
      </w:r>
    </w:p>
    <w:p w:rsidR="005029A3" w:rsidRPr="00A37AB5" w:rsidRDefault="005029A3">
      <w:pPr>
        <w:spacing w:after="0" w:line="360" w:lineRule="auto"/>
        <w:ind w:right="49"/>
        <w:jc w:val="both"/>
        <w:rPr>
          <w:rFonts w:ascii="Palatino Linotype" w:eastAsia="Palatino Linotype" w:hAnsi="Palatino Linotype" w:cs="Palatino Linotype"/>
        </w:rPr>
      </w:pPr>
    </w:p>
    <w:p w:rsidR="005029A3" w:rsidRPr="00A37AB5" w:rsidRDefault="00D3459A">
      <w:pPr>
        <w:spacing w:after="0" w:line="360" w:lineRule="auto"/>
        <w:ind w:right="49"/>
        <w:jc w:val="both"/>
        <w:rPr>
          <w:rFonts w:ascii="Palatino Linotype" w:eastAsia="Palatino Linotype" w:hAnsi="Palatino Linotype" w:cs="Palatino Linotype"/>
        </w:rPr>
      </w:pPr>
      <w:r w:rsidRPr="00A37AB5">
        <w:rPr>
          <w:rFonts w:ascii="Palatino Linotype" w:eastAsia="Palatino Linotype" w:hAnsi="Palatino Linotype" w:cs="Palatino Linotype"/>
        </w:rPr>
        <w:t>De lo expuesto se colige que, el presupuesto es la estimación financiera anticipada, generalmente anual, de los egresos e ingresos del gobierno, necesario para cumplir con los propósitos de un programa determinado, el cual constituye un instrumento operativo básico para la ejecución de las decisiones de política, económica y de operación a nivel estatal, que en el caso en concreto, a nivel municipal, debe estar basado en resultados (PbR), el cual define en su Glosario, el Manual para la Planeación, Programación y Presupuesto de Egresos Municipal de la siguiente forma:</w:t>
      </w:r>
    </w:p>
    <w:p w:rsidR="005029A3" w:rsidRPr="00A37AB5" w:rsidRDefault="005029A3">
      <w:pPr>
        <w:spacing w:after="0" w:line="360" w:lineRule="auto"/>
        <w:ind w:right="49"/>
        <w:jc w:val="both"/>
        <w:rPr>
          <w:rFonts w:ascii="Palatino Linotype" w:eastAsia="Palatino Linotype" w:hAnsi="Palatino Linotype" w:cs="Palatino Linotype"/>
        </w:rPr>
      </w:pPr>
    </w:p>
    <w:p w:rsidR="005029A3" w:rsidRPr="00A37AB5" w:rsidRDefault="00D3459A">
      <w:pPr>
        <w:spacing w:after="0"/>
        <w:ind w:left="851" w:right="822"/>
        <w:jc w:val="both"/>
        <w:rPr>
          <w:rFonts w:ascii="Palatino Linotype" w:eastAsia="Palatino Linotype" w:hAnsi="Palatino Linotype" w:cs="Palatino Linotype"/>
          <w:i/>
          <w:iCs/>
        </w:rPr>
      </w:pPr>
      <w:r w:rsidRPr="00A37AB5">
        <w:rPr>
          <w:rFonts w:ascii="Palatino Linotype" w:eastAsia="Palatino Linotype" w:hAnsi="Palatino Linotype" w:cs="Palatino Linotype"/>
          <w:b/>
          <w:bCs/>
          <w:i/>
          <w:iCs/>
        </w:rPr>
        <w:t>Presupuesto Basado en Resultados (PbR):</w:t>
      </w:r>
      <w:r w:rsidRPr="00A37AB5">
        <w:rPr>
          <w:rFonts w:ascii="Palatino Linotype" w:eastAsia="Palatino Linotype" w:hAnsi="Palatino Linotype" w:cs="Palatino Linotype"/>
          <w:i/>
          <w:iCs/>
        </w:rPr>
        <w:t xml:space="preserve"> Instrumento de la GpR, que consiste en un conjunto de actividades y herramientas orientados a que las decisiones involucradas en el proceso presupuestario incorporen, sistemáticamente, consideraciones sobre los resultados obtenidos y esperados de la aplicación de los recursos públicos, y que motiven a las dependencias y entidades a lograrlos, con el objeto de mejorar la calidad del gasto público y la rendición de cuentas.</w:t>
      </w:r>
    </w:p>
    <w:p w:rsidR="005029A3" w:rsidRPr="00A37AB5" w:rsidRDefault="005029A3">
      <w:pPr>
        <w:spacing w:after="0" w:line="360" w:lineRule="auto"/>
        <w:ind w:right="49"/>
        <w:jc w:val="both"/>
        <w:rPr>
          <w:rFonts w:ascii="Palatino Linotype" w:eastAsia="Palatino Linotype" w:hAnsi="Palatino Linotype" w:cs="Palatino Linotype"/>
        </w:rPr>
      </w:pPr>
    </w:p>
    <w:p w:rsidR="005029A3" w:rsidRPr="00A37AB5" w:rsidRDefault="00D3459A">
      <w:pPr>
        <w:spacing w:after="0" w:line="360" w:lineRule="auto"/>
        <w:ind w:right="49"/>
        <w:jc w:val="both"/>
        <w:rPr>
          <w:rFonts w:ascii="Palatino Linotype" w:eastAsia="Palatino Linotype" w:hAnsi="Palatino Linotype" w:cs="Palatino Linotype"/>
        </w:rPr>
      </w:pPr>
      <w:r w:rsidRPr="00A37AB5">
        <w:rPr>
          <w:rFonts w:ascii="Palatino Linotype" w:eastAsia="Palatino Linotype" w:hAnsi="Palatino Linotype" w:cs="Palatino Linotype"/>
        </w:rPr>
        <w:t xml:space="preserve">Asimismo, se tiene que, de acuerdo con los Lineamientos para la Integración y Entrega de los Informes Trimestrales Municipales, emitidos por el Órgano Superior de Fiscalización del Estado de México, en la entrega del presupuesto de egresos municipal deben estar contenidos los presupuestos basados en resultados. </w:t>
      </w:r>
    </w:p>
    <w:p w:rsidR="005029A3" w:rsidRPr="00A37AB5" w:rsidRDefault="005029A3">
      <w:pPr>
        <w:spacing w:after="0" w:line="360" w:lineRule="auto"/>
        <w:ind w:right="49"/>
        <w:jc w:val="both"/>
        <w:rPr>
          <w:rFonts w:ascii="Palatino Linotype" w:eastAsia="Palatino Linotype" w:hAnsi="Palatino Linotype" w:cs="Palatino Linotype"/>
        </w:rPr>
      </w:pPr>
    </w:p>
    <w:p w:rsidR="005029A3" w:rsidRPr="00A37AB5" w:rsidRDefault="00D3459A">
      <w:pPr>
        <w:spacing w:after="0" w:line="360" w:lineRule="auto"/>
        <w:ind w:right="49"/>
        <w:jc w:val="both"/>
        <w:rPr>
          <w:rFonts w:ascii="Palatino Linotype" w:eastAsia="Palatino Linotype" w:hAnsi="Palatino Linotype" w:cs="Palatino Linotype"/>
        </w:rPr>
      </w:pPr>
      <w:bookmarkStart w:id="2" w:name="_heading=h.3znysh7" w:colFirst="0" w:colLast="0"/>
      <w:bookmarkEnd w:id="2"/>
      <w:r w:rsidRPr="00A37AB5">
        <w:rPr>
          <w:rFonts w:ascii="Palatino Linotype" w:eastAsia="Palatino Linotype" w:hAnsi="Palatino Linotype" w:cs="Palatino Linotype"/>
        </w:rPr>
        <w:t>Por otro lado, de acuerdo con lo dispuesto por el Reglamento Orgánico de la Administración Pública Municipal de Cuautitlán Izcalli establece que, para el despacho, estudio y planeación de los diversos asuntos, la Administración Pública Municipal estará conformada por las siguientes Dependencias Municipales:</w:t>
      </w:r>
    </w:p>
    <w:p w:rsidR="005029A3" w:rsidRPr="00A37AB5" w:rsidRDefault="005029A3">
      <w:pPr>
        <w:spacing w:after="0" w:line="360" w:lineRule="auto"/>
        <w:ind w:right="49"/>
        <w:jc w:val="both"/>
        <w:rPr>
          <w:rFonts w:ascii="Palatino Linotype" w:eastAsia="Palatino Linotype" w:hAnsi="Palatino Linotype" w:cs="Palatino Linotype"/>
        </w:rPr>
      </w:pPr>
    </w:p>
    <w:p w:rsidR="005029A3" w:rsidRPr="00A37AB5" w:rsidRDefault="00D3459A">
      <w:pPr>
        <w:spacing w:after="0"/>
        <w:ind w:left="851" w:right="843"/>
        <w:jc w:val="both"/>
        <w:rPr>
          <w:rFonts w:ascii="Palatino Linotype" w:eastAsia="Palatino Linotype" w:hAnsi="Palatino Linotype" w:cs="Palatino Linotype"/>
          <w:i/>
          <w:iCs/>
        </w:rPr>
      </w:pPr>
      <w:r w:rsidRPr="00A37AB5">
        <w:rPr>
          <w:rFonts w:ascii="Palatino Linotype" w:eastAsia="Palatino Linotype" w:hAnsi="Palatino Linotype" w:cs="Palatino Linotype"/>
          <w:i/>
          <w:iCs/>
        </w:rPr>
        <w:t>“</w:t>
      </w:r>
      <w:r w:rsidRPr="00A37AB5">
        <w:rPr>
          <w:rFonts w:ascii="Palatino Linotype" w:eastAsia="Palatino Linotype" w:hAnsi="Palatino Linotype" w:cs="Palatino Linotype"/>
          <w:b/>
          <w:bCs/>
          <w:i/>
          <w:iCs/>
        </w:rPr>
        <w:t>Artículo 8.</w:t>
      </w:r>
      <w:r w:rsidRPr="00A37AB5">
        <w:rPr>
          <w:rFonts w:ascii="Palatino Linotype" w:eastAsia="Palatino Linotype" w:hAnsi="Palatino Linotype" w:cs="Palatino Linotype"/>
          <w:i/>
          <w:iCs/>
        </w:rPr>
        <w:t xml:space="preserve"> La Administración Pública Municipal Centralizada estará integrada por las siguientes dependencias, subordinadas jerárquicamente a persona titular de la Presidencia Municipal:</w:t>
      </w:r>
    </w:p>
    <w:p w:rsidR="005029A3" w:rsidRPr="00A37AB5" w:rsidRDefault="00D3459A">
      <w:pPr>
        <w:spacing w:after="0"/>
        <w:ind w:left="851" w:right="843"/>
        <w:jc w:val="both"/>
        <w:rPr>
          <w:rFonts w:ascii="Palatino Linotype" w:eastAsia="Palatino Linotype" w:hAnsi="Palatino Linotype" w:cs="Palatino Linotype"/>
          <w:i/>
          <w:iCs/>
        </w:rPr>
      </w:pPr>
      <w:r w:rsidRPr="00A37AB5">
        <w:rPr>
          <w:rFonts w:ascii="Palatino Linotype" w:eastAsia="Palatino Linotype" w:hAnsi="Palatino Linotype" w:cs="Palatino Linotype"/>
          <w:i/>
          <w:iCs/>
        </w:rPr>
        <w:t xml:space="preserve">I. Tesorería Municipal; </w:t>
      </w:r>
    </w:p>
    <w:p w:rsidR="005029A3" w:rsidRPr="00A37AB5" w:rsidRDefault="00D3459A">
      <w:pPr>
        <w:spacing w:after="0"/>
        <w:ind w:left="851" w:right="843"/>
        <w:jc w:val="both"/>
        <w:rPr>
          <w:rFonts w:ascii="Palatino Linotype" w:eastAsia="Palatino Linotype" w:hAnsi="Palatino Linotype" w:cs="Palatino Linotype"/>
          <w:i/>
          <w:iCs/>
        </w:rPr>
      </w:pPr>
      <w:r w:rsidRPr="00A37AB5">
        <w:rPr>
          <w:rFonts w:ascii="Palatino Linotype" w:eastAsia="Palatino Linotype" w:hAnsi="Palatino Linotype" w:cs="Palatino Linotype"/>
          <w:i/>
          <w:iCs/>
        </w:rPr>
        <w:t xml:space="preserve">II. Contraloría Municipal; </w:t>
      </w:r>
    </w:p>
    <w:p w:rsidR="005029A3" w:rsidRPr="00A37AB5" w:rsidRDefault="00D3459A">
      <w:pPr>
        <w:spacing w:after="0"/>
        <w:ind w:left="851" w:right="843"/>
        <w:jc w:val="both"/>
        <w:rPr>
          <w:rFonts w:ascii="Palatino Linotype" w:eastAsia="Palatino Linotype" w:hAnsi="Palatino Linotype" w:cs="Palatino Linotype"/>
          <w:i/>
          <w:iCs/>
        </w:rPr>
      </w:pPr>
      <w:r w:rsidRPr="00A37AB5">
        <w:rPr>
          <w:rFonts w:ascii="Palatino Linotype" w:eastAsia="Palatino Linotype" w:hAnsi="Palatino Linotype" w:cs="Palatino Linotype"/>
          <w:i/>
          <w:iCs/>
        </w:rPr>
        <w:t xml:space="preserve">III. Dirección de Administración; </w:t>
      </w:r>
    </w:p>
    <w:p w:rsidR="005029A3" w:rsidRPr="00A37AB5" w:rsidRDefault="00D3459A">
      <w:pPr>
        <w:spacing w:after="0"/>
        <w:ind w:left="851" w:right="843"/>
        <w:jc w:val="both"/>
        <w:rPr>
          <w:rFonts w:ascii="Palatino Linotype" w:eastAsia="Palatino Linotype" w:hAnsi="Palatino Linotype" w:cs="Palatino Linotype"/>
          <w:i/>
          <w:iCs/>
        </w:rPr>
      </w:pPr>
      <w:r w:rsidRPr="00A37AB5">
        <w:rPr>
          <w:rFonts w:ascii="Palatino Linotype" w:eastAsia="Palatino Linotype" w:hAnsi="Palatino Linotype" w:cs="Palatino Linotype"/>
          <w:i/>
          <w:iCs/>
        </w:rPr>
        <w:t xml:space="preserve">IV. Secretaría del Ayuntamiento; </w:t>
      </w:r>
    </w:p>
    <w:p w:rsidR="005029A3" w:rsidRPr="00A37AB5" w:rsidRDefault="00D3459A">
      <w:pPr>
        <w:spacing w:after="0"/>
        <w:ind w:left="851" w:right="843"/>
        <w:jc w:val="both"/>
        <w:rPr>
          <w:rFonts w:ascii="Palatino Linotype" w:eastAsia="Palatino Linotype" w:hAnsi="Palatino Linotype" w:cs="Palatino Linotype"/>
          <w:i/>
          <w:iCs/>
        </w:rPr>
      </w:pPr>
      <w:r w:rsidRPr="00A37AB5">
        <w:rPr>
          <w:rFonts w:ascii="Palatino Linotype" w:eastAsia="Palatino Linotype" w:hAnsi="Palatino Linotype" w:cs="Palatino Linotype"/>
          <w:i/>
          <w:iCs/>
        </w:rPr>
        <w:t xml:space="preserve">V. Dirección de Democracia Participativa; </w:t>
      </w:r>
    </w:p>
    <w:p w:rsidR="005029A3" w:rsidRPr="00A37AB5" w:rsidRDefault="00D3459A">
      <w:pPr>
        <w:spacing w:after="0"/>
        <w:ind w:left="851" w:right="843"/>
        <w:jc w:val="both"/>
        <w:rPr>
          <w:rFonts w:ascii="Palatino Linotype" w:eastAsia="Palatino Linotype" w:hAnsi="Palatino Linotype" w:cs="Palatino Linotype"/>
          <w:i/>
          <w:iCs/>
        </w:rPr>
      </w:pPr>
      <w:r w:rsidRPr="00A37AB5">
        <w:rPr>
          <w:rFonts w:ascii="Palatino Linotype" w:eastAsia="Palatino Linotype" w:hAnsi="Palatino Linotype" w:cs="Palatino Linotype"/>
          <w:i/>
          <w:iCs/>
        </w:rPr>
        <w:t xml:space="preserve">VI. Comisaría General de Seguridad Ciudadana; </w:t>
      </w:r>
    </w:p>
    <w:p w:rsidR="005029A3" w:rsidRPr="00A37AB5" w:rsidRDefault="00D3459A">
      <w:pPr>
        <w:spacing w:after="0"/>
        <w:ind w:left="851" w:right="843"/>
        <w:jc w:val="both"/>
        <w:rPr>
          <w:rFonts w:ascii="Palatino Linotype" w:eastAsia="Palatino Linotype" w:hAnsi="Palatino Linotype" w:cs="Palatino Linotype"/>
          <w:i/>
          <w:iCs/>
        </w:rPr>
      </w:pPr>
      <w:r w:rsidRPr="00A37AB5">
        <w:rPr>
          <w:rFonts w:ascii="Palatino Linotype" w:eastAsia="Palatino Linotype" w:hAnsi="Palatino Linotype" w:cs="Palatino Linotype"/>
          <w:i/>
          <w:iCs/>
        </w:rPr>
        <w:t xml:space="preserve">VII. Dirección de Desarrollo Urbano e Infraestructura; </w:t>
      </w:r>
    </w:p>
    <w:p w:rsidR="005029A3" w:rsidRPr="00A37AB5" w:rsidRDefault="00D3459A">
      <w:pPr>
        <w:spacing w:after="0"/>
        <w:ind w:left="851" w:right="843"/>
        <w:jc w:val="both"/>
        <w:rPr>
          <w:rFonts w:ascii="Palatino Linotype" w:eastAsia="Palatino Linotype" w:hAnsi="Palatino Linotype" w:cs="Palatino Linotype"/>
          <w:i/>
          <w:iCs/>
        </w:rPr>
      </w:pPr>
      <w:r w:rsidRPr="00A37AB5">
        <w:rPr>
          <w:rFonts w:ascii="Palatino Linotype" w:eastAsia="Palatino Linotype" w:hAnsi="Palatino Linotype" w:cs="Palatino Linotype"/>
          <w:i/>
          <w:iCs/>
        </w:rPr>
        <w:t xml:space="preserve">VIII. Dirección de Desarrollo Económico; </w:t>
      </w:r>
    </w:p>
    <w:p w:rsidR="005029A3" w:rsidRPr="00A37AB5" w:rsidRDefault="00D3459A">
      <w:pPr>
        <w:spacing w:after="0"/>
        <w:ind w:left="851" w:right="843"/>
        <w:jc w:val="both"/>
        <w:rPr>
          <w:rFonts w:ascii="Palatino Linotype" w:eastAsia="Palatino Linotype" w:hAnsi="Palatino Linotype" w:cs="Palatino Linotype"/>
          <w:i/>
          <w:iCs/>
        </w:rPr>
      </w:pPr>
      <w:r w:rsidRPr="00A37AB5">
        <w:rPr>
          <w:rFonts w:ascii="Palatino Linotype" w:eastAsia="Palatino Linotype" w:hAnsi="Palatino Linotype" w:cs="Palatino Linotype"/>
          <w:i/>
          <w:iCs/>
        </w:rPr>
        <w:t xml:space="preserve">IX. Dirección de Servicios Públicos;  </w:t>
      </w:r>
    </w:p>
    <w:p w:rsidR="005029A3" w:rsidRPr="00A37AB5" w:rsidRDefault="00D3459A">
      <w:pPr>
        <w:spacing w:after="0"/>
        <w:ind w:left="851" w:right="843"/>
        <w:jc w:val="both"/>
        <w:rPr>
          <w:rFonts w:ascii="Palatino Linotype" w:eastAsia="Palatino Linotype" w:hAnsi="Palatino Linotype" w:cs="Palatino Linotype"/>
          <w:i/>
          <w:iCs/>
        </w:rPr>
      </w:pPr>
      <w:r w:rsidRPr="00A37AB5">
        <w:rPr>
          <w:rFonts w:ascii="Palatino Linotype" w:eastAsia="Palatino Linotype" w:hAnsi="Palatino Linotype" w:cs="Palatino Linotype"/>
          <w:i/>
          <w:iCs/>
        </w:rPr>
        <w:t xml:space="preserve">X. Dirección de Bienestar para la Comunidad; </w:t>
      </w:r>
    </w:p>
    <w:p w:rsidR="005029A3" w:rsidRPr="00A37AB5" w:rsidRDefault="00D3459A">
      <w:pPr>
        <w:spacing w:after="0"/>
        <w:ind w:left="851" w:right="843"/>
        <w:jc w:val="both"/>
        <w:rPr>
          <w:rFonts w:ascii="Palatino Linotype" w:eastAsia="Palatino Linotype" w:hAnsi="Palatino Linotype" w:cs="Palatino Linotype"/>
          <w:i/>
          <w:iCs/>
        </w:rPr>
      </w:pPr>
      <w:r w:rsidRPr="00A37AB5">
        <w:rPr>
          <w:rFonts w:ascii="Palatino Linotype" w:eastAsia="Palatino Linotype" w:hAnsi="Palatino Linotype" w:cs="Palatino Linotype"/>
          <w:i/>
          <w:iCs/>
        </w:rPr>
        <w:t xml:space="preserve">XI. Dirección de Sustentabilidad y Medio Ambiente; y </w:t>
      </w:r>
    </w:p>
    <w:p w:rsidR="005029A3" w:rsidRPr="00A37AB5" w:rsidRDefault="00D3459A">
      <w:pPr>
        <w:spacing w:after="0"/>
        <w:ind w:left="851" w:right="843"/>
        <w:jc w:val="both"/>
        <w:rPr>
          <w:rFonts w:ascii="Palatino Linotype" w:eastAsia="Palatino Linotype" w:hAnsi="Palatino Linotype" w:cs="Palatino Linotype"/>
          <w:i/>
          <w:iCs/>
        </w:rPr>
      </w:pPr>
      <w:r w:rsidRPr="00A37AB5">
        <w:rPr>
          <w:rFonts w:ascii="Palatino Linotype" w:eastAsia="Palatino Linotype" w:hAnsi="Palatino Linotype" w:cs="Palatino Linotype"/>
          <w:i/>
          <w:iCs/>
        </w:rPr>
        <w:t>XII. Dirección jurídica.</w:t>
      </w:r>
    </w:p>
    <w:p w:rsidR="005029A3" w:rsidRPr="00A37AB5" w:rsidRDefault="005029A3">
      <w:pPr>
        <w:spacing w:after="0"/>
        <w:ind w:left="851" w:right="843"/>
        <w:jc w:val="both"/>
        <w:rPr>
          <w:rFonts w:ascii="Palatino Linotype" w:eastAsia="Palatino Linotype" w:hAnsi="Palatino Linotype" w:cs="Palatino Linotype"/>
          <w:i/>
          <w:iCs/>
        </w:rPr>
      </w:pPr>
    </w:p>
    <w:p w:rsidR="005029A3" w:rsidRPr="00A37AB5" w:rsidRDefault="00D3459A">
      <w:pPr>
        <w:spacing w:after="0"/>
        <w:ind w:left="851" w:right="843"/>
        <w:jc w:val="both"/>
        <w:rPr>
          <w:rFonts w:ascii="Palatino Linotype" w:eastAsia="Palatino Linotype" w:hAnsi="Palatino Linotype" w:cs="Palatino Linotype"/>
          <w:i/>
          <w:iCs/>
        </w:rPr>
      </w:pPr>
      <w:r w:rsidRPr="00A37AB5">
        <w:rPr>
          <w:rFonts w:ascii="Palatino Linotype" w:eastAsia="Palatino Linotype" w:hAnsi="Palatino Linotype" w:cs="Palatino Linotype"/>
          <w:i/>
          <w:iCs/>
        </w:rPr>
        <w:t xml:space="preserve">Artículo 9. La Administración Pública Descentralizada se integra por: </w:t>
      </w:r>
    </w:p>
    <w:p w:rsidR="005029A3" w:rsidRPr="00A37AB5" w:rsidRDefault="00D3459A">
      <w:pPr>
        <w:spacing w:after="0"/>
        <w:ind w:left="851" w:right="843"/>
        <w:jc w:val="both"/>
        <w:rPr>
          <w:rFonts w:ascii="Palatino Linotype" w:eastAsia="Palatino Linotype" w:hAnsi="Palatino Linotype" w:cs="Palatino Linotype"/>
          <w:i/>
          <w:iCs/>
        </w:rPr>
      </w:pPr>
      <w:r w:rsidRPr="00A37AB5">
        <w:rPr>
          <w:rFonts w:ascii="Palatino Linotype" w:eastAsia="Palatino Linotype" w:hAnsi="Palatino Linotype" w:cs="Palatino Linotype"/>
          <w:i/>
          <w:iCs/>
        </w:rPr>
        <w:t xml:space="preserve">I. Instituto Municipal para la Igualdad, Emancipación y Fortalecimiento Colectivo de las Mujeres, IMGUALDAD. </w:t>
      </w:r>
    </w:p>
    <w:p w:rsidR="005029A3" w:rsidRPr="00A37AB5" w:rsidRDefault="00D3459A">
      <w:pPr>
        <w:spacing w:after="0"/>
        <w:ind w:left="851" w:right="843"/>
        <w:jc w:val="both"/>
        <w:rPr>
          <w:rFonts w:ascii="Palatino Linotype" w:eastAsia="Palatino Linotype" w:hAnsi="Palatino Linotype" w:cs="Palatino Linotype"/>
          <w:b/>
          <w:bCs/>
          <w:i/>
          <w:iCs/>
        </w:rPr>
      </w:pPr>
      <w:r w:rsidRPr="00A37AB5">
        <w:rPr>
          <w:rFonts w:ascii="Palatino Linotype" w:eastAsia="Palatino Linotype" w:hAnsi="Palatino Linotype" w:cs="Palatino Linotype"/>
          <w:b/>
          <w:bCs/>
          <w:i/>
          <w:iCs/>
        </w:rPr>
        <w:t xml:space="preserve">II. Instituto Municipal de Planeación, IMPLAN; e </w:t>
      </w:r>
    </w:p>
    <w:p w:rsidR="005029A3" w:rsidRPr="00A37AB5" w:rsidRDefault="00D3459A">
      <w:pPr>
        <w:spacing w:after="0"/>
        <w:ind w:left="851" w:right="843"/>
        <w:jc w:val="both"/>
        <w:rPr>
          <w:rFonts w:ascii="Palatino Linotype" w:eastAsia="Palatino Linotype" w:hAnsi="Palatino Linotype" w:cs="Palatino Linotype"/>
          <w:i/>
          <w:iCs/>
        </w:rPr>
      </w:pPr>
      <w:r w:rsidRPr="00A37AB5">
        <w:rPr>
          <w:rFonts w:ascii="Palatino Linotype" w:eastAsia="Palatino Linotype" w:hAnsi="Palatino Linotype" w:cs="Palatino Linotype"/>
          <w:i/>
          <w:iCs/>
        </w:rPr>
        <w:t>III. Instituto Municipal de la Juventud de Cuautitlán Izcalli. IMJUCI.</w:t>
      </w:r>
    </w:p>
    <w:p w:rsidR="005029A3" w:rsidRPr="00A37AB5" w:rsidRDefault="00D3459A">
      <w:pPr>
        <w:spacing w:after="0"/>
        <w:ind w:left="851" w:right="843"/>
        <w:jc w:val="both"/>
        <w:rPr>
          <w:rFonts w:ascii="Palatino Linotype" w:eastAsia="Palatino Linotype" w:hAnsi="Palatino Linotype" w:cs="Palatino Linotype"/>
          <w:i/>
          <w:iCs/>
        </w:rPr>
      </w:pPr>
      <w:r w:rsidRPr="00A37AB5">
        <w:rPr>
          <w:rFonts w:ascii="Palatino Linotype" w:eastAsia="Palatino Linotype" w:hAnsi="Palatino Linotype" w:cs="Palatino Linotype"/>
          <w:i/>
          <w:iCs/>
        </w:rPr>
        <w:t>…</w:t>
      </w:r>
    </w:p>
    <w:p w:rsidR="005029A3" w:rsidRPr="00A37AB5" w:rsidRDefault="00D3459A">
      <w:pPr>
        <w:spacing w:after="0"/>
        <w:ind w:left="851" w:right="843"/>
        <w:jc w:val="both"/>
        <w:rPr>
          <w:rFonts w:ascii="Palatino Linotype" w:eastAsia="Palatino Linotype" w:hAnsi="Palatino Linotype" w:cs="Palatino Linotype"/>
          <w:i/>
          <w:iCs/>
        </w:rPr>
      </w:pPr>
      <w:r w:rsidRPr="00A37AB5">
        <w:rPr>
          <w:rFonts w:ascii="Palatino Linotype" w:eastAsia="Palatino Linotype" w:hAnsi="Palatino Linotype" w:cs="Palatino Linotype"/>
          <w:b/>
          <w:bCs/>
          <w:i/>
          <w:iCs/>
        </w:rPr>
        <w:t>Artículo 73.</w:t>
      </w:r>
      <w:r w:rsidRPr="00A37AB5">
        <w:rPr>
          <w:rFonts w:ascii="Palatino Linotype" w:eastAsia="Palatino Linotype" w:hAnsi="Palatino Linotype" w:cs="Palatino Linotype"/>
          <w:i/>
          <w:iCs/>
        </w:rPr>
        <w:t xml:space="preserve"> La persona titular de la Departamento de Egresos y Control Presupuestal tendrá las siguientes atribuciones:</w:t>
      </w:r>
    </w:p>
    <w:p w:rsidR="005029A3" w:rsidRPr="00A37AB5" w:rsidRDefault="00D3459A">
      <w:pPr>
        <w:spacing w:after="0"/>
        <w:ind w:left="851" w:right="843"/>
        <w:jc w:val="both"/>
        <w:rPr>
          <w:rFonts w:ascii="Palatino Linotype" w:eastAsia="Palatino Linotype" w:hAnsi="Palatino Linotype" w:cs="Palatino Linotype"/>
          <w:i/>
          <w:iCs/>
        </w:rPr>
      </w:pPr>
      <w:r w:rsidRPr="00A37AB5">
        <w:rPr>
          <w:rFonts w:ascii="Palatino Linotype" w:eastAsia="Palatino Linotype" w:hAnsi="Palatino Linotype" w:cs="Palatino Linotype"/>
          <w:i/>
          <w:iCs/>
        </w:rPr>
        <w:t>…</w:t>
      </w:r>
    </w:p>
    <w:p w:rsidR="005029A3" w:rsidRPr="00A37AB5" w:rsidRDefault="00D3459A">
      <w:pPr>
        <w:spacing w:after="0"/>
        <w:ind w:left="851" w:right="843"/>
        <w:jc w:val="both"/>
        <w:rPr>
          <w:rFonts w:ascii="Palatino Linotype" w:eastAsia="Palatino Linotype" w:hAnsi="Palatino Linotype" w:cs="Palatino Linotype"/>
          <w:i/>
          <w:iCs/>
        </w:rPr>
      </w:pPr>
      <w:r w:rsidRPr="00A37AB5">
        <w:rPr>
          <w:rFonts w:ascii="Palatino Linotype" w:eastAsia="Palatino Linotype" w:hAnsi="Palatino Linotype" w:cs="Palatino Linotype"/>
          <w:i/>
          <w:iCs/>
        </w:rPr>
        <w:t>XXIV. Coordinar con el Instituto Municipal de Planeación los trabajos del Grupo Interno de Programación y Presupuestación;</w:t>
      </w:r>
    </w:p>
    <w:p w:rsidR="005029A3" w:rsidRPr="00A37AB5" w:rsidRDefault="005029A3">
      <w:pPr>
        <w:spacing w:after="0"/>
        <w:ind w:left="851" w:right="843"/>
        <w:jc w:val="both"/>
        <w:rPr>
          <w:rFonts w:ascii="Palatino Linotype" w:eastAsia="Palatino Linotype" w:hAnsi="Palatino Linotype" w:cs="Palatino Linotype"/>
          <w:i/>
          <w:iCs/>
        </w:rPr>
      </w:pPr>
    </w:p>
    <w:p w:rsidR="005029A3" w:rsidRPr="00A37AB5" w:rsidRDefault="00D3459A">
      <w:pPr>
        <w:spacing w:after="0"/>
        <w:ind w:left="851" w:right="843"/>
        <w:jc w:val="both"/>
        <w:rPr>
          <w:rFonts w:ascii="Palatino Linotype" w:eastAsia="Palatino Linotype" w:hAnsi="Palatino Linotype" w:cs="Palatino Linotype"/>
          <w:b/>
          <w:bCs/>
          <w:i/>
          <w:iCs/>
        </w:rPr>
      </w:pPr>
      <w:r w:rsidRPr="00A37AB5">
        <w:rPr>
          <w:rFonts w:ascii="Palatino Linotype" w:eastAsia="Palatino Linotype" w:hAnsi="Palatino Linotype" w:cs="Palatino Linotype"/>
          <w:b/>
          <w:bCs/>
          <w:i/>
          <w:iCs/>
        </w:rPr>
        <w:t>Artículo 238.- El Instituto Municipal de Planeación</w:t>
      </w:r>
      <w:r w:rsidRPr="00A37AB5">
        <w:rPr>
          <w:rFonts w:ascii="Palatino Linotype" w:eastAsia="Palatino Linotype" w:hAnsi="Palatino Linotype" w:cs="Palatino Linotype"/>
          <w:i/>
          <w:iCs/>
        </w:rPr>
        <w:t xml:space="preserve"> estará a cargo de una persona Titular, que además de las atribuciones establecidas en las disposiciones legales y reglamentarias de la materia, </w:t>
      </w:r>
      <w:r w:rsidRPr="00A37AB5">
        <w:rPr>
          <w:rFonts w:ascii="Palatino Linotype" w:eastAsia="Palatino Linotype" w:hAnsi="Palatino Linotype" w:cs="Palatino Linotype"/>
          <w:b/>
          <w:bCs/>
          <w:i/>
          <w:iCs/>
        </w:rPr>
        <w:t>contará con las siguientes atribuciones:</w:t>
      </w:r>
    </w:p>
    <w:p w:rsidR="005029A3" w:rsidRPr="00A37AB5" w:rsidRDefault="00D3459A">
      <w:pPr>
        <w:spacing w:after="0"/>
        <w:ind w:left="851" w:right="843"/>
        <w:jc w:val="both"/>
        <w:rPr>
          <w:rFonts w:ascii="Palatino Linotype" w:eastAsia="Palatino Linotype" w:hAnsi="Palatino Linotype" w:cs="Palatino Linotype"/>
          <w:b/>
          <w:bCs/>
          <w:i/>
          <w:iCs/>
        </w:rPr>
      </w:pPr>
      <w:r w:rsidRPr="00A37AB5">
        <w:rPr>
          <w:rFonts w:ascii="Palatino Linotype" w:eastAsia="Palatino Linotype" w:hAnsi="Palatino Linotype" w:cs="Palatino Linotype"/>
          <w:b/>
          <w:bCs/>
          <w:i/>
          <w:iCs/>
        </w:rPr>
        <w:t>…</w:t>
      </w:r>
    </w:p>
    <w:p w:rsidR="005029A3" w:rsidRPr="00A37AB5" w:rsidRDefault="00D3459A">
      <w:pPr>
        <w:spacing w:after="0"/>
        <w:ind w:left="851" w:right="843"/>
        <w:jc w:val="both"/>
        <w:rPr>
          <w:rFonts w:ascii="Palatino Linotype" w:eastAsia="Palatino Linotype" w:hAnsi="Palatino Linotype" w:cs="Palatino Linotype"/>
          <w:i/>
          <w:iCs/>
        </w:rPr>
      </w:pPr>
      <w:r w:rsidRPr="00A37AB5">
        <w:rPr>
          <w:rFonts w:ascii="Palatino Linotype" w:eastAsia="Palatino Linotype" w:hAnsi="Palatino Linotype" w:cs="Palatino Linotype"/>
          <w:i/>
          <w:iCs/>
        </w:rPr>
        <w:t xml:space="preserve">VI. Supervisar que los resultados de los mecanismos de participación para la formulación del Plan de Desarrollo Municipal se plasmen en el documento correspondiente; </w:t>
      </w:r>
    </w:p>
    <w:p w:rsidR="005029A3" w:rsidRPr="00A37AB5" w:rsidRDefault="00D3459A">
      <w:pPr>
        <w:spacing w:after="0"/>
        <w:ind w:left="851" w:right="843"/>
        <w:jc w:val="both"/>
        <w:rPr>
          <w:rFonts w:ascii="Palatino Linotype" w:eastAsia="Palatino Linotype" w:hAnsi="Palatino Linotype" w:cs="Palatino Linotype"/>
          <w:i/>
          <w:iCs/>
        </w:rPr>
      </w:pPr>
      <w:r w:rsidRPr="00A37AB5">
        <w:rPr>
          <w:rFonts w:ascii="Palatino Linotype" w:eastAsia="Palatino Linotype" w:hAnsi="Palatino Linotype" w:cs="Palatino Linotype"/>
          <w:i/>
          <w:iCs/>
        </w:rPr>
        <w:t xml:space="preserve">VII. Determinar estrategias encaminadas a garantizar el cumplimiento de los objetivos y metas establecidas en el Plan de Desarrollo Municipal y sus programas; </w:t>
      </w:r>
    </w:p>
    <w:p w:rsidR="005029A3" w:rsidRPr="00A37AB5" w:rsidRDefault="00D3459A">
      <w:pPr>
        <w:spacing w:after="0"/>
        <w:ind w:left="851" w:right="843"/>
        <w:jc w:val="both"/>
        <w:rPr>
          <w:rFonts w:ascii="Palatino Linotype" w:eastAsia="Palatino Linotype" w:hAnsi="Palatino Linotype" w:cs="Palatino Linotype"/>
          <w:i/>
          <w:iCs/>
        </w:rPr>
      </w:pPr>
      <w:r w:rsidRPr="00A37AB5">
        <w:rPr>
          <w:rFonts w:ascii="Palatino Linotype" w:eastAsia="Palatino Linotype" w:hAnsi="Palatino Linotype" w:cs="Palatino Linotype"/>
          <w:b/>
          <w:bCs/>
          <w:i/>
          <w:iCs/>
        </w:rPr>
        <w:t>VIII. Supervisar, en coordinación con la Tesorería, el anteproyecto, proyecto y presupuesto basado en resultados, asegurando en todo momento la congruencia con los objetivos y metas establecidos en el Plan de Desarrollo Municipal y sus programas</w:t>
      </w:r>
      <w:r w:rsidRPr="00A37AB5">
        <w:rPr>
          <w:rFonts w:ascii="Palatino Linotype" w:eastAsia="Palatino Linotype" w:hAnsi="Palatino Linotype" w:cs="Palatino Linotype"/>
          <w:i/>
          <w:iCs/>
        </w:rPr>
        <w:t>;</w:t>
      </w:r>
    </w:p>
    <w:p w:rsidR="005029A3" w:rsidRPr="00A37AB5" w:rsidRDefault="00D3459A">
      <w:pPr>
        <w:spacing w:after="0"/>
        <w:ind w:left="851" w:right="843"/>
        <w:jc w:val="both"/>
        <w:rPr>
          <w:rFonts w:ascii="Palatino Linotype" w:eastAsia="Palatino Linotype" w:hAnsi="Palatino Linotype" w:cs="Palatino Linotype"/>
          <w:i/>
          <w:iCs/>
        </w:rPr>
      </w:pPr>
      <w:r w:rsidRPr="00A37AB5">
        <w:rPr>
          <w:rFonts w:ascii="Palatino Linotype" w:eastAsia="Palatino Linotype" w:hAnsi="Palatino Linotype" w:cs="Palatino Linotype"/>
          <w:i/>
          <w:iCs/>
        </w:rPr>
        <w:t>…</w:t>
      </w:r>
    </w:p>
    <w:p w:rsidR="005029A3" w:rsidRPr="00A37AB5" w:rsidRDefault="00D3459A">
      <w:pPr>
        <w:spacing w:after="0"/>
        <w:ind w:left="851" w:right="843"/>
        <w:jc w:val="both"/>
        <w:rPr>
          <w:rFonts w:ascii="Palatino Linotype" w:eastAsia="Palatino Linotype" w:hAnsi="Palatino Linotype" w:cs="Palatino Linotype"/>
          <w:i/>
          <w:iCs/>
        </w:rPr>
      </w:pPr>
      <w:r w:rsidRPr="00A37AB5">
        <w:rPr>
          <w:rFonts w:ascii="Palatino Linotype" w:eastAsia="Palatino Linotype" w:hAnsi="Palatino Linotype" w:cs="Palatino Linotype"/>
          <w:b/>
          <w:bCs/>
          <w:i/>
          <w:iCs/>
        </w:rPr>
        <w:t>XI. Promover y verificar que los programas, proyectos y acciones que deban integrarse al anteproyecto, proyecto y Presupuesto Basado en Resultados, guarden total vinculación y congruencia con el Plan de Desarrollo Municipal y sus programas</w:t>
      </w:r>
      <w:r w:rsidRPr="00A37AB5">
        <w:rPr>
          <w:rFonts w:ascii="Palatino Linotype" w:eastAsia="Palatino Linotype" w:hAnsi="Palatino Linotype" w:cs="Palatino Linotype"/>
          <w:i/>
          <w:iCs/>
        </w:rPr>
        <w:t>;</w:t>
      </w:r>
    </w:p>
    <w:p w:rsidR="005029A3" w:rsidRPr="00A37AB5" w:rsidRDefault="00D3459A">
      <w:pPr>
        <w:spacing w:after="0"/>
        <w:ind w:left="851" w:right="843"/>
        <w:jc w:val="both"/>
        <w:rPr>
          <w:rFonts w:ascii="Palatino Linotype" w:eastAsia="Palatino Linotype" w:hAnsi="Palatino Linotype" w:cs="Palatino Linotype"/>
          <w:i/>
          <w:iCs/>
        </w:rPr>
      </w:pPr>
      <w:r w:rsidRPr="00A37AB5">
        <w:rPr>
          <w:rFonts w:ascii="Palatino Linotype" w:eastAsia="Palatino Linotype" w:hAnsi="Palatino Linotype" w:cs="Palatino Linotype"/>
          <w:i/>
          <w:iCs/>
        </w:rPr>
        <w:t>XII. Supervisar la integración, actualización, reconducción y seguimiento de los programas, proyectos y metas que conforman el Presupuesto Basado en Resultados de las Dependencias y Órganos Desconcentrados;</w:t>
      </w:r>
    </w:p>
    <w:p w:rsidR="005029A3" w:rsidRPr="00A37AB5" w:rsidRDefault="00D3459A">
      <w:pPr>
        <w:spacing w:after="0"/>
        <w:ind w:left="851" w:right="843"/>
        <w:jc w:val="both"/>
        <w:rPr>
          <w:rFonts w:ascii="Palatino Linotype" w:eastAsia="Palatino Linotype" w:hAnsi="Palatino Linotype" w:cs="Palatino Linotype"/>
          <w:i/>
          <w:iCs/>
        </w:rPr>
      </w:pPr>
      <w:r w:rsidRPr="00A37AB5">
        <w:rPr>
          <w:rFonts w:ascii="Palatino Linotype" w:eastAsia="Palatino Linotype" w:hAnsi="Palatino Linotype" w:cs="Palatino Linotype"/>
          <w:i/>
          <w:iCs/>
        </w:rPr>
        <w:t>XIII. Supervisar, actualizar y validar la estructura programática - presupuestal de las dependencias y de los órganos desconcentrados, así como coordinar su integración en el presupuesto de egresos municipal;</w:t>
      </w:r>
    </w:p>
    <w:p w:rsidR="005029A3" w:rsidRPr="00A37AB5" w:rsidRDefault="00D3459A">
      <w:pPr>
        <w:spacing w:after="0"/>
        <w:ind w:left="851" w:right="843"/>
        <w:jc w:val="both"/>
        <w:rPr>
          <w:rFonts w:ascii="Palatino Linotype" w:eastAsia="Palatino Linotype" w:hAnsi="Palatino Linotype" w:cs="Palatino Linotype"/>
          <w:i/>
          <w:iCs/>
        </w:rPr>
      </w:pPr>
      <w:r w:rsidRPr="00A37AB5">
        <w:rPr>
          <w:rFonts w:ascii="Palatino Linotype" w:eastAsia="Palatino Linotype" w:hAnsi="Palatino Linotype" w:cs="Palatino Linotype"/>
          <w:i/>
          <w:iCs/>
        </w:rPr>
        <w:t>…</w:t>
      </w:r>
    </w:p>
    <w:p w:rsidR="005029A3" w:rsidRPr="00A37AB5" w:rsidRDefault="00D3459A">
      <w:pPr>
        <w:spacing w:after="0"/>
        <w:ind w:left="851" w:right="843"/>
        <w:jc w:val="both"/>
        <w:rPr>
          <w:rFonts w:ascii="Palatino Linotype" w:eastAsia="Palatino Linotype" w:hAnsi="Palatino Linotype" w:cs="Palatino Linotype"/>
          <w:i/>
          <w:iCs/>
        </w:rPr>
      </w:pPr>
      <w:r w:rsidRPr="00A37AB5">
        <w:rPr>
          <w:rFonts w:ascii="Palatino Linotype" w:eastAsia="Palatino Linotype" w:hAnsi="Palatino Linotype" w:cs="Palatino Linotype"/>
          <w:b/>
          <w:bCs/>
          <w:i/>
          <w:iCs/>
        </w:rPr>
        <w:t xml:space="preserve">XXVI. Entregar a la Tesorería Municipal, la información en materia programática para integrar los informes trimestrales </w:t>
      </w:r>
      <w:r w:rsidRPr="00A37AB5">
        <w:rPr>
          <w:rFonts w:ascii="Palatino Linotype" w:eastAsia="Palatino Linotype" w:hAnsi="Palatino Linotype" w:cs="Palatino Linotype"/>
          <w:i/>
          <w:iCs/>
        </w:rPr>
        <w:t>para el reporte al Órgano Superior de Fiscalización del Estado de México;</w:t>
      </w:r>
    </w:p>
    <w:p w:rsidR="005029A3" w:rsidRPr="00A37AB5" w:rsidRDefault="00D3459A">
      <w:pPr>
        <w:spacing w:after="0"/>
        <w:ind w:left="851" w:right="843"/>
        <w:jc w:val="both"/>
        <w:rPr>
          <w:rFonts w:ascii="Palatino Linotype" w:eastAsia="Palatino Linotype" w:hAnsi="Palatino Linotype" w:cs="Palatino Linotype"/>
          <w:i/>
          <w:iCs/>
        </w:rPr>
      </w:pPr>
      <w:r w:rsidRPr="00A37AB5">
        <w:rPr>
          <w:rFonts w:ascii="Palatino Linotype" w:eastAsia="Palatino Linotype" w:hAnsi="Palatino Linotype" w:cs="Palatino Linotype"/>
          <w:i/>
          <w:iCs/>
        </w:rPr>
        <w:t>…</w:t>
      </w:r>
    </w:p>
    <w:p w:rsidR="005029A3" w:rsidRPr="00A37AB5" w:rsidRDefault="00D3459A">
      <w:pPr>
        <w:spacing w:after="0"/>
        <w:ind w:left="851" w:right="843"/>
        <w:jc w:val="both"/>
        <w:rPr>
          <w:rFonts w:ascii="Palatino Linotype" w:eastAsia="Palatino Linotype" w:hAnsi="Palatino Linotype" w:cs="Palatino Linotype"/>
          <w:i/>
          <w:iCs/>
        </w:rPr>
      </w:pPr>
      <w:r w:rsidRPr="00A37AB5">
        <w:rPr>
          <w:rFonts w:ascii="Palatino Linotype" w:eastAsia="Palatino Linotype" w:hAnsi="Palatino Linotype" w:cs="Palatino Linotype"/>
          <w:b/>
          <w:bCs/>
          <w:i/>
          <w:iCs/>
        </w:rPr>
        <w:t>Artículo 241.-</w:t>
      </w:r>
      <w:r w:rsidRPr="00A37AB5">
        <w:rPr>
          <w:rFonts w:ascii="Palatino Linotype" w:eastAsia="Palatino Linotype" w:hAnsi="Palatino Linotype" w:cs="Palatino Linotype"/>
          <w:i/>
          <w:iCs/>
        </w:rPr>
        <w:t xml:space="preserve"> La persona titular del </w:t>
      </w:r>
      <w:r w:rsidRPr="00A37AB5">
        <w:rPr>
          <w:rFonts w:ascii="Palatino Linotype" w:eastAsia="Palatino Linotype" w:hAnsi="Palatino Linotype" w:cs="Palatino Linotype"/>
          <w:b/>
          <w:bCs/>
          <w:i/>
          <w:iCs/>
        </w:rPr>
        <w:t>Departamento de Planeación, Programación y Presupuestación, tendrá las siguientes atribuciones:</w:t>
      </w:r>
      <w:r w:rsidRPr="00A37AB5">
        <w:rPr>
          <w:rFonts w:ascii="Palatino Linotype" w:eastAsia="Palatino Linotype" w:hAnsi="Palatino Linotype" w:cs="Palatino Linotype"/>
          <w:b/>
          <w:bCs/>
          <w:i/>
          <w:iCs/>
        </w:rPr>
        <w:br/>
      </w:r>
      <w:r w:rsidRPr="00A37AB5">
        <w:t xml:space="preserve"> </w:t>
      </w:r>
      <w:r w:rsidRPr="00A37AB5">
        <w:rPr>
          <w:rFonts w:ascii="Palatino Linotype" w:eastAsia="Palatino Linotype" w:hAnsi="Palatino Linotype" w:cs="Palatino Linotype"/>
          <w:i/>
          <w:iCs/>
        </w:rPr>
        <w:t>I. Coadyuvar en la coordinación del Comité de Planeación para el Desarrollo Municipal COPLADEMUN en las acciones para la elaboración, aprobación, ejecución, seguimiento, evaluación y reconducción del Plan de Desarrollo Municipal y sus programas;</w:t>
      </w:r>
      <w:r w:rsidRPr="00A37AB5">
        <w:rPr>
          <w:rFonts w:ascii="Palatino Linotype" w:eastAsia="Palatino Linotype" w:hAnsi="Palatino Linotype" w:cs="Palatino Linotype"/>
          <w:i/>
          <w:iCs/>
        </w:rPr>
        <w:br/>
        <w:t>…</w:t>
      </w:r>
    </w:p>
    <w:p w:rsidR="005029A3" w:rsidRPr="00A37AB5" w:rsidRDefault="00D3459A">
      <w:pPr>
        <w:spacing w:after="0"/>
        <w:ind w:left="851" w:right="843"/>
        <w:jc w:val="both"/>
        <w:rPr>
          <w:rFonts w:ascii="Palatino Linotype" w:eastAsia="Palatino Linotype" w:hAnsi="Palatino Linotype" w:cs="Palatino Linotype"/>
          <w:b/>
          <w:bCs/>
          <w:i/>
          <w:iCs/>
        </w:rPr>
      </w:pPr>
      <w:r w:rsidRPr="00A37AB5">
        <w:rPr>
          <w:rFonts w:ascii="Palatino Linotype" w:eastAsia="Palatino Linotype" w:hAnsi="Palatino Linotype" w:cs="Palatino Linotype"/>
          <w:i/>
          <w:iCs/>
        </w:rPr>
        <w:t>VI. Elaborar e integrar, en coordinación con la Tesorería, el anteproyecto, proyecto y presupuesto basado en resultados, asegurando en todo momento la congruencia con los objetivos y metas establecidos en el Plan de Desarrollo Municipal y sus programas;</w:t>
      </w:r>
    </w:p>
    <w:p w:rsidR="005029A3" w:rsidRPr="00A37AB5" w:rsidRDefault="005029A3">
      <w:pPr>
        <w:spacing w:after="0"/>
        <w:ind w:left="851" w:right="843"/>
        <w:jc w:val="both"/>
        <w:rPr>
          <w:rFonts w:ascii="Palatino Linotype" w:eastAsia="Palatino Linotype" w:hAnsi="Palatino Linotype" w:cs="Palatino Linotype"/>
          <w:i/>
          <w:iCs/>
        </w:rPr>
      </w:pPr>
    </w:p>
    <w:p w:rsidR="005029A3" w:rsidRPr="00A37AB5" w:rsidRDefault="00D3459A">
      <w:pPr>
        <w:spacing w:after="0"/>
        <w:ind w:left="851" w:right="843"/>
        <w:jc w:val="both"/>
        <w:rPr>
          <w:rFonts w:ascii="Palatino Linotype" w:eastAsia="Palatino Linotype" w:hAnsi="Palatino Linotype" w:cs="Palatino Linotype"/>
          <w:i/>
          <w:iCs/>
        </w:rPr>
      </w:pPr>
      <w:r w:rsidRPr="00A37AB5">
        <w:rPr>
          <w:rFonts w:ascii="Palatino Linotype" w:eastAsia="Palatino Linotype" w:hAnsi="Palatino Linotype" w:cs="Palatino Linotype"/>
          <w:b/>
          <w:bCs/>
          <w:i/>
          <w:iCs/>
        </w:rPr>
        <w:t>Artículo 242.-</w:t>
      </w:r>
      <w:r w:rsidRPr="00A37AB5">
        <w:rPr>
          <w:rFonts w:ascii="Palatino Linotype" w:eastAsia="Palatino Linotype" w:hAnsi="Palatino Linotype" w:cs="Palatino Linotype"/>
          <w:i/>
          <w:iCs/>
        </w:rPr>
        <w:t xml:space="preserve"> La persona titular del </w:t>
      </w:r>
      <w:r w:rsidRPr="00A37AB5">
        <w:rPr>
          <w:rFonts w:ascii="Palatino Linotype" w:eastAsia="Palatino Linotype" w:hAnsi="Palatino Linotype" w:cs="Palatino Linotype"/>
          <w:b/>
          <w:bCs/>
          <w:i/>
          <w:iCs/>
        </w:rPr>
        <w:t>Departamento de Evaluación, Control y Seguimiento</w:t>
      </w:r>
      <w:r w:rsidRPr="00A37AB5">
        <w:rPr>
          <w:rFonts w:ascii="Palatino Linotype" w:eastAsia="Palatino Linotype" w:hAnsi="Palatino Linotype" w:cs="Palatino Linotype"/>
          <w:i/>
          <w:iCs/>
        </w:rPr>
        <w:t>, tendrá las siguientes atribuciones:</w:t>
      </w:r>
    </w:p>
    <w:p w:rsidR="005029A3" w:rsidRPr="00A37AB5" w:rsidRDefault="00D3459A">
      <w:pPr>
        <w:spacing w:after="0"/>
        <w:ind w:left="851" w:right="843"/>
        <w:jc w:val="both"/>
        <w:rPr>
          <w:rFonts w:ascii="Palatino Linotype" w:eastAsia="Palatino Linotype" w:hAnsi="Palatino Linotype" w:cs="Palatino Linotype"/>
          <w:i/>
          <w:iCs/>
        </w:rPr>
      </w:pPr>
      <w:r w:rsidRPr="00A37AB5">
        <w:rPr>
          <w:rFonts w:ascii="Palatino Linotype" w:eastAsia="Palatino Linotype" w:hAnsi="Palatino Linotype" w:cs="Palatino Linotype"/>
          <w:i/>
          <w:iCs/>
        </w:rPr>
        <w:t>…</w:t>
      </w:r>
    </w:p>
    <w:p w:rsidR="005029A3" w:rsidRPr="00A37AB5" w:rsidRDefault="00D3459A">
      <w:pPr>
        <w:spacing w:after="0"/>
        <w:ind w:left="851" w:right="843"/>
        <w:jc w:val="both"/>
        <w:rPr>
          <w:rFonts w:ascii="Palatino Linotype" w:eastAsia="Palatino Linotype" w:hAnsi="Palatino Linotype" w:cs="Palatino Linotype"/>
          <w:i/>
          <w:iCs/>
        </w:rPr>
      </w:pPr>
      <w:r w:rsidRPr="00A37AB5">
        <w:rPr>
          <w:rFonts w:ascii="Palatino Linotype" w:eastAsia="Palatino Linotype" w:hAnsi="Palatino Linotype" w:cs="Palatino Linotype"/>
          <w:b/>
          <w:bCs/>
          <w:i/>
          <w:iCs/>
        </w:rPr>
        <w:t>V. Evaluar trimestralmente el cumplimiento de los objetivos y metas del Plan de Desarrollo Municipal y sus programas</w:t>
      </w:r>
      <w:r w:rsidRPr="00A37AB5">
        <w:rPr>
          <w:rFonts w:ascii="Palatino Linotype" w:eastAsia="Palatino Linotype" w:hAnsi="Palatino Linotype" w:cs="Palatino Linotype"/>
          <w:i/>
          <w:iCs/>
        </w:rPr>
        <w:t>; …”</w:t>
      </w:r>
    </w:p>
    <w:p w:rsidR="005029A3" w:rsidRPr="00A37AB5" w:rsidRDefault="00D3459A">
      <w:pPr>
        <w:spacing w:after="0"/>
        <w:ind w:left="851" w:right="843"/>
        <w:jc w:val="both"/>
        <w:rPr>
          <w:rFonts w:ascii="Palatino Linotype" w:eastAsia="Palatino Linotype" w:hAnsi="Palatino Linotype" w:cs="Palatino Linotype"/>
          <w:i/>
          <w:iCs/>
        </w:rPr>
      </w:pPr>
      <w:r w:rsidRPr="00A37AB5">
        <w:rPr>
          <w:rFonts w:ascii="Palatino Linotype" w:eastAsia="Palatino Linotype" w:hAnsi="Palatino Linotype" w:cs="Palatino Linotype"/>
          <w:i/>
          <w:iCs/>
        </w:rPr>
        <w:t>(Énfasis Añadido)</w:t>
      </w:r>
    </w:p>
    <w:p w:rsidR="005029A3" w:rsidRPr="00A37AB5" w:rsidRDefault="005029A3">
      <w:pPr>
        <w:spacing w:after="0" w:line="360" w:lineRule="auto"/>
        <w:ind w:right="49"/>
        <w:jc w:val="both"/>
        <w:rPr>
          <w:rFonts w:ascii="Palatino Linotype" w:eastAsia="Palatino Linotype" w:hAnsi="Palatino Linotype" w:cs="Palatino Linotype"/>
        </w:rPr>
      </w:pPr>
    </w:p>
    <w:p w:rsidR="005029A3" w:rsidRPr="00A37AB5" w:rsidRDefault="00D3459A">
      <w:pPr>
        <w:spacing w:after="0" w:line="360" w:lineRule="auto"/>
        <w:ind w:right="49"/>
        <w:jc w:val="both"/>
        <w:rPr>
          <w:rFonts w:ascii="Palatino Linotype" w:eastAsia="Palatino Linotype" w:hAnsi="Palatino Linotype" w:cs="Palatino Linotype"/>
          <w:b/>
          <w:bCs/>
        </w:rPr>
      </w:pPr>
      <w:r w:rsidRPr="00A37AB5">
        <w:rPr>
          <w:rFonts w:ascii="Palatino Linotype" w:eastAsia="Palatino Linotype" w:hAnsi="Palatino Linotype" w:cs="Palatino Linotype"/>
        </w:rPr>
        <w:t>De lo anterior, se colige que la información relacionada con el presupuesto y con ello, de los formatos del Presupuesto Basado en Resultados, es información que es generada, administrada y poseída por este Sujeto Obligado, en ejercicio de las atribuciones, facultades y competencias de sus unidades administrativas, de manera enunciativa más no limitativa, por la Tesorería Municipal y el Instituto Municipal de Planeación.</w:t>
      </w:r>
      <w:r w:rsidRPr="00A37AB5">
        <w:rPr>
          <w:rFonts w:ascii="Palatino Linotype" w:eastAsia="Palatino Linotype" w:hAnsi="Palatino Linotype" w:cs="Palatino Linotype"/>
          <w:b/>
          <w:bCs/>
        </w:rPr>
        <w:t xml:space="preserve">  </w:t>
      </w:r>
    </w:p>
    <w:p w:rsidR="005029A3" w:rsidRPr="00A37AB5" w:rsidRDefault="005029A3">
      <w:pPr>
        <w:spacing w:after="0" w:line="360" w:lineRule="auto"/>
        <w:ind w:right="49"/>
        <w:jc w:val="both"/>
        <w:rPr>
          <w:rFonts w:ascii="Palatino Linotype" w:eastAsia="Palatino Linotype" w:hAnsi="Palatino Linotype" w:cs="Palatino Linotype"/>
        </w:rPr>
      </w:pPr>
    </w:p>
    <w:p w:rsidR="005029A3" w:rsidRPr="00A37AB5" w:rsidRDefault="00D3459A">
      <w:pPr>
        <w:spacing w:after="0" w:line="360" w:lineRule="auto"/>
        <w:ind w:right="49"/>
        <w:jc w:val="both"/>
        <w:rPr>
          <w:rFonts w:ascii="Palatino Linotype" w:eastAsia="Palatino Linotype" w:hAnsi="Palatino Linotype" w:cs="Palatino Linotype"/>
        </w:rPr>
      </w:pPr>
      <w:bookmarkStart w:id="3" w:name="_heading=h.hwps9c89vxso" w:colFirst="0" w:colLast="0"/>
      <w:bookmarkEnd w:id="3"/>
      <w:r w:rsidRPr="00A37AB5">
        <w:rPr>
          <w:rFonts w:ascii="Palatino Linotype" w:eastAsia="Palatino Linotype" w:hAnsi="Palatino Linotype" w:cs="Palatino Linotype"/>
        </w:rPr>
        <w:t xml:space="preserve">Asimismo, el Reglamento de Protección Civil y Bomberos del Municipio de Cuautitlán Izcalli, establece en su artículo 25 que la Coordinación Municipal de Protección Civil y Bomberos tendrá a su cargo la organización, coordinación y operación de programas municipales de protección civil; por lo que de manera enunciativa más no limitativa también puede conocer del cumplimiento de metas y objetivos presupuestales de la Coordinación. </w:t>
      </w:r>
    </w:p>
    <w:p w:rsidR="005029A3" w:rsidRPr="00A37AB5" w:rsidRDefault="005029A3">
      <w:pPr>
        <w:spacing w:after="0" w:line="360" w:lineRule="auto"/>
        <w:ind w:right="49"/>
        <w:jc w:val="both"/>
        <w:rPr>
          <w:rFonts w:ascii="Palatino Linotype" w:eastAsia="Palatino Linotype" w:hAnsi="Palatino Linotype" w:cs="Palatino Linotype"/>
        </w:rPr>
      </w:pPr>
    </w:p>
    <w:p w:rsidR="005029A3" w:rsidRPr="00A37AB5" w:rsidRDefault="00D3459A">
      <w:pPr>
        <w:spacing w:after="0" w:line="360" w:lineRule="auto"/>
        <w:ind w:right="49"/>
        <w:jc w:val="both"/>
        <w:rPr>
          <w:rFonts w:ascii="Palatino Linotype" w:eastAsia="Palatino Linotype" w:hAnsi="Palatino Linotype" w:cs="Palatino Linotype"/>
        </w:rPr>
      </w:pPr>
      <w:r w:rsidRPr="00A37AB5">
        <w:rPr>
          <w:rFonts w:ascii="Palatino Linotype" w:eastAsia="Palatino Linotype" w:hAnsi="Palatino Linotype" w:cs="Palatino Linotype"/>
        </w:rPr>
        <w:t>En ese sentido, es de mencionar que de conformidad con el artículo 10 de la Ley de Planeación del Estado de México y Municipios, establece un proceso de evaluación, el cual corresponde a:</w:t>
      </w:r>
    </w:p>
    <w:p w:rsidR="005029A3" w:rsidRPr="00A37AB5" w:rsidRDefault="00D3459A">
      <w:pPr>
        <w:spacing w:after="0"/>
        <w:ind w:left="851" w:right="843"/>
        <w:jc w:val="both"/>
        <w:rPr>
          <w:rFonts w:ascii="Palatino Linotype" w:eastAsia="Palatino Linotype" w:hAnsi="Palatino Linotype" w:cs="Palatino Linotype"/>
          <w:i/>
          <w:iCs/>
        </w:rPr>
      </w:pPr>
      <w:r w:rsidRPr="00A37AB5">
        <w:rPr>
          <w:rFonts w:ascii="Palatino Linotype" w:eastAsia="Palatino Linotype" w:hAnsi="Palatino Linotype" w:cs="Palatino Linotype"/>
          <w:i/>
          <w:iCs/>
        </w:rPr>
        <w:t xml:space="preserve">“Evaluación. </w:t>
      </w:r>
      <w:r w:rsidRPr="00A37AB5">
        <w:rPr>
          <w:rFonts w:ascii="Palatino Linotype" w:eastAsia="Palatino Linotype" w:hAnsi="Palatino Linotype" w:cs="Palatino Linotype"/>
          <w:b/>
          <w:bCs/>
          <w:i/>
          <w:iCs/>
        </w:rPr>
        <w:t>Proceso que tiene como finalidad determinar el grado de eficacia y eficiencia, con que han sido empleados los recursos destinados a alcanzar los objetivos previstos</w:t>
      </w:r>
      <w:r w:rsidRPr="00A37AB5">
        <w:rPr>
          <w:rFonts w:ascii="Palatino Linotype" w:eastAsia="Palatino Linotype" w:hAnsi="Palatino Linotype" w:cs="Palatino Linotype"/>
          <w:i/>
          <w:iCs/>
        </w:rPr>
        <w:t xml:space="preserve">, posibilitando la determinación de las desviaciones y la adopción de medidas correctivas </w:t>
      </w:r>
      <w:r w:rsidRPr="00A37AB5">
        <w:rPr>
          <w:rFonts w:ascii="Palatino Linotype" w:eastAsia="Palatino Linotype" w:hAnsi="Palatino Linotype" w:cs="Palatino Linotype"/>
          <w:b/>
          <w:bCs/>
          <w:i/>
          <w:iCs/>
        </w:rPr>
        <w:t>que garanticen el cumplimientos adecuado de las metas</w:t>
      </w:r>
      <w:r w:rsidRPr="00A37AB5">
        <w:rPr>
          <w:rFonts w:ascii="Palatino Linotype" w:eastAsia="Palatino Linotype" w:hAnsi="Palatino Linotype" w:cs="Palatino Linotype"/>
          <w:i/>
          <w:iCs/>
        </w:rPr>
        <w:t>.” (Sic)</w:t>
      </w:r>
    </w:p>
    <w:p w:rsidR="005029A3" w:rsidRPr="00A37AB5" w:rsidRDefault="005029A3">
      <w:pPr>
        <w:spacing w:after="0" w:line="360" w:lineRule="auto"/>
        <w:ind w:right="49"/>
        <w:jc w:val="both"/>
        <w:rPr>
          <w:rFonts w:ascii="Palatino Linotype" w:eastAsia="Palatino Linotype" w:hAnsi="Palatino Linotype" w:cs="Palatino Linotype"/>
        </w:rPr>
      </w:pPr>
    </w:p>
    <w:p w:rsidR="005029A3" w:rsidRPr="00A37AB5" w:rsidRDefault="00D3459A">
      <w:pPr>
        <w:spacing w:after="0" w:line="360" w:lineRule="auto"/>
        <w:ind w:right="49"/>
        <w:jc w:val="both"/>
        <w:rPr>
          <w:rFonts w:ascii="Palatino Linotype" w:eastAsia="Palatino Linotype" w:hAnsi="Palatino Linotype" w:cs="Palatino Linotype"/>
        </w:rPr>
      </w:pPr>
      <w:r w:rsidRPr="00A37AB5">
        <w:rPr>
          <w:rFonts w:ascii="Palatino Linotype" w:eastAsia="Palatino Linotype" w:hAnsi="Palatino Linotype" w:cs="Palatino Linotype"/>
        </w:rPr>
        <w:t xml:space="preserve">Es decir, la evaluación es el proceso mediante el cual se determina el grado de cumplimiento a una meta o proyecto presupuestado dentro del programa operativo anual. Siendo que esta evaluación le corresponde al Departamento de Evaluación, Control y Seguimiento adscrito al Instituto Municipal de Planeación del Ayuntamiento Cuautitlán Izcalli, en términos de lo señalado por el artículo 242 del Reglamento Orgánico en cita. </w:t>
      </w:r>
    </w:p>
    <w:p w:rsidR="005029A3" w:rsidRPr="00A37AB5" w:rsidRDefault="005029A3">
      <w:pPr>
        <w:spacing w:after="0" w:line="360" w:lineRule="auto"/>
        <w:ind w:right="49"/>
        <w:jc w:val="both"/>
        <w:rPr>
          <w:rFonts w:ascii="Palatino Linotype" w:eastAsia="Palatino Linotype" w:hAnsi="Palatino Linotype" w:cs="Palatino Linotype"/>
          <w:i/>
          <w:iCs/>
        </w:rPr>
      </w:pPr>
    </w:p>
    <w:p w:rsidR="005029A3" w:rsidRPr="00A37AB5" w:rsidRDefault="00D3459A">
      <w:pPr>
        <w:spacing w:after="0" w:line="360" w:lineRule="auto"/>
        <w:ind w:right="49"/>
        <w:jc w:val="both"/>
        <w:rPr>
          <w:rFonts w:ascii="Palatino Linotype" w:eastAsia="Palatino Linotype" w:hAnsi="Palatino Linotype" w:cs="Palatino Linotype"/>
        </w:rPr>
      </w:pPr>
      <w:r w:rsidRPr="00A37AB5">
        <w:rPr>
          <w:rFonts w:ascii="Palatino Linotype" w:eastAsia="Palatino Linotype" w:hAnsi="Palatino Linotype" w:cs="Palatino Linotype"/>
        </w:rPr>
        <w:t xml:space="preserve">Además, es de destacar que la Guía Metodológica para el Seguimiento y Evaluación del Plan de Desarrollo Municipal menciona que la evaluación forma parte de un proceso de mejora continua a la planeación estratégica y presupuestal, ya que se valora el cumplimiento de objetivos, la aplicación de los recursos públicos y su aprovechamiento. </w:t>
      </w:r>
    </w:p>
    <w:p w:rsidR="005029A3" w:rsidRPr="00A37AB5" w:rsidRDefault="005029A3">
      <w:pPr>
        <w:spacing w:after="0" w:line="360" w:lineRule="auto"/>
        <w:ind w:right="49"/>
        <w:jc w:val="both"/>
        <w:rPr>
          <w:rFonts w:ascii="Palatino Linotype" w:eastAsia="Palatino Linotype" w:hAnsi="Palatino Linotype" w:cs="Palatino Linotype"/>
        </w:rPr>
      </w:pPr>
    </w:p>
    <w:p w:rsidR="005029A3" w:rsidRPr="00A37AB5" w:rsidRDefault="00D3459A">
      <w:pPr>
        <w:spacing w:after="0" w:line="360" w:lineRule="auto"/>
        <w:ind w:right="49"/>
        <w:jc w:val="both"/>
        <w:rPr>
          <w:rFonts w:ascii="Palatino Linotype" w:eastAsia="Palatino Linotype" w:hAnsi="Palatino Linotype" w:cs="Palatino Linotype"/>
        </w:rPr>
      </w:pPr>
      <w:r w:rsidRPr="00A37AB5">
        <w:rPr>
          <w:rFonts w:ascii="Palatino Linotype" w:eastAsia="Palatino Linotype" w:hAnsi="Palatino Linotype" w:cs="Palatino Linotype"/>
        </w:rPr>
        <w:t xml:space="preserve">En ese sentido, la Guía define como </w:t>
      </w:r>
      <w:r w:rsidRPr="00A37AB5">
        <w:rPr>
          <w:rFonts w:ascii="Palatino Linotype" w:eastAsia="Palatino Linotype" w:hAnsi="Palatino Linotype" w:cs="Palatino Linotype"/>
          <w:i/>
          <w:iCs/>
        </w:rPr>
        <w:t>“Evaluación”</w:t>
      </w:r>
      <w:r w:rsidRPr="00A37AB5">
        <w:rPr>
          <w:rFonts w:ascii="Palatino Linotype" w:eastAsia="Palatino Linotype" w:hAnsi="Palatino Linotype" w:cs="Palatino Linotype"/>
        </w:rPr>
        <w:t xml:space="preserve"> a la verificación del cumplimiento de los objetivos y metas programadas, esto a través de un análisis cuantitativo de los resultados obtenidos como producto de la aplicación de estrategias, la realización de acciones y la aplicación de recursos, siendo que esta permite valorar y calificar el desempeño de las diferentes dependencias y organismos que integran la administración pública municipal en términos de resultados obtenidos y cumplimiento de objetivos. </w:t>
      </w:r>
    </w:p>
    <w:p w:rsidR="005029A3" w:rsidRPr="00A37AB5" w:rsidRDefault="005029A3">
      <w:pPr>
        <w:spacing w:after="0" w:line="360" w:lineRule="auto"/>
        <w:ind w:right="49"/>
        <w:jc w:val="both"/>
        <w:rPr>
          <w:rFonts w:ascii="Palatino Linotype" w:eastAsia="Palatino Linotype" w:hAnsi="Palatino Linotype" w:cs="Palatino Linotype"/>
        </w:rPr>
      </w:pPr>
    </w:p>
    <w:p w:rsidR="005029A3" w:rsidRPr="00A37AB5" w:rsidRDefault="00D3459A">
      <w:pPr>
        <w:spacing w:after="0" w:line="360" w:lineRule="auto"/>
        <w:ind w:right="49"/>
        <w:jc w:val="both"/>
        <w:rPr>
          <w:rFonts w:ascii="Palatino Linotype" w:eastAsia="Palatino Linotype" w:hAnsi="Palatino Linotype" w:cs="Palatino Linotype"/>
        </w:rPr>
      </w:pPr>
      <w:r w:rsidRPr="00A37AB5">
        <w:rPr>
          <w:rFonts w:ascii="Palatino Linotype" w:eastAsia="Palatino Linotype" w:hAnsi="Palatino Linotype" w:cs="Palatino Linotype"/>
        </w:rPr>
        <w:t xml:space="preserve">En el mismo orden de ideas, la Guía Metodológica de referencia precisa que el seguimiento y control de la ejecución de los proyectos, obras y acciones contempladas en Programas Anuales será llevado a cabo por las siguientes dependencias: </w:t>
      </w:r>
    </w:p>
    <w:p w:rsidR="005029A3" w:rsidRPr="00A37AB5" w:rsidRDefault="005029A3">
      <w:pPr>
        <w:spacing w:after="0" w:line="360" w:lineRule="auto"/>
        <w:ind w:right="49"/>
        <w:jc w:val="both"/>
        <w:rPr>
          <w:rFonts w:ascii="Palatino Linotype" w:eastAsia="Palatino Linotype" w:hAnsi="Palatino Linotype" w:cs="Palatino Linotype"/>
        </w:rPr>
      </w:pPr>
    </w:p>
    <w:p w:rsidR="005029A3" w:rsidRPr="00A37AB5" w:rsidRDefault="00D3459A">
      <w:pPr>
        <w:spacing w:after="0"/>
        <w:ind w:left="851" w:right="843"/>
        <w:jc w:val="both"/>
        <w:rPr>
          <w:rFonts w:ascii="Palatino Linotype" w:eastAsia="Palatino Linotype" w:hAnsi="Palatino Linotype" w:cs="Palatino Linotype"/>
          <w:b/>
          <w:bCs/>
          <w:i/>
          <w:iCs/>
        </w:rPr>
      </w:pPr>
      <w:r w:rsidRPr="00A37AB5">
        <w:rPr>
          <w:rFonts w:ascii="Palatino Linotype" w:eastAsia="Palatino Linotype" w:hAnsi="Palatino Linotype" w:cs="Palatino Linotype"/>
          <w:b/>
          <w:bCs/>
          <w:i/>
          <w:iCs/>
        </w:rPr>
        <w:t>“ESQUEMA DE LA EVALUACIÓN MUNICIPAL</w:t>
      </w:r>
    </w:p>
    <w:p w:rsidR="005029A3" w:rsidRPr="00A37AB5" w:rsidRDefault="00D3459A">
      <w:pPr>
        <w:spacing w:after="0"/>
        <w:ind w:left="851" w:right="843"/>
        <w:jc w:val="both"/>
        <w:rPr>
          <w:rFonts w:ascii="Palatino Linotype" w:eastAsia="Palatino Linotype" w:hAnsi="Palatino Linotype" w:cs="Palatino Linotype"/>
          <w:i/>
          <w:iCs/>
        </w:rPr>
      </w:pPr>
      <w:r w:rsidRPr="00A37AB5">
        <w:rPr>
          <w:rFonts w:ascii="Palatino Linotype" w:eastAsia="Palatino Linotype" w:hAnsi="Palatino Linotype" w:cs="Palatino Linotype"/>
          <w:i/>
          <w:iCs/>
        </w:rPr>
        <w:t>…</w:t>
      </w:r>
    </w:p>
    <w:p w:rsidR="005029A3" w:rsidRPr="00A37AB5" w:rsidRDefault="00D3459A">
      <w:pPr>
        <w:spacing w:after="0"/>
        <w:ind w:left="851" w:right="843"/>
        <w:jc w:val="both"/>
        <w:rPr>
          <w:rFonts w:ascii="Palatino Linotype" w:eastAsia="Palatino Linotype" w:hAnsi="Palatino Linotype" w:cs="Palatino Linotype"/>
          <w:i/>
          <w:iCs/>
        </w:rPr>
      </w:pPr>
      <w:r w:rsidRPr="00A37AB5">
        <w:rPr>
          <w:rFonts w:ascii="Palatino Linotype" w:eastAsia="Palatino Linotype" w:hAnsi="Palatino Linotype" w:cs="Palatino Linotype"/>
          <w:i/>
          <w:iCs/>
        </w:rPr>
        <w:t xml:space="preserve">Participan en los procesos de evaluación: </w:t>
      </w:r>
    </w:p>
    <w:p w:rsidR="005029A3" w:rsidRPr="00A37AB5" w:rsidRDefault="00D3459A">
      <w:pPr>
        <w:spacing w:after="0"/>
        <w:ind w:left="851" w:right="843"/>
        <w:jc w:val="both"/>
        <w:rPr>
          <w:rFonts w:ascii="Palatino Linotype" w:eastAsia="Palatino Linotype" w:hAnsi="Palatino Linotype" w:cs="Palatino Linotype"/>
          <w:i/>
          <w:iCs/>
        </w:rPr>
      </w:pPr>
      <w:r w:rsidRPr="00A37AB5">
        <w:rPr>
          <w:rFonts w:ascii="Symbol" w:eastAsia="Symbol" w:hAnsi="Symbol" w:cs="Symbol"/>
          <w:i/>
          <w:iCs/>
        </w:rPr>
        <w:t>∙</w:t>
      </w:r>
      <w:r w:rsidRPr="00A37AB5">
        <w:rPr>
          <w:rFonts w:ascii="Palatino Linotype" w:eastAsia="Palatino Linotype" w:hAnsi="Palatino Linotype" w:cs="Palatino Linotype"/>
          <w:i/>
          <w:iCs/>
        </w:rPr>
        <w:t xml:space="preserve"> Cabildo; </w:t>
      </w:r>
    </w:p>
    <w:p w:rsidR="005029A3" w:rsidRPr="00A37AB5" w:rsidRDefault="00D3459A">
      <w:pPr>
        <w:spacing w:after="0"/>
        <w:ind w:left="851" w:right="843"/>
        <w:jc w:val="both"/>
        <w:rPr>
          <w:rFonts w:ascii="Palatino Linotype" w:eastAsia="Palatino Linotype" w:hAnsi="Palatino Linotype" w:cs="Palatino Linotype"/>
          <w:i/>
          <w:iCs/>
        </w:rPr>
      </w:pPr>
      <w:r w:rsidRPr="00A37AB5">
        <w:rPr>
          <w:rFonts w:ascii="Symbol" w:eastAsia="Symbol" w:hAnsi="Symbol" w:cs="Symbol"/>
          <w:i/>
          <w:iCs/>
        </w:rPr>
        <w:t>∙</w:t>
      </w:r>
      <w:r w:rsidRPr="00A37AB5">
        <w:rPr>
          <w:rFonts w:ascii="Palatino Linotype" w:eastAsia="Palatino Linotype" w:hAnsi="Palatino Linotype" w:cs="Palatino Linotype"/>
          <w:i/>
          <w:iCs/>
        </w:rPr>
        <w:t xml:space="preserve"> </w:t>
      </w:r>
      <w:r w:rsidRPr="00A37AB5">
        <w:rPr>
          <w:rFonts w:ascii="Palatino Linotype" w:eastAsia="Palatino Linotype" w:hAnsi="Palatino Linotype" w:cs="Palatino Linotype"/>
          <w:i/>
          <w:iCs/>
          <w:u w:val="single"/>
        </w:rPr>
        <w:t>Tesorería;</w:t>
      </w:r>
      <w:r w:rsidRPr="00A37AB5">
        <w:rPr>
          <w:rFonts w:ascii="Palatino Linotype" w:eastAsia="Palatino Linotype" w:hAnsi="Palatino Linotype" w:cs="Palatino Linotype"/>
          <w:i/>
          <w:iCs/>
        </w:rPr>
        <w:t xml:space="preserve"> </w:t>
      </w:r>
    </w:p>
    <w:p w:rsidR="005029A3" w:rsidRPr="00A37AB5" w:rsidRDefault="00D3459A">
      <w:pPr>
        <w:spacing w:after="0"/>
        <w:ind w:left="851" w:right="843"/>
        <w:jc w:val="both"/>
        <w:rPr>
          <w:rFonts w:ascii="Palatino Linotype" w:eastAsia="Palatino Linotype" w:hAnsi="Palatino Linotype" w:cs="Palatino Linotype"/>
          <w:i/>
          <w:iCs/>
          <w:u w:val="single"/>
        </w:rPr>
      </w:pPr>
      <w:r w:rsidRPr="00A37AB5">
        <w:rPr>
          <w:rFonts w:ascii="Symbol" w:eastAsia="Symbol" w:hAnsi="Symbol" w:cs="Symbol"/>
          <w:i/>
          <w:iCs/>
        </w:rPr>
        <w:t>∙</w:t>
      </w:r>
      <w:r w:rsidRPr="00A37AB5">
        <w:rPr>
          <w:rFonts w:ascii="Palatino Linotype" w:eastAsia="Palatino Linotype" w:hAnsi="Palatino Linotype" w:cs="Palatino Linotype"/>
          <w:i/>
          <w:iCs/>
        </w:rPr>
        <w:t xml:space="preserve"> </w:t>
      </w:r>
      <w:r w:rsidRPr="00A37AB5">
        <w:rPr>
          <w:rFonts w:ascii="Palatino Linotype" w:eastAsia="Palatino Linotype" w:hAnsi="Palatino Linotype" w:cs="Palatino Linotype"/>
          <w:i/>
          <w:iCs/>
          <w:u w:val="single"/>
        </w:rPr>
        <w:t xml:space="preserve">Unidad de Información Planeación, Programación y Evaluación (UIPPE) o su equivalente; y </w:t>
      </w:r>
    </w:p>
    <w:p w:rsidR="005029A3" w:rsidRPr="00A37AB5" w:rsidRDefault="00D3459A">
      <w:pPr>
        <w:spacing w:after="0"/>
        <w:ind w:left="851" w:right="843"/>
        <w:jc w:val="both"/>
        <w:rPr>
          <w:rFonts w:ascii="Palatino Linotype" w:eastAsia="Palatino Linotype" w:hAnsi="Palatino Linotype" w:cs="Palatino Linotype"/>
          <w:i/>
          <w:iCs/>
        </w:rPr>
      </w:pPr>
      <w:r w:rsidRPr="00A37AB5">
        <w:rPr>
          <w:rFonts w:ascii="Symbol" w:eastAsia="Symbol" w:hAnsi="Symbol" w:cs="Symbol"/>
          <w:i/>
          <w:iCs/>
        </w:rPr>
        <w:t>∙</w:t>
      </w:r>
      <w:r w:rsidRPr="00A37AB5">
        <w:rPr>
          <w:rFonts w:ascii="Palatino Linotype" w:eastAsia="Palatino Linotype" w:hAnsi="Palatino Linotype" w:cs="Palatino Linotype"/>
          <w:i/>
          <w:iCs/>
        </w:rPr>
        <w:t xml:space="preserve"> Comité de Planeación para el Desarrollo Municipal. (COPLADEMUN)…” (Sic)</w:t>
      </w:r>
    </w:p>
    <w:p w:rsidR="005029A3" w:rsidRPr="00A37AB5" w:rsidRDefault="005029A3">
      <w:pPr>
        <w:spacing w:after="0" w:line="360" w:lineRule="auto"/>
        <w:ind w:right="49"/>
        <w:jc w:val="both"/>
        <w:rPr>
          <w:rFonts w:ascii="Palatino Linotype" w:eastAsia="Palatino Linotype" w:hAnsi="Palatino Linotype" w:cs="Palatino Linotype"/>
        </w:rPr>
      </w:pPr>
    </w:p>
    <w:p w:rsidR="005029A3" w:rsidRPr="00A37AB5" w:rsidRDefault="00D3459A">
      <w:pPr>
        <w:spacing w:after="0" w:line="360" w:lineRule="auto"/>
        <w:ind w:right="49"/>
        <w:jc w:val="both"/>
        <w:rPr>
          <w:rFonts w:ascii="Palatino Linotype" w:eastAsia="Palatino Linotype" w:hAnsi="Palatino Linotype" w:cs="Palatino Linotype"/>
          <w:b/>
          <w:bCs/>
        </w:rPr>
      </w:pPr>
      <w:r w:rsidRPr="00A37AB5">
        <w:rPr>
          <w:rFonts w:ascii="Palatino Linotype" w:eastAsia="Palatino Linotype" w:hAnsi="Palatino Linotype" w:cs="Palatino Linotype"/>
        </w:rPr>
        <w:t xml:space="preserve">Asimismo, menciona que existirán cuatro tipos de reportes que cada Ayuntamiento debe presentar: el Informe Anual de Ejecución del Plan de Desarrollo Municipal, Informe de Gobierno, el </w:t>
      </w:r>
      <w:r w:rsidRPr="00A37AB5">
        <w:rPr>
          <w:rFonts w:ascii="Palatino Linotype" w:eastAsia="Palatino Linotype" w:hAnsi="Palatino Linotype" w:cs="Palatino Linotype"/>
          <w:b/>
          <w:bCs/>
        </w:rPr>
        <w:t xml:space="preserve">Reporte de Avance Trimestral </w:t>
      </w:r>
      <w:r w:rsidRPr="00A37AB5">
        <w:rPr>
          <w:rFonts w:ascii="Palatino Linotype" w:eastAsia="Palatino Linotype" w:hAnsi="Palatino Linotype" w:cs="Palatino Linotype"/>
        </w:rPr>
        <w:t xml:space="preserve">y la Cuenta Pública, siendo que, para el caso concreto que ahora nos ocupa, el reporte de avance trimestral se trata de la </w:t>
      </w:r>
      <w:r w:rsidRPr="00A37AB5">
        <w:rPr>
          <w:rFonts w:ascii="Palatino Linotype" w:eastAsia="Palatino Linotype" w:hAnsi="Palatino Linotype" w:cs="Palatino Linotype"/>
          <w:b/>
          <w:bCs/>
        </w:rPr>
        <w:t xml:space="preserve">descripción de avances, logros o beneficios físicos o financieros de cada trimestre. </w:t>
      </w:r>
    </w:p>
    <w:p w:rsidR="005029A3" w:rsidRPr="00A37AB5" w:rsidRDefault="00D3459A">
      <w:pPr>
        <w:spacing w:after="0" w:line="360" w:lineRule="auto"/>
        <w:ind w:right="49"/>
        <w:jc w:val="both"/>
        <w:rPr>
          <w:rFonts w:ascii="Palatino Linotype" w:eastAsia="Palatino Linotype" w:hAnsi="Palatino Linotype" w:cs="Palatino Linotype"/>
        </w:rPr>
      </w:pPr>
      <w:r w:rsidRPr="00A37AB5">
        <w:rPr>
          <w:rFonts w:ascii="Palatino Linotype" w:eastAsia="Palatino Linotype" w:hAnsi="Palatino Linotype" w:cs="Palatino Linotype"/>
        </w:rPr>
        <w:t xml:space="preserve"> </w:t>
      </w:r>
    </w:p>
    <w:p w:rsidR="005029A3" w:rsidRPr="00A37AB5" w:rsidRDefault="00D3459A">
      <w:pPr>
        <w:spacing w:after="0" w:line="360" w:lineRule="auto"/>
        <w:ind w:right="49"/>
        <w:jc w:val="both"/>
        <w:rPr>
          <w:rFonts w:ascii="Palatino Linotype" w:eastAsia="Palatino Linotype" w:hAnsi="Palatino Linotype" w:cs="Palatino Linotype"/>
        </w:rPr>
      </w:pPr>
      <w:r w:rsidRPr="00A37AB5">
        <w:rPr>
          <w:rFonts w:ascii="Palatino Linotype" w:eastAsia="Palatino Linotype" w:hAnsi="Palatino Linotype" w:cs="Palatino Linotype"/>
        </w:rPr>
        <w:t xml:space="preserve">En ese tenor, se colige que el documento que puede contener lo solicitado por la parte </w:t>
      </w:r>
      <w:r w:rsidRPr="00A37AB5">
        <w:rPr>
          <w:rFonts w:ascii="Palatino Linotype" w:eastAsia="Palatino Linotype" w:hAnsi="Palatino Linotype" w:cs="Palatino Linotype"/>
          <w:b/>
          <w:bCs/>
        </w:rPr>
        <w:t>Recurrente</w:t>
      </w:r>
      <w:r w:rsidRPr="00A37AB5">
        <w:rPr>
          <w:rFonts w:ascii="Palatino Linotype" w:eastAsia="Palatino Linotype" w:hAnsi="Palatino Linotype" w:cs="Palatino Linotype"/>
        </w:rPr>
        <w:t>, de manera enunciativa más no limitativa, es el reporte de avance trimestral contenida en el formato PbRM-08c e Informe de Acciones y Resultados de la Ejecución del Plan de Desarrollo Municipal, que de acuerdo a la Guía Metodológica de referencia, el dicho formato deberá contener lo siguiente:</w:t>
      </w:r>
    </w:p>
    <w:p w:rsidR="005029A3" w:rsidRPr="00A37AB5" w:rsidRDefault="00D3459A">
      <w:pPr>
        <w:spacing w:after="0" w:line="360" w:lineRule="auto"/>
        <w:ind w:right="49"/>
        <w:jc w:val="center"/>
        <w:rPr>
          <w:rFonts w:ascii="Palatino Linotype" w:eastAsia="Palatino Linotype" w:hAnsi="Palatino Linotype" w:cs="Palatino Linotype"/>
        </w:rPr>
      </w:pPr>
      <w:r w:rsidRPr="00A37AB5">
        <w:rPr>
          <w:rFonts w:ascii="Palatino Linotype" w:eastAsia="Palatino Linotype" w:hAnsi="Palatino Linotype" w:cs="Palatino Linotype"/>
          <w:noProof/>
        </w:rPr>
        <w:drawing>
          <wp:inline distT="0" distB="0" distL="0" distR="0">
            <wp:extent cx="5197445" cy="3362716"/>
            <wp:effectExtent l="0" t="0" r="0" b="0"/>
            <wp:docPr id="1886885784" name="image6.png" descr="Tabl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6.png" descr="Tabla&#10;&#10;El contenido generado por IA puede ser incorrecto."/>
                    <pic:cNvPicPr preferRelativeResize="0"/>
                  </pic:nvPicPr>
                  <pic:blipFill>
                    <a:blip r:embed="rId8"/>
                    <a:srcRect b="52396"/>
                    <a:stretch>
                      <a:fillRect/>
                    </a:stretch>
                  </pic:blipFill>
                  <pic:spPr>
                    <a:xfrm>
                      <a:off x="0" y="0"/>
                      <a:ext cx="5197445" cy="3362716"/>
                    </a:xfrm>
                    <a:prstGeom prst="rect">
                      <a:avLst/>
                    </a:prstGeom>
                    <a:ln/>
                  </pic:spPr>
                </pic:pic>
              </a:graphicData>
            </a:graphic>
          </wp:inline>
        </w:drawing>
      </w:r>
      <w:r w:rsidRPr="00A37AB5">
        <w:rPr>
          <w:noProof/>
        </w:rPr>
        <mc:AlternateContent>
          <mc:Choice Requires="wpg">
            <w:drawing>
              <wp:anchor distT="0" distB="0" distL="114300" distR="114300" simplePos="0" relativeHeight="251658240" behindDoc="0" locked="0" layoutInCell="1" hidden="0" allowOverlap="1">
                <wp:simplePos x="0" y="0"/>
                <wp:positionH relativeFrom="column">
                  <wp:posOffset>-792796</wp:posOffset>
                </wp:positionH>
                <wp:positionV relativeFrom="paragraph">
                  <wp:posOffset>311150</wp:posOffset>
                </wp:positionV>
                <wp:extent cx="5181600" cy="419100"/>
                <wp:effectExtent l="0" t="0" r="0" b="0"/>
                <wp:wrapNone/>
                <wp:docPr id="1886885780" name="Rectángulo 1886885780"/>
                <wp:cNvGraphicFramePr/>
                <a:graphic xmlns:a="http://schemas.openxmlformats.org/drawingml/2006/main">
                  <a:graphicData uri="http://schemas.microsoft.com/office/word/2010/wordprocessingShape">
                    <wps:wsp>
                      <wps:cNvSpPr/>
                      <wps:spPr>
                        <a:xfrm>
                          <a:off x="2764725" y="3579975"/>
                          <a:ext cx="5162550" cy="400050"/>
                        </a:xfrm>
                        <a:prstGeom prst="rect">
                          <a:avLst/>
                        </a:prstGeom>
                        <a:noFill/>
                        <a:ln w="19050" cap="flat" cmpd="sng">
                          <a:solidFill>
                            <a:srgbClr val="FF0000"/>
                          </a:solidFill>
                          <a:prstDash val="solid"/>
                          <a:miter lim="800000"/>
                          <a:headEnd type="none" w="sm" len="sm"/>
                          <a:tailEnd type="none" w="sm" len="sm"/>
                        </a:ln>
                      </wps:spPr>
                      <wps:txbx>
                        <w:txbxContent>
                          <w:p w:rsidR="005029A3" w:rsidRDefault="005029A3">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-792796</wp:posOffset>
                </wp:positionH>
                <wp:positionV relativeFrom="paragraph">
                  <wp:posOffset>311150</wp:posOffset>
                </wp:positionV>
                <wp:extent cx="5181600" cy="419100"/>
                <wp:effectExtent b="0" l="0" r="0" t="0"/>
                <wp:wrapNone/>
                <wp:docPr id="1886885780" name="image9.png"/>
                <a:graphic>
                  <a:graphicData uri="http://schemas.openxmlformats.org/drawingml/2006/picture">
                    <pic:pic>
                      <pic:nvPicPr>
                        <pic:cNvPr id="0" name="image9.png"/>
                        <pic:cNvPicPr preferRelativeResize="0"/>
                      </pic:nvPicPr>
                      <pic:blipFill>
                        <a:blip r:embed="rId9"/>
                        <a:srcRect/>
                        <a:stretch>
                          <a:fillRect/>
                        </a:stretch>
                      </pic:blipFill>
                      <pic:spPr>
                        <a:xfrm>
                          <a:off x="0" y="0"/>
                          <a:ext cx="5181600" cy="419100"/>
                        </a:xfrm>
                        <a:prstGeom prst="rect"/>
                        <a:ln/>
                      </pic:spPr>
                    </pic:pic>
                  </a:graphicData>
                </a:graphic>
              </wp:anchor>
            </w:drawing>
          </mc:Fallback>
        </mc:AlternateContent>
      </w:r>
    </w:p>
    <w:p w:rsidR="005029A3" w:rsidRPr="00A37AB5" w:rsidRDefault="00D3459A">
      <w:pPr>
        <w:spacing w:after="0" w:line="360" w:lineRule="auto"/>
        <w:ind w:right="49"/>
        <w:jc w:val="center"/>
        <w:rPr>
          <w:rFonts w:ascii="Palatino Linotype" w:eastAsia="Palatino Linotype" w:hAnsi="Palatino Linotype" w:cs="Palatino Linotype"/>
        </w:rPr>
      </w:pPr>
      <w:r w:rsidRPr="00A37AB5">
        <w:rPr>
          <w:rFonts w:ascii="Palatino Linotype" w:eastAsia="Palatino Linotype" w:hAnsi="Palatino Linotype" w:cs="Palatino Linotype"/>
          <w:noProof/>
        </w:rPr>
        <w:drawing>
          <wp:inline distT="0" distB="0" distL="0" distR="0">
            <wp:extent cx="5352172" cy="3130877"/>
            <wp:effectExtent l="0" t="0" r="0" b="0"/>
            <wp:docPr id="1886885786" name="image6.png" descr="Tabl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6.png" descr="Tabla&#10;&#10;El contenido generado por IA puede ser incorrecto."/>
                    <pic:cNvPicPr preferRelativeResize="0"/>
                  </pic:nvPicPr>
                  <pic:blipFill>
                    <a:blip r:embed="rId8"/>
                    <a:srcRect t="48041"/>
                    <a:stretch>
                      <a:fillRect/>
                    </a:stretch>
                  </pic:blipFill>
                  <pic:spPr>
                    <a:xfrm>
                      <a:off x="0" y="0"/>
                      <a:ext cx="5352172" cy="3130877"/>
                    </a:xfrm>
                    <a:prstGeom prst="rect">
                      <a:avLst/>
                    </a:prstGeom>
                    <a:ln/>
                  </pic:spPr>
                </pic:pic>
              </a:graphicData>
            </a:graphic>
          </wp:inline>
        </w:drawing>
      </w:r>
    </w:p>
    <w:p w:rsidR="005029A3" w:rsidRPr="00A37AB5" w:rsidRDefault="00D3459A">
      <w:pPr>
        <w:spacing w:after="0" w:line="360" w:lineRule="auto"/>
        <w:ind w:right="49"/>
        <w:jc w:val="center"/>
        <w:rPr>
          <w:rFonts w:ascii="Palatino Linotype" w:eastAsia="Palatino Linotype" w:hAnsi="Palatino Linotype" w:cs="Palatino Linotype"/>
        </w:rPr>
      </w:pPr>
      <w:r w:rsidRPr="00A37AB5">
        <w:rPr>
          <w:rFonts w:ascii="Palatino Linotype" w:eastAsia="Palatino Linotype" w:hAnsi="Palatino Linotype" w:cs="Palatino Linotype"/>
          <w:noProof/>
        </w:rPr>
        <w:drawing>
          <wp:inline distT="0" distB="0" distL="0" distR="0">
            <wp:extent cx="5075696" cy="3846106"/>
            <wp:effectExtent l="0" t="0" r="0" b="0"/>
            <wp:docPr id="1886885785" name="image7.png" descr="Imagen que contiene Escala de tiemp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7.png" descr="Imagen que contiene Escala de tiempo&#10;&#10;El contenido generado por IA puede ser incorrecto."/>
                    <pic:cNvPicPr preferRelativeResize="0"/>
                  </pic:nvPicPr>
                  <pic:blipFill>
                    <a:blip r:embed="rId10"/>
                    <a:srcRect/>
                    <a:stretch>
                      <a:fillRect/>
                    </a:stretch>
                  </pic:blipFill>
                  <pic:spPr>
                    <a:xfrm>
                      <a:off x="0" y="0"/>
                      <a:ext cx="5075696" cy="3846106"/>
                    </a:xfrm>
                    <a:prstGeom prst="rect">
                      <a:avLst/>
                    </a:prstGeom>
                    <a:ln/>
                  </pic:spPr>
                </pic:pic>
              </a:graphicData>
            </a:graphic>
          </wp:inline>
        </w:drawing>
      </w:r>
    </w:p>
    <w:p w:rsidR="005029A3" w:rsidRPr="00A37AB5" w:rsidRDefault="005029A3">
      <w:pPr>
        <w:spacing w:after="0" w:line="360" w:lineRule="auto"/>
        <w:ind w:right="49"/>
        <w:jc w:val="both"/>
        <w:rPr>
          <w:rFonts w:ascii="Palatino Linotype" w:eastAsia="Palatino Linotype" w:hAnsi="Palatino Linotype" w:cs="Palatino Linotype"/>
        </w:rPr>
      </w:pPr>
    </w:p>
    <w:p w:rsidR="005029A3" w:rsidRPr="00A37AB5" w:rsidRDefault="00D3459A">
      <w:pPr>
        <w:spacing w:after="0" w:line="360" w:lineRule="auto"/>
        <w:ind w:right="49"/>
        <w:jc w:val="both"/>
        <w:rPr>
          <w:rFonts w:ascii="Palatino Linotype" w:eastAsia="Palatino Linotype" w:hAnsi="Palatino Linotype" w:cs="Palatino Linotype"/>
        </w:rPr>
      </w:pPr>
      <w:r w:rsidRPr="00A37AB5">
        <w:rPr>
          <w:rFonts w:ascii="Palatino Linotype" w:eastAsia="Palatino Linotype" w:hAnsi="Palatino Linotype" w:cs="Palatino Linotype"/>
        </w:rPr>
        <w:t xml:space="preserve">En cuanto al informe, los Lineamientos para la Integración del Informe Trimestral de los Sujetos de Fiscalización Municipales para el Ejercicio 2025, emitidos por Órgano Superior de Fiscalización del Estado de México, en términos de la facultad indicada por artículo 8, fracción XI de la Ley de Fiscalización Superior del Estado de México, que señala: </w:t>
      </w:r>
    </w:p>
    <w:p w:rsidR="005029A3" w:rsidRPr="00A37AB5" w:rsidRDefault="005029A3">
      <w:pPr>
        <w:spacing w:after="0"/>
        <w:ind w:left="851" w:right="843"/>
        <w:jc w:val="both"/>
        <w:rPr>
          <w:rFonts w:ascii="Palatino Linotype" w:eastAsia="Palatino Linotype" w:hAnsi="Palatino Linotype" w:cs="Palatino Linotype"/>
          <w:b/>
          <w:bCs/>
          <w:i/>
          <w:iCs/>
        </w:rPr>
      </w:pPr>
    </w:p>
    <w:p w:rsidR="005029A3" w:rsidRPr="00A37AB5" w:rsidRDefault="00D3459A">
      <w:pPr>
        <w:spacing w:after="0"/>
        <w:ind w:left="851" w:right="843"/>
        <w:jc w:val="both"/>
        <w:rPr>
          <w:rFonts w:ascii="Palatino Linotype" w:eastAsia="Palatino Linotype" w:hAnsi="Palatino Linotype" w:cs="Palatino Linotype"/>
          <w:i/>
          <w:iCs/>
        </w:rPr>
      </w:pPr>
      <w:r w:rsidRPr="00A37AB5">
        <w:rPr>
          <w:rFonts w:ascii="Palatino Linotype" w:eastAsia="Palatino Linotype" w:hAnsi="Palatino Linotype" w:cs="Palatino Linotype"/>
          <w:i/>
          <w:iCs/>
        </w:rPr>
        <w:t>“</w:t>
      </w:r>
      <w:r w:rsidRPr="00A37AB5">
        <w:rPr>
          <w:rFonts w:ascii="Palatino Linotype" w:eastAsia="Palatino Linotype" w:hAnsi="Palatino Linotype" w:cs="Palatino Linotype"/>
          <w:b/>
          <w:bCs/>
          <w:i/>
          <w:iCs/>
        </w:rPr>
        <w:t xml:space="preserve">Artículo 8. </w:t>
      </w:r>
      <w:r w:rsidRPr="00A37AB5">
        <w:rPr>
          <w:rFonts w:ascii="Palatino Linotype" w:eastAsia="Palatino Linotype" w:hAnsi="Palatino Linotype" w:cs="Palatino Linotype"/>
          <w:i/>
          <w:iCs/>
        </w:rPr>
        <w:t>El Órgano Superior tendrá las siguientes atribuciones:</w:t>
      </w:r>
    </w:p>
    <w:p w:rsidR="005029A3" w:rsidRPr="00A37AB5" w:rsidRDefault="00D3459A">
      <w:pPr>
        <w:spacing w:after="0"/>
        <w:ind w:left="851" w:right="843"/>
        <w:jc w:val="both"/>
        <w:rPr>
          <w:rFonts w:ascii="Palatino Linotype" w:eastAsia="Palatino Linotype" w:hAnsi="Palatino Linotype" w:cs="Palatino Linotype"/>
          <w:i/>
          <w:iCs/>
        </w:rPr>
      </w:pPr>
      <w:r w:rsidRPr="00A37AB5">
        <w:rPr>
          <w:rFonts w:ascii="Palatino Linotype" w:eastAsia="Palatino Linotype" w:hAnsi="Palatino Linotype" w:cs="Palatino Linotype"/>
          <w:i/>
          <w:iCs/>
        </w:rPr>
        <w:t>…</w:t>
      </w:r>
    </w:p>
    <w:p w:rsidR="005029A3" w:rsidRPr="00A37AB5" w:rsidRDefault="00D3459A">
      <w:pPr>
        <w:spacing w:after="0"/>
        <w:ind w:left="851" w:right="843"/>
        <w:jc w:val="both"/>
        <w:rPr>
          <w:rFonts w:ascii="Palatino Linotype" w:eastAsia="Palatino Linotype" w:hAnsi="Palatino Linotype" w:cs="Palatino Linotype"/>
          <w:i/>
          <w:iCs/>
        </w:rPr>
      </w:pPr>
      <w:r w:rsidRPr="00A37AB5">
        <w:rPr>
          <w:rFonts w:ascii="Palatino Linotype" w:eastAsia="Palatino Linotype" w:hAnsi="Palatino Linotype" w:cs="Palatino Linotype"/>
          <w:b/>
          <w:bCs/>
          <w:i/>
          <w:iCs/>
        </w:rPr>
        <w:t>XI. Establecer los lineamientos</w:t>
      </w:r>
      <w:r w:rsidRPr="00A37AB5">
        <w:rPr>
          <w:rFonts w:ascii="Palatino Linotype" w:eastAsia="Palatino Linotype" w:hAnsi="Palatino Linotype" w:cs="Palatino Linotype"/>
          <w:i/>
          <w:iCs/>
        </w:rPr>
        <w:t xml:space="preserve">, criterios, procedimientos, métodos y sistemas </w:t>
      </w:r>
      <w:r w:rsidRPr="00A37AB5">
        <w:rPr>
          <w:rFonts w:ascii="Palatino Linotype" w:eastAsia="Palatino Linotype" w:hAnsi="Palatino Linotype" w:cs="Palatino Linotype"/>
          <w:b/>
          <w:bCs/>
          <w:i/>
          <w:iCs/>
        </w:rPr>
        <w:t>para las acciones de control y evaluación, necesarios para la fiscalización de las cuentas públicas y los informes trimestrales</w:t>
      </w:r>
      <w:r w:rsidRPr="00A37AB5">
        <w:rPr>
          <w:rFonts w:ascii="Palatino Linotype" w:eastAsia="Palatino Linotype" w:hAnsi="Palatino Linotype" w:cs="Palatino Linotype"/>
          <w:i/>
          <w:iCs/>
        </w:rPr>
        <w:t>…</w:t>
      </w:r>
      <w:r w:rsidRPr="00A37AB5">
        <w:rPr>
          <w:rFonts w:ascii="Palatino Linotype" w:eastAsia="Palatino Linotype" w:hAnsi="Palatino Linotype" w:cs="Palatino Linotype"/>
        </w:rPr>
        <w:t>” (</w:t>
      </w:r>
      <w:r w:rsidRPr="00A37AB5">
        <w:rPr>
          <w:rFonts w:ascii="Palatino Linotype" w:eastAsia="Palatino Linotype" w:hAnsi="Palatino Linotype" w:cs="Palatino Linotype"/>
          <w:i/>
          <w:iCs/>
        </w:rPr>
        <w:t>Sic)</w:t>
      </w:r>
    </w:p>
    <w:p w:rsidR="005029A3" w:rsidRPr="00A37AB5" w:rsidRDefault="005029A3">
      <w:pPr>
        <w:spacing w:after="0"/>
        <w:ind w:left="851" w:right="843"/>
        <w:jc w:val="both"/>
        <w:rPr>
          <w:rFonts w:ascii="Palatino Linotype" w:eastAsia="Palatino Linotype" w:hAnsi="Palatino Linotype" w:cs="Palatino Linotype"/>
          <w:b/>
          <w:bCs/>
          <w:i/>
          <w:iCs/>
        </w:rPr>
      </w:pPr>
    </w:p>
    <w:p w:rsidR="005029A3" w:rsidRPr="00A37AB5" w:rsidRDefault="00D3459A">
      <w:pPr>
        <w:spacing w:after="0" w:line="360" w:lineRule="auto"/>
        <w:ind w:right="49"/>
        <w:jc w:val="both"/>
        <w:rPr>
          <w:rFonts w:ascii="Palatino Linotype" w:eastAsia="Palatino Linotype" w:hAnsi="Palatino Linotype" w:cs="Palatino Linotype"/>
        </w:rPr>
      </w:pPr>
      <w:r w:rsidRPr="00A37AB5">
        <w:rPr>
          <w:rFonts w:ascii="Palatino Linotype" w:eastAsia="Palatino Linotype" w:hAnsi="Palatino Linotype" w:cs="Palatino Linotype"/>
        </w:rPr>
        <w:t>Establecen dentro de su módulo 3 correspondiente a la Información Programática, el Informe de Acciones y Resultados de la Ejecución del Plan de Desarrollo Municipal, cuyo llenado es el siguiente:</w:t>
      </w:r>
    </w:p>
    <w:p w:rsidR="005029A3" w:rsidRPr="00A37AB5" w:rsidRDefault="00D3459A">
      <w:pPr>
        <w:spacing w:after="0" w:line="360" w:lineRule="auto"/>
        <w:ind w:right="49"/>
        <w:jc w:val="center"/>
        <w:rPr>
          <w:rFonts w:ascii="Palatino Linotype" w:eastAsia="Palatino Linotype" w:hAnsi="Palatino Linotype" w:cs="Palatino Linotype"/>
        </w:rPr>
      </w:pPr>
      <w:r w:rsidRPr="00A37AB5">
        <w:rPr>
          <w:rFonts w:ascii="Palatino Linotype" w:eastAsia="Palatino Linotype" w:hAnsi="Palatino Linotype" w:cs="Palatino Linotype"/>
          <w:noProof/>
        </w:rPr>
        <w:drawing>
          <wp:inline distT="0" distB="0" distL="0" distR="0">
            <wp:extent cx="4918189" cy="3878320"/>
            <wp:effectExtent l="0" t="0" r="0" b="0"/>
            <wp:docPr id="1886885788" name="image5.png" descr="Texto, Cart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5.png" descr="Texto, Carta&#10;&#10;El contenido generado por IA puede ser incorrecto."/>
                    <pic:cNvPicPr preferRelativeResize="0"/>
                  </pic:nvPicPr>
                  <pic:blipFill>
                    <a:blip r:embed="rId11"/>
                    <a:srcRect/>
                    <a:stretch>
                      <a:fillRect/>
                    </a:stretch>
                  </pic:blipFill>
                  <pic:spPr>
                    <a:xfrm>
                      <a:off x="0" y="0"/>
                      <a:ext cx="4918189" cy="3878320"/>
                    </a:xfrm>
                    <a:prstGeom prst="rect">
                      <a:avLst/>
                    </a:prstGeom>
                    <a:ln/>
                  </pic:spPr>
                </pic:pic>
              </a:graphicData>
            </a:graphic>
          </wp:inline>
        </w:drawing>
      </w:r>
      <w:r w:rsidRPr="00A37AB5">
        <w:rPr>
          <w:noProof/>
        </w:rPr>
        <mc:AlternateContent>
          <mc:Choice Requires="wpg">
            <w:drawing>
              <wp:anchor distT="0" distB="0" distL="114300" distR="114300" simplePos="0" relativeHeight="251659264" behindDoc="0" locked="0" layoutInCell="1" hidden="0" allowOverlap="1">
                <wp:simplePos x="0" y="0"/>
                <wp:positionH relativeFrom="column">
                  <wp:posOffset>513715</wp:posOffset>
                </wp:positionH>
                <wp:positionV relativeFrom="paragraph">
                  <wp:posOffset>1175383</wp:posOffset>
                </wp:positionV>
                <wp:extent cx="4737100" cy="479425"/>
                <wp:effectExtent l="0" t="0" r="0" b="0"/>
                <wp:wrapNone/>
                <wp:docPr id="1886885779" name="Rectángulo 1886885779"/>
                <wp:cNvGraphicFramePr/>
                <a:graphic xmlns:a="http://schemas.openxmlformats.org/drawingml/2006/main">
                  <a:graphicData uri="http://schemas.microsoft.com/office/word/2010/wordprocessingShape">
                    <wps:wsp>
                      <wps:cNvSpPr/>
                      <wps:spPr>
                        <a:xfrm>
                          <a:off x="2983800" y="3546638"/>
                          <a:ext cx="4724400" cy="466725"/>
                        </a:xfrm>
                        <a:prstGeom prst="rect">
                          <a:avLst/>
                        </a:prstGeom>
                        <a:noFill/>
                        <a:ln w="12700" cap="flat" cmpd="sng">
                          <a:solidFill>
                            <a:srgbClr val="EE0000"/>
                          </a:solidFill>
                          <a:prstDash val="solid"/>
                          <a:miter lim="800000"/>
                          <a:headEnd type="none" w="sm" len="sm"/>
                          <a:tailEnd type="none" w="sm" len="sm"/>
                        </a:ln>
                      </wps:spPr>
                      <wps:txbx>
                        <w:txbxContent>
                          <w:p w:rsidR="005029A3" w:rsidRDefault="005029A3">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513715</wp:posOffset>
                </wp:positionH>
                <wp:positionV relativeFrom="paragraph">
                  <wp:posOffset>1175383</wp:posOffset>
                </wp:positionV>
                <wp:extent cx="4737100" cy="479425"/>
                <wp:effectExtent b="0" l="0" r="0" t="0"/>
                <wp:wrapNone/>
                <wp:docPr id="1886885779" name="image8.png"/>
                <a:graphic>
                  <a:graphicData uri="http://schemas.openxmlformats.org/drawingml/2006/picture">
                    <pic:pic>
                      <pic:nvPicPr>
                        <pic:cNvPr id="0" name="image8.png"/>
                        <pic:cNvPicPr preferRelativeResize="0"/>
                      </pic:nvPicPr>
                      <pic:blipFill>
                        <a:blip r:embed="rId9"/>
                        <a:srcRect/>
                        <a:stretch>
                          <a:fillRect/>
                        </a:stretch>
                      </pic:blipFill>
                      <pic:spPr>
                        <a:xfrm>
                          <a:off x="0" y="0"/>
                          <a:ext cx="4737100" cy="479425"/>
                        </a:xfrm>
                        <a:prstGeom prst="rect"/>
                        <a:ln/>
                      </pic:spPr>
                    </pic:pic>
                  </a:graphicData>
                </a:graphic>
              </wp:anchor>
            </w:drawing>
          </mc:Fallback>
        </mc:AlternateContent>
      </w:r>
    </w:p>
    <w:p w:rsidR="005029A3" w:rsidRPr="00A37AB5" w:rsidRDefault="00D3459A">
      <w:pPr>
        <w:spacing w:after="0" w:line="360" w:lineRule="auto"/>
        <w:ind w:right="49"/>
        <w:jc w:val="both"/>
        <w:rPr>
          <w:rFonts w:ascii="Palatino Linotype" w:eastAsia="Palatino Linotype" w:hAnsi="Palatino Linotype" w:cs="Palatino Linotype"/>
        </w:rPr>
      </w:pPr>
      <w:r w:rsidRPr="00A37AB5">
        <w:rPr>
          <w:noProof/>
        </w:rPr>
        <mc:AlternateContent>
          <mc:Choice Requires="wpg">
            <w:drawing>
              <wp:anchor distT="0" distB="0" distL="114300" distR="114300" simplePos="0" relativeHeight="251660288" behindDoc="0" locked="0" layoutInCell="1" hidden="0" allowOverlap="1">
                <wp:simplePos x="0" y="0"/>
                <wp:positionH relativeFrom="column">
                  <wp:posOffset>361315</wp:posOffset>
                </wp:positionH>
                <wp:positionV relativeFrom="paragraph">
                  <wp:posOffset>251460</wp:posOffset>
                </wp:positionV>
                <wp:extent cx="4956175" cy="398780"/>
                <wp:effectExtent l="0" t="0" r="0" b="0"/>
                <wp:wrapNone/>
                <wp:docPr id="1886885781" name="Rectángulo 1886885781"/>
                <wp:cNvGraphicFramePr/>
                <a:graphic xmlns:a="http://schemas.openxmlformats.org/drawingml/2006/main">
                  <a:graphicData uri="http://schemas.microsoft.com/office/word/2010/wordprocessingShape">
                    <wps:wsp>
                      <wps:cNvSpPr/>
                      <wps:spPr>
                        <a:xfrm>
                          <a:off x="2874263" y="3586960"/>
                          <a:ext cx="4943475" cy="386080"/>
                        </a:xfrm>
                        <a:prstGeom prst="rect">
                          <a:avLst/>
                        </a:prstGeom>
                        <a:noFill/>
                        <a:ln w="12700" cap="flat" cmpd="sng">
                          <a:solidFill>
                            <a:srgbClr val="FF0000"/>
                          </a:solidFill>
                          <a:prstDash val="solid"/>
                          <a:miter lim="800000"/>
                          <a:headEnd type="none" w="sm" len="sm"/>
                          <a:tailEnd type="none" w="sm" len="sm"/>
                        </a:ln>
                      </wps:spPr>
                      <wps:txbx>
                        <w:txbxContent>
                          <w:p w:rsidR="005029A3" w:rsidRDefault="005029A3">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361315</wp:posOffset>
                </wp:positionH>
                <wp:positionV relativeFrom="paragraph">
                  <wp:posOffset>251460</wp:posOffset>
                </wp:positionV>
                <wp:extent cx="4956175" cy="398780"/>
                <wp:effectExtent b="0" l="0" r="0" t="0"/>
                <wp:wrapNone/>
                <wp:docPr id="1886885781" name="image10.png"/>
                <a:graphic>
                  <a:graphicData uri="http://schemas.openxmlformats.org/drawingml/2006/picture">
                    <pic:pic>
                      <pic:nvPicPr>
                        <pic:cNvPr id="0" name="image10.png"/>
                        <pic:cNvPicPr preferRelativeResize="0"/>
                      </pic:nvPicPr>
                      <pic:blipFill>
                        <a:blip r:embed="rId9"/>
                        <a:srcRect/>
                        <a:stretch>
                          <a:fillRect/>
                        </a:stretch>
                      </pic:blipFill>
                      <pic:spPr>
                        <a:xfrm>
                          <a:off x="0" y="0"/>
                          <a:ext cx="4956175" cy="398780"/>
                        </a:xfrm>
                        <a:prstGeom prst="rect"/>
                        <a:ln/>
                      </pic:spPr>
                    </pic:pic>
                  </a:graphicData>
                </a:graphic>
              </wp:anchor>
            </w:drawing>
          </mc:Fallback>
        </mc:AlternateContent>
      </w:r>
    </w:p>
    <w:p w:rsidR="005029A3" w:rsidRPr="00A37AB5" w:rsidRDefault="00D3459A">
      <w:pPr>
        <w:spacing w:after="0" w:line="360" w:lineRule="auto"/>
        <w:ind w:right="49"/>
        <w:jc w:val="center"/>
        <w:rPr>
          <w:rFonts w:ascii="Palatino Linotype" w:eastAsia="Palatino Linotype" w:hAnsi="Palatino Linotype" w:cs="Palatino Linotype"/>
        </w:rPr>
      </w:pPr>
      <w:r w:rsidRPr="00A37AB5">
        <w:rPr>
          <w:rFonts w:ascii="Palatino Linotype" w:eastAsia="Palatino Linotype" w:hAnsi="Palatino Linotype" w:cs="Palatino Linotype"/>
          <w:noProof/>
        </w:rPr>
        <w:drawing>
          <wp:inline distT="0" distB="0" distL="0" distR="0">
            <wp:extent cx="5063635" cy="369229"/>
            <wp:effectExtent l="0" t="0" r="0" b="0"/>
            <wp:docPr id="188688578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5063635" cy="369229"/>
                    </a:xfrm>
                    <a:prstGeom prst="rect">
                      <a:avLst/>
                    </a:prstGeom>
                    <a:ln/>
                  </pic:spPr>
                </pic:pic>
              </a:graphicData>
            </a:graphic>
          </wp:inline>
        </w:drawing>
      </w:r>
      <w:r w:rsidRPr="00A37AB5">
        <w:rPr>
          <w:rFonts w:ascii="Palatino Linotype" w:eastAsia="Palatino Linotype" w:hAnsi="Palatino Linotype" w:cs="Palatino Linotype"/>
          <w:noProof/>
        </w:rPr>
        <w:drawing>
          <wp:inline distT="0" distB="0" distL="0" distR="0">
            <wp:extent cx="5066819" cy="1363821"/>
            <wp:effectExtent l="0" t="0" r="0" b="0"/>
            <wp:docPr id="188688579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5066819" cy="1363821"/>
                    </a:xfrm>
                    <a:prstGeom prst="rect">
                      <a:avLst/>
                    </a:prstGeom>
                    <a:ln/>
                  </pic:spPr>
                </pic:pic>
              </a:graphicData>
            </a:graphic>
          </wp:inline>
        </w:drawing>
      </w:r>
    </w:p>
    <w:p w:rsidR="005029A3" w:rsidRPr="00A37AB5" w:rsidRDefault="005029A3">
      <w:pPr>
        <w:spacing w:after="0" w:line="360" w:lineRule="auto"/>
        <w:ind w:right="49"/>
        <w:jc w:val="both"/>
        <w:rPr>
          <w:rFonts w:ascii="Palatino Linotype" w:eastAsia="Palatino Linotype" w:hAnsi="Palatino Linotype" w:cs="Palatino Linotype"/>
        </w:rPr>
      </w:pPr>
    </w:p>
    <w:p w:rsidR="005029A3" w:rsidRPr="00A37AB5" w:rsidRDefault="00D3459A">
      <w:pPr>
        <w:spacing w:after="0" w:line="360" w:lineRule="auto"/>
        <w:ind w:right="49"/>
        <w:jc w:val="both"/>
        <w:rPr>
          <w:rFonts w:ascii="Palatino Linotype" w:eastAsia="Palatino Linotype" w:hAnsi="Palatino Linotype" w:cs="Palatino Linotype"/>
        </w:rPr>
      </w:pPr>
      <w:r w:rsidRPr="00A37AB5">
        <w:rPr>
          <w:rFonts w:ascii="Palatino Linotype" w:eastAsia="Palatino Linotype" w:hAnsi="Palatino Linotype" w:cs="Palatino Linotype"/>
        </w:rPr>
        <w:t xml:space="preserve">Del cual se observa que dicho informe debe contener la descripción de los avances de metas programadas, con un desglose por programa presupuestario, mismo que se deberá presentar trimestralmente según el trimestre que corresponda, además que el mismo deberá coincidir con la información presentada en el formato PbRM 08c. </w:t>
      </w:r>
    </w:p>
    <w:p w:rsidR="005029A3" w:rsidRPr="00A37AB5" w:rsidRDefault="005029A3">
      <w:pPr>
        <w:spacing w:after="0" w:line="360" w:lineRule="auto"/>
        <w:ind w:right="49"/>
        <w:jc w:val="both"/>
        <w:rPr>
          <w:rFonts w:ascii="Palatino Linotype" w:eastAsia="Palatino Linotype" w:hAnsi="Palatino Linotype" w:cs="Palatino Linotype"/>
        </w:rPr>
      </w:pPr>
    </w:p>
    <w:p w:rsidR="005029A3" w:rsidRPr="00A37AB5" w:rsidRDefault="00D3459A">
      <w:pPr>
        <w:spacing w:after="0" w:line="360" w:lineRule="auto"/>
        <w:ind w:right="49"/>
        <w:jc w:val="both"/>
        <w:rPr>
          <w:rFonts w:ascii="Palatino Linotype" w:eastAsia="Palatino Linotype" w:hAnsi="Palatino Linotype" w:cs="Palatino Linotype"/>
        </w:rPr>
      </w:pPr>
      <w:r w:rsidRPr="00A37AB5">
        <w:rPr>
          <w:rFonts w:ascii="Palatino Linotype" w:eastAsia="Palatino Linotype" w:hAnsi="Palatino Linotype" w:cs="Palatino Linotype"/>
        </w:rPr>
        <w:t>Dicho esto, es de recordar que en respuesta el Tesorero Municipal, precisó que no es atribución del Tesorero el manejo, generación y resguardo de la información referente a la evaluación del cumplimiento de metas y objetivos presupuestales, por lo que no se encuentra obligado a proporcionar dicha información; sin embargo, como se mencionó, el seguimiento y evaluación de metas no únicamente está a cargo de esta unidad administrativa, sino también de otras, a saber, la Unidad de Información Planeación, Programación y Evaluación (UIPPE)  o equivalente, como lo es el Instituto Municipal de Planeación o el Comité de Planeación para el Desarrollo Municipal, quienes tienen las siguientes atribuciones, en términos de lo señalado por el Manual de Organización del Instituto Municipal de Planeación del Municipio de Cuautitlán Izcalli, que señala:</w:t>
      </w:r>
    </w:p>
    <w:p w:rsidR="005029A3" w:rsidRPr="00A37AB5" w:rsidRDefault="005029A3">
      <w:pPr>
        <w:spacing w:after="0" w:line="360" w:lineRule="auto"/>
        <w:ind w:right="49"/>
        <w:jc w:val="both"/>
        <w:rPr>
          <w:rFonts w:ascii="Palatino Linotype" w:eastAsia="Palatino Linotype" w:hAnsi="Palatino Linotype" w:cs="Palatino Linotype"/>
        </w:rPr>
      </w:pPr>
    </w:p>
    <w:p w:rsidR="005029A3" w:rsidRPr="00A37AB5" w:rsidRDefault="00D3459A">
      <w:pPr>
        <w:spacing w:after="0" w:line="360" w:lineRule="auto"/>
        <w:ind w:right="49"/>
        <w:jc w:val="center"/>
        <w:rPr>
          <w:rFonts w:ascii="Palatino Linotype" w:eastAsia="Palatino Linotype" w:hAnsi="Palatino Linotype" w:cs="Palatino Linotype"/>
        </w:rPr>
      </w:pPr>
      <w:r w:rsidRPr="00A37AB5">
        <w:rPr>
          <w:rFonts w:ascii="Palatino Linotype" w:eastAsia="Palatino Linotype" w:hAnsi="Palatino Linotype" w:cs="Palatino Linotype"/>
          <w:noProof/>
        </w:rPr>
        <w:drawing>
          <wp:inline distT="0" distB="0" distL="0" distR="0">
            <wp:extent cx="4458322" cy="5677692"/>
            <wp:effectExtent l="0" t="0" r="0" b="0"/>
            <wp:docPr id="1886885789" name="image4.png" descr="Texto, Cart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4.png" descr="Texto, Carta&#10;&#10;El contenido generado por IA puede ser incorrecto."/>
                    <pic:cNvPicPr preferRelativeResize="0"/>
                  </pic:nvPicPr>
                  <pic:blipFill>
                    <a:blip r:embed="rId14"/>
                    <a:srcRect/>
                    <a:stretch>
                      <a:fillRect/>
                    </a:stretch>
                  </pic:blipFill>
                  <pic:spPr>
                    <a:xfrm>
                      <a:off x="0" y="0"/>
                      <a:ext cx="4458322" cy="5677692"/>
                    </a:xfrm>
                    <a:prstGeom prst="rect">
                      <a:avLst/>
                    </a:prstGeom>
                    <a:ln/>
                  </pic:spPr>
                </pic:pic>
              </a:graphicData>
            </a:graphic>
          </wp:inline>
        </w:drawing>
      </w:r>
    </w:p>
    <w:p w:rsidR="005029A3" w:rsidRPr="00A37AB5" w:rsidRDefault="005029A3">
      <w:pPr>
        <w:spacing w:after="0" w:line="360" w:lineRule="auto"/>
        <w:ind w:right="49"/>
        <w:jc w:val="both"/>
        <w:rPr>
          <w:rFonts w:ascii="Palatino Linotype" w:eastAsia="Palatino Linotype" w:hAnsi="Palatino Linotype" w:cs="Palatino Linotype"/>
        </w:rPr>
      </w:pPr>
    </w:p>
    <w:p w:rsidR="005029A3" w:rsidRPr="00A37AB5" w:rsidRDefault="00D3459A">
      <w:pPr>
        <w:spacing w:after="0" w:line="360" w:lineRule="auto"/>
        <w:ind w:right="49"/>
        <w:jc w:val="both"/>
        <w:rPr>
          <w:rFonts w:ascii="Palatino Linotype" w:eastAsia="Palatino Linotype" w:hAnsi="Palatino Linotype" w:cs="Palatino Linotype"/>
        </w:rPr>
      </w:pPr>
      <w:r w:rsidRPr="00A37AB5">
        <w:rPr>
          <w:rFonts w:ascii="Palatino Linotype" w:eastAsia="Palatino Linotype" w:hAnsi="Palatino Linotype" w:cs="Palatino Linotype"/>
        </w:rPr>
        <w:t xml:space="preserve">De ese modo, se destaca que de las constancias que obran en el expediente electrónico, se advierte que la solicitud de información únicamente fue turnada a la Tesorería Municipal, no así a las demás unidades que de acuerdo con sus facultades, competencias y atribuciones pudieran generar o poseer lo solicitado, por lo que se colige que el </w:t>
      </w:r>
      <w:r w:rsidRPr="00A37AB5">
        <w:rPr>
          <w:rFonts w:ascii="Palatino Linotype" w:eastAsia="Palatino Linotype" w:hAnsi="Palatino Linotype" w:cs="Palatino Linotype"/>
          <w:b/>
          <w:bCs/>
        </w:rPr>
        <w:t>Sujeto Obligado</w:t>
      </w:r>
      <w:r w:rsidRPr="00A37AB5">
        <w:rPr>
          <w:rFonts w:ascii="Palatino Linotype" w:eastAsia="Palatino Linotype" w:hAnsi="Palatino Linotype" w:cs="Palatino Linotype"/>
        </w:rPr>
        <w:t xml:space="preserve"> incumplió con lo establecido en el artículo 162 de la Ley de Transparencia y Acceso a la Información Pública del Estado de México y Municipios que a la letra señala: </w:t>
      </w:r>
    </w:p>
    <w:p w:rsidR="005029A3" w:rsidRPr="00A37AB5" w:rsidRDefault="005029A3">
      <w:pPr>
        <w:spacing w:after="0"/>
        <w:ind w:left="851" w:right="843"/>
        <w:jc w:val="both"/>
        <w:rPr>
          <w:rFonts w:ascii="Palatino Linotype" w:eastAsia="Palatino Linotype" w:hAnsi="Palatino Linotype" w:cs="Palatino Linotype"/>
          <w:i/>
          <w:iCs/>
        </w:rPr>
      </w:pPr>
    </w:p>
    <w:p w:rsidR="005029A3" w:rsidRPr="00A37AB5" w:rsidRDefault="00D3459A">
      <w:pPr>
        <w:spacing w:after="0"/>
        <w:ind w:left="851" w:right="843"/>
        <w:jc w:val="both"/>
        <w:rPr>
          <w:rFonts w:ascii="Palatino Linotype" w:eastAsia="Palatino Linotype" w:hAnsi="Palatino Linotype" w:cs="Palatino Linotype"/>
          <w:i/>
          <w:iCs/>
        </w:rPr>
      </w:pPr>
      <w:r w:rsidRPr="00A37AB5">
        <w:rPr>
          <w:rFonts w:ascii="Palatino Linotype" w:eastAsia="Palatino Linotype" w:hAnsi="Palatino Linotype" w:cs="Palatino Linotype"/>
          <w:i/>
          <w:iCs/>
        </w:rPr>
        <w:t>“</w:t>
      </w:r>
      <w:r w:rsidRPr="00A37AB5">
        <w:rPr>
          <w:rFonts w:ascii="Palatino Linotype" w:eastAsia="Palatino Linotype" w:hAnsi="Palatino Linotype" w:cs="Palatino Linotype"/>
          <w:b/>
          <w:bCs/>
          <w:i/>
          <w:iCs/>
        </w:rPr>
        <w:t>Artículo 162.</w:t>
      </w:r>
      <w:r w:rsidRPr="00A37AB5">
        <w:rPr>
          <w:rFonts w:ascii="Palatino Linotype" w:eastAsia="Palatino Linotype" w:hAnsi="Palatino Linotype" w:cs="Palatino Linotype"/>
          <w:i/>
          <w:iCs/>
        </w:rPr>
        <w:t xml:space="preserve">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 (Sic)</w:t>
      </w:r>
    </w:p>
    <w:p w:rsidR="005029A3" w:rsidRPr="00A37AB5" w:rsidRDefault="005029A3">
      <w:pPr>
        <w:spacing w:after="0" w:line="360" w:lineRule="auto"/>
        <w:ind w:right="49"/>
        <w:jc w:val="both"/>
        <w:rPr>
          <w:rFonts w:ascii="Palatino Linotype" w:eastAsia="Palatino Linotype" w:hAnsi="Palatino Linotype" w:cs="Palatino Linotype"/>
        </w:rPr>
      </w:pPr>
    </w:p>
    <w:p w:rsidR="005029A3" w:rsidRPr="00A37AB5" w:rsidRDefault="00D3459A">
      <w:pPr>
        <w:spacing w:after="0" w:line="360" w:lineRule="auto"/>
        <w:jc w:val="both"/>
        <w:rPr>
          <w:rFonts w:ascii="Palatino Linotype" w:eastAsia="Palatino Linotype" w:hAnsi="Palatino Linotype" w:cs="Palatino Linotype"/>
        </w:rPr>
      </w:pPr>
      <w:r w:rsidRPr="00A37AB5">
        <w:rPr>
          <w:rFonts w:ascii="Palatino Linotype" w:eastAsia="Palatino Linotype" w:hAnsi="Palatino Linotype" w:cs="Palatino Linotype"/>
        </w:rPr>
        <w:t xml:space="preserve">Por último, no está por demás señalar que si bien el Particular no estableció, en la solicitud de información, la temporalidad de la cual requería obtener el documento donde conste la evaluación del cumplimiento de metas y objetivos presupuestales, a través de manifestaciones señalando que requería de la fecha de presentación de la solicitud a la fecha en que se resuelva el presente recurso. </w:t>
      </w:r>
    </w:p>
    <w:p w:rsidR="005029A3" w:rsidRPr="00A37AB5" w:rsidRDefault="005029A3">
      <w:pPr>
        <w:spacing w:after="0" w:line="360" w:lineRule="auto"/>
        <w:ind w:right="49"/>
        <w:jc w:val="both"/>
        <w:rPr>
          <w:rFonts w:ascii="Palatino Linotype" w:eastAsia="Palatino Linotype" w:hAnsi="Palatino Linotype" w:cs="Palatino Linotype"/>
        </w:rPr>
      </w:pPr>
    </w:p>
    <w:p w:rsidR="005029A3" w:rsidRPr="00A37AB5" w:rsidRDefault="00D3459A">
      <w:pPr>
        <w:spacing w:after="0" w:line="360" w:lineRule="auto"/>
        <w:ind w:right="49"/>
        <w:jc w:val="both"/>
        <w:rPr>
          <w:rFonts w:ascii="Palatino Linotype" w:eastAsia="Palatino Linotype" w:hAnsi="Palatino Linotype" w:cs="Palatino Linotype"/>
        </w:rPr>
      </w:pPr>
      <w:r w:rsidRPr="00A37AB5">
        <w:rPr>
          <w:rFonts w:ascii="Palatino Linotype" w:eastAsia="Palatino Linotype" w:hAnsi="Palatino Linotype" w:cs="Palatino Linotype"/>
        </w:rPr>
        <w:t>Como se advierte requiere información de la actual administración por lo que, toda vez que los documentos que dan cuenta de lo solicitado son realizados trimestralmente y, la solicitud fue presentada el veintitrés de junio de dos mil veinticinco, se advierte que los reportes que han sido generados es uno (enero-marzo), es por lo que, se determina ordenar los documentos donde conste la evaluación del cumplimiento de metas y objetivos presupuestales de la Coordinación Municipal de Protección Civil y Bomberos, del primer trimestre del año dos mil veinticinco, en versión íntegra toda vez que este Instituto no advierte que el documento que dé cuenta de lo solicitado contenga datos que resulten ser clasificables.</w:t>
      </w:r>
    </w:p>
    <w:p w:rsidR="005029A3" w:rsidRPr="00A37AB5" w:rsidRDefault="005029A3">
      <w:pPr>
        <w:spacing w:after="0" w:line="360" w:lineRule="auto"/>
        <w:jc w:val="both"/>
        <w:rPr>
          <w:rFonts w:ascii="Palatino Linotype" w:eastAsia="Palatino Linotype" w:hAnsi="Palatino Linotype" w:cs="Palatino Linotype"/>
        </w:rPr>
      </w:pPr>
    </w:p>
    <w:p w:rsidR="005029A3" w:rsidRPr="00A37AB5" w:rsidRDefault="00D3459A">
      <w:pPr>
        <w:spacing w:after="0" w:line="360" w:lineRule="auto"/>
        <w:jc w:val="both"/>
        <w:rPr>
          <w:rFonts w:ascii="Palatino Linotype" w:eastAsia="Palatino Linotype" w:hAnsi="Palatino Linotype" w:cs="Palatino Linotype"/>
        </w:rPr>
      </w:pPr>
      <w:r w:rsidRPr="00A37AB5">
        <w:rPr>
          <w:rFonts w:ascii="Palatino Linotype" w:eastAsia="Palatino Linotype" w:hAnsi="Palatino Linotype" w:cs="Palatino Linotype"/>
        </w:rPr>
        <w:t xml:space="preserve">Ahora bien, respecto a la información que se generó desde la presentación de la solicitud hasta la fecha de la emisión de la presente resolución, es de mencionar que no resulta procedente su entrega al consistir en información que no obraba en los archivos del Sujeto Obligado al veintitrés de junio de dos mil veinticinco, pues únicamente se encuentran obligados a proporcionar la información generada, administrada y poseída que obre en sus archivos en el estado que se encuentre, hasta la presentación de la solicitud. </w:t>
      </w:r>
    </w:p>
    <w:p w:rsidR="005029A3" w:rsidRPr="00A37AB5" w:rsidRDefault="005029A3">
      <w:pPr>
        <w:spacing w:after="0" w:line="360" w:lineRule="auto"/>
        <w:jc w:val="both"/>
        <w:rPr>
          <w:rFonts w:ascii="Palatino Linotype" w:eastAsia="Palatino Linotype" w:hAnsi="Palatino Linotype" w:cs="Palatino Linotype"/>
        </w:rPr>
      </w:pPr>
    </w:p>
    <w:p w:rsidR="005029A3" w:rsidRPr="00A37AB5" w:rsidRDefault="00D3459A">
      <w:pPr>
        <w:spacing w:after="0" w:line="360" w:lineRule="auto"/>
        <w:ind w:right="49"/>
        <w:jc w:val="both"/>
        <w:rPr>
          <w:rFonts w:ascii="Palatino Linotype" w:eastAsia="Palatino Linotype" w:hAnsi="Palatino Linotype" w:cs="Palatino Linotype"/>
        </w:rPr>
      </w:pPr>
      <w:r w:rsidRPr="00A37AB5">
        <w:rPr>
          <w:rFonts w:ascii="Palatino Linotype" w:eastAsia="Palatino Linotype" w:hAnsi="Palatino Linotype" w:cs="Palatino Linotype"/>
        </w:rPr>
        <w:t xml:space="preserve">Es así como, en mérito de lo expuesto en líneas anteriores, resultan fundadas las razones o motivos de inconformidad hechos valer por la parte </w:t>
      </w:r>
      <w:r w:rsidRPr="00A37AB5">
        <w:rPr>
          <w:rFonts w:ascii="Palatino Linotype" w:eastAsia="Palatino Linotype" w:hAnsi="Palatino Linotype" w:cs="Palatino Linotype"/>
          <w:b/>
          <w:bCs/>
        </w:rPr>
        <w:t>Recurrente</w:t>
      </w:r>
      <w:r w:rsidRPr="00A37AB5">
        <w:rPr>
          <w:rFonts w:ascii="Palatino Linotype" w:eastAsia="Palatino Linotype" w:hAnsi="Palatino Linotype" w:cs="Palatino Linotype"/>
        </w:rPr>
        <w:t xml:space="preserve"> dentro del recurso de revisión </w:t>
      </w:r>
      <w:r w:rsidRPr="00A37AB5">
        <w:rPr>
          <w:rFonts w:ascii="Palatino Linotype" w:eastAsia="Palatino Linotype" w:hAnsi="Palatino Linotype" w:cs="Palatino Linotype"/>
          <w:b/>
          <w:bCs/>
        </w:rPr>
        <w:t>09064/INFOEM/IP/RR/2025</w:t>
      </w:r>
      <w:r w:rsidRPr="00A37AB5">
        <w:rPr>
          <w:rFonts w:ascii="Palatino Linotype" w:eastAsia="Palatino Linotype" w:hAnsi="Palatino Linotype" w:cs="Palatino Linotype"/>
        </w:rPr>
        <w:t xml:space="preserve">; por ello, y con fundamento en la fracción IV del numeral 186 de la Ley de Transparencia y Acceso a la Información Pública del Estado de México y Municipios, por lo que se </w:t>
      </w:r>
      <w:r w:rsidRPr="00A37AB5">
        <w:rPr>
          <w:rFonts w:ascii="Palatino Linotype" w:eastAsia="Palatino Linotype" w:hAnsi="Palatino Linotype" w:cs="Palatino Linotype"/>
          <w:b/>
          <w:bCs/>
        </w:rPr>
        <w:t xml:space="preserve">Modifica </w:t>
      </w:r>
      <w:r w:rsidRPr="00A37AB5">
        <w:rPr>
          <w:rFonts w:ascii="Palatino Linotype" w:eastAsia="Palatino Linotype" w:hAnsi="Palatino Linotype" w:cs="Palatino Linotype"/>
        </w:rPr>
        <w:t xml:space="preserve">la respuesta del </w:t>
      </w:r>
      <w:r w:rsidRPr="00A37AB5">
        <w:rPr>
          <w:rFonts w:ascii="Palatino Linotype" w:eastAsia="Palatino Linotype" w:hAnsi="Palatino Linotype" w:cs="Palatino Linotype"/>
          <w:b/>
          <w:bCs/>
        </w:rPr>
        <w:t xml:space="preserve">Sujeto Obligado </w:t>
      </w:r>
      <w:r w:rsidRPr="00A37AB5">
        <w:rPr>
          <w:rFonts w:ascii="Palatino Linotype" w:eastAsia="Palatino Linotype" w:hAnsi="Palatino Linotype" w:cs="Palatino Linotype"/>
        </w:rPr>
        <w:t xml:space="preserve">a la solicitud de información </w:t>
      </w:r>
      <w:r w:rsidRPr="00A37AB5">
        <w:rPr>
          <w:rFonts w:ascii="Palatino Linotype" w:eastAsia="Palatino Linotype" w:hAnsi="Palatino Linotype" w:cs="Palatino Linotype"/>
          <w:b/>
          <w:bCs/>
        </w:rPr>
        <w:t>01231/CUAUTIZC/IP/2025.</w:t>
      </w:r>
      <w:r w:rsidRPr="00A37AB5">
        <w:rPr>
          <w:rFonts w:ascii="Palatino Linotype" w:eastAsia="Palatino Linotype" w:hAnsi="Palatino Linotype" w:cs="Palatino Linotype"/>
        </w:rPr>
        <w:t xml:space="preserve">  </w:t>
      </w:r>
    </w:p>
    <w:p w:rsidR="005029A3" w:rsidRPr="00A37AB5" w:rsidRDefault="005029A3">
      <w:pPr>
        <w:spacing w:after="0" w:line="360" w:lineRule="auto"/>
        <w:ind w:right="49"/>
        <w:jc w:val="both"/>
        <w:rPr>
          <w:rFonts w:ascii="Palatino Linotype" w:eastAsia="Palatino Linotype" w:hAnsi="Palatino Linotype" w:cs="Palatino Linotype"/>
        </w:rPr>
      </w:pPr>
    </w:p>
    <w:p w:rsidR="005029A3" w:rsidRPr="00A37AB5" w:rsidRDefault="00D3459A">
      <w:pPr>
        <w:spacing w:after="0" w:line="360" w:lineRule="auto"/>
        <w:ind w:right="49"/>
        <w:jc w:val="both"/>
        <w:rPr>
          <w:rFonts w:ascii="Palatino Linotype" w:eastAsia="Palatino Linotype" w:hAnsi="Palatino Linotype" w:cs="Palatino Linotype"/>
        </w:rPr>
      </w:pPr>
      <w:r w:rsidRPr="00A37AB5">
        <w:rPr>
          <w:rFonts w:ascii="Palatino Linotype" w:eastAsia="Palatino Linotype" w:hAnsi="Palatino Linotype" w:cs="Palatino Linotype"/>
        </w:rPr>
        <w:t>Así, con fundamento en lo prescrito en los artículos 5 párrafos cuadragésimo cuarto, cuadragésimo quinto y cuadragésimo sexto, fracciones IV y V de la Constitución Política del Estado Libre y Soberano de México; Transitorio Cuarto, párrafo segundo del Decreto número 198 de la “LXII” Legislatura del Estado de México; 2, fracción II; 29, 36 fracciones I y II; 176, 178, 181, 185, fracción I, 186 y 188 de la Ley de Transparencia y Acceso a la Información Pública del Estado de México y Municipios, este Pleno:</w:t>
      </w:r>
    </w:p>
    <w:p w:rsidR="005029A3" w:rsidRPr="00A37AB5" w:rsidRDefault="005029A3">
      <w:pPr>
        <w:spacing w:after="0" w:line="360" w:lineRule="auto"/>
        <w:ind w:right="49"/>
        <w:jc w:val="both"/>
        <w:rPr>
          <w:rFonts w:ascii="Palatino Linotype" w:eastAsia="Palatino Linotype" w:hAnsi="Palatino Linotype" w:cs="Palatino Linotype"/>
        </w:rPr>
      </w:pPr>
    </w:p>
    <w:p w:rsidR="005029A3" w:rsidRPr="00A37AB5" w:rsidRDefault="00D3459A">
      <w:pPr>
        <w:spacing w:after="0" w:line="360" w:lineRule="auto"/>
        <w:ind w:right="49"/>
        <w:jc w:val="center"/>
        <w:rPr>
          <w:rFonts w:ascii="Palatino Linotype" w:eastAsia="Palatino Linotype" w:hAnsi="Palatino Linotype" w:cs="Palatino Linotype"/>
          <w:b/>
          <w:bCs/>
        </w:rPr>
      </w:pPr>
      <w:r w:rsidRPr="00A37AB5">
        <w:rPr>
          <w:rFonts w:ascii="Palatino Linotype" w:eastAsia="Palatino Linotype" w:hAnsi="Palatino Linotype" w:cs="Palatino Linotype"/>
          <w:b/>
          <w:bCs/>
        </w:rPr>
        <w:t>III.</w:t>
      </w:r>
      <w:r w:rsidRPr="00A37AB5">
        <w:rPr>
          <w:rFonts w:ascii="Palatino Linotype" w:eastAsia="Palatino Linotype" w:hAnsi="Palatino Linotype" w:cs="Palatino Linotype"/>
          <w:b/>
          <w:bCs/>
        </w:rPr>
        <w:tab/>
        <w:t>R E S U E L V E:</w:t>
      </w:r>
    </w:p>
    <w:p w:rsidR="005029A3" w:rsidRPr="00A37AB5" w:rsidRDefault="005029A3">
      <w:pPr>
        <w:spacing w:after="0" w:line="360" w:lineRule="auto"/>
        <w:ind w:right="49"/>
        <w:jc w:val="both"/>
        <w:rPr>
          <w:rFonts w:ascii="Palatino Linotype" w:eastAsia="Palatino Linotype" w:hAnsi="Palatino Linotype" w:cs="Palatino Linotype"/>
        </w:rPr>
      </w:pPr>
    </w:p>
    <w:p w:rsidR="005029A3" w:rsidRPr="00A37AB5" w:rsidRDefault="00D3459A">
      <w:pPr>
        <w:spacing w:after="0" w:line="360" w:lineRule="auto"/>
        <w:ind w:right="49"/>
        <w:jc w:val="both"/>
        <w:rPr>
          <w:rFonts w:ascii="Palatino Linotype" w:eastAsia="Palatino Linotype" w:hAnsi="Palatino Linotype" w:cs="Palatino Linotype"/>
        </w:rPr>
      </w:pPr>
      <w:r w:rsidRPr="00A37AB5">
        <w:rPr>
          <w:rFonts w:ascii="Palatino Linotype" w:eastAsia="Palatino Linotype" w:hAnsi="Palatino Linotype" w:cs="Palatino Linotype"/>
          <w:b/>
          <w:bCs/>
        </w:rPr>
        <w:t>Primero.</w:t>
      </w:r>
      <w:r w:rsidRPr="00A37AB5">
        <w:rPr>
          <w:rFonts w:ascii="Palatino Linotype" w:eastAsia="Palatino Linotype" w:hAnsi="Palatino Linotype" w:cs="Palatino Linotype"/>
        </w:rPr>
        <w:t xml:space="preserve"> Resultan</w:t>
      </w:r>
      <w:r w:rsidRPr="00A37AB5">
        <w:rPr>
          <w:rFonts w:ascii="Palatino Linotype" w:eastAsia="Palatino Linotype" w:hAnsi="Palatino Linotype" w:cs="Palatino Linotype"/>
          <w:b/>
          <w:bCs/>
        </w:rPr>
        <w:t xml:space="preserve"> fundados</w:t>
      </w:r>
      <w:r w:rsidRPr="00A37AB5">
        <w:rPr>
          <w:rFonts w:ascii="Palatino Linotype" w:eastAsia="Palatino Linotype" w:hAnsi="Palatino Linotype" w:cs="Palatino Linotype"/>
        </w:rPr>
        <w:t xml:space="preserve"> los motivos de inconformidad hechos valer por la parte </w:t>
      </w:r>
      <w:r w:rsidRPr="00A37AB5">
        <w:rPr>
          <w:rFonts w:ascii="Palatino Linotype" w:eastAsia="Palatino Linotype" w:hAnsi="Palatino Linotype" w:cs="Palatino Linotype"/>
          <w:b/>
          <w:bCs/>
        </w:rPr>
        <w:t>Recurrente</w:t>
      </w:r>
      <w:r w:rsidRPr="00A37AB5">
        <w:rPr>
          <w:rFonts w:ascii="Palatino Linotype" w:eastAsia="Palatino Linotype" w:hAnsi="Palatino Linotype" w:cs="Palatino Linotype"/>
        </w:rPr>
        <w:t xml:space="preserve"> en el Recurso de Revisión </w:t>
      </w:r>
      <w:r w:rsidRPr="00A37AB5">
        <w:rPr>
          <w:rFonts w:ascii="Palatino Linotype" w:eastAsia="Palatino Linotype" w:hAnsi="Palatino Linotype" w:cs="Palatino Linotype"/>
          <w:b/>
          <w:bCs/>
        </w:rPr>
        <w:t>09064/INFOEM/IP/RR/2025</w:t>
      </w:r>
      <w:r w:rsidRPr="00A37AB5">
        <w:rPr>
          <w:rFonts w:ascii="Palatino Linotype" w:eastAsia="Palatino Linotype" w:hAnsi="Palatino Linotype" w:cs="Palatino Linotype"/>
        </w:rPr>
        <w:t xml:space="preserve">, por lo que, en términos del </w:t>
      </w:r>
      <w:r w:rsidRPr="00A37AB5">
        <w:rPr>
          <w:rFonts w:ascii="Palatino Linotype" w:eastAsia="Palatino Linotype" w:hAnsi="Palatino Linotype" w:cs="Palatino Linotype"/>
          <w:b/>
          <w:bCs/>
        </w:rPr>
        <w:t>Considerando Cuarto</w:t>
      </w:r>
      <w:r w:rsidRPr="00A37AB5">
        <w:rPr>
          <w:rFonts w:ascii="Palatino Linotype" w:eastAsia="Palatino Linotype" w:hAnsi="Palatino Linotype" w:cs="Palatino Linotype"/>
        </w:rPr>
        <w:t xml:space="preserve"> de esta resolución, se </w:t>
      </w:r>
      <w:r w:rsidRPr="00A37AB5">
        <w:rPr>
          <w:rFonts w:ascii="Palatino Linotype" w:eastAsia="Palatino Linotype" w:hAnsi="Palatino Linotype" w:cs="Palatino Linotype"/>
          <w:b/>
          <w:bCs/>
        </w:rPr>
        <w:t xml:space="preserve">Modifica </w:t>
      </w:r>
      <w:r w:rsidRPr="00A37AB5">
        <w:rPr>
          <w:rFonts w:ascii="Palatino Linotype" w:eastAsia="Palatino Linotype" w:hAnsi="Palatino Linotype" w:cs="Palatino Linotype"/>
        </w:rPr>
        <w:t xml:space="preserve">la respuesta emitida por el </w:t>
      </w:r>
      <w:r w:rsidRPr="00A37AB5">
        <w:rPr>
          <w:rFonts w:ascii="Palatino Linotype" w:eastAsia="Palatino Linotype" w:hAnsi="Palatino Linotype" w:cs="Palatino Linotype"/>
          <w:b/>
          <w:bCs/>
        </w:rPr>
        <w:t>Sujeto Obligado</w:t>
      </w:r>
      <w:r w:rsidRPr="00A37AB5">
        <w:rPr>
          <w:rFonts w:ascii="Palatino Linotype" w:eastAsia="Palatino Linotype" w:hAnsi="Palatino Linotype" w:cs="Palatino Linotype"/>
        </w:rPr>
        <w:t>.</w:t>
      </w:r>
    </w:p>
    <w:p w:rsidR="005029A3" w:rsidRPr="00A37AB5" w:rsidRDefault="005029A3">
      <w:pPr>
        <w:spacing w:after="0" w:line="360" w:lineRule="auto"/>
        <w:ind w:right="49"/>
        <w:jc w:val="both"/>
        <w:rPr>
          <w:rFonts w:ascii="Palatino Linotype" w:eastAsia="Palatino Linotype" w:hAnsi="Palatino Linotype" w:cs="Palatino Linotype"/>
        </w:rPr>
      </w:pPr>
    </w:p>
    <w:p w:rsidR="005029A3" w:rsidRPr="00A37AB5" w:rsidRDefault="00D3459A">
      <w:pPr>
        <w:spacing w:after="0" w:line="360" w:lineRule="auto"/>
        <w:ind w:right="49"/>
        <w:jc w:val="both"/>
        <w:rPr>
          <w:rFonts w:ascii="Palatino Linotype" w:eastAsia="Palatino Linotype" w:hAnsi="Palatino Linotype" w:cs="Palatino Linotype"/>
        </w:rPr>
      </w:pPr>
      <w:bookmarkStart w:id="4" w:name="_heading=h.1fob9te" w:colFirst="0" w:colLast="0"/>
      <w:bookmarkEnd w:id="4"/>
      <w:r w:rsidRPr="00A37AB5">
        <w:rPr>
          <w:rFonts w:ascii="Palatino Linotype" w:eastAsia="Palatino Linotype" w:hAnsi="Palatino Linotype" w:cs="Palatino Linotype"/>
          <w:b/>
          <w:bCs/>
        </w:rPr>
        <w:t>Segundo</w:t>
      </w:r>
      <w:r w:rsidRPr="00A37AB5">
        <w:rPr>
          <w:rFonts w:ascii="Palatino Linotype" w:eastAsia="Palatino Linotype" w:hAnsi="Palatino Linotype" w:cs="Palatino Linotype"/>
        </w:rPr>
        <w:t xml:space="preserve">. Se </w:t>
      </w:r>
      <w:r w:rsidRPr="00A37AB5">
        <w:rPr>
          <w:rFonts w:ascii="Palatino Linotype" w:eastAsia="Palatino Linotype" w:hAnsi="Palatino Linotype" w:cs="Palatino Linotype"/>
          <w:b/>
          <w:bCs/>
        </w:rPr>
        <w:t>ordena</w:t>
      </w:r>
      <w:r w:rsidRPr="00A37AB5">
        <w:rPr>
          <w:rFonts w:ascii="Palatino Linotype" w:eastAsia="Palatino Linotype" w:hAnsi="Palatino Linotype" w:cs="Palatino Linotype"/>
        </w:rPr>
        <w:t xml:space="preserve"> al </w:t>
      </w:r>
      <w:r w:rsidRPr="00A37AB5">
        <w:rPr>
          <w:rFonts w:ascii="Palatino Linotype" w:eastAsia="Palatino Linotype" w:hAnsi="Palatino Linotype" w:cs="Palatino Linotype"/>
          <w:b/>
          <w:bCs/>
        </w:rPr>
        <w:t>Sujeto Obligado</w:t>
      </w:r>
      <w:r w:rsidRPr="00A37AB5">
        <w:rPr>
          <w:rFonts w:ascii="Palatino Linotype" w:eastAsia="Palatino Linotype" w:hAnsi="Palatino Linotype" w:cs="Palatino Linotype"/>
        </w:rPr>
        <w:t xml:space="preserve"> a que, en términos del Considerando Cuarto y Quinto, haga entrega, previa búsqueda exhaustiva y razonable, vía Sistema de Acceso a la Información Mexiquense, del documento o documentos en donde conste la siguiente información:</w:t>
      </w:r>
    </w:p>
    <w:p w:rsidR="005029A3" w:rsidRPr="00A37AB5" w:rsidRDefault="005029A3">
      <w:pPr>
        <w:pBdr>
          <w:top w:val="nil"/>
          <w:left w:val="nil"/>
          <w:bottom w:val="nil"/>
          <w:right w:val="nil"/>
          <w:between w:val="nil"/>
        </w:pBdr>
        <w:spacing w:after="0" w:line="360" w:lineRule="auto"/>
        <w:ind w:left="720" w:right="560"/>
        <w:jc w:val="both"/>
        <w:rPr>
          <w:rFonts w:ascii="Palatino Linotype" w:eastAsia="Palatino Linotype" w:hAnsi="Palatino Linotype" w:cs="Palatino Linotype"/>
          <w:b/>
          <w:bCs/>
        </w:rPr>
      </w:pPr>
    </w:p>
    <w:p w:rsidR="005029A3" w:rsidRPr="00A37AB5" w:rsidRDefault="00D3459A">
      <w:pPr>
        <w:numPr>
          <w:ilvl w:val="0"/>
          <w:numId w:val="3"/>
        </w:numPr>
        <w:pBdr>
          <w:top w:val="nil"/>
          <w:left w:val="nil"/>
          <w:bottom w:val="nil"/>
          <w:right w:val="nil"/>
          <w:between w:val="nil"/>
        </w:pBdr>
        <w:spacing w:after="0" w:line="360" w:lineRule="auto"/>
        <w:ind w:left="851" w:right="843" w:firstLine="0"/>
        <w:jc w:val="both"/>
        <w:rPr>
          <w:rFonts w:ascii="Palatino Linotype" w:eastAsia="Palatino Linotype" w:hAnsi="Palatino Linotype" w:cs="Palatino Linotype"/>
        </w:rPr>
      </w:pPr>
      <w:r w:rsidRPr="00A37AB5">
        <w:rPr>
          <w:rFonts w:ascii="Palatino Linotype" w:eastAsia="Palatino Linotype" w:hAnsi="Palatino Linotype" w:cs="Palatino Linotype"/>
        </w:rPr>
        <w:t xml:space="preserve">La evaluación del cumplimiento de metas y objetivos presupuestales de la Coordinación Municipal de Protección Civil y Bomberos, del primer trimestre del año dos mil veinticinco. </w:t>
      </w:r>
    </w:p>
    <w:p w:rsidR="005029A3" w:rsidRPr="00A37AB5" w:rsidRDefault="005029A3">
      <w:pPr>
        <w:pBdr>
          <w:top w:val="nil"/>
          <w:left w:val="nil"/>
          <w:bottom w:val="nil"/>
          <w:right w:val="nil"/>
          <w:between w:val="nil"/>
        </w:pBdr>
        <w:tabs>
          <w:tab w:val="left" w:pos="993"/>
        </w:tabs>
        <w:spacing w:after="0" w:line="360" w:lineRule="auto"/>
        <w:ind w:right="616"/>
        <w:jc w:val="both"/>
        <w:rPr>
          <w:rFonts w:ascii="Palatino Linotype" w:eastAsia="Palatino Linotype" w:hAnsi="Palatino Linotype" w:cs="Palatino Linotype"/>
          <w:i/>
          <w:iCs/>
        </w:rPr>
      </w:pPr>
    </w:p>
    <w:p w:rsidR="005029A3" w:rsidRPr="00A37AB5" w:rsidRDefault="00D3459A">
      <w:pPr>
        <w:spacing w:after="0" w:line="360" w:lineRule="auto"/>
        <w:ind w:right="49"/>
        <w:jc w:val="both"/>
        <w:rPr>
          <w:rFonts w:ascii="Palatino Linotype" w:eastAsia="Palatino Linotype" w:hAnsi="Palatino Linotype" w:cs="Palatino Linotype"/>
        </w:rPr>
      </w:pPr>
      <w:r w:rsidRPr="00A37AB5">
        <w:rPr>
          <w:rFonts w:ascii="Palatino Linotype" w:eastAsia="Palatino Linotype" w:hAnsi="Palatino Linotype" w:cs="Palatino Linotype"/>
          <w:b/>
          <w:bCs/>
        </w:rPr>
        <w:t>Tercero.</w:t>
      </w:r>
      <w:r w:rsidRPr="00A37AB5">
        <w:rPr>
          <w:rFonts w:ascii="Palatino Linotype" w:eastAsia="Palatino Linotype" w:hAnsi="Palatino Linotype" w:cs="Palatino Linotype"/>
        </w:rPr>
        <w:t xml:space="preserve"> </w:t>
      </w:r>
      <w:r w:rsidRPr="00A37AB5">
        <w:rPr>
          <w:rFonts w:ascii="Palatino Linotype" w:eastAsia="Palatino Linotype" w:hAnsi="Palatino Linotype" w:cs="Palatino Linotype"/>
          <w:b/>
          <w:bCs/>
        </w:rPr>
        <w:t xml:space="preserve">Notifíquese vía SAIMEX </w:t>
      </w:r>
      <w:r w:rsidRPr="00A37AB5">
        <w:rPr>
          <w:rFonts w:ascii="Palatino Linotype" w:eastAsia="Palatino Linotype" w:hAnsi="Palatino Linotype" w:cs="Palatino Linotype"/>
        </w:rPr>
        <w:t>la presente resolución al T</w:t>
      </w:r>
      <w:r w:rsidRPr="00A37AB5">
        <w:rPr>
          <w:rFonts w:ascii="Palatino Linotype" w:eastAsia="Palatino Linotype" w:hAnsi="Palatino Linotype" w:cs="Palatino Linotype"/>
          <w:b/>
          <w:bCs/>
        </w:rPr>
        <w:t xml:space="preserve">itular de la Unidad de Transparencia </w:t>
      </w:r>
      <w:r w:rsidRPr="00A37AB5">
        <w:rPr>
          <w:rFonts w:ascii="Palatino Linotype" w:eastAsia="Palatino Linotype" w:hAnsi="Palatino Linotype" w:cs="Palatino Linotype"/>
        </w:rPr>
        <w:t xml:space="preserve">del </w:t>
      </w:r>
      <w:r w:rsidRPr="00A37AB5">
        <w:rPr>
          <w:rFonts w:ascii="Palatino Linotype" w:eastAsia="Palatino Linotype" w:hAnsi="Palatino Linotype" w:cs="Palatino Linotype"/>
          <w:b/>
          <w:bCs/>
        </w:rPr>
        <w:t>Sujeto Obligado</w:t>
      </w:r>
      <w:r w:rsidRPr="00A37AB5">
        <w:rPr>
          <w:rFonts w:ascii="Palatino Linotype" w:eastAsia="Palatino Linotype" w:hAnsi="Palatino Linotype" w:cs="Palatino Linotype"/>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5029A3" w:rsidRPr="00A37AB5" w:rsidRDefault="005029A3">
      <w:pPr>
        <w:spacing w:after="0" w:line="360" w:lineRule="auto"/>
        <w:ind w:right="49"/>
        <w:jc w:val="both"/>
        <w:rPr>
          <w:rFonts w:ascii="Palatino Linotype" w:eastAsia="Palatino Linotype" w:hAnsi="Palatino Linotype" w:cs="Palatino Linotype"/>
        </w:rPr>
      </w:pPr>
    </w:p>
    <w:p w:rsidR="005029A3" w:rsidRPr="00A37AB5" w:rsidRDefault="00D3459A">
      <w:pPr>
        <w:spacing w:after="0" w:line="360" w:lineRule="auto"/>
        <w:jc w:val="both"/>
        <w:rPr>
          <w:rFonts w:ascii="Palatino Linotype" w:eastAsia="Palatino Linotype" w:hAnsi="Palatino Linotype" w:cs="Palatino Linotype"/>
        </w:rPr>
      </w:pPr>
      <w:r w:rsidRPr="00A37AB5">
        <w:rPr>
          <w:rFonts w:ascii="Palatino Linotype" w:eastAsia="Palatino Linotype" w:hAnsi="Palatino Linotype" w:cs="Palatino Linotype"/>
          <w:b/>
          <w:bCs/>
        </w:rPr>
        <w:t xml:space="preserve">Cuarto. Notifíquese </w:t>
      </w:r>
      <w:r w:rsidRPr="00A37AB5">
        <w:rPr>
          <w:rFonts w:ascii="Palatino Linotype" w:eastAsia="Palatino Linotype" w:hAnsi="Palatino Linotype" w:cs="Palatino Linotype"/>
        </w:rPr>
        <w:t>vía</w:t>
      </w:r>
      <w:r w:rsidRPr="00A37AB5">
        <w:rPr>
          <w:rFonts w:ascii="Palatino Linotype" w:eastAsia="Palatino Linotype" w:hAnsi="Palatino Linotype" w:cs="Palatino Linotype"/>
          <w:b/>
          <w:bCs/>
        </w:rPr>
        <w:t xml:space="preserve"> SAIMEX </w:t>
      </w:r>
      <w:r w:rsidRPr="00A37AB5">
        <w:rPr>
          <w:rFonts w:ascii="Palatino Linotype" w:eastAsia="Palatino Linotype" w:hAnsi="Palatino Linotype" w:cs="Palatino Linotype"/>
        </w:rPr>
        <w:t xml:space="preserve">a la parte </w:t>
      </w:r>
      <w:r w:rsidRPr="00A37AB5">
        <w:rPr>
          <w:rFonts w:ascii="Palatino Linotype" w:eastAsia="Palatino Linotype" w:hAnsi="Palatino Linotype" w:cs="Palatino Linotype"/>
          <w:b/>
          <w:bCs/>
        </w:rPr>
        <w:t xml:space="preserve">Recurrente </w:t>
      </w:r>
      <w:r w:rsidRPr="00A37AB5">
        <w:rPr>
          <w:rFonts w:ascii="Palatino Linotype" w:eastAsia="Palatino Linotype" w:hAnsi="Palatino Linotype" w:cs="Palatino Linotype"/>
        </w:rPr>
        <w:t>la presente resolución, así como, que de conformidad con lo establecido en el artículo 196 de la Ley de Transparencia y Acceso a la Información Pública del Estado de México y Municipios, en caso de que considere que le causa algún perjuicio podrá impugnarla vía Juicio de Amparo en los términos de las leyes aplicables.</w:t>
      </w:r>
    </w:p>
    <w:p w:rsidR="005029A3" w:rsidRPr="00A37AB5" w:rsidRDefault="005029A3">
      <w:pPr>
        <w:spacing w:after="0" w:line="360" w:lineRule="auto"/>
        <w:jc w:val="both"/>
        <w:rPr>
          <w:rFonts w:ascii="Palatino Linotype" w:eastAsia="Palatino Linotype" w:hAnsi="Palatino Linotype" w:cs="Palatino Linotype"/>
        </w:rPr>
      </w:pPr>
    </w:p>
    <w:p w:rsidR="005029A3" w:rsidRPr="00A37AB5" w:rsidRDefault="00D3459A">
      <w:pPr>
        <w:spacing w:after="0" w:line="360" w:lineRule="auto"/>
        <w:ind w:right="49"/>
        <w:jc w:val="both"/>
        <w:rPr>
          <w:rFonts w:ascii="Palatino Linotype" w:eastAsia="Palatino Linotype" w:hAnsi="Palatino Linotype" w:cs="Palatino Linotype"/>
        </w:rPr>
      </w:pPr>
      <w:r w:rsidRPr="00A37AB5">
        <w:rPr>
          <w:rFonts w:ascii="Palatino Linotype" w:eastAsia="Palatino Linotype" w:hAnsi="Palatino Linotype" w:cs="Palatino Linotype"/>
          <w:b/>
          <w:bCs/>
        </w:rPr>
        <w:t>Quinto.</w:t>
      </w:r>
      <w:r w:rsidRPr="00A37AB5">
        <w:rPr>
          <w:rFonts w:ascii="Palatino Linotype" w:eastAsia="Palatino Linotype" w:hAnsi="Palatino Linotype" w:cs="Palatino Linotype"/>
        </w:rPr>
        <w:t xml:space="preserve"> De conformidad con el artículo 198 de la Ley de Transparencia y Acceso a la Información Pública del Estado de México y Municipios, de considerarlo procedente, el </w:t>
      </w:r>
      <w:r w:rsidRPr="00A37AB5">
        <w:rPr>
          <w:rFonts w:ascii="Palatino Linotype" w:eastAsia="Palatino Linotype" w:hAnsi="Palatino Linotype" w:cs="Palatino Linotype"/>
          <w:b/>
          <w:bCs/>
        </w:rPr>
        <w:t>SUJETO OBLIGADO</w:t>
      </w:r>
      <w:r w:rsidRPr="00A37AB5">
        <w:rPr>
          <w:rFonts w:ascii="Palatino Linotype" w:eastAsia="Palatino Linotype" w:hAnsi="Palatino Linotype" w:cs="Palatino Linotype"/>
        </w:rPr>
        <w:t xml:space="preserve"> de manera fundada y motivada, podrá solicitar una ampliación de plazo para el cumplimiento de la presente resolución.</w:t>
      </w:r>
    </w:p>
    <w:p w:rsidR="005029A3" w:rsidRPr="00A37AB5" w:rsidRDefault="005029A3">
      <w:pPr>
        <w:spacing w:after="0" w:line="360" w:lineRule="auto"/>
        <w:ind w:right="49"/>
        <w:jc w:val="both"/>
        <w:rPr>
          <w:rFonts w:ascii="Palatino Linotype" w:eastAsia="Palatino Linotype" w:hAnsi="Palatino Linotype" w:cs="Palatino Linotype"/>
        </w:rPr>
      </w:pPr>
    </w:p>
    <w:p w:rsidR="005029A3" w:rsidRPr="00A37AB5" w:rsidRDefault="00D3459A">
      <w:pPr>
        <w:spacing w:after="0" w:line="360" w:lineRule="auto"/>
        <w:ind w:right="49"/>
        <w:jc w:val="both"/>
        <w:rPr>
          <w:rFonts w:ascii="Palatino Linotype" w:eastAsia="Palatino Linotype" w:hAnsi="Palatino Linotype" w:cs="Palatino Linotype"/>
        </w:rPr>
      </w:pPr>
      <w:r w:rsidRPr="00A37AB5">
        <w:rPr>
          <w:rFonts w:ascii="Palatino Linotype" w:eastAsia="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DE MARZO DE DOS MIL VEINTISÉIS, ANTE EL SECRETARIO TÉCNICO DEL PLENO ALEXIS TAPIA RAMÍREZ. </w:t>
      </w:r>
    </w:p>
    <w:p w:rsidR="005029A3" w:rsidRPr="00A37AB5" w:rsidRDefault="005029A3">
      <w:pPr>
        <w:spacing w:after="0" w:line="360" w:lineRule="auto"/>
        <w:ind w:right="49"/>
        <w:jc w:val="both"/>
        <w:rPr>
          <w:rFonts w:ascii="Palatino Linotype" w:eastAsia="Palatino Linotype" w:hAnsi="Palatino Linotype" w:cs="Palatino Linotype"/>
        </w:rPr>
      </w:pPr>
    </w:p>
    <w:p w:rsidR="005029A3" w:rsidRPr="00A37AB5" w:rsidRDefault="005029A3">
      <w:pPr>
        <w:spacing w:after="0" w:line="360" w:lineRule="auto"/>
        <w:ind w:right="49"/>
        <w:jc w:val="both"/>
        <w:rPr>
          <w:rFonts w:ascii="Palatino Linotype" w:eastAsia="Palatino Linotype" w:hAnsi="Palatino Linotype" w:cs="Palatino Linotype"/>
        </w:rPr>
      </w:pPr>
    </w:p>
    <w:p w:rsidR="005029A3" w:rsidRPr="00A37AB5" w:rsidRDefault="005029A3">
      <w:pPr>
        <w:spacing w:after="0" w:line="360" w:lineRule="auto"/>
        <w:ind w:right="49"/>
        <w:jc w:val="both"/>
        <w:rPr>
          <w:rFonts w:ascii="Palatino Linotype" w:eastAsia="Palatino Linotype" w:hAnsi="Palatino Linotype" w:cs="Palatino Linotype"/>
        </w:rPr>
      </w:pPr>
    </w:p>
    <w:p w:rsidR="005029A3" w:rsidRPr="00A37AB5" w:rsidRDefault="005029A3">
      <w:pPr>
        <w:spacing w:after="0" w:line="360" w:lineRule="auto"/>
        <w:ind w:right="49"/>
        <w:jc w:val="both"/>
        <w:rPr>
          <w:rFonts w:ascii="Palatino Linotype" w:eastAsia="Palatino Linotype" w:hAnsi="Palatino Linotype" w:cs="Palatino Linotype"/>
        </w:rPr>
      </w:pPr>
    </w:p>
    <w:p w:rsidR="005029A3" w:rsidRPr="00A37AB5" w:rsidRDefault="005029A3">
      <w:pPr>
        <w:spacing w:after="0" w:line="360" w:lineRule="auto"/>
        <w:ind w:right="49"/>
        <w:jc w:val="both"/>
        <w:rPr>
          <w:rFonts w:ascii="Palatino Linotype" w:eastAsia="Palatino Linotype" w:hAnsi="Palatino Linotype" w:cs="Palatino Linotype"/>
        </w:rPr>
      </w:pPr>
    </w:p>
    <w:p w:rsidR="005029A3" w:rsidRPr="00A37AB5" w:rsidRDefault="005029A3">
      <w:pPr>
        <w:spacing w:after="0" w:line="360" w:lineRule="auto"/>
        <w:ind w:right="49"/>
        <w:jc w:val="both"/>
        <w:rPr>
          <w:rFonts w:ascii="Palatino Linotype" w:eastAsia="Palatino Linotype" w:hAnsi="Palatino Linotype" w:cs="Palatino Linotype"/>
        </w:rPr>
      </w:pPr>
    </w:p>
    <w:p w:rsidR="005029A3" w:rsidRPr="00A37AB5" w:rsidRDefault="005029A3">
      <w:pPr>
        <w:spacing w:after="0" w:line="360" w:lineRule="auto"/>
        <w:ind w:right="49"/>
        <w:jc w:val="both"/>
        <w:rPr>
          <w:rFonts w:ascii="Palatino Linotype" w:eastAsia="Palatino Linotype" w:hAnsi="Palatino Linotype" w:cs="Palatino Linotype"/>
        </w:rPr>
      </w:pPr>
    </w:p>
    <w:p w:rsidR="005029A3" w:rsidRPr="00A37AB5" w:rsidRDefault="005029A3">
      <w:pPr>
        <w:spacing w:after="0" w:line="360" w:lineRule="auto"/>
        <w:ind w:right="49"/>
        <w:jc w:val="both"/>
        <w:rPr>
          <w:rFonts w:ascii="Palatino Linotype" w:eastAsia="Palatino Linotype" w:hAnsi="Palatino Linotype" w:cs="Palatino Linotype"/>
        </w:rPr>
      </w:pPr>
    </w:p>
    <w:p w:rsidR="005029A3" w:rsidRPr="00A37AB5" w:rsidRDefault="005029A3">
      <w:pPr>
        <w:spacing w:after="0" w:line="360" w:lineRule="auto"/>
        <w:ind w:right="49"/>
        <w:jc w:val="both"/>
        <w:rPr>
          <w:rFonts w:ascii="Palatino Linotype" w:eastAsia="Palatino Linotype" w:hAnsi="Palatino Linotype" w:cs="Palatino Linotype"/>
        </w:rPr>
      </w:pPr>
    </w:p>
    <w:p w:rsidR="005029A3" w:rsidRPr="00A37AB5" w:rsidRDefault="005029A3">
      <w:pPr>
        <w:spacing w:after="0" w:line="360" w:lineRule="auto"/>
        <w:ind w:right="49"/>
        <w:jc w:val="both"/>
        <w:rPr>
          <w:rFonts w:ascii="Palatino Linotype" w:eastAsia="Palatino Linotype" w:hAnsi="Palatino Linotype" w:cs="Palatino Linotype"/>
        </w:rPr>
      </w:pPr>
    </w:p>
    <w:p w:rsidR="005029A3" w:rsidRPr="00A37AB5" w:rsidRDefault="005029A3">
      <w:pPr>
        <w:spacing w:after="0" w:line="360" w:lineRule="auto"/>
        <w:ind w:right="49"/>
        <w:jc w:val="both"/>
        <w:rPr>
          <w:rFonts w:ascii="Palatino Linotype" w:eastAsia="Palatino Linotype" w:hAnsi="Palatino Linotype" w:cs="Palatino Linotype"/>
        </w:rPr>
      </w:pPr>
    </w:p>
    <w:p w:rsidR="005029A3" w:rsidRPr="00A37AB5" w:rsidRDefault="005029A3">
      <w:pPr>
        <w:spacing w:after="0" w:line="360" w:lineRule="auto"/>
        <w:ind w:right="49"/>
        <w:jc w:val="both"/>
        <w:rPr>
          <w:rFonts w:ascii="Palatino Linotype" w:eastAsia="Palatino Linotype" w:hAnsi="Palatino Linotype" w:cs="Palatino Linotype"/>
        </w:rPr>
      </w:pPr>
    </w:p>
    <w:p w:rsidR="005029A3" w:rsidRPr="00A37AB5" w:rsidRDefault="005029A3">
      <w:pPr>
        <w:spacing w:after="0" w:line="360" w:lineRule="auto"/>
        <w:ind w:right="49"/>
        <w:jc w:val="both"/>
        <w:rPr>
          <w:rFonts w:ascii="Palatino Linotype" w:eastAsia="Palatino Linotype" w:hAnsi="Palatino Linotype" w:cs="Palatino Linotype"/>
        </w:rPr>
      </w:pPr>
    </w:p>
    <w:p w:rsidR="005029A3" w:rsidRPr="00A37AB5" w:rsidRDefault="005029A3">
      <w:pPr>
        <w:spacing w:after="0" w:line="360" w:lineRule="auto"/>
        <w:ind w:right="49"/>
        <w:jc w:val="both"/>
        <w:rPr>
          <w:rFonts w:ascii="Palatino Linotype" w:eastAsia="Palatino Linotype" w:hAnsi="Palatino Linotype" w:cs="Palatino Linotype"/>
        </w:rPr>
      </w:pPr>
    </w:p>
    <w:p w:rsidR="005029A3" w:rsidRPr="00A37AB5" w:rsidRDefault="005029A3">
      <w:pPr>
        <w:spacing w:after="0" w:line="360" w:lineRule="auto"/>
        <w:ind w:right="49"/>
        <w:jc w:val="both"/>
        <w:rPr>
          <w:rFonts w:ascii="Palatino Linotype" w:eastAsia="Palatino Linotype" w:hAnsi="Palatino Linotype" w:cs="Palatino Linotype"/>
        </w:rPr>
      </w:pPr>
    </w:p>
    <w:p w:rsidR="005029A3" w:rsidRPr="00A37AB5" w:rsidRDefault="005029A3">
      <w:pPr>
        <w:spacing w:after="0" w:line="360" w:lineRule="auto"/>
        <w:ind w:right="49"/>
        <w:jc w:val="both"/>
        <w:rPr>
          <w:rFonts w:ascii="Palatino Linotype" w:eastAsia="Palatino Linotype" w:hAnsi="Palatino Linotype" w:cs="Palatino Linotype"/>
        </w:rPr>
      </w:pPr>
    </w:p>
    <w:p w:rsidR="005029A3" w:rsidRPr="00A37AB5" w:rsidRDefault="005029A3">
      <w:pPr>
        <w:spacing w:after="0" w:line="360" w:lineRule="auto"/>
        <w:ind w:right="49"/>
        <w:jc w:val="both"/>
        <w:rPr>
          <w:rFonts w:ascii="Palatino Linotype" w:eastAsia="Palatino Linotype" w:hAnsi="Palatino Linotype" w:cs="Palatino Linotype"/>
        </w:rPr>
      </w:pPr>
    </w:p>
    <w:p w:rsidR="005029A3" w:rsidRPr="00A37AB5" w:rsidRDefault="005029A3">
      <w:pPr>
        <w:spacing w:after="0" w:line="360" w:lineRule="auto"/>
        <w:ind w:right="49"/>
        <w:jc w:val="both"/>
        <w:rPr>
          <w:rFonts w:ascii="Palatino Linotype" w:eastAsia="Palatino Linotype" w:hAnsi="Palatino Linotype" w:cs="Palatino Linotype"/>
        </w:rPr>
      </w:pPr>
    </w:p>
    <w:sectPr w:rsidR="005029A3" w:rsidRPr="00A37AB5">
      <w:headerReference w:type="default" r:id="rId15"/>
      <w:footerReference w:type="default" r:id="rId16"/>
      <w:headerReference w:type="first" r:id="rId17"/>
      <w:footerReference w:type="first" r:id="rId18"/>
      <w:pgSz w:w="12240" w:h="15840"/>
      <w:pgMar w:top="2552" w:right="1474" w:bottom="170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459A" w:rsidRDefault="00D3459A">
      <w:pPr>
        <w:spacing w:after="0" w:line="240" w:lineRule="auto"/>
      </w:pPr>
      <w:r>
        <w:separator/>
      </w:r>
    </w:p>
  </w:endnote>
  <w:endnote w:type="continuationSeparator" w:id="0">
    <w:p w:rsidR="00D3459A" w:rsidRDefault="00D345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44333126-9EC0-4325-A468-7CCF4CAC831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C1DC8EE8-28C1-4916-A2E9-2BF8A5D72718}"/>
    <w:embedBold r:id="rId3" w:fontKey="{8E2AD6B4-A69F-4DEB-AA18-2DD5C1F49E85}"/>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B7A36A66-4CEF-453C-8F09-9ADF88B1259B}"/>
  </w:font>
  <w:font w:name="Palatino Linotype">
    <w:panose1 w:val="02040502050505030304"/>
    <w:charset w:val="00"/>
    <w:family w:val="roman"/>
    <w:pitch w:val="variable"/>
    <w:sig w:usb0="E0000287" w:usb1="40000013" w:usb2="00000000" w:usb3="00000000" w:csb0="0000019F" w:csb1="00000000"/>
    <w:embedRegular r:id="rId5" w:fontKey="{DE7F0624-8397-4273-B843-FB0A24FA7911}"/>
    <w:embedBold r:id="rId6" w:fontKey="{0B86D57B-95CE-4C43-98CB-F6F777BA513D}"/>
    <w:embedItalic r:id="rId7" w:fontKey="{E20AE598-AEE4-44F5-9478-A035D9C9D9B8}"/>
    <w:embedBoldItalic r:id="rId8" w:fontKey="{EFD978A3-099C-40F7-A0D9-079A09ACDC14}"/>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embedRegular r:id="rId9" w:fontKey="{83CC1AD7-B141-488F-9D11-514E456E73F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9A3" w:rsidRDefault="00D3459A">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153207">
      <w:rPr>
        <w:b/>
        <w:bCs/>
        <w:noProof/>
        <w:color w:val="000000"/>
        <w:sz w:val="24"/>
        <w:szCs w:val="24"/>
      </w:rPr>
      <w:t>20</w: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153207">
      <w:rPr>
        <w:b/>
        <w:bCs/>
        <w:noProof/>
        <w:color w:val="000000"/>
        <w:sz w:val="24"/>
        <w:szCs w:val="24"/>
      </w:rPr>
      <w:t>36</w:t>
    </w:r>
    <w:r>
      <w:rPr>
        <w:b/>
        <w:bCs/>
        <w:color w:val="000000"/>
        <w:sz w:val="24"/>
        <w:szCs w:val="24"/>
      </w:rPr>
      <w:fldChar w:fldCharType="end"/>
    </w:r>
  </w:p>
  <w:p w:rsidR="005029A3" w:rsidRDefault="005029A3">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9A3" w:rsidRDefault="00D3459A">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153207">
      <w:rPr>
        <w:b/>
        <w:bCs/>
        <w:noProof/>
        <w:color w:val="000000"/>
        <w:sz w:val="24"/>
        <w:szCs w:val="24"/>
      </w:rPr>
      <w:t>1</w: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153207">
      <w:rPr>
        <w:b/>
        <w:bCs/>
        <w:noProof/>
        <w:color w:val="000000"/>
        <w:sz w:val="24"/>
        <w:szCs w:val="24"/>
      </w:rPr>
      <w:t>36</w:t>
    </w:r>
    <w:r>
      <w:rPr>
        <w:b/>
        <w:bCs/>
        <w:color w:val="000000"/>
        <w:sz w:val="24"/>
        <w:szCs w:val="24"/>
      </w:rPr>
      <w:fldChar w:fldCharType="end"/>
    </w:r>
  </w:p>
  <w:p w:rsidR="005029A3" w:rsidRDefault="005029A3">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459A" w:rsidRDefault="00D3459A">
      <w:pPr>
        <w:spacing w:after="0" w:line="240" w:lineRule="auto"/>
      </w:pPr>
      <w:r>
        <w:separator/>
      </w:r>
    </w:p>
  </w:footnote>
  <w:footnote w:type="continuationSeparator" w:id="0">
    <w:p w:rsidR="00D3459A" w:rsidRDefault="00D345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9A3" w:rsidRDefault="00D3459A">
    <w:pPr>
      <w:widowControl w:val="0"/>
      <w:pBdr>
        <w:top w:val="nil"/>
        <w:left w:val="nil"/>
        <w:bottom w:val="nil"/>
        <w:right w:val="nil"/>
        <w:between w:val="nil"/>
      </w:pBdr>
      <w:spacing w:after="0"/>
      <w:rPr>
        <w:color w:val="000000"/>
      </w:rPr>
    </w:pPr>
    <w:r>
      <w:rPr>
        <w:noProof/>
      </w:rPr>
      <w:drawing>
        <wp:anchor distT="0" distB="0" distL="0" distR="0" simplePos="0" relativeHeight="251658240" behindDoc="1" locked="0" layoutInCell="1" hidden="0" allowOverlap="1">
          <wp:simplePos x="0" y="0"/>
          <wp:positionH relativeFrom="column">
            <wp:posOffset>-669288</wp:posOffset>
          </wp:positionH>
          <wp:positionV relativeFrom="paragraph">
            <wp:posOffset>-240663</wp:posOffset>
          </wp:positionV>
          <wp:extent cx="7809876" cy="10165823"/>
          <wp:effectExtent l="0" t="0" r="0" b="0"/>
          <wp:wrapNone/>
          <wp:docPr id="188688578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809876" cy="10165823"/>
                  </a:xfrm>
                  <a:prstGeom prst="rect">
                    <a:avLst/>
                  </a:prstGeom>
                  <a:ln/>
                </pic:spPr>
              </pic:pic>
            </a:graphicData>
          </a:graphic>
        </wp:anchor>
      </w:drawing>
    </w:r>
  </w:p>
  <w:tbl>
    <w:tblPr>
      <w:tblStyle w:val="a1"/>
      <w:tblW w:w="5603" w:type="dxa"/>
      <w:tblInd w:w="3611" w:type="dxa"/>
      <w:tblLayout w:type="fixed"/>
      <w:tblLook w:val="0400" w:firstRow="0" w:lastRow="0" w:firstColumn="0" w:lastColumn="0" w:noHBand="0" w:noVBand="1"/>
    </w:tblPr>
    <w:tblGrid>
      <w:gridCol w:w="2551"/>
      <w:gridCol w:w="3052"/>
    </w:tblGrid>
    <w:tr w:rsidR="005029A3">
      <w:tc>
        <w:tcPr>
          <w:tcW w:w="2551" w:type="dxa"/>
          <w:vAlign w:val="center"/>
        </w:tcPr>
        <w:p w:rsidR="005029A3" w:rsidRDefault="00D3459A">
          <w:pPr>
            <w:pBdr>
              <w:top w:val="nil"/>
              <w:left w:val="nil"/>
              <w:bottom w:val="nil"/>
              <w:right w:val="nil"/>
              <w:between w:val="nil"/>
            </w:pBdr>
            <w:tabs>
              <w:tab w:val="center" w:pos="4419"/>
              <w:tab w:val="right" w:pos="8838"/>
            </w:tabs>
            <w:spacing w:after="0" w:line="240" w:lineRule="auto"/>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Recurso de Revisión:</w:t>
          </w:r>
        </w:p>
      </w:tc>
      <w:tc>
        <w:tcPr>
          <w:tcW w:w="3052" w:type="dxa"/>
          <w:vAlign w:val="center"/>
        </w:tcPr>
        <w:p w:rsidR="005029A3" w:rsidRDefault="00D3459A">
          <w:pPr>
            <w:pBdr>
              <w:top w:val="nil"/>
              <w:left w:val="nil"/>
              <w:bottom w:val="nil"/>
              <w:right w:val="nil"/>
              <w:between w:val="nil"/>
            </w:pBdr>
            <w:tabs>
              <w:tab w:val="center" w:pos="4419"/>
              <w:tab w:val="right" w:pos="8838"/>
            </w:tabs>
            <w:spacing w:after="0" w:line="240" w:lineRule="auto"/>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09064/INFOEM/IP/RR/2025</w:t>
          </w:r>
        </w:p>
      </w:tc>
    </w:tr>
    <w:tr w:rsidR="005029A3">
      <w:trPr>
        <w:trHeight w:val="217"/>
      </w:trPr>
      <w:tc>
        <w:tcPr>
          <w:tcW w:w="2551" w:type="dxa"/>
          <w:vAlign w:val="center"/>
        </w:tcPr>
        <w:p w:rsidR="005029A3" w:rsidRDefault="00D3459A">
          <w:pPr>
            <w:pBdr>
              <w:top w:val="nil"/>
              <w:left w:val="nil"/>
              <w:bottom w:val="nil"/>
              <w:right w:val="nil"/>
              <w:between w:val="nil"/>
            </w:pBdr>
            <w:tabs>
              <w:tab w:val="center" w:pos="4419"/>
              <w:tab w:val="right" w:pos="8838"/>
            </w:tabs>
            <w:spacing w:after="0" w:line="240" w:lineRule="auto"/>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Sujeto obligado:</w:t>
          </w:r>
        </w:p>
      </w:tc>
      <w:tc>
        <w:tcPr>
          <w:tcW w:w="3052" w:type="dxa"/>
          <w:vAlign w:val="center"/>
        </w:tcPr>
        <w:p w:rsidR="005029A3" w:rsidRDefault="00D3459A">
          <w:pPr>
            <w:pBdr>
              <w:top w:val="nil"/>
              <w:left w:val="nil"/>
              <w:bottom w:val="nil"/>
              <w:right w:val="nil"/>
              <w:between w:val="nil"/>
            </w:pBdr>
            <w:tabs>
              <w:tab w:val="center" w:pos="4419"/>
              <w:tab w:val="right" w:pos="8838"/>
            </w:tabs>
            <w:spacing w:after="0" w:line="240" w:lineRule="auto"/>
            <w:ind w:right="168"/>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Ayuntamiento de Cuautitlán Izcalli</w:t>
          </w:r>
        </w:p>
      </w:tc>
    </w:tr>
    <w:tr w:rsidR="005029A3">
      <w:tc>
        <w:tcPr>
          <w:tcW w:w="2551" w:type="dxa"/>
          <w:vAlign w:val="center"/>
        </w:tcPr>
        <w:p w:rsidR="005029A3" w:rsidRDefault="00D3459A">
          <w:pPr>
            <w:pBdr>
              <w:top w:val="nil"/>
              <w:left w:val="nil"/>
              <w:bottom w:val="nil"/>
              <w:right w:val="nil"/>
              <w:between w:val="nil"/>
            </w:pBdr>
            <w:tabs>
              <w:tab w:val="center" w:pos="4419"/>
              <w:tab w:val="right" w:pos="8838"/>
            </w:tabs>
            <w:spacing w:after="0" w:line="240" w:lineRule="auto"/>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Comisionada ponente:</w:t>
          </w:r>
        </w:p>
      </w:tc>
      <w:tc>
        <w:tcPr>
          <w:tcW w:w="3052" w:type="dxa"/>
          <w:vAlign w:val="center"/>
        </w:tcPr>
        <w:p w:rsidR="005029A3" w:rsidRDefault="00D3459A">
          <w:pPr>
            <w:pBdr>
              <w:top w:val="nil"/>
              <w:left w:val="nil"/>
              <w:bottom w:val="nil"/>
              <w:right w:val="nil"/>
              <w:between w:val="nil"/>
            </w:pBdr>
            <w:tabs>
              <w:tab w:val="center" w:pos="4419"/>
              <w:tab w:val="right" w:pos="8838"/>
            </w:tabs>
            <w:spacing w:after="0" w:line="240" w:lineRule="auto"/>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Guadalupe Ramírez Peña</w:t>
          </w:r>
        </w:p>
      </w:tc>
    </w:tr>
  </w:tbl>
  <w:p w:rsidR="005029A3" w:rsidRDefault="005029A3">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9A3" w:rsidRDefault="00D3459A">
    <w:pPr>
      <w:widowControl w:val="0"/>
      <w:pBdr>
        <w:top w:val="nil"/>
        <w:left w:val="nil"/>
        <w:bottom w:val="nil"/>
        <w:right w:val="nil"/>
        <w:between w:val="nil"/>
      </w:pBdr>
      <w:spacing w:after="0"/>
      <w:rPr>
        <w:rFonts w:ascii="Palatino Linotype" w:eastAsia="Palatino Linotype" w:hAnsi="Palatino Linotype" w:cs="Palatino Linotype"/>
        <w:sz w:val="24"/>
        <w:szCs w:val="24"/>
      </w:rPr>
    </w:pPr>
    <w:r>
      <w:rPr>
        <w:noProof/>
      </w:rPr>
      <w:drawing>
        <wp:anchor distT="0" distB="0" distL="0" distR="0" simplePos="0" relativeHeight="251659264" behindDoc="1" locked="0" layoutInCell="1" hidden="0" allowOverlap="1">
          <wp:simplePos x="0" y="0"/>
          <wp:positionH relativeFrom="column">
            <wp:posOffset>-712468</wp:posOffset>
          </wp:positionH>
          <wp:positionV relativeFrom="paragraph">
            <wp:posOffset>-239392</wp:posOffset>
          </wp:positionV>
          <wp:extent cx="7809865" cy="10165715"/>
          <wp:effectExtent l="0" t="0" r="0" b="0"/>
          <wp:wrapNone/>
          <wp:docPr id="188688578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809865" cy="10165715"/>
                  </a:xfrm>
                  <a:prstGeom prst="rect">
                    <a:avLst/>
                  </a:prstGeom>
                  <a:ln/>
                </pic:spPr>
              </pic:pic>
            </a:graphicData>
          </a:graphic>
        </wp:anchor>
      </w:drawing>
    </w:r>
  </w:p>
  <w:tbl>
    <w:tblPr>
      <w:tblStyle w:val="a2"/>
      <w:tblW w:w="5603" w:type="dxa"/>
      <w:tblInd w:w="3611" w:type="dxa"/>
      <w:tblLayout w:type="fixed"/>
      <w:tblLook w:val="0400" w:firstRow="0" w:lastRow="0" w:firstColumn="0" w:lastColumn="0" w:noHBand="0" w:noVBand="1"/>
    </w:tblPr>
    <w:tblGrid>
      <w:gridCol w:w="2551"/>
      <w:gridCol w:w="3052"/>
    </w:tblGrid>
    <w:tr w:rsidR="005029A3">
      <w:tc>
        <w:tcPr>
          <w:tcW w:w="2551" w:type="dxa"/>
          <w:vAlign w:val="center"/>
        </w:tcPr>
        <w:p w:rsidR="005029A3" w:rsidRDefault="00D3459A">
          <w:pPr>
            <w:pBdr>
              <w:top w:val="nil"/>
              <w:left w:val="nil"/>
              <w:bottom w:val="nil"/>
              <w:right w:val="nil"/>
              <w:between w:val="nil"/>
            </w:pBdr>
            <w:tabs>
              <w:tab w:val="center" w:pos="4419"/>
              <w:tab w:val="right" w:pos="8838"/>
            </w:tabs>
            <w:spacing w:after="0" w:line="240" w:lineRule="auto"/>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Recurso de Revisión:</w:t>
          </w:r>
        </w:p>
      </w:tc>
      <w:tc>
        <w:tcPr>
          <w:tcW w:w="3052" w:type="dxa"/>
          <w:vAlign w:val="center"/>
        </w:tcPr>
        <w:p w:rsidR="005029A3" w:rsidRDefault="00D3459A">
          <w:pPr>
            <w:pBdr>
              <w:top w:val="nil"/>
              <w:left w:val="nil"/>
              <w:bottom w:val="nil"/>
              <w:right w:val="nil"/>
              <w:between w:val="nil"/>
            </w:pBdr>
            <w:tabs>
              <w:tab w:val="center" w:pos="4419"/>
              <w:tab w:val="right" w:pos="8838"/>
            </w:tabs>
            <w:spacing w:after="0" w:line="240" w:lineRule="auto"/>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09064/INFOEM/IP/RR/2025</w:t>
          </w:r>
        </w:p>
      </w:tc>
    </w:tr>
    <w:tr w:rsidR="005029A3">
      <w:trPr>
        <w:trHeight w:val="369"/>
      </w:trPr>
      <w:tc>
        <w:tcPr>
          <w:tcW w:w="2551" w:type="dxa"/>
          <w:vAlign w:val="center"/>
        </w:tcPr>
        <w:p w:rsidR="005029A3" w:rsidRDefault="00D3459A">
          <w:pPr>
            <w:pBdr>
              <w:top w:val="nil"/>
              <w:left w:val="nil"/>
              <w:bottom w:val="nil"/>
              <w:right w:val="nil"/>
              <w:between w:val="nil"/>
            </w:pBdr>
            <w:tabs>
              <w:tab w:val="center" w:pos="4419"/>
              <w:tab w:val="right" w:pos="8838"/>
            </w:tabs>
            <w:spacing w:after="0" w:line="240" w:lineRule="auto"/>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3052" w:type="dxa"/>
          <w:vAlign w:val="center"/>
        </w:tcPr>
        <w:p w:rsidR="005029A3" w:rsidRDefault="00153207" w:rsidP="00153207">
          <w:pPr>
            <w:pBdr>
              <w:top w:val="nil"/>
              <w:left w:val="nil"/>
              <w:bottom w:val="nil"/>
              <w:right w:val="nil"/>
              <w:between w:val="nil"/>
            </w:pBdr>
            <w:tabs>
              <w:tab w:val="center" w:pos="4419"/>
              <w:tab w:val="right" w:pos="8838"/>
            </w:tabs>
            <w:spacing w:after="0" w:line="240" w:lineRule="auto"/>
            <w:ind w:right="310"/>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XXXXXXX XXXXX XXXX </w:t>
          </w:r>
        </w:p>
      </w:tc>
    </w:tr>
    <w:tr w:rsidR="005029A3">
      <w:trPr>
        <w:trHeight w:val="152"/>
      </w:trPr>
      <w:tc>
        <w:tcPr>
          <w:tcW w:w="2551" w:type="dxa"/>
          <w:vAlign w:val="center"/>
        </w:tcPr>
        <w:p w:rsidR="005029A3" w:rsidRDefault="00D3459A">
          <w:pPr>
            <w:tabs>
              <w:tab w:val="center" w:pos="4419"/>
              <w:tab w:val="right" w:pos="8838"/>
            </w:tabs>
            <w:spacing w:after="0" w:line="240" w:lineRule="auto"/>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Sujeto obligado:</w:t>
          </w:r>
        </w:p>
      </w:tc>
      <w:tc>
        <w:tcPr>
          <w:tcW w:w="3052" w:type="dxa"/>
          <w:vAlign w:val="center"/>
        </w:tcPr>
        <w:p w:rsidR="005029A3" w:rsidRDefault="00D3459A">
          <w:pPr>
            <w:pBdr>
              <w:top w:val="nil"/>
              <w:left w:val="nil"/>
              <w:bottom w:val="nil"/>
              <w:right w:val="nil"/>
              <w:between w:val="nil"/>
            </w:pBdr>
            <w:tabs>
              <w:tab w:val="center" w:pos="4419"/>
              <w:tab w:val="right" w:pos="8838"/>
            </w:tabs>
            <w:spacing w:after="0" w:line="240" w:lineRule="auto"/>
            <w:ind w:right="174"/>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Ayuntamiento de Cuautitlán Izcalli</w:t>
          </w:r>
        </w:p>
      </w:tc>
    </w:tr>
    <w:tr w:rsidR="005029A3">
      <w:tc>
        <w:tcPr>
          <w:tcW w:w="2551" w:type="dxa"/>
          <w:vAlign w:val="center"/>
        </w:tcPr>
        <w:p w:rsidR="005029A3" w:rsidRDefault="00D3459A">
          <w:pPr>
            <w:pBdr>
              <w:top w:val="nil"/>
              <w:left w:val="nil"/>
              <w:bottom w:val="nil"/>
              <w:right w:val="nil"/>
              <w:between w:val="nil"/>
            </w:pBdr>
            <w:tabs>
              <w:tab w:val="center" w:pos="4419"/>
              <w:tab w:val="right" w:pos="8838"/>
            </w:tabs>
            <w:spacing w:after="0" w:line="240" w:lineRule="auto"/>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Comisionada ponente:</w:t>
          </w:r>
        </w:p>
      </w:tc>
      <w:tc>
        <w:tcPr>
          <w:tcW w:w="3052" w:type="dxa"/>
          <w:vAlign w:val="center"/>
        </w:tcPr>
        <w:p w:rsidR="005029A3" w:rsidRDefault="00D3459A">
          <w:pPr>
            <w:pBdr>
              <w:top w:val="nil"/>
              <w:left w:val="nil"/>
              <w:bottom w:val="nil"/>
              <w:right w:val="nil"/>
              <w:between w:val="nil"/>
            </w:pBdr>
            <w:tabs>
              <w:tab w:val="center" w:pos="4419"/>
              <w:tab w:val="right" w:pos="8838"/>
            </w:tabs>
            <w:spacing w:after="0" w:line="240" w:lineRule="auto"/>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Guadalupe Ramírez Peña</w:t>
          </w:r>
        </w:p>
      </w:tc>
    </w:tr>
  </w:tbl>
  <w:p w:rsidR="005029A3" w:rsidRDefault="00D3459A">
    <w:pPr>
      <w:pBdr>
        <w:top w:val="nil"/>
        <w:left w:val="nil"/>
        <w:bottom w:val="nil"/>
        <w:right w:val="nil"/>
        <w:between w:val="nil"/>
      </w:pBdr>
      <w:tabs>
        <w:tab w:val="center" w:pos="4419"/>
        <w:tab w:val="right" w:pos="8838"/>
        <w:tab w:val="left" w:pos="3466"/>
      </w:tabs>
      <w:spacing w:after="0" w:line="240" w:lineRule="auto"/>
      <w:rPr>
        <w:color w:val="000000"/>
      </w:rPr>
    </w:pPr>
    <w:r>
      <w:rPr>
        <w:color w:val="000000"/>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402DE"/>
    <w:multiLevelType w:val="multilevel"/>
    <w:tmpl w:val="636ECAD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033071BA"/>
    <w:multiLevelType w:val="multilevel"/>
    <w:tmpl w:val="8FF889FA"/>
    <w:lvl w:ilvl="0">
      <w:start w:val="1"/>
      <w:numFmt w:val="decimal"/>
      <w:lvlText w:val="%1."/>
      <w:lvlJc w:val="left"/>
      <w:pPr>
        <w:ind w:left="2062"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D7B2DF2"/>
    <w:multiLevelType w:val="multilevel"/>
    <w:tmpl w:val="9A00624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 w15:restartNumberingAfterBreak="0">
    <w:nsid w:val="1DAC0510"/>
    <w:multiLevelType w:val="multilevel"/>
    <w:tmpl w:val="F1A286B2"/>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 w15:restartNumberingAfterBreak="0">
    <w:nsid w:val="63F335D9"/>
    <w:multiLevelType w:val="multilevel"/>
    <w:tmpl w:val="ED9ADD7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664E7B04"/>
    <w:multiLevelType w:val="multilevel"/>
    <w:tmpl w:val="4B4E45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2"/>
  </w:num>
  <w:num w:numId="3">
    <w:abstractNumId w:val="5"/>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9A3"/>
    <w:rsid w:val="00153207"/>
    <w:rsid w:val="005029A3"/>
    <w:rsid w:val="00A37AB5"/>
    <w:rsid w:val="00D3459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68E0C"/>
  <w15:docId w15:val="{B132A8E9-E085-43D0-877B-92B2C871C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sz w:val="24"/>
      <w:szCs w:val="24"/>
    </w:rPr>
  </w:style>
  <w:style w:type="paragraph" w:styleId="Ttulo5">
    <w:name w:val="heading 5"/>
    <w:basedOn w:val="Normal"/>
    <w:next w:val="Normal"/>
    <w:pPr>
      <w:keepNext/>
      <w:keepLines/>
      <w:spacing w:before="220" w:after="40"/>
      <w:outlineLvl w:val="4"/>
    </w:pPr>
    <w:rPr>
      <w:b/>
      <w:bCs/>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paragraph" w:styleId="Encabezado">
    <w:name w:val="header"/>
    <w:basedOn w:val="Normal"/>
    <w:link w:val="EncabezadoCar"/>
    <w:uiPriority w:val="99"/>
    <w:unhideWhenUsed/>
    <w:rsid w:val="00CD74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D74AE"/>
  </w:style>
  <w:style w:type="paragraph" w:styleId="Piedepgina">
    <w:name w:val="footer"/>
    <w:basedOn w:val="Normal"/>
    <w:link w:val="PiedepginaCar"/>
    <w:uiPriority w:val="99"/>
    <w:unhideWhenUsed/>
    <w:rsid w:val="00CD74A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D74AE"/>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CD74AE"/>
    <w:pPr>
      <w:ind w:left="720"/>
      <w:contextualSpacing/>
    </w:pPr>
  </w:style>
  <w:style w:type="character" w:styleId="Hipervnculo">
    <w:name w:val="Hyperlink"/>
    <w:aliases w:val="Hipervínculo1,Hipervínculo11,Hipervínculo12,Hipervínculo13,Hipervínculo14,Hipervínculo15"/>
    <w:basedOn w:val="Fuentedeprrafopredeter"/>
    <w:uiPriority w:val="99"/>
    <w:unhideWhenUsed/>
    <w:qFormat/>
    <w:rsid w:val="00CD74AE"/>
    <w:rPr>
      <w:color w:val="0563C1" w:themeColor="hyperlink"/>
      <w:u w:val="single"/>
    </w:rPr>
  </w:style>
  <w:style w:type="table" w:styleId="Tablaconcuadrcula">
    <w:name w:val="Table Grid"/>
    <w:basedOn w:val="Tablanormal"/>
    <w:uiPriority w:val="39"/>
    <w:rsid w:val="009C1D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D2AA5"/>
    <w:pPr>
      <w:spacing w:before="100" w:beforeAutospacing="1" w:after="100" w:afterAutospacing="1" w:line="240" w:lineRule="auto"/>
    </w:pPr>
    <w:rPr>
      <w:rFonts w:ascii="Times New Roman" w:hAnsi="Times New Roman"/>
      <w:sz w:val="24"/>
      <w:szCs w:val="24"/>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F3FE6"/>
  </w:style>
  <w:style w:type="table" w:customStyle="1" w:styleId="6">
    <w:name w:val="6"/>
    <w:basedOn w:val="TableNormal10"/>
    <w:tblPr>
      <w:tblStyleRowBandSize w:val="1"/>
      <w:tblStyleColBandSize w:val="1"/>
      <w:tblCellMar>
        <w:top w:w="15" w:type="dxa"/>
        <w:left w:w="15" w:type="dxa"/>
        <w:bottom w:w="15" w:type="dxa"/>
        <w:right w:w="15" w:type="dxa"/>
      </w:tblCellMar>
    </w:tblPr>
  </w:style>
  <w:style w:type="table" w:customStyle="1" w:styleId="5">
    <w:name w:val="5"/>
    <w:basedOn w:val="TableNormal10"/>
    <w:tblPr>
      <w:tblStyleRowBandSize w:val="1"/>
      <w:tblStyleColBandSize w:val="1"/>
      <w:tblCellMar>
        <w:left w:w="115" w:type="dxa"/>
        <w:right w:w="115" w:type="dxa"/>
      </w:tblCellMar>
    </w:tblPr>
  </w:style>
  <w:style w:type="table" w:customStyle="1" w:styleId="4">
    <w:name w:val="4"/>
    <w:basedOn w:val="TableNormal10"/>
    <w:tblPr>
      <w:tblStyleRowBandSize w:val="1"/>
      <w:tblStyleColBandSize w:val="1"/>
      <w:tblCellMar>
        <w:left w:w="115" w:type="dxa"/>
        <w:right w:w="115" w:type="dxa"/>
      </w:tblCellMar>
    </w:tblPr>
  </w:style>
  <w:style w:type="table" w:customStyle="1" w:styleId="3">
    <w:name w:val="3"/>
    <w:basedOn w:val="TableNormal10"/>
    <w:tblPr>
      <w:tblStyleRowBandSize w:val="1"/>
      <w:tblStyleColBandSize w:val="1"/>
      <w:tblCellMar>
        <w:top w:w="15" w:type="dxa"/>
        <w:left w:w="115" w:type="dxa"/>
        <w:bottom w:w="15" w:type="dxa"/>
        <w:right w:w="115" w:type="dxa"/>
      </w:tblCellMar>
    </w:tblPr>
  </w:style>
  <w:style w:type="table" w:customStyle="1" w:styleId="2">
    <w:name w:val="2"/>
    <w:basedOn w:val="TableNormal10"/>
    <w:tblPr>
      <w:tblStyleRowBandSize w:val="1"/>
      <w:tblStyleColBandSize w:val="1"/>
      <w:tblCellMar>
        <w:top w:w="15" w:type="dxa"/>
        <w:left w:w="115" w:type="dxa"/>
        <w:bottom w:w="15" w:type="dxa"/>
        <w:right w:w="115" w:type="dxa"/>
      </w:tblCellMar>
    </w:tblPr>
  </w:style>
  <w:style w:type="table" w:customStyle="1" w:styleId="1">
    <w:name w:val="1"/>
    <w:basedOn w:val="TableNormal10"/>
    <w:tblPr>
      <w:tblStyleRowBandSize w:val="1"/>
      <w:tblStyleColBandSize w:val="1"/>
      <w:tblCellMar>
        <w:top w:w="15" w:type="dxa"/>
        <w:left w:w="115" w:type="dxa"/>
        <w:bottom w:w="15" w:type="dxa"/>
        <w:right w:w="115" w:type="dxa"/>
      </w:tblCellMar>
    </w:tblPr>
  </w:style>
  <w:style w:type="character" w:customStyle="1" w:styleId="Mencinsinresolver1">
    <w:name w:val="Mención sin resolver1"/>
    <w:basedOn w:val="Fuentedeprrafopredeter"/>
    <w:uiPriority w:val="99"/>
    <w:semiHidden/>
    <w:unhideWhenUsed/>
    <w:rsid w:val="00B63FC6"/>
    <w:rPr>
      <w:color w:val="605E5C"/>
      <w:shd w:val="clear" w:color="auto" w:fill="E1DFDD"/>
    </w:rPr>
  </w:style>
  <w:style w:type="character" w:customStyle="1" w:styleId="Mencinsinresolver2">
    <w:name w:val="Mención sin resolver2"/>
    <w:basedOn w:val="Fuentedeprrafopredeter"/>
    <w:uiPriority w:val="99"/>
    <w:semiHidden/>
    <w:unhideWhenUsed/>
    <w:rsid w:val="00AC79ED"/>
    <w:rPr>
      <w:color w:val="605E5C"/>
      <w:shd w:val="clear" w:color="auto" w:fill="E1DFDD"/>
    </w:rPr>
  </w:style>
  <w:style w:type="paragraph" w:customStyle="1" w:styleId="Default">
    <w:name w:val="Default"/>
    <w:rsid w:val="00A27592"/>
    <w:pPr>
      <w:autoSpaceDE w:val="0"/>
      <w:autoSpaceDN w:val="0"/>
      <w:adjustRightInd w:val="0"/>
      <w:spacing w:after="0" w:line="240" w:lineRule="auto"/>
    </w:pPr>
    <w:rPr>
      <w:rFonts w:ascii="Arial" w:hAnsi="Arial" w:cs="Arial"/>
      <w:color w:val="000000"/>
      <w:sz w:val="24"/>
      <w:szCs w:val="24"/>
    </w:rPr>
  </w:style>
  <w:style w:type="character" w:customStyle="1" w:styleId="normaltextrun">
    <w:name w:val="normaltextrun"/>
    <w:basedOn w:val="Fuentedeprrafopredeter"/>
    <w:rsid w:val="002F3C2D"/>
  </w:style>
  <w:style w:type="paragraph" w:styleId="Sinespaciado">
    <w:name w:val="No Spacing"/>
    <w:aliases w:val="Francesa,INAI"/>
    <w:link w:val="SinespaciadoCar"/>
    <w:uiPriority w:val="1"/>
    <w:qFormat/>
    <w:rsid w:val="00F01E4E"/>
    <w:pPr>
      <w:spacing w:after="0" w:line="240" w:lineRule="auto"/>
    </w:pPr>
    <w:rPr>
      <w:rFonts w:ascii="Times New Roman" w:eastAsia="Times New Roman" w:hAnsi="Times New Roman" w:cs="Times New Roman"/>
      <w:sz w:val="24"/>
      <w:szCs w:val="24"/>
      <w:lang w:val="es-ES" w:eastAsia="es-ES"/>
    </w:rPr>
  </w:style>
  <w:style w:type="character" w:customStyle="1" w:styleId="SinespaciadoCar">
    <w:name w:val="Sin espaciado Car"/>
    <w:aliases w:val="Francesa Car,INAI Car"/>
    <w:link w:val="Sinespaciado"/>
    <w:uiPriority w:val="1"/>
    <w:locked/>
    <w:rsid w:val="00F01E4E"/>
    <w:rPr>
      <w:rFonts w:ascii="Times New Roman" w:eastAsia="Times New Roman" w:hAnsi="Times New Roman" w:cs="Times New Roman"/>
      <w:sz w:val="24"/>
      <w:szCs w:val="24"/>
      <w:lang w:val="es-ES" w:eastAsia="es-ES"/>
    </w:rPr>
  </w:style>
  <w:style w:type="character" w:customStyle="1" w:styleId="Mencinsinresolver3">
    <w:name w:val="Mención sin resolver3"/>
    <w:basedOn w:val="Fuentedeprrafopredeter"/>
    <w:uiPriority w:val="99"/>
    <w:semiHidden/>
    <w:unhideWhenUsed/>
    <w:rsid w:val="0036720C"/>
    <w:rPr>
      <w:color w:val="605E5C"/>
      <w:shd w:val="clear" w:color="auto" w:fill="E1DFDD"/>
    </w:rPr>
  </w:style>
  <w:style w:type="character" w:customStyle="1" w:styleId="PuestoCar">
    <w:name w:val="Puesto Car"/>
    <w:basedOn w:val="Fuentedeprrafopredeter"/>
    <w:uiPriority w:val="10"/>
    <w:rsid w:val="00B52797"/>
    <w:rPr>
      <w:rFonts w:eastAsia="Times New Roman" w:cs="Times New Roman"/>
      <w:b/>
      <w:sz w:val="72"/>
      <w:szCs w:val="72"/>
      <w:lang w:eastAsia="en-US"/>
    </w:rPr>
  </w:style>
  <w:style w:type="table" w:customStyle="1" w:styleId="a">
    <w:basedOn w:val="TableNormal1"/>
    <w:tblPr>
      <w:tblStyleRowBandSize w:val="1"/>
      <w:tblStyleColBandSize w:val="1"/>
      <w:tblCellMar>
        <w:top w:w="15" w:type="dxa"/>
        <w:left w:w="115" w:type="dxa"/>
        <w:bottom w:w="15" w:type="dxa"/>
        <w:right w:w="115" w:type="dxa"/>
      </w:tblCellMar>
    </w:tblPr>
  </w:style>
  <w:style w:type="table" w:customStyle="1" w:styleId="a0">
    <w:basedOn w:val="TableNormal1"/>
    <w:tblPr>
      <w:tblStyleRowBandSize w:val="1"/>
      <w:tblStyleColBandSize w:val="1"/>
      <w:tblCellMar>
        <w:top w:w="15" w:type="dxa"/>
        <w:left w:w="115" w:type="dxa"/>
        <w:bottom w:w="15" w:type="dxa"/>
        <w:right w:w="115" w:type="dxa"/>
      </w:tblCellMar>
    </w:tblPr>
  </w:style>
  <w:style w:type="character" w:customStyle="1" w:styleId="Mencinsinresolver4">
    <w:name w:val="Mención sin resolver4"/>
    <w:basedOn w:val="Fuentedeprrafopredeter"/>
    <w:uiPriority w:val="99"/>
    <w:semiHidden/>
    <w:unhideWhenUsed/>
    <w:rsid w:val="008639C5"/>
    <w:rPr>
      <w:color w:val="605E5C"/>
      <w:shd w:val="clear" w:color="auto" w:fill="E1DFDD"/>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1">
    <w:basedOn w:val="TableNormal0"/>
    <w:tblPr>
      <w:tblStyleRowBandSize w:val="1"/>
      <w:tblStyleColBandSize w:val="1"/>
      <w:tblCellMar>
        <w:top w:w="15" w:type="dxa"/>
        <w:left w:w="115" w:type="dxa"/>
        <w:bottom w:w="15" w:type="dxa"/>
        <w:right w:w="115" w:type="dxa"/>
      </w:tblCellMar>
    </w:tblPr>
  </w:style>
  <w:style w:type="table" w:customStyle="1" w:styleId="a2">
    <w:basedOn w:val="TableNormal0"/>
    <w:tblPr>
      <w:tblStyleRowBandSize w:val="1"/>
      <w:tblStyleColBandSize w:val="1"/>
      <w:tblCellMar>
        <w:top w:w="15" w:type="dxa"/>
        <w:left w:w="115" w:type="dxa"/>
        <w:bottom w:w="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9.png"/><Relationship Id="rId14" Type="http://schemas.openxmlformats.org/officeDocument/2006/relationships/image" Target="media/image6.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fUNh12eqFfGXdJErZi25WZ/IOw==">CgMxLjAyCWguMzBqMHpsbDIJaC4zem55c2g3Mg5oLmh3cHM5Yzg5dnhzbzIJaC4xZm9iOXRlOAByITF1bkpFSEpacm1zSEZNWk1KV2FHOXdCdGZwRnR3VW9XMw==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8154</Words>
  <Characters>44849</Characters>
  <Application>Microsoft Office Word</Application>
  <DocSecurity>0</DocSecurity>
  <Lines>373</Lines>
  <Paragraphs>105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Cuenta Microsoft</dc:creator>
  <cp:lastModifiedBy>Maricela Villagómez Martínez</cp:lastModifiedBy>
  <cp:revision>2</cp:revision>
  <dcterms:created xsi:type="dcterms:W3CDTF">2026-04-07T17:51:00Z</dcterms:created>
  <dcterms:modified xsi:type="dcterms:W3CDTF">2026-04-07T17:51:00Z</dcterms:modified>
</cp:coreProperties>
</file>