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7D2BF" w14:textId="77777777" w:rsidR="004459C8" w:rsidRPr="00D20492" w:rsidRDefault="004459C8" w:rsidP="00981A65">
      <w:pPr>
        <w:pStyle w:val="TtulodeTDC"/>
        <w:spacing w:before="0" w:line="360" w:lineRule="auto"/>
        <w:contextualSpacing/>
        <w:rPr>
          <w:rFonts w:ascii="Palatino Linotype" w:eastAsia="Palatino Linotype" w:hAnsi="Palatino Linotype" w:cs="Palatino Linotype"/>
          <w:color w:val="000000" w:themeColor="text1"/>
          <w:sz w:val="22"/>
          <w:szCs w:val="22"/>
          <w:lang w:val="es-ES" w:eastAsia="es-ES"/>
        </w:rPr>
      </w:pPr>
      <w:bookmarkStart w:id="0" w:name="_Hlk196321724"/>
      <w:bookmarkStart w:id="1" w:name="_Hlk207838146"/>
      <w:bookmarkEnd w:id="0"/>
    </w:p>
    <w:sdt>
      <w:sdtPr>
        <w:rPr>
          <w:rFonts w:ascii="Palatino Linotype" w:eastAsia="Palatino Linotype" w:hAnsi="Palatino Linotype" w:cs="Palatino Linotype"/>
          <w:color w:val="000000" w:themeColor="text1"/>
          <w:sz w:val="22"/>
          <w:szCs w:val="22"/>
          <w:lang w:val="es-ES" w:eastAsia="es-ES"/>
        </w:rPr>
        <w:id w:val="789625836"/>
        <w:docPartObj>
          <w:docPartGallery w:val="Table of Contents"/>
          <w:docPartUnique/>
        </w:docPartObj>
      </w:sdtPr>
      <w:sdtEndPr>
        <w:rPr>
          <w:rFonts w:eastAsia="Times New Roman" w:cs="Times New Roman"/>
          <w:color w:val="auto"/>
          <w:sz w:val="20"/>
          <w:szCs w:val="20"/>
        </w:rPr>
      </w:sdtEndPr>
      <w:sdtContent>
        <w:p w14:paraId="761CA88C" w14:textId="27B42583" w:rsidR="004459C8" w:rsidRPr="00D20492" w:rsidRDefault="004459C8" w:rsidP="00981A65">
          <w:pPr>
            <w:pStyle w:val="TtulodeTDC"/>
            <w:spacing w:before="0" w:line="360" w:lineRule="auto"/>
            <w:contextualSpacing/>
            <w:jc w:val="center"/>
            <w:rPr>
              <w:rFonts w:ascii="Palatino Linotype" w:hAnsi="Palatino Linotype"/>
              <w:color w:val="auto"/>
              <w:sz w:val="22"/>
              <w:szCs w:val="22"/>
            </w:rPr>
          </w:pPr>
          <w:r w:rsidRPr="00D20492">
            <w:rPr>
              <w:rFonts w:ascii="Palatino Linotype" w:hAnsi="Palatino Linotype"/>
              <w:color w:val="auto"/>
              <w:sz w:val="22"/>
              <w:szCs w:val="22"/>
              <w:lang w:val="es-ES"/>
            </w:rPr>
            <w:t xml:space="preserve">RESOLUCIÓN DEL RECURSO DE REVISIÓN </w:t>
          </w:r>
          <w:r w:rsidR="00517D65" w:rsidRPr="00D20492">
            <w:rPr>
              <w:rFonts w:ascii="Palatino Linotype" w:hAnsi="Palatino Linotype"/>
              <w:color w:val="auto"/>
              <w:sz w:val="22"/>
              <w:szCs w:val="22"/>
            </w:rPr>
            <w:t>02766/INFOEM/IP/RR/2026</w:t>
          </w:r>
        </w:p>
        <w:p w14:paraId="447B07C8" w14:textId="77777777" w:rsidR="004459C8" w:rsidRPr="00D20492" w:rsidRDefault="004459C8" w:rsidP="00981A65">
          <w:pPr>
            <w:pStyle w:val="TtulodeTDC"/>
            <w:spacing w:before="0" w:line="360" w:lineRule="auto"/>
            <w:contextualSpacing/>
            <w:rPr>
              <w:rFonts w:ascii="Palatino Linotype" w:hAnsi="Palatino Linotype"/>
              <w:color w:val="auto"/>
              <w:sz w:val="22"/>
              <w:szCs w:val="22"/>
            </w:rPr>
          </w:pPr>
        </w:p>
        <w:p w14:paraId="2BB72913" w14:textId="7CD5456F" w:rsidR="00D20492" w:rsidRPr="00D20492" w:rsidRDefault="004459C8">
          <w:pPr>
            <w:pStyle w:val="TDC1"/>
            <w:tabs>
              <w:tab w:val="right" w:leader="dot" w:pos="8828"/>
            </w:tabs>
            <w:rPr>
              <w:rFonts w:cstheme="minorBidi"/>
              <w:noProof/>
              <w:kern w:val="2"/>
              <w14:ligatures w14:val="standardContextual"/>
            </w:rPr>
          </w:pPr>
          <w:r w:rsidRPr="00D20492">
            <w:rPr>
              <w:rFonts w:ascii="Palatino Linotype" w:eastAsia="Palatino Linotype" w:hAnsi="Palatino Linotype" w:cs="Palatino Linotype"/>
              <w:color w:val="000000" w:themeColor="text1"/>
            </w:rPr>
            <w:fldChar w:fldCharType="begin"/>
          </w:r>
          <w:r w:rsidRPr="00D20492">
            <w:rPr>
              <w:rFonts w:ascii="Palatino Linotype" w:hAnsi="Palatino Linotype"/>
            </w:rPr>
            <w:instrText xml:space="preserve"> TOC \o "1-3" \h \z \u </w:instrText>
          </w:r>
          <w:r w:rsidRPr="00D20492">
            <w:rPr>
              <w:rFonts w:ascii="Palatino Linotype" w:eastAsia="Palatino Linotype" w:hAnsi="Palatino Linotype" w:cs="Palatino Linotype"/>
              <w:color w:val="000000" w:themeColor="text1"/>
            </w:rPr>
            <w:fldChar w:fldCharType="separate"/>
          </w:r>
          <w:hyperlink w:anchor="_Toc226637709" w:history="1">
            <w:r w:rsidR="00D20492" w:rsidRPr="00D20492">
              <w:rPr>
                <w:rStyle w:val="Hipervnculo"/>
                <w:rFonts w:ascii="Palatino Linotype" w:hAnsi="Palatino Linotype"/>
                <w:noProof/>
              </w:rPr>
              <w:t>A N T E C E D E N T E S</w:t>
            </w:r>
            <w:r w:rsidR="00D20492" w:rsidRPr="00D20492">
              <w:rPr>
                <w:noProof/>
                <w:webHidden/>
              </w:rPr>
              <w:tab/>
            </w:r>
            <w:r w:rsidR="00D20492" w:rsidRPr="00D20492">
              <w:rPr>
                <w:noProof/>
                <w:webHidden/>
              </w:rPr>
              <w:fldChar w:fldCharType="begin"/>
            </w:r>
            <w:r w:rsidR="00D20492" w:rsidRPr="00D20492">
              <w:rPr>
                <w:noProof/>
                <w:webHidden/>
              </w:rPr>
              <w:instrText xml:space="preserve"> PAGEREF _Toc226637709 \h </w:instrText>
            </w:r>
            <w:r w:rsidR="00D20492" w:rsidRPr="00D20492">
              <w:rPr>
                <w:noProof/>
                <w:webHidden/>
              </w:rPr>
            </w:r>
            <w:r w:rsidR="00D20492" w:rsidRPr="00D20492">
              <w:rPr>
                <w:noProof/>
                <w:webHidden/>
              </w:rPr>
              <w:fldChar w:fldCharType="separate"/>
            </w:r>
            <w:r w:rsidR="00E53E62">
              <w:rPr>
                <w:noProof/>
                <w:webHidden/>
              </w:rPr>
              <w:t>2</w:t>
            </w:r>
            <w:r w:rsidR="00D20492" w:rsidRPr="00D20492">
              <w:rPr>
                <w:noProof/>
                <w:webHidden/>
              </w:rPr>
              <w:fldChar w:fldCharType="end"/>
            </w:r>
          </w:hyperlink>
        </w:p>
        <w:p w14:paraId="2CAF944C" w14:textId="6DD5C4A3" w:rsidR="00D20492" w:rsidRPr="00D20492" w:rsidRDefault="000C714D">
          <w:pPr>
            <w:pStyle w:val="TDC2"/>
            <w:tabs>
              <w:tab w:val="right" w:leader="dot" w:pos="8828"/>
            </w:tabs>
            <w:rPr>
              <w:rFonts w:cstheme="minorBidi"/>
              <w:noProof/>
              <w:kern w:val="2"/>
              <w14:ligatures w14:val="standardContextual"/>
            </w:rPr>
          </w:pPr>
          <w:hyperlink w:anchor="_Toc226637710" w:history="1">
            <w:r w:rsidR="00D20492" w:rsidRPr="00D20492">
              <w:rPr>
                <w:rStyle w:val="Hipervnculo"/>
                <w:rFonts w:ascii="Palatino Linotype" w:hAnsi="Palatino Linotype"/>
                <w:noProof/>
              </w:rPr>
              <w:t>I. Presentación de la solicitud de información</w:t>
            </w:r>
            <w:r w:rsidR="00D20492" w:rsidRPr="00D20492">
              <w:rPr>
                <w:noProof/>
                <w:webHidden/>
              </w:rPr>
              <w:tab/>
            </w:r>
            <w:r w:rsidR="00D20492" w:rsidRPr="00D20492">
              <w:rPr>
                <w:noProof/>
                <w:webHidden/>
              </w:rPr>
              <w:fldChar w:fldCharType="begin"/>
            </w:r>
            <w:r w:rsidR="00D20492" w:rsidRPr="00D20492">
              <w:rPr>
                <w:noProof/>
                <w:webHidden/>
              </w:rPr>
              <w:instrText xml:space="preserve"> PAGEREF _Toc226637710 \h </w:instrText>
            </w:r>
            <w:r w:rsidR="00D20492" w:rsidRPr="00D20492">
              <w:rPr>
                <w:noProof/>
                <w:webHidden/>
              </w:rPr>
            </w:r>
            <w:r w:rsidR="00D20492" w:rsidRPr="00D20492">
              <w:rPr>
                <w:noProof/>
                <w:webHidden/>
              </w:rPr>
              <w:fldChar w:fldCharType="separate"/>
            </w:r>
            <w:r w:rsidR="00E53E62">
              <w:rPr>
                <w:noProof/>
                <w:webHidden/>
              </w:rPr>
              <w:t>2</w:t>
            </w:r>
            <w:r w:rsidR="00D20492" w:rsidRPr="00D20492">
              <w:rPr>
                <w:noProof/>
                <w:webHidden/>
              </w:rPr>
              <w:fldChar w:fldCharType="end"/>
            </w:r>
          </w:hyperlink>
        </w:p>
        <w:p w14:paraId="66D8EBA4" w14:textId="59BC7340" w:rsidR="00D20492" w:rsidRPr="00D20492" w:rsidRDefault="000C714D">
          <w:pPr>
            <w:pStyle w:val="TDC2"/>
            <w:tabs>
              <w:tab w:val="right" w:leader="dot" w:pos="8828"/>
            </w:tabs>
            <w:rPr>
              <w:rFonts w:cstheme="minorBidi"/>
              <w:noProof/>
              <w:kern w:val="2"/>
              <w14:ligatures w14:val="standardContextual"/>
            </w:rPr>
          </w:pPr>
          <w:hyperlink w:anchor="_Toc226637711" w:history="1">
            <w:r w:rsidR="00D20492" w:rsidRPr="00D20492">
              <w:rPr>
                <w:rStyle w:val="Hipervnculo"/>
                <w:rFonts w:ascii="Palatino Linotype" w:hAnsi="Palatino Linotype"/>
                <w:noProof/>
              </w:rPr>
              <w:t>II. Respuesta del Sujeto Obligado</w:t>
            </w:r>
            <w:r w:rsidR="00D20492" w:rsidRPr="00D20492">
              <w:rPr>
                <w:noProof/>
                <w:webHidden/>
              </w:rPr>
              <w:tab/>
            </w:r>
            <w:r w:rsidR="00D20492" w:rsidRPr="00D20492">
              <w:rPr>
                <w:noProof/>
                <w:webHidden/>
              </w:rPr>
              <w:fldChar w:fldCharType="begin"/>
            </w:r>
            <w:r w:rsidR="00D20492" w:rsidRPr="00D20492">
              <w:rPr>
                <w:noProof/>
                <w:webHidden/>
              </w:rPr>
              <w:instrText xml:space="preserve"> PAGEREF _Toc226637711 \h </w:instrText>
            </w:r>
            <w:r w:rsidR="00D20492" w:rsidRPr="00D20492">
              <w:rPr>
                <w:noProof/>
                <w:webHidden/>
              </w:rPr>
            </w:r>
            <w:r w:rsidR="00D20492" w:rsidRPr="00D20492">
              <w:rPr>
                <w:noProof/>
                <w:webHidden/>
              </w:rPr>
              <w:fldChar w:fldCharType="separate"/>
            </w:r>
            <w:r w:rsidR="00E53E62">
              <w:rPr>
                <w:noProof/>
                <w:webHidden/>
              </w:rPr>
              <w:t>3</w:t>
            </w:r>
            <w:r w:rsidR="00D20492" w:rsidRPr="00D20492">
              <w:rPr>
                <w:noProof/>
                <w:webHidden/>
              </w:rPr>
              <w:fldChar w:fldCharType="end"/>
            </w:r>
          </w:hyperlink>
        </w:p>
        <w:p w14:paraId="2AD4F016" w14:textId="227EB96B" w:rsidR="00D20492" w:rsidRPr="00D20492" w:rsidRDefault="000C714D">
          <w:pPr>
            <w:pStyle w:val="TDC2"/>
            <w:tabs>
              <w:tab w:val="right" w:leader="dot" w:pos="8828"/>
            </w:tabs>
            <w:rPr>
              <w:rFonts w:cstheme="minorBidi"/>
              <w:noProof/>
              <w:kern w:val="2"/>
              <w14:ligatures w14:val="standardContextual"/>
            </w:rPr>
          </w:pPr>
          <w:hyperlink w:anchor="_Toc226637712" w:history="1">
            <w:r w:rsidR="00D20492" w:rsidRPr="00D20492">
              <w:rPr>
                <w:rStyle w:val="Hipervnculo"/>
                <w:rFonts w:ascii="Palatino Linotype" w:hAnsi="Palatino Linotype"/>
                <w:noProof/>
              </w:rPr>
              <w:t>IV. Interposición de los Recursos de Revisión</w:t>
            </w:r>
            <w:r w:rsidR="00D20492" w:rsidRPr="00D20492">
              <w:rPr>
                <w:noProof/>
                <w:webHidden/>
              </w:rPr>
              <w:tab/>
            </w:r>
            <w:r w:rsidR="00D20492" w:rsidRPr="00D20492">
              <w:rPr>
                <w:noProof/>
                <w:webHidden/>
              </w:rPr>
              <w:fldChar w:fldCharType="begin"/>
            </w:r>
            <w:r w:rsidR="00D20492" w:rsidRPr="00D20492">
              <w:rPr>
                <w:noProof/>
                <w:webHidden/>
              </w:rPr>
              <w:instrText xml:space="preserve"> PAGEREF _Toc226637712 \h </w:instrText>
            </w:r>
            <w:r w:rsidR="00D20492" w:rsidRPr="00D20492">
              <w:rPr>
                <w:noProof/>
                <w:webHidden/>
              </w:rPr>
            </w:r>
            <w:r w:rsidR="00D20492" w:rsidRPr="00D20492">
              <w:rPr>
                <w:noProof/>
                <w:webHidden/>
              </w:rPr>
              <w:fldChar w:fldCharType="separate"/>
            </w:r>
            <w:r w:rsidR="00E53E62">
              <w:rPr>
                <w:noProof/>
                <w:webHidden/>
              </w:rPr>
              <w:t>4</w:t>
            </w:r>
            <w:r w:rsidR="00D20492" w:rsidRPr="00D20492">
              <w:rPr>
                <w:noProof/>
                <w:webHidden/>
              </w:rPr>
              <w:fldChar w:fldCharType="end"/>
            </w:r>
          </w:hyperlink>
        </w:p>
        <w:p w14:paraId="460B38FC" w14:textId="36141120" w:rsidR="00D20492" w:rsidRPr="00D20492" w:rsidRDefault="000C714D">
          <w:pPr>
            <w:pStyle w:val="TDC2"/>
            <w:tabs>
              <w:tab w:val="right" w:leader="dot" w:pos="8828"/>
            </w:tabs>
            <w:rPr>
              <w:rFonts w:cstheme="minorBidi"/>
              <w:noProof/>
              <w:kern w:val="2"/>
              <w14:ligatures w14:val="standardContextual"/>
            </w:rPr>
          </w:pPr>
          <w:hyperlink w:anchor="_Toc226637713" w:history="1">
            <w:r w:rsidR="00D20492" w:rsidRPr="00D20492">
              <w:rPr>
                <w:rStyle w:val="Hipervnculo"/>
                <w:rFonts w:ascii="Palatino Linotype" w:hAnsi="Palatino Linotype"/>
                <w:noProof/>
              </w:rPr>
              <w:t xml:space="preserve">V. </w:t>
            </w:r>
            <w:r w:rsidR="00D20492" w:rsidRPr="00D20492">
              <w:rPr>
                <w:rStyle w:val="Hipervnculo"/>
                <w:rFonts w:ascii="Palatino Linotype" w:eastAsia="Batang" w:hAnsi="Palatino Linotype"/>
                <w:noProof/>
              </w:rPr>
              <w:t xml:space="preserve">Trámite del </w:t>
            </w:r>
            <w:r w:rsidR="00D20492" w:rsidRPr="00D20492">
              <w:rPr>
                <w:rStyle w:val="Hipervnculo"/>
                <w:rFonts w:ascii="Palatino Linotype" w:hAnsi="Palatino Linotype"/>
                <w:noProof/>
              </w:rPr>
              <w:t xml:space="preserve">Recurso de Revisión </w:t>
            </w:r>
            <w:r w:rsidR="00D20492" w:rsidRPr="00D20492">
              <w:rPr>
                <w:rStyle w:val="Hipervnculo"/>
                <w:rFonts w:ascii="Palatino Linotype" w:eastAsia="Batang" w:hAnsi="Palatino Linotype"/>
                <w:noProof/>
              </w:rPr>
              <w:t>ante este Instituto</w:t>
            </w:r>
            <w:r w:rsidR="00D20492" w:rsidRPr="00D20492">
              <w:rPr>
                <w:noProof/>
                <w:webHidden/>
              </w:rPr>
              <w:tab/>
            </w:r>
            <w:r w:rsidR="00D20492" w:rsidRPr="00D20492">
              <w:rPr>
                <w:noProof/>
                <w:webHidden/>
              </w:rPr>
              <w:fldChar w:fldCharType="begin"/>
            </w:r>
            <w:r w:rsidR="00D20492" w:rsidRPr="00D20492">
              <w:rPr>
                <w:noProof/>
                <w:webHidden/>
              </w:rPr>
              <w:instrText xml:space="preserve"> PAGEREF _Toc226637713 \h </w:instrText>
            </w:r>
            <w:r w:rsidR="00D20492" w:rsidRPr="00D20492">
              <w:rPr>
                <w:noProof/>
                <w:webHidden/>
              </w:rPr>
            </w:r>
            <w:r w:rsidR="00D20492" w:rsidRPr="00D20492">
              <w:rPr>
                <w:noProof/>
                <w:webHidden/>
              </w:rPr>
              <w:fldChar w:fldCharType="separate"/>
            </w:r>
            <w:r w:rsidR="00E53E62">
              <w:rPr>
                <w:noProof/>
                <w:webHidden/>
              </w:rPr>
              <w:t>4</w:t>
            </w:r>
            <w:r w:rsidR="00D20492" w:rsidRPr="00D20492">
              <w:rPr>
                <w:noProof/>
                <w:webHidden/>
              </w:rPr>
              <w:fldChar w:fldCharType="end"/>
            </w:r>
          </w:hyperlink>
        </w:p>
        <w:p w14:paraId="3795EFD8" w14:textId="335E9391" w:rsidR="00D20492" w:rsidRPr="00D20492" w:rsidRDefault="000C714D">
          <w:pPr>
            <w:pStyle w:val="TDC1"/>
            <w:tabs>
              <w:tab w:val="right" w:leader="dot" w:pos="8828"/>
            </w:tabs>
            <w:rPr>
              <w:rFonts w:cstheme="minorBidi"/>
              <w:noProof/>
              <w:kern w:val="2"/>
              <w14:ligatures w14:val="standardContextual"/>
            </w:rPr>
          </w:pPr>
          <w:hyperlink w:anchor="_Toc226637714" w:history="1">
            <w:r w:rsidR="00D20492" w:rsidRPr="00D20492">
              <w:rPr>
                <w:rStyle w:val="Hipervnculo"/>
                <w:rFonts w:ascii="Palatino Linotype" w:hAnsi="Palatino Linotype"/>
                <w:noProof/>
              </w:rPr>
              <w:t>C O N S I D E R A N D O S</w:t>
            </w:r>
            <w:r w:rsidR="00D20492" w:rsidRPr="00D20492">
              <w:rPr>
                <w:noProof/>
                <w:webHidden/>
              </w:rPr>
              <w:tab/>
            </w:r>
            <w:r w:rsidR="00D20492" w:rsidRPr="00D20492">
              <w:rPr>
                <w:noProof/>
                <w:webHidden/>
              </w:rPr>
              <w:fldChar w:fldCharType="begin"/>
            </w:r>
            <w:r w:rsidR="00D20492" w:rsidRPr="00D20492">
              <w:rPr>
                <w:noProof/>
                <w:webHidden/>
              </w:rPr>
              <w:instrText xml:space="preserve"> PAGEREF _Toc226637714 \h </w:instrText>
            </w:r>
            <w:r w:rsidR="00D20492" w:rsidRPr="00D20492">
              <w:rPr>
                <w:noProof/>
                <w:webHidden/>
              </w:rPr>
            </w:r>
            <w:r w:rsidR="00D20492" w:rsidRPr="00D20492">
              <w:rPr>
                <w:noProof/>
                <w:webHidden/>
              </w:rPr>
              <w:fldChar w:fldCharType="separate"/>
            </w:r>
            <w:r w:rsidR="00E53E62">
              <w:rPr>
                <w:noProof/>
                <w:webHidden/>
              </w:rPr>
              <w:t>6</w:t>
            </w:r>
            <w:r w:rsidR="00D20492" w:rsidRPr="00D20492">
              <w:rPr>
                <w:noProof/>
                <w:webHidden/>
              </w:rPr>
              <w:fldChar w:fldCharType="end"/>
            </w:r>
          </w:hyperlink>
        </w:p>
        <w:p w14:paraId="0E1EF236" w14:textId="439A0418" w:rsidR="00D20492" w:rsidRPr="00D20492" w:rsidRDefault="000C714D">
          <w:pPr>
            <w:pStyle w:val="TDC2"/>
            <w:tabs>
              <w:tab w:val="right" w:leader="dot" w:pos="8828"/>
            </w:tabs>
            <w:rPr>
              <w:rFonts w:cstheme="minorBidi"/>
              <w:noProof/>
              <w:kern w:val="2"/>
              <w14:ligatures w14:val="standardContextual"/>
            </w:rPr>
          </w:pPr>
          <w:hyperlink w:anchor="_Toc226637715" w:history="1">
            <w:r w:rsidR="00D20492" w:rsidRPr="00D20492">
              <w:rPr>
                <w:rStyle w:val="Hipervnculo"/>
                <w:rFonts w:ascii="Palatino Linotype" w:hAnsi="Palatino Linotype"/>
                <w:noProof/>
              </w:rPr>
              <w:t>PRIMERO. Competencia</w:t>
            </w:r>
            <w:r w:rsidR="00D20492" w:rsidRPr="00D20492">
              <w:rPr>
                <w:noProof/>
                <w:webHidden/>
              </w:rPr>
              <w:tab/>
            </w:r>
            <w:r w:rsidR="00D20492" w:rsidRPr="00D20492">
              <w:rPr>
                <w:noProof/>
                <w:webHidden/>
              </w:rPr>
              <w:fldChar w:fldCharType="begin"/>
            </w:r>
            <w:r w:rsidR="00D20492" w:rsidRPr="00D20492">
              <w:rPr>
                <w:noProof/>
                <w:webHidden/>
              </w:rPr>
              <w:instrText xml:space="preserve"> PAGEREF _Toc226637715 \h </w:instrText>
            </w:r>
            <w:r w:rsidR="00D20492" w:rsidRPr="00D20492">
              <w:rPr>
                <w:noProof/>
                <w:webHidden/>
              </w:rPr>
            </w:r>
            <w:r w:rsidR="00D20492" w:rsidRPr="00D20492">
              <w:rPr>
                <w:noProof/>
                <w:webHidden/>
              </w:rPr>
              <w:fldChar w:fldCharType="separate"/>
            </w:r>
            <w:r w:rsidR="00E53E62">
              <w:rPr>
                <w:noProof/>
                <w:webHidden/>
              </w:rPr>
              <w:t>6</w:t>
            </w:r>
            <w:r w:rsidR="00D20492" w:rsidRPr="00D20492">
              <w:rPr>
                <w:noProof/>
                <w:webHidden/>
              </w:rPr>
              <w:fldChar w:fldCharType="end"/>
            </w:r>
          </w:hyperlink>
        </w:p>
        <w:p w14:paraId="543EB2B2" w14:textId="7ED8BB16" w:rsidR="00D20492" w:rsidRPr="00D20492" w:rsidRDefault="000C714D">
          <w:pPr>
            <w:pStyle w:val="TDC2"/>
            <w:tabs>
              <w:tab w:val="right" w:leader="dot" w:pos="8828"/>
            </w:tabs>
            <w:rPr>
              <w:rFonts w:cstheme="minorBidi"/>
              <w:noProof/>
              <w:kern w:val="2"/>
              <w14:ligatures w14:val="standardContextual"/>
            </w:rPr>
          </w:pPr>
          <w:hyperlink w:anchor="_Toc226637716" w:history="1">
            <w:r w:rsidR="00D20492" w:rsidRPr="00D20492">
              <w:rPr>
                <w:rStyle w:val="Hipervnculo"/>
                <w:rFonts w:ascii="Palatino Linotype" w:eastAsia="Calibri" w:hAnsi="Palatino Linotype"/>
                <w:noProof/>
                <w:lang w:val="es-ES"/>
              </w:rPr>
              <w:t xml:space="preserve">SEGUNDO. </w:t>
            </w:r>
            <w:r w:rsidR="00D20492" w:rsidRPr="00D20492">
              <w:rPr>
                <w:rStyle w:val="Hipervnculo"/>
                <w:rFonts w:ascii="Palatino Linotype" w:hAnsi="Palatino Linotype"/>
                <w:noProof/>
                <w:lang w:val="es-ES"/>
              </w:rPr>
              <w:t>Causales de improcedencia y sobreseimiento</w:t>
            </w:r>
            <w:r w:rsidR="00D20492" w:rsidRPr="00D20492">
              <w:rPr>
                <w:noProof/>
                <w:webHidden/>
              </w:rPr>
              <w:tab/>
            </w:r>
            <w:r w:rsidR="00D20492" w:rsidRPr="00D20492">
              <w:rPr>
                <w:noProof/>
                <w:webHidden/>
              </w:rPr>
              <w:fldChar w:fldCharType="begin"/>
            </w:r>
            <w:r w:rsidR="00D20492" w:rsidRPr="00D20492">
              <w:rPr>
                <w:noProof/>
                <w:webHidden/>
              </w:rPr>
              <w:instrText xml:space="preserve"> PAGEREF _Toc226637716 \h </w:instrText>
            </w:r>
            <w:r w:rsidR="00D20492" w:rsidRPr="00D20492">
              <w:rPr>
                <w:noProof/>
                <w:webHidden/>
              </w:rPr>
            </w:r>
            <w:r w:rsidR="00D20492" w:rsidRPr="00D20492">
              <w:rPr>
                <w:noProof/>
                <w:webHidden/>
              </w:rPr>
              <w:fldChar w:fldCharType="separate"/>
            </w:r>
            <w:r w:rsidR="00E53E62">
              <w:rPr>
                <w:noProof/>
                <w:webHidden/>
              </w:rPr>
              <w:t>7</w:t>
            </w:r>
            <w:r w:rsidR="00D20492" w:rsidRPr="00D20492">
              <w:rPr>
                <w:noProof/>
                <w:webHidden/>
              </w:rPr>
              <w:fldChar w:fldCharType="end"/>
            </w:r>
          </w:hyperlink>
        </w:p>
        <w:p w14:paraId="045A2F88" w14:textId="6862BCC5" w:rsidR="00D20492" w:rsidRPr="00D20492" w:rsidRDefault="000C714D">
          <w:pPr>
            <w:pStyle w:val="TDC2"/>
            <w:tabs>
              <w:tab w:val="right" w:leader="dot" w:pos="8828"/>
            </w:tabs>
            <w:rPr>
              <w:rFonts w:cstheme="minorBidi"/>
              <w:noProof/>
              <w:kern w:val="2"/>
              <w14:ligatures w14:val="standardContextual"/>
            </w:rPr>
          </w:pPr>
          <w:hyperlink w:anchor="_Toc226637717" w:history="1">
            <w:r w:rsidR="00D20492" w:rsidRPr="00D20492">
              <w:rPr>
                <w:rStyle w:val="Hipervnculo"/>
                <w:rFonts w:ascii="Palatino Linotype" w:eastAsia="Calibri" w:hAnsi="Palatino Linotype"/>
                <w:noProof/>
                <w:lang w:val="es-ES" w:eastAsia="es-ES_tradnl"/>
              </w:rPr>
              <w:t>TERCERO. Determinación de la Controversia</w:t>
            </w:r>
            <w:r w:rsidR="00D20492" w:rsidRPr="00D20492">
              <w:rPr>
                <w:noProof/>
                <w:webHidden/>
              </w:rPr>
              <w:tab/>
            </w:r>
            <w:r w:rsidR="00D20492" w:rsidRPr="00D20492">
              <w:rPr>
                <w:noProof/>
                <w:webHidden/>
              </w:rPr>
              <w:fldChar w:fldCharType="begin"/>
            </w:r>
            <w:r w:rsidR="00D20492" w:rsidRPr="00D20492">
              <w:rPr>
                <w:noProof/>
                <w:webHidden/>
              </w:rPr>
              <w:instrText xml:space="preserve"> PAGEREF _Toc226637717 \h </w:instrText>
            </w:r>
            <w:r w:rsidR="00D20492" w:rsidRPr="00D20492">
              <w:rPr>
                <w:noProof/>
                <w:webHidden/>
              </w:rPr>
            </w:r>
            <w:r w:rsidR="00D20492" w:rsidRPr="00D20492">
              <w:rPr>
                <w:noProof/>
                <w:webHidden/>
              </w:rPr>
              <w:fldChar w:fldCharType="separate"/>
            </w:r>
            <w:r w:rsidR="00E53E62">
              <w:rPr>
                <w:noProof/>
                <w:webHidden/>
              </w:rPr>
              <w:t>9</w:t>
            </w:r>
            <w:r w:rsidR="00D20492" w:rsidRPr="00D20492">
              <w:rPr>
                <w:noProof/>
                <w:webHidden/>
              </w:rPr>
              <w:fldChar w:fldCharType="end"/>
            </w:r>
          </w:hyperlink>
        </w:p>
        <w:p w14:paraId="12DE3838" w14:textId="200C627B" w:rsidR="00D20492" w:rsidRPr="00D20492" w:rsidRDefault="000C714D">
          <w:pPr>
            <w:pStyle w:val="TDC2"/>
            <w:tabs>
              <w:tab w:val="right" w:leader="dot" w:pos="8828"/>
            </w:tabs>
            <w:rPr>
              <w:rFonts w:cstheme="minorBidi"/>
              <w:noProof/>
              <w:kern w:val="2"/>
              <w14:ligatures w14:val="standardContextual"/>
            </w:rPr>
          </w:pPr>
          <w:hyperlink w:anchor="_Toc226637718" w:history="1">
            <w:r w:rsidR="00D20492" w:rsidRPr="00D20492">
              <w:rPr>
                <w:rStyle w:val="Hipervnculo"/>
                <w:rFonts w:ascii="Palatino Linotype" w:hAnsi="Palatino Linotype"/>
                <w:noProof/>
                <w:lang w:val="es-ES"/>
              </w:rPr>
              <w:t xml:space="preserve">CUARTO. </w:t>
            </w:r>
            <w:r w:rsidR="00D20492" w:rsidRPr="00D20492">
              <w:rPr>
                <w:rStyle w:val="Hipervnculo"/>
                <w:rFonts w:ascii="Palatino Linotype" w:hAnsi="Palatino Linotype"/>
                <w:noProof/>
              </w:rPr>
              <w:t>Marco normativo aplicable en materia de transparencia y acceso a la información pública</w:t>
            </w:r>
            <w:r w:rsidR="00D20492" w:rsidRPr="00D20492">
              <w:rPr>
                <w:noProof/>
                <w:webHidden/>
              </w:rPr>
              <w:tab/>
            </w:r>
            <w:r w:rsidR="00D20492" w:rsidRPr="00D20492">
              <w:rPr>
                <w:noProof/>
                <w:webHidden/>
              </w:rPr>
              <w:fldChar w:fldCharType="begin"/>
            </w:r>
            <w:r w:rsidR="00D20492" w:rsidRPr="00D20492">
              <w:rPr>
                <w:noProof/>
                <w:webHidden/>
              </w:rPr>
              <w:instrText xml:space="preserve"> PAGEREF _Toc226637718 \h </w:instrText>
            </w:r>
            <w:r w:rsidR="00D20492" w:rsidRPr="00D20492">
              <w:rPr>
                <w:noProof/>
                <w:webHidden/>
              </w:rPr>
            </w:r>
            <w:r w:rsidR="00D20492" w:rsidRPr="00D20492">
              <w:rPr>
                <w:noProof/>
                <w:webHidden/>
              </w:rPr>
              <w:fldChar w:fldCharType="separate"/>
            </w:r>
            <w:r w:rsidR="00E53E62">
              <w:rPr>
                <w:noProof/>
                <w:webHidden/>
              </w:rPr>
              <w:t>10</w:t>
            </w:r>
            <w:r w:rsidR="00D20492" w:rsidRPr="00D20492">
              <w:rPr>
                <w:noProof/>
                <w:webHidden/>
              </w:rPr>
              <w:fldChar w:fldCharType="end"/>
            </w:r>
          </w:hyperlink>
        </w:p>
        <w:p w14:paraId="721F7E94" w14:textId="4A2D3DB7" w:rsidR="00D20492" w:rsidRPr="00D20492" w:rsidRDefault="000C714D">
          <w:pPr>
            <w:pStyle w:val="TDC2"/>
            <w:tabs>
              <w:tab w:val="right" w:leader="dot" w:pos="8828"/>
            </w:tabs>
            <w:rPr>
              <w:rFonts w:cstheme="minorBidi"/>
              <w:noProof/>
              <w:kern w:val="2"/>
              <w14:ligatures w14:val="standardContextual"/>
            </w:rPr>
          </w:pPr>
          <w:hyperlink w:anchor="_Toc226637719" w:history="1">
            <w:r w:rsidR="00D20492" w:rsidRPr="00D20492">
              <w:rPr>
                <w:rStyle w:val="Hipervnculo"/>
                <w:rFonts w:ascii="Palatino Linotype" w:hAnsi="Palatino Linotype"/>
                <w:noProof/>
                <w:lang w:val="es-ES"/>
              </w:rPr>
              <w:t>QUINTO. Estudio de Fondo</w:t>
            </w:r>
            <w:r w:rsidR="00D20492" w:rsidRPr="00D20492">
              <w:rPr>
                <w:noProof/>
                <w:webHidden/>
              </w:rPr>
              <w:tab/>
            </w:r>
            <w:r w:rsidR="00D20492" w:rsidRPr="00D20492">
              <w:rPr>
                <w:noProof/>
                <w:webHidden/>
              </w:rPr>
              <w:fldChar w:fldCharType="begin"/>
            </w:r>
            <w:r w:rsidR="00D20492" w:rsidRPr="00D20492">
              <w:rPr>
                <w:noProof/>
                <w:webHidden/>
              </w:rPr>
              <w:instrText xml:space="preserve"> PAGEREF _Toc226637719 \h </w:instrText>
            </w:r>
            <w:r w:rsidR="00D20492" w:rsidRPr="00D20492">
              <w:rPr>
                <w:noProof/>
                <w:webHidden/>
              </w:rPr>
            </w:r>
            <w:r w:rsidR="00D20492" w:rsidRPr="00D20492">
              <w:rPr>
                <w:noProof/>
                <w:webHidden/>
              </w:rPr>
              <w:fldChar w:fldCharType="separate"/>
            </w:r>
            <w:r w:rsidR="00E53E62">
              <w:rPr>
                <w:noProof/>
                <w:webHidden/>
              </w:rPr>
              <w:t>10</w:t>
            </w:r>
            <w:r w:rsidR="00D20492" w:rsidRPr="00D20492">
              <w:rPr>
                <w:noProof/>
                <w:webHidden/>
              </w:rPr>
              <w:fldChar w:fldCharType="end"/>
            </w:r>
          </w:hyperlink>
        </w:p>
        <w:p w14:paraId="3D47E37C" w14:textId="3DAFB7B6" w:rsidR="00D20492" w:rsidRPr="00D20492" w:rsidRDefault="000C714D">
          <w:pPr>
            <w:pStyle w:val="TDC2"/>
            <w:tabs>
              <w:tab w:val="right" w:leader="dot" w:pos="8828"/>
            </w:tabs>
            <w:rPr>
              <w:rFonts w:cstheme="minorBidi"/>
              <w:noProof/>
              <w:kern w:val="2"/>
              <w14:ligatures w14:val="standardContextual"/>
            </w:rPr>
          </w:pPr>
          <w:hyperlink w:anchor="_Toc226637720" w:history="1">
            <w:r w:rsidR="00D20492" w:rsidRPr="00D20492">
              <w:rPr>
                <w:rStyle w:val="Hipervnculo"/>
                <w:rFonts w:ascii="Palatino Linotype" w:hAnsi="Palatino Linotype"/>
                <w:noProof/>
              </w:rPr>
              <w:t>SEXTO. Decisión</w:t>
            </w:r>
            <w:r w:rsidR="00D20492" w:rsidRPr="00D20492">
              <w:rPr>
                <w:noProof/>
                <w:webHidden/>
              </w:rPr>
              <w:tab/>
            </w:r>
            <w:r w:rsidR="00D20492" w:rsidRPr="00D20492">
              <w:rPr>
                <w:noProof/>
                <w:webHidden/>
              </w:rPr>
              <w:fldChar w:fldCharType="begin"/>
            </w:r>
            <w:r w:rsidR="00D20492" w:rsidRPr="00D20492">
              <w:rPr>
                <w:noProof/>
                <w:webHidden/>
              </w:rPr>
              <w:instrText xml:space="preserve"> PAGEREF _Toc226637720 \h </w:instrText>
            </w:r>
            <w:r w:rsidR="00D20492" w:rsidRPr="00D20492">
              <w:rPr>
                <w:noProof/>
                <w:webHidden/>
              </w:rPr>
            </w:r>
            <w:r w:rsidR="00D20492" w:rsidRPr="00D20492">
              <w:rPr>
                <w:noProof/>
                <w:webHidden/>
              </w:rPr>
              <w:fldChar w:fldCharType="separate"/>
            </w:r>
            <w:r w:rsidR="00E53E62">
              <w:rPr>
                <w:noProof/>
                <w:webHidden/>
              </w:rPr>
              <w:t>57</w:t>
            </w:r>
            <w:r w:rsidR="00D20492" w:rsidRPr="00D20492">
              <w:rPr>
                <w:noProof/>
                <w:webHidden/>
              </w:rPr>
              <w:fldChar w:fldCharType="end"/>
            </w:r>
          </w:hyperlink>
        </w:p>
        <w:p w14:paraId="09EEDF4C" w14:textId="31454DC5" w:rsidR="00D20492" w:rsidRPr="00D20492" w:rsidRDefault="000C714D">
          <w:pPr>
            <w:pStyle w:val="TDC1"/>
            <w:tabs>
              <w:tab w:val="right" w:leader="dot" w:pos="8828"/>
            </w:tabs>
            <w:rPr>
              <w:rFonts w:cstheme="minorBidi"/>
              <w:noProof/>
              <w:kern w:val="2"/>
              <w14:ligatures w14:val="standardContextual"/>
            </w:rPr>
          </w:pPr>
          <w:hyperlink w:anchor="_Toc226637721" w:history="1">
            <w:r w:rsidR="00D20492" w:rsidRPr="00D20492">
              <w:rPr>
                <w:rStyle w:val="Hipervnculo"/>
                <w:rFonts w:ascii="Palatino Linotype" w:eastAsia="Calibri" w:hAnsi="Palatino Linotype"/>
                <w:noProof/>
              </w:rPr>
              <w:t>R E S U E L V E</w:t>
            </w:r>
            <w:r w:rsidR="00D20492" w:rsidRPr="00D20492">
              <w:rPr>
                <w:noProof/>
                <w:webHidden/>
              </w:rPr>
              <w:tab/>
            </w:r>
            <w:r w:rsidR="00D20492" w:rsidRPr="00D20492">
              <w:rPr>
                <w:noProof/>
                <w:webHidden/>
              </w:rPr>
              <w:fldChar w:fldCharType="begin"/>
            </w:r>
            <w:r w:rsidR="00D20492" w:rsidRPr="00D20492">
              <w:rPr>
                <w:noProof/>
                <w:webHidden/>
              </w:rPr>
              <w:instrText xml:space="preserve"> PAGEREF _Toc226637721 \h </w:instrText>
            </w:r>
            <w:r w:rsidR="00D20492" w:rsidRPr="00D20492">
              <w:rPr>
                <w:noProof/>
                <w:webHidden/>
              </w:rPr>
            </w:r>
            <w:r w:rsidR="00D20492" w:rsidRPr="00D20492">
              <w:rPr>
                <w:noProof/>
                <w:webHidden/>
              </w:rPr>
              <w:fldChar w:fldCharType="separate"/>
            </w:r>
            <w:r w:rsidR="00E53E62">
              <w:rPr>
                <w:noProof/>
                <w:webHidden/>
              </w:rPr>
              <w:t>57</w:t>
            </w:r>
            <w:r w:rsidR="00D20492" w:rsidRPr="00D20492">
              <w:rPr>
                <w:noProof/>
                <w:webHidden/>
              </w:rPr>
              <w:fldChar w:fldCharType="end"/>
            </w:r>
          </w:hyperlink>
        </w:p>
        <w:p w14:paraId="64F1D1D9" w14:textId="2BF91285" w:rsidR="004459C8" w:rsidRPr="0045543A" w:rsidRDefault="004459C8" w:rsidP="00981A65">
          <w:pPr>
            <w:spacing w:line="360" w:lineRule="auto"/>
            <w:contextualSpacing/>
            <w:jc w:val="both"/>
            <w:rPr>
              <w:rFonts w:ascii="Palatino Linotype" w:hAnsi="Palatino Linotype" w:cs="Tahoma"/>
              <w:sz w:val="22"/>
              <w:szCs w:val="22"/>
            </w:rPr>
          </w:pPr>
          <w:r w:rsidRPr="00D20492">
            <w:rPr>
              <w:rFonts w:ascii="Palatino Linotype" w:hAnsi="Palatino Linotype"/>
              <w:sz w:val="22"/>
              <w:szCs w:val="22"/>
              <w:lang w:val="es-ES"/>
            </w:rPr>
            <w:fldChar w:fldCharType="end"/>
          </w:r>
        </w:p>
      </w:sdtContent>
    </w:sdt>
    <w:p w14:paraId="2C0C4D8C" w14:textId="77777777" w:rsidR="004459C8" w:rsidRPr="0045543A" w:rsidRDefault="004459C8" w:rsidP="00981A65">
      <w:pPr>
        <w:spacing w:line="360" w:lineRule="auto"/>
        <w:contextualSpacing/>
        <w:rPr>
          <w:rFonts w:ascii="Palatino Linotype" w:hAnsi="Palatino Linotype" w:cs="Tahoma"/>
          <w:bCs/>
          <w:sz w:val="22"/>
          <w:szCs w:val="22"/>
        </w:rPr>
      </w:pPr>
      <w:r w:rsidRPr="0045543A">
        <w:rPr>
          <w:rFonts w:ascii="Palatino Linotype" w:hAnsi="Palatino Linotype" w:cs="Tahoma"/>
          <w:bCs/>
          <w:sz w:val="22"/>
          <w:szCs w:val="22"/>
        </w:rPr>
        <w:br w:type="page"/>
      </w:r>
    </w:p>
    <w:p w14:paraId="158E4A31" w14:textId="70EAA28F" w:rsidR="004459C8" w:rsidRPr="00AC17E4" w:rsidRDefault="004459C8" w:rsidP="00981A65">
      <w:pPr>
        <w:spacing w:line="360" w:lineRule="auto"/>
        <w:contextualSpacing/>
        <w:jc w:val="both"/>
        <w:rPr>
          <w:rFonts w:ascii="Palatino Linotype" w:hAnsi="Palatino Linotype" w:cs="Tahoma"/>
          <w:bCs/>
          <w:sz w:val="22"/>
          <w:szCs w:val="22"/>
        </w:rPr>
      </w:pPr>
      <w:r w:rsidRPr="00AC17E4">
        <w:rPr>
          <w:rFonts w:ascii="Palatino Linotype" w:hAnsi="Palatino Linotype" w:cs="Tahoma"/>
          <w:bCs/>
          <w:sz w:val="22"/>
          <w:szCs w:val="22"/>
        </w:rPr>
        <w:lastRenderedPageBreak/>
        <w:t xml:space="preserve">Resolución del Pleno del Instituto de Transparencia, Acceso a la Información Pública y Protección de Datos Personales del Estado de México y Municipios, con domicilio en Metepec, Estado de México, del </w:t>
      </w:r>
      <w:r w:rsidR="00795D4C">
        <w:rPr>
          <w:rFonts w:ascii="Palatino Linotype" w:hAnsi="Palatino Linotype" w:cs="Tahoma"/>
          <w:bCs/>
          <w:sz w:val="22"/>
          <w:szCs w:val="22"/>
        </w:rPr>
        <w:t>ocho</w:t>
      </w:r>
      <w:r w:rsidR="00FE7F70">
        <w:rPr>
          <w:rFonts w:ascii="Palatino Linotype" w:hAnsi="Palatino Linotype" w:cs="Tahoma"/>
          <w:bCs/>
          <w:sz w:val="22"/>
          <w:szCs w:val="22"/>
        </w:rPr>
        <w:t xml:space="preserve"> de </w:t>
      </w:r>
      <w:r w:rsidR="00795D4C">
        <w:rPr>
          <w:rFonts w:ascii="Palatino Linotype" w:hAnsi="Palatino Linotype" w:cs="Tahoma"/>
          <w:bCs/>
          <w:sz w:val="22"/>
          <w:szCs w:val="22"/>
        </w:rPr>
        <w:t>abril</w:t>
      </w:r>
      <w:r w:rsidR="0037522B">
        <w:rPr>
          <w:rFonts w:ascii="Palatino Linotype" w:hAnsi="Palatino Linotype" w:cs="Tahoma"/>
          <w:bCs/>
          <w:sz w:val="22"/>
          <w:szCs w:val="22"/>
        </w:rPr>
        <w:t xml:space="preserve"> </w:t>
      </w:r>
      <w:r w:rsidRPr="00AC17E4">
        <w:rPr>
          <w:rFonts w:ascii="Palatino Linotype" w:hAnsi="Palatino Linotype" w:cs="Tahoma"/>
          <w:bCs/>
          <w:sz w:val="22"/>
          <w:szCs w:val="22"/>
        </w:rPr>
        <w:t xml:space="preserve">de dos mil </w:t>
      </w:r>
      <w:r w:rsidR="00E60E87">
        <w:rPr>
          <w:rFonts w:ascii="Palatino Linotype" w:hAnsi="Palatino Linotype" w:cs="Tahoma"/>
          <w:bCs/>
          <w:sz w:val="22"/>
          <w:szCs w:val="22"/>
        </w:rPr>
        <w:t>veintiséis</w:t>
      </w:r>
      <w:r w:rsidRPr="00AC17E4">
        <w:rPr>
          <w:rFonts w:ascii="Palatino Linotype" w:hAnsi="Palatino Linotype" w:cs="Tahoma"/>
          <w:bCs/>
          <w:sz w:val="22"/>
          <w:szCs w:val="22"/>
        </w:rPr>
        <w:t>.</w:t>
      </w:r>
    </w:p>
    <w:p w14:paraId="0EC0EB2F" w14:textId="77777777" w:rsidR="004459C8" w:rsidRPr="00AC17E4" w:rsidRDefault="004459C8" w:rsidP="00981A65">
      <w:pPr>
        <w:spacing w:line="360" w:lineRule="auto"/>
        <w:contextualSpacing/>
        <w:rPr>
          <w:rFonts w:ascii="Palatino Linotype" w:hAnsi="Palatino Linotype" w:cs="Tahoma"/>
          <w:bCs/>
          <w:sz w:val="22"/>
          <w:szCs w:val="22"/>
        </w:rPr>
      </w:pPr>
    </w:p>
    <w:p w14:paraId="1A0B1217" w14:textId="3EB45C5D" w:rsidR="004459C8" w:rsidRPr="00AC17E4" w:rsidRDefault="004459C8" w:rsidP="00981A65">
      <w:pPr>
        <w:spacing w:line="360" w:lineRule="auto"/>
        <w:contextualSpacing/>
        <w:jc w:val="both"/>
        <w:rPr>
          <w:rFonts w:ascii="Palatino Linotype" w:hAnsi="Palatino Linotype" w:cs="Tahoma"/>
          <w:bCs/>
          <w:sz w:val="22"/>
          <w:szCs w:val="22"/>
        </w:rPr>
      </w:pPr>
      <w:r w:rsidRPr="00AC17E4">
        <w:rPr>
          <w:rFonts w:ascii="Palatino Linotype" w:hAnsi="Palatino Linotype" w:cs="Tahoma"/>
          <w:b/>
          <w:bCs/>
          <w:color w:val="0D0D0D" w:themeColor="text1" w:themeTint="F2"/>
          <w:sz w:val="22"/>
          <w:szCs w:val="22"/>
        </w:rPr>
        <w:t xml:space="preserve">VISTO </w:t>
      </w:r>
      <w:r w:rsidRPr="00AC17E4">
        <w:rPr>
          <w:rFonts w:ascii="Palatino Linotype" w:hAnsi="Palatino Linotype" w:cs="Tahoma"/>
          <w:bCs/>
          <w:color w:val="0D0D0D" w:themeColor="text1" w:themeTint="F2"/>
          <w:sz w:val="22"/>
          <w:szCs w:val="22"/>
        </w:rPr>
        <w:t xml:space="preserve">el expediente conformado con motivo del Recurso de Revisión </w:t>
      </w:r>
      <w:r w:rsidR="007B21CC" w:rsidRPr="007B21CC">
        <w:rPr>
          <w:rFonts w:ascii="Palatino Linotype" w:eastAsia="Calibri" w:hAnsi="Palatino Linotype" w:cs="Tahoma"/>
          <w:b/>
          <w:bCs/>
          <w:sz w:val="22"/>
          <w:szCs w:val="22"/>
          <w:lang w:eastAsia="en-US"/>
        </w:rPr>
        <w:t>02766/INFOEM/IP/RR/2026</w:t>
      </w:r>
      <w:r w:rsidRPr="00BB6B4E">
        <w:rPr>
          <w:rFonts w:ascii="Palatino Linotype" w:eastAsia="Batang" w:hAnsi="Palatino Linotype" w:cs="Tahoma"/>
          <w:bCs/>
          <w:sz w:val="22"/>
          <w:szCs w:val="22"/>
          <w:lang w:val="es-ES_tradnl"/>
        </w:rPr>
        <w:t xml:space="preserve">, </w:t>
      </w:r>
      <w:r w:rsidRPr="00BB6B4E">
        <w:rPr>
          <w:rFonts w:ascii="Palatino Linotype" w:hAnsi="Palatino Linotype" w:cs="Tahoma"/>
          <w:bCs/>
          <w:color w:val="0D0D0D" w:themeColor="text1" w:themeTint="F2"/>
          <w:sz w:val="22"/>
          <w:szCs w:val="22"/>
        </w:rPr>
        <w:t>interpuesto por</w:t>
      </w:r>
      <w:r w:rsidR="007B21CC">
        <w:rPr>
          <w:rFonts w:ascii="Palatino Linotype" w:hAnsi="Palatino Linotype" w:cs="Tahoma"/>
          <w:bCs/>
          <w:color w:val="0D0D0D" w:themeColor="text1" w:themeTint="F2"/>
          <w:sz w:val="22"/>
          <w:szCs w:val="22"/>
        </w:rPr>
        <w:t xml:space="preserve"> quien,</w:t>
      </w:r>
      <w:r w:rsidR="00C26172">
        <w:rPr>
          <w:rFonts w:ascii="Palatino Linotype" w:hAnsi="Palatino Linotype" w:cs="Tahoma"/>
          <w:bCs/>
          <w:color w:val="0D0D0D" w:themeColor="text1" w:themeTint="F2"/>
          <w:sz w:val="22"/>
          <w:szCs w:val="22"/>
        </w:rPr>
        <w:t xml:space="preserve"> en adelante, </w:t>
      </w:r>
      <w:r w:rsidR="007B21CC">
        <w:rPr>
          <w:rFonts w:ascii="Palatino Linotype" w:hAnsi="Palatino Linotype" w:cs="Tahoma"/>
          <w:bCs/>
          <w:color w:val="0D0D0D" w:themeColor="text1" w:themeTint="F2"/>
          <w:sz w:val="22"/>
          <w:szCs w:val="22"/>
        </w:rPr>
        <w:t xml:space="preserve">será nombrada </w:t>
      </w:r>
      <w:r w:rsidR="00AC4A59">
        <w:rPr>
          <w:rFonts w:ascii="Palatino Linotype" w:hAnsi="Palatino Linotype" w:cs="Tahoma"/>
          <w:bCs/>
          <w:color w:val="0D0D0D" w:themeColor="text1" w:themeTint="F2"/>
          <w:sz w:val="22"/>
          <w:szCs w:val="22"/>
        </w:rPr>
        <w:t xml:space="preserve">como, </w:t>
      </w:r>
      <w:r w:rsidR="00E716FF">
        <w:rPr>
          <w:rFonts w:ascii="Palatino Linotype" w:eastAsia="Calibri" w:hAnsi="Palatino Linotype" w:cs="Tahoma"/>
          <w:bCs/>
          <w:sz w:val="22"/>
          <w:szCs w:val="22"/>
          <w:lang w:eastAsia="en-US"/>
        </w:rPr>
        <w:t>la persona</w:t>
      </w:r>
      <w:r w:rsidRPr="00BB6B4E">
        <w:rPr>
          <w:rFonts w:ascii="Palatino Linotype" w:eastAsia="Calibri" w:hAnsi="Palatino Linotype" w:cs="Tahoma"/>
          <w:bCs/>
          <w:sz w:val="22"/>
          <w:szCs w:val="22"/>
          <w:lang w:eastAsia="en-US"/>
        </w:rPr>
        <w:t xml:space="preserve"> </w:t>
      </w:r>
      <w:r w:rsidRPr="00BB6B4E">
        <w:rPr>
          <w:rFonts w:ascii="Palatino Linotype" w:hAnsi="Palatino Linotype" w:cs="Tahoma"/>
          <w:bCs/>
          <w:color w:val="0D0D0D" w:themeColor="text1" w:themeTint="F2"/>
          <w:sz w:val="22"/>
          <w:szCs w:val="22"/>
        </w:rPr>
        <w:t xml:space="preserve">Recurrente o Particular, en contra de la respuesta del Sujeto Obligado, </w:t>
      </w:r>
      <w:r w:rsidR="007B21CC" w:rsidRPr="004F4CDF">
        <w:rPr>
          <w:rFonts w:ascii="Palatino Linotype" w:hAnsi="Palatino Linotype" w:cs="Tahoma"/>
          <w:b/>
          <w:bCs/>
          <w:color w:val="0D0D0D" w:themeColor="text1" w:themeTint="F2"/>
          <w:sz w:val="22"/>
          <w:szCs w:val="22"/>
        </w:rPr>
        <w:t>Servicios Educativos Integrados al Estado de México</w:t>
      </w:r>
      <w:r w:rsidRPr="004F4CDF">
        <w:rPr>
          <w:rFonts w:ascii="Palatino Linotype" w:hAnsi="Palatino Linotype" w:cs="Tahoma"/>
          <w:b/>
          <w:bCs/>
          <w:color w:val="0D0D0D" w:themeColor="text1" w:themeTint="F2"/>
          <w:sz w:val="22"/>
          <w:szCs w:val="22"/>
        </w:rPr>
        <w:t>,</w:t>
      </w:r>
      <w:r w:rsidRPr="00BB6B4E">
        <w:rPr>
          <w:rFonts w:ascii="Palatino Linotype" w:hAnsi="Palatino Linotype" w:cs="Tahoma"/>
          <w:bCs/>
          <w:color w:val="0D0D0D" w:themeColor="text1" w:themeTint="F2"/>
          <w:sz w:val="22"/>
          <w:szCs w:val="22"/>
        </w:rPr>
        <w:t xml:space="preserve"> a la solicitud de acceso a la información pública </w:t>
      </w:r>
      <w:r w:rsidR="00AC4A59" w:rsidRPr="00AC4A59">
        <w:rPr>
          <w:rFonts w:ascii="Palatino Linotype" w:hAnsi="Palatino Linotype"/>
          <w:b/>
          <w:sz w:val="22"/>
          <w:szCs w:val="22"/>
        </w:rPr>
        <w:t>00025/SEIEM/IP/2026</w:t>
      </w:r>
      <w:r w:rsidRPr="00AC17E4">
        <w:rPr>
          <w:rFonts w:ascii="Palatino Linotype" w:hAnsi="Palatino Linotype" w:cs="Tahoma"/>
          <w:bCs/>
          <w:color w:val="0D0D0D" w:themeColor="text1" w:themeTint="F2"/>
          <w:sz w:val="22"/>
          <w:szCs w:val="22"/>
        </w:rPr>
        <w:t>, se emite la presente Resolución, con base en los Antecedentes y C</w:t>
      </w:r>
      <w:r w:rsidRPr="00AC17E4">
        <w:rPr>
          <w:rFonts w:ascii="Palatino Linotype" w:hAnsi="Palatino Linotype" w:cs="Tahoma"/>
          <w:bCs/>
          <w:sz w:val="22"/>
          <w:szCs w:val="22"/>
        </w:rPr>
        <w:t>onsiderandos que a continuación se exponen:</w:t>
      </w:r>
    </w:p>
    <w:p w14:paraId="35C1AFAF" w14:textId="77777777" w:rsidR="004459C8" w:rsidRPr="00AC17E4" w:rsidRDefault="004459C8" w:rsidP="00981A65">
      <w:pPr>
        <w:spacing w:line="360" w:lineRule="auto"/>
        <w:contextualSpacing/>
        <w:jc w:val="both"/>
        <w:rPr>
          <w:rFonts w:ascii="Palatino Linotype" w:hAnsi="Palatino Linotype" w:cs="Tahoma"/>
          <w:bCs/>
          <w:sz w:val="22"/>
          <w:szCs w:val="22"/>
        </w:rPr>
      </w:pPr>
    </w:p>
    <w:p w14:paraId="627D904F" w14:textId="77777777" w:rsidR="004459C8" w:rsidRPr="00AC17E4" w:rsidRDefault="004459C8" w:rsidP="00981A65">
      <w:pPr>
        <w:pStyle w:val="Ttulo1"/>
        <w:spacing w:before="0" w:after="0" w:line="360" w:lineRule="auto"/>
        <w:contextualSpacing/>
        <w:jc w:val="center"/>
        <w:rPr>
          <w:rFonts w:ascii="Palatino Linotype" w:hAnsi="Palatino Linotype"/>
          <w:b/>
          <w:bCs/>
          <w:color w:val="auto"/>
          <w:sz w:val="22"/>
          <w:szCs w:val="22"/>
        </w:rPr>
      </w:pPr>
      <w:bookmarkStart w:id="2" w:name="_Toc226637709"/>
      <w:r w:rsidRPr="00AC17E4">
        <w:rPr>
          <w:rFonts w:ascii="Palatino Linotype" w:hAnsi="Palatino Linotype"/>
          <w:b/>
          <w:bCs/>
          <w:color w:val="auto"/>
          <w:sz w:val="22"/>
          <w:szCs w:val="22"/>
        </w:rPr>
        <w:t>A N T E C E D E N T E S</w:t>
      </w:r>
      <w:bookmarkEnd w:id="2"/>
    </w:p>
    <w:p w14:paraId="06160856" w14:textId="77777777" w:rsidR="004459C8" w:rsidRPr="00AC17E4" w:rsidRDefault="004459C8" w:rsidP="00981A65">
      <w:pPr>
        <w:spacing w:line="360" w:lineRule="auto"/>
        <w:contextualSpacing/>
      </w:pPr>
    </w:p>
    <w:p w14:paraId="164A725C" w14:textId="77777777" w:rsidR="004459C8" w:rsidRPr="00AC17E4" w:rsidRDefault="004459C8" w:rsidP="00981A65">
      <w:pPr>
        <w:pStyle w:val="Ttulo2"/>
        <w:spacing w:before="0" w:after="0" w:line="360" w:lineRule="auto"/>
        <w:contextualSpacing/>
        <w:rPr>
          <w:rFonts w:ascii="Palatino Linotype" w:hAnsi="Palatino Linotype"/>
          <w:b/>
          <w:bCs/>
          <w:color w:val="auto"/>
          <w:sz w:val="22"/>
          <w:szCs w:val="22"/>
        </w:rPr>
      </w:pPr>
      <w:bookmarkStart w:id="3" w:name="_Toc226637710"/>
      <w:r w:rsidRPr="00AC17E4">
        <w:rPr>
          <w:rFonts w:ascii="Palatino Linotype" w:hAnsi="Palatino Linotype"/>
          <w:b/>
          <w:bCs/>
          <w:color w:val="auto"/>
          <w:sz w:val="22"/>
          <w:szCs w:val="22"/>
        </w:rPr>
        <w:t>I. Presentación de la solicitud de información</w:t>
      </w:r>
      <w:bookmarkEnd w:id="3"/>
    </w:p>
    <w:p w14:paraId="4111DFDB" w14:textId="77777777" w:rsidR="004459C8" w:rsidRPr="00AC17E4" w:rsidRDefault="004459C8" w:rsidP="00981A65">
      <w:pPr>
        <w:pStyle w:val="Prrafodelista"/>
        <w:tabs>
          <w:tab w:val="left" w:pos="567"/>
        </w:tabs>
        <w:spacing w:line="360" w:lineRule="auto"/>
        <w:ind w:left="0"/>
        <w:jc w:val="both"/>
        <w:rPr>
          <w:rFonts w:ascii="Palatino Linotype" w:hAnsi="Palatino Linotype" w:cs="Tahoma"/>
          <w:szCs w:val="22"/>
        </w:rPr>
      </w:pPr>
    </w:p>
    <w:p w14:paraId="65C5A362" w14:textId="71415DA2" w:rsidR="004459C8" w:rsidRPr="00AC17E4" w:rsidRDefault="004459C8" w:rsidP="00981A65">
      <w:pPr>
        <w:pStyle w:val="Prrafodelista"/>
        <w:tabs>
          <w:tab w:val="left" w:pos="567"/>
        </w:tabs>
        <w:spacing w:line="360" w:lineRule="auto"/>
        <w:ind w:left="0"/>
        <w:jc w:val="both"/>
        <w:rPr>
          <w:rFonts w:ascii="Palatino Linotype" w:hAnsi="Palatino Linotype" w:cs="Tahoma"/>
          <w:sz w:val="22"/>
          <w:szCs w:val="22"/>
        </w:rPr>
      </w:pPr>
      <w:r w:rsidRPr="00AC17E4">
        <w:rPr>
          <w:rFonts w:ascii="Palatino Linotype" w:hAnsi="Palatino Linotype" w:cs="Tahoma"/>
          <w:sz w:val="22"/>
          <w:szCs w:val="22"/>
        </w:rPr>
        <w:t xml:space="preserve">Con fecha </w:t>
      </w:r>
      <w:r w:rsidR="00AC4A59">
        <w:rPr>
          <w:rFonts w:ascii="Palatino Linotype" w:hAnsi="Palatino Linotype" w:cs="Tahoma"/>
          <w:sz w:val="22"/>
          <w:szCs w:val="22"/>
        </w:rPr>
        <w:t>once</w:t>
      </w:r>
      <w:r w:rsidR="00C91133">
        <w:rPr>
          <w:rFonts w:ascii="Palatino Linotype" w:hAnsi="Palatino Linotype" w:cs="Tahoma"/>
          <w:sz w:val="22"/>
          <w:szCs w:val="22"/>
        </w:rPr>
        <w:t xml:space="preserve"> de </w:t>
      </w:r>
      <w:r w:rsidR="00AC4A59">
        <w:rPr>
          <w:rFonts w:ascii="Palatino Linotype" w:hAnsi="Palatino Linotype" w:cs="Tahoma"/>
          <w:sz w:val="22"/>
          <w:szCs w:val="22"/>
        </w:rPr>
        <w:t>febrero</w:t>
      </w:r>
      <w:r>
        <w:rPr>
          <w:rFonts w:ascii="Palatino Linotype" w:hAnsi="Palatino Linotype" w:cs="Tahoma"/>
          <w:sz w:val="22"/>
          <w:szCs w:val="22"/>
        </w:rPr>
        <w:t xml:space="preserve"> </w:t>
      </w:r>
      <w:r w:rsidRPr="00AC17E4">
        <w:rPr>
          <w:rFonts w:ascii="Palatino Linotype" w:hAnsi="Palatino Linotype" w:cs="Tahoma"/>
          <w:sz w:val="22"/>
          <w:szCs w:val="22"/>
        </w:rPr>
        <w:t xml:space="preserve">de dos mil </w:t>
      </w:r>
      <w:r w:rsidR="002A51B2">
        <w:rPr>
          <w:rFonts w:ascii="Palatino Linotype" w:hAnsi="Palatino Linotype" w:cs="Tahoma"/>
          <w:sz w:val="22"/>
          <w:szCs w:val="22"/>
        </w:rPr>
        <w:t>veintiséis</w:t>
      </w:r>
      <w:r w:rsidRPr="00AC17E4">
        <w:rPr>
          <w:rFonts w:ascii="Palatino Linotype" w:hAnsi="Palatino Linotype" w:cs="Tahoma"/>
          <w:sz w:val="22"/>
          <w:szCs w:val="22"/>
        </w:rPr>
        <w:t xml:space="preserve">, el Particular presentó </w:t>
      </w:r>
      <w:r w:rsidR="00795D4C">
        <w:rPr>
          <w:rFonts w:ascii="Palatino Linotype" w:hAnsi="Palatino Linotype" w:cs="Tahoma"/>
          <w:sz w:val="22"/>
          <w:szCs w:val="22"/>
        </w:rPr>
        <w:t>una</w:t>
      </w:r>
      <w:r w:rsidR="00BE60F2">
        <w:rPr>
          <w:rFonts w:ascii="Palatino Linotype" w:hAnsi="Palatino Linotype" w:cs="Tahoma"/>
          <w:sz w:val="22"/>
          <w:szCs w:val="22"/>
        </w:rPr>
        <w:t xml:space="preserve"> </w:t>
      </w:r>
      <w:r w:rsidRPr="00AC17E4">
        <w:rPr>
          <w:rFonts w:ascii="Palatino Linotype" w:hAnsi="Palatino Linotype" w:cs="Tahoma"/>
          <w:sz w:val="22"/>
          <w:szCs w:val="22"/>
        </w:rPr>
        <w:t xml:space="preserve">solicitud de acceso a la información pública, a través del Sistema de Acceso a la Información Mexiquense, en lo sucesivo </w:t>
      </w:r>
      <w:r w:rsidRPr="00AC17E4">
        <w:rPr>
          <w:rFonts w:ascii="Palatino Linotype" w:hAnsi="Palatino Linotype" w:cs="Tahoma"/>
          <w:sz w:val="22"/>
          <w:szCs w:val="22"/>
          <w:lang w:val="es-ES"/>
        </w:rPr>
        <w:t>el SAIME</w:t>
      </w:r>
      <w:r>
        <w:rPr>
          <w:rFonts w:ascii="Palatino Linotype" w:hAnsi="Palatino Linotype" w:cs="Tahoma"/>
          <w:sz w:val="22"/>
          <w:szCs w:val="22"/>
          <w:lang w:val="es-ES"/>
        </w:rPr>
        <w:t>X</w:t>
      </w:r>
      <w:r w:rsidRPr="00AC17E4">
        <w:rPr>
          <w:rFonts w:ascii="Palatino Linotype" w:hAnsi="Palatino Linotype" w:cs="Tahoma"/>
          <w:sz w:val="22"/>
          <w:szCs w:val="22"/>
        </w:rPr>
        <w:t xml:space="preserve">, ante el </w:t>
      </w:r>
      <w:r w:rsidR="007B21CC">
        <w:rPr>
          <w:rFonts w:ascii="Palatino Linotype" w:hAnsi="Palatino Linotype" w:cs="Tahoma"/>
          <w:b/>
          <w:color w:val="0D0D0D" w:themeColor="text1" w:themeTint="F2"/>
          <w:sz w:val="22"/>
          <w:szCs w:val="22"/>
        </w:rPr>
        <w:t>Servicios Educativos Integrados al Estado de México</w:t>
      </w:r>
      <w:r w:rsidRPr="00AC17E4">
        <w:rPr>
          <w:rFonts w:ascii="Palatino Linotype" w:hAnsi="Palatino Linotype" w:cs="Tahoma"/>
          <w:sz w:val="22"/>
          <w:szCs w:val="22"/>
        </w:rPr>
        <w:t>,</w:t>
      </w:r>
      <w:r w:rsidRPr="00AC17E4">
        <w:rPr>
          <w:rFonts w:ascii="Palatino Linotype" w:hAnsi="Palatino Linotype" w:cs="Tahoma"/>
          <w:sz w:val="22"/>
          <w:szCs w:val="22"/>
          <w:lang w:val="es-ES"/>
        </w:rPr>
        <w:t xml:space="preserve"> </w:t>
      </w:r>
      <w:r w:rsidRPr="00AC17E4">
        <w:rPr>
          <w:rFonts w:ascii="Palatino Linotype" w:hAnsi="Palatino Linotype" w:cs="Tahoma"/>
          <w:sz w:val="22"/>
          <w:szCs w:val="22"/>
        </w:rPr>
        <w:t>mediante la</w:t>
      </w:r>
      <w:r w:rsidR="00BE60F2">
        <w:rPr>
          <w:rFonts w:ascii="Palatino Linotype" w:hAnsi="Palatino Linotype" w:cs="Tahoma"/>
          <w:sz w:val="22"/>
          <w:szCs w:val="22"/>
        </w:rPr>
        <w:t>s</w:t>
      </w:r>
      <w:r w:rsidRPr="00AC17E4">
        <w:rPr>
          <w:rFonts w:ascii="Palatino Linotype" w:hAnsi="Palatino Linotype" w:cs="Tahoma"/>
          <w:sz w:val="22"/>
          <w:szCs w:val="22"/>
        </w:rPr>
        <w:t xml:space="preserve"> cual</w:t>
      </w:r>
      <w:r w:rsidR="00BE60F2">
        <w:rPr>
          <w:rFonts w:ascii="Palatino Linotype" w:hAnsi="Palatino Linotype" w:cs="Tahoma"/>
          <w:sz w:val="22"/>
          <w:szCs w:val="22"/>
        </w:rPr>
        <w:t>es</w:t>
      </w:r>
      <w:r w:rsidRPr="00AC17E4">
        <w:rPr>
          <w:rFonts w:ascii="Palatino Linotype" w:hAnsi="Palatino Linotype" w:cs="Tahoma"/>
          <w:sz w:val="22"/>
          <w:szCs w:val="22"/>
        </w:rPr>
        <w:t xml:space="preserve"> requirió lo</w:t>
      </w:r>
      <w:r>
        <w:rPr>
          <w:rFonts w:ascii="Palatino Linotype" w:hAnsi="Palatino Linotype" w:cs="Tahoma"/>
          <w:sz w:val="22"/>
          <w:szCs w:val="22"/>
        </w:rPr>
        <w:t>s documentos que dieran cuenta de lo</w:t>
      </w:r>
      <w:r w:rsidRPr="00AC17E4">
        <w:rPr>
          <w:rFonts w:ascii="Palatino Linotype" w:hAnsi="Palatino Linotype" w:cs="Tahoma"/>
          <w:sz w:val="22"/>
          <w:szCs w:val="22"/>
        </w:rPr>
        <w:t xml:space="preserve"> siguiente:</w:t>
      </w:r>
    </w:p>
    <w:p w14:paraId="6A19C3BC" w14:textId="77777777" w:rsidR="004459C8" w:rsidRPr="00AC17E4" w:rsidRDefault="004459C8" w:rsidP="00981A65">
      <w:pPr>
        <w:pStyle w:val="Prrafodelista"/>
        <w:tabs>
          <w:tab w:val="left" w:pos="567"/>
        </w:tabs>
        <w:spacing w:line="360" w:lineRule="auto"/>
        <w:ind w:left="0"/>
        <w:jc w:val="both"/>
        <w:rPr>
          <w:rFonts w:ascii="Palatino Linotype" w:hAnsi="Palatino Linotype" w:cs="Tahoma"/>
          <w:b/>
          <w:szCs w:val="22"/>
        </w:rPr>
      </w:pPr>
    </w:p>
    <w:p w14:paraId="30F5C84A" w14:textId="75012B3D" w:rsidR="00BE60F2" w:rsidRPr="00D82165" w:rsidRDefault="00C91133" w:rsidP="00BE60F2">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 xml:space="preserve"> </w:t>
      </w:r>
      <w:r w:rsidR="00BE60F2" w:rsidRPr="00D82165">
        <w:rPr>
          <w:rFonts w:ascii="Palatino Linotype" w:hAnsi="Palatino Linotype" w:cs="Tahoma"/>
          <w:b/>
          <w:bCs/>
          <w:i/>
        </w:rPr>
        <w:t>“</w:t>
      </w:r>
      <w:r w:rsidR="00BE60F2" w:rsidRPr="00C91133">
        <w:rPr>
          <w:rFonts w:ascii="Palatino Linotype" w:hAnsi="Palatino Linotype" w:cs="Tahoma"/>
          <w:b/>
          <w:bCs/>
          <w:i/>
          <w:sz w:val="22"/>
        </w:rPr>
        <w:t>DESCRIPCIÓN CLARA Y PRECISA DE LA INFORMACIÓN SOLICITADA</w:t>
      </w:r>
    </w:p>
    <w:p w14:paraId="1D9E4892" w14:textId="005397D1" w:rsidR="00BE60F2" w:rsidRDefault="00320222" w:rsidP="00BE60F2">
      <w:pPr>
        <w:spacing w:line="360" w:lineRule="auto"/>
        <w:ind w:left="567" w:right="567"/>
        <w:contextualSpacing/>
        <w:jc w:val="both"/>
        <w:rPr>
          <w:rFonts w:ascii="Palatino Linotype" w:hAnsi="Palatino Linotype" w:cs="Tahoma"/>
          <w:bCs/>
          <w:i/>
        </w:rPr>
      </w:pPr>
      <w:r w:rsidRPr="00320222">
        <w:rPr>
          <w:rFonts w:ascii="Palatino Linotype" w:hAnsi="Palatino Linotype"/>
          <w:i/>
          <w:lang w:eastAsia="es-MX"/>
        </w:rPr>
        <w:t xml:space="preserve">De la Coordinación de Administración y Finanzas de los SEIEM pido: 1. El oficio de funciones del encargado de despacho del departamento de adquisiciones Romeo Santiz Gordillo. 2. el expediente labora de Romeo Santiz Gordillo. 3 El </w:t>
      </w:r>
      <w:proofErr w:type="spellStart"/>
      <w:r w:rsidRPr="00320222">
        <w:rPr>
          <w:rFonts w:ascii="Palatino Linotype" w:hAnsi="Palatino Linotype"/>
          <w:i/>
          <w:lang w:eastAsia="es-MX"/>
        </w:rPr>
        <w:t>numero</w:t>
      </w:r>
      <w:proofErr w:type="spellEnd"/>
      <w:r w:rsidRPr="00320222">
        <w:rPr>
          <w:rFonts w:ascii="Palatino Linotype" w:hAnsi="Palatino Linotype"/>
          <w:i/>
          <w:lang w:eastAsia="es-MX"/>
        </w:rPr>
        <w:t xml:space="preserve"> de horas extraordinarias que percibe Romeo Santiz Gordillo. 4. El personal de adquisiciones que tiene </w:t>
      </w:r>
      <w:proofErr w:type="spellStart"/>
      <w:r w:rsidRPr="00320222">
        <w:rPr>
          <w:rFonts w:ascii="Palatino Linotype" w:hAnsi="Palatino Linotype"/>
          <w:i/>
          <w:lang w:eastAsia="es-MX"/>
        </w:rPr>
        <w:t>utorozado</w:t>
      </w:r>
      <w:proofErr w:type="spellEnd"/>
      <w:r w:rsidRPr="00320222">
        <w:rPr>
          <w:rFonts w:ascii="Palatino Linotype" w:hAnsi="Palatino Linotype"/>
          <w:i/>
          <w:lang w:eastAsia="es-MX"/>
        </w:rPr>
        <w:t xml:space="preserve"> el pago de horas extras.</w:t>
      </w:r>
      <w:r w:rsidR="00BE60F2" w:rsidRPr="00D82165">
        <w:rPr>
          <w:rFonts w:ascii="Palatino Linotype" w:hAnsi="Palatino Linotype" w:cs="Tahoma"/>
          <w:bCs/>
          <w:i/>
        </w:rPr>
        <w:t>” (Sic).</w:t>
      </w:r>
    </w:p>
    <w:p w14:paraId="364B59E5" w14:textId="77777777" w:rsidR="00795D4C" w:rsidRPr="00D82165" w:rsidRDefault="00795D4C" w:rsidP="00BE60F2">
      <w:pPr>
        <w:spacing w:line="360" w:lineRule="auto"/>
        <w:ind w:left="567" w:right="567"/>
        <w:contextualSpacing/>
        <w:jc w:val="both"/>
        <w:rPr>
          <w:rFonts w:ascii="Palatino Linotype" w:hAnsi="Palatino Linotype" w:cs="Tahoma"/>
          <w:bCs/>
          <w:i/>
        </w:rPr>
      </w:pPr>
    </w:p>
    <w:p w14:paraId="5B55AF36" w14:textId="4F740BB2" w:rsidR="00425B3F" w:rsidRDefault="004459C8" w:rsidP="00E716FF">
      <w:pPr>
        <w:tabs>
          <w:tab w:val="left" w:pos="567"/>
        </w:tabs>
        <w:spacing w:line="360" w:lineRule="auto"/>
        <w:ind w:right="567"/>
        <w:jc w:val="both"/>
        <w:rPr>
          <w:rFonts w:ascii="Palatino Linotype" w:hAnsi="Palatino Linotype" w:cs="Tahoma"/>
          <w:b/>
          <w:bCs/>
          <w:i/>
          <w:sz w:val="22"/>
        </w:rPr>
      </w:pPr>
      <w:r w:rsidRPr="00C91133">
        <w:rPr>
          <w:rFonts w:ascii="Palatino Linotype" w:hAnsi="Palatino Linotype"/>
          <w:b/>
          <w:bCs/>
          <w:i/>
          <w:color w:val="000000" w:themeColor="text1"/>
        </w:rPr>
        <w:tab/>
      </w:r>
      <w:r w:rsidR="00425B3F">
        <w:rPr>
          <w:rFonts w:ascii="Palatino Linotype" w:hAnsi="Palatino Linotype"/>
          <w:b/>
          <w:bCs/>
          <w:i/>
          <w:color w:val="000000" w:themeColor="text1"/>
        </w:rPr>
        <w:t>“</w:t>
      </w:r>
      <w:r w:rsidRPr="00C91133">
        <w:rPr>
          <w:rFonts w:ascii="Palatino Linotype" w:hAnsi="Palatino Linotype" w:cs="Tahoma"/>
          <w:b/>
          <w:bCs/>
          <w:i/>
          <w:sz w:val="22"/>
        </w:rPr>
        <w:t xml:space="preserve">Modalidad de Entrega: </w:t>
      </w:r>
    </w:p>
    <w:p w14:paraId="5E2E0364" w14:textId="1E146209" w:rsidR="004459C8" w:rsidRPr="00425B3F" w:rsidRDefault="004459C8" w:rsidP="00425B3F">
      <w:pPr>
        <w:spacing w:line="360" w:lineRule="auto"/>
        <w:ind w:left="567" w:right="567"/>
        <w:contextualSpacing/>
        <w:jc w:val="both"/>
        <w:rPr>
          <w:rFonts w:ascii="Palatino Linotype" w:hAnsi="Palatino Linotype"/>
          <w:i/>
          <w:lang w:eastAsia="es-MX"/>
        </w:rPr>
      </w:pPr>
      <w:r w:rsidRPr="00425B3F">
        <w:rPr>
          <w:rFonts w:ascii="Palatino Linotype" w:hAnsi="Palatino Linotype"/>
          <w:i/>
          <w:lang w:eastAsia="es-MX"/>
        </w:rPr>
        <w:lastRenderedPageBreak/>
        <w:t>A través de SAIMEX.</w:t>
      </w:r>
      <w:r w:rsidR="00425B3F" w:rsidRPr="00D82165">
        <w:rPr>
          <w:rFonts w:ascii="Palatino Linotype" w:hAnsi="Palatino Linotype" w:cs="Tahoma"/>
          <w:bCs/>
          <w:i/>
        </w:rPr>
        <w:t>” (Sic).</w:t>
      </w:r>
    </w:p>
    <w:p w14:paraId="264505C8" w14:textId="77777777" w:rsidR="004459C8" w:rsidRDefault="004459C8" w:rsidP="00981A65">
      <w:pPr>
        <w:spacing w:line="360" w:lineRule="auto"/>
        <w:contextualSpacing/>
      </w:pPr>
    </w:p>
    <w:p w14:paraId="40FBA1C6" w14:textId="341A2DDC" w:rsidR="004459C8" w:rsidRPr="00651228" w:rsidRDefault="008E14A4" w:rsidP="00651228">
      <w:pPr>
        <w:pStyle w:val="Ttulo2"/>
        <w:rPr>
          <w:rFonts w:ascii="Palatino Linotype" w:hAnsi="Palatino Linotype"/>
          <w:b/>
        </w:rPr>
      </w:pPr>
      <w:bookmarkStart w:id="4" w:name="_Toc226637711"/>
      <w:bookmarkStart w:id="5" w:name="_Hlk207876558"/>
      <w:r>
        <w:rPr>
          <w:rFonts w:ascii="Palatino Linotype" w:hAnsi="Palatino Linotype"/>
          <w:b/>
          <w:color w:val="auto"/>
          <w:sz w:val="22"/>
        </w:rPr>
        <w:t>I</w:t>
      </w:r>
      <w:r w:rsidR="004459C8" w:rsidRPr="00651228">
        <w:rPr>
          <w:rFonts w:ascii="Palatino Linotype" w:hAnsi="Palatino Linotype"/>
          <w:b/>
          <w:color w:val="auto"/>
          <w:sz w:val="22"/>
        </w:rPr>
        <w:t>I. Respuesta del Sujeto Obligado</w:t>
      </w:r>
      <w:bookmarkEnd w:id="4"/>
    </w:p>
    <w:p w14:paraId="1079F3C9" w14:textId="77777777" w:rsidR="004459C8" w:rsidRPr="004616B5" w:rsidRDefault="004459C8" w:rsidP="00981A65">
      <w:pPr>
        <w:tabs>
          <w:tab w:val="left" w:pos="4667"/>
        </w:tabs>
        <w:spacing w:line="360" w:lineRule="auto"/>
        <w:contextualSpacing/>
        <w:jc w:val="both"/>
        <w:rPr>
          <w:rFonts w:ascii="Palatino Linotype" w:eastAsiaTheme="majorEastAsia" w:hAnsi="Palatino Linotype" w:cstheme="majorBidi"/>
          <w:b/>
          <w:bCs/>
          <w:sz w:val="22"/>
          <w:szCs w:val="22"/>
        </w:rPr>
      </w:pPr>
      <w:r w:rsidRPr="004616B5">
        <w:rPr>
          <w:rFonts w:ascii="Palatino Linotype" w:eastAsiaTheme="majorEastAsia" w:hAnsi="Palatino Linotype" w:cstheme="majorBidi"/>
          <w:b/>
          <w:bCs/>
          <w:sz w:val="22"/>
          <w:szCs w:val="22"/>
        </w:rPr>
        <w:t xml:space="preserve"> </w:t>
      </w:r>
    </w:p>
    <w:p w14:paraId="564288D4" w14:textId="42AFCC28" w:rsidR="00EA390D" w:rsidRDefault="004459C8" w:rsidP="00981A65">
      <w:pPr>
        <w:tabs>
          <w:tab w:val="left" w:pos="4667"/>
        </w:tabs>
        <w:spacing w:line="360" w:lineRule="auto"/>
        <w:contextualSpacing/>
        <w:jc w:val="both"/>
        <w:rPr>
          <w:rFonts w:ascii="Palatino Linotype" w:eastAsiaTheme="majorEastAsia" w:hAnsi="Palatino Linotype" w:cstheme="majorBidi"/>
          <w:sz w:val="22"/>
          <w:szCs w:val="22"/>
        </w:rPr>
      </w:pPr>
      <w:r w:rsidRPr="004616B5">
        <w:rPr>
          <w:rFonts w:ascii="Palatino Linotype" w:eastAsiaTheme="majorEastAsia" w:hAnsi="Palatino Linotype" w:cstheme="majorBidi"/>
          <w:sz w:val="22"/>
          <w:szCs w:val="22"/>
        </w:rPr>
        <w:t xml:space="preserve">Con fecha </w:t>
      </w:r>
      <w:r w:rsidR="00180328">
        <w:rPr>
          <w:rFonts w:ascii="Palatino Linotype" w:eastAsiaTheme="majorEastAsia" w:hAnsi="Palatino Linotype" w:cstheme="majorBidi"/>
          <w:sz w:val="22"/>
          <w:szCs w:val="22"/>
        </w:rPr>
        <w:t>veinticuatro</w:t>
      </w:r>
      <w:r w:rsidR="00C91133">
        <w:rPr>
          <w:rFonts w:ascii="Palatino Linotype" w:eastAsiaTheme="majorEastAsia" w:hAnsi="Palatino Linotype" w:cstheme="majorBidi"/>
          <w:sz w:val="22"/>
          <w:szCs w:val="22"/>
        </w:rPr>
        <w:t xml:space="preserve"> de </w:t>
      </w:r>
      <w:r w:rsidR="008229C7">
        <w:rPr>
          <w:rFonts w:ascii="Palatino Linotype" w:eastAsiaTheme="majorEastAsia" w:hAnsi="Palatino Linotype" w:cstheme="majorBidi"/>
          <w:sz w:val="22"/>
          <w:szCs w:val="22"/>
        </w:rPr>
        <w:t>febrero</w:t>
      </w:r>
      <w:r>
        <w:rPr>
          <w:rFonts w:ascii="Palatino Linotype" w:eastAsiaTheme="majorEastAsia" w:hAnsi="Palatino Linotype" w:cstheme="majorBidi"/>
          <w:sz w:val="22"/>
          <w:szCs w:val="22"/>
        </w:rPr>
        <w:t xml:space="preserve"> </w:t>
      </w:r>
      <w:r w:rsidRPr="004616B5">
        <w:rPr>
          <w:rFonts w:ascii="Palatino Linotype" w:eastAsiaTheme="majorEastAsia" w:hAnsi="Palatino Linotype" w:cstheme="majorBidi"/>
          <w:sz w:val="22"/>
          <w:szCs w:val="22"/>
        </w:rPr>
        <w:t xml:space="preserve">de dos mil </w:t>
      </w:r>
      <w:r w:rsidR="008E14A4">
        <w:rPr>
          <w:rFonts w:ascii="Palatino Linotype" w:eastAsiaTheme="majorEastAsia" w:hAnsi="Palatino Linotype" w:cstheme="majorBidi"/>
          <w:sz w:val="22"/>
          <w:szCs w:val="22"/>
        </w:rPr>
        <w:t>veintiséis</w:t>
      </w:r>
      <w:r w:rsidRPr="004616B5">
        <w:rPr>
          <w:rFonts w:ascii="Palatino Linotype" w:eastAsiaTheme="majorEastAsia" w:hAnsi="Palatino Linotype" w:cstheme="majorBidi"/>
          <w:sz w:val="22"/>
          <w:szCs w:val="22"/>
        </w:rPr>
        <w:t xml:space="preserve">, el Sujeto Obligado dio respuesta a la solicitud de acceso a la información a través del Sistema de Acceso a la Información Mexiquense (SAIMEX), </w:t>
      </w:r>
      <w:r w:rsidR="00815D2B">
        <w:rPr>
          <w:rFonts w:ascii="Palatino Linotype" w:eastAsiaTheme="majorEastAsia" w:hAnsi="Palatino Linotype" w:cstheme="majorBidi"/>
          <w:sz w:val="22"/>
          <w:szCs w:val="22"/>
        </w:rPr>
        <w:t>a través de los siguientes documentos:</w:t>
      </w:r>
      <w:r>
        <w:rPr>
          <w:rFonts w:ascii="Palatino Linotype" w:eastAsiaTheme="majorEastAsia" w:hAnsi="Palatino Linotype" w:cstheme="majorBidi"/>
          <w:sz w:val="22"/>
          <w:szCs w:val="22"/>
        </w:rPr>
        <w:t xml:space="preserve"> </w:t>
      </w:r>
    </w:p>
    <w:p w14:paraId="095282F6" w14:textId="7A5EF985" w:rsidR="004459C8" w:rsidRDefault="00DC78F3" w:rsidP="008229C7">
      <w:pPr>
        <w:spacing w:line="360" w:lineRule="auto"/>
        <w:ind w:left="567" w:right="567"/>
        <w:contextualSpacing/>
        <w:jc w:val="both"/>
        <w:rPr>
          <w:rFonts w:ascii="Palatino Linotype" w:hAnsi="Palatino Linotype"/>
          <w:i/>
          <w:lang w:eastAsia="es-MX"/>
        </w:rPr>
      </w:pPr>
      <w:r w:rsidRPr="00DC78F3">
        <w:rPr>
          <w:rFonts w:ascii="Palatino Linotype" w:hAnsi="Palatino Linotype"/>
          <w:i/>
          <w:lang w:eastAsia="es-MX"/>
        </w:rPr>
        <w:br/>
      </w:r>
      <w:r w:rsidR="004E2169" w:rsidRPr="004E2169">
        <w:rPr>
          <w:rFonts w:ascii="Palatino Linotype" w:hAnsi="Palatino Linotype"/>
          <w:i/>
          <w:lang w:eastAsia="es-MX"/>
        </w:rPr>
        <w:t>Se adjunta oficio de respuesta y anexo en formato PDF.</w:t>
      </w:r>
    </w:p>
    <w:p w14:paraId="1983AF82" w14:textId="77777777" w:rsidR="008229C7" w:rsidRDefault="008229C7" w:rsidP="008229C7">
      <w:pPr>
        <w:spacing w:line="360" w:lineRule="auto"/>
        <w:ind w:left="567" w:right="567"/>
        <w:contextualSpacing/>
        <w:jc w:val="both"/>
        <w:rPr>
          <w:rFonts w:ascii="Palatino Linotype" w:eastAsiaTheme="majorEastAsia" w:hAnsi="Palatino Linotype" w:cstheme="majorBidi"/>
          <w:sz w:val="22"/>
          <w:szCs w:val="22"/>
        </w:rPr>
      </w:pPr>
    </w:p>
    <w:p w14:paraId="43E7C6F0" w14:textId="7E470483" w:rsidR="008608D5" w:rsidRDefault="008E14A4" w:rsidP="008E14A4">
      <w:pPr>
        <w:autoSpaceDE w:val="0"/>
        <w:autoSpaceDN w:val="0"/>
        <w:adjustRightInd w:val="0"/>
        <w:spacing w:line="360" w:lineRule="auto"/>
        <w:contextualSpacing/>
        <w:jc w:val="both"/>
        <w:rPr>
          <w:rFonts w:ascii="Palatino Linotype" w:hAnsi="Palatino Linotype" w:cs="Tahoma"/>
          <w:sz w:val="22"/>
          <w:szCs w:val="22"/>
        </w:rPr>
      </w:pPr>
      <w:r w:rsidRPr="008E14A4">
        <w:rPr>
          <w:rFonts w:ascii="Palatino Linotype" w:hAnsi="Palatino Linotype" w:cs="Tahoma"/>
          <w:sz w:val="22"/>
          <w:szCs w:val="22"/>
        </w:rPr>
        <w:t xml:space="preserve">A la respuesta </w:t>
      </w:r>
      <w:r w:rsidR="00174E04">
        <w:rPr>
          <w:rFonts w:ascii="Palatino Linotype" w:hAnsi="Palatino Linotype" w:cs="Tahoma"/>
          <w:sz w:val="22"/>
          <w:szCs w:val="22"/>
        </w:rPr>
        <w:t xml:space="preserve">adjuntó </w:t>
      </w:r>
      <w:r w:rsidR="004E2169">
        <w:rPr>
          <w:rFonts w:ascii="Palatino Linotype" w:hAnsi="Palatino Linotype" w:cs="Tahoma"/>
          <w:sz w:val="22"/>
          <w:szCs w:val="22"/>
        </w:rPr>
        <w:t xml:space="preserve">un documento de nombre </w:t>
      </w:r>
      <w:proofErr w:type="spellStart"/>
      <w:r w:rsidR="004E2169" w:rsidRPr="004E2169">
        <w:rPr>
          <w:rFonts w:ascii="Palatino Linotype" w:hAnsi="Palatino Linotype" w:cs="Tahoma"/>
          <w:b/>
          <w:bCs/>
          <w:sz w:val="22"/>
          <w:szCs w:val="22"/>
        </w:rPr>
        <w:t>Resp</w:t>
      </w:r>
      <w:proofErr w:type="spellEnd"/>
      <w:r w:rsidR="004E2169" w:rsidRPr="004E2169">
        <w:rPr>
          <w:rFonts w:ascii="Palatino Linotype" w:hAnsi="Palatino Linotype" w:cs="Tahoma"/>
          <w:b/>
          <w:bCs/>
          <w:sz w:val="22"/>
          <w:szCs w:val="22"/>
        </w:rPr>
        <w:t xml:space="preserve"> Sol 00025-2026.pdf</w:t>
      </w:r>
      <w:r w:rsidR="004E2169">
        <w:rPr>
          <w:rFonts w:ascii="Palatino Linotype" w:hAnsi="Palatino Linotype" w:cs="Tahoma"/>
          <w:sz w:val="22"/>
          <w:szCs w:val="22"/>
        </w:rPr>
        <w:t>, que contiene lo siguiente</w:t>
      </w:r>
      <w:r w:rsidR="00174E04">
        <w:rPr>
          <w:rFonts w:ascii="Palatino Linotype" w:hAnsi="Palatino Linotype" w:cs="Tahoma"/>
          <w:sz w:val="22"/>
          <w:szCs w:val="22"/>
        </w:rPr>
        <w:t>:</w:t>
      </w:r>
    </w:p>
    <w:p w14:paraId="3DEB9923" w14:textId="77777777" w:rsidR="00342E1C" w:rsidRDefault="00342E1C" w:rsidP="008E14A4">
      <w:pPr>
        <w:autoSpaceDE w:val="0"/>
        <w:autoSpaceDN w:val="0"/>
        <w:adjustRightInd w:val="0"/>
        <w:spacing w:line="360" w:lineRule="auto"/>
        <w:contextualSpacing/>
        <w:jc w:val="both"/>
        <w:rPr>
          <w:rFonts w:ascii="Palatino Linotype" w:hAnsi="Palatino Linotype" w:cs="Tahoma"/>
          <w:sz w:val="22"/>
          <w:szCs w:val="22"/>
        </w:rPr>
      </w:pPr>
    </w:p>
    <w:p w14:paraId="54299E49" w14:textId="2481D0F0" w:rsidR="00342E1C" w:rsidRDefault="00342E1C" w:rsidP="008E14A4">
      <w:pPr>
        <w:autoSpaceDE w:val="0"/>
        <w:autoSpaceDN w:val="0"/>
        <w:adjustRightInd w:val="0"/>
        <w:spacing w:line="360" w:lineRule="auto"/>
        <w:contextualSpacing/>
        <w:jc w:val="both"/>
        <w:rPr>
          <w:rFonts w:ascii="Palatino Linotype" w:hAnsi="Palatino Linotype" w:cs="Tahoma"/>
          <w:b/>
          <w:bCs/>
          <w:sz w:val="22"/>
          <w:szCs w:val="22"/>
        </w:rPr>
      </w:pPr>
      <w:r w:rsidRPr="00342E1C">
        <w:rPr>
          <w:rFonts w:ascii="Palatino Linotype" w:hAnsi="Palatino Linotype" w:cs="Tahoma"/>
          <w:b/>
          <w:bCs/>
          <w:sz w:val="22"/>
          <w:szCs w:val="22"/>
        </w:rPr>
        <w:t xml:space="preserve">Foja 1. </w:t>
      </w:r>
      <w:r w:rsidR="00B059D7" w:rsidRPr="00D15B9A">
        <w:rPr>
          <w:rFonts w:ascii="Palatino Linotype" w:hAnsi="Palatino Linotype" w:cs="Tahoma"/>
          <w:sz w:val="22"/>
          <w:szCs w:val="22"/>
        </w:rPr>
        <w:t xml:space="preserve">Documento firmado </w:t>
      </w:r>
      <w:r w:rsidR="00D15B9A" w:rsidRPr="00D15B9A">
        <w:rPr>
          <w:rFonts w:ascii="Palatino Linotype" w:hAnsi="Palatino Linotype" w:cs="Tahoma"/>
          <w:sz w:val="22"/>
          <w:szCs w:val="22"/>
        </w:rPr>
        <w:t>por el Suplente del Titular de la Unidad de Transparencia en donde refirió remitir respuesta</w:t>
      </w:r>
      <w:r w:rsidR="00F833B2">
        <w:rPr>
          <w:rFonts w:ascii="Palatino Linotype" w:hAnsi="Palatino Linotype" w:cs="Tahoma"/>
          <w:sz w:val="22"/>
          <w:szCs w:val="22"/>
        </w:rPr>
        <w:t xml:space="preserve"> en formato PDF.</w:t>
      </w:r>
    </w:p>
    <w:p w14:paraId="351B67F1" w14:textId="77777777" w:rsidR="00B059D7" w:rsidRDefault="00B059D7" w:rsidP="008E14A4">
      <w:pPr>
        <w:autoSpaceDE w:val="0"/>
        <w:autoSpaceDN w:val="0"/>
        <w:adjustRightInd w:val="0"/>
        <w:spacing w:line="360" w:lineRule="auto"/>
        <w:contextualSpacing/>
        <w:jc w:val="both"/>
        <w:rPr>
          <w:rFonts w:ascii="Palatino Linotype" w:hAnsi="Palatino Linotype" w:cs="Tahoma"/>
          <w:b/>
          <w:bCs/>
          <w:sz w:val="22"/>
          <w:szCs w:val="22"/>
        </w:rPr>
      </w:pPr>
    </w:p>
    <w:p w14:paraId="6625D5E0" w14:textId="44B3C0AE" w:rsidR="00B059D7" w:rsidRPr="00342E1C" w:rsidRDefault="00B059D7" w:rsidP="00B059D7">
      <w:pPr>
        <w:autoSpaceDE w:val="0"/>
        <w:autoSpaceDN w:val="0"/>
        <w:adjustRightInd w:val="0"/>
        <w:spacing w:line="360" w:lineRule="auto"/>
        <w:contextualSpacing/>
        <w:jc w:val="both"/>
        <w:rPr>
          <w:rFonts w:ascii="Palatino Linotype" w:hAnsi="Palatino Linotype" w:cs="Tahoma"/>
          <w:b/>
          <w:bCs/>
          <w:sz w:val="22"/>
          <w:szCs w:val="22"/>
        </w:rPr>
      </w:pPr>
      <w:r w:rsidRPr="00342E1C">
        <w:rPr>
          <w:rFonts w:ascii="Palatino Linotype" w:hAnsi="Palatino Linotype" w:cs="Tahoma"/>
          <w:b/>
          <w:bCs/>
          <w:sz w:val="22"/>
          <w:szCs w:val="22"/>
        </w:rPr>
        <w:t xml:space="preserve">Foja </w:t>
      </w:r>
      <w:r>
        <w:rPr>
          <w:rFonts w:ascii="Palatino Linotype" w:hAnsi="Palatino Linotype" w:cs="Tahoma"/>
          <w:b/>
          <w:bCs/>
          <w:sz w:val="22"/>
          <w:szCs w:val="22"/>
        </w:rPr>
        <w:t>2</w:t>
      </w:r>
      <w:r w:rsidRPr="00342E1C">
        <w:rPr>
          <w:rFonts w:ascii="Palatino Linotype" w:hAnsi="Palatino Linotype" w:cs="Tahoma"/>
          <w:b/>
          <w:bCs/>
          <w:sz w:val="22"/>
          <w:szCs w:val="22"/>
        </w:rPr>
        <w:t xml:space="preserve">. </w:t>
      </w:r>
      <w:r w:rsidR="00F833B2" w:rsidRPr="007C5900">
        <w:rPr>
          <w:rFonts w:ascii="Palatino Linotype" w:hAnsi="Palatino Linotype" w:cs="Tahoma"/>
          <w:sz w:val="22"/>
          <w:szCs w:val="22"/>
        </w:rPr>
        <w:t>Docu</w:t>
      </w:r>
      <w:r w:rsidR="00F833B2" w:rsidRPr="00782820">
        <w:rPr>
          <w:rFonts w:ascii="Palatino Linotype" w:hAnsi="Palatino Linotype" w:cs="Tahoma"/>
          <w:sz w:val="22"/>
          <w:szCs w:val="22"/>
        </w:rPr>
        <w:t xml:space="preserve">mento firmado por la Coordinadora de </w:t>
      </w:r>
      <w:r w:rsidR="007C5900" w:rsidRPr="00782820">
        <w:rPr>
          <w:rFonts w:ascii="Palatino Linotype" w:hAnsi="Palatino Linotype" w:cs="Tahoma"/>
          <w:sz w:val="22"/>
          <w:szCs w:val="22"/>
        </w:rPr>
        <w:t>Administración</w:t>
      </w:r>
      <w:r w:rsidR="00F833B2" w:rsidRPr="00782820">
        <w:rPr>
          <w:rFonts w:ascii="Palatino Linotype" w:hAnsi="Palatino Linotype" w:cs="Tahoma"/>
          <w:sz w:val="22"/>
          <w:szCs w:val="22"/>
        </w:rPr>
        <w:t xml:space="preserve"> y Finanzas, </w:t>
      </w:r>
      <w:r w:rsidR="00782820" w:rsidRPr="00782820">
        <w:rPr>
          <w:rFonts w:ascii="Palatino Linotype" w:hAnsi="Palatino Linotype" w:cs="Tahoma"/>
          <w:sz w:val="22"/>
          <w:szCs w:val="22"/>
        </w:rPr>
        <w:t>emitido al Suplente del Titular de la Unidad de Transparencia, en donde respondió lo siguiente:</w:t>
      </w:r>
    </w:p>
    <w:p w14:paraId="04D12284" w14:textId="77777777" w:rsidR="00B059D7" w:rsidRDefault="00B059D7" w:rsidP="008E14A4">
      <w:pPr>
        <w:autoSpaceDE w:val="0"/>
        <w:autoSpaceDN w:val="0"/>
        <w:adjustRightInd w:val="0"/>
        <w:spacing w:line="360" w:lineRule="auto"/>
        <w:contextualSpacing/>
        <w:jc w:val="both"/>
        <w:rPr>
          <w:rFonts w:ascii="Palatino Linotype" w:hAnsi="Palatino Linotype" w:cs="Tahoma"/>
          <w:b/>
          <w:bCs/>
          <w:sz w:val="22"/>
          <w:szCs w:val="22"/>
        </w:rPr>
      </w:pPr>
    </w:p>
    <w:p w14:paraId="59829174" w14:textId="5DB2371C" w:rsidR="00864B9C" w:rsidRPr="00342E1C" w:rsidRDefault="00864B9C" w:rsidP="008E14A4">
      <w:pPr>
        <w:autoSpaceDE w:val="0"/>
        <w:autoSpaceDN w:val="0"/>
        <w:adjustRightInd w:val="0"/>
        <w:spacing w:line="360" w:lineRule="auto"/>
        <w:contextualSpacing/>
        <w:jc w:val="both"/>
        <w:rPr>
          <w:rFonts w:ascii="Palatino Linotype" w:hAnsi="Palatino Linotype" w:cs="Tahoma"/>
          <w:b/>
          <w:bCs/>
          <w:sz w:val="22"/>
          <w:szCs w:val="22"/>
        </w:rPr>
      </w:pPr>
      <w:r>
        <w:rPr>
          <w:noProof/>
          <w:lang w:eastAsia="es-MX"/>
          <w14:ligatures w14:val="standardContextual"/>
        </w:rPr>
        <w:drawing>
          <wp:inline distT="0" distB="0" distL="0" distR="0" wp14:anchorId="18F90C55" wp14:editId="26FC575C">
            <wp:extent cx="5612130" cy="1356360"/>
            <wp:effectExtent l="0" t="0" r="7620" b="0"/>
            <wp:docPr id="752033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33559" name=""/>
                    <pic:cNvPicPr/>
                  </pic:nvPicPr>
                  <pic:blipFill rotWithShape="1">
                    <a:blip r:embed="rId8"/>
                    <a:srcRect t="48826" b="32031"/>
                    <a:stretch>
                      <a:fillRect/>
                    </a:stretch>
                  </pic:blipFill>
                  <pic:spPr bwMode="auto">
                    <a:xfrm>
                      <a:off x="0" y="0"/>
                      <a:ext cx="5612130" cy="1356360"/>
                    </a:xfrm>
                    <a:prstGeom prst="rect">
                      <a:avLst/>
                    </a:prstGeom>
                    <a:ln>
                      <a:noFill/>
                    </a:ln>
                    <a:extLst>
                      <a:ext uri="{53640926-AAD7-44D8-BBD7-CCE9431645EC}">
                        <a14:shadowObscured xmlns:a14="http://schemas.microsoft.com/office/drawing/2010/main"/>
                      </a:ext>
                    </a:extLst>
                  </pic:spPr>
                </pic:pic>
              </a:graphicData>
            </a:graphic>
          </wp:inline>
        </w:drawing>
      </w:r>
    </w:p>
    <w:p w14:paraId="01CAA2B9" w14:textId="77777777" w:rsidR="00174E04" w:rsidRDefault="00174E04" w:rsidP="008E14A4">
      <w:pPr>
        <w:autoSpaceDE w:val="0"/>
        <w:autoSpaceDN w:val="0"/>
        <w:adjustRightInd w:val="0"/>
        <w:spacing w:line="360" w:lineRule="auto"/>
        <w:contextualSpacing/>
        <w:jc w:val="both"/>
        <w:rPr>
          <w:rFonts w:ascii="Palatino Linotype" w:hAnsi="Palatino Linotype" w:cs="Tahoma"/>
          <w:sz w:val="22"/>
          <w:szCs w:val="22"/>
        </w:rPr>
      </w:pPr>
    </w:p>
    <w:p w14:paraId="22FA533D" w14:textId="77777777" w:rsidR="008608D5" w:rsidRDefault="008608D5" w:rsidP="00981A65">
      <w:pPr>
        <w:tabs>
          <w:tab w:val="left" w:pos="4667"/>
        </w:tabs>
        <w:spacing w:line="360" w:lineRule="auto"/>
        <w:contextualSpacing/>
        <w:jc w:val="both"/>
        <w:rPr>
          <w:rFonts w:ascii="Palatino Linotype" w:eastAsiaTheme="majorEastAsia" w:hAnsi="Palatino Linotype" w:cstheme="majorBidi"/>
          <w:sz w:val="22"/>
          <w:szCs w:val="22"/>
        </w:rPr>
      </w:pPr>
    </w:p>
    <w:p w14:paraId="3D76BF28" w14:textId="13E8869A" w:rsidR="004459C8" w:rsidRPr="00AC17E4" w:rsidRDefault="008E14A4" w:rsidP="00981A65">
      <w:pPr>
        <w:pStyle w:val="Ttulo2"/>
        <w:spacing w:before="0" w:after="0" w:line="360" w:lineRule="auto"/>
        <w:contextualSpacing/>
        <w:rPr>
          <w:rFonts w:ascii="Palatino Linotype" w:hAnsi="Palatino Linotype"/>
          <w:b/>
          <w:bCs/>
          <w:color w:val="auto"/>
          <w:sz w:val="22"/>
          <w:szCs w:val="22"/>
        </w:rPr>
      </w:pPr>
      <w:bookmarkStart w:id="6" w:name="_Toc226637712"/>
      <w:bookmarkEnd w:id="5"/>
      <w:r>
        <w:rPr>
          <w:rFonts w:ascii="Palatino Linotype" w:hAnsi="Palatino Linotype"/>
          <w:b/>
          <w:bCs/>
          <w:color w:val="auto"/>
          <w:sz w:val="22"/>
          <w:szCs w:val="22"/>
        </w:rPr>
        <w:lastRenderedPageBreak/>
        <w:t>IV</w:t>
      </w:r>
      <w:r w:rsidR="004459C8" w:rsidRPr="00AC17E4">
        <w:rPr>
          <w:rFonts w:ascii="Palatino Linotype" w:hAnsi="Palatino Linotype"/>
          <w:b/>
          <w:bCs/>
          <w:color w:val="auto"/>
          <w:sz w:val="22"/>
          <w:szCs w:val="22"/>
        </w:rPr>
        <w:t>. Interposición de</w:t>
      </w:r>
      <w:r w:rsidR="00CD6CE0">
        <w:rPr>
          <w:rFonts w:ascii="Palatino Linotype" w:hAnsi="Palatino Linotype"/>
          <w:b/>
          <w:bCs/>
          <w:color w:val="auto"/>
          <w:sz w:val="22"/>
          <w:szCs w:val="22"/>
        </w:rPr>
        <w:t xml:space="preserve"> </w:t>
      </w:r>
      <w:r w:rsidR="004459C8" w:rsidRPr="00AC17E4">
        <w:rPr>
          <w:rFonts w:ascii="Palatino Linotype" w:hAnsi="Palatino Linotype"/>
          <w:b/>
          <w:bCs/>
          <w:color w:val="auto"/>
          <w:sz w:val="22"/>
          <w:szCs w:val="22"/>
        </w:rPr>
        <w:t>l</w:t>
      </w:r>
      <w:r w:rsidR="00CD6CE0">
        <w:rPr>
          <w:rFonts w:ascii="Palatino Linotype" w:hAnsi="Palatino Linotype"/>
          <w:b/>
          <w:bCs/>
          <w:color w:val="auto"/>
          <w:sz w:val="22"/>
          <w:szCs w:val="22"/>
        </w:rPr>
        <w:t>os</w:t>
      </w:r>
      <w:r w:rsidR="004459C8" w:rsidRPr="00AC17E4">
        <w:rPr>
          <w:rFonts w:ascii="Palatino Linotype" w:hAnsi="Palatino Linotype"/>
          <w:b/>
          <w:bCs/>
          <w:color w:val="auto"/>
          <w:sz w:val="22"/>
          <w:szCs w:val="22"/>
        </w:rPr>
        <w:t xml:space="preserve"> Recurso</w:t>
      </w:r>
      <w:r w:rsidR="00CD6CE0">
        <w:rPr>
          <w:rFonts w:ascii="Palatino Linotype" w:hAnsi="Palatino Linotype"/>
          <w:b/>
          <w:bCs/>
          <w:color w:val="auto"/>
          <w:sz w:val="22"/>
          <w:szCs w:val="22"/>
        </w:rPr>
        <w:t>s</w:t>
      </w:r>
      <w:r w:rsidR="004459C8" w:rsidRPr="00AC17E4">
        <w:rPr>
          <w:rFonts w:ascii="Palatino Linotype" w:hAnsi="Palatino Linotype"/>
          <w:b/>
          <w:bCs/>
          <w:color w:val="auto"/>
          <w:sz w:val="22"/>
          <w:szCs w:val="22"/>
        </w:rPr>
        <w:t xml:space="preserve"> de Revisión</w:t>
      </w:r>
      <w:bookmarkEnd w:id="6"/>
    </w:p>
    <w:p w14:paraId="0F902652" w14:textId="77777777" w:rsidR="004459C8" w:rsidRPr="00AC17E4" w:rsidRDefault="004459C8" w:rsidP="00981A65">
      <w:pPr>
        <w:autoSpaceDE w:val="0"/>
        <w:autoSpaceDN w:val="0"/>
        <w:adjustRightInd w:val="0"/>
        <w:spacing w:line="360" w:lineRule="auto"/>
        <w:contextualSpacing/>
        <w:jc w:val="both"/>
        <w:rPr>
          <w:rFonts w:ascii="Palatino Linotype" w:hAnsi="Palatino Linotype" w:cs="Tahoma"/>
          <w:sz w:val="22"/>
          <w:szCs w:val="22"/>
        </w:rPr>
      </w:pPr>
    </w:p>
    <w:p w14:paraId="281AC187" w14:textId="70C5C4DE" w:rsidR="004459C8" w:rsidRDefault="004459C8" w:rsidP="00981A65">
      <w:pPr>
        <w:autoSpaceDE w:val="0"/>
        <w:autoSpaceDN w:val="0"/>
        <w:adjustRightInd w:val="0"/>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rPr>
        <w:t xml:space="preserve">Con fecha </w:t>
      </w:r>
      <w:r w:rsidR="00673270">
        <w:rPr>
          <w:rFonts w:ascii="Palatino Linotype" w:hAnsi="Palatino Linotype" w:cs="Tahoma"/>
          <w:sz w:val="22"/>
          <w:szCs w:val="22"/>
        </w:rPr>
        <w:t>veintisiete</w:t>
      </w:r>
      <w:r w:rsidR="00C91133">
        <w:rPr>
          <w:rFonts w:ascii="Palatino Linotype" w:hAnsi="Palatino Linotype" w:cs="Tahoma"/>
          <w:sz w:val="22"/>
          <w:szCs w:val="22"/>
        </w:rPr>
        <w:t xml:space="preserve"> de </w:t>
      </w:r>
      <w:r w:rsidR="00673270">
        <w:rPr>
          <w:rFonts w:ascii="Palatino Linotype" w:hAnsi="Palatino Linotype" w:cs="Tahoma"/>
          <w:sz w:val="22"/>
          <w:szCs w:val="22"/>
        </w:rPr>
        <w:t>febrero</w:t>
      </w:r>
      <w:r>
        <w:rPr>
          <w:rFonts w:ascii="Palatino Linotype" w:hAnsi="Palatino Linotype" w:cs="Tahoma"/>
          <w:sz w:val="22"/>
          <w:szCs w:val="22"/>
        </w:rPr>
        <w:t xml:space="preserve"> </w:t>
      </w:r>
      <w:r w:rsidRPr="00AC17E4">
        <w:rPr>
          <w:rFonts w:ascii="Palatino Linotype" w:hAnsi="Palatino Linotype" w:cs="Tahoma"/>
          <w:sz w:val="22"/>
          <w:szCs w:val="22"/>
        </w:rPr>
        <w:t xml:space="preserve">de dos mil </w:t>
      </w:r>
      <w:r w:rsidR="008E14A4">
        <w:rPr>
          <w:rFonts w:ascii="Palatino Linotype" w:hAnsi="Palatino Linotype" w:cs="Tahoma"/>
          <w:sz w:val="22"/>
          <w:szCs w:val="22"/>
        </w:rPr>
        <w:t>veintiséis</w:t>
      </w:r>
      <w:r w:rsidRPr="00AC17E4">
        <w:rPr>
          <w:rFonts w:ascii="Palatino Linotype" w:hAnsi="Palatino Linotype" w:cs="Tahoma"/>
          <w:sz w:val="22"/>
          <w:szCs w:val="22"/>
        </w:rPr>
        <w:t xml:space="preserve">, se recibió en este </w:t>
      </w:r>
      <w:r w:rsidRPr="00AC17E4">
        <w:rPr>
          <w:rFonts w:ascii="Palatino Linotype" w:eastAsia="Calibri" w:hAnsi="Palatino Linotype" w:cs="Tahoma"/>
          <w:sz w:val="22"/>
          <w:szCs w:val="22"/>
          <w:lang w:eastAsia="en-US"/>
        </w:rPr>
        <w:t xml:space="preserve">Instituto, a través del </w:t>
      </w:r>
      <w:r w:rsidRPr="00AC17E4">
        <w:rPr>
          <w:rFonts w:ascii="Palatino Linotype" w:hAnsi="Palatino Linotype" w:cs="Tahoma"/>
          <w:sz w:val="22"/>
          <w:szCs w:val="22"/>
          <w:lang w:val="es-ES"/>
        </w:rPr>
        <w:t>SAIMEX</w:t>
      </w:r>
      <w:r w:rsidRPr="00AC17E4">
        <w:rPr>
          <w:rFonts w:ascii="Palatino Linotype" w:hAnsi="Palatino Linotype" w:cs="Tahoma"/>
          <w:sz w:val="22"/>
          <w:szCs w:val="22"/>
        </w:rPr>
        <w:t xml:space="preserve">, </w:t>
      </w:r>
      <w:r w:rsidR="008E14A4">
        <w:rPr>
          <w:rFonts w:ascii="Palatino Linotype" w:hAnsi="Palatino Linotype" w:cs="Tahoma"/>
          <w:sz w:val="22"/>
          <w:szCs w:val="22"/>
        </w:rPr>
        <w:t>el recurso de revisión interpuesto</w:t>
      </w:r>
      <w:r w:rsidRPr="00AC17E4">
        <w:rPr>
          <w:rFonts w:ascii="Palatino Linotype" w:hAnsi="Palatino Linotype" w:cs="Tahoma"/>
          <w:sz w:val="22"/>
          <w:szCs w:val="22"/>
        </w:rPr>
        <w:t xml:space="preserve"> en contra de la</w:t>
      </w:r>
      <w:r w:rsidR="00654058">
        <w:rPr>
          <w:rFonts w:ascii="Palatino Linotype" w:hAnsi="Palatino Linotype" w:cs="Tahoma"/>
          <w:sz w:val="22"/>
          <w:szCs w:val="22"/>
        </w:rPr>
        <w:t xml:space="preserve"> </w:t>
      </w:r>
      <w:r w:rsidRPr="00AC17E4">
        <w:rPr>
          <w:rFonts w:ascii="Palatino Linotype" w:hAnsi="Palatino Linotype" w:cs="Tahoma"/>
          <w:sz w:val="22"/>
          <w:szCs w:val="22"/>
        </w:rPr>
        <w:t xml:space="preserve">respuesta del </w:t>
      </w:r>
      <w:r w:rsidR="007B21CC">
        <w:rPr>
          <w:rFonts w:ascii="Palatino Linotype" w:hAnsi="Palatino Linotype" w:cs="Tahoma"/>
          <w:sz w:val="22"/>
          <w:szCs w:val="22"/>
        </w:rPr>
        <w:t>Servicios Educativos Integrados al Estado de México</w:t>
      </w:r>
      <w:r w:rsidRPr="00AC17E4">
        <w:rPr>
          <w:rFonts w:ascii="Palatino Linotype" w:hAnsi="Palatino Linotype" w:cs="Tahoma"/>
          <w:sz w:val="22"/>
          <w:szCs w:val="22"/>
        </w:rPr>
        <w:t xml:space="preserve">, </w:t>
      </w:r>
      <w:r w:rsidR="00B97460">
        <w:rPr>
          <w:rFonts w:ascii="Palatino Linotype" w:hAnsi="Palatino Linotype" w:cs="Tahoma"/>
          <w:sz w:val="22"/>
          <w:szCs w:val="22"/>
        </w:rPr>
        <w:t>en los siguientes términos</w:t>
      </w:r>
      <w:r w:rsidRPr="00AC17E4">
        <w:rPr>
          <w:rFonts w:ascii="Palatino Linotype" w:hAnsi="Palatino Linotype" w:cs="Tahoma"/>
          <w:sz w:val="22"/>
          <w:szCs w:val="22"/>
          <w:lang w:val="es-ES"/>
        </w:rPr>
        <w:t>:</w:t>
      </w:r>
    </w:p>
    <w:p w14:paraId="257F1230" w14:textId="77777777" w:rsidR="004459C8" w:rsidRPr="009C3D5D" w:rsidRDefault="004459C8" w:rsidP="00981A65">
      <w:pPr>
        <w:autoSpaceDE w:val="0"/>
        <w:autoSpaceDN w:val="0"/>
        <w:adjustRightInd w:val="0"/>
        <w:spacing w:line="360" w:lineRule="auto"/>
        <w:contextualSpacing/>
        <w:jc w:val="both"/>
        <w:rPr>
          <w:rFonts w:ascii="Palatino Linotype" w:hAnsi="Palatino Linotype" w:cs="Tahoma"/>
          <w:b/>
          <w:bCs/>
          <w:sz w:val="22"/>
          <w:szCs w:val="22"/>
          <w:lang w:val="es-ES"/>
        </w:rPr>
      </w:pPr>
    </w:p>
    <w:p w14:paraId="16E9937B" w14:textId="0B7CAFC5" w:rsidR="004459C8" w:rsidRPr="006B3203" w:rsidRDefault="008E14A4" w:rsidP="00E716FF">
      <w:pPr>
        <w:autoSpaceDE w:val="0"/>
        <w:autoSpaceDN w:val="0"/>
        <w:adjustRightInd w:val="0"/>
        <w:spacing w:line="360" w:lineRule="auto"/>
        <w:ind w:left="567" w:right="567"/>
        <w:contextualSpacing/>
        <w:jc w:val="both"/>
        <w:rPr>
          <w:rFonts w:ascii="Palatino Linotype" w:hAnsi="Palatino Linotype" w:cs="Tahoma"/>
          <w:bCs/>
          <w:i/>
          <w:iCs/>
        </w:rPr>
      </w:pPr>
      <w:r>
        <w:rPr>
          <w:rFonts w:ascii="Palatino Linotype" w:hAnsi="Palatino Linotype" w:cs="Tahoma"/>
          <w:b/>
          <w:bCs/>
          <w:i/>
          <w:iCs/>
        </w:rPr>
        <w:t>“</w:t>
      </w:r>
      <w:r w:rsidR="004459C8" w:rsidRPr="006B3203">
        <w:rPr>
          <w:rFonts w:ascii="Palatino Linotype" w:hAnsi="Palatino Linotype" w:cs="Tahoma"/>
          <w:b/>
          <w:bCs/>
          <w:i/>
          <w:iCs/>
        </w:rPr>
        <w:t>ACTO IMPUGNADO</w:t>
      </w:r>
    </w:p>
    <w:p w14:paraId="32CF3F3F" w14:textId="335AAE66" w:rsidR="004459C8" w:rsidRPr="006B3203" w:rsidRDefault="00371CE2" w:rsidP="00E716FF">
      <w:pPr>
        <w:spacing w:line="360" w:lineRule="auto"/>
        <w:ind w:left="567" w:right="567"/>
        <w:contextualSpacing/>
        <w:jc w:val="both"/>
        <w:rPr>
          <w:rFonts w:ascii="Palatino Linotype" w:hAnsi="Palatino Linotype" w:cs="Tahoma"/>
          <w:i/>
          <w:iCs/>
        </w:rPr>
      </w:pPr>
      <w:r w:rsidRPr="00371CE2">
        <w:rPr>
          <w:rFonts w:ascii="Palatino Linotype" w:hAnsi="Palatino Linotype"/>
          <w:i/>
          <w:iCs/>
          <w:lang w:eastAsia="es-MX"/>
        </w:rPr>
        <w:t>la respuesta</w:t>
      </w:r>
      <w:r w:rsidR="00C91133" w:rsidRPr="006B3203">
        <w:rPr>
          <w:rFonts w:ascii="Palatino Linotype" w:hAnsi="Palatino Linotype" w:cs="Tahoma"/>
          <w:i/>
          <w:iCs/>
        </w:rPr>
        <w:t>”</w:t>
      </w:r>
      <w:r w:rsidR="004459C8" w:rsidRPr="006B3203">
        <w:rPr>
          <w:rFonts w:ascii="Palatino Linotype" w:hAnsi="Palatino Linotype" w:cs="Tahoma"/>
          <w:i/>
          <w:iCs/>
        </w:rPr>
        <w:t xml:space="preserve"> (Sic)</w:t>
      </w:r>
    </w:p>
    <w:p w14:paraId="53BA191F" w14:textId="77777777" w:rsidR="004459C8" w:rsidRPr="006B3203" w:rsidRDefault="004459C8" w:rsidP="00E716FF">
      <w:pPr>
        <w:autoSpaceDE w:val="0"/>
        <w:autoSpaceDN w:val="0"/>
        <w:adjustRightInd w:val="0"/>
        <w:spacing w:line="360" w:lineRule="auto"/>
        <w:ind w:left="567" w:right="567"/>
        <w:contextualSpacing/>
        <w:jc w:val="both"/>
        <w:rPr>
          <w:rFonts w:ascii="Palatino Linotype" w:hAnsi="Palatino Linotype" w:cs="Tahoma"/>
          <w:i/>
          <w:iCs/>
        </w:rPr>
      </w:pPr>
    </w:p>
    <w:p w14:paraId="25628DCF" w14:textId="2A677F37" w:rsidR="004459C8" w:rsidRPr="006B3203" w:rsidRDefault="00654058" w:rsidP="00E716FF">
      <w:pPr>
        <w:autoSpaceDE w:val="0"/>
        <w:autoSpaceDN w:val="0"/>
        <w:adjustRightInd w:val="0"/>
        <w:spacing w:line="360" w:lineRule="auto"/>
        <w:ind w:left="567" w:right="567"/>
        <w:contextualSpacing/>
        <w:jc w:val="both"/>
        <w:rPr>
          <w:rFonts w:ascii="Palatino Linotype" w:hAnsi="Palatino Linotype" w:cs="Tahoma"/>
          <w:b/>
          <w:i/>
          <w:iCs/>
        </w:rPr>
      </w:pPr>
      <w:r>
        <w:rPr>
          <w:rFonts w:ascii="Palatino Linotype" w:hAnsi="Palatino Linotype" w:cs="Tahoma"/>
          <w:b/>
          <w:i/>
          <w:iCs/>
        </w:rPr>
        <w:t>“</w:t>
      </w:r>
      <w:r w:rsidR="004459C8" w:rsidRPr="006B3203">
        <w:rPr>
          <w:rFonts w:ascii="Palatino Linotype" w:hAnsi="Palatino Linotype" w:cs="Tahoma"/>
          <w:b/>
          <w:i/>
          <w:iCs/>
        </w:rPr>
        <w:t>RAZONES O MOTIVOS DE LA INCONFORMIDAD</w:t>
      </w:r>
    </w:p>
    <w:p w14:paraId="49DD4879" w14:textId="68F9016F" w:rsidR="004459C8" w:rsidRPr="00C91133" w:rsidRDefault="00320619" w:rsidP="00E716FF">
      <w:pPr>
        <w:spacing w:line="360" w:lineRule="auto"/>
        <w:ind w:left="567" w:right="567"/>
        <w:jc w:val="both"/>
        <w:rPr>
          <w:rFonts w:ascii="Palatino Linotype" w:hAnsi="Palatino Linotype" w:cs="Tahoma"/>
          <w:i/>
          <w:iCs/>
        </w:rPr>
      </w:pPr>
      <w:proofErr w:type="gramStart"/>
      <w:r w:rsidRPr="00320619">
        <w:rPr>
          <w:rFonts w:ascii="Palatino Linotype" w:hAnsi="Palatino Linotype"/>
          <w:i/>
          <w:iCs/>
          <w:color w:val="000000"/>
        </w:rPr>
        <w:t>la</w:t>
      </w:r>
      <w:proofErr w:type="gramEnd"/>
      <w:r w:rsidRPr="00320619">
        <w:rPr>
          <w:rFonts w:ascii="Palatino Linotype" w:hAnsi="Palatino Linotype"/>
          <w:i/>
          <w:iCs/>
          <w:color w:val="000000"/>
        </w:rPr>
        <w:t xml:space="preserve"> </w:t>
      </w:r>
      <w:proofErr w:type="spellStart"/>
      <w:r w:rsidRPr="00320619">
        <w:rPr>
          <w:rFonts w:ascii="Palatino Linotype" w:hAnsi="Palatino Linotype"/>
          <w:i/>
          <w:iCs/>
          <w:color w:val="000000"/>
        </w:rPr>
        <w:t>informacion</w:t>
      </w:r>
      <w:proofErr w:type="spellEnd"/>
      <w:r w:rsidRPr="00320619">
        <w:rPr>
          <w:rFonts w:ascii="Palatino Linotype" w:hAnsi="Palatino Linotype"/>
          <w:i/>
          <w:iCs/>
          <w:color w:val="000000"/>
        </w:rPr>
        <w:t xml:space="preserve"> se da incompleta pues a todas luces la </w:t>
      </w:r>
      <w:proofErr w:type="spellStart"/>
      <w:r w:rsidRPr="00320619">
        <w:rPr>
          <w:rFonts w:ascii="Palatino Linotype" w:hAnsi="Palatino Linotype"/>
          <w:i/>
          <w:iCs/>
          <w:color w:val="000000"/>
        </w:rPr>
        <w:t>estan</w:t>
      </w:r>
      <w:proofErr w:type="spellEnd"/>
      <w:r w:rsidRPr="00320619">
        <w:rPr>
          <w:rFonts w:ascii="Palatino Linotype" w:hAnsi="Palatino Linotype"/>
          <w:i/>
          <w:iCs/>
          <w:color w:val="000000"/>
        </w:rPr>
        <w:t xml:space="preserve"> ocultando , que es lo que no quieren que se sepa porque si tienen el expediente laboral y si hay personas cobrando horas extras incluido romero </w:t>
      </w:r>
      <w:proofErr w:type="spellStart"/>
      <w:r w:rsidRPr="00320619">
        <w:rPr>
          <w:rFonts w:ascii="Palatino Linotype" w:hAnsi="Palatino Linotype"/>
          <w:i/>
          <w:iCs/>
          <w:color w:val="000000"/>
        </w:rPr>
        <w:t>santiz</w:t>
      </w:r>
      <w:proofErr w:type="spellEnd"/>
      <w:r w:rsidR="004459C8" w:rsidRPr="00C91133">
        <w:rPr>
          <w:rFonts w:ascii="Palatino Linotype" w:hAnsi="Palatino Linotype" w:cs="Tahoma"/>
          <w:i/>
          <w:iCs/>
        </w:rPr>
        <w:t>” (Sic)</w:t>
      </w:r>
    </w:p>
    <w:p w14:paraId="49321F13" w14:textId="77777777" w:rsidR="004459C8" w:rsidRPr="00AC17E4" w:rsidRDefault="004459C8" w:rsidP="00981A65">
      <w:pPr>
        <w:spacing w:line="360" w:lineRule="auto"/>
        <w:ind w:left="567" w:right="567"/>
        <w:contextualSpacing/>
        <w:jc w:val="both"/>
        <w:rPr>
          <w:rFonts w:ascii="Palatino Linotype" w:hAnsi="Palatino Linotype" w:cs="Tahoma"/>
          <w:i/>
          <w:iCs/>
        </w:rPr>
      </w:pPr>
    </w:p>
    <w:p w14:paraId="22DF02EE" w14:textId="1A042351" w:rsidR="004459C8" w:rsidRPr="00AC17E4" w:rsidRDefault="00427945" w:rsidP="00981A65">
      <w:pPr>
        <w:pStyle w:val="Ttulo2"/>
        <w:spacing w:before="0" w:after="0" w:line="360" w:lineRule="auto"/>
        <w:contextualSpacing/>
        <w:rPr>
          <w:rFonts w:ascii="Palatino Linotype" w:eastAsia="Batang" w:hAnsi="Palatino Linotype"/>
          <w:b/>
          <w:bCs/>
          <w:color w:val="auto"/>
          <w:sz w:val="22"/>
          <w:szCs w:val="22"/>
        </w:rPr>
      </w:pPr>
      <w:bookmarkStart w:id="7" w:name="_Toc226637713"/>
      <w:r>
        <w:rPr>
          <w:rFonts w:ascii="Palatino Linotype" w:hAnsi="Palatino Linotype"/>
          <w:b/>
          <w:bCs/>
          <w:color w:val="auto"/>
          <w:sz w:val="22"/>
          <w:szCs w:val="22"/>
        </w:rPr>
        <w:t>V</w:t>
      </w:r>
      <w:r w:rsidR="004459C8" w:rsidRPr="00AC17E4">
        <w:rPr>
          <w:rFonts w:ascii="Palatino Linotype" w:hAnsi="Palatino Linotype"/>
          <w:b/>
          <w:bCs/>
          <w:color w:val="auto"/>
          <w:sz w:val="22"/>
          <w:szCs w:val="22"/>
        </w:rPr>
        <w:t xml:space="preserve">. </w:t>
      </w:r>
      <w:r w:rsidR="004459C8" w:rsidRPr="00AC17E4">
        <w:rPr>
          <w:rFonts w:ascii="Palatino Linotype" w:eastAsia="Batang" w:hAnsi="Palatino Linotype"/>
          <w:b/>
          <w:bCs/>
          <w:color w:val="auto"/>
          <w:sz w:val="22"/>
          <w:szCs w:val="22"/>
        </w:rPr>
        <w:t xml:space="preserve">Trámite del </w:t>
      </w:r>
      <w:r w:rsidR="004459C8" w:rsidRPr="00AC17E4">
        <w:rPr>
          <w:rFonts w:ascii="Palatino Linotype" w:hAnsi="Palatino Linotype"/>
          <w:b/>
          <w:bCs/>
          <w:color w:val="auto"/>
          <w:sz w:val="22"/>
          <w:szCs w:val="22"/>
        </w:rPr>
        <w:t xml:space="preserve">Recurso de Revisión </w:t>
      </w:r>
      <w:r w:rsidR="004459C8" w:rsidRPr="00AC17E4">
        <w:rPr>
          <w:rFonts w:ascii="Palatino Linotype" w:eastAsia="Batang" w:hAnsi="Palatino Linotype"/>
          <w:b/>
          <w:bCs/>
          <w:color w:val="auto"/>
          <w:sz w:val="22"/>
          <w:szCs w:val="22"/>
        </w:rPr>
        <w:t>ante este Instituto</w:t>
      </w:r>
      <w:bookmarkEnd w:id="7"/>
    </w:p>
    <w:p w14:paraId="608034EF" w14:textId="77777777" w:rsidR="004459C8" w:rsidRPr="00AC17E4" w:rsidRDefault="004459C8" w:rsidP="00981A65">
      <w:pPr>
        <w:spacing w:line="360" w:lineRule="auto"/>
        <w:contextualSpacing/>
        <w:jc w:val="both"/>
        <w:rPr>
          <w:rFonts w:ascii="Palatino Linotype" w:eastAsia="Batang" w:hAnsi="Palatino Linotype" w:cs="Tahoma"/>
          <w:b/>
          <w:bCs/>
          <w:sz w:val="22"/>
          <w:szCs w:val="22"/>
        </w:rPr>
      </w:pPr>
    </w:p>
    <w:p w14:paraId="317B91D0" w14:textId="783B4E91" w:rsidR="004459C8" w:rsidRPr="00AC17E4" w:rsidRDefault="004459C8" w:rsidP="00981A65">
      <w:pPr>
        <w:spacing w:line="360" w:lineRule="auto"/>
        <w:contextualSpacing/>
        <w:jc w:val="both"/>
        <w:rPr>
          <w:rFonts w:ascii="Palatino Linotype" w:eastAsia="Batang" w:hAnsi="Palatino Linotype" w:cs="Tahoma"/>
          <w:bCs/>
          <w:sz w:val="22"/>
          <w:szCs w:val="22"/>
        </w:rPr>
      </w:pPr>
      <w:r w:rsidRPr="00AC17E4">
        <w:rPr>
          <w:rFonts w:ascii="Palatino Linotype" w:hAnsi="Palatino Linotype"/>
          <w:b/>
          <w:bCs/>
          <w:sz w:val="22"/>
          <w:szCs w:val="22"/>
        </w:rPr>
        <w:t xml:space="preserve">a) Turno del Recurso de Revisión. </w:t>
      </w:r>
      <w:r w:rsidRPr="00AC17E4">
        <w:rPr>
          <w:rFonts w:ascii="Palatino Linotype" w:eastAsia="Batang" w:hAnsi="Palatino Linotype" w:cs="Tahoma"/>
          <w:bCs/>
          <w:sz w:val="22"/>
          <w:szCs w:val="22"/>
          <w:lang w:val="es-ES_tradnl"/>
        </w:rPr>
        <w:t xml:space="preserve">El </w:t>
      </w:r>
      <w:r w:rsidR="00320619">
        <w:rPr>
          <w:rFonts w:ascii="Palatino Linotype" w:hAnsi="Palatino Linotype" w:cs="Tahoma"/>
          <w:sz w:val="22"/>
          <w:szCs w:val="22"/>
        </w:rPr>
        <w:t>veintisiete</w:t>
      </w:r>
      <w:r w:rsidR="00C91133">
        <w:rPr>
          <w:rFonts w:ascii="Palatino Linotype" w:hAnsi="Palatino Linotype" w:cs="Tahoma"/>
          <w:sz w:val="22"/>
          <w:szCs w:val="22"/>
        </w:rPr>
        <w:t xml:space="preserve"> de </w:t>
      </w:r>
      <w:r w:rsidR="00320619">
        <w:rPr>
          <w:rFonts w:ascii="Palatino Linotype" w:hAnsi="Palatino Linotype" w:cs="Tahoma"/>
          <w:sz w:val="22"/>
          <w:szCs w:val="22"/>
        </w:rPr>
        <w:t>febrero</w:t>
      </w:r>
      <w:r>
        <w:rPr>
          <w:rFonts w:ascii="Palatino Linotype" w:hAnsi="Palatino Linotype" w:cs="Tahoma"/>
          <w:sz w:val="22"/>
          <w:szCs w:val="22"/>
        </w:rPr>
        <w:t xml:space="preserve"> </w:t>
      </w:r>
      <w:r w:rsidRPr="00AC17E4">
        <w:rPr>
          <w:rFonts w:ascii="Palatino Linotype" w:hAnsi="Palatino Linotype" w:cs="Tahoma"/>
          <w:sz w:val="22"/>
          <w:szCs w:val="22"/>
        </w:rPr>
        <w:t xml:space="preserve">de dos mil </w:t>
      </w:r>
      <w:r w:rsidR="00A4377C">
        <w:rPr>
          <w:rFonts w:ascii="Palatino Linotype" w:hAnsi="Palatino Linotype" w:cs="Tahoma"/>
          <w:sz w:val="22"/>
          <w:szCs w:val="22"/>
        </w:rPr>
        <w:t>veintiséis</w:t>
      </w:r>
      <w:r w:rsidRPr="00AC17E4">
        <w:rPr>
          <w:rFonts w:ascii="Palatino Linotype" w:eastAsia="Batang" w:hAnsi="Palatino Linotype" w:cs="Tahoma"/>
          <w:bCs/>
          <w:sz w:val="22"/>
          <w:szCs w:val="22"/>
          <w:lang w:val="es-ES_tradnl"/>
        </w:rPr>
        <w:t xml:space="preserve">, el SAIMEX, asignó </w:t>
      </w:r>
      <w:r w:rsidR="00C91133">
        <w:rPr>
          <w:rFonts w:ascii="Palatino Linotype" w:eastAsia="Batang" w:hAnsi="Palatino Linotype" w:cs="Tahoma"/>
          <w:bCs/>
          <w:sz w:val="22"/>
          <w:szCs w:val="22"/>
          <w:lang w:val="es-ES_tradnl"/>
        </w:rPr>
        <w:t>el número</w:t>
      </w:r>
      <w:r w:rsidRPr="00AC17E4">
        <w:rPr>
          <w:rFonts w:ascii="Palatino Linotype" w:eastAsia="Batang" w:hAnsi="Palatino Linotype" w:cs="Tahoma"/>
          <w:bCs/>
          <w:sz w:val="22"/>
          <w:szCs w:val="22"/>
          <w:lang w:val="es-ES_tradnl"/>
        </w:rPr>
        <w:t xml:space="preserve"> de expediente </w:t>
      </w:r>
      <w:r w:rsidR="00A73B99" w:rsidRPr="00A73B99">
        <w:rPr>
          <w:rFonts w:ascii="Palatino Linotype" w:eastAsia="Batang" w:hAnsi="Palatino Linotype" w:cs="Tahoma"/>
          <w:b/>
          <w:sz w:val="22"/>
          <w:szCs w:val="22"/>
          <w:lang w:val="es-ES_tradnl"/>
        </w:rPr>
        <w:t>02766/INFOEM/IP/RR/2026</w:t>
      </w:r>
      <w:r w:rsidRPr="00AC17E4">
        <w:rPr>
          <w:rFonts w:ascii="Palatino Linotype" w:eastAsia="Batang" w:hAnsi="Palatino Linotype" w:cs="Tahoma"/>
          <w:bCs/>
          <w:sz w:val="22"/>
          <w:szCs w:val="22"/>
          <w:lang w:val="es-ES_tradnl"/>
        </w:rPr>
        <w:t xml:space="preserve"> a</w:t>
      </w:r>
      <w:r w:rsidR="00C91133">
        <w:rPr>
          <w:rFonts w:ascii="Palatino Linotype" w:eastAsia="Batang" w:hAnsi="Palatino Linotype" w:cs="Tahoma"/>
          <w:bCs/>
          <w:sz w:val="22"/>
          <w:szCs w:val="22"/>
          <w:lang w:val="es-ES_tradnl"/>
        </w:rPr>
        <w:t>l</w:t>
      </w:r>
      <w:r w:rsidRPr="00AC17E4">
        <w:rPr>
          <w:rFonts w:ascii="Palatino Linotype" w:eastAsia="Batang" w:hAnsi="Palatino Linotype" w:cs="Tahoma"/>
          <w:bCs/>
          <w:sz w:val="22"/>
          <w:szCs w:val="22"/>
          <w:lang w:val="es-ES_tradnl"/>
        </w:rPr>
        <w:t xml:space="preserve"> medio de impugnación que nos ocupa, con base en el sistema aprobado por el Pleno de este Organismo Garante y lo</w:t>
      </w:r>
      <w:r w:rsidR="009D5799">
        <w:rPr>
          <w:rFonts w:ascii="Palatino Linotype" w:eastAsia="Batang" w:hAnsi="Palatino Linotype" w:cs="Tahoma"/>
          <w:bCs/>
          <w:sz w:val="22"/>
          <w:szCs w:val="22"/>
          <w:lang w:val="es-ES_tradnl"/>
        </w:rPr>
        <w:t>s</w:t>
      </w:r>
      <w:r w:rsidRPr="00AC17E4">
        <w:rPr>
          <w:rFonts w:ascii="Palatino Linotype" w:eastAsia="Batang" w:hAnsi="Palatino Linotype" w:cs="Tahoma"/>
          <w:bCs/>
          <w:sz w:val="22"/>
          <w:szCs w:val="22"/>
          <w:lang w:val="es-ES_tradnl"/>
        </w:rPr>
        <w:t xml:space="preserve"> turnó a</w:t>
      </w:r>
      <w:r w:rsidR="009D5799">
        <w:rPr>
          <w:rFonts w:ascii="Palatino Linotype" w:eastAsia="Batang" w:hAnsi="Palatino Linotype" w:cs="Tahoma"/>
          <w:bCs/>
          <w:sz w:val="22"/>
          <w:szCs w:val="22"/>
          <w:lang w:val="es-ES_tradnl"/>
        </w:rPr>
        <w:t xml:space="preserve"> </w:t>
      </w:r>
      <w:r w:rsidRPr="00AC17E4">
        <w:rPr>
          <w:rFonts w:ascii="Palatino Linotype" w:eastAsia="Batang" w:hAnsi="Palatino Linotype" w:cs="Tahoma"/>
          <w:bCs/>
          <w:sz w:val="22"/>
          <w:szCs w:val="22"/>
          <w:lang w:val="es-ES_tradnl"/>
        </w:rPr>
        <w:t>l</w:t>
      </w:r>
      <w:r w:rsidR="009D5799">
        <w:rPr>
          <w:rFonts w:ascii="Palatino Linotype" w:eastAsia="Batang" w:hAnsi="Palatino Linotype" w:cs="Tahoma"/>
          <w:bCs/>
          <w:sz w:val="22"/>
          <w:szCs w:val="22"/>
          <w:lang w:val="es-ES_tradnl"/>
        </w:rPr>
        <w:t>os</w:t>
      </w:r>
      <w:r w:rsidRPr="00AC17E4">
        <w:rPr>
          <w:rFonts w:ascii="Palatino Linotype" w:eastAsia="Batang" w:hAnsi="Palatino Linotype" w:cs="Tahoma"/>
          <w:bCs/>
          <w:sz w:val="22"/>
          <w:szCs w:val="22"/>
          <w:lang w:val="es-ES_tradnl"/>
        </w:rPr>
        <w:t xml:space="preserve"> Comisionado</w:t>
      </w:r>
      <w:r w:rsidR="009D5799">
        <w:rPr>
          <w:rFonts w:ascii="Palatino Linotype" w:eastAsia="Batang" w:hAnsi="Palatino Linotype" w:cs="Tahoma"/>
          <w:bCs/>
          <w:sz w:val="22"/>
          <w:szCs w:val="22"/>
          <w:lang w:val="es-ES_tradnl"/>
        </w:rPr>
        <w:t>s</w:t>
      </w:r>
      <w:r w:rsidRPr="00AC17E4">
        <w:rPr>
          <w:rFonts w:ascii="Palatino Linotype" w:eastAsia="Batang" w:hAnsi="Palatino Linotype" w:cs="Tahoma"/>
          <w:bCs/>
          <w:sz w:val="22"/>
          <w:szCs w:val="22"/>
          <w:lang w:val="es-ES_tradnl"/>
        </w:rPr>
        <w:t xml:space="preserve"> </w:t>
      </w:r>
      <w:r w:rsidRPr="00AC17E4">
        <w:rPr>
          <w:rFonts w:ascii="Palatino Linotype" w:eastAsia="Batang" w:hAnsi="Palatino Linotype" w:cs="Tahoma"/>
          <w:b/>
          <w:sz w:val="22"/>
          <w:szCs w:val="22"/>
          <w:lang w:val="es-ES_tradnl"/>
        </w:rPr>
        <w:t>Luis Gustavo Parra Noriega</w:t>
      </w:r>
      <w:r w:rsidRPr="00AC17E4">
        <w:rPr>
          <w:rFonts w:ascii="Palatino Linotype" w:eastAsia="Batang" w:hAnsi="Palatino Linotype" w:cs="Tahoma"/>
          <w:bCs/>
          <w:sz w:val="22"/>
          <w:szCs w:val="22"/>
          <w:lang w:val="es-ES_tradnl"/>
        </w:rPr>
        <w:t>,</w:t>
      </w:r>
      <w:r w:rsidR="00C91133">
        <w:rPr>
          <w:rFonts w:ascii="Palatino Linotype" w:eastAsia="Batang" w:hAnsi="Palatino Linotype" w:cs="Tahoma"/>
          <w:bCs/>
          <w:sz w:val="22"/>
          <w:szCs w:val="22"/>
          <w:lang w:val="es-ES_tradnl"/>
        </w:rPr>
        <w:t xml:space="preserve"> </w:t>
      </w:r>
      <w:r w:rsidRPr="00AC17E4">
        <w:rPr>
          <w:rFonts w:ascii="Palatino Linotype" w:eastAsia="Batang" w:hAnsi="Palatino Linotype" w:cs="Tahoma"/>
          <w:bCs/>
          <w:sz w:val="22"/>
          <w:szCs w:val="22"/>
          <w:lang w:val="es-ES_tradnl"/>
        </w:rPr>
        <w:t>para los efectos del artículo 185, fracción I, de la Ley de Transparencia y Acceso a la Información Pública del Estado de México y Municipios.</w:t>
      </w:r>
    </w:p>
    <w:p w14:paraId="6C959BFF" w14:textId="77777777" w:rsidR="004459C8" w:rsidRPr="00AC17E4" w:rsidRDefault="004459C8" w:rsidP="00981A65">
      <w:pPr>
        <w:spacing w:line="360" w:lineRule="auto"/>
        <w:contextualSpacing/>
        <w:jc w:val="both"/>
        <w:rPr>
          <w:rFonts w:ascii="Palatino Linotype" w:eastAsia="Batang" w:hAnsi="Palatino Linotype" w:cs="Tahoma"/>
          <w:b/>
          <w:bCs/>
          <w:sz w:val="22"/>
          <w:szCs w:val="22"/>
        </w:rPr>
      </w:pPr>
    </w:p>
    <w:p w14:paraId="428E71C2" w14:textId="3B02AF34" w:rsidR="004459C8" w:rsidRPr="00AC17E4" w:rsidRDefault="004459C8" w:rsidP="00981A65">
      <w:pPr>
        <w:spacing w:line="360" w:lineRule="auto"/>
        <w:contextualSpacing/>
        <w:jc w:val="both"/>
        <w:rPr>
          <w:rFonts w:ascii="Palatino Linotype" w:eastAsia="Batang" w:hAnsi="Palatino Linotype" w:cs="Tahoma"/>
          <w:bCs/>
          <w:sz w:val="22"/>
          <w:szCs w:val="22"/>
          <w:lang w:val="es-ES_tradnl"/>
        </w:rPr>
      </w:pPr>
      <w:r w:rsidRPr="00AC17E4">
        <w:rPr>
          <w:rFonts w:ascii="Palatino Linotype" w:eastAsia="Batang" w:hAnsi="Palatino Linotype" w:cs="Tahoma"/>
          <w:b/>
          <w:bCs/>
          <w:sz w:val="22"/>
          <w:szCs w:val="22"/>
        </w:rPr>
        <w:t xml:space="preserve">b) Admisión del </w:t>
      </w:r>
      <w:r w:rsidRPr="00AC17E4">
        <w:rPr>
          <w:rFonts w:ascii="Palatino Linotype" w:hAnsi="Palatino Linotype" w:cs="Tahoma"/>
          <w:b/>
          <w:sz w:val="22"/>
          <w:szCs w:val="22"/>
        </w:rPr>
        <w:t>Recurso de Revisión</w:t>
      </w:r>
      <w:r w:rsidRPr="00AC17E4">
        <w:rPr>
          <w:rFonts w:ascii="Palatino Linotype" w:eastAsia="Batang" w:hAnsi="Palatino Linotype" w:cs="Tahoma"/>
          <w:b/>
          <w:bCs/>
          <w:sz w:val="22"/>
          <w:szCs w:val="22"/>
          <w:lang w:val="es-ES_tradnl"/>
        </w:rPr>
        <w:t xml:space="preserve">. </w:t>
      </w:r>
      <w:r w:rsidRPr="00AC17E4">
        <w:rPr>
          <w:rFonts w:ascii="Palatino Linotype" w:eastAsia="Batang" w:hAnsi="Palatino Linotype" w:cs="Tahoma"/>
          <w:bCs/>
          <w:sz w:val="22"/>
          <w:szCs w:val="22"/>
          <w:lang w:val="es-ES_tradnl"/>
        </w:rPr>
        <w:t xml:space="preserve">El </w:t>
      </w:r>
      <w:r w:rsidR="00A73B99">
        <w:rPr>
          <w:rFonts w:ascii="Palatino Linotype" w:eastAsia="Batang" w:hAnsi="Palatino Linotype" w:cs="Tahoma"/>
          <w:bCs/>
          <w:sz w:val="22"/>
          <w:szCs w:val="22"/>
          <w:lang w:val="es-ES_tradnl"/>
        </w:rPr>
        <w:t>cinco</w:t>
      </w:r>
      <w:r w:rsidR="00FF1CEB">
        <w:rPr>
          <w:rFonts w:ascii="Palatino Linotype" w:eastAsia="Batang" w:hAnsi="Palatino Linotype" w:cs="Tahoma"/>
          <w:bCs/>
          <w:sz w:val="22"/>
          <w:szCs w:val="22"/>
          <w:lang w:val="es-ES_tradnl"/>
        </w:rPr>
        <w:t xml:space="preserve"> de </w:t>
      </w:r>
      <w:r w:rsidR="007C452D">
        <w:rPr>
          <w:rFonts w:ascii="Palatino Linotype" w:eastAsia="Batang" w:hAnsi="Palatino Linotype" w:cs="Tahoma"/>
          <w:bCs/>
          <w:sz w:val="22"/>
          <w:szCs w:val="22"/>
          <w:lang w:val="es-ES_tradnl"/>
        </w:rPr>
        <w:t>marzo</w:t>
      </w:r>
      <w:r>
        <w:rPr>
          <w:rFonts w:ascii="Palatino Linotype" w:eastAsia="Batang" w:hAnsi="Palatino Linotype" w:cs="Tahoma"/>
          <w:bCs/>
          <w:sz w:val="22"/>
          <w:szCs w:val="22"/>
          <w:lang w:val="es-ES_tradnl"/>
        </w:rPr>
        <w:t xml:space="preserve"> </w:t>
      </w:r>
      <w:r w:rsidRPr="00AC17E4">
        <w:rPr>
          <w:rFonts w:ascii="Palatino Linotype" w:eastAsia="Batang" w:hAnsi="Palatino Linotype" w:cs="Tahoma"/>
          <w:bCs/>
          <w:sz w:val="22"/>
          <w:szCs w:val="22"/>
          <w:lang w:val="es-ES_tradnl"/>
        </w:rPr>
        <w:t xml:space="preserve">de dos mil </w:t>
      </w:r>
      <w:r w:rsidR="008910FC">
        <w:rPr>
          <w:rFonts w:ascii="Palatino Linotype" w:eastAsia="Batang" w:hAnsi="Palatino Linotype" w:cs="Tahoma"/>
          <w:bCs/>
          <w:sz w:val="22"/>
          <w:szCs w:val="22"/>
          <w:lang w:val="es-ES_tradnl"/>
        </w:rPr>
        <w:t>veintiséis</w:t>
      </w:r>
      <w:r w:rsidRPr="00AC17E4">
        <w:rPr>
          <w:rFonts w:ascii="Palatino Linotype" w:eastAsia="Batang" w:hAnsi="Palatino Linotype" w:cs="Tahoma"/>
          <w:bCs/>
          <w:sz w:val="22"/>
          <w:szCs w:val="22"/>
          <w:lang w:val="es-ES_tradnl"/>
        </w:rPr>
        <w:t xml:space="preserve">,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mismo día, a través del SAIMEX, en el que se les otorgó un plazo de siete días </w:t>
      </w:r>
      <w:r w:rsidRPr="00AC17E4">
        <w:rPr>
          <w:rFonts w:ascii="Palatino Linotype" w:eastAsia="Batang" w:hAnsi="Palatino Linotype" w:cs="Tahoma"/>
          <w:bCs/>
          <w:sz w:val="22"/>
          <w:szCs w:val="22"/>
          <w:lang w:val="es-ES_tradnl"/>
        </w:rPr>
        <w:lastRenderedPageBreak/>
        <w:t xml:space="preserve">hábiles posteriores a la misma, para que manifestaran lo que a su </w:t>
      </w:r>
      <w:proofErr w:type="spellStart"/>
      <w:r w:rsidRPr="00AC17E4">
        <w:rPr>
          <w:rFonts w:ascii="Palatino Linotype" w:eastAsia="Batang" w:hAnsi="Palatino Linotype" w:cs="Tahoma"/>
          <w:bCs/>
          <w:sz w:val="22"/>
          <w:szCs w:val="22"/>
          <w:lang w:val="es-ES_tradnl"/>
        </w:rPr>
        <w:t>derec</w:t>
      </w:r>
      <w:proofErr w:type="spellEnd"/>
      <w:r w:rsidR="00EC06DF">
        <w:rPr>
          <w:rFonts w:ascii="Palatino Linotype" w:eastAsia="Batang" w:hAnsi="Palatino Linotype" w:cs="Tahoma"/>
          <w:bCs/>
          <w:sz w:val="22"/>
          <w:szCs w:val="22"/>
          <w:lang w:val="es-ES_tradnl"/>
        </w:rPr>
        <w:t xml:space="preserve"> </w:t>
      </w:r>
      <w:proofErr w:type="spellStart"/>
      <w:r w:rsidRPr="00AC17E4">
        <w:rPr>
          <w:rFonts w:ascii="Palatino Linotype" w:eastAsia="Batang" w:hAnsi="Palatino Linotype" w:cs="Tahoma"/>
          <w:bCs/>
          <w:sz w:val="22"/>
          <w:szCs w:val="22"/>
          <w:lang w:val="es-ES_tradnl"/>
        </w:rPr>
        <w:t>ho</w:t>
      </w:r>
      <w:proofErr w:type="spellEnd"/>
      <w:r w:rsidRPr="00AC17E4">
        <w:rPr>
          <w:rFonts w:ascii="Palatino Linotype" w:eastAsia="Batang" w:hAnsi="Palatino Linotype" w:cs="Tahoma"/>
          <w:bCs/>
          <w:sz w:val="22"/>
          <w:szCs w:val="22"/>
          <w:lang w:val="es-ES_tradnl"/>
        </w:rPr>
        <w:t xml:space="preserve"> conviniera y formularan alegatos.</w:t>
      </w:r>
    </w:p>
    <w:p w14:paraId="6DAEFD82" w14:textId="77777777" w:rsidR="004459C8" w:rsidRPr="00AC17E4" w:rsidRDefault="004459C8" w:rsidP="00981A65">
      <w:pPr>
        <w:spacing w:line="360" w:lineRule="auto"/>
        <w:contextualSpacing/>
        <w:jc w:val="both"/>
        <w:rPr>
          <w:rFonts w:ascii="Palatino Linotype" w:eastAsia="Batang" w:hAnsi="Palatino Linotype" w:cs="Tahoma"/>
          <w:bCs/>
          <w:sz w:val="22"/>
          <w:szCs w:val="22"/>
          <w:lang w:val="es-ES_tradnl"/>
        </w:rPr>
      </w:pPr>
    </w:p>
    <w:p w14:paraId="2FD9AD5B" w14:textId="031AA98E" w:rsidR="004459C8" w:rsidRDefault="004459C8" w:rsidP="00FF1CEB">
      <w:pPr>
        <w:autoSpaceDE w:val="0"/>
        <w:autoSpaceDN w:val="0"/>
        <w:adjustRightInd w:val="0"/>
        <w:spacing w:line="360" w:lineRule="auto"/>
        <w:contextualSpacing/>
        <w:jc w:val="both"/>
        <w:rPr>
          <w:rFonts w:ascii="Palatino Linotype" w:hAnsi="Palatino Linotype" w:cs="Tahoma"/>
          <w:sz w:val="22"/>
          <w:szCs w:val="22"/>
        </w:rPr>
      </w:pPr>
      <w:r w:rsidRPr="00AC17E4">
        <w:rPr>
          <w:rFonts w:ascii="Palatino Linotype" w:hAnsi="Palatino Linotype" w:cs="Tahoma"/>
          <w:b/>
          <w:sz w:val="22"/>
          <w:szCs w:val="22"/>
        </w:rPr>
        <w:t>c) Informe Justificado</w:t>
      </w:r>
      <w:r w:rsidR="007679F0">
        <w:rPr>
          <w:rFonts w:ascii="Palatino Linotype" w:hAnsi="Palatino Linotype" w:cs="Tahoma"/>
          <w:b/>
          <w:sz w:val="22"/>
          <w:szCs w:val="22"/>
        </w:rPr>
        <w:t xml:space="preserve">. </w:t>
      </w:r>
      <w:r w:rsidR="007679F0" w:rsidRPr="007679F0">
        <w:rPr>
          <w:rFonts w:ascii="Palatino Linotype" w:hAnsi="Palatino Linotype" w:cs="Tahoma"/>
          <w:sz w:val="22"/>
          <w:szCs w:val="22"/>
        </w:rPr>
        <w:t xml:space="preserve">El </w:t>
      </w:r>
      <w:r w:rsidR="006C282E">
        <w:rPr>
          <w:rFonts w:ascii="Palatino Linotype" w:hAnsi="Palatino Linotype" w:cs="Tahoma"/>
          <w:sz w:val="22"/>
          <w:szCs w:val="22"/>
        </w:rPr>
        <w:t>diecisiete</w:t>
      </w:r>
      <w:r w:rsidR="007679F0" w:rsidRPr="007679F0">
        <w:rPr>
          <w:rFonts w:ascii="Palatino Linotype" w:hAnsi="Palatino Linotype" w:cs="Tahoma"/>
          <w:sz w:val="22"/>
          <w:szCs w:val="22"/>
        </w:rPr>
        <w:t xml:space="preserve"> de </w:t>
      </w:r>
      <w:r w:rsidR="00264961">
        <w:rPr>
          <w:rFonts w:ascii="Palatino Linotype" w:hAnsi="Palatino Linotype" w:cs="Tahoma"/>
          <w:sz w:val="22"/>
          <w:szCs w:val="22"/>
        </w:rPr>
        <w:t>marzo</w:t>
      </w:r>
      <w:r w:rsidR="007679F0" w:rsidRPr="007679F0">
        <w:rPr>
          <w:rFonts w:ascii="Palatino Linotype" w:hAnsi="Palatino Linotype" w:cs="Tahoma"/>
          <w:sz w:val="22"/>
          <w:szCs w:val="22"/>
        </w:rPr>
        <w:t xml:space="preserve"> de dos mil veintiséis, el Sujeto Obligado remitió </w:t>
      </w:r>
      <w:r w:rsidR="006C282E">
        <w:rPr>
          <w:rFonts w:ascii="Palatino Linotype" w:hAnsi="Palatino Linotype" w:cs="Tahoma"/>
          <w:sz w:val="22"/>
          <w:szCs w:val="22"/>
        </w:rPr>
        <w:t>dos</w:t>
      </w:r>
      <w:r w:rsidR="007679F0" w:rsidRPr="007679F0">
        <w:rPr>
          <w:rFonts w:ascii="Palatino Linotype" w:hAnsi="Palatino Linotype" w:cs="Tahoma"/>
          <w:sz w:val="22"/>
          <w:szCs w:val="22"/>
        </w:rPr>
        <w:t xml:space="preserve"> archivos que dan cuenta de la siguiente información:</w:t>
      </w:r>
    </w:p>
    <w:p w14:paraId="491BB904" w14:textId="77777777" w:rsidR="00455B26" w:rsidRDefault="00455B26" w:rsidP="00FF1CEB">
      <w:pPr>
        <w:autoSpaceDE w:val="0"/>
        <w:autoSpaceDN w:val="0"/>
        <w:adjustRightInd w:val="0"/>
        <w:spacing w:line="360" w:lineRule="auto"/>
        <w:contextualSpacing/>
        <w:jc w:val="both"/>
        <w:rPr>
          <w:rFonts w:ascii="Palatino Linotype" w:hAnsi="Palatino Linotype" w:cs="Tahoma"/>
          <w:sz w:val="22"/>
          <w:szCs w:val="22"/>
        </w:rPr>
      </w:pPr>
    </w:p>
    <w:p w14:paraId="531B5A48" w14:textId="522C4BE9" w:rsidR="00455B26" w:rsidRPr="00CF0B5E" w:rsidRDefault="00455B26" w:rsidP="00FF1CEB">
      <w:pPr>
        <w:autoSpaceDE w:val="0"/>
        <w:autoSpaceDN w:val="0"/>
        <w:adjustRightInd w:val="0"/>
        <w:spacing w:line="360" w:lineRule="auto"/>
        <w:contextualSpacing/>
        <w:jc w:val="both"/>
        <w:rPr>
          <w:rFonts w:ascii="Palatino Linotype" w:hAnsi="Palatino Linotype" w:cs="Tahoma"/>
          <w:b/>
          <w:bCs/>
          <w:sz w:val="22"/>
          <w:szCs w:val="22"/>
        </w:rPr>
      </w:pPr>
      <w:r w:rsidRPr="00CF0B5E">
        <w:rPr>
          <w:rFonts w:ascii="Palatino Linotype" w:hAnsi="Palatino Linotype" w:cs="Tahoma"/>
          <w:b/>
          <w:bCs/>
          <w:sz w:val="22"/>
          <w:szCs w:val="22"/>
        </w:rPr>
        <w:t>Anexos RR Sol 00025-26.pdf</w:t>
      </w:r>
      <w:r w:rsidR="00E40BE0">
        <w:rPr>
          <w:rFonts w:ascii="Palatino Linotype" w:hAnsi="Palatino Linotype" w:cs="Tahoma"/>
          <w:b/>
          <w:bCs/>
          <w:sz w:val="22"/>
          <w:szCs w:val="22"/>
        </w:rPr>
        <w:t xml:space="preserve">. </w:t>
      </w:r>
      <w:r w:rsidR="00E40BE0" w:rsidRPr="009B7930">
        <w:rPr>
          <w:rFonts w:ascii="Palatino Linotype" w:hAnsi="Palatino Linotype" w:cs="Tahoma"/>
          <w:sz w:val="22"/>
          <w:szCs w:val="22"/>
        </w:rPr>
        <w:t xml:space="preserve">Documento de tres fojas, </w:t>
      </w:r>
      <w:r w:rsidR="009B7930" w:rsidRPr="009B7930">
        <w:rPr>
          <w:rFonts w:ascii="Palatino Linotype" w:hAnsi="Palatino Linotype" w:cs="Tahoma"/>
          <w:sz w:val="22"/>
          <w:szCs w:val="22"/>
        </w:rPr>
        <w:t>que contiene lo siguiente:</w:t>
      </w:r>
    </w:p>
    <w:p w14:paraId="2472E512" w14:textId="77777777" w:rsidR="00455B26" w:rsidRDefault="00455B26" w:rsidP="00FF1CEB">
      <w:pPr>
        <w:autoSpaceDE w:val="0"/>
        <w:autoSpaceDN w:val="0"/>
        <w:adjustRightInd w:val="0"/>
        <w:spacing w:line="360" w:lineRule="auto"/>
        <w:contextualSpacing/>
        <w:jc w:val="both"/>
        <w:rPr>
          <w:rFonts w:ascii="Palatino Linotype" w:hAnsi="Palatino Linotype" w:cs="Tahoma"/>
          <w:sz w:val="22"/>
          <w:szCs w:val="22"/>
        </w:rPr>
      </w:pPr>
    </w:p>
    <w:p w14:paraId="28ACFA70" w14:textId="614AC182" w:rsidR="001916C2" w:rsidRDefault="001916C2" w:rsidP="00FF1CEB">
      <w:pPr>
        <w:autoSpaceDE w:val="0"/>
        <w:autoSpaceDN w:val="0"/>
        <w:adjustRightInd w:val="0"/>
        <w:spacing w:line="360" w:lineRule="auto"/>
        <w:contextualSpacing/>
        <w:jc w:val="both"/>
        <w:rPr>
          <w:rFonts w:ascii="Palatino Linotype" w:hAnsi="Palatino Linotype" w:cs="Tahoma"/>
          <w:sz w:val="22"/>
          <w:szCs w:val="22"/>
        </w:rPr>
      </w:pPr>
      <w:r w:rsidRPr="00D16B21">
        <w:rPr>
          <w:rFonts w:ascii="Palatino Linotype" w:hAnsi="Palatino Linotype" w:cs="Tahoma"/>
          <w:b/>
          <w:bCs/>
          <w:sz w:val="22"/>
          <w:szCs w:val="22"/>
        </w:rPr>
        <w:t xml:space="preserve">Foja 1. </w:t>
      </w:r>
      <w:r w:rsidR="00D16B21" w:rsidRPr="00DE35E5">
        <w:rPr>
          <w:rFonts w:ascii="Palatino Linotype" w:hAnsi="Palatino Linotype" w:cs="Tahoma"/>
          <w:sz w:val="22"/>
          <w:szCs w:val="22"/>
        </w:rPr>
        <w:t xml:space="preserve">Documento firmado por la Directora de Administración y Finanzas, </w:t>
      </w:r>
      <w:r w:rsidR="00DE35E5" w:rsidRPr="00DE35E5">
        <w:rPr>
          <w:rFonts w:ascii="Palatino Linotype" w:hAnsi="Palatino Linotype" w:cs="Tahoma"/>
          <w:sz w:val="22"/>
          <w:szCs w:val="22"/>
        </w:rPr>
        <w:t>dirigido al Suplente del Titular de la Unidad de Transparencia, en donde respondió lo siguiente:</w:t>
      </w:r>
    </w:p>
    <w:p w14:paraId="0984262B" w14:textId="77777777" w:rsidR="001357FC" w:rsidRDefault="001357FC" w:rsidP="00FF1CEB">
      <w:pPr>
        <w:autoSpaceDE w:val="0"/>
        <w:autoSpaceDN w:val="0"/>
        <w:adjustRightInd w:val="0"/>
        <w:spacing w:line="360" w:lineRule="auto"/>
        <w:contextualSpacing/>
        <w:jc w:val="both"/>
        <w:rPr>
          <w:rFonts w:ascii="Palatino Linotype" w:hAnsi="Palatino Linotype" w:cs="Tahoma"/>
          <w:sz w:val="22"/>
          <w:szCs w:val="22"/>
        </w:rPr>
      </w:pPr>
    </w:p>
    <w:p w14:paraId="2E77B38B" w14:textId="5FFE84FF" w:rsidR="001357FC" w:rsidRPr="00D95797" w:rsidRDefault="001357FC" w:rsidP="00D95797">
      <w:pPr>
        <w:spacing w:line="360" w:lineRule="auto"/>
        <w:ind w:left="567" w:right="567"/>
        <w:jc w:val="both"/>
        <w:rPr>
          <w:rFonts w:ascii="Palatino Linotype" w:hAnsi="Palatino Linotype"/>
          <w:i/>
          <w:iCs/>
          <w:color w:val="000000"/>
        </w:rPr>
      </w:pPr>
      <w:r w:rsidRPr="00D95797">
        <w:rPr>
          <w:rFonts w:ascii="Palatino Linotype" w:hAnsi="Palatino Linotype"/>
          <w:i/>
          <w:iCs/>
          <w:color w:val="000000"/>
        </w:rPr>
        <w:t>“…</w:t>
      </w:r>
    </w:p>
    <w:p w14:paraId="3563DEC7" w14:textId="5C8D31A9" w:rsidR="00D95797" w:rsidRDefault="00D95797" w:rsidP="00D95797">
      <w:pPr>
        <w:spacing w:line="360" w:lineRule="auto"/>
        <w:ind w:left="567" w:right="567"/>
        <w:jc w:val="both"/>
        <w:rPr>
          <w:rFonts w:ascii="Palatino Linotype" w:hAnsi="Palatino Linotype"/>
          <w:i/>
          <w:iCs/>
          <w:color w:val="000000"/>
        </w:rPr>
      </w:pPr>
      <w:r w:rsidRPr="00D95797">
        <w:rPr>
          <w:rFonts w:ascii="Palatino Linotype" w:hAnsi="Palatino Linotype"/>
          <w:i/>
          <w:iCs/>
          <w:color w:val="000000"/>
        </w:rPr>
        <w:t>En virtud de lo anterior y con el fin de dar cumplimiento al requerimiento formulado, me permito hacer de su conocimiento que la información proporcionada en su momento fue emitida, atendiendo de manera puntual y objetiva a lo solicitado, conforme a los datos y antecedentes que obran en nuestro conocimiento.</w:t>
      </w:r>
    </w:p>
    <w:p w14:paraId="1DA2EE70" w14:textId="77777777" w:rsidR="00471B07" w:rsidRDefault="00471B07" w:rsidP="00D95797">
      <w:pPr>
        <w:spacing w:line="360" w:lineRule="auto"/>
        <w:ind w:left="567" w:right="567"/>
        <w:jc w:val="both"/>
        <w:rPr>
          <w:rFonts w:ascii="Palatino Linotype" w:hAnsi="Palatino Linotype"/>
          <w:i/>
          <w:iCs/>
          <w:color w:val="000000"/>
        </w:rPr>
      </w:pPr>
    </w:p>
    <w:p w14:paraId="7A8E307B" w14:textId="3949C54B" w:rsidR="00471B07" w:rsidRDefault="00471B07" w:rsidP="00D95797">
      <w:pPr>
        <w:spacing w:line="360" w:lineRule="auto"/>
        <w:ind w:left="567" w:right="567"/>
        <w:jc w:val="both"/>
        <w:rPr>
          <w:rFonts w:ascii="Palatino Linotype" w:hAnsi="Palatino Linotype"/>
          <w:i/>
          <w:iCs/>
          <w:color w:val="000000"/>
        </w:rPr>
      </w:pPr>
      <w:r>
        <w:rPr>
          <w:rFonts w:ascii="Palatino Linotype" w:hAnsi="Palatino Linotype"/>
          <w:i/>
          <w:iCs/>
          <w:color w:val="000000"/>
        </w:rPr>
        <w:t xml:space="preserve">Sin más que agregar de nuestra parte, ya que no se realizó requerimiento alguno, y se desconoce el origen de la información o los elementos en los que se basa su apreciación para afirmar que lo manifestado es incorrecto o falso, ya que no se ha proporcionado evidencia concreta que desvirtúe lo previamente informado. </w:t>
      </w:r>
    </w:p>
    <w:p w14:paraId="731B5FB6" w14:textId="1D43385A" w:rsidR="00471B07" w:rsidRPr="00D95797" w:rsidRDefault="00471B07" w:rsidP="00D95797">
      <w:pPr>
        <w:spacing w:line="360" w:lineRule="auto"/>
        <w:ind w:left="567" w:right="567"/>
        <w:jc w:val="both"/>
        <w:rPr>
          <w:rFonts w:ascii="Palatino Linotype" w:hAnsi="Palatino Linotype"/>
          <w:i/>
          <w:iCs/>
          <w:color w:val="000000"/>
        </w:rPr>
      </w:pPr>
      <w:r>
        <w:rPr>
          <w:rFonts w:ascii="Palatino Linotype" w:hAnsi="Palatino Linotype"/>
          <w:i/>
          <w:iCs/>
          <w:color w:val="000000"/>
        </w:rPr>
        <w:t>…”</w:t>
      </w:r>
    </w:p>
    <w:p w14:paraId="55CDF18A" w14:textId="77777777" w:rsidR="001357FC" w:rsidRDefault="001357FC" w:rsidP="00FF1CEB">
      <w:pPr>
        <w:autoSpaceDE w:val="0"/>
        <w:autoSpaceDN w:val="0"/>
        <w:adjustRightInd w:val="0"/>
        <w:spacing w:line="360" w:lineRule="auto"/>
        <w:contextualSpacing/>
        <w:jc w:val="both"/>
        <w:rPr>
          <w:rFonts w:ascii="Palatino Linotype" w:hAnsi="Palatino Linotype" w:cs="Tahoma"/>
          <w:sz w:val="22"/>
          <w:szCs w:val="22"/>
        </w:rPr>
      </w:pPr>
    </w:p>
    <w:p w14:paraId="5F757BB2" w14:textId="359A0D70" w:rsidR="001B745D" w:rsidRDefault="00195E4F" w:rsidP="00FF1CEB">
      <w:pPr>
        <w:autoSpaceDE w:val="0"/>
        <w:autoSpaceDN w:val="0"/>
        <w:adjustRightInd w:val="0"/>
        <w:spacing w:line="360" w:lineRule="auto"/>
        <w:contextualSpacing/>
        <w:jc w:val="both"/>
        <w:rPr>
          <w:rFonts w:ascii="Palatino Linotype" w:hAnsi="Palatino Linotype" w:cs="Tahoma"/>
          <w:sz w:val="22"/>
          <w:szCs w:val="22"/>
        </w:rPr>
      </w:pPr>
      <w:r w:rsidRPr="00195E4F">
        <w:rPr>
          <w:rFonts w:ascii="Palatino Linotype" w:hAnsi="Palatino Linotype" w:cs="Tahoma"/>
          <w:b/>
          <w:bCs/>
          <w:sz w:val="22"/>
          <w:szCs w:val="22"/>
        </w:rPr>
        <w:t>Fojas 2 y 3</w:t>
      </w:r>
      <w:r>
        <w:rPr>
          <w:rFonts w:ascii="Palatino Linotype" w:hAnsi="Palatino Linotype" w:cs="Tahoma"/>
          <w:sz w:val="22"/>
          <w:szCs w:val="22"/>
        </w:rPr>
        <w:t xml:space="preserve">. Contienen </w:t>
      </w:r>
      <w:r w:rsidR="001B745D">
        <w:rPr>
          <w:rFonts w:ascii="Palatino Linotype" w:hAnsi="Palatino Linotype" w:cs="Tahoma"/>
          <w:sz w:val="22"/>
          <w:szCs w:val="22"/>
        </w:rPr>
        <w:t xml:space="preserve">un oficio del Encargado del Despacho de la Subdirección de Recursos Materiales y Servicios, en donde </w:t>
      </w:r>
      <w:r w:rsidR="00B670B5">
        <w:rPr>
          <w:rFonts w:ascii="Palatino Linotype" w:hAnsi="Palatino Linotype" w:cs="Tahoma"/>
          <w:sz w:val="22"/>
          <w:szCs w:val="22"/>
        </w:rPr>
        <w:t xml:space="preserve">le hizo del conocimiento al servidor público identificable en la solicitud las funciones a desarrollar y </w:t>
      </w:r>
      <w:r w:rsidR="001B745D">
        <w:rPr>
          <w:rFonts w:ascii="Palatino Linotype" w:hAnsi="Palatino Linotype" w:cs="Tahoma"/>
          <w:sz w:val="22"/>
          <w:szCs w:val="22"/>
        </w:rPr>
        <w:t>reprodu</w:t>
      </w:r>
      <w:r w:rsidR="00701CDB">
        <w:rPr>
          <w:rFonts w:ascii="Palatino Linotype" w:hAnsi="Palatino Linotype" w:cs="Tahoma"/>
          <w:sz w:val="22"/>
          <w:szCs w:val="22"/>
        </w:rPr>
        <w:t xml:space="preserve">jo el objetivo y funciones </w:t>
      </w:r>
      <w:r w:rsidR="00B670B5">
        <w:rPr>
          <w:rFonts w:ascii="Palatino Linotype" w:hAnsi="Palatino Linotype" w:cs="Tahoma"/>
          <w:sz w:val="22"/>
          <w:szCs w:val="22"/>
        </w:rPr>
        <w:t>contenidos en el</w:t>
      </w:r>
      <w:r w:rsidR="00142134">
        <w:rPr>
          <w:rFonts w:ascii="Palatino Linotype" w:hAnsi="Palatino Linotype" w:cs="Tahoma"/>
          <w:sz w:val="22"/>
          <w:szCs w:val="22"/>
        </w:rPr>
        <w:t xml:space="preserve"> Manual General de Organización del Sujeto Obligado</w:t>
      </w:r>
      <w:r w:rsidR="00B670B5">
        <w:rPr>
          <w:rFonts w:ascii="Palatino Linotype" w:hAnsi="Palatino Linotype" w:cs="Tahoma"/>
          <w:sz w:val="22"/>
          <w:szCs w:val="22"/>
        </w:rPr>
        <w:t>.</w:t>
      </w:r>
    </w:p>
    <w:p w14:paraId="10679358" w14:textId="3C59E365" w:rsidR="00195E4F" w:rsidRDefault="00195E4F" w:rsidP="00FF1CEB">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 </w:t>
      </w:r>
    </w:p>
    <w:p w14:paraId="3DCE3119" w14:textId="4B49EDB3" w:rsidR="00287860" w:rsidRPr="00CF0B5E" w:rsidRDefault="00455B26" w:rsidP="00FF1CEB">
      <w:pPr>
        <w:autoSpaceDE w:val="0"/>
        <w:autoSpaceDN w:val="0"/>
        <w:adjustRightInd w:val="0"/>
        <w:spacing w:line="360" w:lineRule="auto"/>
        <w:contextualSpacing/>
        <w:jc w:val="both"/>
        <w:rPr>
          <w:rFonts w:ascii="Palatino Linotype" w:hAnsi="Palatino Linotype" w:cs="Tahoma"/>
          <w:b/>
          <w:bCs/>
          <w:sz w:val="22"/>
          <w:szCs w:val="22"/>
        </w:rPr>
      </w:pPr>
      <w:r w:rsidRPr="00CF0B5E">
        <w:rPr>
          <w:rFonts w:ascii="Palatino Linotype" w:hAnsi="Palatino Linotype" w:cs="Tahoma"/>
          <w:b/>
          <w:bCs/>
          <w:sz w:val="22"/>
          <w:szCs w:val="22"/>
        </w:rPr>
        <w:lastRenderedPageBreak/>
        <w:t>Informe de Justificación Sol 00025-26.pdf</w:t>
      </w:r>
      <w:r w:rsidR="000116FA">
        <w:rPr>
          <w:rFonts w:ascii="Palatino Linotype" w:hAnsi="Palatino Linotype" w:cs="Tahoma"/>
          <w:b/>
          <w:bCs/>
          <w:sz w:val="22"/>
          <w:szCs w:val="22"/>
        </w:rPr>
        <w:t xml:space="preserve">. </w:t>
      </w:r>
      <w:r w:rsidR="000116FA" w:rsidRPr="000116FA">
        <w:rPr>
          <w:rFonts w:ascii="Palatino Linotype" w:hAnsi="Palatino Linotype" w:cs="Tahoma"/>
          <w:sz w:val="22"/>
          <w:szCs w:val="22"/>
        </w:rPr>
        <w:t>Documento de dos fojas, a través del cual, el Suplente del Titular de la Unidad de Transparencia</w:t>
      </w:r>
      <w:r w:rsidR="00B6473C">
        <w:rPr>
          <w:rFonts w:ascii="Palatino Linotype" w:hAnsi="Palatino Linotype" w:cs="Tahoma"/>
          <w:sz w:val="22"/>
          <w:szCs w:val="22"/>
        </w:rPr>
        <w:t xml:space="preserve">, refirió </w:t>
      </w:r>
      <w:r w:rsidR="00287860">
        <w:rPr>
          <w:rFonts w:ascii="Palatino Linotype" w:hAnsi="Palatino Linotype" w:cs="Tahoma"/>
          <w:sz w:val="22"/>
          <w:szCs w:val="22"/>
        </w:rPr>
        <w:t>ratificar su respuesta.</w:t>
      </w:r>
    </w:p>
    <w:p w14:paraId="2BEB9343" w14:textId="77777777" w:rsidR="007679F0" w:rsidRDefault="007679F0" w:rsidP="00FF1CEB">
      <w:pPr>
        <w:autoSpaceDE w:val="0"/>
        <w:autoSpaceDN w:val="0"/>
        <w:adjustRightInd w:val="0"/>
        <w:spacing w:line="360" w:lineRule="auto"/>
        <w:contextualSpacing/>
        <w:jc w:val="both"/>
        <w:rPr>
          <w:rFonts w:ascii="Palatino Linotype" w:hAnsi="Palatino Linotype" w:cs="Tahoma"/>
          <w:sz w:val="22"/>
          <w:szCs w:val="22"/>
        </w:rPr>
      </w:pPr>
    </w:p>
    <w:p w14:paraId="24E4E0F6" w14:textId="62BD579D" w:rsidR="00AE410D" w:rsidRPr="00AE410D" w:rsidRDefault="00AE410D" w:rsidP="00FF1CEB">
      <w:pPr>
        <w:autoSpaceDE w:val="0"/>
        <w:autoSpaceDN w:val="0"/>
        <w:adjustRightInd w:val="0"/>
        <w:spacing w:line="360" w:lineRule="auto"/>
        <w:contextualSpacing/>
        <w:jc w:val="both"/>
        <w:rPr>
          <w:rFonts w:ascii="Palatino Linotype" w:hAnsi="Palatino Linotype" w:cs="Tahoma"/>
          <w:sz w:val="22"/>
          <w:szCs w:val="22"/>
        </w:rPr>
      </w:pPr>
      <w:r w:rsidRPr="00AE410D">
        <w:rPr>
          <w:rFonts w:ascii="Palatino Linotype" w:hAnsi="Palatino Linotype" w:cs="Tahoma"/>
          <w:sz w:val="22"/>
          <w:szCs w:val="22"/>
        </w:rPr>
        <w:t>Estos archivos fueron analizados y puestos a la vista del Particular</w:t>
      </w:r>
      <w:r>
        <w:rPr>
          <w:rFonts w:ascii="Palatino Linotype" w:hAnsi="Palatino Linotype" w:cs="Tahoma"/>
          <w:sz w:val="22"/>
          <w:szCs w:val="22"/>
        </w:rPr>
        <w:t xml:space="preserve"> el veinticinco de marzo de dos mil veintiséis.</w:t>
      </w:r>
    </w:p>
    <w:p w14:paraId="0DD1A687" w14:textId="77777777" w:rsidR="007679F0" w:rsidRDefault="007679F0" w:rsidP="00FF1CEB">
      <w:pPr>
        <w:autoSpaceDE w:val="0"/>
        <w:autoSpaceDN w:val="0"/>
        <w:adjustRightInd w:val="0"/>
        <w:spacing w:line="360" w:lineRule="auto"/>
        <w:contextualSpacing/>
        <w:jc w:val="both"/>
        <w:rPr>
          <w:rFonts w:ascii="Palatino Linotype" w:hAnsi="Palatino Linotype" w:cs="Tahoma"/>
          <w:b/>
          <w:sz w:val="22"/>
          <w:szCs w:val="22"/>
        </w:rPr>
      </w:pPr>
    </w:p>
    <w:p w14:paraId="41735143" w14:textId="1945DF4D" w:rsidR="007679F0" w:rsidRDefault="002D1E89" w:rsidP="00FF1CEB">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b/>
          <w:sz w:val="22"/>
          <w:szCs w:val="22"/>
        </w:rPr>
        <w:t xml:space="preserve">d) Manifestaciones. </w:t>
      </w:r>
      <w:r w:rsidRPr="00FC7BCC">
        <w:rPr>
          <w:rFonts w:ascii="Palatino Linotype" w:hAnsi="Palatino Linotype" w:cs="Tahoma"/>
          <w:sz w:val="22"/>
          <w:szCs w:val="22"/>
        </w:rPr>
        <w:t xml:space="preserve">Transcurrido el plazo </w:t>
      </w:r>
      <w:r w:rsidR="00FC7BCC" w:rsidRPr="00FC7BCC">
        <w:rPr>
          <w:rFonts w:ascii="Palatino Linotype" w:hAnsi="Palatino Linotype" w:cs="Tahoma"/>
          <w:sz w:val="22"/>
          <w:szCs w:val="22"/>
        </w:rPr>
        <w:t>para que realizara manifestaciones el Particular fue omiso en realizar pronunciamiento alguno.</w:t>
      </w:r>
    </w:p>
    <w:p w14:paraId="7A38405F" w14:textId="77777777" w:rsidR="008910FC" w:rsidRDefault="008910FC" w:rsidP="00FF1CEB">
      <w:pPr>
        <w:autoSpaceDE w:val="0"/>
        <w:autoSpaceDN w:val="0"/>
        <w:adjustRightInd w:val="0"/>
        <w:spacing w:line="360" w:lineRule="auto"/>
        <w:contextualSpacing/>
        <w:jc w:val="both"/>
        <w:rPr>
          <w:rFonts w:ascii="Palatino Linotype" w:hAnsi="Palatino Linotype" w:cs="Tahoma"/>
          <w:sz w:val="22"/>
          <w:szCs w:val="22"/>
        </w:rPr>
      </w:pPr>
    </w:p>
    <w:p w14:paraId="4619FE00" w14:textId="20EF4354" w:rsidR="004459C8" w:rsidRPr="00967419" w:rsidRDefault="007679F0" w:rsidP="00981A65">
      <w:pPr>
        <w:spacing w:line="360" w:lineRule="auto"/>
        <w:contextualSpacing/>
        <w:jc w:val="both"/>
        <w:rPr>
          <w:rFonts w:ascii="Palatino Linotype" w:hAnsi="Palatino Linotype" w:cs="Tahoma"/>
          <w:b/>
          <w:bCs/>
          <w:sz w:val="22"/>
          <w:szCs w:val="22"/>
        </w:rPr>
      </w:pPr>
      <w:bookmarkStart w:id="8" w:name="_Hlk145410441"/>
      <w:r>
        <w:rPr>
          <w:rFonts w:ascii="Palatino Linotype" w:hAnsi="Palatino Linotype" w:cs="Tahoma"/>
          <w:b/>
          <w:bCs/>
          <w:sz w:val="22"/>
          <w:szCs w:val="22"/>
        </w:rPr>
        <w:t>f</w:t>
      </w:r>
      <w:r w:rsidR="004459C8" w:rsidRPr="00723DBE">
        <w:rPr>
          <w:rFonts w:ascii="Palatino Linotype" w:hAnsi="Palatino Linotype" w:cs="Tahoma"/>
          <w:b/>
          <w:bCs/>
          <w:sz w:val="22"/>
          <w:szCs w:val="22"/>
        </w:rPr>
        <w:t xml:space="preserve">) </w:t>
      </w:r>
      <w:r w:rsidR="004459C8" w:rsidRPr="00AC17E4">
        <w:rPr>
          <w:rFonts w:ascii="Palatino Linotype" w:hAnsi="Palatino Linotype" w:cs="Tahoma"/>
          <w:b/>
          <w:bCs/>
          <w:sz w:val="22"/>
          <w:szCs w:val="22"/>
        </w:rPr>
        <w:t>Cierre de instrucción.</w:t>
      </w:r>
      <w:r w:rsidR="004459C8" w:rsidRPr="00AC17E4">
        <w:rPr>
          <w:rFonts w:ascii="Palatino Linotype" w:hAnsi="Palatino Linotype" w:cs="Tahoma"/>
          <w:bCs/>
          <w:sz w:val="22"/>
          <w:szCs w:val="22"/>
        </w:rPr>
        <w:t xml:space="preserve"> El </w:t>
      </w:r>
      <w:r w:rsidR="00FC7BCC">
        <w:rPr>
          <w:rFonts w:ascii="Palatino Linotype" w:hAnsi="Palatino Linotype" w:cs="Tahoma"/>
          <w:bCs/>
          <w:sz w:val="22"/>
          <w:szCs w:val="22"/>
        </w:rPr>
        <w:t>siete</w:t>
      </w:r>
      <w:r w:rsidR="00FF1CEB">
        <w:rPr>
          <w:rFonts w:ascii="Palatino Linotype" w:hAnsi="Palatino Linotype" w:cs="Tahoma"/>
          <w:bCs/>
          <w:sz w:val="22"/>
          <w:szCs w:val="22"/>
        </w:rPr>
        <w:t xml:space="preserve"> de </w:t>
      </w:r>
      <w:r w:rsidR="00FC7BCC">
        <w:rPr>
          <w:rFonts w:ascii="Palatino Linotype" w:hAnsi="Palatino Linotype" w:cs="Tahoma"/>
          <w:bCs/>
          <w:sz w:val="22"/>
          <w:szCs w:val="22"/>
        </w:rPr>
        <w:t>abril</w:t>
      </w:r>
      <w:r w:rsidR="004459C8">
        <w:rPr>
          <w:rFonts w:ascii="Palatino Linotype" w:hAnsi="Palatino Linotype" w:cs="Tahoma"/>
          <w:bCs/>
          <w:sz w:val="22"/>
          <w:szCs w:val="22"/>
        </w:rPr>
        <w:t xml:space="preserve"> </w:t>
      </w:r>
      <w:r w:rsidR="004459C8" w:rsidRPr="00AC17E4">
        <w:rPr>
          <w:rFonts w:ascii="Palatino Linotype" w:hAnsi="Palatino Linotype" w:cs="Tahoma"/>
          <w:bCs/>
          <w:sz w:val="22"/>
          <w:szCs w:val="22"/>
        </w:rPr>
        <w:t xml:space="preserve">de dos mil </w:t>
      </w:r>
      <w:r w:rsidR="00897400">
        <w:rPr>
          <w:rFonts w:ascii="Palatino Linotype" w:hAnsi="Palatino Linotype" w:cs="Tahoma"/>
          <w:bCs/>
          <w:sz w:val="22"/>
          <w:szCs w:val="22"/>
        </w:rPr>
        <w:t>veintiséis</w:t>
      </w:r>
      <w:r w:rsidR="004459C8" w:rsidRPr="00AC17E4">
        <w:rPr>
          <w:rFonts w:ascii="Palatino Linotype" w:hAnsi="Palatino Linotype" w:cs="Tahoma"/>
          <w:bCs/>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4459C8" w:rsidRPr="00AC17E4">
        <w:rPr>
          <w:rFonts w:ascii="Palatino Linotype" w:hAnsi="Palatino Linotype" w:cs="Tahoma"/>
          <w:bCs/>
          <w:sz w:val="22"/>
          <w:szCs w:val="22"/>
          <w:lang w:val="es-ES"/>
        </w:rPr>
        <w:t xml:space="preserve">acto que fue notificado a las partes, mediante el SAIMEX, </w:t>
      </w:r>
      <w:r w:rsidR="00C33C8C">
        <w:rPr>
          <w:rFonts w:ascii="Palatino Linotype" w:hAnsi="Palatino Linotype" w:cs="Tahoma"/>
          <w:bCs/>
          <w:sz w:val="22"/>
          <w:szCs w:val="22"/>
          <w:lang w:val="es-ES"/>
        </w:rPr>
        <w:t>al día siguiente.</w:t>
      </w:r>
    </w:p>
    <w:bookmarkEnd w:id="8"/>
    <w:p w14:paraId="6E3220A9" w14:textId="77777777" w:rsidR="004459C8" w:rsidRPr="00AC17E4" w:rsidRDefault="004459C8" w:rsidP="00981A65">
      <w:pPr>
        <w:autoSpaceDE w:val="0"/>
        <w:autoSpaceDN w:val="0"/>
        <w:adjustRightInd w:val="0"/>
        <w:spacing w:line="360" w:lineRule="auto"/>
        <w:contextualSpacing/>
        <w:jc w:val="both"/>
        <w:rPr>
          <w:rFonts w:ascii="Palatino Linotype" w:hAnsi="Palatino Linotype" w:cs="Tahoma"/>
          <w:b/>
          <w:sz w:val="22"/>
          <w:szCs w:val="22"/>
          <w:lang w:val="es-ES"/>
        </w:rPr>
      </w:pPr>
    </w:p>
    <w:p w14:paraId="141BEB5C" w14:textId="77777777" w:rsidR="004459C8" w:rsidRPr="00AC17E4" w:rsidRDefault="004459C8" w:rsidP="00981A65">
      <w:pPr>
        <w:spacing w:line="360" w:lineRule="auto"/>
        <w:contextualSpacing/>
        <w:jc w:val="both"/>
        <w:rPr>
          <w:rFonts w:ascii="Palatino Linotype" w:hAnsi="Palatino Linotype" w:cs="Tahoma"/>
          <w:color w:val="000000"/>
          <w:sz w:val="22"/>
          <w:szCs w:val="22"/>
        </w:rPr>
      </w:pPr>
      <w:r w:rsidRPr="00AC17E4">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0E20D48F" w14:textId="77777777" w:rsidR="004459C8" w:rsidRPr="00AC17E4" w:rsidRDefault="004459C8" w:rsidP="00981A65">
      <w:pPr>
        <w:spacing w:line="360" w:lineRule="auto"/>
        <w:contextualSpacing/>
      </w:pPr>
    </w:p>
    <w:p w14:paraId="1C8724E7" w14:textId="77777777" w:rsidR="004459C8" w:rsidRPr="00AC17E4" w:rsidRDefault="004459C8" w:rsidP="00981A65">
      <w:pPr>
        <w:pStyle w:val="Ttulo1"/>
        <w:spacing w:before="0" w:after="0" w:line="360" w:lineRule="auto"/>
        <w:contextualSpacing/>
        <w:jc w:val="center"/>
        <w:rPr>
          <w:rFonts w:ascii="Palatino Linotype" w:hAnsi="Palatino Linotype"/>
          <w:b/>
          <w:bCs/>
          <w:color w:val="auto"/>
          <w:sz w:val="22"/>
          <w:szCs w:val="22"/>
        </w:rPr>
      </w:pPr>
      <w:bookmarkStart w:id="9" w:name="_Toc226637714"/>
      <w:r w:rsidRPr="00AC17E4">
        <w:rPr>
          <w:rFonts w:ascii="Palatino Linotype" w:hAnsi="Palatino Linotype"/>
          <w:b/>
          <w:bCs/>
          <w:color w:val="auto"/>
          <w:sz w:val="22"/>
          <w:szCs w:val="22"/>
        </w:rPr>
        <w:t>C O N S I D E R A N D O S</w:t>
      </w:r>
      <w:bookmarkEnd w:id="9"/>
    </w:p>
    <w:p w14:paraId="079F792E" w14:textId="77777777" w:rsidR="004459C8" w:rsidRPr="00AC17E4" w:rsidRDefault="004459C8" w:rsidP="00981A65">
      <w:pPr>
        <w:spacing w:line="360" w:lineRule="auto"/>
        <w:contextualSpacing/>
      </w:pPr>
    </w:p>
    <w:p w14:paraId="7590AD00" w14:textId="77777777" w:rsidR="004A2538" w:rsidRPr="00AC17E4" w:rsidRDefault="004A2538" w:rsidP="004A2538">
      <w:pPr>
        <w:pStyle w:val="Ttulo2"/>
        <w:spacing w:before="0" w:after="0" w:line="360" w:lineRule="auto"/>
        <w:contextualSpacing/>
        <w:rPr>
          <w:rFonts w:ascii="Palatino Linotype" w:hAnsi="Palatino Linotype"/>
          <w:b/>
          <w:bCs/>
          <w:color w:val="auto"/>
          <w:sz w:val="22"/>
          <w:szCs w:val="22"/>
        </w:rPr>
      </w:pPr>
      <w:bookmarkStart w:id="10" w:name="_Toc226637715"/>
      <w:r w:rsidRPr="00AC17E4">
        <w:rPr>
          <w:rFonts w:ascii="Palatino Linotype" w:hAnsi="Palatino Linotype"/>
          <w:b/>
          <w:bCs/>
          <w:color w:val="auto"/>
          <w:sz w:val="22"/>
          <w:szCs w:val="22"/>
        </w:rPr>
        <w:t>PRIMERO. Competencia</w:t>
      </w:r>
      <w:bookmarkEnd w:id="10"/>
    </w:p>
    <w:p w14:paraId="4A49C665" w14:textId="77777777" w:rsidR="004A2538" w:rsidRPr="00E716FF" w:rsidRDefault="004A2538" w:rsidP="004A2538">
      <w:pPr>
        <w:spacing w:line="360" w:lineRule="auto"/>
        <w:contextualSpacing/>
        <w:rPr>
          <w:rFonts w:eastAsia="Batang"/>
          <w:sz w:val="22"/>
          <w:szCs w:val="22"/>
        </w:rPr>
      </w:pPr>
    </w:p>
    <w:p w14:paraId="0B4CF207" w14:textId="77777777" w:rsidR="004A2538" w:rsidRDefault="004A2538" w:rsidP="004A2538">
      <w:pPr>
        <w:spacing w:line="360" w:lineRule="auto"/>
        <w:contextualSpacing/>
        <w:jc w:val="both"/>
        <w:rPr>
          <w:rFonts w:ascii="Palatino Linotype" w:hAnsi="Palatino Linotype" w:cs="Tahoma"/>
          <w:bCs/>
          <w:sz w:val="22"/>
          <w:szCs w:val="22"/>
        </w:rPr>
      </w:pPr>
      <w:r w:rsidRPr="008D2AEC">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w:t>
      </w:r>
      <w:r w:rsidRPr="008D2AEC">
        <w:rPr>
          <w:rFonts w:ascii="Palatino Linotype" w:hAnsi="Palatino Linotype" w:cs="Tahoma"/>
          <w:bCs/>
          <w:sz w:val="22"/>
          <w:szCs w:val="22"/>
        </w:rPr>
        <w:lastRenderedPageBreak/>
        <w:t>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1EDA826" w14:textId="77777777" w:rsidR="004A2538" w:rsidRPr="00AC17E4" w:rsidRDefault="004A2538" w:rsidP="004A2538">
      <w:pPr>
        <w:spacing w:line="360" w:lineRule="auto"/>
        <w:contextualSpacing/>
        <w:jc w:val="both"/>
        <w:rPr>
          <w:rFonts w:ascii="Palatino Linotype" w:eastAsia="Calibri" w:hAnsi="Palatino Linotype" w:cs="Tahoma"/>
          <w:bCs/>
          <w:color w:val="000000"/>
          <w:sz w:val="22"/>
          <w:szCs w:val="22"/>
          <w:lang w:eastAsia="es-ES_tradnl"/>
        </w:rPr>
      </w:pPr>
    </w:p>
    <w:p w14:paraId="355876B9" w14:textId="77777777" w:rsidR="004A2538" w:rsidRPr="00AC17E4" w:rsidRDefault="004A2538" w:rsidP="004A2538">
      <w:pPr>
        <w:pStyle w:val="Ttulo2"/>
        <w:spacing w:before="0" w:after="0" w:line="360" w:lineRule="auto"/>
        <w:contextualSpacing/>
        <w:rPr>
          <w:rFonts w:ascii="Palatino Linotype" w:hAnsi="Palatino Linotype"/>
          <w:b/>
          <w:bCs/>
          <w:color w:val="auto"/>
          <w:sz w:val="22"/>
          <w:szCs w:val="22"/>
          <w:lang w:val="es-ES"/>
        </w:rPr>
      </w:pPr>
      <w:bookmarkStart w:id="11" w:name="_Toc226637716"/>
      <w:r w:rsidRPr="00AC17E4">
        <w:rPr>
          <w:rFonts w:ascii="Palatino Linotype" w:eastAsia="Calibri" w:hAnsi="Palatino Linotype"/>
          <w:b/>
          <w:bCs/>
          <w:color w:val="auto"/>
          <w:sz w:val="22"/>
          <w:szCs w:val="22"/>
          <w:lang w:val="es-ES" w:eastAsia="es-MX"/>
        </w:rPr>
        <w:t xml:space="preserve">SEGUNDO. </w:t>
      </w:r>
      <w:r w:rsidRPr="00AC17E4">
        <w:rPr>
          <w:rFonts w:ascii="Palatino Linotype" w:hAnsi="Palatino Linotype"/>
          <w:b/>
          <w:bCs/>
          <w:color w:val="auto"/>
          <w:sz w:val="22"/>
          <w:szCs w:val="22"/>
          <w:lang w:val="es-ES"/>
        </w:rPr>
        <w:t>Causales de improcedencia y sobreseimiento</w:t>
      </w:r>
      <w:bookmarkEnd w:id="11"/>
    </w:p>
    <w:p w14:paraId="1DCF6489" w14:textId="77777777" w:rsidR="004A2538" w:rsidRPr="00AC17E4" w:rsidRDefault="004A2538" w:rsidP="004A2538">
      <w:pPr>
        <w:autoSpaceDE w:val="0"/>
        <w:autoSpaceDN w:val="0"/>
        <w:adjustRightInd w:val="0"/>
        <w:spacing w:line="360" w:lineRule="auto"/>
        <w:contextualSpacing/>
        <w:jc w:val="both"/>
        <w:rPr>
          <w:rFonts w:ascii="Palatino Linotype" w:hAnsi="Palatino Linotype" w:cs="Tahoma"/>
          <w:b/>
          <w:sz w:val="22"/>
          <w:szCs w:val="22"/>
          <w:lang w:val="es-ES"/>
        </w:rPr>
      </w:pPr>
    </w:p>
    <w:p w14:paraId="3850A0A1" w14:textId="77777777" w:rsidR="004A2538" w:rsidRPr="00AC17E4" w:rsidRDefault="004A2538" w:rsidP="004A2538">
      <w:pPr>
        <w:autoSpaceDE w:val="0"/>
        <w:autoSpaceDN w:val="0"/>
        <w:adjustRightInd w:val="0"/>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 xml:space="preserve">De las constancias que forma parte del Recurso de Revisión que se analiza, se advierte que previo al estudio del fondo de la </w:t>
      </w:r>
      <w:r w:rsidRPr="00AC17E4">
        <w:rPr>
          <w:rFonts w:ascii="Palatino Linotype" w:hAnsi="Palatino Linotype" w:cs="Tahoma"/>
          <w:i/>
          <w:sz w:val="22"/>
          <w:szCs w:val="22"/>
          <w:lang w:val="es-ES"/>
        </w:rPr>
        <w:t>litis</w:t>
      </w:r>
      <w:r w:rsidRPr="00AC17E4">
        <w:rPr>
          <w:rFonts w:ascii="Palatino Linotype" w:hAnsi="Palatino Linotype" w:cs="Tahoma"/>
          <w:sz w:val="22"/>
          <w:szCs w:val="22"/>
          <w:lang w:val="es-ES"/>
        </w:rPr>
        <w:t>, es necesario estudiar las causales de improcedencia y sobreseimiento que se adviertan, para determinar lo que en Derecho proceda.</w:t>
      </w:r>
    </w:p>
    <w:p w14:paraId="082F178F" w14:textId="77777777" w:rsidR="004A2538" w:rsidRPr="00AC17E4" w:rsidRDefault="004A2538" w:rsidP="004A2538">
      <w:pPr>
        <w:spacing w:line="360" w:lineRule="auto"/>
        <w:contextualSpacing/>
        <w:jc w:val="both"/>
        <w:rPr>
          <w:rFonts w:ascii="Palatino Linotype" w:eastAsia="Calibri" w:hAnsi="Palatino Linotype" w:cs="Tahoma"/>
          <w:b/>
          <w:color w:val="000000"/>
          <w:sz w:val="22"/>
          <w:szCs w:val="22"/>
          <w:lang w:val="es-ES" w:eastAsia="es-MX"/>
        </w:rPr>
      </w:pPr>
    </w:p>
    <w:p w14:paraId="11A77EFA" w14:textId="77777777" w:rsidR="004A2538" w:rsidRPr="00AC17E4" w:rsidRDefault="004A2538" w:rsidP="004A2538">
      <w:pPr>
        <w:spacing w:line="360" w:lineRule="auto"/>
        <w:contextualSpacing/>
        <w:jc w:val="both"/>
        <w:rPr>
          <w:rFonts w:ascii="Palatino Linotype" w:hAnsi="Palatino Linotype" w:cs="Tahoma"/>
          <w:b/>
          <w:bCs/>
          <w:sz w:val="22"/>
          <w:szCs w:val="22"/>
          <w:lang w:val="es-ES"/>
        </w:rPr>
      </w:pPr>
      <w:r w:rsidRPr="00AC17E4">
        <w:rPr>
          <w:rFonts w:ascii="Palatino Linotype" w:hAnsi="Palatino Linotype" w:cs="Tahoma"/>
          <w:b/>
          <w:bCs/>
          <w:sz w:val="22"/>
          <w:szCs w:val="22"/>
          <w:lang w:val="es-ES"/>
        </w:rPr>
        <w:t>Causales de improcedencia</w:t>
      </w:r>
    </w:p>
    <w:p w14:paraId="61BEEEDF" w14:textId="77777777" w:rsidR="004A2538" w:rsidRPr="00AC17E4" w:rsidRDefault="004A2538" w:rsidP="004A2538">
      <w:pPr>
        <w:spacing w:line="360" w:lineRule="auto"/>
        <w:contextualSpacing/>
        <w:jc w:val="both"/>
        <w:rPr>
          <w:rFonts w:ascii="Palatino Linotype" w:hAnsi="Palatino Linotype" w:cs="Tahoma"/>
          <w:sz w:val="22"/>
          <w:szCs w:val="22"/>
          <w:lang w:val="es-ES"/>
        </w:rPr>
      </w:pPr>
    </w:p>
    <w:p w14:paraId="74DEC7BC" w14:textId="77777777" w:rsidR="004A2538" w:rsidRPr="00AC17E4" w:rsidRDefault="004A2538" w:rsidP="004A2538">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1A178A0" w14:textId="77777777" w:rsidR="004A2538" w:rsidRPr="00AC17E4" w:rsidRDefault="004A2538" w:rsidP="004A2538">
      <w:pPr>
        <w:spacing w:line="360" w:lineRule="auto"/>
        <w:contextualSpacing/>
        <w:jc w:val="both"/>
        <w:rPr>
          <w:rFonts w:ascii="Palatino Linotype" w:hAnsi="Palatino Linotype" w:cs="Tahoma"/>
          <w:sz w:val="22"/>
          <w:szCs w:val="22"/>
          <w:lang w:val="es-ES"/>
        </w:rPr>
      </w:pPr>
    </w:p>
    <w:p w14:paraId="4A9D5962" w14:textId="77777777" w:rsidR="004A2538" w:rsidRPr="00AC17E4" w:rsidRDefault="004A2538" w:rsidP="004A2538">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lastRenderedPageBreak/>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117AD47A" w14:textId="77777777" w:rsidR="004A2538" w:rsidRPr="00AC17E4" w:rsidRDefault="004A2538" w:rsidP="004A2538">
      <w:pPr>
        <w:spacing w:line="360" w:lineRule="auto"/>
        <w:contextualSpacing/>
        <w:jc w:val="both"/>
        <w:rPr>
          <w:rFonts w:ascii="Palatino Linotype" w:hAnsi="Palatino Linotype" w:cs="Tahoma"/>
          <w:sz w:val="22"/>
          <w:szCs w:val="22"/>
          <w:lang w:val="es-ES"/>
        </w:rPr>
      </w:pPr>
    </w:p>
    <w:p w14:paraId="303617ED" w14:textId="77777777" w:rsidR="004A2538" w:rsidRDefault="004A2538" w:rsidP="004A2538">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 xml:space="preserve">Asimismo, se actualiza la causal de procedencia del Recurso de Revisión establecida en el artículo </w:t>
      </w:r>
      <w:r w:rsidRPr="00A75B4B">
        <w:rPr>
          <w:rFonts w:ascii="Palatino Linotype" w:hAnsi="Palatino Linotype" w:cs="Tahoma"/>
          <w:sz w:val="22"/>
          <w:szCs w:val="22"/>
          <w:lang w:val="es-ES"/>
        </w:rPr>
        <w:t>179, fracción VIII, de la Ley de</w:t>
      </w:r>
      <w:r w:rsidRPr="00AC17E4">
        <w:rPr>
          <w:rFonts w:ascii="Palatino Linotype" w:hAnsi="Palatino Linotype" w:cs="Tahoma"/>
          <w:sz w:val="22"/>
          <w:szCs w:val="22"/>
          <w:lang w:val="es-ES"/>
        </w:rPr>
        <w:t xml:space="preserve"> Transparencia y Acceso a la Información Pública del Estado de México y Municipios, </w:t>
      </w:r>
      <w:r>
        <w:rPr>
          <w:rFonts w:ascii="Palatino Linotype" w:hAnsi="Palatino Linotype" w:cs="Tahoma"/>
          <w:sz w:val="22"/>
          <w:szCs w:val="22"/>
          <w:lang w:val="es-ES"/>
        </w:rPr>
        <w:t>referente a l</w:t>
      </w:r>
      <w:r w:rsidRPr="00A75B4B">
        <w:rPr>
          <w:rFonts w:ascii="Palatino Linotype" w:hAnsi="Palatino Linotype" w:cs="Tahoma"/>
          <w:sz w:val="22"/>
          <w:szCs w:val="22"/>
          <w:lang w:val="es-ES"/>
        </w:rPr>
        <w:t>a notificación, entrega o puesta a disposición de información en una modal</w:t>
      </w:r>
      <w:r>
        <w:rPr>
          <w:rFonts w:ascii="Palatino Linotype" w:hAnsi="Palatino Linotype" w:cs="Tahoma"/>
          <w:sz w:val="22"/>
          <w:szCs w:val="22"/>
          <w:lang w:val="es-ES"/>
        </w:rPr>
        <w:t>idad o formato distinto al</w:t>
      </w:r>
      <w:r w:rsidRPr="00A75B4B">
        <w:rPr>
          <w:rFonts w:ascii="Palatino Linotype" w:hAnsi="Palatino Linotype" w:cs="Tahoma"/>
          <w:sz w:val="22"/>
          <w:szCs w:val="22"/>
          <w:lang w:val="es-ES"/>
        </w:rPr>
        <w:t xml:space="preserve"> solicitado</w:t>
      </w:r>
    </w:p>
    <w:p w14:paraId="26409D24" w14:textId="77777777" w:rsidR="004A2538" w:rsidRPr="00AC17E4" w:rsidRDefault="004A2538" w:rsidP="004A2538">
      <w:pPr>
        <w:spacing w:line="360" w:lineRule="auto"/>
        <w:contextualSpacing/>
        <w:jc w:val="both"/>
        <w:rPr>
          <w:rFonts w:ascii="Palatino Linotype" w:hAnsi="Palatino Linotype" w:cs="Tahoma"/>
          <w:sz w:val="22"/>
          <w:szCs w:val="22"/>
          <w:lang w:val="es-ES"/>
        </w:rPr>
      </w:pPr>
    </w:p>
    <w:p w14:paraId="17D930D8" w14:textId="77777777" w:rsidR="004A2538" w:rsidRPr="00AC17E4" w:rsidRDefault="004A2538" w:rsidP="004A2538">
      <w:pPr>
        <w:spacing w:line="360" w:lineRule="auto"/>
        <w:contextualSpacing/>
        <w:jc w:val="both"/>
        <w:rPr>
          <w:rFonts w:ascii="Palatino Linotype" w:hAnsi="Palatino Linotype" w:cs="Tahoma"/>
          <w:sz w:val="22"/>
          <w:szCs w:val="22"/>
        </w:rPr>
      </w:pPr>
      <w:r w:rsidRPr="00AC17E4">
        <w:rPr>
          <w:rFonts w:ascii="Palatino Linotype" w:hAnsi="Palatino Linotype" w:cs="Tahoma"/>
          <w:b/>
          <w:bCs/>
          <w:sz w:val="22"/>
          <w:szCs w:val="22"/>
        </w:rPr>
        <w:t>Causales de sobreseimiento</w:t>
      </w:r>
    </w:p>
    <w:p w14:paraId="02337BE1" w14:textId="77777777" w:rsidR="004A2538" w:rsidRPr="00AC17E4" w:rsidRDefault="004A2538" w:rsidP="004A2538">
      <w:pPr>
        <w:spacing w:line="360" w:lineRule="auto"/>
        <w:contextualSpacing/>
        <w:jc w:val="both"/>
        <w:rPr>
          <w:rFonts w:ascii="Palatino Linotype" w:hAnsi="Palatino Linotype" w:cs="Tahoma"/>
          <w:sz w:val="22"/>
          <w:szCs w:val="22"/>
        </w:rPr>
      </w:pPr>
    </w:p>
    <w:p w14:paraId="0C241D11" w14:textId="77777777" w:rsidR="004A2538" w:rsidRPr="00AC17E4" w:rsidRDefault="004A2538" w:rsidP="004A2538">
      <w:pPr>
        <w:spacing w:line="360" w:lineRule="auto"/>
        <w:contextualSpacing/>
        <w:jc w:val="both"/>
        <w:rPr>
          <w:rFonts w:ascii="Palatino Linotype" w:hAnsi="Palatino Linotype" w:cs="Tahoma"/>
          <w:sz w:val="22"/>
          <w:szCs w:val="22"/>
        </w:rPr>
      </w:pPr>
      <w:r w:rsidRPr="00AC17E4">
        <w:rPr>
          <w:rFonts w:ascii="Palatino Linotype" w:hAnsi="Palatino Linotype" w:cs="Tahoma"/>
          <w:sz w:val="22"/>
          <w:szCs w:val="22"/>
        </w:rPr>
        <w:t>Por ser de previo y especial pronunciamiento, este Instituto analiza si se actualiza alguna causal de sobreseimiento.</w:t>
      </w:r>
    </w:p>
    <w:p w14:paraId="607BBCBD" w14:textId="77777777" w:rsidR="004A2538" w:rsidRPr="00AC17E4" w:rsidRDefault="004A2538" w:rsidP="004A2538">
      <w:pPr>
        <w:spacing w:line="360" w:lineRule="auto"/>
        <w:contextualSpacing/>
        <w:jc w:val="both"/>
        <w:rPr>
          <w:rFonts w:ascii="Palatino Linotype" w:hAnsi="Palatino Linotype" w:cs="Tahoma"/>
          <w:sz w:val="22"/>
          <w:szCs w:val="22"/>
        </w:rPr>
      </w:pPr>
    </w:p>
    <w:p w14:paraId="06048BE6" w14:textId="77777777" w:rsidR="004A2538" w:rsidRPr="00AC17E4" w:rsidRDefault="004A2538" w:rsidP="004A2538">
      <w:pPr>
        <w:spacing w:line="360" w:lineRule="auto"/>
        <w:contextualSpacing/>
        <w:jc w:val="both"/>
        <w:rPr>
          <w:rFonts w:ascii="Palatino Linotype" w:hAnsi="Palatino Linotype" w:cs="Tahoma"/>
          <w:sz w:val="22"/>
          <w:szCs w:val="22"/>
        </w:rPr>
      </w:pPr>
      <w:r w:rsidRPr="00AC17E4">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7777BAA9" w14:textId="77777777" w:rsidR="004A2538" w:rsidRPr="00AC17E4" w:rsidRDefault="004A2538" w:rsidP="004A2538">
      <w:pPr>
        <w:spacing w:line="360" w:lineRule="auto"/>
        <w:contextualSpacing/>
        <w:jc w:val="both"/>
        <w:rPr>
          <w:rFonts w:ascii="Palatino Linotype" w:hAnsi="Palatino Linotype" w:cs="Tahoma"/>
          <w:sz w:val="22"/>
          <w:szCs w:val="22"/>
        </w:rPr>
      </w:pPr>
    </w:p>
    <w:p w14:paraId="4740E9DE" w14:textId="77777777" w:rsidR="004A2538" w:rsidRDefault="004A2538" w:rsidP="004A2538">
      <w:pPr>
        <w:tabs>
          <w:tab w:val="left" w:pos="4962"/>
        </w:tabs>
        <w:spacing w:line="360" w:lineRule="auto"/>
        <w:contextualSpacing/>
        <w:jc w:val="both"/>
        <w:rPr>
          <w:rFonts w:ascii="Palatino Linotype" w:hAnsi="Palatino Linotype" w:cs="Tahoma"/>
          <w:sz w:val="22"/>
          <w:szCs w:val="22"/>
          <w:lang w:val="es-ES"/>
        </w:rPr>
      </w:pPr>
      <w:r w:rsidRPr="00AC17E4">
        <w:rPr>
          <w:rFonts w:ascii="Palatino Linotype" w:hAnsi="Palatino Linotype" w:cs="Tahoma"/>
          <w:bCs/>
          <w:sz w:val="22"/>
          <w:szCs w:val="22"/>
          <w:lang w:val="es-ES"/>
        </w:rPr>
        <w:lastRenderedPageBreak/>
        <w:t xml:space="preserve">Por tales motivos, </w:t>
      </w:r>
      <w:r w:rsidRPr="00AC17E4">
        <w:rPr>
          <w:rFonts w:ascii="Palatino Linotype" w:hAnsi="Palatino Linotype" w:cs="Tahoma"/>
          <w:sz w:val="22"/>
          <w:szCs w:val="22"/>
          <w:lang w:val="es-ES"/>
        </w:rPr>
        <w:t xml:space="preserve">se considera procedente entrar al fondo del presente asunto. </w:t>
      </w:r>
    </w:p>
    <w:p w14:paraId="2058C8E2" w14:textId="77777777" w:rsidR="004A2538" w:rsidRDefault="004A2538" w:rsidP="004A2538">
      <w:pPr>
        <w:tabs>
          <w:tab w:val="left" w:pos="4962"/>
        </w:tabs>
        <w:spacing w:line="360" w:lineRule="auto"/>
        <w:contextualSpacing/>
        <w:jc w:val="both"/>
        <w:rPr>
          <w:rFonts w:ascii="Palatino Linotype" w:hAnsi="Palatino Linotype" w:cs="Tahoma"/>
          <w:sz w:val="22"/>
          <w:szCs w:val="22"/>
          <w:lang w:val="es-ES"/>
        </w:rPr>
      </w:pPr>
    </w:p>
    <w:p w14:paraId="091F5AC6" w14:textId="77777777" w:rsidR="004A2538" w:rsidRPr="00591ED8" w:rsidRDefault="004A2538" w:rsidP="004A2538">
      <w:pPr>
        <w:pStyle w:val="Ttulo2"/>
        <w:spacing w:before="0" w:after="0" w:line="360" w:lineRule="auto"/>
        <w:contextualSpacing/>
        <w:rPr>
          <w:rFonts w:ascii="Palatino Linotype" w:eastAsia="Calibri" w:hAnsi="Palatino Linotype"/>
          <w:b/>
          <w:bCs/>
          <w:color w:val="auto"/>
          <w:sz w:val="22"/>
          <w:szCs w:val="22"/>
          <w:lang w:val="es-ES" w:eastAsia="es-ES_tradnl"/>
        </w:rPr>
      </w:pPr>
      <w:bookmarkStart w:id="12" w:name="_Toc203518780"/>
      <w:bookmarkStart w:id="13" w:name="_Toc226637717"/>
      <w:r w:rsidRPr="00591ED8">
        <w:rPr>
          <w:rFonts w:ascii="Palatino Linotype" w:eastAsia="Calibri" w:hAnsi="Palatino Linotype"/>
          <w:b/>
          <w:bCs/>
          <w:color w:val="auto"/>
          <w:sz w:val="22"/>
          <w:szCs w:val="22"/>
          <w:lang w:val="es-ES" w:eastAsia="es-ES_tradnl"/>
        </w:rPr>
        <w:t>TERCERO. Determinación de la Controversia</w:t>
      </w:r>
      <w:bookmarkEnd w:id="12"/>
      <w:bookmarkEnd w:id="13"/>
    </w:p>
    <w:p w14:paraId="12EA1B26" w14:textId="77777777" w:rsidR="004A2538" w:rsidRPr="00591ED8" w:rsidRDefault="004A2538" w:rsidP="004A2538">
      <w:pPr>
        <w:spacing w:line="360" w:lineRule="auto"/>
        <w:contextualSpacing/>
        <w:jc w:val="both"/>
        <w:rPr>
          <w:rFonts w:ascii="Palatino Linotype" w:hAnsi="Palatino Linotype" w:cs="Tahoma"/>
          <w:sz w:val="22"/>
          <w:szCs w:val="22"/>
          <w:lang w:val="es-ES"/>
        </w:rPr>
      </w:pPr>
    </w:p>
    <w:p w14:paraId="38DF57F2" w14:textId="645E846A" w:rsidR="000954A3" w:rsidRPr="000954A3" w:rsidRDefault="004A2538" w:rsidP="004A2538">
      <w:pPr>
        <w:spacing w:line="360" w:lineRule="auto"/>
        <w:contextualSpacing/>
        <w:jc w:val="both"/>
        <w:rPr>
          <w:rFonts w:ascii="Palatino Linotype" w:hAnsi="Palatino Linotype" w:cs="Tahoma"/>
          <w:sz w:val="22"/>
          <w:szCs w:val="22"/>
        </w:rPr>
      </w:pPr>
      <w:r w:rsidRPr="00E56C68">
        <w:rPr>
          <w:rFonts w:ascii="Palatino Linotype" w:hAnsi="Palatino Linotype" w:cs="Tahoma"/>
          <w:sz w:val="22"/>
          <w:szCs w:val="22"/>
        </w:rPr>
        <w:t xml:space="preserve">Con el objetivo de ilustrar la controversia planteada, resulta conveniente precisar, que una vez realizado el estudio de las constancias que integran el expediente en el que se actúa, se desprende que el Particular </w:t>
      </w:r>
      <w:r w:rsidRPr="00AF7F03">
        <w:rPr>
          <w:rFonts w:ascii="Palatino Linotype" w:hAnsi="Palatino Linotype" w:cs="Tahoma"/>
          <w:sz w:val="22"/>
          <w:szCs w:val="22"/>
        </w:rPr>
        <w:t>requirió</w:t>
      </w:r>
      <w:r w:rsidR="000954A3">
        <w:rPr>
          <w:rFonts w:ascii="Palatino Linotype" w:hAnsi="Palatino Linotype" w:cs="Tahoma"/>
          <w:sz w:val="22"/>
          <w:szCs w:val="22"/>
        </w:rPr>
        <w:t xml:space="preserve">, de la </w:t>
      </w:r>
      <w:r w:rsidR="000954A3" w:rsidRPr="000954A3">
        <w:rPr>
          <w:rFonts w:ascii="Palatino Linotype" w:hAnsi="Palatino Linotype" w:cs="Tahoma"/>
          <w:sz w:val="22"/>
          <w:szCs w:val="22"/>
        </w:rPr>
        <w:t>Coordinación de Administración y Finanzas de SEIEM, lo siguiente:</w:t>
      </w:r>
    </w:p>
    <w:p w14:paraId="38AC43E2" w14:textId="77777777" w:rsidR="000954A3" w:rsidRPr="000954A3" w:rsidRDefault="000954A3" w:rsidP="004A2538">
      <w:pPr>
        <w:spacing w:line="360" w:lineRule="auto"/>
        <w:contextualSpacing/>
        <w:jc w:val="both"/>
        <w:rPr>
          <w:rFonts w:ascii="Palatino Linotype" w:hAnsi="Palatino Linotype" w:cs="Tahoma"/>
          <w:sz w:val="22"/>
          <w:szCs w:val="22"/>
        </w:rPr>
      </w:pPr>
    </w:p>
    <w:p w14:paraId="1847E057" w14:textId="77777777" w:rsidR="000954A3" w:rsidRPr="00AC472B" w:rsidRDefault="000954A3" w:rsidP="004A2538">
      <w:pPr>
        <w:spacing w:line="360" w:lineRule="auto"/>
        <w:contextualSpacing/>
        <w:jc w:val="both"/>
        <w:rPr>
          <w:rFonts w:ascii="Palatino Linotype" w:hAnsi="Palatino Linotype"/>
          <w:iCs/>
          <w:sz w:val="22"/>
          <w:szCs w:val="22"/>
          <w:lang w:eastAsia="es-MX"/>
        </w:rPr>
      </w:pPr>
      <w:r w:rsidRPr="00AC472B">
        <w:rPr>
          <w:rFonts w:ascii="Palatino Linotype" w:hAnsi="Palatino Linotype"/>
          <w:iCs/>
          <w:sz w:val="22"/>
          <w:szCs w:val="22"/>
          <w:lang w:eastAsia="es-MX"/>
        </w:rPr>
        <w:t xml:space="preserve">1. El oficio de funciones del encargado de despacho del departamento de adquisiciones Romeo Santiz Gordillo. </w:t>
      </w:r>
    </w:p>
    <w:p w14:paraId="54C9B83F" w14:textId="7D7784A0" w:rsidR="000954A3" w:rsidRPr="00AC472B" w:rsidRDefault="000954A3" w:rsidP="004A2538">
      <w:pPr>
        <w:spacing w:line="360" w:lineRule="auto"/>
        <w:contextualSpacing/>
        <w:jc w:val="both"/>
        <w:rPr>
          <w:rFonts w:ascii="Palatino Linotype" w:hAnsi="Palatino Linotype"/>
          <w:iCs/>
          <w:sz w:val="22"/>
          <w:szCs w:val="22"/>
          <w:lang w:eastAsia="es-MX"/>
        </w:rPr>
      </w:pPr>
      <w:r w:rsidRPr="00AC472B">
        <w:rPr>
          <w:rFonts w:ascii="Palatino Linotype" w:hAnsi="Palatino Linotype"/>
          <w:iCs/>
          <w:sz w:val="22"/>
          <w:szCs w:val="22"/>
          <w:lang w:eastAsia="es-MX"/>
        </w:rPr>
        <w:t xml:space="preserve">2. </w:t>
      </w:r>
      <w:r w:rsidR="00754675" w:rsidRPr="00AC472B">
        <w:rPr>
          <w:rFonts w:ascii="Palatino Linotype" w:hAnsi="Palatino Linotype"/>
          <w:iCs/>
          <w:sz w:val="22"/>
          <w:szCs w:val="22"/>
          <w:lang w:eastAsia="es-MX"/>
        </w:rPr>
        <w:t>El</w:t>
      </w:r>
      <w:r w:rsidRPr="00AC472B">
        <w:rPr>
          <w:rFonts w:ascii="Palatino Linotype" w:hAnsi="Palatino Linotype"/>
          <w:iCs/>
          <w:sz w:val="22"/>
          <w:szCs w:val="22"/>
          <w:lang w:eastAsia="es-MX"/>
        </w:rPr>
        <w:t xml:space="preserve"> expediente labora</w:t>
      </w:r>
      <w:r w:rsidR="00AC472B" w:rsidRPr="00AC472B">
        <w:rPr>
          <w:rFonts w:ascii="Palatino Linotype" w:hAnsi="Palatino Linotype"/>
          <w:iCs/>
          <w:sz w:val="22"/>
          <w:szCs w:val="22"/>
          <w:lang w:eastAsia="es-MX"/>
        </w:rPr>
        <w:t>l</w:t>
      </w:r>
      <w:r w:rsidRPr="00AC472B">
        <w:rPr>
          <w:rFonts w:ascii="Palatino Linotype" w:hAnsi="Palatino Linotype"/>
          <w:iCs/>
          <w:sz w:val="22"/>
          <w:szCs w:val="22"/>
          <w:lang w:eastAsia="es-MX"/>
        </w:rPr>
        <w:t xml:space="preserve"> de Romeo Santiz Gordillo. </w:t>
      </w:r>
    </w:p>
    <w:p w14:paraId="0580293A" w14:textId="71682D27" w:rsidR="000954A3" w:rsidRPr="00AC472B" w:rsidRDefault="000954A3" w:rsidP="004A2538">
      <w:pPr>
        <w:spacing w:line="360" w:lineRule="auto"/>
        <w:contextualSpacing/>
        <w:jc w:val="both"/>
        <w:rPr>
          <w:rFonts w:ascii="Palatino Linotype" w:hAnsi="Palatino Linotype"/>
          <w:iCs/>
          <w:sz w:val="22"/>
          <w:szCs w:val="22"/>
          <w:lang w:eastAsia="es-MX"/>
        </w:rPr>
      </w:pPr>
      <w:r w:rsidRPr="00AC472B">
        <w:rPr>
          <w:rFonts w:ascii="Palatino Linotype" w:hAnsi="Palatino Linotype"/>
          <w:iCs/>
          <w:sz w:val="22"/>
          <w:szCs w:val="22"/>
          <w:lang w:eastAsia="es-MX"/>
        </w:rPr>
        <w:t xml:space="preserve">3 El </w:t>
      </w:r>
      <w:r w:rsidR="00754675" w:rsidRPr="00AC472B">
        <w:rPr>
          <w:rFonts w:ascii="Palatino Linotype" w:hAnsi="Palatino Linotype"/>
          <w:iCs/>
          <w:sz w:val="22"/>
          <w:szCs w:val="22"/>
          <w:lang w:eastAsia="es-MX"/>
        </w:rPr>
        <w:t>número</w:t>
      </w:r>
      <w:r w:rsidRPr="00AC472B">
        <w:rPr>
          <w:rFonts w:ascii="Palatino Linotype" w:hAnsi="Palatino Linotype"/>
          <w:iCs/>
          <w:sz w:val="22"/>
          <w:szCs w:val="22"/>
          <w:lang w:eastAsia="es-MX"/>
        </w:rPr>
        <w:t xml:space="preserve"> de horas extraordinarias que percibe Romeo Santiz Gordillo. </w:t>
      </w:r>
    </w:p>
    <w:p w14:paraId="43EE0F72" w14:textId="123DFE74" w:rsidR="000954A3" w:rsidRPr="00AC472B" w:rsidRDefault="000954A3" w:rsidP="004A2538">
      <w:pPr>
        <w:spacing w:line="360" w:lineRule="auto"/>
        <w:contextualSpacing/>
        <w:jc w:val="both"/>
        <w:rPr>
          <w:rFonts w:ascii="Palatino Linotype" w:hAnsi="Palatino Linotype"/>
          <w:iCs/>
          <w:color w:val="000000"/>
          <w:sz w:val="22"/>
          <w:szCs w:val="22"/>
        </w:rPr>
      </w:pPr>
      <w:r w:rsidRPr="00AC472B">
        <w:rPr>
          <w:rFonts w:ascii="Palatino Linotype" w:hAnsi="Palatino Linotype"/>
          <w:iCs/>
          <w:sz w:val="22"/>
          <w:szCs w:val="22"/>
          <w:lang w:eastAsia="es-MX"/>
        </w:rPr>
        <w:t xml:space="preserve">4. El personal de adquisiciones que tiene </w:t>
      </w:r>
      <w:r w:rsidR="00AC472B" w:rsidRPr="00AC472B">
        <w:rPr>
          <w:rFonts w:ascii="Palatino Linotype" w:hAnsi="Palatino Linotype"/>
          <w:iCs/>
          <w:sz w:val="22"/>
          <w:szCs w:val="22"/>
          <w:lang w:eastAsia="es-MX"/>
        </w:rPr>
        <w:t>autorizado</w:t>
      </w:r>
      <w:r w:rsidRPr="00AC472B">
        <w:rPr>
          <w:rFonts w:ascii="Palatino Linotype" w:hAnsi="Palatino Linotype"/>
          <w:iCs/>
          <w:sz w:val="22"/>
          <w:szCs w:val="22"/>
          <w:lang w:eastAsia="es-MX"/>
        </w:rPr>
        <w:t xml:space="preserve"> el pago de horas extras.</w:t>
      </w:r>
    </w:p>
    <w:p w14:paraId="30BD4EA5" w14:textId="77777777" w:rsidR="000954A3" w:rsidRDefault="000954A3" w:rsidP="004A2538">
      <w:pPr>
        <w:spacing w:line="360" w:lineRule="auto"/>
        <w:contextualSpacing/>
        <w:jc w:val="both"/>
        <w:rPr>
          <w:rFonts w:ascii="Palatino Linotype" w:hAnsi="Palatino Linotype"/>
          <w:color w:val="000000"/>
          <w:sz w:val="22"/>
          <w:szCs w:val="22"/>
        </w:rPr>
      </w:pPr>
    </w:p>
    <w:p w14:paraId="21D747C8" w14:textId="6B3033F3" w:rsidR="004A2538" w:rsidRPr="00422D3B" w:rsidRDefault="004A2538" w:rsidP="004A2538">
      <w:pPr>
        <w:spacing w:line="360" w:lineRule="auto"/>
        <w:contextualSpacing/>
        <w:jc w:val="both"/>
        <w:rPr>
          <w:rFonts w:ascii="Palatino Linotype" w:eastAsia="Calibri" w:hAnsi="Palatino Linotype" w:cs="Tahoma"/>
          <w:sz w:val="22"/>
          <w:szCs w:val="22"/>
        </w:rPr>
      </w:pPr>
      <w:r w:rsidRPr="00E56C68">
        <w:rPr>
          <w:rFonts w:ascii="Palatino Linotype" w:hAnsi="Palatino Linotype"/>
          <w:color w:val="000000"/>
          <w:sz w:val="22"/>
          <w:szCs w:val="22"/>
        </w:rPr>
        <w:t>En respuesta, el Sujeto Obligado</w:t>
      </w:r>
      <w:r>
        <w:rPr>
          <w:rFonts w:ascii="Palatino Linotype" w:hAnsi="Palatino Linotype"/>
          <w:color w:val="000000"/>
          <w:sz w:val="22"/>
          <w:szCs w:val="22"/>
        </w:rPr>
        <w:t xml:space="preserve"> </w:t>
      </w:r>
      <w:r w:rsidR="00AC472B">
        <w:rPr>
          <w:rFonts w:ascii="Palatino Linotype" w:hAnsi="Palatino Linotype"/>
          <w:color w:val="000000"/>
          <w:sz w:val="22"/>
          <w:szCs w:val="22"/>
        </w:rPr>
        <w:t xml:space="preserve">refirió entregar el oficio de funciones, pero este no fue anexado, declaró que no cuenta con el expediente laboral al no ser su competencia, refirió que romeo Santiz Gordillo ni el personal de adquisiciones, tienen asignadas horas extras </w:t>
      </w:r>
      <w:r>
        <w:rPr>
          <w:rFonts w:ascii="Palatino Linotype" w:hAnsi="Palatino Linotype"/>
          <w:color w:val="000000"/>
          <w:sz w:val="22"/>
          <w:szCs w:val="22"/>
        </w:rPr>
        <w:t>; el Particular se inconformó de que la información se entregó incompleta</w:t>
      </w:r>
      <w:r w:rsidR="00AC472B">
        <w:rPr>
          <w:rFonts w:ascii="Palatino Linotype" w:hAnsi="Palatino Linotype"/>
          <w:color w:val="000000"/>
          <w:sz w:val="22"/>
          <w:szCs w:val="22"/>
        </w:rPr>
        <w:t>,</w:t>
      </w:r>
      <w:r>
        <w:rPr>
          <w:rFonts w:ascii="Palatino Linotype" w:hAnsi="Palatino Linotype"/>
          <w:color w:val="000000"/>
          <w:sz w:val="22"/>
          <w:szCs w:val="22"/>
        </w:rPr>
        <w:t xml:space="preserve"> </w:t>
      </w:r>
      <w:r w:rsidRPr="00E56C68">
        <w:rPr>
          <w:rFonts w:ascii="Palatino Linotype" w:hAnsi="Palatino Linotype" w:cs="Tahoma"/>
          <w:sz w:val="22"/>
          <w:szCs w:val="22"/>
          <w:lang w:val="es-ES"/>
        </w:rPr>
        <w:t xml:space="preserve">lo cual </w:t>
      </w:r>
      <w:r w:rsidRPr="00E56C68">
        <w:rPr>
          <w:rFonts w:ascii="Palatino Linotype" w:eastAsia="Calibri" w:hAnsi="Palatino Linotype" w:cs="Tahoma"/>
          <w:sz w:val="22"/>
          <w:szCs w:val="22"/>
        </w:rPr>
        <w:t xml:space="preserve">actualiza la causal de procedencia prevista </w:t>
      </w:r>
      <w:r>
        <w:rPr>
          <w:rFonts w:ascii="Palatino Linotype" w:eastAsia="Calibri" w:hAnsi="Palatino Linotype" w:cs="Tahoma"/>
          <w:sz w:val="22"/>
          <w:szCs w:val="22"/>
        </w:rPr>
        <w:t>en la fracción V</w:t>
      </w:r>
      <w:r w:rsidRPr="00E56C68">
        <w:rPr>
          <w:rFonts w:ascii="Palatino Linotype" w:eastAsia="Calibri" w:hAnsi="Palatino Linotype" w:cs="Tahoma"/>
          <w:sz w:val="22"/>
          <w:szCs w:val="22"/>
        </w:rPr>
        <w:t xml:space="preserve">, del artículo 179 de la </w:t>
      </w:r>
      <w:r w:rsidRPr="00422D3B">
        <w:rPr>
          <w:rFonts w:ascii="Palatino Linotype" w:eastAsia="Calibri" w:hAnsi="Palatino Linotype" w:cs="Tahoma"/>
          <w:sz w:val="22"/>
          <w:szCs w:val="22"/>
        </w:rPr>
        <w:t>Ley de Transparencia y Acceso a la Información Pública del Estado de México y Municipios que contempla que el recurso de revisión es un medio de protección que la Ley otorga a los particulares, para hacer valer su derecho de acceso a la información pública, y procederá en contra de</w:t>
      </w:r>
      <w:r>
        <w:rPr>
          <w:rFonts w:ascii="Palatino Linotype" w:eastAsia="Calibri" w:hAnsi="Palatino Linotype" w:cs="Tahoma"/>
          <w:sz w:val="22"/>
          <w:szCs w:val="22"/>
        </w:rPr>
        <w:t xml:space="preserve"> -</w:t>
      </w:r>
      <w:r w:rsidRPr="005927A8">
        <w:rPr>
          <w:rFonts w:ascii="Palatino Linotype" w:eastAsia="Calibri" w:hAnsi="Palatino Linotype" w:cs="Tahoma"/>
          <w:b/>
          <w:sz w:val="22"/>
          <w:szCs w:val="22"/>
        </w:rPr>
        <w:t>la entrega de información incompleta</w:t>
      </w:r>
      <w:r>
        <w:rPr>
          <w:rFonts w:ascii="Palatino Linotype" w:eastAsia="Calibri" w:hAnsi="Palatino Linotype" w:cs="Tahoma"/>
          <w:sz w:val="22"/>
          <w:szCs w:val="22"/>
        </w:rPr>
        <w:t>-.</w:t>
      </w:r>
    </w:p>
    <w:p w14:paraId="5AE97F5F" w14:textId="77777777" w:rsidR="004A2538" w:rsidRPr="00B71E3E" w:rsidRDefault="004A2538" w:rsidP="004A2538">
      <w:pPr>
        <w:spacing w:line="360" w:lineRule="auto"/>
        <w:contextualSpacing/>
        <w:jc w:val="both"/>
        <w:rPr>
          <w:rFonts w:ascii="Palatino Linotype" w:hAnsi="Palatino Linotype"/>
          <w:color w:val="000000"/>
          <w:sz w:val="22"/>
          <w:szCs w:val="22"/>
          <w:lang w:eastAsia="es-ES_tradnl"/>
        </w:rPr>
      </w:pPr>
    </w:p>
    <w:p w14:paraId="4AC856CC" w14:textId="77777777" w:rsidR="004A2538" w:rsidRPr="00903CC5" w:rsidRDefault="004A2538" w:rsidP="004A2538">
      <w:pPr>
        <w:pStyle w:val="Ttulo2"/>
        <w:spacing w:before="0" w:after="0" w:line="360" w:lineRule="auto"/>
        <w:contextualSpacing/>
        <w:jc w:val="both"/>
        <w:rPr>
          <w:rFonts w:ascii="Palatino Linotype" w:hAnsi="Palatino Linotype"/>
          <w:b/>
          <w:bCs/>
          <w:color w:val="auto"/>
          <w:sz w:val="22"/>
          <w:szCs w:val="22"/>
        </w:rPr>
      </w:pPr>
      <w:bookmarkStart w:id="14" w:name="_Toc199369391"/>
      <w:bookmarkStart w:id="15" w:name="_Toc203518781"/>
      <w:bookmarkStart w:id="16" w:name="_Toc226637718"/>
      <w:r w:rsidRPr="00903CC5">
        <w:rPr>
          <w:rFonts w:ascii="Palatino Linotype" w:hAnsi="Palatino Linotype"/>
          <w:b/>
          <w:bCs/>
          <w:color w:val="auto"/>
          <w:sz w:val="22"/>
          <w:szCs w:val="22"/>
          <w:lang w:val="es-ES"/>
        </w:rPr>
        <w:lastRenderedPageBreak/>
        <w:t xml:space="preserve">CUARTO. </w:t>
      </w:r>
      <w:r w:rsidRPr="00903CC5">
        <w:rPr>
          <w:rFonts w:ascii="Palatino Linotype" w:hAnsi="Palatino Linotype"/>
          <w:b/>
          <w:bCs/>
          <w:color w:val="auto"/>
          <w:sz w:val="22"/>
          <w:szCs w:val="22"/>
        </w:rPr>
        <w:t>Marco normativo aplicable en materia de transparencia y acceso a la información pública</w:t>
      </w:r>
      <w:bookmarkEnd w:id="14"/>
      <w:bookmarkEnd w:id="15"/>
      <w:bookmarkEnd w:id="16"/>
    </w:p>
    <w:p w14:paraId="02B6B08C" w14:textId="77777777" w:rsidR="004A2538" w:rsidRPr="00B71E3E" w:rsidRDefault="004A2538" w:rsidP="004A2538">
      <w:pPr>
        <w:widowControl w:val="0"/>
        <w:spacing w:line="360" w:lineRule="auto"/>
        <w:contextualSpacing/>
        <w:jc w:val="both"/>
        <w:rPr>
          <w:rFonts w:ascii="Palatino Linotype" w:hAnsi="Palatino Linotype" w:cs="Tahoma"/>
          <w:sz w:val="22"/>
          <w:szCs w:val="22"/>
          <w:lang w:eastAsia="es-MX"/>
        </w:rPr>
      </w:pPr>
    </w:p>
    <w:p w14:paraId="359F9592" w14:textId="77777777" w:rsidR="004A2538" w:rsidRDefault="004A2538" w:rsidP="004A2538">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639CA0C" w14:textId="77777777" w:rsidR="004A2538" w:rsidRPr="00B71E3E" w:rsidRDefault="004A2538" w:rsidP="004A2538">
      <w:pPr>
        <w:widowControl w:val="0"/>
        <w:spacing w:line="360" w:lineRule="auto"/>
        <w:contextualSpacing/>
        <w:jc w:val="both"/>
        <w:rPr>
          <w:rFonts w:ascii="Palatino Linotype" w:hAnsi="Palatino Linotype" w:cs="Tahoma"/>
          <w:sz w:val="22"/>
          <w:szCs w:val="22"/>
          <w:lang w:eastAsia="es-MX"/>
        </w:rPr>
      </w:pPr>
    </w:p>
    <w:p w14:paraId="32090E32" w14:textId="77777777" w:rsidR="004A2538" w:rsidRPr="00B71E3E" w:rsidRDefault="004A2538" w:rsidP="004A2538">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Por su parte, la Ley de Transparencia y Acceso a la Información Pública del Estado de México y Municipios (Reglamentaria del artículo 5° de la Constitución Local), establece lo siguiente:</w:t>
      </w:r>
    </w:p>
    <w:p w14:paraId="207253DB" w14:textId="77777777" w:rsidR="004A2538" w:rsidRDefault="004A2538" w:rsidP="004A2538">
      <w:pPr>
        <w:widowControl w:val="0"/>
        <w:spacing w:line="360" w:lineRule="auto"/>
        <w:contextualSpacing/>
        <w:jc w:val="both"/>
        <w:rPr>
          <w:rFonts w:ascii="Palatino Linotype" w:hAnsi="Palatino Linotype" w:cs="Tahoma"/>
          <w:sz w:val="22"/>
          <w:szCs w:val="22"/>
          <w:lang w:eastAsia="es-MX"/>
        </w:rPr>
      </w:pPr>
    </w:p>
    <w:p w14:paraId="5D07BB2B" w14:textId="77777777" w:rsidR="004A2538" w:rsidRDefault="004A2538" w:rsidP="004A2538">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12, que, quienes generen, recopilen, administren, manejen, procesen, archiven o conserven información pública serán responsables de la misma.</w:t>
      </w:r>
    </w:p>
    <w:p w14:paraId="0CA44CD2" w14:textId="77777777" w:rsidR="004A2538" w:rsidRPr="00B71E3E" w:rsidRDefault="004A2538" w:rsidP="004A2538">
      <w:pPr>
        <w:widowControl w:val="0"/>
        <w:spacing w:line="360" w:lineRule="auto"/>
        <w:contextualSpacing/>
        <w:jc w:val="both"/>
        <w:rPr>
          <w:rFonts w:ascii="Palatino Linotype" w:hAnsi="Palatino Linotype" w:cs="Tahoma"/>
          <w:sz w:val="22"/>
          <w:szCs w:val="22"/>
          <w:lang w:eastAsia="es-MX"/>
        </w:rPr>
      </w:pPr>
    </w:p>
    <w:p w14:paraId="1623D2DB" w14:textId="77777777" w:rsidR="004A2538" w:rsidRPr="00B71E3E" w:rsidRDefault="004A2538" w:rsidP="004A2538">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14:paraId="775CE8BB" w14:textId="77777777" w:rsidR="004A2538" w:rsidRPr="00B71E3E" w:rsidRDefault="004A2538" w:rsidP="004A2538">
      <w:pPr>
        <w:widowControl w:val="0"/>
        <w:spacing w:line="360" w:lineRule="auto"/>
        <w:contextualSpacing/>
        <w:jc w:val="both"/>
        <w:rPr>
          <w:rFonts w:ascii="Palatino Linotype" w:hAnsi="Palatino Linotype" w:cs="Tahoma"/>
          <w:sz w:val="22"/>
          <w:szCs w:val="22"/>
          <w:lang w:eastAsia="es-MX"/>
        </w:rPr>
      </w:pPr>
    </w:p>
    <w:p w14:paraId="42595195" w14:textId="77777777" w:rsidR="004A2538" w:rsidRDefault="004A2538" w:rsidP="004A2538">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79BA082" w14:textId="77777777" w:rsidR="004A2538" w:rsidRPr="00004DA0" w:rsidRDefault="004A2538" w:rsidP="004A2538">
      <w:pPr>
        <w:widowControl w:val="0"/>
        <w:spacing w:line="360" w:lineRule="auto"/>
        <w:contextualSpacing/>
        <w:jc w:val="both"/>
        <w:rPr>
          <w:rFonts w:ascii="Palatino Linotype" w:hAnsi="Palatino Linotype" w:cs="Tahoma"/>
          <w:sz w:val="22"/>
          <w:szCs w:val="22"/>
          <w:lang w:eastAsia="es-MX"/>
        </w:rPr>
      </w:pPr>
    </w:p>
    <w:p w14:paraId="2869A432" w14:textId="77777777" w:rsidR="004A2538" w:rsidRPr="00903CC5" w:rsidRDefault="004A2538" w:rsidP="004A2538">
      <w:pPr>
        <w:pStyle w:val="Ttulo2"/>
        <w:spacing w:before="0" w:after="0" w:line="360" w:lineRule="auto"/>
        <w:contextualSpacing/>
        <w:rPr>
          <w:rFonts w:ascii="Palatino Linotype" w:hAnsi="Palatino Linotype"/>
          <w:b/>
          <w:bCs/>
          <w:color w:val="auto"/>
          <w:sz w:val="22"/>
          <w:szCs w:val="22"/>
          <w:lang w:val="es-ES"/>
        </w:rPr>
      </w:pPr>
      <w:bookmarkStart w:id="17" w:name="_Toc199369392"/>
      <w:bookmarkStart w:id="18" w:name="_Toc203518782"/>
      <w:bookmarkStart w:id="19" w:name="_Toc226637719"/>
      <w:r w:rsidRPr="00903CC5">
        <w:rPr>
          <w:rFonts w:ascii="Palatino Linotype" w:hAnsi="Palatino Linotype"/>
          <w:b/>
          <w:bCs/>
          <w:color w:val="auto"/>
          <w:sz w:val="22"/>
          <w:szCs w:val="22"/>
          <w:lang w:val="es-ES"/>
        </w:rPr>
        <w:t>QUINTO. Estudio de Fondo</w:t>
      </w:r>
      <w:bookmarkEnd w:id="17"/>
      <w:bookmarkEnd w:id="18"/>
      <w:bookmarkEnd w:id="19"/>
    </w:p>
    <w:p w14:paraId="77CCED80" w14:textId="77777777" w:rsidR="004A2538" w:rsidRPr="00B71E3E" w:rsidRDefault="004A2538" w:rsidP="004A2538">
      <w:pPr>
        <w:spacing w:line="360" w:lineRule="auto"/>
        <w:contextualSpacing/>
        <w:jc w:val="both"/>
        <w:rPr>
          <w:rFonts w:ascii="Palatino Linotype" w:hAnsi="Palatino Linotype" w:cs="Tahoma"/>
          <w:b/>
          <w:sz w:val="22"/>
          <w:szCs w:val="22"/>
          <w:lang w:val="es-ES"/>
        </w:rPr>
      </w:pPr>
    </w:p>
    <w:p w14:paraId="0BC03174" w14:textId="77777777" w:rsidR="004A2538" w:rsidRDefault="004A2538" w:rsidP="004A2538">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Expuestas las posturas de las partes, se procede a realizar el análisis del agravio hecho</w:t>
      </w:r>
      <w:r>
        <w:rPr>
          <w:rFonts w:ascii="Palatino Linotype" w:hAnsi="Palatino Linotype" w:cs="Tahoma"/>
          <w:bCs/>
          <w:iCs/>
          <w:sz w:val="22"/>
          <w:szCs w:val="22"/>
        </w:rPr>
        <w:t xml:space="preserve"> valer por el ahora Recurrente</w:t>
      </w:r>
      <w:r w:rsidRPr="0032544D">
        <w:rPr>
          <w:rFonts w:ascii="Palatino Linotype" w:hAnsi="Palatino Linotype" w:cs="Tahoma"/>
          <w:bCs/>
          <w:iCs/>
          <w:sz w:val="22"/>
          <w:szCs w:val="22"/>
        </w:rPr>
        <w:t xml:space="preserve">, por lo que en principio </w:t>
      </w:r>
      <w:r>
        <w:rPr>
          <w:rFonts w:ascii="Palatino Linotype" w:hAnsi="Palatino Linotype" w:cs="Tahoma"/>
          <w:bCs/>
          <w:iCs/>
          <w:sz w:val="22"/>
          <w:szCs w:val="22"/>
        </w:rPr>
        <w:t xml:space="preserve">resulta necesario entrar al estudio de los </w:t>
      </w:r>
      <w:r>
        <w:rPr>
          <w:rFonts w:ascii="Palatino Linotype" w:hAnsi="Palatino Linotype" w:cs="Tahoma"/>
          <w:bCs/>
          <w:iCs/>
          <w:sz w:val="22"/>
          <w:szCs w:val="22"/>
        </w:rPr>
        <w:lastRenderedPageBreak/>
        <w:t>puntos controvertidos.</w:t>
      </w:r>
    </w:p>
    <w:p w14:paraId="6735DC9F" w14:textId="77777777" w:rsidR="004A2538" w:rsidRDefault="004A2538" w:rsidP="004A2538">
      <w:pPr>
        <w:widowControl w:val="0"/>
        <w:spacing w:line="360" w:lineRule="auto"/>
        <w:contextualSpacing/>
        <w:jc w:val="both"/>
        <w:rPr>
          <w:rFonts w:ascii="Palatino Linotype" w:hAnsi="Palatino Linotype" w:cs="Tahoma"/>
          <w:bCs/>
          <w:iCs/>
          <w:sz w:val="22"/>
          <w:szCs w:val="22"/>
        </w:rPr>
      </w:pPr>
    </w:p>
    <w:p w14:paraId="0B3AC5A3" w14:textId="283CEAC3" w:rsidR="004A2538" w:rsidRDefault="007B417F" w:rsidP="004A2538">
      <w:pPr>
        <w:spacing w:line="360" w:lineRule="auto"/>
        <w:contextualSpacing/>
        <w:jc w:val="both"/>
        <w:rPr>
          <w:rFonts w:ascii="Palatino Linotype" w:hAnsi="Palatino Linotype"/>
          <w:bCs/>
          <w:iCs/>
          <w:sz w:val="22"/>
          <w:szCs w:val="22"/>
        </w:rPr>
      </w:pPr>
      <w:r>
        <w:rPr>
          <w:rFonts w:ascii="Palatino Linotype" w:hAnsi="Palatino Linotype"/>
          <w:bCs/>
          <w:iCs/>
          <w:sz w:val="22"/>
          <w:szCs w:val="22"/>
        </w:rPr>
        <w:t>Al haberse inconformado</w:t>
      </w:r>
      <w:r w:rsidR="004503A8">
        <w:rPr>
          <w:rFonts w:ascii="Palatino Linotype" w:hAnsi="Palatino Linotype"/>
          <w:bCs/>
          <w:iCs/>
          <w:sz w:val="22"/>
          <w:szCs w:val="22"/>
        </w:rPr>
        <w:t xml:space="preserve"> de la totalidad de la información al expresar información incompleta en su inconformidad,</w:t>
      </w:r>
      <w:r>
        <w:rPr>
          <w:rFonts w:ascii="Palatino Linotype" w:hAnsi="Palatino Linotype"/>
          <w:bCs/>
          <w:iCs/>
          <w:sz w:val="22"/>
          <w:szCs w:val="22"/>
        </w:rPr>
        <w:t xml:space="preserve"> es necesario en primer lugar, expresar la naturaleza de la información soli</w:t>
      </w:r>
      <w:r w:rsidR="004503A8">
        <w:rPr>
          <w:rFonts w:ascii="Palatino Linotype" w:hAnsi="Palatino Linotype"/>
          <w:bCs/>
          <w:iCs/>
          <w:sz w:val="22"/>
          <w:szCs w:val="22"/>
        </w:rPr>
        <w:t>citada.</w:t>
      </w:r>
    </w:p>
    <w:p w14:paraId="2FE873AE" w14:textId="77777777" w:rsidR="00263B07" w:rsidRPr="00263B07" w:rsidRDefault="00263B07" w:rsidP="004A2538">
      <w:pPr>
        <w:spacing w:line="360" w:lineRule="auto"/>
        <w:contextualSpacing/>
        <w:jc w:val="both"/>
        <w:rPr>
          <w:rFonts w:ascii="Palatino Linotype" w:hAnsi="Palatino Linotype"/>
          <w:b/>
          <w:iCs/>
          <w:sz w:val="22"/>
          <w:szCs w:val="22"/>
        </w:rPr>
      </w:pPr>
    </w:p>
    <w:p w14:paraId="4679AC04" w14:textId="52BF1AC6" w:rsidR="00263B07" w:rsidRPr="00263B07" w:rsidRDefault="00263B07" w:rsidP="00263B07">
      <w:pPr>
        <w:pStyle w:val="Prrafodelista"/>
        <w:numPr>
          <w:ilvl w:val="0"/>
          <w:numId w:val="8"/>
        </w:numPr>
        <w:spacing w:line="360" w:lineRule="auto"/>
        <w:jc w:val="both"/>
        <w:rPr>
          <w:rFonts w:ascii="Palatino Linotype" w:hAnsi="Palatino Linotype"/>
          <w:b/>
          <w:iCs/>
          <w:sz w:val="22"/>
          <w:szCs w:val="22"/>
        </w:rPr>
      </w:pPr>
      <w:r w:rsidRPr="00263B07">
        <w:rPr>
          <w:rFonts w:ascii="Palatino Linotype" w:hAnsi="Palatino Linotype"/>
          <w:b/>
          <w:iCs/>
          <w:sz w:val="22"/>
          <w:szCs w:val="22"/>
        </w:rPr>
        <w:t>Oficio de funciones.</w:t>
      </w:r>
    </w:p>
    <w:p w14:paraId="5F81D381" w14:textId="77777777" w:rsidR="009A6CAD" w:rsidRDefault="009A6CAD" w:rsidP="004A2538">
      <w:pPr>
        <w:spacing w:line="360" w:lineRule="auto"/>
        <w:contextualSpacing/>
        <w:jc w:val="both"/>
        <w:rPr>
          <w:rFonts w:ascii="Palatino Linotype" w:hAnsi="Palatino Linotype"/>
          <w:bCs/>
          <w:iCs/>
          <w:sz w:val="22"/>
          <w:szCs w:val="22"/>
        </w:rPr>
      </w:pPr>
    </w:p>
    <w:p w14:paraId="781351F3" w14:textId="187D2D07" w:rsidR="009A6CAD" w:rsidRDefault="009A6CAD" w:rsidP="009A6CAD">
      <w:pPr>
        <w:spacing w:line="360" w:lineRule="auto"/>
        <w:contextualSpacing/>
        <w:jc w:val="both"/>
        <w:rPr>
          <w:rFonts w:ascii="Palatino Linotype" w:hAnsi="Palatino Linotype"/>
          <w:bCs/>
          <w:iCs/>
          <w:sz w:val="22"/>
          <w:szCs w:val="22"/>
        </w:rPr>
      </w:pPr>
      <w:r w:rsidRPr="009A6CAD">
        <w:rPr>
          <w:rFonts w:ascii="Palatino Linotype" w:hAnsi="Palatino Linotype"/>
          <w:bCs/>
          <w:iCs/>
          <w:sz w:val="22"/>
          <w:szCs w:val="22"/>
        </w:rPr>
        <w:t xml:space="preserve">El </w:t>
      </w:r>
      <w:r w:rsidRPr="009A6CAD">
        <w:rPr>
          <w:rFonts w:ascii="Palatino Linotype" w:hAnsi="Palatino Linotype"/>
          <w:b/>
          <w:iCs/>
          <w:sz w:val="22"/>
          <w:szCs w:val="22"/>
        </w:rPr>
        <w:t xml:space="preserve">oficio de funciones </w:t>
      </w:r>
      <w:r w:rsidRPr="009A6CAD">
        <w:rPr>
          <w:rFonts w:ascii="Palatino Linotype" w:hAnsi="Palatino Linotype"/>
          <w:bCs/>
          <w:iCs/>
          <w:sz w:val="22"/>
          <w:szCs w:val="22"/>
        </w:rPr>
        <w:t>puede entenderse como el documento administrativo mediante el cual se formaliza la asignación, delimitación y descripción de las atribuciones, responsabilidades y actividades que corresponden a un servidor público dentro de la estructura orgánica de un sujeto obligado, en atención al cargo que desempeña. Dicho instrumento constituye un elemento de gestión interna que permite operacionalizar las disposiciones contenidas en la normatividad aplicable —como leyes, reglamentos, manuales de organización y de procedimientos—, al precisar el ámbito competencial de los servidores públicos y la forma en que deben ejercer las funciones encomendadas.</w:t>
      </w:r>
    </w:p>
    <w:p w14:paraId="7D777622" w14:textId="77777777" w:rsidR="009A6CAD" w:rsidRPr="009A6CAD" w:rsidRDefault="009A6CAD" w:rsidP="009A6CAD">
      <w:pPr>
        <w:spacing w:line="360" w:lineRule="auto"/>
        <w:contextualSpacing/>
        <w:jc w:val="both"/>
        <w:rPr>
          <w:rFonts w:ascii="Palatino Linotype" w:hAnsi="Palatino Linotype"/>
          <w:bCs/>
          <w:iCs/>
          <w:sz w:val="22"/>
          <w:szCs w:val="22"/>
        </w:rPr>
      </w:pPr>
    </w:p>
    <w:p w14:paraId="183BD5D6" w14:textId="77777777" w:rsidR="009A6CAD" w:rsidRPr="009A6CAD" w:rsidRDefault="009A6CAD" w:rsidP="009A6CAD">
      <w:pPr>
        <w:spacing w:line="360" w:lineRule="auto"/>
        <w:contextualSpacing/>
        <w:jc w:val="both"/>
        <w:rPr>
          <w:rFonts w:ascii="Palatino Linotype" w:hAnsi="Palatino Linotype"/>
          <w:bCs/>
          <w:iCs/>
          <w:sz w:val="22"/>
          <w:szCs w:val="22"/>
        </w:rPr>
      </w:pPr>
      <w:r w:rsidRPr="009A6CAD">
        <w:rPr>
          <w:rFonts w:ascii="Palatino Linotype" w:hAnsi="Palatino Linotype"/>
          <w:bCs/>
          <w:iCs/>
          <w:sz w:val="22"/>
          <w:szCs w:val="22"/>
        </w:rPr>
        <w:t>Ahora bien, por su propia naturaleza, este tipo de documentos se configura como información de carácter público, en tanto se vincula directamente con el ejercicio de atribuciones conferidas a servidores públicos y con la organización y funcionamiento institucional. En ese sentido, los oficios de funciones no sólo forman parte de los archivos administrativos del sujeto obligado, sino que constituyen una manifestación del principio de transparencia en la gestión pública, al permitir conocer cómo se distribuyen y ejercen las responsabilidades dentro de la estructura gubernamental.</w:t>
      </w:r>
    </w:p>
    <w:p w14:paraId="3865B1A6" w14:textId="77777777" w:rsidR="009A6CAD" w:rsidRPr="009A6CAD" w:rsidRDefault="009A6CAD" w:rsidP="009A6CAD">
      <w:pPr>
        <w:spacing w:line="360" w:lineRule="auto"/>
        <w:contextualSpacing/>
        <w:jc w:val="both"/>
        <w:rPr>
          <w:rFonts w:ascii="Palatino Linotype" w:hAnsi="Palatino Linotype"/>
          <w:bCs/>
          <w:iCs/>
          <w:sz w:val="22"/>
          <w:szCs w:val="22"/>
        </w:rPr>
      </w:pPr>
    </w:p>
    <w:p w14:paraId="4A871E46" w14:textId="77777777" w:rsidR="009A6CAD" w:rsidRDefault="009A6CAD" w:rsidP="009A6CAD">
      <w:pPr>
        <w:spacing w:line="360" w:lineRule="auto"/>
        <w:contextualSpacing/>
        <w:jc w:val="both"/>
        <w:rPr>
          <w:rFonts w:ascii="Palatino Linotype" w:hAnsi="Palatino Linotype"/>
          <w:bCs/>
          <w:iCs/>
          <w:sz w:val="22"/>
          <w:szCs w:val="22"/>
        </w:rPr>
      </w:pPr>
      <w:r w:rsidRPr="009A6CAD">
        <w:rPr>
          <w:rFonts w:ascii="Palatino Linotype" w:hAnsi="Palatino Linotype"/>
          <w:bCs/>
          <w:iCs/>
          <w:sz w:val="22"/>
          <w:szCs w:val="22"/>
        </w:rPr>
        <w:t xml:space="preserve">Además, su publicidad se justifica en la medida en que posibilita a los particulares identificar a las unidades administrativas y servidores públicos competentes, verificar el </w:t>
      </w:r>
      <w:r w:rsidRPr="009A6CAD">
        <w:rPr>
          <w:rFonts w:ascii="Palatino Linotype" w:hAnsi="Palatino Linotype"/>
          <w:bCs/>
          <w:iCs/>
          <w:sz w:val="22"/>
          <w:szCs w:val="22"/>
        </w:rPr>
        <w:lastRenderedPageBreak/>
        <w:t>cumplimiento de sus atribuciones y, en su caso, exigir la rendición de cuentas correspondiente. Por ello, salvo que contengan información susceptible de clasificación en términos de la normativa aplicable, los oficios de funciones de mandos medios y superiores deben considerarse accesibles, al tratarse de documentos que reflejan el ejercicio de funciones públicas y la organización interna del sujeto obligado, elementos que, por regla general, se encuentran sujetos al principio de máxima publicidad.</w:t>
      </w:r>
    </w:p>
    <w:p w14:paraId="5E2457E1" w14:textId="77777777" w:rsidR="00263B07" w:rsidRDefault="00263B07" w:rsidP="009A6CAD">
      <w:pPr>
        <w:spacing w:line="360" w:lineRule="auto"/>
        <w:contextualSpacing/>
        <w:jc w:val="both"/>
        <w:rPr>
          <w:rFonts w:ascii="Palatino Linotype" w:hAnsi="Palatino Linotype"/>
          <w:bCs/>
          <w:iCs/>
          <w:sz w:val="22"/>
          <w:szCs w:val="22"/>
        </w:rPr>
      </w:pPr>
    </w:p>
    <w:p w14:paraId="79BFB5F9" w14:textId="77777777" w:rsidR="00780419" w:rsidRDefault="00780419" w:rsidP="00780419">
      <w:pPr>
        <w:widowControl w:val="0"/>
        <w:numPr>
          <w:ilvl w:val="0"/>
          <w:numId w:val="9"/>
        </w:numPr>
        <w:spacing w:line="360" w:lineRule="auto"/>
        <w:contextualSpacing/>
        <w:jc w:val="both"/>
        <w:rPr>
          <w:rFonts w:ascii="Palatino Linotype" w:hAnsi="Palatino Linotype" w:cs="Tahoma"/>
          <w:bCs/>
          <w:iCs/>
          <w:sz w:val="22"/>
          <w:szCs w:val="22"/>
        </w:rPr>
      </w:pPr>
      <w:r>
        <w:rPr>
          <w:rFonts w:ascii="Palatino Linotype" w:hAnsi="Palatino Linotype" w:cs="Tahoma"/>
          <w:b/>
          <w:iCs/>
          <w:sz w:val="22"/>
          <w:szCs w:val="22"/>
        </w:rPr>
        <w:t>Expediente laboral</w:t>
      </w:r>
    </w:p>
    <w:p w14:paraId="4939FEFF" w14:textId="77777777" w:rsidR="00144DB2" w:rsidRDefault="00144DB2" w:rsidP="009A6CAD">
      <w:pPr>
        <w:spacing w:line="360" w:lineRule="auto"/>
        <w:contextualSpacing/>
        <w:jc w:val="both"/>
        <w:rPr>
          <w:rFonts w:ascii="Palatino Linotype" w:hAnsi="Palatino Linotype"/>
          <w:bCs/>
          <w:iCs/>
          <w:sz w:val="22"/>
          <w:szCs w:val="22"/>
        </w:rPr>
      </w:pPr>
    </w:p>
    <w:p w14:paraId="46F81DFA" w14:textId="77777777" w:rsidR="00144DB2" w:rsidRPr="001B2442" w:rsidRDefault="00144DB2" w:rsidP="00144DB2">
      <w:pPr>
        <w:widowControl w:val="0"/>
        <w:spacing w:line="360" w:lineRule="auto"/>
        <w:contextualSpacing/>
        <w:jc w:val="both"/>
        <w:rPr>
          <w:rFonts w:ascii="Palatino Linotype" w:hAnsi="Palatino Linotype" w:cs="Tahoma"/>
          <w:b/>
          <w:bCs/>
          <w:iCs/>
          <w:sz w:val="22"/>
          <w:szCs w:val="22"/>
        </w:rPr>
      </w:pPr>
      <w:r w:rsidRPr="001B2442">
        <w:rPr>
          <w:rFonts w:ascii="Palatino Linotype" w:hAnsi="Palatino Linotype" w:cs="Tahoma"/>
          <w:bCs/>
          <w:iCs/>
          <w:sz w:val="22"/>
          <w:szCs w:val="22"/>
        </w:rPr>
        <w:t xml:space="preserve">Sobre el expediente laboral, el artículo 98, fracción XVII, de la Ley del Trabajo de los Servidores Públicos del Estado y Municipios, establece que es obligación de las instituciones públicas, </w:t>
      </w:r>
      <w:r w:rsidRPr="001B2442">
        <w:rPr>
          <w:rFonts w:ascii="Palatino Linotype" w:hAnsi="Palatino Linotype" w:cs="Tahoma"/>
          <w:b/>
          <w:bCs/>
          <w:iCs/>
          <w:sz w:val="22"/>
          <w:szCs w:val="22"/>
        </w:rPr>
        <w:t>integrar los expedientes de los servidores públicos.</w:t>
      </w:r>
    </w:p>
    <w:p w14:paraId="37A2E3B3" w14:textId="77777777" w:rsidR="00144DB2" w:rsidRPr="001B2442" w:rsidRDefault="00144DB2" w:rsidP="00144DB2">
      <w:pPr>
        <w:widowControl w:val="0"/>
        <w:spacing w:line="360" w:lineRule="auto"/>
        <w:contextualSpacing/>
        <w:jc w:val="both"/>
        <w:rPr>
          <w:rFonts w:ascii="Palatino Linotype" w:hAnsi="Palatino Linotype" w:cs="Tahoma"/>
          <w:b/>
          <w:bCs/>
          <w:iCs/>
          <w:sz w:val="22"/>
          <w:szCs w:val="22"/>
        </w:rPr>
      </w:pPr>
      <w:r w:rsidRPr="001B2442">
        <w:rPr>
          <w:rFonts w:ascii="Palatino Linotype" w:hAnsi="Palatino Linotype" w:cs="Tahoma"/>
          <w:b/>
          <w:bCs/>
          <w:iCs/>
          <w:sz w:val="22"/>
          <w:szCs w:val="22"/>
        </w:rPr>
        <w:t xml:space="preserve"> </w:t>
      </w:r>
    </w:p>
    <w:p w14:paraId="7F0628BC" w14:textId="77777777" w:rsidR="00144DB2" w:rsidRPr="001B2442" w:rsidRDefault="00144DB2" w:rsidP="00144DB2">
      <w:pPr>
        <w:widowControl w:val="0"/>
        <w:spacing w:line="360" w:lineRule="auto"/>
        <w:contextualSpacing/>
        <w:jc w:val="both"/>
        <w:rPr>
          <w:rFonts w:ascii="Palatino Linotype" w:hAnsi="Palatino Linotype" w:cs="Tahoma"/>
          <w:bCs/>
          <w:iCs/>
          <w:sz w:val="22"/>
          <w:szCs w:val="22"/>
        </w:rPr>
      </w:pPr>
      <w:r w:rsidRPr="001B2442">
        <w:rPr>
          <w:rFonts w:ascii="Palatino Linotype" w:hAnsi="Palatino Linotype" w:cs="Tahoma"/>
          <w:bCs/>
          <w:iCs/>
          <w:sz w:val="22"/>
          <w:szCs w:val="22"/>
        </w:rPr>
        <w:t>El artículo 47 de la Ley del Trabajo de los Servidores Públicos del Estado y Municipios, establece que para ingresar al servicio público se requieren cumplir diversos requisitos, tanto académicos, como profesionales y personales, establece que las personas que quieran ingresar al servicio público deben cumplir diversos requisitos:</w:t>
      </w:r>
    </w:p>
    <w:p w14:paraId="2A55A4EA" w14:textId="77777777" w:rsidR="00144DB2" w:rsidRPr="001B2442" w:rsidRDefault="00144DB2" w:rsidP="00144DB2">
      <w:pPr>
        <w:widowControl w:val="0"/>
        <w:spacing w:line="360" w:lineRule="auto"/>
        <w:contextualSpacing/>
        <w:jc w:val="both"/>
        <w:rPr>
          <w:rFonts w:ascii="Palatino Linotype" w:hAnsi="Palatino Linotype" w:cs="Tahoma"/>
          <w:bCs/>
          <w:iCs/>
          <w:sz w:val="22"/>
          <w:szCs w:val="22"/>
        </w:rPr>
      </w:pPr>
      <w:r w:rsidRPr="001B2442">
        <w:rPr>
          <w:rFonts w:ascii="Palatino Linotype" w:hAnsi="Palatino Linotype" w:cs="Tahoma"/>
          <w:bCs/>
          <w:iCs/>
          <w:sz w:val="22"/>
          <w:szCs w:val="22"/>
        </w:rPr>
        <w:t xml:space="preserve"> </w:t>
      </w:r>
    </w:p>
    <w:p w14:paraId="32A47F26" w14:textId="77777777" w:rsidR="00144DB2" w:rsidRPr="00635675" w:rsidRDefault="00144DB2" w:rsidP="00144DB2">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
          <w:bCs/>
          <w:i/>
          <w:iCs/>
        </w:rPr>
        <w:t>ARTÍCULO 47.</w:t>
      </w:r>
      <w:r w:rsidRPr="00635675">
        <w:rPr>
          <w:rFonts w:ascii="Palatino Linotype" w:hAnsi="Palatino Linotype" w:cs="Tahoma"/>
          <w:bCs/>
          <w:i/>
          <w:iCs/>
        </w:rPr>
        <w:t xml:space="preserve"> Para ingresar al servicio público se requiere:</w:t>
      </w:r>
    </w:p>
    <w:p w14:paraId="6BAE9BFC" w14:textId="77777777" w:rsidR="00144DB2" w:rsidRPr="00635675" w:rsidRDefault="00144DB2" w:rsidP="00144DB2">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I. Presentar una solicitud utilizando la forma oficial que se autorice por la institución pública o dependencia correspondiente, a la cual se le prohíbe incluir la fotografía de quien solicita el empleo;</w:t>
      </w:r>
    </w:p>
    <w:p w14:paraId="24A301D1" w14:textId="77777777" w:rsidR="00144DB2" w:rsidRPr="00635675" w:rsidRDefault="00144DB2" w:rsidP="00144DB2">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II. Ser de nacionalidad mexicana, con la excepción prevista en el artículo 17 de la presente ley;</w:t>
      </w:r>
    </w:p>
    <w:p w14:paraId="1C897EBA" w14:textId="77777777" w:rsidR="00144DB2" w:rsidRPr="00635675" w:rsidRDefault="00144DB2" w:rsidP="00144DB2">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III. Estar en pleno ejercicio de sus derechos civiles y políticos, en su caso;</w:t>
      </w:r>
    </w:p>
    <w:p w14:paraId="61CF6A34" w14:textId="77777777" w:rsidR="00144DB2" w:rsidRPr="00635675" w:rsidRDefault="00144DB2" w:rsidP="00144DB2">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IV. Acreditar, cuando proceda, el cumplimiento de la Ley del Servicio Militar Nacional;</w:t>
      </w:r>
    </w:p>
    <w:p w14:paraId="6D2A356A" w14:textId="77777777" w:rsidR="00144DB2" w:rsidRPr="00635675" w:rsidRDefault="00144DB2" w:rsidP="00144DB2">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V. Derogada.</w:t>
      </w:r>
    </w:p>
    <w:p w14:paraId="07500C43" w14:textId="77777777" w:rsidR="00144DB2" w:rsidRPr="00635675" w:rsidRDefault="00144DB2" w:rsidP="00144DB2">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VI. No haber sido separado anteriormente del servicio por las causas previstas en el artículo 93 de la presente ley;</w:t>
      </w:r>
    </w:p>
    <w:p w14:paraId="24F3176B" w14:textId="77777777" w:rsidR="00144DB2" w:rsidRPr="00635675" w:rsidRDefault="00144DB2" w:rsidP="00144DB2">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lastRenderedPageBreak/>
        <w:t>VII. Tener buena salud, lo que se comprobará con los certificados médicos correspondientes, en la forma en que se establezca en cada institución pública;</w:t>
      </w:r>
    </w:p>
    <w:p w14:paraId="1CD63CBD" w14:textId="77777777" w:rsidR="00144DB2" w:rsidRPr="00635675" w:rsidRDefault="00144DB2" w:rsidP="00144DB2">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VIII. Cumplir con los requisitos que se establezcan para los diferentes puestos;</w:t>
      </w:r>
    </w:p>
    <w:p w14:paraId="61E4E278" w14:textId="77777777" w:rsidR="00144DB2" w:rsidRPr="00635675" w:rsidRDefault="00144DB2" w:rsidP="00144DB2">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IX. Acreditar por medio de los exámenes correspondientes los conocimientos y aptitudes necesarios para el desempeño del puesto; y</w:t>
      </w:r>
    </w:p>
    <w:p w14:paraId="24D0FE32" w14:textId="77777777" w:rsidR="00144DB2" w:rsidRPr="00635675" w:rsidRDefault="00144DB2" w:rsidP="00144DB2">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X. No estar inhabilitado para el ejercicio del servicio público.</w:t>
      </w:r>
    </w:p>
    <w:p w14:paraId="00B48D86" w14:textId="77777777" w:rsidR="00144DB2" w:rsidRPr="00635675" w:rsidRDefault="00144DB2" w:rsidP="00144DB2">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XI. Presentar certificado expedido por la Unidad del Registro de Deudores Alimentarios Morosos en el que conste, si se encuentra inscrito o no en el mismo.</w:t>
      </w:r>
    </w:p>
    <w:p w14:paraId="29A5FA7D" w14:textId="77777777" w:rsidR="00144DB2" w:rsidRPr="00635675" w:rsidRDefault="00144DB2" w:rsidP="00144DB2">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 xml:space="preserve">La institución o dependencia que reciba un certificado en que conste que la persona que se incorpora al servicio público se encuentra inscrito el Registro de Deudores Alimentarios Morosos deberá dar aviso  </w:t>
      </w:r>
    </w:p>
    <w:p w14:paraId="5F8758B6" w14:textId="77777777" w:rsidR="00144DB2" w:rsidRPr="001B2442" w:rsidRDefault="00144DB2" w:rsidP="00144DB2">
      <w:pPr>
        <w:widowControl w:val="0"/>
        <w:spacing w:line="360" w:lineRule="auto"/>
        <w:contextualSpacing/>
        <w:jc w:val="both"/>
        <w:rPr>
          <w:rFonts w:ascii="Palatino Linotype" w:hAnsi="Palatino Linotype" w:cs="Tahoma"/>
          <w:bCs/>
          <w:iCs/>
          <w:sz w:val="22"/>
          <w:szCs w:val="22"/>
        </w:rPr>
      </w:pPr>
      <w:r w:rsidRPr="001B2442">
        <w:rPr>
          <w:rFonts w:ascii="Palatino Linotype" w:hAnsi="Palatino Linotype" w:cs="Tahoma"/>
          <w:bCs/>
          <w:iCs/>
          <w:sz w:val="22"/>
          <w:szCs w:val="22"/>
        </w:rPr>
        <w:t xml:space="preserve"> </w:t>
      </w:r>
    </w:p>
    <w:p w14:paraId="66633883" w14:textId="77777777" w:rsidR="00144DB2" w:rsidRPr="001B2442" w:rsidRDefault="00144DB2" w:rsidP="00144DB2">
      <w:pPr>
        <w:widowControl w:val="0"/>
        <w:spacing w:line="360" w:lineRule="auto"/>
        <w:contextualSpacing/>
        <w:jc w:val="both"/>
        <w:rPr>
          <w:rFonts w:ascii="Palatino Linotype" w:hAnsi="Palatino Linotype" w:cs="Tahoma"/>
          <w:bCs/>
          <w:iCs/>
          <w:sz w:val="22"/>
          <w:szCs w:val="22"/>
        </w:rPr>
      </w:pPr>
      <w:r w:rsidRPr="001B2442">
        <w:rPr>
          <w:rFonts w:ascii="Palatino Linotype" w:hAnsi="Palatino Linotype" w:cs="Tahoma"/>
          <w:bCs/>
          <w:iCs/>
          <w:sz w:val="22"/>
          <w:szCs w:val="22"/>
        </w:rPr>
        <w:t xml:space="preserve">En ese contexto el tema que el área o servidor público responsable de la administración del personal, debe llevar un control de todo el personal que ingresa al </w:t>
      </w:r>
      <w:r>
        <w:rPr>
          <w:rFonts w:ascii="Palatino Linotype" w:hAnsi="Palatino Linotype" w:cs="Tahoma"/>
          <w:bCs/>
          <w:iCs/>
          <w:sz w:val="22"/>
          <w:szCs w:val="22"/>
        </w:rPr>
        <w:t>servicio público</w:t>
      </w:r>
      <w:r w:rsidRPr="001B2442">
        <w:rPr>
          <w:rFonts w:ascii="Palatino Linotype" w:hAnsi="Palatino Linotype" w:cs="Tahoma"/>
          <w:bCs/>
          <w:iCs/>
          <w:sz w:val="22"/>
          <w:szCs w:val="22"/>
        </w:rPr>
        <w:t xml:space="preserve">, </w:t>
      </w:r>
      <w:r w:rsidRPr="001B2442">
        <w:rPr>
          <w:rFonts w:ascii="Palatino Linotype" w:hAnsi="Palatino Linotype" w:cs="Tahoma"/>
          <w:b/>
          <w:bCs/>
          <w:iCs/>
          <w:sz w:val="22"/>
          <w:szCs w:val="22"/>
        </w:rPr>
        <w:t>así como integrar sus respectivos expedientes</w:t>
      </w:r>
      <w:r w:rsidRPr="001B2442">
        <w:rPr>
          <w:rFonts w:ascii="Palatino Linotype" w:hAnsi="Palatino Linotype" w:cs="Tahoma"/>
          <w:bCs/>
          <w:iCs/>
          <w:sz w:val="22"/>
          <w:szCs w:val="22"/>
        </w:rPr>
        <w:t>, el cual deberá contener entre otros documentos aquellos de identificación, así como la experiencia laboral y académica.</w:t>
      </w:r>
    </w:p>
    <w:p w14:paraId="077BDB73" w14:textId="77777777" w:rsidR="00144DB2" w:rsidRPr="001B2442" w:rsidRDefault="00144DB2" w:rsidP="00144DB2">
      <w:pPr>
        <w:widowControl w:val="0"/>
        <w:spacing w:line="360" w:lineRule="auto"/>
        <w:contextualSpacing/>
        <w:jc w:val="both"/>
        <w:rPr>
          <w:rFonts w:ascii="Palatino Linotype" w:hAnsi="Palatino Linotype" w:cs="Tahoma"/>
          <w:bCs/>
          <w:iCs/>
          <w:sz w:val="22"/>
          <w:szCs w:val="22"/>
        </w:rPr>
      </w:pPr>
      <w:r w:rsidRPr="001B2442">
        <w:rPr>
          <w:rFonts w:ascii="Palatino Linotype" w:hAnsi="Palatino Linotype" w:cs="Tahoma"/>
          <w:bCs/>
          <w:iCs/>
          <w:sz w:val="22"/>
          <w:szCs w:val="22"/>
        </w:rPr>
        <w:t xml:space="preserve"> </w:t>
      </w:r>
    </w:p>
    <w:p w14:paraId="359E86CC" w14:textId="77777777" w:rsidR="00144DB2" w:rsidRPr="001B2442" w:rsidRDefault="00144DB2" w:rsidP="00144DB2">
      <w:pPr>
        <w:widowControl w:val="0"/>
        <w:spacing w:line="360" w:lineRule="auto"/>
        <w:contextualSpacing/>
        <w:jc w:val="both"/>
        <w:rPr>
          <w:rFonts w:ascii="Palatino Linotype" w:hAnsi="Palatino Linotype" w:cs="Tahoma"/>
          <w:b/>
          <w:bCs/>
          <w:iCs/>
          <w:sz w:val="22"/>
          <w:szCs w:val="22"/>
        </w:rPr>
      </w:pPr>
      <w:r w:rsidRPr="001B2442">
        <w:rPr>
          <w:rFonts w:ascii="Palatino Linotype" w:hAnsi="Palatino Linotype" w:cs="Tahoma"/>
          <w:bCs/>
          <w:iCs/>
          <w:sz w:val="22"/>
          <w:szCs w:val="22"/>
        </w:rPr>
        <w:t xml:space="preserve">Así, los expedientes laborales sirven como medio para acreditar que los servidores públicos cumplieron con todos los requisitos establecidos para ser contratados, por lo que la entrega de los mismos, </w:t>
      </w:r>
      <w:r w:rsidRPr="001B2442">
        <w:rPr>
          <w:rFonts w:ascii="Palatino Linotype" w:hAnsi="Palatino Linotype" w:cs="Tahoma"/>
          <w:b/>
          <w:bCs/>
          <w:iCs/>
          <w:sz w:val="22"/>
          <w:szCs w:val="22"/>
        </w:rPr>
        <w:t>abonan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1DA6068B" w14:textId="77777777" w:rsidR="00144DB2" w:rsidRPr="001B2442" w:rsidRDefault="00144DB2" w:rsidP="00144DB2">
      <w:pPr>
        <w:widowControl w:val="0"/>
        <w:spacing w:line="360" w:lineRule="auto"/>
        <w:contextualSpacing/>
        <w:jc w:val="both"/>
        <w:rPr>
          <w:rFonts w:ascii="Palatino Linotype" w:hAnsi="Palatino Linotype" w:cs="Tahoma"/>
          <w:b/>
          <w:bCs/>
          <w:iCs/>
          <w:sz w:val="22"/>
          <w:szCs w:val="22"/>
        </w:rPr>
      </w:pPr>
      <w:r w:rsidRPr="001B2442">
        <w:rPr>
          <w:rFonts w:ascii="Palatino Linotype" w:hAnsi="Palatino Linotype" w:cs="Tahoma"/>
          <w:b/>
          <w:bCs/>
          <w:iCs/>
          <w:sz w:val="22"/>
          <w:szCs w:val="22"/>
        </w:rPr>
        <w:t xml:space="preserve"> </w:t>
      </w:r>
    </w:p>
    <w:p w14:paraId="0555D273" w14:textId="77777777" w:rsidR="00144DB2" w:rsidRDefault="00144DB2" w:rsidP="00144DB2">
      <w:pPr>
        <w:widowControl w:val="0"/>
        <w:spacing w:line="360" w:lineRule="auto"/>
        <w:contextualSpacing/>
        <w:jc w:val="both"/>
        <w:rPr>
          <w:rFonts w:ascii="Palatino Linotype" w:hAnsi="Palatino Linotype" w:cs="Tahoma"/>
          <w:bCs/>
          <w:iCs/>
          <w:sz w:val="22"/>
          <w:szCs w:val="22"/>
        </w:rPr>
      </w:pPr>
      <w:r w:rsidRPr="001B2442">
        <w:rPr>
          <w:rFonts w:ascii="Palatino Linotype" w:hAnsi="Palatino Linotype" w:cs="Tahoma"/>
          <w:bCs/>
          <w:iCs/>
          <w:sz w:val="22"/>
          <w:szCs w:val="22"/>
        </w:rPr>
        <w:t>De este modo, es de referir que es de interés público para la ciudadanía, conocer que los trabajadores gubernamentales cumplen con todos los requisitos establecidos en la normatividad respectiva, pues solo así, se puede saber, si los empleados, son aptos para ocupar determinados puestos;</w:t>
      </w:r>
      <w:r w:rsidRPr="001B2442">
        <w:rPr>
          <w:rFonts w:ascii="Palatino Linotype" w:hAnsi="Palatino Linotype" w:cs="Tahoma"/>
          <w:b/>
          <w:bCs/>
          <w:iCs/>
          <w:sz w:val="22"/>
          <w:szCs w:val="22"/>
        </w:rPr>
        <w:t xml:space="preserve"> </w:t>
      </w:r>
      <w:r w:rsidRPr="001B2442">
        <w:rPr>
          <w:rFonts w:ascii="Palatino Linotype" w:hAnsi="Palatino Linotype" w:cs="Tahoma"/>
          <w:bCs/>
          <w:iCs/>
          <w:sz w:val="22"/>
          <w:szCs w:val="22"/>
        </w:rPr>
        <w:t xml:space="preserve">por otra parte, la publicidad de la información ayuda a rendir </w:t>
      </w:r>
      <w:r w:rsidRPr="001B2442">
        <w:rPr>
          <w:rFonts w:ascii="Palatino Linotype" w:hAnsi="Palatino Linotype" w:cs="Tahoma"/>
          <w:bCs/>
          <w:iCs/>
          <w:sz w:val="22"/>
          <w:szCs w:val="22"/>
        </w:rPr>
        <w:lastRenderedPageBreak/>
        <w:t>cuentas a la población, respecto a que las dependencias gubernamentales cumplen con lo establecido en los ordenamientos jurídicos, ya que permite a las personas verificar que una Dependencia o Ayuntamiento, contrata a servidores públicos capaces e idóneos para cumplir con sus funciones y cumplen con los requisitos respectivos.</w:t>
      </w:r>
    </w:p>
    <w:p w14:paraId="0C3A3CBC" w14:textId="77777777" w:rsidR="00263B07" w:rsidRDefault="00263B07" w:rsidP="009A6CAD">
      <w:pPr>
        <w:spacing w:line="360" w:lineRule="auto"/>
        <w:contextualSpacing/>
        <w:jc w:val="both"/>
        <w:rPr>
          <w:rFonts w:ascii="Palatino Linotype" w:hAnsi="Palatino Linotype"/>
          <w:bCs/>
          <w:iCs/>
          <w:sz w:val="22"/>
          <w:szCs w:val="22"/>
        </w:rPr>
      </w:pPr>
    </w:p>
    <w:p w14:paraId="46635718" w14:textId="6E98631F" w:rsidR="005A3500" w:rsidRPr="005A3500" w:rsidRDefault="005A3500" w:rsidP="005A3500">
      <w:pPr>
        <w:widowControl w:val="0"/>
        <w:numPr>
          <w:ilvl w:val="0"/>
          <w:numId w:val="9"/>
        </w:numPr>
        <w:spacing w:line="360" w:lineRule="auto"/>
        <w:contextualSpacing/>
        <w:jc w:val="both"/>
        <w:rPr>
          <w:rFonts w:ascii="Palatino Linotype" w:hAnsi="Palatino Linotype" w:cs="Tahoma"/>
          <w:b/>
          <w:iCs/>
          <w:sz w:val="22"/>
          <w:szCs w:val="22"/>
        </w:rPr>
      </w:pPr>
      <w:r w:rsidRPr="005A3500">
        <w:rPr>
          <w:rFonts w:ascii="Palatino Linotype" w:hAnsi="Palatino Linotype" w:cs="Tahoma"/>
          <w:b/>
          <w:iCs/>
          <w:sz w:val="22"/>
          <w:szCs w:val="22"/>
        </w:rPr>
        <w:t>Horas extras</w:t>
      </w:r>
    </w:p>
    <w:p w14:paraId="6516DA8F" w14:textId="77777777" w:rsidR="005A3500" w:rsidRDefault="005A3500" w:rsidP="009A6CAD">
      <w:pPr>
        <w:spacing w:line="360" w:lineRule="auto"/>
        <w:contextualSpacing/>
        <w:jc w:val="both"/>
        <w:rPr>
          <w:rFonts w:ascii="Palatino Linotype" w:hAnsi="Palatino Linotype"/>
          <w:bCs/>
          <w:iCs/>
          <w:sz w:val="22"/>
          <w:szCs w:val="22"/>
        </w:rPr>
      </w:pPr>
    </w:p>
    <w:p w14:paraId="712F0DB7" w14:textId="77777777" w:rsidR="005A3500" w:rsidRPr="005A3500" w:rsidRDefault="005A3500" w:rsidP="005A3500">
      <w:pPr>
        <w:spacing w:line="360" w:lineRule="auto"/>
        <w:contextualSpacing/>
        <w:jc w:val="both"/>
        <w:rPr>
          <w:rFonts w:ascii="Palatino Linotype" w:hAnsi="Palatino Linotype"/>
          <w:bCs/>
          <w:iCs/>
          <w:sz w:val="22"/>
          <w:szCs w:val="22"/>
        </w:rPr>
      </w:pPr>
      <w:r w:rsidRPr="005A3500">
        <w:rPr>
          <w:rFonts w:ascii="Palatino Linotype" w:hAnsi="Palatino Linotype"/>
          <w:bCs/>
          <w:iCs/>
          <w:sz w:val="22"/>
          <w:szCs w:val="22"/>
        </w:rPr>
        <w:t>Las horas extraordinarias se entienden como el tiempo de trabajo que un servidor público labora fuera de la jornada ordinaria legalmente establecida, ya sea por necesidades del servicio o por instrucción superior, generando, en su caso, el derecho a una compensación adicional en términos de la normativa laboral y administrativa aplicable. Estas horas no constituyen una prestación discrecional, sino una condición excepcional del servicio que debe estar debidamente justificada, autorizada y registrada, en tanto implica el ejercicio de recursos públicos.</w:t>
      </w:r>
    </w:p>
    <w:p w14:paraId="352E1F04" w14:textId="77777777" w:rsidR="005A3500" w:rsidRPr="005A3500" w:rsidRDefault="005A3500" w:rsidP="005A3500">
      <w:pPr>
        <w:spacing w:line="360" w:lineRule="auto"/>
        <w:contextualSpacing/>
        <w:jc w:val="both"/>
        <w:rPr>
          <w:rFonts w:ascii="Palatino Linotype" w:hAnsi="Palatino Linotype"/>
          <w:bCs/>
          <w:iCs/>
          <w:sz w:val="22"/>
          <w:szCs w:val="22"/>
        </w:rPr>
      </w:pPr>
    </w:p>
    <w:p w14:paraId="1950E152" w14:textId="4568A7E8" w:rsidR="00AA71EA" w:rsidRPr="009A6CAD" w:rsidRDefault="005A3500" w:rsidP="005A3500">
      <w:pPr>
        <w:spacing w:line="360" w:lineRule="auto"/>
        <w:contextualSpacing/>
        <w:jc w:val="both"/>
        <w:rPr>
          <w:rFonts w:ascii="Palatino Linotype" w:hAnsi="Palatino Linotype"/>
          <w:bCs/>
          <w:iCs/>
          <w:sz w:val="22"/>
          <w:szCs w:val="22"/>
        </w:rPr>
      </w:pPr>
      <w:r w:rsidRPr="005A3500">
        <w:rPr>
          <w:rFonts w:ascii="Palatino Linotype" w:hAnsi="Palatino Linotype"/>
          <w:bCs/>
          <w:iCs/>
          <w:sz w:val="22"/>
          <w:szCs w:val="22"/>
        </w:rPr>
        <w:t>En ese sentido, las horas extraordinarias cuentan con una expresión documental verificable, toda vez que su generación y pago requieren necesariamente de soporte administrativo, tales como: registros de asistencia o control de horario, autorizaciones previas o validaciones por parte de superiores jerárquicos, reportes de incidencias, nóminas, recibos de pago y, en su caso, concentrados o informes internos sobre el tiempo extraordinario laborado. Por ello, la información relativa a horas extraordinarias no se agota en una manifestación o pronunciamiento del sujeto obligado, sino que debe encontrarse contenida en documentos preexistentes que den cuenta de su autorización, realización y pago, lo que permite su trazabilidad y verificación en el marco del ejercicio del gasto público.</w:t>
      </w:r>
    </w:p>
    <w:p w14:paraId="7E698C61" w14:textId="77777777" w:rsidR="009A6CAD" w:rsidRDefault="009A6CAD" w:rsidP="004503A8">
      <w:pPr>
        <w:spacing w:line="360" w:lineRule="auto"/>
        <w:jc w:val="both"/>
        <w:rPr>
          <w:rFonts w:ascii="Palatino Linotype" w:hAnsi="Palatino Linotype"/>
          <w:bCs/>
          <w:iCs/>
          <w:sz w:val="22"/>
          <w:szCs w:val="22"/>
        </w:rPr>
      </w:pPr>
    </w:p>
    <w:p w14:paraId="1CE55363" w14:textId="7A95B2E5" w:rsidR="005A3500" w:rsidRDefault="005A3500" w:rsidP="004503A8">
      <w:pPr>
        <w:spacing w:line="360" w:lineRule="auto"/>
        <w:jc w:val="both"/>
        <w:rPr>
          <w:rFonts w:ascii="Palatino Linotype" w:hAnsi="Palatino Linotype"/>
          <w:bCs/>
          <w:iCs/>
          <w:sz w:val="22"/>
          <w:szCs w:val="22"/>
        </w:rPr>
      </w:pPr>
      <w:r>
        <w:rPr>
          <w:rFonts w:ascii="Palatino Linotype" w:hAnsi="Palatino Linotype"/>
          <w:bCs/>
          <w:iCs/>
          <w:sz w:val="22"/>
          <w:szCs w:val="22"/>
        </w:rPr>
        <w:t xml:space="preserve">Si bien el Particular, requirió información en posesión de la </w:t>
      </w:r>
      <w:r w:rsidRPr="005A3500">
        <w:rPr>
          <w:rFonts w:ascii="Palatino Linotype" w:hAnsi="Palatino Linotype"/>
          <w:bCs/>
          <w:iCs/>
          <w:sz w:val="22"/>
          <w:szCs w:val="22"/>
        </w:rPr>
        <w:t>Coordinación de Administración y Finanzas de los SEIEM</w:t>
      </w:r>
      <w:r>
        <w:rPr>
          <w:rFonts w:ascii="Palatino Linotype" w:hAnsi="Palatino Linotype"/>
          <w:bCs/>
          <w:iCs/>
          <w:sz w:val="22"/>
          <w:szCs w:val="22"/>
        </w:rPr>
        <w:t xml:space="preserve">, el derecho de acceso a la información pública, es </w:t>
      </w:r>
      <w:r>
        <w:rPr>
          <w:rFonts w:ascii="Palatino Linotype" w:hAnsi="Palatino Linotype"/>
          <w:bCs/>
          <w:iCs/>
          <w:sz w:val="22"/>
          <w:szCs w:val="22"/>
        </w:rPr>
        <w:lastRenderedPageBreak/>
        <w:t>referente a la entrega de documentos que identifiquen la expresión documental de lo solicitado, por lo tanto, con independencia del área a la cual se le requirió, el Sujeto Obligado, debe turnar la solicitud, al área competente para poseer la información.</w:t>
      </w:r>
    </w:p>
    <w:p w14:paraId="12762CC1" w14:textId="77777777" w:rsidR="005A3500" w:rsidRDefault="005A3500" w:rsidP="004503A8">
      <w:pPr>
        <w:spacing w:line="360" w:lineRule="auto"/>
        <w:jc w:val="both"/>
        <w:rPr>
          <w:rFonts w:ascii="Palatino Linotype" w:hAnsi="Palatino Linotype"/>
          <w:bCs/>
          <w:iCs/>
          <w:sz w:val="22"/>
          <w:szCs w:val="22"/>
        </w:rPr>
      </w:pPr>
    </w:p>
    <w:p w14:paraId="3793E7DD" w14:textId="7A7E0362" w:rsidR="005A3500" w:rsidRDefault="005A3500" w:rsidP="004503A8">
      <w:pPr>
        <w:spacing w:line="360" w:lineRule="auto"/>
        <w:jc w:val="both"/>
        <w:rPr>
          <w:rFonts w:ascii="Palatino Linotype" w:hAnsi="Palatino Linotype"/>
          <w:bCs/>
          <w:iCs/>
          <w:sz w:val="22"/>
          <w:szCs w:val="22"/>
        </w:rPr>
      </w:pPr>
      <w:r>
        <w:rPr>
          <w:rFonts w:ascii="Palatino Linotype" w:hAnsi="Palatino Linotype"/>
          <w:bCs/>
          <w:iCs/>
          <w:sz w:val="22"/>
          <w:szCs w:val="22"/>
        </w:rPr>
        <w:t>Así una vez entrando a</w:t>
      </w:r>
      <w:r w:rsidR="00D3514E">
        <w:rPr>
          <w:rFonts w:ascii="Palatino Linotype" w:hAnsi="Palatino Linotype"/>
          <w:bCs/>
          <w:iCs/>
          <w:sz w:val="22"/>
          <w:szCs w:val="22"/>
        </w:rPr>
        <w:t>l estudio del expediente digital, resulta importante contrastar las respuestas y determinar sobre la procedencia de ordenar su entrega en cumplimiento a la resolución.</w:t>
      </w:r>
    </w:p>
    <w:p w14:paraId="01D76489" w14:textId="77777777" w:rsidR="00D3514E" w:rsidRDefault="00D3514E" w:rsidP="004503A8">
      <w:pPr>
        <w:spacing w:line="360" w:lineRule="auto"/>
        <w:jc w:val="both"/>
        <w:rPr>
          <w:rFonts w:ascii="Palatino Linotype" w:hAnsi="Palatino Linotype"/>
          <w:bCs/>
          <w:iCs/>
          <w:sz w:val="22"/>
          <w:szCs w:val="22"/>
        </w:rPr>
      </w:pPr>
    </w:p>
    <w:p w14:paraId="2C184E8F" w14:textId="19D0CFEE" w:rsidR="005A3500" w:rsidRDefault="00D3514E" w:rsidP="004503A8">
      <w:pPr>
        <w:spacing w:line="360" w:lineRule="auto"/>
        <w:jc w:val="both"/>
        <w:rPr>
          <w:rFonts w:ascii="Palatino Linotype" w:hAnsi="Palatino Linotype"/>
          <w:bCs/>
          <w:iCs/>
          <w:sz w:val="22"/>
          <w:szCs w:val="22"/>
        </w:rPr>
      </w:pPr>
      <w:r>
        <w:rPr>
          <w:rFonts w:ascii="Palatino Linotype" w:hAnsi="Palatino Linotype"/>
          <w:bCs/>
          <w:iCs/>
          <w:sz w:val="22"/>
          <w:szCs w:val="22"/>
        </w:rPr>
        <w:t xml:space="preserve">Por cuanto respecta al punto 1, </w:t>
      </w:r>
      <w:r w:rsidR="00F83B48">
        <w:rPr>
          <w:rFonts w:ascii="Palatino Linotype" w:hAnsi="Palatino Linotype"/>
          <w:bCs/>
          <w:iCs/>
          <w:sz w:val="22"/>
          <w:szCs w:val="22"/>
        </w:rPr>
        <w:t xml:space="preserve">el oficio de funciones, el Sujeto Obligado refirió que en respuesta se entregaba la información, </w:t>
      </w:r>
      <w:r w:rsidR="003212F8">
        <w:rPr>
          <w:rFonts w:ascii="Palatino Linotype" w:hAnsi="Palatino Linotype"/>
          <w:bCs/>
          <w:iCs/>
          <w:sz w:val="22"/>
          <w:szCs w:val="22"/>
        </w:rPr>
        <w:t>sin embargo, lo entregó hasta informe justificado; en este sentido, se entiende por satisfecho a través del documento entregado en informe justificado.</w:t>
      </w:r>
    </w:p>
    <w:p w14:paraId="0B35F7C1" w14:textId="77777777" w:rsidR="003212F8" w:rsidRDefault="003212F8" w:rsidP="004503A8">
      <w:pPr>
        <w:spacing w:line="360" w:lineRule="auto"/>
        <w:jc w:val="both"/>
        <w:rPr>
          <w:rFonts w:ascii="Palatino Linotype" w:hAnsi="Palatino Linotype"/>
          <w:bCs/>
          <w:iCs/>
          <w:sz w:val="22"/>
          <w:szCs w:val="22"/>
        </w:rPr>
      </w:pPr>
    </w:p>
    <w:p w14:paraId="176A83F1" w14:textId="51716424" w:rsidR="003212F8" w:rsidRDefault="003212F8" w:rsidP="004503A8">
      <w:pPr>
        <w:spacing w:line="360" w:lineRule="auto"/>
        <w:jc w:val="both"/>
        <w:rPr>
          <w:rFonts w:ascii="Palatino Linotype" w:hAnsi="Palatino Linotype"/>
          <w:bCs/>
          <w:iCs/>
          <w:sz w:val="22"/>
          <w:szCs w:val="22"/>
        </w:rPr>
      </w:pPr>
      <w:r>
        <w:rPr>
          <w:rFonts w:ascii="Palatino Linotype" w:hAnsi="Palatino Linotype"/>
          <w:bCs/>
          <w:iCs/>
          <w:sz w:val="22"/>
          <w:szCs w:val="22"/>
        </w:rPr>
        <w:t xml:space="preserve">Sobre el punto 2, el expediente laboral, el área a la que se turnó, no es competente para poseer la información conforme a su propio pronunciamiento, sin embargo, </w:t>
      </w:r>
      <w:r w:rsidR="00904709">
        <w:rPr>
          <w:rFonts w:ascii="Palatino Linotype" w:hAnsi="Palatino Linotype"/>
          <w:bCs/>
          <w:iCs/>
          <w:sz w:val="22"/>
          <w:szCs w:val="22"/>
        </w:rPr>
        <w:t>deberá turnar la solicitud al área competente, como puede ser Recursos Humanos, por señalar alguna, sin embargo, el Sujeto Obligado, deberá turnar a quien posee la información.</w:t>
      </w:r>
    </w:p>
    <w:p w14:paraId="6DE55040" w14:textId="77777777" w:rsidR="00904709" w:rsidRDefault="00904709" w:rsidP="004503A8">
      <w:pPr>
        <w:spacing w:line="360" w:lineRule="auto"/>
        <w:jc w:val="both"/>
        <w:rPr>
          <w:rFonts w:ascii="Palatino Linotype" w:hAnsi="Palatino Linotype"/>
          <w:bCs/>
          <w:iCs/>
          <w:sz w:val="22"/>
          <w:szCs w:val="22"/>
        </w:rPr>
      </w:pPr>
    </w:p>
    <w:p w14:paraId="125FF8E3" w14:textId="7C812C34" w:rsidR="00904709" w:rsidRDefault="00904709" w:rsidP="004503A8">
      <w:pPr>
        <w:spacing w:line="360" w:lineRule="auto"/>
        <w:jc w:val="both"/>
        <w:rPr>
          <w:rFonts w:ascii="Palatino Linotype" w:hAnsi="Palatino Linotype"/>
          <w:bCs/>
          <w:iCs/>
          <w:sz w:val="22"/>
          <w:szCs w:val="22"/>
        </w:rPr>
      </w:pPr>
      <w:r>
        <w:rPr>
          <w:rFonts w:ascii="Palatino Linotype" w:hAnsi="Palatino Linotype"/>
          <w:bCs/>
          <w:iCs/>
          <w:sz w:val="22"/>
          <w:szCs w:val="22"/>
        </w:rPr>
        <w:t xml:space="preserve">Sobre el punto 3 y 4, ya refirió que no </w:t>
      </w:r>
      <w:r w:rsidR="00A4629C">
        <w:rPr>
          <w:rFonts w:ascii="Palatino Linotype" w:hAnsi="Palatino Linotype"/>
          <w:bCs/>
          <w:iCs/>
          <w:sz w:val="22"/>
          <w:szCs w:val="22"/>
        </w:rPr>
        <w:t>son acreedores a pago de horas extras, por lo cual, nos encontramos ante una afirmación en sentido negativo, hecho que no es comprobable.</w:t>
      </w:r>
    </w:p>
    <w:p w14:paraId="0049BA69" w14:textId="77777777" w:rsidR="00984572" w:rsidRDefault="00984572" w:rsidP="004503A8">
      <w:pPr>
        <w:spacing w:line="360" w:lineRule="auto"/>
        <w:jc w:val="both"/>
        <w:rPr>
          <w:rFonts w:ascii="Palatino Linotype" w:hAnsi="Palatino Linotype"/>
          <w:bCs/>
          <w:iCs/>
          <w:sz w:val="22"/>
          <w:szCs w:val="22"/>
        </w:rPr>
      </w:pPr>
    </w:p>
    <w:p w14:paraId="1AC08718" w14:textId="0318EC88" w:rsidR="00984572" w:rsidRDefault="00984572" w:rsidP="004503A8">
      <w:pPr>
        <w:spacing w:line="360" w:lineRule="auto"/>
        <w:jc w:val="both"/>
        <w:rPr>
          <w:rFonts w:ascii="Palatino Linotype" w:hAnsi="Palatino Linotype"/>
          <w:bCs/>
          <w:iCs/>
          <w:sz w:val="22"/>
          <w:szCs w:val="22"/>
        </w:rPr>
      </w:pPr>
      <w:r w:rsidRPr="00984572">
        <w:rPr>
          <w:rFonts w:ascii="Palatino Linotype" w:hAnsi="Palatino Linotype"/>
          <w:bCs/>
          <w:iCs/>
          <w:sz w:val="22"/>
          <w:szCs w:val="22"/>
        </w:rPr>
        <w:t xml:space="preserve">En el análisis del presente asunto, resulta aplicable el principio jurídico relativo a la imposibilidad de acreditar hechos negativos, conforme al cual no es exigible a una parte probar la inexistencia de un hecho, en tanto ello implicaría una carga probatoria excesiva y materialmente inalcanzable. En el ámbito del derecho de acceso a la información pública, este principio adquiere una dimensión particular, pues si bien los sujetos obligados pueden manifestar la inexistencia de la información solicitada, dicha afirmación no puede </w:t>
      </w:r>
      <w:r w:rsidRPr="00984572">
        <w:rPr>
          <w:rFonts w:ascii="Palatino Linotype" w:hAnsi="Palatino Linotype"/>
          <w:bCs/>
          <w:iCs/>
          <w:sz w:val="22"/>
          <w:szCs w:val="22"/>
        </w:rPr>
        <w:lastRenderedPageBreak/>
        <w:t>sustentarse en una simple negación, sino que debe encontrarse respaldada por elementos objetivos que acrediten que se realizó una búsqueda exhaustiva, razonable y sistemática en los archivos institucionales.</w:t>
      </w:r>
    </w:p>
    <w:p w14:paraId="50E5C40D" w14:textId="77777777" w:rsidR="00984572" w:rsidRDefault="00984572" w:rsidP="004503A8">
      <w:pPr>
        <w:spacing w:line="360" w:lineRule="auto"/>
        <w:jc w:val="both"/>
        <w:rPr>
          <w:rFonts w:ascii="Palatino Linotype" w:hAnsi="Palatino Linotype"/>
          <w:bCs/>
          <w:iCs/>
          <w:sz w:val="22"/>
          <w:szCs w:val="22"/>
        </w:rPr>
      </w:pPr>
    </w:p>
    <w:p w14:paraId="073DFF73" w14:textId="6AA4F8BC" w:rsidR="00984572" w:rsidRDefault="00984572" w:rsidP="004503A8">
      <w:pPr>
        <w:spacing w:line="360" w:lineRule="auto"/>
        <w:jc w:val="both"/>
        <w:rPr>
          <w:rFonts w:ascii="Palatino Linotype" w:hAnsi="Palatino Linotype"/>
          <w:bCs/>
          <w:iCs/>
          <w:sz w:val="22"/>
          <w:szCs w:val="22"/>
        </w:rPr>
      </w:pPr>
      <w:r>
        <w:rPr>
          <w:rFonts w:ascii="Palatino Linotype" w:hAnsi="Palatino Linotype"/>
          <w:bCs/>
          <w:iCs/>
          <w:sz w:val="22"/>
          <w:szCs w:val="22"/>
        </w:rPr>
        <w:t>En el presente asunto, se pronunció el habilitado competente.</w:t>
      </w:r>
    </w:p>
    <w:p w14:paraId="4D309E72" w14:textId="77777777" w:rsidR="005A3500" w:rsidRDefault="005A3500" w:rsidP="004503A8">
      <w:pPr>
        <w:spacing w:line="360" w:lineRule="auto"/>
        <w:jc w:val="both"/>
        <w:rPr>
          <w:rFonts w:ascii="Palatino Linotype" w:hAnsi="Palatino Linotype"/>
          <w:bCs/>
          <w:iCs/>
          <w:sz w:val="22"/>
          <w:szCs w:val="22"/>
        </w:rPr>
      </w:pPr>
    </w:p>
    <w:p w14:paraId="7878B1D0" w14:textId="06FE9FDA" w:rsidR="005A3500" w:rsidRDefault="00984572" w:rsidP="004503A8">
      <w:pPr>
        <w:spacing w:line="360" w:lineRule="auto"/>
        <w:jc w:val="both"/>
        <w:rPr>
          <w:rFonts w:ascii="Palatino Linotype" w:hAnsi="Palatino Linotype"/>
          <w:bCs/>
          <w:iCs/>
          <w:sz w:val="22"/>
          <w:szCs w:val="22"/>
        </w:rPr>
      </w:pPr>
      <w:r>
        <w:rPr>
          <w:rFonts w:ascii="Palatino Linotype" w:hAnsi="Palatino Linotype"/>
          <w:bCs/>
          <w:iCs/>
          <w:sz w:val="22"/>
          <w:szCs w:val="22"/>
        </w:rPr>
        <w:t>Por todo lo expuesto, es procedente ordenar la entrega de la expresión documental del expediente laboral.</w:t>
      </w:r>
    </w:p>
    <w:p w14:paraId="27ACC088" w14:textId="77777777" w:rsidR="00B53C01" w:rsidRDefault="00B53C01" w:rsidP="004503A8">
      <w:pPr>
        <w:spacing w:line="360" w:lineRule="auto"/>
        <w:jc w:val="both"/>
        <w:rPr>
          <w:rFonts w:ascii="Palatino Linotype" w:hAnsi="Palatino Linotype"/>
          <w:bCs/>
          <w:iCs/>
          <w:sz w:val="22"/>
          <w:szCs w:val="22"/>
        </w:rPr>
      </w:pPr>
    </w:p>
    <w:p w14:paraId="023DA4BF" w14:textId="77777777" w:rsidR="00B53C01" w:rsidRPr="00E716FF" w:rsidRDefault="00B53C01" w:rsidP="00B53C01">
      <w:pPr>
        <w:spacing w:line="360" w:lineRule="auto"/>
        <w:contextualSpacing/>
        <w:jc w:val="both"/>
        <w:rPr>
          <w:rFonts w:ascii="Palatino Linotype" w:hAnsi="Palatino Linotype"/>
          <w:sz w:val="22"/>
          <w:szCs w:val="22"/>
        </w:rPr>
      </w:pPr>
      <w:r w:rsidRPr="00D86ECA">
        <w:rPr>
          <w:rFonts w:ascii="Palatino Linotype" w:hAnsi="Palatino Linotype"/>
          <w:bCs/>
          <w:sz w:val="22"/>
          <w:szCs w:val="22"/>
        </w:rPr>
        <w:t xml:space="preserve">Ahora bien, no pasa desapercibido para este Instituto que </w:t>
      </w:r>
      <w:r>
        <w:rPr>
          <w:rFonts w:ascii="Palatino Linotype" w:hAnsi="Palatino Linotype"/>
          <w:bCs/>
          <w:sz w:val="22"/>
          <w:szCs w:val="22"/>
        </w:rPr>
        <w:t>los documentos que den cuenta de lo solicitado, pudieran tener datos confidenciales o inclusive puedan ser clasificados en su totalidad.</w:t>
      </w:r>
    </w:p>
    <w:p w14:paraId="11E5EE5C" w14:textId="77777777" w:rsidR="00B53C01" w:rsidRPr="00D86ECA" w:rsidRDefault="00B53C01" w:rsidP="00B53C01">
      <w:pPr>
        <w:spacing w:line="360" w:lineRule="auto"/>
        <w:contextualSpacing/>
        <w:jc w:val="both"/>
        <w:rPr>
          <w:rFonts w:ascii="Palatino Linotype" w:hAnsi="Palatino Linotype"/>
          <w:sz w:val="22"/>
          <w:szCs w:val="22"/>
        </w:rPr>
      </w:pPr>
    </w:p>
    <w:p w14:paraId="3CF5F107" w14:textId="77777777" w:rsidR="00B53C01" w:rsidRPr="00D86ECA" w:rsidRDefault="00B53C01" w:rsidP="00B53C01">
      <w:pPr>
        <w:spacing w:line="360" w:lineRule="auto"/>
        <w:contextualSpacing/>
        <w:jc w:val="both"/>
        <w:rPr>
          <w:rFonts w:ascii="Palatino Linotype" w:hAnsi="Palatino Linotype"/>
          <w:sz w:val="22"/>
          <w:szCs w:val="22"/>
        </w:rPr>
      </w:pPr>
      <w:r w:rsidRPr="00D86ECA">
        <w:rPr>
          <w:rFonts w:ascii="Palatino Linotype" w:hAnsi="Palatino Linotype"/>
          <w:sz w:val="22"/>
          <w:szCs w:val="22"/>
        </w:rPr>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422C6D76" w14:textId="77777777" w:rsidR="00B53C01" w:rsidRPr="00D86ECA" w:rsidRDefault="00B53C01" w:rsidP="00B53C01">
      <w:pPr>
        <w:spacing w:line="360" w:lineRule="auto"/>
        <w:contextualSpacing/>
        <w:jc w:val="both"/>
        <w:rPr>
          <w:rFonts w:ascii="Palatino Linotype" w:hAnsi="Palatino Linotype"/>
          <w:sz w:val="22"/>
          <w:szCs w:val="22"/>
        </w:rPr>
      </w:pPr>
      <w:r w:rsidRPr="00D86ECA">
        <w:rPr>
          <w:rFonts w:ascii="Palatino Linotype" w:hAnsi="Palatino Linotype"/>
          <w:sz w:val="22"/>
          <w:szCs w:val="22"/>
        </w:rPr>
        <w:t xml:space="preserve"> </w:t>
      </w:r>
    </w:p>
    <w:p w14:paraId="3D70327E" w14:textId="77777777" w:rsidR="00B53C01" w:rsidRPr="00D86ECA" w:rsidRDefault="00B53C01" w:rsidP="00B53C01">
      <w:pPr>
        <w:spacing w:line="360" w:lineRule="auto"/>
        <w:contextualSpacing/>
        <w:jc w:val="both"/>
        <w:rPr>
          <w:rFonts w:ascii="Palatino Linotype" w:hAnsi="Palatino Linotype"/>
          <w:sz w:val="22"/>
          <w:szCs w:val="22"/>
        </w:rPr>
      </w:pPr>
      <w:r w:rsidRPr="00D86ECA">
        <w:rPr>
          <w:rFonts w:ascii="Palatino Linotype" w:hAnsi="Palatino Linotype"/>
          <w:sz w:val="22"/>
          <w:szCs w:val="22"/>
        </w:rPr>
        <w:t>Asimismo, el artículo 145 de la</w:t>
      </w:r>
      <w:r>
        <w:rPr>
          <w:rFonts w:ascii="Palatino Linotype" w:hAnsi="Palatino Linotype"/>
          <w:sz w:val="22"/>
          <w:szCs w:val="22"/>
        </w:rPr>
        <w:t xml:space="preserve"> Ley de la materia</w:t>
      </w:r>
      <w:r w:rsidRPr="00D86ECA">
        <w:rPr>
          <w:rFonts w:ascii="Palatino Linotype" w:hAnsi="Palatino Linotype"/>
          <w:sz w:val="22"/>
          <w:szCs w:val="22"/>
        </w:rPr>
        <w:t>,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44DD176" w14:textId="77777777" w:rsidR="00B53C01" w:rsidRPr="00D86ECA" w:rsidRDefault="00B53C01" w:rsidP="00B53C01">
      <w:pPr>
        <w:spacing w:line="360" w:lineRule="auto"/>
        <w:contextualSpacing/>
        <w:jc w:val="both"/>
        <w:rPr>
          <w:rFonts w:ascii="Palatino Linotype" w:hAnsi="Palatino Linotype"/>
          <w:sz w:val="22"/>
          <w:szCs w:val="22"/>
        </w:rPr>
      </w:pPr>
      <w:r w:rsidRPr="00D86ECA">
        <w:rPr>
          <w:rFonts w:ascii="Palatino Linotype" w:hAnsi="Palatino Linotype"/>
          <w:sz w:val="22"/>
          <w:szCs w:val="22"/>
        </w:rPr>
        <w:t xml:space="preserve"> </w:t>
      </w:r>
    </w:p>
    <w:p w14:paraId="08694C80" w14:textId="77777777" w:rsidR="00B53C01" w:rsidRPr="00D86ECA" w:rsidRDefault="00B53C01" w:rsidP="00B53C01">
      <w:pPr>
        <w:spacing w:line="360" w:lineRule="auto"/>
        <w:contextualSpacing/>
        <w:jc w:val="both"/>
        <w:rPr>
          <w:rFonts w:ascii="Palatino Linotype" w:hAnsi="Palatino Linotype"/>
          <w:sz w:val="22"/>
          <w:szCs w:val="22"/>
        </w:rPr>
      </w:pPr>
      <w:r w:rsidRPr="00D86ECA">
        <w:rPr>
          <w:rFonts w:ascii="Palatino Linotype" w:hAnsi="Palatino Linotype"/>
          <w:sz w:val="22"/>
          <w:szCs w:val="22"/>
        </w:rPr>
        <w:lastRenderedPageBreak/>
        <w:t>En términos de lo expuesto, la documentación y aquellos datos que se consideren confidenciales, serán una limitante del derecho de acceso a la información, siempre y cuando:</w:t>
      </w:r>
    </w:p>
    <w:p w14:paraId="4AA8798E" w14:textId="77777777" w:rsidR="00B53C01" w:rsidRPr="00D86ECA" w:rsidRDefault="00B53C01" w:rsidP="00B53C01">
      <w:pPr>
        <w:spacing w:line="360" w:lineRule="auto"/>
        <w:contextualSpacing/>
        <w:jc w:val="both"/>
        <w:rPr>
          <w:rFonts w:ascii="Palatino Linotype" w:hAnsi="Palatino Linotype"/>
          <w:sz w:val="22"/>
          <w:szCs w:val="22"/>
        </w:rPr>
      </w:pPr>
      <w:r w:rsidRPr="00D86ECA">
        <w:rPr>
          <w:rFonts w:ascii="Palatino Linotype" w:hAnsi="Palatino Linotype"/>
          <w:sz w:val="22"/>
          <w:szCs w:val="22"/>
        </w:rPr>
        <w:t xml:space="preserve"> </w:t>
      </w:r>
    </w:p>
    <w:p w14:paraId="3C4C191F" w14:textId="77777777" w:rsidR="00B53C01" w:rsidRPr="00D86ECA" w:rsidRDefault="00B53C01" w:rsidP="00B53C01">
      <w:pPr>
        <w:numPr>
          <w:ilvl w:val="0"/>
          <w:numId w:val="15"/>
        </w:numPr>
        <w:spacing w:line="360" w:lineRule="auto"/>
        <w:contextualSpacing/>
        <w:jc w:val="both"/>
        <w:rPr>
          <w:rFonts w:ascii="Palatino Linotype" w:hAnsi="Palatino Linotype"/>
          <w:sz w:val="22"/>
          <w:szCs w:val="22"/>
        </w:rPr>
      </w:pPr>
      <w:r w:rsidRPr="00D86ECA">
        <w:rPr>
          <w:rFonts w:ascii="Palatino Linotype" w:hAnsi="Palatino Linotype"/>
          <w:sz w:val="22"/>
          <w:szCs w:val="22"/>
        </w:rPr>
        <w:t xml:space="preserve">Se trate de datos personales o información privada; esto es, información concerniente a una persona física o jurídico colectiva y que esta sea identificada o identificable. </w:t>
      </w:r>
    </w:p>
    <w:p w14:paraId="4E6CA09D" w14:textId="77777777" w:rsidR="00B53C01" w:rsidRPr="00D86ECA" w:rsidRDefault="00B53C01" w:rsidP="00B53C01">
      <w:pPr>
        <w:spacing w:line="360" w:lineRule="auto"/>
        <w:ind w:left="720"/>
        <w:contextualSpacing/>
        <w:jc w:val="both"/>
        <w:rPr>
          <w:rFonts w:ascii="Palatino Linotype" w:hAnsi="Palatino Linotype"/>
          <w:sz w:val="22"/>
          <w:szCs w:val="22"/>
        </w:rPr>
      </w:pPr>
    </w:p>
    <w:p w14:paraId="385A8585" w14:textId="77777777" w:rsidR="00B53C01" w:rsidRPr="00D86ECA" w:rsidRDefault="00B53C01" w:rsidP="00B53C01">
      <w:pPr>
        <w:numPr>
          <w:ilvl w:val="0"/>
          <w:numId w:val="15"/>
        </w:numPr>
        <w:spacing w:line="360" w:lineRule="auto"/>
        <w:contextualSpacing/>
        <w:jc w:val="both"/>
        <w:rPr>
          <w:rFonts w:ascii="Palatino Linotype" w:hAnsi="Palatino Linotype"/>
          <w:sz w:val="22"/>
          <w:szCs w:val="22"/>
        </w:rPr>
      </w:pPr>
      <w:r w:rsidRPr="00D86ECA">
        <w:rPr>
          <w:rFonts w:ascii="Palatino Linotype" w:hAnsi="Palatino Linotype"/>
          <w:sz w:val="22"/>
          <w:szCs w:val="22"/>
        </w:rPr>
        <w:t xml:space="preserve">Para la difusión de los datos, se requiera el consentimiento del titular. </w:t>
      </w:r>
    </w:p>
    <w:p w14:paraId="03C11B08" w14:textId="77777777" w:rsidR="00B53C01" w:rsidRPr="00D86ECA" w:rsidRDefault="00B53C01" w:rsidP="00B53C01">
      <w:pPr>
        <w:spacing w:line="360" w:lineRule="auto"/>
        <w:contextualSpacing/>
        <w:jc w:val="both"/>
        <w:rPr>
          <w:rFonts w:ascii="Palatino Linotype" w:hAnsi="Palatino Linotype"/>
          <w:sz w:val="22"/>
          <w:szCs w:val="22"/>
        </w:rPr>
      </w:pPr>
      <w:r w:rsidRPr="00D86ECA">
        <w:rPr>
          <w:rFonts w:ascii="Palatino Linotype" w:hAnsi="Palatino Linotype"/>
          <w:sz w:val="22"/>
          <w:szCs w:val="22"/>
        </w:rPr>
        <w:t xml:space="preserve"> </w:t>
      </w:r>
    </w:p>
    <w:p w14:paraId="2236C1F9"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29BC2C8C"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3305CE74"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 Bajo ese contexto, se analizarán si los datos mencionados de manera enunciativa, son confidenciales o públicos.</w:t>
      </w:r>
    </w:p>
    <w:p w14:paraId="00CDF895"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lastRenderedPageBreak/>
        <w:t xml:space="preserve"> </w:t>
      </w:r>
    </w:p>
    <w:p w14:paraId="78C627B2" w14:textId="77777777" w:rsidR="00B53C01" w:rsidRPr="00D86ECA" w:rsidRDefault="00B53C01" w:rsidP="00B53C01">
      <w:pPr>
        <w:numPr>
          <w:ilvl w:val="0"/>
          <w:numId w:val="16"/>
        </w:numPr>
        <w:spacing w:line="360" w:lineRule="auto"/>
        <w:contextualSpacing/>
        <w:jc w:val="both"/>
        <w:rPr>
          <w:rFonts w:ascii="Palatino Linotype" w:eastAsia="Palatino Linotype" w:hAnsi="Palatino Linotype" w:cs="Palatino Linotype"/>
          <w:b/>
          <w:sz w:val="22"/>
          <w:szCs w:val="22"/>
        </w:rPr>
      </w:pPr>
      <w:r w:rsidRPr="00D86ECA">
        <w:rPr>
          <w:rFonts w:ascii="Palatino Linotype" w:eastAsia="Palatino Linotype" w:hAnsi="Palatino Linotype" w:cs="Palatino Linotype"/>
          <w:b/>
          <w:sz w:val="22"/>
          <w:szCs w:val="22"/>
        </w:rPr>
        <w:t>Clave Única de Registro de Población (CURP)</w:t>
      </w:r>
    </w:p>
    <w:p w14:paraId="64EDC103"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1012844F"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316A739C"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5BE20841"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96384A0"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49E3ADE4"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En ese orden de ideas, la Secretaría de Gobernación en las direcciones https://consultas.curp.gob.mx/CurpSP/html/informacionecurpPS.html y https://www.gob.mx/segob/renapo/acciones-y-programas/clave-unica-de-registro-de-</w:t>
      </w:r>
    </w:p>
    <w:p w14:paraId="3E92CD68"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poblacion-curp-</w:t>
      </w:r>
      <w:r>
        <w:rPr>
          <w:rFonts w:ascii="Palatino Linotype" w:eastAsia="Palatino Linotype" w:hAnsi="Palatino Linotype" w:cs="Palatino Linotype"/>
          <w:sz w:val="22"/>
          <w:szCs w:val="22"/>
        </w:rPr>
        <w:t>479</w:t>
      </w:r>
      <w:r w:rsidRPr="00D86ECA">
        <w:rPr>
          <w:rFonts w:ascii="Palatino Linotype" w:eastAsia="Palatino Linotype" w:hAnsi="Palatino Linotype" w:cs="Palatino Linotype"/>
          <w:sz w:val="22"/>
          <w:szCs w:val="22"/>
        </w:rPr>
        <w:t xml:space="preserve">226 (consultadas el diecisiete de mayo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D86ECA">
        <w:rPr>
          <w:rFonts w:ascii="Palatino Linotype" w:eastAsia="Palatino Linotype" w:hAnsi="Palatino Linotype" w:cs="Palatino Linotype"/>
          <w:b/>
          <w:sz w:val="22"/>
          <w:szCs w:val="22"/>
        </w:rPr>
        <w:t>se generan a partir de los datos contenidos en el documento probatorio de la identidad del interesado</w:t>
      </w:r>
      <w:r w:rsidRPr="00D86ECA">
        <w:rPr>
          <w:rFonts w:ascii="Palatino Linotype" w:eastAsia="Palatino Linotype" w:hAnsi="Palatino Linotype" w:cs="Palatino Linotype"/>
          <w:sz w:val="22"/>
          <w:szCs w:val="22"/>
        </w:rPr>
        <w:t xml:space="preserve"> (acta de nacimiento, carta de naturalización o documento migratorio) de la siguiente forma:</w:t>
      </w:r>
    </w:p>
    <w:p w14:paraId="20DEF6DC"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24B114DD" w14:textId="77777777" w:rsidR="00B53C01" w:rsidRPr="00D86ECA" w:rsidRDefault="00B53C01" w:rsidP="00B53C01">
      <w:pPr>
        <w:numPr>
          <w:ilvl w:val="0"/>
          <w:numId w:val="17"/>
        </w:num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El primero y segundo apellidos, así como al nombre de pila;</w:t>
      </w:r>
    </w:p>
    <w:p w14:paraId="387A2BF1" w14:textId="77777777" w:rsidR="00B53C01" w:rsidRPr="00D86ECA" w:rsidRDefault="00B53C01" w:rsidP="00B53C01">
      <w:pPr>
        <w:numPr>
          <w:ilvl w:val="0"/>
          <w:numId w:val="17"/>
        </w:num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lastRenderedPageBreak/>
        <w:t>La fecha de nacimiento;</w:t>
      </w:r>
    </w:p>
    <w:p w14:paraId="41F4853B" w14:textId="77777777" w:rsidR="00B53C01" w:rsidRPr="00D86ECA" w:rsidRDefault="00B53C01" w:rsidP="00B53C01">
      <w:pPr>
        <w:numPr>
          <w:ilvl w:val="0"/>
          <w:numId w:val="17"/>
        </w:num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El sexo, y</w:t>
      </w:r>
    </w:p>
    <w:p w14:paraId="5CA8099D" w14:textId="77777777" w:rsidR="00B53C01" w:rsidRPr="00D86ECA" w:rsidRDefault="00B53C01" w:rsidP="00B53C01">
      <w:pPr>
        <w:numPr>
          <w:ilvl w:val="0"/>
          <w:numId w:val="17"/>
        </w:num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La entidad federativa de nacimiento.</w:t>
      </w:r>
    </w:p>
    <w:p w14:paraId="3585BC6E"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669A8D1E"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Los dos últimos elementos de la Clave Única de Registro de Población evitan la duplicidad de la Clave y garantizan su correcta integración.</w:t>
      </w:r>
    </w:p>
    <w:p w14:paraId="5224AAD6"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63BAC602"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F4B14A5"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4E63B038"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Situación que se robustece, con el Criterio </w:t>
      </w:r>
      <w:r>
        <w:rPr>
          <w:rFonts w:ascii="Palatino Linotype" w:eastAsia="Palatino Linotype" w:hAnsi="Palatino Linotype" w:cs="Palatino Linotype"/>
          <w:sz w:val="22"/>
          <w:szCs w:val="22"/>
        </w:rPr>
        <w:t>Orientador</w:t>
      </w:r>
      <w:r w:rsidRPr="00D86ECA">
        <w:rPr>
          <w:rFonts w:ascii="Palatino Linotype" w:eastAsia="Palatino Linotype" w:hAnsi="Palatino Linotype" w:cs="Palatino Linotype"/>
          <w:sz w:val="22"/>
          <w:szCs w:val="22"/>
        </w:rPr>
        <w:t>, de la Segunda Época, con número de registro SO/018/2017, emitido por el</w:t>
      </w:r>
      <w:r>
        <w:rPr>
          <w:rFonts w:ascii="Palatino Linotype" w:eastAsia="Palatino Linotype" w:hAnsi="Palatino Linotype" w:cs="Palatino Linotype"/>
          <w:sz w:val="22"/>
          <w:szCs w:val="22"/>
        </w:rPr>
        <w:t xml:space="preserve"> entonces</w:t>
      </w:r>
      <w:r w:rsidRPr="00D86ECA">
        <w:rPr>
          <w:rFonts w:ascii="Palatino Linotype" w:eastAsia="Palatino Linotype" w:hAnsi="Palatino Linotype" w:cs="Palatino Linotype"/>
          <w:sz w:val="22"/>
          <w:szCs w:val="22"/>
        </w:rPr>
        <w:t xml:space="preserve"> Instituto Nacional de Transparencia, Acceso a la Información y Protección de Datos Personales, que establece lo siguiente:</w:t>
      </w:r>
    </w:p>
    <w:p w14:paraId="616C299C"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0D853AA3" w14:textId="77777777" w:rsidR="00B53C01" w:rsidRPr="00313A26" w:rsidRDefault="00B53C01" w:rsidP="00B53C01">
      <w:pPr>
        <w:spacing w:line="360" w:lineRule="auto"/>
        <w:ind w:left="567" w:right="567"/>
        <w:contextualSpacing/>
        <w:jc w:val="both"/>
        <w:rPr>
          <w:rFonts w:ascii="Palatino Linotype" w:eastAsia="Palatino Linotype" w:hAnsi="Palatino Linotype" w:cs="Palatino Linotype"/>
          <w:i/>
        </w:rPr>
      </w:pPr>
      <w:r w:rsidRPr="00313A26">
        <w:rPr>
          <w:rFonts w:ascii="Palatino Linotype" w:eastAsia="Palatino Linotype" w:hAnsi="Palatino Linotype" w:cs="Palatino Linotype"/>
          <w:b/>
          <w:i/>
        </w:rPr>
        <w:t xml:space="preserve">“Clave Única de Registro de Población (CURP). </w:t>
      </w:r>
      <w:r w:rsidRPr="00313A26">
        <w:rPr>
          <w:rFonts w:ascii="Palatino Linotype" w:eastAsia="Palatino Linotype" w:hAnsi="Palatino Linotype" w:cs="Palatino Linotype"/>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B274772" w14:textId="77777777" w:rsidR="00B53C01" w:rsidRPr="00D86ECA" w:rsidRDefault="00B53C01" w:rsidP="00B53C01">
      <w:pPr>
        <w:spacing w:line="360" w:lineRule="auto"/>
        <w:contextualSpacing/>
        <w:jc w:val="both"/>
        <w:rPr>
          <w:rFonts w:ascii="Palatino Linotype" w:eastAsia="Palatino Linotype" w:hAnsi="Palatino Linotype" w:cs="Palatino Linotype"/>
          <w:i/>
          <w:sz w:val="22"/>
          <w:szCs w:val="22"/>
        </w:rPr>
      </w:pPr>
      <w:r w:rsidRPr="00D86ECA">
        <w:rPr>
          <w:rFonts w:ascii="Palatino Linotype" w:eastAsia="Palatino Linotype" w:hAnsi="Palatino Linotype" w:cs="Palatino Linotype"/>
          <w:i/>
          <w:sz w:val="22"/>
          <w:szCs w:val="22"/>
        </w:rPr>
        <w:t xml:space="preserve"> </w:t>
      </w:r>
    </w:p>
    <w:p w14:paraId="3CECBE26"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De acuerdo con lo anterior, resulta procedente la clasificación de </w:t>
      </w:r>
      <w:r w:rsidRPr="00D86ECA">
        <w:rPr>
          <w:rFonts w:ascii="Palatino Linotype" w:eastAsia="Palatino Linotype" w:hAnsi="Palatino Linotype" w:cs="Palatino Linotype"/>
          <w:b/>
          <w:sz w:val="22"/>
          <w:szCs w:val="22"/>
        </w:rPr>
        <w:t>la Clave Única de Registro de Población</w:t>
      </w:r>
      <w:r w:rsidRPr="00D86ECA">
        <w:rPr>
          <w:rFonts w:ascii="Palatino Linotype" w:eastAsia="Palatino Linotype" w:hAnsi="Palatino Linotype" w:cs="Palatino Linotype"/>
          <w:sz w:val="22"/>
          <w:szCs w:val="22"/>
        </w:rPr>
        <w:t xml:space="preserve">, por tratarse de un dato personal confidencial, en términos del artículo 143, </w:t>
      </w:r>
      <w:r w:rsidRPr="00D86ECA">
        <w:rPr>
          <w:rFonts w:ascii="Palatino Linotype" w:eastAsia="Palatino Linotype" w:hAnsi="Palatino Linotype" w:cs="Palatino Linotype"/>
          <w:sz w:val="22"/>
          <w:szCs w:val="22"/>
        </w:rPr>
        <w:lastRenderedPageBreak/>
        <w:t xml:space="preserve">fracción I, de la Ley de Transparencia y Acceso a la Información Pública del Estado de México y Municipios. </w:t>
      </w:r>
    </w:p>
    <w:p w14:paraId="61479A8F"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1301493A" w14:textId="77777777" w:rsidR="00B53C01" w:rsidRPr="00D86ECA" w:rsidRDefault="00B53C01" w:rsidP="00B53C01">
      <w:pPr>
        <w:numPr>
          <w:ilvl w:val="0"/>
          <w:numId w:val="16"/>
        </w:numPr>
        <w:spacing w:line="360" w:lineRule="auto"/>
        <w:contextualSpacing/>
        <w:jc w:val="both"/>
        <w:rPr>
          <w:rFonts w:ascii="Palatino Linotype" w:eastAsia="Palatino Linotype" w:hAnsi="Palatino Linotype" w:cs="Palatino Linotype"/>
          <w:b/>
          <w:sz w:val="22"/>
          <w:szCs w:val="22"/>
        </w:rPr>
      </w:pPr>
      <w:r w:rsidRPr="00D86ECA">
        <w:rPr>
          <w:rFonts w:ascii="Palatino Linotype" w:eastAsia="Palatino Linotype" w:hAnsi="Palatino Linotype" w:cs="Palatino Linotype"/>
          <w:b/>
          <w:sz w:val="22"/>
          <w:szCs w:val="22"/>
        </w:rPr>
        <w:t>Registro Federal de Contribuyentes (RFC)</w:t>
      </w:r>
      <w:r>
        <w:rPr>
          <w:rFonts w:ascii="Palatino Linotype" w:eastAsia="Palatino Linotype" w:hAnsi="Palatino Linotype" w:cs="Palatino Linotype"/>
          <w:b/>
          <w:sz w:val="22"/>
          <w:szCs w:val="22"/>
        </w:rPr>
        <w:t xml:space="preserve"> de servidores públicos</w:t>
      </w:r>
    </w:p>
    <w:p w14:paraId="3362F16A"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75D443F3"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6B3FB650"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064210C7"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De acuerdo a lo establecido en el artículo en comento, esta clave se compone de trece caracteres alfanuméricos, con datos obtenidos de los apellidos, nombre(s), fecha de nacimiento del titular, más una </w:t>
      </w:r>
      <w:proofErr w:type="spellStart"/>
      <w:r w:rsidRPr="00D86ECA">
        <w:rPr>
          <w:rFonts w:ascii="Palatino Linotype" w:eastAsia="Palatino Linotype" w:hAnsi="Palatino Linotype" w:cs="Palatino Linotype"/>
          <w:sz w:val="22"/>
          <w:szCs w:val="22"/>
        </w:rPr>
        <w:t>homoclave</w:t>
      </w:r>
      <w:proofErr w:type="spellEnd"/>
      <w:r w:rsidRPr="00D86ECA">
        <w:rPr>
          <w:rFonts w:ascii="Palatino Linotype" w:eastAsia="Palatino Linotype" w:hAnsi="Palatino Linotype" w:cs="Palatino Linotype"/>
          <w:sz w:val="22"/>
          <w:szCs w:val="22"/>
        </w:rPr>
        <w:t xml:space="preserve"> que establece el sistema automático del Servicio de Administración Tributaria.</w:t>
      </w:r>
    </w:p>
    <w:p w14:paraId="2F8A638F"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6B1A2071"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45B716E" w14:textId="77777777" w:rsidR="00B53C01"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w:t>
      </w:r>
      <w:r w:rsidRPr="00D86ECA">
        <w:rPr>
          <w:rFonts w:ascii="Palatino Linotype" w:eastAsia="Palatino Linotype" w:hAnsi="Palatino Linotype" w:cs="Palatino Linotype"/>
          <w:sz w:val="22"/>
          <w:szCs w:val="22"/>
        </w:rPr>
        <w:lastRenderedPageBreak/>
        <w:t xml:space="preserve">personas involucrada, en el pago de estos, en el presente caso, del pago del Impuesto Sobre el Producto del Trabajo. </w:t>
      </w:r>
    </w:p>
    <w:p w14:paraId="231B75D5" w14:textId="77777777" w:rsidR="00B53C01" w:rsidRDefault="00B53C01" w:rsidP="00B53C01">
      <w:pPr>
        <w:spacing w:line="360" w:lineRule="auto"/>
        <w:contextualSpacing/>
        <w:jc w:val="both"/>
        <w:rPr>
          <w:rFonts w:ascii="Palatino Linotype" w:eastAsia="Palatino Linotype" w:hAnsi="Palatino Linotype" w:cs="Palatino Linotype"/>
          <w:sz w:val="22"/>
          <w:szCs w:val="22"/>
        </w:rPr>
      </w:pPr>
    </w:p>
    <w:p w14:paraId="6F84434B"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Lo anterior, resulta congruente con el Criterio </w:t>
      </w:r>
      <w:r>
        <w:rPr>
          <w:rFonts w:ascii="Palatino Linotype" w:eastAsia="Palatino Linotype" w:hAnsi="Palatino Linotype" w:cs="Palatino Linotype"/>
          <w:sz w:val="22"/>
          <w:szCs w:val="22"/>
        </w:rPr>
        <w:t>Orientador</w:t>
      </w:r>
      <w:r w:rsidRPr="00D86ECA">
        <w:rPr>
          <w:rFonts w:ascii="Palatino Linotype" w:eastAsia="Palatino Linotype" w:hAnsi="Palatino Linotype" w:cs="Palatino Linotype"/>
          <w:sz w:val="22"/>
          <w:szCs w:val="22"/>
        </w:rPr>
        <w:t xml:space="preserve">, de la Segunda Época, con número de registro SO/019/2017, emitido por el </w:t>
      </w:r>
      <w:r>
        <w:rPr>
          <w:rFonts w:ascii="Palatino Linotype" w:eastAsia="Palatino Linotype" w:hAnsi="Palatino Linotype" w:cs="Palatino Linotype"/>
          <w:sz w:val="22"/>
          <w:szCs w:val="22"/>
        </w:rPr>
        <w:t xml:space="preserve">entones </w:t>
      </w:r>
      <w:r w:rsidRPr="00D86ECA">
        <w:rPr>
          <w:rFonts w:ascii="Palatino Linotype" w:eastAsia="Palatino Linotype" w:hAnsi="Palatino Linotype" w:cs="Palatino Linotype"/>
          <w:sz w:val="22"/>
          <w:szCs w:val="22"/>
        </w:rPr>
        <w:t>Instituto Nacional de Transparencia, Acceso a la Información y Protección de Datos Personales, en el cual se señala lo siguiente:</w:t>
      </w:r>
    </w:p>
    <w:p w14:paraId="4016890F"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3B94E52F" w14:textId="77777777" w:rsidR="00B53C01" w:rsidRPr="00313A26" w:rsidRDefault="00B53C01" w:rsidP="00B53C01">
      <w:pPr>
        <w:spacing w:line="360" w:lineRule="auto"/>
        <w:ind w:left="567" w:right="567"/>
        <w:contextualSpacing/>
        <w:jc w:val="both"/>
        <w:rPr>
          <w:rFonts w:ascii="Palatino Linotype" w:eastAsia="Palatino Linotype" w:hAnsi="Palatino Linotype" w:cs="Palatino Linotype"/>
          <w:i/>
        </w:rPr>
      </w:pPr>
      <w:r w:rsidRPr="00313A26">
        <w:rPr>
          <w:rFonts w:ascii="Palatino Linotype" w:eastAsia="Palatino Linotype" w:hAnsi="Palatino Linotype" w:cs="Palatino Linotype"/>
          <w:b/>
          <w:i/>
        </w:rPr>
        <w:t>“Registro Federal de Contribuyentes (RFC) de personas físicas.</w:t>
      </w:r>
      <w:r w:rsidRPr="00313A26">
        <w:rPr>
          <w:rFonts w:ascii="Palatino Linotype" w:eastAsia="Palatino Linotype" w:hAnsi="Palatino Linotype" w:cs="Palatino Linotype"/>
          <w:i/>
        </w:rPr>
        <w:t xml:space="preserve"> El RFC es una clave de carácter fiscal, única e irrepetible, que permite identificar al titular, su edad y fecha de nacimiento, por lo que es un dato personal de carácter confidencial.”</w:t>
      </w:r>
    </w:p>
    <w:p w14:paraId="5A2902A8"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7257C4EA" w14:textId="77777777" w:rsidR="00B53C01" w:rsidRPr="00D86ECA" w:rsidRDefault="00B53C01" w:rsidP="00B53C01">
      <w:pPr>
        <w:spacing w:line="360" w:lineRule="auto"/>
        <w:contextualSpacing/>
        <w:jc w:val="both"/>
        <w:rPr>
          <w:rFonts w:ascii="Palatino Linotype" w:eastAsia="Palatino Linotype" w:hAnsi="Palatino Linotype" w:cs="Palatino Linotype"/>
          <w:b/>
          <w:sz w:val="22"/>
          <w:szCs w:val="22"/>
        </w:rPr>
      </w:pPr>
      <w:r w:rsidRPr="00D86ECA">
        <w:rPr>
          <w:rFonts w:ascii="Palatino Linotype" w:eastAsia="Palatino Linotype" w:hAnsi="Palatino Linotype" w:cs="Palatino Linotype"/>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r w:rsidRPr="00D86ECA">
        <w:rPr>
          <w:rFonts w:ascii="Palatino Linotype" w:eastAsia="Palatino Linotype" w:hAnsi="Palatino Linotype" w:cs="Palatino Linotype"/>
          <w:b/>
          <w:sz w:val="22"/>
          <w:szCs w:val="22"/>
        </w:rPr>
        <w:t xml:space="preserve"> </w:t>
      </w:r>
    </w:p>
    <w:p w14:paraId="2C2A35B4" w14:textId="77777777" w:rsidR="00B53C01"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6A5AF50F" w14:textId="77777777" w:rsidR="00B53C01" w:rsidRPr="00313A26" w:rsidRDefault="00B53C01" w:rsidP="00B53C01">
      <w:pPr>
        <w:numPr>
          <w:ilvl w:val="0"/>
          <w:numId w:val="16"/>
        </w:numPr>
        <w:spacing w:line="360" w:lineRule="auto"/>
        <w:contextualSpacing/>
        <w:jc w:val="both"/>
        <w:rPr>
          <w:rFonts w:ascii="Palatino Linotype" w:hAnsi="Palatino Linotype" w:cs="Tahoma"/>
          <w:bCs/>
          <w:sz w:val="22"/>
          <w:szCs w:val="22"/>
        </w:rPr>
      </w:pPr>
      <w:r w:rsidRPr="00313A26">
        <w:rPr>
          <w:rFonts w:ascii="Palatino Linotype" w:hAnsi="Palatino Linotype" w:cs="Tahoma"/>
          <w:b/>
          <w:sz w:val="22"/>
          <w:szCs w:val="22"/>
        </w:rPr>
        <w:t>Registro Federal de Contribuyentes del Sujeto Obligado</w:t>
      </w:r>
    </w:p>
    <w:p w14:paraId="3E7822E8" w14:textId="77777777" w:rsidR="00B53C01" w:rsidRPr="00313A26" w:rsidRDefault="00B53C01" w:rsidP="00B53C01">
      <w:pPr>
        <w:spacing w:line="360" w:lineRule="auto"/>
        <w:jc w:val="both"/>
        <w:rPr>
          <w:rFonts w:ascii="Palatino Linotype" w:hAnsi="Palatino Linotype" w:cs="Tahoma"/>
          <w:bCs/>
          <w:szCs w:val="22"/>
          <w:lang w:val="es-ES"/>
        </w:rPr>
      </w:pPr>
    </w:p>
    <w:p w14:paraId="21DFEBAF" w14:textId="21BF3F30" w:rsidR="00B53C01" w:rsidRPr="00313A26" w:rsidRDefault="00B53C01" w:rsidP="00B53C01">
      <w:pPr>
        <w:spacing w:line="360" w:lineRule="auto"/>
        <w:jc w:val="both"/>
        <w:rPr>
          <w:rFonts w:ascii="Palatino Linotype" w:hAnsi="Palatino Linotype" w:cs="Tahoma"/>
          <w:bCs/>
          <w:sz w:val="22"/>
          <w:szCs w:val="24"/>
        </w:rPr>
      </w:pPr>
      <w:r w:rsidRPr="00313A26">
        <w:rPr>
          <w:rFonts w:ascii="Palatino Linotype" w:hAnsi="Palatino Linotype" w:cs="Tahoma"/>
          <w:bCs/>
          <w:sz w:val="22"/>
          <w:szCs w:val="24"/>
        </w:rPr>
        <w:t xml:space="preserve">En principio, debe considerarse que el </w:t>
      </w:r>
      <w:r w:rsidR="00040814">
        <w:rPr>
          <w:rFonts w:ascii="Palatino Linotype" w:hAnsi="Palatino Linotype" w:cs="Tahoma"/>
          <w:bCs/>
          <w:sz w:val="22"/>
          <w:szCs w:val="24"/>
        </w:rPr>
        <w:t xml:space="preserve">Sujeto Obligado </w:t>
      </w:r>
      <w:r w:rsidRPr="00313A26">
        <w:rPr>
          <w:rFonts w:ascii="Palatino Linotype" w:hAnsi="Palatino Linotype" w:cs="Tahoma"/>
          <w:bCs/>
          <w:sz w:val="22"/>
          <w:szCs w:val="24"/>
        </w:rPr>
        <w:t xml:space="preserve">es una institución pública que opera con recursos de dicha naturaleza; por lo que, </w:t>
      </w:r>
      <w:r w:rsidRPr="00313A26">
        <w:rPr>
          <w:rFonts w:ascii="Palatino Linotype" w:hAnsi="Palatino Linotype" w:cs="Tahoma"/>
          <w:b/>
          <w:bCs/>
          <w:sz w:val="22"/>
          <w:szCs w:val="24"/>
        </w:rPr>
        <w:t>su Registro Federal del Contribuyente no es susceptible de ser clasificado</w:t>
      </w:r>
      <w:r w:rsidRPr="00313A26">
        <w:rPr>
          <w:rFonts w:ascii="Palatino Linotype" w:hAnsi="Palatino Linotype" w:cs="Tahoma"/>
          <w:bCs/>
          <w:sz w:val="22"/>
          <w:szCs w:val="24"/>
        </w:rPr>
        <w:t>, pues constituye la clave con la que efectúa operaciones fiscales para el buen desempeño de las funciones normativas que tiene encomendadas, aunado a que estas no se realizan en el ámbito de lo privado, sino que deben someterse al escrutinio público, con la finalidad de que la ciudadanía en general pueda ejercer su derecho fiscalizador sobre dichas instituciones.</w:t>
      </w:r>
    </w:p>
    <w:p w14:paraId="26616467" w14:textId="77777777" w:rsidR="00B53C01" w:rsidRPr="00313A26" w:rsidRDefault="00B53C01" w:rsidP="00B53C01">
      <w:pPr>
        <w:spacing w:line="360" w:lineRule="auto"/>
        <w:jc w:val="both"/>
        <w:rPr>
          <w:rFonts w:ascii="Palatino Linotype" w:hAnsi="Palatino Linotype" w:cs="Tahoma"/>
          <w:bCs/>
          <w:sz w:val="22"/>
          <w:szCs w:val="24"/>
        </w:rPr>
      </w:pPr>
    </w:p>
    <w:p w14:paraId="0155965E" w14:textId="77777777" w:rsidR="00B53C01" w:rsidRPr="00313A26" w:rsidRDefault="00B53C01" w:rsidP="00B53C01">
      <w:pPr>
        <w:spacing w:line="360" w:lineRule="auto"/>
        <w:jc w:val="both"/>
        <w:rPr>
          <w:rFonts w:ascii="Palatino Linotype" w:hAnsi="Palatino Linotype" w:cs="Tahoma"/>
          <w:bCs/>
          <w:sz w:val="22"/>
          <w:szCs w:val="24"/>
        </w:rPr>
      </w:pPr>
      <w:r w:rsidRPr="00313A26">
        <w:rPr>
          <w:rFonts w:ascii="Palatino Linotype" w:hAnsi="Palatino Linotype" w:cs="Tahoma"/>
          <w:bCs/>
          <w:sz w:val="22"/>
          <w:szCs w:val="24"/>
        </w:rPr>
        <w:lastRenderedPageBreak/>
        <w:t>Además, dicha situación se robustece, con el Criterio Orientador, con clave de registro SO/011/2017, del Instituto Nacional de Transparencia, Acceso a la Información y Protección de Datos Personales, que establece que la información que dé cuenta de la forma en que se administran los recursos públicos de los Sujetos Obligados, favorece a la rendición de cuentas de dichas instituciones; por lo que,</w:t>
      </w:r>
      <w:r w:rsidRPr="00313A26">
        <w:rPr>
          <w:rFonts w:ascii="Palatino Linotype" w:hAnsi="Palatino Linotype" w:cs="Tahoma"/>
          <w:sz w:val="22"/>
          <w:szCs w:val="24"/>
        </w:rPr>
        <w:t xml:space="preserve"> toda vez que el Ente Recurrido utiliza el dato en análisis, para acreditar ante el Servicio de Administración Tributaria, la utilización de recursos públicos, se concluye que no procede su clasificación, en términos del artículo 143, fracción I de la Ley de la materia.</w:t>
      </w:r>
    </w:p>
    <w:p w14:paraId="4B764A8C"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p>
    <w:p w14:paraId="1416B1C2" w14:textId="77777777" w:rsidR="00B53C01" w:rsidRPr="00D86ECA" w:rsidRDefault="00B53C01" w:rsidP="00B53C01">
      <w:pPr>
        <w:numPr>
          <w:ilvl w:val="0"/>
          <w:numId w:val="18"/>
        </w:numPr>
        <w:spacing w:line="360" w:lineRule="auto"/>
        <w:contextualSpacing/>
        <w:jc w:val="both"/>
        <w:rPr>
          <w:rFonts w:ascii="Palatino Linotype" w:eastAsia="Palatino Linotype" w:hAnsi="Palatino Linotype" w:cs="Palatino Linotype"/>
          <w:b/>
          <w:sz w:val="22"/>
          <w:szCs w:val="22"/>
        </w:rPr>
      </w:pPr>
      <w:r w:rsidRPr="00D86ECA">
        <w:rPr>
          <w:rFonts w:ascii="Palatino Linotype" w:eastAsia="Palatino Linotype" w:hAnsi="Palatino Linotype" w:cs="Palatino Linotype"/>
          <w:b/>
          <w:sz w:val="22"/>
          <w:szCs w:val="22"/>
        </w:rPr>
        <w:t xml:space="preserve">Código bidimensional o </w:t>
      </w:r>
      <w:proofErr w:type="spellStart"/>
      <w:r w:rsidRPr="00D86ECA">
        <w:rPr>
          <w:rFonts w:ascii="Palatino Linotype" w:eastAsia="Palatino Linotype" w:hAnsi="Palatino Linotype" w:cs="Palatino Linotype"/>
          <w:b/>
          <w:sz w:val="22"/>
          <w:szCs w:val="22"/>
        </w:rPr>
        <w:t>Qr</w:t>
      </w:r>
      <w:proofErr w:type="spellEnd"/>
    </w:p>
    <w:p w14:paraId="45AE16B3" w14:textId="77777777" w:rsidR="00B53C01" w:rsidRPr="00D86ECA" w:rsidRDefault="00B53C01" w:rsidP="00B53C01">
      <w:pPr>
        <w:spacing w:line="360" w:lineRule="auto"/>
        <w:contextualSpacing/>
        <w:jc w:val="both"/>
        <w:rPr>
          <w:rFonts w:ascii="Palatino Linotype" w:eastAsia="Palatino Linotype" w:hAnsi="Palatino Linotype" w:cs="Palatino Linotype"/>
          <w:b/>
          <w:sz w:val="22"/>
          <w:szCs w:val="22"/>
        </w:rPr>
      </w:pPr>
      <w:r w:rsidRPr="00D86ECA">
        <w:rPr>
          <w:rFonts w:ascii="Palatino Linotype" w:eastAsia="Palatino Linotype" w:hAnsi="Palatino Linotype" w:cs="Palatino Linotype"/>
          <w:b/>
          <w:sz w:val="22"/>
          <w:szCs w:val="22"/>
        </w:rPr>
        <w:t xml:space="preserve"> </w:t>
      </w:r>
    </w:p>
    <w:p w14:paraId="42A9A5D9"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En principio, resulta necesario señalar que los comprobantes fiscales digitales por Internet, deben de incluir un código bidimensional conforme al formato </w:t>
      </w:r>
      <w:r w:rsidRPr="00D86ECA">
        <w:rPr>
          <w:rFonts w:ascii="Palatino Linotype" w:eastAsia="Palatino Linotype" w:hAnsi="Palatino Linotype" w:cs="Palatino Linotype"/>
          <w:i/>
          <w:sz w:val="22"/>
          <w:szCs w:val="22"/>
        </w:rPr>
        <w:t>QR Code (Quick Response Code)</w:t>
      </w:r>
      <w:r w:rsidRPr="00D86ECA">
        <w:rPr>
          <w:rFonts w:ascii="Palatino Linotype" w:eastAsia="Palatino Linotype" w:hAnsi="Palatino Linotype" w:cs="Palatino Linotype"/>
          <w:sz w:val="22"/>
          <w:szCs w:val="22"/>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9" w:history="1">
        <w:r w:rsidRPr="00D86ECA">
          <w:rPr>
            <w:rStyle w:val="Hipervnculo"/>
            <w:rFonts w:ascii="Palatino Linotype" w:eastAsia="Palatino Linotype" w:hAnsi="Palatino Linotype" w:cs="Palatino Linotype"/>
            <w:sz w:val="22"/>
            <w:szCs w:val="22"/>
          </w:rPr>
          <w:t>http://dof.gob.mx/nota_detalle.php?codigo=5492254&amp;fecha=28/07/2017</w:t>
        </w:r>
      </w:hyperlink>
      <w:r w:rsidRPr="00D86ECA">
        <w:rPr>
          <w:rFonts w:ascii="Palatino Linotype" w:eastAsia="Palatino Linotype" w:hAnsi="Palatino Linotype" w:cs="Palatino Linotype"/>
          <w:sz w:val="22"/>
          <w:szCs w:val="22"/>
        </w:rPr>
        <w:t>. Incluso con la captura de dicho código, a través de la aplicación móvil del Servicio de Administración Tributaria, permite el acceso al Registro Federal de Contribuyentes, como del Sujeto Obligado, como de los servidores públicos.</w:t>
      </w:r>
    </w:p>
    <w:p w14:paraId="014C40FD"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6565E481"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10FC045B"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2F3FCDAF" w14:textId="77777777" w:rsidR="00B53C01" w:rsidRPr="00D86ECA" w:rsidRDefault="00B53C01" w:rsidP="00B53C01">
      <w:pPr>
        <w:numPr>
          <w:ilvl w:val="0"/>
          <w:numId w:val="18"/>
        </w:numPr>
        <w:spacing w:line="360" w:lineRule="auto"/>
        <w:contextualSpacing/>
        <w:jc w:val="both"/>
        <w:rPr>
          <w:rFonts w:ascii="Palatino Linotype" w:eastAsia="Palatino Linotype" w:hAnsi="Palatino Linotype" w:cs="Palatino Linotype"/>
          <w:b/>
          <w:sz w:val="22"/>
          <w:szCs w:val="22"/>
        </w:rPr>
      </w:pPr>
      <w:r w:rsidRPr="00D86ECA">
        <w:rPr>
          <w:rFonts w:ascii="Palatino Linotype" w:eastAsia="Palatino Linotype" w:hAnsi="Palatino Linotype" w:cs="Palatino Linotype"/>
          <w:b/>
          <w:sz w:val="22"/>
          <w:szCs w:val="22"/>
        </w:rPr>
        <w:lastRenderedPageBreak/>
        <w:t>Número de seguridad social del Instituto de Seguridad Social del Estado de México y Municipios.</w:t>
      </w:r>
    </w:p>
    <w:p w14:paraId="3DC27603" w14:textId="77777777" w:rsidR="00B53C01" w:rsidRPr="00D86ECA" w:rsidRDefault="00B53C01" w:rsidP="00B53C01">
      <w:pPr>
        <w:spacing w:line="360" w:lineRule="auto"/>
        <w:contextualSpacing/>
        <w:jc w:val="both"/>
        <w:rPr>
          <w:rFonts w:ascii="Palatino Linotype" w:eastAsia="Palatino Linotype" w:hAnsi="Palatino Linotype" w:cs="Palatino Linotype"/>
          <w:b/>
          <w:sz w:val="22"/>
          <w:szCs w:val="22"/>
        </w:rPr>
      </w:pPr>
      <w:r w:rsidRPr="00D86ECA">
        <w:rPr>
          <w:rFonts w:ascii="Palatino Linotype" w:eastAsia="Palatino Linotype" w:hAnsi="Palatino Linotype" w:cs="Palatino Linotype"/>
          <w:b/>
          <w:sz w:val="22"/>
          <w:szCs w:val="22"/>
        </w:rPr>
        <w:t xml:space="preserve"> </w:t>
      </w:r>
    </w:p>
    <w:p w14:paraId="683616D9"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7E1760CA"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61E91D0B"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D86ECA">
        <w:rPr>
          <w:rFonts w:ascii="Palatino Linotype" w:eastAsia="Palatino Linotype" w:hAnsi="Palatino Linotype" w:cs="Palatino Linotype"/>
          <w:b/>
          <w:sz w:val="22"/>
          <w:szCs w:val="22"/>
        </w:rPr>
        <w:t>y se le asigna una clave para hacer identificable al trabajador con el objetivo de poder proporcionar los servicios que brinda el Instituto de Seguridad Social del Estado de México y Municipios.</w:t>
      </w:r>
    </w:p>
    <w:p w14:paraId="470C0BFB"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343485FC"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5E04DA4E"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7B37C04B" w14:textId="77777777" w:rsidR="00B53C01"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lastRenderedPageBreak/>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24D8F4E9" w14:textId="77777777" w:rsidR="00B53C01" w:rsidRPr="00D86ECA" w:rsidRDefault="00B53C01" w:rsidP="00B53C01">
      <w:pPr>
        <w:spacing w:line="360" w:lineRule="auto"/>
        <w:contextualSpacing/>
        <w:jc w:val="both"/>
        <w:rPr>
          <w:rFonts w:ascii="Palatino Linotype" w:eastAsia="Palatino Linotype" w:hAnsi="Palatino Linotype" w:cs="Palatino Linotype"/>
          <w:b/>
          <w:sz w:val="22"/>
          <w:szCs w:val="22"/>
        </w:rPr>
      </w:pPr>
    </w:p>
    <w:p w14:paraId="32384545" w14:textId="77777777" w:rsidR="00B53C01" w:rsidRPr="00313A26" w:rsidRDefault="00B53C01" w:rsidP="00B53C01">
      <w:pPr>
        <w:numPr>
          <w:ilvl w:val="0"/>
          <w:numId w:val="19"/>
        </w:numPr>
        <w:spacing w:line="360" w:lineRule="auto"/>
        <w:rPr>
          <w:rFonts w:ascii="Palatino Linotype" w:eastAsia="Calibri" w:hAnsi="Palatino Linotype"/>
          <w:b/>
          <w:bCs/>
          <w:sz w:val="22"/>
          <w:szCs w:val="22"/>
        </w:rPr>
      </w:pPr>
      <w:r w:rsidRPr="00D86ECA">
        <w:rPr>
          <w:rFonts w:ascii="Palatino Linotype" w:eastAsia="Palatino Linotype" w:hAnsi="Palatino Linotype" w:cs="Palatino Linotype"/>
          <w:b/>
          <w:sz w:val="22"/>
          <w:szCs w:val="22"/>
        </w:rPr>
        <w:t xml:space="preserve"> </w:t>
      </w:r>
      <w:r w:rsidRPr="00313A26">
        <w:rPr>
          <w:rFonts w:ascii="Palatino Linotype" w:eastAsia="Calibri" w:hAnsi="Palatino Linotype"/>
          <w:b/>
          <w:bCs/>
          <w:sz w:val="22"/>
          <w:szCs w:val="22"/>
        </w:rPr>
        <w:t>Deducciones por Ley</w:t>
      </w:r>
    </w:p>
    <w:p w14:paraId="33C62B81" w14:textId="77777777" w:rsidR="00B53C01" w:rsidRPr="00313A26" w:rsidRDefault="00B53C01" w:rsidP="00B53C01">
      <w:pPr>
        <w:spacing w:line="360" w:lineRule="auto"/>
        <w:jc w:val="both"/>
        <w:rPr>
          <w:rFonts w:ascii="Palatino Linotype" w:eastAsia="Calibri" w:hAnsi="Palatino Linotype"/>
          <w:sz w:val="22"/>
          <w:szCs w:val="22"/>
        </w:rPr>
      </w:pPr>
    </w:p>
    <w:p w14:paraId="547FB99F" w14:textId="77777777" w:rsidR="00B53C01" w:rsidRPr="00313A26" w:rsidRDefault="00B53C01" w:rsidP="00B53C01">
      <w:pPr>
        <w:spacing w:line="360" w:lineRule="auto"/>
        <w:jc w:val="both"/>
        <w:rPr>
          <w:rFonts w:ascii="Palatino Linotype" w:eastAsia="Calibri" w:hAnsi="Palatino Linotype"/>
          <w:sz w:val="22"/>
          <w:szCs w:val="22"/>
        </w:rPr>
      </w:pPr>
      <w:r w:rsidRPr="00313A26">
        <w:rPr>
          <w:rFonts w:ascii="Palatino Linotype" w:eastAsia="Calibri" w:hAnsi="Palatino Linotype"/>
          <w:sz w:val="22"/>
          <w:szCs w:val="22"/>
        </w:rPr>
        <w:t>Sobre dichos datos, el artículo 84 de la Ley del Trabajo de los Servidores Públicos del Estado de México y Municipios, establece que a los trabajadores gubernamentales se les podrán aplicar diversos descuentos o deducciones, entre las cuales, se encuentran los gravámenes fiscales relacionados con el sueldo (ISR o ISPT), descuentos ordenados por el Instituto de Seguridad Social del Estado de México y Municipios, con motivo de las cuotas para acceder a los servicios de salud y descuentos por faltas de puntualidad o de asistencias justificadas.</w:t>
      </w:r>
    </w:p>
    <w:p w14:paraId="4300E6B9" w14:textId="77777777" w:rsidR="00B53C01" w:rsidRPr="00313A26" w:rsidRDefault="00B53C01" w:rsidP="00B53C01">
      <w:pPr>
        <w:spacing w:line="360" w:lineRule="auto"/>
        <w:jc w:val="both"/>
        <w:rPr>
          <w:rFonts w:ascii="Palatino Linotype" w:eastAsia="Calibri" w:hAnsi="Palatino Linotype"/>
          <w:sz w:val="22"/>
          <w:szCs w:val="22"/>
        </w:rPr>
      </w:pPr>
    </w:p>
    <w:p w14:paraId="14A01882" w14:textId="77777777" w:rsidR="00B53C01" w:rsidRPr="00313A26" w:rsidRDefault="00B53C01" w:rsidP="00B53C01">
      <w:pPr>
        <w:spacing w:line="360" w:lineRule="auto"/>
        <w:jc w:val="both"/>
        <w:rPr>
          <w:rFonts w:ascii="Palatino Linotype" w:eastAsia="Calibri" w:hAnsi="Palatino Linotype"/>
          <w:sz w:val="22"/>
          <w:szCs w:val="22"/>
        </w:rPr>
      </w:pPr>
      <w:r w:rsidRPr="00313A26">
        <w:rPr>
          <w:rFonts w:ascii="Palatino Linotype" w:eastAsia="Calibri" w:hAnsi="Palatino Linotype"/>
          <w:sz w:val="22"/>
          <w:szCs w:val="22"/>
        </w:rPr>
        <w:t>Conforme a lo anterior dichas deducciones, suelen ser obligatorias y dan cuenta, de que el Sujeto Obligado cumple con sus responsabilidades como patrón, relacionadas con la retención de parte del ingreso de sus trabajadores, para cubrir las deducciones genéricas y obligatorias.</w:t>
      </w:r>
    </w:p>
    <w:p w14:paraId="5CD8E9C6" w14:textId="77777777" w:rsidR="00B53C01" w:rsidRPr="00313A26" w:rsidRDefault="00B53C01" w:rsidP="00B53C01">
      <w:pPr>
        <w:spacing w:line="360" w:lineRule="auto"/>
        <w:jc w:val="both"/>
        <w:rPr>
          <w:rFonts w:ascii="Palatino Linotype" w:eastAsia="Calibri" w:hAnsi="Palatino Linotype"/>
          <w:sz w:val="22"/>
          <w:szCs w:val="22"/>
        </w:rPr>
      </w:pPr>
    </w:p>
    <w:p w14:paraId="088D33C4" w14:textId="77777777" w:rsidR="00B53C01" w:rsidRPr="00313A26" w:rsidRDefault="00B53C01" w:rsidP="00B53C01">
      <w:pPr>
        <w:spacing w:line="360" w:lineRule="auto"/>
        <w:jc w:val="both"/>
        <w:rPr>
          <w:rFonts w:ascii="Palatino Linotype" w:eastAsia="Calibri" w:hAnsi="Palatino Linotype"/>
          <w:sz w:val="22"/>
          <w:szCs w:val="22"/>
        </w:rPr>
      </w:pPr>
      <w:r w:rsidRPr="00313A26">
        <w:rPr>
          <w:rFonts w:ascii="Palatino Linotype" w:eastAsia="Calibri" w:hAnsi="Palatino Linotype"/>
          <w:sz w:val="22"/>
          <w:szCs w:val="22"/>
        </w:rPr>
        <w:t>Como se logra observar, dichas deducciones, son las renciones que realizan las dependencias y entidades, de manera obligatoria por estar establecidas en diversas leyes, como la Ley del Impuesto sobre la Renta y la Ley de Seguridad Social para los Servidores Públicos del Estado de México y Municipios (gravámenes fiscales), o bien, la Ley de Servidores Públicos del Estado de México y Municipios (descuentos por faltas o inasistencias).</w:t>
      </w:r>
    </w:p>
    <w:p w14:paraId="2C0789B8" w14:textId="77777777" w:rsidR="00B53C01" w:rsidRPr="00313A26" w:rsidRDefault="00B53C01" w:rsidP="00B53C01">
      <w:pPr>
        <w:spacing w:line="360" w:lineRule="auto"/>
        <w:jc w:val="both"/>
        <w:rPr>
          <w:rFonts w:ascii="Palatino Linotype" w:eastAsia="Calibri" w:hAnsi="Palatino Linotype"/>
          <w:sz w:val="22"/>
          <w:szCs w:val="22"/>
        </w:rPr>
      </w:pPr>
    </w:p>
    <w:p w14:paraId="383B356E" w14:textId="77777777" w:rsidR="00B53C01" w:rsidRPr="00313A26" w:rsidRDefault="00B53C01" w:rsidP="00B53C01">
      <w:pPr>
        <w:spacing w:line="360" w:lineRule="auto"/>
        <w:jc w:val="both"/>
        <w:rPr>
          <w:rFonts w:ascii="Palatino Linotype" w:eastAsia="Calibri" w:hAnsi="Palatino Linotype"/>
          <w:sz w:val="22"/>
          <w:szCs w:val="22"/>
        </w:rPr>
      </w:pPr>
      <w:r w:rsidRPr="00313A26">
        <w:rPr>
          <w:rFonts w:ascii="Palatino Linotype" w:eastAsia="Calibri" w:hAnsi="Palatino Linotype"/>
          <w:sz w:val="22"/>
          <w:szCs w:val="22"/>
        </w:rPr>
        <w:t>Además, se advierte en el presente caso, que la servidora pública si cuenta con estas deducciones, pues el Sujeto Obligado, clasificó de manera correcta, su número de seguridad social (régimen de trabajo).</w:t>
      </w:r>
    </w:p>
    <w:p w14:paraId="527D91C7" w14:textId="77777777" w:rsidR="00B53C01" w:rsidRPr="00313A26" w:rsidRDefault="00B53C01" w:rsidP="00B53C01">
      <w:pPr>
        <w:spacing w:line="360" w:lineRule="auto"/>
        <w:jc w:val="both"/>
        <w:rPr>
          <w:rFonts w:ascii="Palatino Linotype" w:eastAsia="Calibri" w:hAnsi="Palatino Linotype"/>
          <w:sz w:val="22"/>
          <w:szCs w:val="22"/>
        </w:rPr>
      </w:pPr>
    </w:p>
    <w:p w14:paraId="364E70CF" w14:textId="4B156BF4" w:rsidR="00B53C01" w:rsidRPr="00313A26" w:rsidRDefault="00B53C01" w:rsidP="00B53C01">
      <w:pPr>
        <w:spacing w:line="360" w:lineRule="auto"/>
        <w:jc w:val="both"/>
        <w:rPr>
          <w:rFonts w:ascii="Palatino Linotype" w:eastAsia="Calibri" w:hAnsi="Palatino Linotype"/>
          <w:sz w:val="22"/>
          <w:szCs w:val="22"/>
        </w:rPr>
      </w:pPr>
      <w:r w:rsidRPr="00313A26">
        <w:rPr>
          <w:rFonts w:ascii="Palatino Linotype" w:eastAsia="Calibri" w:hAnsi="Palatino Linotype"/>
          <w:sz w:val="22"/>
          <w:szCs w:val="22"/>
        </w:rPr>
        <w:t xml:space="preserve">Por tal circunstancia y toda vez, que las deducciones por Ley, son de carácter obligatorio y ayuda a rendir cuentas, de que el </w:t>
      </w:r>
      <w:r w:rsidR="00040814">
        <w:rPr>
          <w:rFonts w:ascii="Palatino Linotype" w:eastAsia="Calibri" w:hAnsi="Palatino Linotype"/>
          <w:sz w:val="22"/>
          <w:szCs w:val="22"/>
        </w:rPr>
        <w:t xml:space="preserve">Sujeto Obligado </w:t>
      </w:r>
      <w:r w:rsidRPr="00313A26">
        <w:rPr>
          <w:rFonts w:ascii="Palatino Linotype" w:eastAsia="Calibri" w:hAnsi="Palatino Linotype"/>
          <w:sz w:val="22"/>
          <w:szCs w:val="22"/>
        </w:rPr>
        <w:t>cumple con sus funciones de patrón, al retener determinado monto del sueldo de los servidores públicos, es que se considera que son de naturaleza pública y, por lo tanto, no procede la clasificación, en términos del artículo 143, fracción I, de la Ley de Transparencia y Acceso a la Información Pública del Estado de México y Municipios.</w:t>
      </w:r>
    </w:p>
    <w:p w14:paraId="7A4A9627" w14:textId="77777777" w:rsidR="00B53C01" w:rsidRPr="00313A26" w:rsidRDefault="00B53C01" w:rsidP="00B53C01">
      <w:pPr>
        <w:spacing w:line="360" w:lineRule="auto"/>
        <w:jc w:val="both"/>
        <w:rPr>
          <w:rFonts w:ascii="Palatino Linotype" w:eastAsia="Calibri" w:hAnsi="Palatino Linotype"/>
          <w:sz w:val="22"/>
          <w:szCs w:val="22"/>
        </w:rPr>
      </w:pPr>
    </w:p>
    <w:p w14:paraId="1A6F5805" w14:textId="77777777" w:rsidR="00B53C01" w:rsidRPr="00D86ECA" w:rsidRDefault="00B53C01" w:rsidP="00B53C01">
      <w:pPr>
        <w:numPr>
          <w:ilvl w:val="0"/>
          <w:numId w:val="16"/>
        </w:numPr>
        <w:spacing w:line="360" w:lineRule="auto"/>
        <w:contextualSpacing/>
        <w:jc w:val="both"/>
        <w:rPr>
          <w:rFonts w:ascii="Palatino Linotype" w:eastAsia="Palatino Linotype" w:hAnsi="Palatino Linotype" w:cs="Palatino Linotype"/>
          <w:b/>
          <w:sz w:val="22"/>
          <w:szCs w:val="22"/>
        </w:rPr>
      </w:pPr>
      <w:r w:rsidRPr="00D86ECA">
        <w:rPr>
          <w:rFonts w:ascii="Palatino Linotype" w:eastAsia="Palatino Linotype" w:hAnsi="Palatino Linotype" w:cs="Palatino Linotype"/>
          <w:b/>
          <w:sz w:val="22"/>
          <w:szCs w:val="22"/>
        </w:rPr>
        <w:t>Descuentos personales</w:t>
      </w:r>
    </w:p>
    <w:p w14:paraId="3C90896A" w14:textId="77777777" w:rsidR="00B53C01" w:rsidRPr="00D86ECA" w:rsidRDefault="00B53C01" w:rsidP="00B53C01">
      <w:pPr>
        <w:spacing w:line="360" w:lineRule="auto"/>
        <w:contextualSpacing/>
        <w:jc w:val="both"/>
        <w:rPr>
          <w:rFonts w:ascii="Palatino Linotype" w:eastAsia="Palatino Linotype" w:hAnsi="Palatino Linotype" w:cs="Palatino Linotype"/>
          <w:b/>
          <w:sz w:val="22"/>
          <w:szCs w:val="22"/>
        </w:rPr>
      </w:pPr>
      <w:r w:rsidRPr="00D86ECA">
        <w:rPr>
          <w:rFonts w:ascii="Palatino Linotype" w:eastAsia="Palatino Linotype" w:hAnsi="Palatino Linotype" w:cs="Palatino Linotype"/>
          <w:b/>
          <w:sz w:val="22"/>
          <w:szCs w:val="22"/>
        </w:rPr>
        <w:t xml:space="preserve"> </w:t>
      </w:r>
    </w:p>
    <w:p w14:paraId="0FF479EF"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Es necesario precisar que existen deducciones que se generan con motivo de una decisión libre y voluntaria de los servidores públicos, como son: créditos personales, cuotas sindicales, los fondos de resistencia, de mutualidad y de ahorro del Sindicato Único de Trabajadores de los Poderes, Municipios e Institución Descentralizadas del Estado de México, seguro de vida, accidentes y enfermedades.</w:t>
      </w:r>
    </w:p>
    <w:p w14:paraId="30F671CF"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7978DD93"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Asimismo, hay otras que se generan con motivo de una sentencia judicial, como es la pensión alimenticia que periódicamente se retira de la cuenta de un empleado, a efecto de que sea entregado a un tercero.  </w:t>
      </w:r>
    </w:p>
    <w:p w14:paraId="2CD94644"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26696DE7"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w:t>
      </w:r>
      <w:r w:rsidRPr="00D86ECA">
        <w:rPr>
          <w:rFonts w:ascii="Palatino Linotype" w:eastAsia="Palatino Linotype" w:hAnsi="Palatino Linotype" w:cs="Palatino Linotype"/>
          <w:sz w:val="22"/>
          <w:szCs w:val="22"/>
        </w:rPr>
        <w:lastRenderedPageBreak/>
        <w:t xml:space="preserve">erario, y tampoco reflejan el ejercicio de una prestación; por el contrario, en dichos casos se trata del libre ejercicio del servidor público para disponer de un ingreso que forma parte de su patrimonio. </w:t>
      </w:r>
    </w:p>
    <w:p w14:paraId="35AA1088"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 xml:space="preserve"> </w:t>
      </w:r>
    </w:p>
    <w:p w14:paraId="58491489" w14:textId="77777777" w:rsidR="00B53C01" w:rsidRPr="00D86ECA" w:rsidRDefault="00B53C01" w:rsidP="00B53C01">
      <w:pPr>
        <w:spacing w:line="360" w:lineRule="auto"/>
        <w:contextualSpacing/>
        <w:jc w:val="both"/>
        <w:rPr>
          <w:rFonts w:ascii="Palatino Linotype" w:eastAsia="Palatino Linotype" w:hAnsi="Palatino Linotype" w:cs="Palatino Linotype"/>
          <w:sz w:val="22"/>
          <w:szCs w:val="22"/>
        </w:rPr>
      </w:pPr>
      <w:r w:rsidRPr="00D86ECA">
        <w:rPr>
          <w:rFonts w:ascii="Palatino Linotype" w:eastAsia="Palatino Linotype" w:hAnsi="Palatino Linotype" w:cs="Palatino Linotype"/>
          <w:sz w:val="22"/>
          <w:szCs w:val="22"/>
        </w:rPr>
        <w:t>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Cabe precisar que, tanto en respuesta, como Informe Justificado, el Sujeto Obligado dejó visible las cuotas sindicales y los fondos de resistencia, de mutualidad y de ahorro del Sindicato Único de Trabajadores de los Poderes, Municipios e Institución Descentralizadas del Estado de México.</w:t>
      </w:r>
    </w:p>
    <w:p w14:paraId="06A5B187" w14:textId="77777777" w:rsidR="00B53C01" w:rsidRPr="00D86ECA" w:rsidRDefault="00B53C01" w:rsidP="00B53C01">
      <w:pPr>
        <w:spacing w:line="360" w:lineRule="auto"/>
        <w:contextualSpacing/>
        <w:jc w:val="both"/>
        <w:rPr>
          <w:rFonts w:ascii="Palatino Linotype" w:eastAsia="Palatino Linotype" w:hAnsi="Palatino Linotype" w:cs="Palatino Linotype"/>
          <w:b/>
          <w:sz w:val="22"/>
          <w:szCs w:val="22"/>
        </w:rPr>
      </w:pPr>
      <w:r w:rsidRPr="00D86ECA">
        <w:rPr>
          <w:rFonts w:ascii="Palatino Linotype" w:eastAsia="Palatino Linotype" w:hAnsi="Palatino Linotype" w:cs="Palatino Linotype"/>
          <w:b/>
          <w:sz w:val="22"/>
          <w:szCs w:val="22"/>
        </w:rPr>
        <w:t xml:space="preserve"> </w:t>
      </w:r>
    </w:p>
    <w:p w14:paraId="1D982EC9" w14:textId="77777777" w:rsidR="00B53C01" w:rsidRPr="00313A26" w:rsidRDefault="00B53C01" w:rsidP="00B53C01">
      <w:pPr>
        <w:numPr>
          <w:ilvl w:val="0"/>
          <w:numId w:val="20"/>
        </w:numPr>
        <w:spacing w:after="160" w:line="360" w:lineRule="auto"/>
        <w:jc w:val="both"/>
        <w:rPr>
          <w:rFonts w:ascii="Palatino Linotype" w:eastAsia="Palatino Linotype" w:hAnsi="Palatino Linotype" w:cs="Palatino Linotype"/>
          <w:color w:val="000000"/>
          <w:sz w:val="22"/>
          <w:szCs w:val="22"/>
          <w:lang w:eastAsia="es-MX"/>
        </w:rPr>
      </w:pPr>
      <w:r w:rsidRPr="00313A26">
        <w:rPr>
          <w:rFonts w:ascii="Palatino Linotype" w:eastAsia="Palatino Linotype" w:hAnsi="Palatino Linotype" w:cs="Palatino Linotype"/>
          <w:b/>
          <w:color w:val="000000"/>
          <w:sz w:val="22"/>
          <w:szCs w:val="22"/>
          <w:lang w:eastAsia="es-MX"/>
        </w:rPr>
        <w:t xml:space="preserve">Sellos digitales del emisor y del Servicio de Administración Tributaria y cadena original del complemento de certificación digital del órgano previamente señalado; así como los respectivos números de serie de los certificados de sellos digitales, folio fiscal y número de serie del emisor. </w:t>
      </w:r>
    </w:p>
    <w:p w14:paraId="724784F9" w14:textId="77777777" w:rsidR="00B53C01" w:rsidRPr="00313A26" w:rsidRDefault="00B53C01" w:rsidP="00B53C01">
      <w:pPr>
        <w:spacing w:line="360" w:lineRule="auto"/>
        <w:ind w:left="720"/>
        <w:jc w:val="both"/>
        <w:rPr>
          <w:rFonts w:ascii="Palatino Linotype" w:eastAsia="Palatino Linotype" w:hAnsi="Palatino Linotype" w:cs="Palatino Linotype"/>
          <w:color w:val="000000"/>
          <w:sz w:val="22"/>
          <w:szCs w:val="22"/>
          <w:lang w:eastAsia="es-MX"/>
        </w:rPr>
      </w:pPr>
    </w:p>
    <w:p w14:paraId="3CC527E3" w14:textId="77777777" w:rsidR="00B53C01" w:rsidRPr="00313A26" w:rsidRDefault="00B53C01" w:rsidP="00B53C01">
      <w:pPr>
        <w:spacing w:line="360" w:lineRule="auto"/>
        <w:jc w:val="both"/>
        <w:rPr>
          <w:rFonts w:ascii="Palatino Linotype" w:eastAsia="Palatino Linotype" w:hAnsi="Palatino Linotype" w:cs="Palatino Linotype"/>
          <w:color w:val="000000"/>
          <w:sz w:val="22"/>
          <w:szCs w:val="22"/>
          <w:lang w:eastAsia="es-MX"/>
        </w:rPr>
      </w:pPr>
      <w:r w:rsidRPr="00313A26">
        <w:rPr>
          <w:rFonts w:ascii="Palatino Linotype" w:eastAsia="Palatino Linotype" w:hAnsi="Palatino Linotype" w:cs="Palatino Linotype"/>
          <w:color w:val="000000"/>
          <w:sz w:val="22"/>
          <w:szCs w:val="22"/>
          <w:lang w:eastAsia="es-MX"/>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w:t>
      </w:r>
      <w:r w:rsidRPr="00313A26">
        <w:rPr>
          <w:rFonts w:ascii="Palatino Linotype" w:eastAsia="Palatino Linotype" w:hAnsi="Palatino Linotype" w:cs="Palatino Linotype"/>
          <w:color w:val="000000"/>
          <w:sz w:val="22"/>
          <w:szCs w:val="22"/>
          <w:lang w:eastAsia="es-MX"/>
        </w:rPr>
        <w:lastRenderedPageBreak/>
        <w:t>la información personal de los contribuyentes, esta se encuentra encriptada como se verá a continuación.</w:t>
      </w:r>
    </w:p>
    <w:p w14:paraId="72980ACD" w14:textId="77777777" w:rsidR="00B53C01" w:rsidRPr="00313A26" w:rsidRDefault="00B53C01" w:rsidP="00B53C01">
      <w:pPr>
        <w:spacing w:line="360" w:lineRule="auto"/>
        <w:jc w:val="both"/>
        <w:rPr>
          <w:rFonts w:ascii="Palatino Linotype" w:eastAsia="Palatino Linotype" w:hAnsi="Palatino Linotype" w:cs="Palatino Linotype"/>
          <w:color w:val="000000"/>
          <w:sz w:val="22"/>
          <w:szCs w:val="22"/>
          <w:lang w:eastAsia="es-MX"/>
        </w:rPr>
      </w:pPr>
      <w:r w:rsidRPr="00313A26">
        <w:rPr>
          <w:rFonts w:ascii="Palatino Linotype" w:eastAsia="Palatino Linotype" w:hAnsi="Palatino Linotype" w:cs="Palatino Linotype"/>
          <w:color w:val="000000"/>
          <w:sz w:val="22"/>
          <w:szCs w:val="22"/>
          <w:lang w:eastAsia="es-MX"/>
        </w:rPr>
        <w:t> </w:t>
      </w:r>
    </w:p>
    <w:p w14:paraId="4DE3446C" w14:textId="77777777" w:rsidR="00B53C01" w:rsidRPr="00313A26" w:rsidRDefault="00B53C01" w:rsidP="00B53C01">
      <w:pPr>
        <w:spacing w:line="360" w:lineRule="auto"/>
        <w:jc w:val="both"/>
        <w:rPr>
          <w:rFonts w:ascii="Palatino Linotype" w:eastAsia="Palatino Linotype" w:hAnsi="Palatino Linotype" w:cs="Palatino Linotype"/>
          <w:color w:val="000000"/>
          <w:sz w:val="22"/>
          <w:szCs w:val="22"/>
          <w:lang w:eastAsia="es-MX"/>
        </w:rPr>
      </w:pPr>
      <w:r w:rsidRPr="00313A26">
        <w:rPr>
          <w:rFonts w:ascii="Palatino Linotype" w:eastAsia="Palatino Linotype" w:hAnsi="Palatino Linotype" w:cs="Palatino Linotype"/>
          <w:color w:val="000000"/>
          <w:sz w:val="22"/>
          <w:szCs w:val="22"/>
          <w:lang w:eastAsia="es-MX"/>
        </w:rPr>
        <w:t>Las cadenas originales y sellos que se agregan a las facturas</w:t>
      </w:r>
      <w:r w:rsidRPr="00313A26">
        <w:rPr>
          <w:rFonts w:ascii="Palatino Linotype" w:eastAsia="Palatino Linotype" w:hAnsi="Palatino Linotype" w:cs="Palatino Linotype"/>
          <w:b/>
          <w:color w:val="000000"/>
          <w:sz w:val="22"/>
          <w:szCs w:val="22"/>
          <w:lang w:eastAsia="es-MX"/>
        </w:rPr>
        <w:t>,</w:t>
      </w:r>
      <w:r w:rsidRPr="00313A26">
        <w:rPr>
          <w:rFonts w:ascii="Palatino Linotype" w:eastAsia="Palatino Linotype" w:hAnsi="Palatino Linotype" w:cs="Palatino Linotype"/>
          <w:color w:val="000000"/>
          <w:sz w:val="22"/>
          <w:szCs w:val="22"/>
          <w:lang w:eastAsia="es-MX"/>
        </w:rPr>
        <w:t xml:space="preserve"> tienen una secuencia de generación, determinados con base en el ANEXO 20 de la Segunda Resolución de modificaciones a la Resolución Miscelánea Fiscal, que precisa los datos de los que se componen los elementos de seguridad y se puntualiza que dicha información está encriptada.</w:t>
      </w:r>
    </w:p>
    <w:p w14:paraId="22C4B715" w14:textId="77777777" w:rsidR="00B53C01" w:rsidRPr="00313A26" w:rsidRDefault="00B53C01" w:rsidP="00B53C01">
      <w:pPr>
        <w:spacing w:line="360" w:lineRule="auto"/>
        <w:jc w:val="both"/>
        <w:rPr>
          <w:rFonts w:ascii="Palatino Linotype" w:eastAsia="Palatino Linotype" w:hAnsi="Palatino Linotype" w:cs="Palatino Linotype"/>
          <w:color w:val="000000"/>
          <w:sz w:val="22"/>
          <w:szCs w:val="22"/>
          <w:lang w:eastAsia="es-MX"/>
        </w:rPr>
      </w:pPr>
      <w:r w:rsidRPr="00313A26">
        <w:rPr>
          <w:rFonts w:ascii="Palatino Linotype" w:eastAsia="Palatino Linotype" w:hAnsi="Palatino Linotype" w:cs="Palatino Linotype"/>
          <w:color w:val="000000"/>
          <w:sz w:val="22"/>
          <w:szCs w:val="22"/>
          <w:lang w:eastAsia="es-MX"/>
        </w:rPr>
        <w:t> </w:t>
      </w:r>
    </w:p>
    <w:p w14:paraId="6FB05DEB" w14:textId="77777777" w:rsidR="00B53C01" w:rsidRPr="00313A26" w:rsidRDefault="00B53C01" w:rsidP="00B53C01">
      <w:pPr>
        <w:spacing w:line="360" w:lineRule="auto"/>
        <w:ind w:left="567" w:right="539"/>
        <w:jc w:val="both"/>
        <w:rPr>
          <w:rFonts w:ascii="Palatino Linotype" w:eastAsia="Palatino Linotype" w:hAnsi="Palatino Linotype" w:cs="Palatino Linotype"/>
          <w:i/>
          <w:color w:val="000000"/>
          <w:lang w:eastAsia="es-MX"/>
        </w:rPr>
      </w:pPr>
      <w:r w:rsidRPr="00313A26">
        <w:rPr>
          <w:rFonts w:ascii="Palatino Linotype" w:eastAsia="Palatino Linotype" w:hAnsi="Palatino Linotype" w:cs="Palatino Linotype"/>
          <w:i/>
          <w:color w:val="000000"/>
          <w:lang w:eastAsia="es-MX"/>
        </w:rPr>
        <w:t>“…</w:t>
      </w:r>
    </w:p>
    <w:p w14:paraId="5C0FF08A" w14:textId="77777777" w:rsidR="00B53C01" w:rsidRPr="00313A26" w:rsidRDefault="00B53C01" w:rsidP="00B53C01">
      <w:pPr>
        <w:spacing w:line="360" w:lineRule="auto"/>
        <w:ind w:left="567" w:right="539"/>
        <w:jc w:val="both"/>
        <w:rPr>
          <w:rFonts w:ascii="Palatino Linotype" w:eastAsia="Palatino Linotype" w:hAnsi="Palatino Linotype" w:cs="Palatino Linotype"/>
          <w:i/>
          <w:color w:val="000000"/>
          <w:lang w:eastAsia="es-MX"/>
        </w:rPr>
      </w:pPr>
      <w:r w:rsidRPr="00313A26">
        <w:rPr>
          <w:rFonts w:ascii="Palatino Linotype" w:eastAsia="Palatino Linotype" w:hAnsi="Palatino Linotype" w:cs="Palatino Linotype"/>
          <w:i/>
          <w:color w:val="000000"/>
          <w:lang w:eastAsia="es-MX"/>
        </w:rPr>
        <w:t>Elementos utilizados en la generación de Sellos Digitales:</w:t>
      </w:r>
    </w:p>
    <w:p w14:paraId="6A8BB4D3" w14:textId="77777777" w:rsidR="00B53C01" w:rsidRPr="00313A26" w:rsidRDefault="00B53C01" w:rsidP="00B53C01">
      <w:pPr>
        <w:spacing w:line="360" w:lineRule="auto"/>
        <w:ind w:left="567" w:right="539"/>
        <w:jc w:val="both"/>
        <w:rPr>
          <w:rFonts w:ascii="Palatino Linotype" w:eastAsia="Palatino Linotype" w:hAnsi="Palatino Linotype" w:cs="Palatino Linotype"/>
          <w:i/>
          <w:color w:val="000000"/>
          <w:lang w:eastAsia="es-MX"/>
        </w:rPr>
      </w:pPr>
      <w:r w:rsidRPr="00313A26">
        <w:rPr>
          <w:rFonts w:ascii="Palatino Linotype" w:eastAsia="Palatino Linotype" w:hAnsi="Palatino Linotype" w:cs="Palatino Linotype"/>
          <w:i/>
          <w:color w:val="000000"/>
          <w:lang w:eastAsia="es-MX"/>
        </w:rPr>
        <w:t>•</w:t>
      </w:r>
      <w:r w:rsidRPr="00313A26">
        <w:rPr>
          <w:rFonts w:ascii="Palatino Linotype" w:eastAsia="Palatino Linotype" w:hAnsi="Palatino Linotype" w:cs="Palatino Linotype"/>
          <w:i/>
          <w:color w:val="000000"/>
          <w:lang w:eastAsia="es-MX"/>
        </w:rPr>
        <w:tab/>
        <w:t>Cadena Original, el elemento a sellar, en este caso de un comprobante fiscal digital a través de Internet.</w:t>
      </w:r>
    </w:p>
    <w:p w14:paraId="0CA4E290" w14:textId="77777777" w:rsidR="00B53C01" w:rsidRPr="00313A26" w:rsidRDefault="00B53C01" w:rsidP="00B53C01">
      <w:pPr>
        <w:spacing w:line="360" w:lineRule="auto"/>
        <w:ind w:left="567" w:right="539"/>
        <w:jc w:val="both"/>
        <w:rPr>
          <w:rFonts w:ascii="Palatino Linotype" w:eastAsia="Palatino Linotype" w:hAnsi="Palatino Linotype" w:cs="Palatino Linotype"/>
          <w:i/>
          <w:color w:val="000000"/>
          <w:lang w:eastAsia="es-MX"/>
        </w:rPr>
      </w:pPr>
      <w:r w:rsidRPr="00313A26">
        <w:rPr>
          <w:rFonts w:ascii="Palatino Linotype" w:eastAsia="Palatino Linotype" w:hAnsi="Palatino Linotype" w:cs="Palatino Linotype"/>
          <w:i/>
          <w:color w:val="000000"/>
          <w:lang w:eastAsia="es-MX"/>
        </w:rPr>
        <w:t>•</w:t>
      </w:r>
      <w:r w:rsidRPr="00313A26">
        <w:rPr>
          <w:rFonts w:ascii="Palatino Linotype" w:eastAsia="Palatino Linotype" w:hAnsi="Palatino Linotype" w:cs="Palatino Linotype"/>
          <w:i/>
          <w:color w:val="000000"/>
          <w:lang w:eastAsia="es-MX"/>
        </w:rPr>
        <w:tab/>
        <w:t>Certificado de Sello Digital y su correspondiente clave privada.</w:t>
      </w:r>
    </w:p>
    <w:p w14:paraId="2C9474F9" w14:textId="77777777" w:rsidR="00B53C01" w:rsidRPr="00313A26" w:rsidRDefault="00B53C01" w:rsidP="00B53C01">
      <w:pPr>
        <w:spacing w:line="360" w:lineRule="auto"/>
        <w:ind w:left="567" w:right="539"/>
        <w:jc w:val="both"/>
        <w:rPr>
          <w:rFonts w:ascii="Palatino Linotype" w:eastAsia="Palatino Linotype" w:hAnsi="Palatino Linotype" w:cs="Palatino Linotype"/>
          <w:i/>
          <w:color w:val="000000"/>
          <w:lang w:eastAsia="es-MX"/>
        </w:rPr>
      </w:pPr>
      <w:r w:rsidRPr="00313A26">
        <w:rPr>
          <w:rFonts w:ascii="Palatino Linotype" w:eastAsia="Palatino Linotype" w:hAnsi="Palatino Linotype" w:cs="Palatino Linotype"/>
          <w:i/>
          <w:color w:val="000000"/>
          <w:lang w:eastAsia="es-MX"/>
        </w:rPr>
        <w:t>•</w:t>
      </w:r>
      <w:r w:rsidRPr="00313A26">
        <w:rPr>
          <w:rFonts w:ascii="Palatino Linotype" w:eastAsia="Palatino Linotype" w:hAnsi="Palatino Linotype" w:cs="Palatino Linotype"/>
          <w:i/>
          <w:color w:val="000000"/>
          <w:lang w:eastAsia="es-MX"/>
        </w:rPr>
        <w:tab/>
        <w:t>Algoritmos de criptografía de clave pública para firma electrónica avanzada.</w:t>
      </w:r>
    </w:p>
    <w:p w14:paraId="565832F2" w14:textId="77777777" w:rsidR="00B53C01" w:rsidRPr="00313A26" w:rsidRDefault="00B53C01" w:rsidP="00B53C01">
      <w:pPr>
        <w:spacing w:line="360" w:lineRule="auto"/>
        <w:ind w:left="567" w:right="539"/>
        <w:jc w:val="both"/>
        <w:rPr>
          <w:rFonts w:ascii="Palatino Linotype" w:eastAsia="Palatino Linotype" w:hAnsi="Palatino Linotype" w:cs="Palatino Linotype"/>
          <w:i/>
          <w:color w:val="000000"/>
          <w:lang w:eastAsia="es-MX"/>
        </w:rPr>
      </w:pPr>
      <w:r w:rsidRPr="00313A26">
        <w:rPr>
          <w:rFonts w:ascii="Palatino Linotype" w:eastAsia="Palatino Linotype" w:hAnsi="Palatino Linotype" w:cs="Palatino Linotype"/>
          <w:i/>
          <w:color w:val="000000"/>
          <w:lang w:eastAsia="es-MX"/>
        </w:rPr>
        <w:t>•</w:t>
      </w:r>
      <w:r w:rsidRPr="00313A26">
        <w:rPr>
          <w:rFonts w:ascii="Palatino Linotype" w:eastAsia="Palatino Linotype" w:hAnsi="Palatino Linotype" w:cs="Palatino Linotype"/>
          <w:i/>
          <w:color w:val="000000"/>
          <w:lang w:eastAsia="es-MX"/>
        </w:rPr>
        <w:tab/>
        <w:t>Especificaciones de conversión de la firma electrónica avanzada a Base 64.</w:t>
      </w:r>
    </w:p>
    <w:p w14:paraId="10A75A7D" w14:textId="77777777" w:rsidR="00B53C01" w:rsidRPr="00313A26" w:rsidRDefault="00B53C01" w:rsidP="00B53C01">
      <w:pPr>
        <w:spacing w:line="360" w:lineRule="auto"/>
        <w:ind w:left="567" w:right="539"/>
        <w:jc w:val="both"/>
        <w:rPr>
          <w:rFonts w:ascii="Palatino Linotype" w:eastAsia="Palatino Linotype" w:hAnsi="Palatino Linotype" w:cs="Palatino Linotype"/>
          <w:i/>
          <w:color w:val="000000"/>
          <w:lang w:eastAsia="es-MX"/>
        </w:rPr>
      </w:pPr>
      <w:r w:rsidRPr="00313A26">
        <w:rPr>
          <w:rFonts w:ascii="Palatino Linotype" w:eastAsia="Palatino Linotype" w:hAnsi="Palatino Linotype" w:cs="Palatino Linotype"/>
          <w:i/>
          <w:color w:val="000000"/>
          <w:lang w:eastAsia="es-MX"/>
        </w:rPr>
        <w:t>Para la generación de sellos digitales se utiliza criptografía de clave pública aplicada a una cadena original.</w:t>
      </w:r>
    </w:p>
    <w:p w14:paraId="7F472873" w14:textId="77777777" w:rsidR="00B53C01" w:rsidRPr="00313A26" w:rsidRDefault="00B53C01" w:rsidP="00B53C01">
      <w:pPr>
        <w:spacing w:line="360" w:lineRule="auto"/>
        <w:ind w:left="567" w:right="539"/>
        <w:jc w:val="both"/>
        <w:rPr>
          <w:rFonts w:ascii="Palatino Linotype" w:eastAsia="Palatino Linotype" w:hAnsi="Palatino Linotype" w:cs="Palatino Linotype"/>
          <w:i/>
          <w:color w:val="000000"/>
          <w:lang w:eastAsia="es-MX"/>
        </w:rPr>
      </w:pPr>
      <w:r w:rsidRPr="00313A26">
        <w:rPr>
          <w:rFonts w:ascii="Palatino Linotype" w:eastAsia="Palatino Linotype" w:hAnsi="Palatino Linotype" w:cs="Palatino Linotype"/>
          <w:i/>
          <w:color w:val="000000"/>
          <w:lang w:eastAsia="es-MX"/>
        </w:rPr>
        <w:t>Criptografía de la Clave Pública</w:t>
      </w:r>
    </w:p>
    <w:p w14:paraId="67E7C913" w14:textId="77777777" w:rsidR="00B53C01" w:rsidRPr="00313A26" w:rsidRDefault="00B53C01" w:rsidP="00B53C01">
      <w:pPr>
        <w:spacing w:line="360" w:lineRule="auto"/>
        <w:ind w:left="567" w:right="539"/>
        <w:jc w:val="both"/>
        <w:rPr>
          <w:rFonts w:ascii="Palatino Linotype" w:eastAsia="Palatino Linotype" w:hAnsi="Palatino Linotype" w:cs="Palatino Linotype"/>
          <w:i/>
          <w:color w:val="000000"/>
          <w:lang w:eastAsia="es-MX"/>
        </w:rPr>
      </w:pPr>
      <w:r w:rsidRPr="00313A26">
        <w:rPr>
          <w:rFonts w:ascii="Palatino Linotype" w:eastAsia="Palatino Linotype" w:hAnsi="Palatino Linotype" w:cs="Palatino Linotype"/>
          <w:i/>
          <w:color w:val="000000"/>
          <w:lang w:eastAsia="es-MX"/>
        </w:rPr>
        <w:t xml:space="preserve">La criptografía de Clave Pública se basa en la generación de una pareja de números muy grandes relacionados íntimamente entre sí, de tal manera que una operación de </w:t>
      </w:r>
      <w:proofErr w:type="spellStart"/>
      <w:r w:rsidRPr="00313A26">
        <w:rPr>
          <w:rFonts w:ascii="Palatino Linotype" w:eastAsia="Palatino Linotype" w:hAnsi="Palatino Linotype" w:cs="Palatino Linotype"/>
          <w:i/>
          <w:color w:val="000000"/>
          <w:lang w:eastAsia="es-MX"/>
        </w:rPr>
        <w:t>encripción</w:t>
      </w:r>
      <w:proofErr w:type="spellEnd"/>
      <w:r w:rsidRPr="00313A26">
        <w:rPr>
          <w:rFonts w:ascii="Palatino Linotype" w:eastAsia="Palatino Linotype" w:hAnsi="Palatino Linotype" w:cs="Palatino Linotype"/>
          <w:i/>
          <w:color w:val="000000"/>
          <w:lang w:eastAsia="es-MX"/>
        </w:rPr>
        <w:t xml:space="preserve"> sobre un mensaje tomando como clave de </w:t>
      </w:r>
      <w:proofErr w:type="spellStart"/>
      <w:r w:rsidRPr="00313A26">
        <w:rPr>
          <w:rFonts w:ascii="Palatino Linotype" w:eastAsia="Palatino Linotype" w:hAnsi="Palatino Linotype" w:cs="Palatino Linotype"/>
          <w:i/>
          <w:color w:val="000000"/>
          <w:lang w:eastAsia="es-MX"/>
        </w:rPr>
        <w:t>encripción</w:t>
      </w:r>
      <w:proofErr w:type="spellEnd"/>
      <w:r w:rsidRPr="00313A26">
        <w:rPr>
          <w:rFonts w:ascii="Palatino Linotype" w:eastAsia="Palatino Linotype" w:hAnsi="Palatino Linotype" w:cs="Palatino Linotype"/>
          <w:i/>
          <w:color w:val="000000"/>
          <w:lang w:eastAsia="es-MX"/>
        </w:rPr>
        <w:t xml:space="preserve"> a uno de los dos números, produce un mensaje alterado en su significado que solo puede ser devuelto a su estado original mediante la operación de </w:t>
      </w:r>
      <w:proofErr w:type="spellStart"/>
      <w:r w:rsidRPr="00313A26">
        <w:rPr>
          <w:rFonts w:ascii="Palatino Linotype" w:eastAsia="Palatino Linotype" w:hAnsi="Palatino Linotype" w:cs="Palatino Linotype"/>
          <w:i/>
          <w:color w:val="000000"/>
          <w:lang w:eastAsia="es-MX"/>
        </w:rPr>
        <w:t>desencripción</w:t>
      </w:r>
      <w:proofErr w:type="spellEnd"/>
      <w:r w:rsidRPr="00313A26">
        <w:rPr>
          <w:rFonts w:ascii="Palatino Linotype" w:eastAsia="Palatino Linotype" w:hAnsi="Palatino Linotype" w:cs="Palatino Linotype"/>
          <w:i/>
          <w:color w:val="000000"/>
          <w:lang w:eastAsia="es-MX"/>
        </w:rPr>
        <w:t xml:space="preserve"> correspondiente tomando como clave de </w:t>
      </w:r>
      <w:proofErr w:type="spellStart"/>
      <w:r w:rsidRPr="00313A26">
        <w:rPr>
          <w:rFonts w:ascii="Palatino Linotype" w:eastAsia="Palatino Linotype" w:hAnsi="Palatino Linotype" w:cs="Palatino Linotype"/>
          <w:i/>
          <w:color w:val="000000"/>
          <w:lang w:eastAsia="es-MX"/>
        </w:rPr>
        <w:t>desencripción</w:t>
      </w:r>
      <w:proofErr w:type="spellEnd"/>
      <w:r w:rsidRPr="00313A26">
        <w:rPr>
          <w:rFonts w:ascii="Palatino Linotype" w:eastAsia="Palatino Linotype" w:hAnsi="Palatino Linotype" w:cs="Palatino Linotype"/>
          <w:i/>
          <w:color w:val="000000"/>
          <w:lang w:eastAsia="es-MX"/>
        </w:rPr>
        <w:t xml:space="preserve"> al otro número de la pareja.</w:t>
      </w:r>
    </w:p>
    <w:p w14:paraId="4219BD23" w14:textId="77777777" w:rsidR="00B53C01" w:rsidRPr="00313A26" w:rsidRDefault="00B53C01" w:rsidP="00B53C01">
      <w:pPr>
        <w:spacing w:line="360" w:lineRule="auto"/>
        <w:ind w:left="567" w:right="539"/>
        <w:jc w:val="both"/>
        <w:rPr>
          <w:rFonts w:ascii="Palatino Linotype" w:eastAsia="Palatino Linotype" w:hAnsi="Palatino Linotype" w:cs="Palatino Linotype"/>
          <w:i/>
          <w:color w:val="000000"/>
          <w:lang w:eastAsia="es-MX"/>
        </w:rPr>
      </w:pPr>
      <w:r w:rsidRPr="00313A26">
        <w:rPr>
          <w:rFonts w:ascii="Palatino Linotype" w:eastAsia="Palatino Linotype" w:hAnsi="Palatino Linotype" w:cs="Palatino Linotype"/>
          <w:i/>
          <w:color w:val="000000"/>
          <w:lang w:eastAsia="es-MX"/>
        </w:rPr>
        <w:t>…”</w:t>
      </w:r>
    </w:p>
    <w:p w14:paraId="7079BC62" w14:textId="77777777" w:rsidR="00B53C01" w:rsidRDefault="00B53C01" w:rsidP="00B53C01">
      <w:pPr>
        <w:spacing w:line="360" w:lineRule="auto"/>
        <w:jc w:val="both"/>
        <w:rPr>
          <w:rFonts w:ascii="Palatino Linotype" w:eastAsia="Calibri" w:hAnsi="Palatino Linotype"/>
          <w:color w:val="000000"/>
          <w:sz w:val="22"/>
          <w:szCs w:val="22"/>
          <w:lang w:eastAsia="en-US"/>
        </w:rPr>
      </w:pPr>
      <w:r w:rsidRPr="00313A26">
        <w:rPr>
          <w:rFonts w:ascii="Palatino Linotype" w:eastAsia="Palatino Linotype" w:hAnsi="Palatino Linotype" w:cs="Palatino Linotype"/>
          <w:color w:val="000000"/>
          <w:sz w:val="22"/>
          <w:szCs w:val="22"/>
          <w:lang w:eastAsia="es-MX"/>
        </w:rPr>
        <w:t xml:space="preserve"> Es decir, por sí solos las cadenas y los sellos originales no contienen datos personales confidenciales, por lo que se considera que no actualizan en supuesto de confidencialidad previsto en el artículo 143, fracción I, de la Ley de Transparencia y Acceso a la Información </w:t>
      </w:r>
      <w:r w:rsidRPr="00313A26">
        <w:rPr>
          <w:rFonts w:ascii="Palatino Linotype" w:eastAsia="Palatino Linotype" w:hAnsi="Palatino Linotype" w:cs="Palatino Linotype"/>
          <w:color w:val="000000"/>
          <w:sz w:val="22"/>
          <w:szCs w:val="22"/>
          <w:lang w:eastAsia="es-MX"/>
        </w:rPr>
        <w:lastRenderedPageBreak/>
        <w:t>Pública del Estado de México y Municipios y, por el contrario, son información que permite corroborar la legitimidad de la factura, de ser el caso, por lo que guardan el carácter de público.</w:t>
      </w:r>
      <w:r w:rsidRPr="00313A26">
        <w:rPr>
          <w:rFonts w:ascii="Palatino Linotype" w:eastAsia="Calibri" w:hAnsi="Palatino Linotype"/>
          <w:color w:val="000000"/>
          <w:sz w:val="22"/>
          <w:szCs w:val="22"/>
          <w:lang w:eastAsia="en-US"/>
        </w:rPr>
        <w:t xml:space="preserve"> </w:t>
      </w:r>
    </w:p>
    <w:p w14:paraId="093CDF2F" w14:textId="77777777" w:rsidR="00B53C01" w:rsidRDefault="00B53C01" w:rsidP="00B53C01">
      <w:pPr>
        <w:spacing w:line="360" w:lineRule="auto"/>
        <w:jc w:val="both"/>
        <w:rPr>
          <w:rFonts w:ascii="Palatino Linotype" w:eastAsia="Calibri" w:hAnsi="Palatino Linotype"/>
          <w:color w:val="000000"/>
          <w:sz w:val="22"/>
          <w:szCs w:val="22"/>
          <w:lang w:eastAsia="en-US"/>
        </w:rPr>
      </w:pPr>
    </w:p>
    <w:p w14:paraId="7F4AD0FB" w14:textId="77777777" w:rsidR="00B53C01" w:rsidRPr="00313A26" w:rsidRDefault="00B53C01" w:rsidP="00B53C01">
      <w:pPr>
        <w:spacing w:after="160" w:line="360" w:lineRule="auto"/>
        <w:contextualSpacing/>
        <w:jc w:val="both"/>
        <w:rPr>
          <w:rFonts w:ascii="Palatino Linotype" w:hAnsi="Palatino Linotype" w:cs="Tahoma"/>
          <w:bCs/>
          <w:sz w:val="22"/>
          <w:szCs w:val="22"/>
          <w:lang w:val="es-ES"/>
        </w:rPr>
      </w:pPr>
      <w:r w:rsidRPr="00313A26">
        <w:rPr>
          <w:rFonts w:ascii="Palatino Linotype" w:hAnsi="Palatino Linotype" w:cs="Tahoma"/>
          <w:bCs/>
          <w:sz w:val="22"/>
          <w:szCs w:val="22"/>
          <w:lang w:val="es-ES"/>
        </w:rPr>
        <w:t>Sin embargo, existen ocasiones que las cadenas y sellos se conforman de datos personales, tales como, la Clave Única de Registro de Población, el Registro Federal de Contribuyentes o el número de seguridad social, por lo que, en el caso de que alguno de los datos analizados se conforme de información confidencial, deberá clasificarlo en términos del artículo referido.</w:t>
      </w:r>
    </w:p>
    <w:p w14:paraId="74403540" w14:textId="77777777" w:rsidR="00B53C01" w:rsidRDefault="00B53C01" w:rsidP="00B53C01">
      <w:pPr>
        <w:spacing w:line="360" w:lineRule="auto"/>
        <w:jc w:val="both"/>
        <w:rPr>
          <w:rFonts w:ascii="Palatino Linotype" w:eastAsia="Calibri" w:hAnsi="Palatino Linotype"/>
          <w:color w:val="000000"/>
          <w:sz w:val="22"/>
          <w:szCs w:val="22"/>
          <w:lang w:eastAsia="en-US"/>
        </w:rPr>
      </w:pPr>
    </w:p>
    <w:p w14:paraId="5E47D30E" w14:textId="77777777" w:rsidR="00B53C01" w:rsidRDefault="00B53C01" w:rsidP="00B53C01">
      <w:pPr>
        <w:spacing w:line="360" w:lineRule="auto"/>
        <w:jc w:val="both"/>
        <w:rPr>
          <w:rFonts w:ascii="Palatino Linotype" w:eastAsia="Palatino Linotype" w:hAnsi="Palatino Linotype" w:cs="Palatino Linotype"/>
          <w:color w:val="000000"/>
          <w:sz w:val="22"/>
          <w:szCs w:val="22"/>
          <w:lang w:eastAsia="es-MX"/>
        </w:rPr>
      </w:pPr>
      <w:r w:rsidRPr="00313A26">
        <w:rPr>
          <w:rFonts w:ascii="Palatino Linotype" w:eastAsia="Palatino Linotype" w:hAnsi="Palatino Linotype" w:cs="Palatino Linotype"/>
          <w:color w:val="000000"/>
          <w:sz w:val="22"/>
          <w:szCs w:val="22"/>
          <w:lang w:eastAsia="es-MX"/>
        </w:rPr>
        <w:t>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en la cual se advierte que únicamente se encuentra conformado por números, se muestra a continuación:</w:t>
      </w:r>
    </w:p>
    <w:p w14:paraId="0478B534" w14:textId="77777777" w:rsidR="00B53C01" w:rsidRPr="00313A26" w:rsidRDefault="00B53C01" w:rsidP="00B53C01">
      <w:pPr>
        <w:spacing w:line="360" w:lineRule="auto"/>
        <w:jc w:val="both"/>
        <w:rPr>
          <w:rFonts w:ascii="Palatino Linotype" w:eastAsia="Palatino Linotype" w:hAnsi="Palatino Linotype" w:cs="Palatino Linotype"/>
          <w:color w:val="000000"/>
          <w:sz w:val="22"/>
          <w:szCs w:val="22"/>
          <w:lang w:eastAsia="es-MX"/>
        </w:rPr>
      </w:pPr>
    </w:p>
    <w:p w14:paraId="25CC3BB2" w14:textId="77777777" w:rsidR="00B53C01" w:rsidRPr="00313A26" w:rsidRDefault="00B53C01" w:rsidP="00B53C01">
      <w:pPr>
        <w:spacing w:line="360" w:lineRule="auto"/>
        <w:jc w:val="center"/>
        <w:rPr>
          <w:rFonts w:ascii="Palatino Linotype" w:eastAsia="Palatino Linotype" w:hAnsi="Palatino Linotype" w:cs="Palatino Linotype"/>
          <w:color w:val="000000"/>
          <w:sz w:val="22"/>
          <w:szCs w:val="22"/>
          <w:lang w:eastAsia="es-MX"/>
        </w:rPr>
      </w:pPr>
      <w:r w:rsidRPr="00313A26">
        <w:rPr>
          <w:rFonts w:ascii="Palatino Linotype" w:eastAsia="Palatino Linotype" w:hAnsi="Palatino Linotype" w:cs="Palatino Linotype"/>
          <w:noProof/>
          <w:color w:val="000000"/>
          <w:sz w:val="22"/>
          <w:szCs w:val="22"/>
          <w:lang w:eastAsia="es-MX"/>
        </w:rPr>
        <w:drawing>
          <wp:inline distT="0" distB="0" distL="0" distR="0" wp14:anchorId="05D6A7B3" wp14:editId="16EC4117">
            <wp:extent cx="4619625" cy="914400"/>
            <wp:effectExtent l="0" t="0" r="9525"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914400"/>
                    </a:xfrm>
                    <a:prstGeom prst="rect">
                      <a:avLst/>
                    </a:prstGeom>
                    <a:noFill/>
                    <a:ln>
                      <a:noFill/>
                    </a:ln>
                  </pic:spPr>
                </pic:pic>
              </a:graphicData>
            </a:graphic>
          </wp:inline>
        </w:drawing>
      </w:r>
    </w:p>
    <w:p w14:paraId="271AF129" w14:textId="77777777" w:rsidR="00B53C01" w:rsidRPr="00313A26" w:rsidRDefault="00B53C01" w:rsidP="00B53C01">
      <w:pPr>
        <w:tabs>
          <w:tab w:val="left" w:pos="4962"/>
        </w:tabs>
        <w:spacing w:line="360" w:lineRule="auto"/>
        <w:jc w:val="both"/>
        <w:rPr>
          <w:rFonts w:ascii="Palatino Linotype" w:eastAsia="Palatino Linotype" w:hAnsi="Palatino Linotype" w:cs="Palatino Linotype"/>
          <w:color w:val="000000"/>
          <w:sz w:val="22"/>
          <w:szCs w:val="22"/>
          <w:lang w:eastAsia="es-MX"/>
        </w:rPr>
      </w:pPr>
    </w:p>
    <w:p w14:paraId="4FA26F09" w14:textId="77777777" w:rsidR="00B53C01" w:rsidRPr="00313A26" w:rsidRDefault="00B53C01" w:rsidP="00B53C01">
      <w:pPr>
        <w:spacing w:line="360" w:lineRule="auto"/>
        <w:jc w:val="both"/>
        <w:rPr>
          <w:rFonts w:ascii="Palatino Linotype" w:eastAsia="Palatino Linotype" w:hAnsi="Palatino Linotype" w:cs="Palatino Linotype"/>
          <w:color w:val="000000"/>
          <w:sz w:val="22"/>
          <w:szCs w:val="22"/>
          <w:lang w:eastAsia="es-MX"/>
        </w:rPr>
      </w:pPr>
      <w:r w:rsidRPr="00313A26">
        <w:rPr>
          <w:rFonts w:ascii="Palatino Linotype" w:eastAsia="Palatino Linotype" w:hAnsi="Palatino Linotype" w:cs="Palatino Linotype"/>
          <w:color w:val="000000"/>
          <w:sz w:val="22"/>
          <w:szCs w:val="22"/>
          <w:lang w:eastAsia="es-MX"/>
        </w:rPr>
        <w:t xml:space="preserve">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w:t>
      </w:r>
      <w:r w:rsidRPr="00313A26">
        <w:rPr>
          <w:rFonts w:ascii="Palatino Linotype" w:eastAsia="Palatino Linotype" w:hAnsi="Palatino Linotype" w:cs="Palatino Linotype"/>
          <w:color w:val="000000"/>
          <w:sz w:val="22"/>
          <w:szCs w:val="22"/>
          <w:lang w:eastAsia="es-MX"/>
        </w:rPr>
        <w:lastRenderedPageBreak/>
        <w:t>Estado de México y Municipios. Máxime que permite corroborar la legitimidad a la factura, pues amparan la utilización de los certificados de sellos digitales válidos.</w:t>
      </w:r>
    </w:p>
    <w:p w14:paraId="258A8E81" w14:textId="77777777" w:rsidR="00B53C01" w:rsidRPr="00313A26" w:rsidRDefault="00B53C01" w:rsidP="00B53C01">
      <w:pPr>
        <w:spacing w:line="360" w:lineRule="auto"/>
        <w:jc w:val="both"/>
        <w:rPr>
          <w:rFonts w:ascii="Palatino Linotype" w:eastAsia="Palatino Linotype" w:hAnsi="Palatino Linotype" w:cs="Palatino Linotype"/>
          <w:color w:val="000000"/>
          <w:sz w:val="22"/>
          <w:szCs w:val="22"/>
          <w:lang w:eastAsia="es-MX"/>
        </w:rPr>
      </w:pPr>
    </w:p>
    <w:p w14:paraId="4F89A35C" w14:textId="77777777" w:rsidR="00B53C01" w:rsidRPr="00313A26" w:rsidRDefault="00B53C01" w:rsidP="00B53C01">
      <w:pPr>
        <w:spacing w:line="360" w:lineRule="auto"/>
        <w:jc w:val="both"/>
        <w:rPr>
          <w:rFonts w:ascii="Palatino Linotype" w:eastAsia="Palatino Linotype" w:hAnsi="Palatino Linotype" w:cs="Palatino Linotype"/>
          <w:color w:val="000000"/>
          <w:sz w:val="22"/>
          <w:szCs w:val="22"/>
          <w:lang w:eastAsia="es-MX"/>
        </w:rPr>
      </w:pPr>
      <w:r w:rsidRPr="00313A26">
        <w:rPr>
          <w:rFonts w:ascii="Palatino Linotype" w:eastAsia="Palatino Linotype" w:hAnsi="Palatino Linotype" w:cs="Palatino Linotype"/>
          <w:color w:val="000000"/>
          <w:sz w:val="22"/>
          <w:szCs w:val="22"/>
          <w:lang w:eastAsia="es-MX"/>
        </w:rPr>
        <w:t xml:space="preserve">Ahora bien, por lo que hace </w:t>
      </w:r>
      <w:r w:rsidRPr="00313A26">
        <w:rPr>
          <w:rFonts w:ascii="Palatino Linotype" w:eastAsia="Palatino Linotype" w:hAnsi="Palatino Linotype" w:cs="Palatino Linotype"/>
          <w:b/>
          <w:bCs/>
          <w:color w:val="000000"/>
          <w:sz w:val="22"/>
          <w:szCs w:val="22"/>
          <w:lang w:eastAsia="es-MX"/>
        </w:rPr>
        <w:t>Folio Fiscal,</w:t>
      </w:r>
      <w:r w:rsidRPr="00313A26">
        <w:rPr>
          <w:rFonts w:ascii="Palatino Linotype" w:eastAsia="Palatino Linotype" w:hAnsi="Palatino Linotype" w:cs="Palatino Linotype"/>
          <w:color w:val="000000"/>
          <w:sz w:val="22"/>
          <w:szCs w:val="22"/>
          <w:lang w:eastAsia="es-MX"/>
        </w:rPr>
        <w:t xml:space="preserve">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6E4CD89C" w14:textId="77777777" w:rsidR="00B53C01" w:rsidRPr="00313A26" w:rsidRDefault="00B53C01" w:rsidP="00B53C01">
      <w:pPr>
        <w:spacing w:line="360" w:lineRule="auto"/>
        <w:jc w:val="both"/>
        <w:rPr>
          <w:rFonts w:ascii="Palatino Linotype" w:eastAsia="Palatino Linotype" w:hAnsi="Palatino Linotype" w:cs="Palatino Linotype"/>
          <w:color w:val="000000"/>
          <w:sz w:val="22"/>
          <w:szCs w:val="22"/>
          <w:lang w:eastAsia="es-MX"/>
        </w:rPr>
      </w:pPr>
      <w:r w:rsidRPr="00313A26">
        <w:rPr>
          <w:rFonts w:ascii="Palatino Linotype" w:eastAsia="Palatino Linotype" w:hAnsi="Palatino Linotype" w:cs="Palatino Linotype"/>
          <w:color w:val="000000"/>
          <w:sz w:val="22"/>
          <w:szCs w:val="22"/>
          <w:lang w:eastAsia="es-MX"/>
        </w:rPr>
        <w:t xml:space="preserve"> </w:t>
      </w:r>
    </w:p>
    <w:p w14:paraId="151ED0DC" w14:textId="77777777" w:rsidR="00B53C01" w:rsidRPr="00313A26" w:rsidRDefault="00B53C01" w:rsidP="00B53C01">
      <w:pPr>
        <w:spacing w:line="360" w:lineRule="auto"/>
        <w:jc w:val="center"/>
        <w:rPr>
          <w:rFonts w:ascii="Palatino Linotype" w:eastAsia="Palatino Linotype" w:hAnsi="Palatino Linotype" w:cs="Palatino Linotype"/>
          <w:color w:val="000000"/>
          <w:sz w:val="22"/>
          <w:szCs w:val="22"/>
          <w:lang w:eastAsia="es-MX"/>
        </w:rPr>
      </w:pPr>
      <w:r w:rsidRPr="00313A26">
        <w:rPr>
          <w:rFonts w:ascii="Palatino Linotype" w:eastAsia="Palatino Linotype" w:hAnsi="Palatino Linotype" w:cs="Palatino Linotype"/>
          <w:noProof/>
          <w:color w:val="000000"/>
          <w:sz w:val="22"/>
          <w:szCs w:val="22"/>
          <w:lang w:eastAsia="es-MX"/>
        </w:rPr>
        <w:drawing>
          <wp:inline distT="0" distB="0" distL="0" distR="0" wp14:anchorId="0089D8A4" wp14:editId="4348B16B">
            <wp:extent cx="4438650" cy="1028700"/>
            <wp:effectExtent l="0" t="0" r="0"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650" cy="1028700"/>
                    </a:xfrm>
                    <a:prstGeom prst="rect">
                      <a:avLst/>
                    </a:prstGeom>
                    <a:noFill/>
                    <a:ln>
                      <a:noFill/>
                    </a:ln>
                  </pic:spPr>
                </pic:pic>
              </a:graphicData>
            </a:graphic>
          </wp:inline>
        </w:drawing>
      </w:r>
    </w:p>
    <w:p w14:paraId="5A3F48E2" w14:textId="77777777" w:rsidR="00B53C01" w:rsidRPr="00313A26" w:rsidRDefault="00B53C01" w:rsidP="00B53C01">
      <w:pPr>
        <w:spacing w:line="360" w:lineRule="auto"/>
        <w:jc w:val="both"/>
        <w:rPr>
          <w:rFonts w:ascii="Palatino Linotype" w:eastAsia="Palatino Linotype" w:hAnsi="Palatino Linotype" w:cs="Palatino Linotype"/>
          <w:color w:val="000000"/>
          <w:sz w:val="22"/>
          <w:szCs w:val="22"/>
          <w:lang w:eastAsia="es-MX"/>
        </w:rPr>
      </w:pPr>
    </w:p>
    <w:p w14:paraId="48DBF273" w14:textId="77777777" w:rsidR="00B53C01" w:rsidRPr="00313A26" w:rsidRDefault="00B53C01" w:rsidP="00B53C01">
      <w:pPr>
        <w:spacing w:line="360" w:lineRule="auto"/>
        <w:jc w:val="both"/>
        <w:rPr>
          <w:rFonts w:ascii="Palatino Linotype" w:eastAsia="Palatino Linotype" w:hAnsi="Palatino Linotype" w:cs="Palatino Linotype"/>
          <w:color w:val="000000"/>
          <w:sz w:val="22"/>
          <w:szCs w:val="22"/>
          <w:lang w:eastAsia="es-MX"/>
        </w:rPr>
      </w:pPr>
      <w:r w:rsidRPr="00313A26">
        <w:rPr>
          <w:rFonts w:ascii="Palatino Linotype" w:eastAsia="Palatino Linotype" w:hAnsi="Palatino Linotype" w:cs="Palatino Linotype"/>
          <w:color w:val="000000"/>
          <w:sz w:val="22"/>
          <w:szCs w:val="22"/>
          <w:lang w:eastAsia="es-MX"/>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38F0F248" w14:textId="77777777" w:rsidR="00B53C01" w:rsidRPr="00313A26" w:rsidRDefault="00B53C01" w:rsidP="00B53C01">
      <w:pPr>
        <w:spacing w:line="360" w:lineRule="auto"/>
        <w:jc w:val="both"/>
        <w:rPr>
          <w:rFonts w:ascii="Palatino Linotype" w:eastAsia="Palatino Linotype" w:hAnsi="Palatino Linotype" w:cs="Palatino Linotype"/>
          <w:color w:val="000000"/>
          <w:sz w:val="22"/>
          <w:szCs w:val="22"/>
          <w:lang w:eastAsia="es-MX"/>
        </w:rPr>
      </w:pPr>
    </w:p>
    <w:p w14:paraId="0E8B7918" w14:textId="77777777" w:rsidR="00B53C01" w:rsidRPr="00313A26" w:rsidRDefault="00B53C01" w:rsidP="00B53C01">
      <w:pPr>
        <w:spacing w:line="360" w:lineRule="auto"/>
        <w:jc w:val="both"/>
        <w:rPr>
          <w:rFonts w:ascii="Palatino Linotype" w:eastAsia="Palatino Linotype" w:hAnsi="Palatino Linotype" w:cs="Palatino Linotype"/>
          <w:color w:val="000000"/>
          <w:sz w:val="22"/>
          <w:szCs w:val="22"/>
          <w:lang w:eastAsia="es-MX"/>
        </w:rPr>
      </w:pPr>
      <w:r w:rsidRPr="00313A26">
        <w:rPr>
          <w:rFonts w:ascii="Palatino Linotype" w:eastAsia="Palatino Linotype" w:hAnsi="Palatino Linotype" w:cs="Palatino Linotype"/>
          <w:color w:val="000000"/>
          <w:sz w:val="22"/>
          <w:szCs w:val="22"/>
          <w:lang w:eastAsia="es-MX"/>
        </w:rPr>
        <w:t xml:space="preserve">Ahora bien, por lo que hace al </w:t>
      </w:r>
      <w:r w:rsidRPr="00313A26">
        <w:rPr>
          <w:rFonts w:ascii="Palatino Linotype" w:eastAsia="Palatino Linotype" w:hAnsi="Palatino Linotype" w:cs="Palatino Linotype"/>
          <w:b/>
          <w:bCs/>
          <w:color w:val="000000"/>
          <w:sz w:val="22"/>
          <w:szCs w:val="22"/>
          <w:lang w:eastAsia="es-MX"/>
        </w:rPr>
        <w:t>número de serie y folio interno</w:t>
      </w:r>
      <w:r w:rsidRPr="00313A26">
        <w:rPr>
          <w:rFonts w:ascii="Palatino Linotype" w:eastAsia="Palatino Linotype" w:hAnsi="Palatino Linotype" w:cs="Palatino Linotype"/>
          <w:color w:val="000000"/>
          <w:sz w:val="22"/>
          <w:szCs w:val="22"/>
          <w:lang w:eastAsia="es-MX"/>
        </w:rPr>
        <w:t xml:space="preserve">, la Guía de llenado del CFDI global Versión 3.3 del CFDI, emitida por el Servicio de Administración Tributaria, prevé que </w:t>
      </w:r>
      <w:r w:rsidRPr="00313A26">
        <w:rPr>
          <w:rFonts w:ascii="Palatino Linotype" w:eastAsia="Palatino Linotype" w:hAnsi="Palatino Linotype" w:cs="Palatino Linotype"/>
          <w:color w:val="000000"/>
          <w:sz w:val="22"/>
          <w:szCs w:val="22"/>
          <w:lang w:eastAsia="es-MX"/>
        </w:rPr>
        <w:lastRenderedPageBreak/>
        <w:t>es el número que utiliza el contribuyente para control interno de su información; mientras que el segundo es el número de control que se le asigna al comprobante; por lo que, ambos corresponden a dígitos que si bien determina el Sujeto Obligado, lo cierto es que no contiene datos confidenciales de los servidores públicos y por lo tanto, no actualizan la causal de clasificación establecida en el artículo 143, fracción I, de la Ley de Transparencia y Acceso a la Información Pública del Estado de México y Municipios.</w:t>
      </w:r>
    </w:p>
    <w:p w14:paraId="17B14565" w14:textId="77777777" w:rsidR="00B53C01" w:rsidRDefault="00B53C01" w:rsidP="00B53C01">
      <w:pPr>
        <w:spacing w:line="360" w:lineRule="auto"/>
        <w:contextualSpacing/>
        <w:jc w:val="both"/>
        <w:rPr>
          <w:rFonts w:ascii="Palatino Linotype" w:hAnsi="Palatino Linotype"/>
          <w:bCs/>
          <w:iCs/>
          <w:sz w:val="22"/>
          <w:szCs w:val="22"/>
        </w:rPr>
      </w:pPr>
    </w:p>
    <w:p w14:paraId="06BFE599" w14:textId="77777777" w:rsidR="00B53C01" w:rsidRPr="00E81FF4" w:rsidRDefault="00B53C01" w:rsidP="00B53C01">
      <w:pPr>
        <w:spacing w:line="360" w:lineRule="auto"/>
        <w:contextualSpacing/>
        <w:jc w:val="both"/>
        <w:rPr>
          <w:rFonts w:ascii="Palatino Linotype" w:hAnsi="Palatino Linotype"/>
          <w:bCs/>
          <w:iCs/>
          <w:sz w:val="22"/>
          <w:szCs w:val="22"/>
        </w:rPr>
      </w:pPr>
      <w:r w:rsidRPr="006B394C">
        <w:rPr>
          <w:rFonts w:ascii="Palatino Linotype" w:hAnsi="Palatino Linotype"/>
          <w:bCs/>
          <w:iCs/>
          <w:sz w:val="22"/>
          <w:szCs w:val="22"/>
        </w:rPr>
        <w:t>Ahora bien para el caso de los expedientes laborales cabe precisar que</w:t>
      </w:r>
      <w:r>
        <w:rPr>
          <w:rFonts w:ascii="Palatino Linotype" w:hAnsi="Palatino Linotype"/>
          <w:bCs/>
          <w:iCs/>
          <w:sz w:val="22"/>
          <w:szCs w:val="22"/>
        </w:rPr>
        <w:t xml:space="preserve"> los documentos que den cuenta de los</w:t>
      </w:r>
      <w:r w:rsidRPr="00E81FF4">
        <w:rPr>
          <w:rFonts w:ascii="Palatino Linotype" w:hAnsi="Palatino Linotype"/>
          <w:bCs/>
          <w:iCs/>
          <w:sz w:val="22"/>
          <w:szCs w:val="22"/>
        </w:rPr>
        <w:t xml:space="preserve">, </w:t>
      </w:r>
      <w:r>
        <w:rPr>
          <w:rFonts w:ascii="Palatino Linotype" w:hAnsi="Palatino Linotype"/>
          <w:bCs/>
          <w:iCs/>
          <w:sz w:val="22"/>
          <w:szCs w:val="22"/>
        </w:rPr>
        <w:t xml:space="preserve">pudieran contener información de carácter confidencial </w:t>
      </w:r>
      <w:r w:rsidRPr="00E81FF4">
        <w:rPr>
          <w:rFonts w:ascii="Palatino Linotype" w:hAnsi="Palatino Linotype"/>
          <w:bCs/>
          <w:iCs/>
          <w:sz w:val="22"/>
          <w:szCs w:val="22"/>
        </w:rPr>
        <w:t>en términos del artículo 143, fracción I de la Ley de Transparencia y Acceso a la Información Pública del Estado de México y Municipios</w:t>
      </w:r>
      <w:r>
        <w:rPr>
          <w:rFonts w:ascii="Palatino Linotype" w:hAnsi="Palatino Linotype"/>
          <w:bCs/>
          <w:iCs/>
          <w:sz w:val="22"/>
          <w:szCs w:val="22"/>
        </w:rPr>
        <w:t>, por lo que se considera que el Sujeto Obligado deberá tomar en cuenta dicha circunstancia para su entrega, situación que se realiza conforme a lo siguiente:</w:t>
      </w:r>
    </w:p>
    <w:p w14:paraId="0AD7D103"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47A1CEF" w14:textId="77777777" w:rsidR="00B53C01" w:rsidRPr="00E81FF4" w:rsidRDefault="00B53C01" w:rsidP="00B53C01">
      <w:pPr>
        <w:numPr>
          <w:ilvl w:val="0"/>
          <w:numId w:val="10"/>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Cédula del Registro Federal de Contribuyentes</w:t>
      </w:r>
    </w:p>
    <w:p w14:paraId="2BB4C32F"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0B0AB0E"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49F0EC8"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0506C835"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De acuerdo a lo establecido en el artículo en comento, esta clave se compone de trece caracteres alfanuméricos, con datos obtenidos de los apellidos, nombre(s), fecha de nacimiento del titular, más una </w:t>
      </w:r>
      <w:proofErr w:type="spellStart"/>
      <w:r w:rsidRPr="00E81FF4">
        <w:rPr>
          <w:rFonts w:ascii="Palatino Linotype" w:hAnsi="Palatino Linotype"/>
          <w:bCs/>
          <w:iCs/>
          <w:sz w:val="22"/>
          <w:szCs w:val="22"/>
        </w:rPr>
        <w:t>homoclave</w:t>
      </w:r>
      <w:proofErr w:type="spellEnd"/>
      <w:r w:rsidRPr="00E81FF4">
        <w:rPr>
          <w:rFonts w:ascii="Palatino Linotype" w:hAnsi="Palatino Linotype"/>
          <w:bCs/>
          <w:iCs/>
          <w:sz w:val="22"/>
          <w:szCs w:val="22"/>
        </w:rPr>
        <w:t xml:space="preserve"> que establece el sistema automático del Servicio de Administración Tributaria.</w:t>
      </w:r>
    </w:p>
    <w:p w14:paraId="703B398C"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lastRenderedPageBreak/>
        <w:t xml:space="preserve"> </w:t>
      </w:r>
    </w:p>
    <w:p w14:paraId="2B1B94B7"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En ese contexto, conforme a la página oficial del Servicio de Administración Tributaria, en el apartado Obtén tu cédula de identificación fiscal (consultado el tres de noviembre de dos mil veintidós, en la liga </w:t>
      </w:r>
      <w:hyperlink r:id="rId12" w:history="1">
        <w:r w:rsidRPr="00E81FF4">
          <w:rPr>
            <w:rStyle w:val="Hipervnculo"/>
            <w:rFonts w:ascii="Palatino Linotype" w:hAnsi="Palatino Linotype"/>
            <w:bCs/>
            <w:iCs/>
            <w:sz w:val="22"/>
            <w:szCs w:val="22"/>
          </w:rPr>
          <w:t>https://www.sat.gob.mx/aplicacion/28889/obten-tu-cedula-de-identificacion-fiscal</w:t>
        </w:r>
      </w:hyperlink>
      <w:r w:rsidRPr="00E81FF4">
        <w:rPr>
          <w:rFonts w:ascii="Palatino Linotype" w:hAnsi="Palatino Linotype"/>
          <w:bCs/>
          <w:iCs/>
          <w:sz w:val="22"/>
          <w:szCs w:val="22"/>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14:paraId="5C24F6D6"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11E5F17"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532A5AF"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30B0A7C"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299DFDB5"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2D1AC73F"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Lo anterior, resulta congruente con el Criterio 19/17 emitido por el Instituto Nacional de Transparencia, Acceso a la Información y Protección de Datos Personales, en el cual se señala lo siguiente:</w:t>
      </w:r>
    </w:p>
    <w:p w14:paraId="775A8217"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663DB420"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lastRenderedPageBreak/>
        <w:t>“Registro Federal de Contribuyentes (RFC) de personas físicas.</w:t>
      </w:r>
      <w:r w:rsidRPr="00E81FF4">
        <w:rPr>
          <w:rFonts w:ascii="Palatino Linotype" w:hAnsi="Palatino Linotype"/>
          <w:bCs/>
          <w:i/>
          <w:iCs/>
        </w:rPr>
        <w:t xml:space="preserve"> El RFC es una clave de carácter fiscal, única e irrepetible, que permite identificar al titular, su edad y fecha de nacimiento, por lo que es un dato personal de carácter confidencial.”</w:t>
      </w:r>
    </w:p>
    <w:p w14:paraId="68340E8F"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01F631C"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Cs/>
          <w:iCs/>
          <w:sz w:val="22"/>
          <w:szCs w:val="22"/>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 </w:t>
      </w:r>
    </w:p>
    <w:p w14:paraId="3F29F6DF"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47F0B0B6" w14:textId="77777777" w:rsidR="00B53C01" w:rsidRPr="00E81FF4" w:rsidRDefault="00B53C01" w:rsidP="00B53C01">
      <w:pPr>
        <w:numPr>
          <w:ilvl w:val="0"/>
          <w:numId w:val="11"/>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Clave Única de Registro de Población</w:t>
      </w:r>
    </w:p>
    <w:p w14:paraId="77B81EF0"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6D87E1CF"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0EEAF86"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2FD05BC2"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75CDE2B"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70C3F667"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lastRenderedPageBreak/>
        <w:t xml:space="preserve">En ese orden de ideas, la Secretaría de Gobernación en las direcciones </w:t>
      </w:r>
      <w:hyperlink r:id="rId13" w:history="1">
        <w:r w:rsidRPr="00E81FF4">
          <w:rPr>
            <w:rStyle w:val="Hipervnculo"/>
            <w:rFonts w:ascii="Palatino Linotype" w:hAnsi="Palatino Linotype"/>
            <w:bCs/>
            <w:iCs/>
            <w:sz w:val="22"/>
            <w:szCs w:val="22"/>
          </w:rPr>
          <w:t>https://consultas.curp.gob.mx/CurpSP/html/informacionecurpPS.html</w:t>
        </w:r>
      </w:hyperlink>
      <w:r w:rsidRPr="00E81FF4">
        <w:rPr>
          <w:rFonts w:ascii="Palatino Linotype" w:hAnsi="Palatino Linotype"/>
          <w:bCs/>
          <w:iCs/>
          <w:sz w:val="22"/>
          <w:szCs w:val="22"/>
        </w:rPr>
        <w:t xml:space="preserve"> y </w:t>
      </w:r>
      <w:hyperlink r:id="rId14" w:history="1">
        <w:r w:rsidRPr="00E81FF4">
          <w:rPr>
            <w:rStyle w:val="Hipervnculo"/>
            <w:rFonts w:ascii="Palatino Linotype" w:hAnsi="Palatino Linotype"/>
            <w:bCs/>
            <w:iCs/>
            <w:sz w:val="22"/>
            <w:szCs w:val="22"/>
          </w:rPr>
          <w:t>https://www.gob.mx/segob/renapo/acciones-y-programas/clave-unica-de-registro-de-poblacion-curp-142226</w:t>
        </w:r>
      </w:hyperlink>
      <w:r w:rsidRPr="00E81FF4">
        <w:rPr>
          <w:rFonts w:ascii="Palatino Linotype" w:hAnsi="Palatino Linotype"/>
          <w:bCs/>
          <w:iCs/>
          <w:sz w:val="22"/>
          <w:szCs w:val="22"/>
        </w:rPr>
        <w:t xml:space="preserve"> (consultadas el tres de noviembre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28D0C501"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6C228D4E" w14:textId="77777777" w:rsidR="00B53C01" w:rsidRPr="00E81FF4" w:rsidRDefault="00B53C01" w:rsidP="00B53C01">
      <w:pPr>
        <w:numPr>
          <w:ilvl w:val="0"/>
          <w:numId w:val="12"/>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El primero y segundo apellidos, así como al nombre de pila;</w:t>
      </w:r>
    </w:p>
    <w:p w14:paraId="0493D04B" w14:textId="77777777" w:rsidR="00B53C01" w:rsidRPr="00E81FF4" w:rsidRDefault="00B53C01" w:rsidP="00B53C01">
      <w:pPr>
        <w:numPr>
          <w:ilvl w:val="0"/>
          <w:numId w:val="12"/>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La fecha de nacimiento;</w:t>
      </w:r>
    </w:p>
    <w:p w14:paraId="35AA708A" w14:textId="77777777" w:rsidR="00B53C01" w:rsidRPr="00E81FF4" w:rsidRDefault="00B53C01" w:rsidP="00B53C01">
      <w:pPr>
        <w:numPr>
          <w:ilvl w:val="0"/>
          <w:numId w:val="12"/>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El sexo, y</w:t>
      </w:r>
    </w:p>
    <w:p w14:paraId="66AC26D0" w14:textId="77777777" w:rsidR="00B53C01" w:rsidRPr="00E81FF4" w:rsidRDefault="00B53C01" w:rsidP="00B53C01">
      <w:pPr>
        <w:numPr>
          <w:ilvl w:val="0"/>
          <w:numId w:val="12"/>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La entidad federativa de nacimiento.</w:t>
      </w:r>
    </w:p>
    <w:p w14:paraId="7559DABE"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3299B6B"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Los dos últimos elementos de la Clave Única de Registro de Población evitan la duplicidad de la Clave y garantizan su correcta integración.</w:t>
      </w:r>
    </w:p>
    <w:p w14:paraId="3E3C1D08"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2332887C"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4AAC8F3"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06EBEC32"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lastRenderedPageBreak/>
        <w:t>Situación que se robustece, con el Criterio 18/17, emitido por el Instituto Nacional de Transparencia, Acceso a la Información y Protección de Datos Personales, que establece lo siguiente:</w:t>
      </w:r>
    </w:p>
    <w:p w14:paraId="23D0EC71"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210B8052"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“Clave Única de Registro de Población (CURP). </w:t>
      </w:r>
      <w:r w:rsidRPr="00E81FF4">
        <w:rPr>
          <w:rFonts w:ascii="Palatino Linotype" w:hAnsi="Palatino Linotype"/>
          <w:bCs/>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1469863" w14:textId="77777777" w:rsidR="00B53C01" w:rsidRPr="00E81FF4" w:rsidRDefault="00B53C01" w:rsidP="00B53C01">
      <w:pPr>
        <w:spacing w:line="360" w:lineRule="auto"/>
        <w:ind w:left="567" w:right="567"/>
        <w:contextualSpacing/>
        <w:jc w:val="both"/>
        <w:rPr>
          <w:rFonts w:ascii="Palatino Linotype" w:hAnsi="Palatino Linotype"/>
          <w:bCs/>
          <w:iCs/>
        </w:rPr>
      </w:pPr>
      <w:r w:rsidRPr="00E81FF4">
        <w:rPr>
          <w:rFonts w:ascii="Palatino Linotype" w:hAnsi="Palatino Linotype"/>
          <w:bCs/>
          <w:iCs/>
        </w:rPr>
        <w:t xml:space="preserve"> </w:t>
      </w:r>
    </w:p>
    <w:p w14:paraId="1C50FC90"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14:paraId="69F5D7AF"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7603755" w14:textId="77777777" w:rsidR="00B53C01" w:rsidRPr="00E81FF4" w:rsidRDefault="00B53C01" w:rsidP="00B53C01">
      <w:pPr>
        <w:numPr>
          <w:ilvl w:val="0"/>
          <w:numId w:val="11"/>
        </w:numPr>
        <w:spacing w:line="360" w:lineRule="auto"/>
        <w:contextualSpacing/>
        <w:jc w:val="both"/>
        <w:rPr>
          <w:rFonts w:ascii="Palatino Linotype" w:hAnsi="Palatino Linotype"/>
          <w:bCs/>
          <w:iCs/>
          <w:sz w:val="22"/>
          <w:szCs w:val="22"/>
        </w:rPr>
      </w:pPr>
      <w:r w:rsidRPr="00E81FF4">
        <w:rPr>
          <w:rFonts w:ascii="Palatino Linotype" w:hAnsi="Palatino Linotype"/>
          <w:b/>
          <w:bCs/>
          <w:iCs/>
          <w:sz w:val="22"/>
          <w:szCs w:val="22"/>
        </w:rPr>
        <w:t>Solicitud de empleo</w:t>
      </w:r>
    </w:p>
    <w:p w14:paraId="61377ACA"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286E7917"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 </w:t>
      </w:r>
    </w:p>
    <w:p w14:paraId="31283BCD"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lastRenderedPageBreak/>
        <w:t xml:space="preserve"> </w:t>
      </w:r>
    </w:p>
    <w:p w14:paraId="6F8AF625" w14:textId="77777777" w:rsidR="00B53C01"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Por otro lado, es necesario referir que de acuerdo con el artículo 47 de la Ley de Trabajo de los Servidores Públicos del Estado de México y el 5.4 del Código Reglamentario de Metepec, para ingresar al servicio público se requiere presentar una solicitud por escrito, es decir, la entrega de este documento resulta ser un requisito indispensable para poder prestar servicios dentro de la Administración Pública. </w:t>
      </w:r>
    </w:p>
    <w:p w14:paraId="4111DF01" w14:textId="77777777" w:rsidR="00B53C01" w:rsidRPr="00E81FF4" w:rsidRDefault="00B53C01" w:rsidP="00B53C01">
      <w:pPr>
        <w:spacing w:line="360" w:lineRule="auto"/>
        <w:contextualSpacing/>
        <w:jc w:val="both"/>
        <w:rPr>
          <w:rFonts w:ascii="Palatino Linotype" w:hAnsi="Palatino Linotype"/>
          <w:bCs/>
          <w:iCs/>
          <w:sz w:val="22"/>
          <w:szCs w:val="22"/>
        </w:rPr>
      </w:pPr>
    </w:p>
    <w:p w14:paraId="65A5030D"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 </w:t>
      </w:r>
    </w:p>
    <w:p w14:paraId="0672F3D3"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0300A0ED"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 </w:t>
      </w:r>
    </w:p>
    <w:p w14:paraId="4A2A4B36"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394296A" w14:textId="77777777" w:rsidR="00B53C01" w:rsidRPr="00E81FF4" w:rsidRDefault="00B53C01" w:rsidP="00B53C01">
      <w:pPr>
        <w:numPr>
          <w:ilvl w:val="0"/>
          <w:numId w:val="13"/>
        </w:numPr>
        <w:spacing w:line="360" w:lineRule="auto"/>
        <w:contextualSpacing/>
        <w:jc w:val="both"/>
        <w:rPr>
          <w:rFonts w:ascii="Palatino Linotype" w:hAnsi="Palatino Linotype"/>
          <w:b/>
          <w:bCs/>
          <w:i/>
          <w:iCs/>
          <w:sz w:val="22"/>
          <w:szCs w:val="22"/>
        </w:rPr>
      </w:pPr>
      <w:r w:rsidRPr="00E81FF4">
        <w:rPr>
          <w:rFonts w:ascii="Palatino Linotype" w:hAnsi="Palatino Linotype"/>
          <w:b/>
          <w:bCs/>
          <w:i/>
          <w:iCs/>
          <w:sz w:val="22"/>
          <w:szCs w:val="22"/>
        </w:rPr>
        <w:t>Currículum vitae</w:t>
      </w:r>
    </w:p>
    <w:p w14:paraId="7605AD55"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2D79050"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Con relación al </w:t>
      </w:r>
      <w:r w:rsidRPr="00E81FF4">
        <w:rPr>
          <w:rFonts w:ascii="Palatino Linotype" w:hAnsi="Palatino Linotype"/>
          <w:bCs/>
          <w:i/>
          <w:iCs/>
          <w:sz w:val="22"/>
          <w:szCs w:val="22"/>
        </w:rPr>
        <w:t>currículum vitae,</w:t>
      </w:r>
      <w:r w:rsidRPr="00E81FF4">
        <w:rPr>
          <w:rFonts w:ascii="Palatino Linotype" w:hAnsi="Palatino Linotype"/>
          <w:bCs/>
          <w:iCs/>
          <w:sz w:val="22"/>
          <w:szCs w:val="22"/>
        </w:rPr>
        <w:t xml:space="preserve"> corresponde aquel que las personas elaboran con los datos de identificación y contacto, preparación académica y experiencia profesional, para presentarse ante un posible empleador. Por lo que, dicho documento da cuenta de la preparación académica y la experiencia laboral, lo cual permite identificar el nivel de conocimientos de su titular, así como, su perfil profesional o laboral.</w:t>
      </w:r>
    </w:p>
    <w:p w14:paraId="32C81F69"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lastRenderedPageBreak/>
        <w:t xml:space="preserve"> </w:t>
      </w:r>
    </w:p>
    <w:p w14:paraId="4269CA86"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En ese sentido, si bien el </w:t>
      </w:r>
      <w:r w:rsidRPr="00E81FF4">
        <w:rPr>
          <w:rFonts w:ascii="Palatino Linotype" w:hAnsi="Palatino Linotype"/>
          <w:bCs/>
          <w:i/>
          <w:iCs/>
          <w:sz w:val="22"/>
          <w:szCs w:val="22"/>
        </w:rPr>
        <w:t>currículum</w:t>
      </w:r>
      <w:r w:rsidRPr="00E81FF4">
        <w:rPr>
          <w:rFonts w:ascii="Palatino Linotype" w:hAnsi="Palatino Linotype"/>
          <w:bCs/>
          <w:iCs/>
          <w:sz w:val="22"/>
          <w:szCs w:val="22"/>
        </w:rPr>
        <w:t>, se trata de aquel elaborado por cada persona, sin ninguna validez oficial, también lo es, que tiene por objetivo que las personas puedan 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14:paraId="6F8B462D"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4D1021D6"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Lo anterior, se robustece con la fracción XXI, del artículo 92 de la Ley de Transparencia y Acceso a la Información Pública del Estado de México y Municipios, que establece que la </w:t>
      </w:r>
      <w:r w:rsidRPr="00E81FF4">
        <w:rPr>
          <w:rFonts w:ascii="Palatino Linotype" w:hAnsi="Palatino Linotype"/>
          <w:b/>
          <w:bCs/>
          <w:iCs/>
          <w:sz w:val="22"/>
          <w:szCs w:val="22"/>
        </w:rPr>
        <w:t>información curricular</w:t>
      </w:r>
      <w:r w:rsidRPr="00E81FF4">
        <w:rPr>
          <w:rFonts w:ascii="Palatino Linotype" w:hAnsi="Palatino Linotype"/>
          <w:bCs/>
          <w:iCs/>
          <w:sz w:val="22"/>
          <w:szCs w:val="22"/>
        </w:rPr>
        <w:t xml:space="preserve"> es información que deben de poner a disposición del público los sujetos obligados, en el presente caso, el </w:t>
      </w:r>
      <w:r>
        <w:rPr>
          <w:rFonts w:ascii="Palatino Linotype" w:hAnsi="Palatino Linotype"/>
          <w:bCs/>
          <w:iCs/>
          <w:sz w:val="22"/>
          <w:szCs w:val="22"/>
        </w:rPr>
        <w:t>Sistema Municipal para el Desarrollo Integral de la Familia de Huehuetoca</w:t>
      </w:r>
      <w:r w:rsidRPr="00E81FF4">
        <w:rPr>
          <w:rFonts w:ascii="Palatino Linotype" w:hAnsi="Palatino Linotype"/>
          <w:bCs/>
          <w:iCs/>
          <w:sz w:val="22"/>
          <w:szCs w:val="22"/>
        </w:rPr>
        <w:t>.</w:t>
      </w:r>
    </w:p>
    <w:p w14:paraId="7EEEE162"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2D497A38"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 tal como se muestra a continuación.</w:t>
      </w:r>
    </w:p>
    <w:p w14:paraId="76E27581"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68C2DAC9"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noProof/>
          <w:sz w:val="22"/>
          <w:szCs w:val="22"/>
          <w:lang w:eastAsia="es-MX"/>
        </w:rPr>
        <w:lastRenderedPageBreak/>
        <w:drawing>
          <wp:inline distT="0" distB="0" distL="0" distR="0" wp14:anchorId="56CB254C" wp14:editId="4A62A83B">
            <wp:extent cx="5612130" cy="2005965"/>
            <wp:effectExtent l="0" t="0" r="7620" b="0"/>
            <wp:docPr id="4995075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005965"/>
                    </a:xfrm>
                    <a:prstGeom prst="rect">
                      <a:avLst/>
                    </a:prstGeom>
                    <a:noFill/>
                    <a:ln>
                      <a:noFill/>
                    </a:ln>
                  </pic:spPr>
                </pic:pic>
              </a:graphicData>
            </a:graphic>
          </wp:inline>
        </w:drawing>
      </w:r>
      <w:r w:rsidRPr="00E81FF4">
        <w:rPr>
          <w:rFonts w:ascii="Palatino Linotype" w:hAnsi="Palatino Linotype"/>
          <w:bCs/>
          <w:iCs/>
          <w:sz w:val="22"/>
          <w:szCs w:val="22"/>
        </w:rPr>
        <w:t xml:space="preserve"> </w:t>
      </w:r>
    </w:p>
    <w:p w14:paraId="165033DA"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DE1FC14"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En ese contexto, según Islas, Jorge (2016), en la “Ley General de Transparencia y Acceso a la Información Pública Comentada” (p. 244), refirió que el </w:t>
      </w:r>
      <w:r w:rsidRPr="00E81FF4">
        <w:rPr>
          <w:rFonts w:ascii="Palatino Linotype" w:hAnsi="Palatino Linotype"/>
          <w:b/>
          <w:bCs/>
          <w:i/>
          <w:iCs/>
          <w:sz w:val="22"/>
          <w:szCs w:val="22"/>
        </w:rPr>
        <w:t>curriculum vitae</w:t>
      </w:r>
      <w:r w:rsidRPr="00E81FF4">
        <w:rPr>
          <w:rFonts w:ascii="Palatino Linotype" w:hAnsi="Palatino Linotype"/>
          <w:b/>
          <w:bCs/>
          <w:iCs/>
          <w:sz w:val="22"/>
          <w:szCs w:val="22"/>
        </w:rPr>
        <w:t xml:space="preserve"> </w:t>
      </w:r>
      <w:r w:rsidRPr="00E81FF4">
        <w:rPr>
          <w:rFonts w:ascii="Palatino Linotype" w:hAnsi="Palatino Linotype"/>
          <w:bCs/>
          <w:iCs/>
          <w:sz w:val="22"/>
          <w:szCs w:val="22"/>
        </w:rPr>
        <w:t>d</w:t>
      </w:r>
      <w:r w:rsidRPr="00E81FF4">
        <w:rPr>
          <w:rFonts w:ascii="Palatino Linotype" w:hAnsi="Palatino Linotype"/>
          <w:b/>
          <w:bCs/>
          <w:iCs/>
          <w:sz w:val="22"/>
          <w:szCs w:val="22"/>
        </w:rPr>
        <w:t>e un servidor público, justifica que su formación académica resulta viable para el desempeño eficiente y correcto de su encargo; lo anterior, con el fin de acreditar que dichos trabajadores sean los más capacitados acordes al área solicitada.</w:t>
      </w:r>
    </w:p>
    <w:p w14:paraId="0190427E"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6538A3B"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En el mismo sentido, el Criterio de Interpretación, de la Primera Época, con número de registro SO/003/2009, emitido por el Pleno del entonces Instituto Federal de Acceso a la Información y Protección de Datos, establece que una de las formas en que los ciudadanos pueden evaluar las aptitudes para desempeñar un cargo público determinado, es mediante la </w:t>
      </w:r>
      <w:r w:rsidRPr="00E81FF4">
        <w:rPr>
          <w:rFonts w:ascii="Palatino Linotype" w:hAnsi="Palatino Linotype"/>
          <w:b/>
          <w:bCs/>
          <w:iCs/>
          <w:sz w:val="22"/>
          <w:szCs w:val="22"/>
        </w:rPr>
        <w:t xml:space="preserve">publicidad de ciertos datos contenidos en el </w:t>
      </w:r>
      <w:r w:rsidRPr="00E81FF4">
        <w:rPr>
          <w:rFonts w:ascii="Palatino Linotype" w:hAnsi="Palatino Linotype"/>
          <w:bCs/>
          <w:i/>
          <w:iCs/>
          <w:sz w:val="22"/>
          <w:szCs w:val="22"/>
        </w:rPr>
        <w:t xml:space="preserve">currículum vitae, </w:t>
      </w:r>
      <w:r w:rsidRPr="00E81FF4">
        <w:rPr>
          <w:rFonts w:ascii="Palatino Linotype" w:hAnsi="Palatino Linotype"/>
          <w:bCs/>
          <w:iCs/>
          <w:sz w:val="22"/>
          <w:szCs w:val="22"/>
        </w:rPr>
        <w:t>tales como,</w:t>
      </w:r>
      <w:r w:rsidRPr="00E81FF4">
        <w:rPr>
          <w:rFonts w:ascii="Palatino Linotype" w:hAnsi="Palatino Linotype"/>
          <w:b/>
          <w:bCs/>
          <w:iCs/>
          <w:sz w:val="22"/>
          <w:szCs w:val="22"/>
        </w:rPr>
        <w:t xml:space="preserve"> la trayectoria académica, profesional, laboral, así como todos aquellos que acrediten su capacidad, habilidades pericia para ocupar el puesto público. </w:t>
      </w:r>
      <w:r w:rsidRPr="00E81FF4">
        <w:rPr>
          <w:rFonts w:ascii="Palatino Linotype" w:hAnsi="Palatino Linotype"/>
          <w:bCs/>
          <w:iCs/>
          <w:sz w:val="22"/>
          <w:szCs w:val="22"/>
        </w:rPr>
        <w:t>Lo anterior, para favorecer la rendición de cuentas, pues la publicidad de lo anterior tiene como fin verificar el correcto desempeño de los sujetos obligados.</w:t>
      </w:r>
    </w:p>
    <w:p w14:paraId="1DEAC497"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2849AF3" w14:textId="77777777" w:rsidR="00B53C01" w:rsidRPr="00E81FF4" w:rsidRDefault="00B53C01" w:rsidP="00B53C01">
      <w:pPr>
        <w:numPr>
          <w:ilvl w:val="0"/>
          <w:numId w:val="13"/>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Nivel o grado máximo de estudios</w:t>
      </w:r>
    </w:p>
    <w:p w14:paraId="4439466A"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644F227A"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lastRenderedPageBreak/>
        <w:t xml:space="preserve">En ese contexto, el Título profesional, certificado de estudios </w:t>
      </w:r>
      <w:proofErr w:type="spellStart"/>
      <w:r w:rsidRPr="00E81FF4">
        <w:rPr>
          <w:rFonts w:ascii="Palatino Linotype" w:hAnsi="Palatino Linotype"/>
          <w:bCs/>
          <w:iCs/>
          <w:sz w:val="22"/>
          <w:szCs w:val="22"/>
        </w:rPr>
        <w:t>u</w:t>
      </w:r>
      <w:proofErr w:type="spellEnd"/>
      <w:r w:rsidRPr="00E81FF4">
        <w:rPr>
          <w:rFonts w:ascii="Palatino Linotype" w:hAnsi="Palatino Linotype"/>
          <w:bCs/>
          <w:iCs/>
          <w:sz w:val="22"/>
          <w:szCs w:val="22"/>
        </w:rPr>
        <w:t xml:space="preserve"> homólogo corresponde al documento expedido por instituciones del Estado o descentralizadas, y por instituciones particulares que tenga reconocimiento de validez oficial de estudios, a favor de la persona que este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4AEA9795"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24C6133C"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el veintidós de septiembre de dos mil veinte, a las quince horas, en la liga </w:t>
      </w:r>
      <w:hyperlink r:id="rId16" w:history="1">
        <w:r w:rsidRPr="00E81FF4">
          <w:rPr>
            <w:rStyle w:val="Hipervnculo"/>
            <w:rFonts w:ascii="Palatino Linotype" w:hAnsi="Palatino Linotype"/>
            <w:bCs/>
            <w:iCs/>
            <w:sz w:val="22"/>
            <w:szCs w:val="22"/>
          </w:rPr>
          <w:t>http://consultatucedula.mx/</w:t>
        </w:r>
      </w:hyperlink>
      <w:r w:rsidRPr="00E81FF4">
        <w:rPr>
          <w:rFonts w:ascii="Palatino Linotype" w:hAnsi="Palatino Linotype"/>
          <w:bCs/>
          <w:iCs/>
          <w:sz w:val="22"/>
          <w:szCs w:val="22"/>
        </w:rPr>
        <w:t>).</w:t>
      </w:r>
    </w:p>
    <w:p w14:paraId="5DDCB20C"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76A75A9C"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Además, la cédula profesional, es el documento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14:paraId="0D4C143A"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AB0AACB"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Cs/>
          <w:iCs/>
          <w:sz w:val="22"/>
          <w:szCs w:val="22"/>
        </w:rPr>
        <w:t xml:space="preserve">En este sentido, los documentos que </w:t>
      </w:r>
      <w:r w:rsidRPr="00E81FF4">
        <w:rPr>
          <w:rFonts w:ascii="Palatino Linotype" w:hAnsi="Palatino Linotype"/>
          <w:b/>
          <w:bCs/>
          <w:iCs/>
          <w:sz w:val="22"/>
          <w:szCs w:val="22"/>
        </w:rPr>
        <w:t xml:space="preserve">dan cuenta de la preparación académica, sirven como medios de identificación, para que a su titular lo relacionen con el nivel de estudios con </w:t>
      </w:r>
      <w:r w:rsidRPr="00E81FF4">
        <w:rPr>
          <w:rFonts w:ascii="Palatino Linotype" w:hAnsi="Palatino Linotype"/>
          <w:b/>
          <w:bCs/>
          <w:iCs/>
          <w:sz w:val="22"/>
          <w:szCs w:val="22"/>
        </w:rPr>
        <w:lastRenderedPageBreak/>
        <w:t>que cuenta, tales como el título y cédula profesional o bien, un certificado de estudios, independientemente de que estos sean o no medios de identificación oficiales.</w:t>
      </w:r>
    </w:p>
    <w:p w14:paraId="269510A7"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FACA784"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Cs/>
          <w:iCs/>
          <w:sz w:val="22"/>
          <w:szCs w:val="22"/>
        </w:rPr>
        <w:t xml:space="preserve">Además, debe tenerse presente que la naturaleza del título profesional o bien, del certificado, consiste en la de ser documentos de identificación para que a sus titulares, los acrediten como profesionales o expertos en algún área de estudio o conocimiento frente a terceros; por lo que, proporcionar dicha información </w:t>
      </w:r>
      <w:r w:rsidRPr="00E81FF4">
        <w:rPr>
          <w:rFonts w:ascii="Palatino Linotype" w:hAnsi="Palatino Linotype"/>
          <w:b/>
          <w:bCs/>
          <w:iCs/>
          <w:sz w:val="22"/>
          <w:szCs w:val="22"/>
        </w:rPr>
        <w:t>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5DA34C6B"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CB77A10" w14:textId="77777777" w:rsidR="00B53C01" w:rsidRPr="00E81FF4" w:rsidRDefault="00B53C01" w:rsidP="00B53C01">
      <w:pPr>
        <w:numPr>
          <w:ilvl w:val="0"/>
          <w:numId w:val="11"/>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Constancia domiciliaria</w:t>
      </w:r>
    </w:p>
    <w:p w14:paraId="05D2A5D0"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7D2FC28C"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2C477896"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4CE9D28E"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Cs/>
          <w:iCs/>
          <w:sz w:val="22"/>
          <w:szCs w:val="22"/>
        </w:rPr>
        <w:t>De la misma manera, lo establece el artículo 29 del Código Civil Federal, al precisar que el domicilio de personas físicas</w:t>
      </w:r>
      <w:r w:rsidRPr="00E81FF4">
        <w:rPr>
          <w:rFonts w:ascii="Palatino Linotype" w:hAnsi="Palatino Linotype"/>
          <w:b/>
          <w:bCs/>
          <w:iCs/>
          <w:sz w:val="22"/>
          <w:szCs w:val="22"/>
        </w:rPr>
        <w:t xml:space="preserve">, </w:t>
      </w:r>
      <w:r w:rsidRPr="00E81FF4">
        <w:rPr>
          <w:rFonts w:ascii="Palatino Linotype" w:hAnsi="Palatino Linotype"/>
          <w:bCs/>
          <w:iCs/>
          <w:sz w:val="22"/>
          <w:szCs w:val="22"/>
        </w:rPr>
        <w:t>es el lugar donde residen habitualmente, el lugar del centro principal de sus negocios, donde residan o el lugar donde se encuentren.</w:t>
      </w:r>
    </w:p>
    <w:p w14:paraId="413F770A"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3AC6923A"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w:t>
      </w:r>
      <w:r w:rsidRPr="00E81FF4">
        <w:rPr>
          <w:rFonts w:ascii="Palatino Linotype" w:hAnsi="Palatino Linotype"/>
          <w:bCs/>
          <w:iCs/>
          <w:sz w:val="22"/>
          <w:szCs w:val="22"/>
        </w:rPr>
        <w:lastRenderedPageBreak/>
        <w:t xml:space="preserve">un dato personal y, por ende, confidencial, ya que incide directamente en la privacidad de personas físicas identificadas y su difusión podría afectar la esfera privada de las mismas. </w:t>
      </w:r>
    </w:p>
    <w:p w14:paraId="6EE47B82"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4E630C28"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La misma suerte corre el comprobante de domicilio, pues mediante este se acredita que los servidores públicos viven donde señalan en los documentos que entregan;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48D643F5"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EF9D748"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Por lo tanto, se actualiza la clasificación del domicilio y su comprobante, de conformidad con la fracción I, del artículo 143 de la Ley de Transparencia y Acceso a la Información Pública del Estado de México y Municipios.</w:t>
      </w:r>
    </w:p>
    <w:p w14:paraId="31C4D7B9"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6794A3A1" w14:textId="77777777" w:rsidR="00B53C01" w:rsidRPr="00E81FF4" w:rsidRDefault="00B53C01" w:rsidP="00B53C01">
      <w:pPr>
        <w:numPr>
          <w:ilvl w:val="0"/>
          <w:numId w:val="11"/>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Cartilla del Servicio Militar Nacional</w:t>
      </w:r>
    </w:p>
    <w:p w14:paraId="4C564602"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24C8917F"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La Cartilla del Servicio Militar Nacional es un documento cuya existencia está prescrita por la ley y sirve para identificar a los ciudadanos mexicanos varones que han cumplido con esta obligación legal.</w:t>
      </w:r>
    </w:p>
    <w:p w14:paraId="3D8275A7"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0E84A34"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La expedición de la Cartilla del Servicio Militar Nacional es el origen del procedimiento administrativo y legal por medio del cual la Secretaría de la Defensa Nacional y la Secretaría de Marina integran los listados o bases de datos de la población que integra las reservas de las Fuerzas Armadas Nacionales, susceptible de ser convocada o movilizada en caso de necesidad o emergencia.</w:t>
      </w:r>
    </w:p>
    <w:p w14:paraId="7A73921E"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EB971F3"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lastRenderedPageBreak/>
        <w:t>La Cartilla del Servicio Militar Nacional es un documento que además de servir como identificación oficial se requiere para la realización de diversos trámites oficiales.</w:t>
      </w:r>
    </w:p>
    <w:p w14:paraId="6B55443A"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412753D1"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La prestación del Servicio Militar Nacional es un derecho y una obligación de todos los mexicanos por nacimiento o por naturalización.</w:t>
      </w:r>
    </w:p>
    <w:p w14:paraId="1CC73E63"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22B11E0E"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Su cumplimiento legal se demuestra mediante la expedición de un documento específico, una tarjeta de identidad que es conocida como Cartilla del Servicio Militar Nacional y la cual se expide con fundamento en el artículo 49 de la Ley del Servicio Militar Nacional y cuya redacción actual es la siguiente:</w:t>
      </w:r>
    </w:p>
    <w:p w14:paraId="7FDABA80"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0531C248" w14:textId="77777777" w:rsidR="00B53C01" w:rsidRPr="00E81FF4" w:rsidRDefault="00B53C01" w:rsidP="00B53C01">
      <w:pPr>
        <w:spacing w:line="360" w:lineRule="auto"/>
        <w:ind w:left="567" w:right="567"/>
        <w:contextualSpacing/>
        <w:jc w:val="both"/>
        <w:rPr>
          <w:rFonts w:ascii="Palatino Linotype" w:hAnsi="Palatino Linotype"/>
          <w:bCs/>
          <w:iCs/>
        </w:rPr>
      </w:pPr>
      <w:r w:rsidRPr="00E81FF4">
        <w:rPr>
          <w:rFonts w:ascii="Palatino Linotype" w:hAnsi="Palatino Linotype"/>
          <w:b/>
          <w:bCs/>
          <w:i/>
          <w:iCs/>
        </w:rPr>
        <w:t>“ARTICULO 49.-</w:t>
      </w:r>
      <w:r w:rsidRPr="00E81FF4">
        <w:rPr>
          <w:rFonts w:ascii="Palatino Linotype" w:hAnsi="Palatino Linotype"/>
          <w:bCs/>
          <w:i/>
          <w:iCs/>
        </w:rPr>
        <w:t xml:space="preserve"> Todos los mexicanos de edad militar recibirán una tarjeta de identificación en la que consten sus generales, huellas digitales, clase a que pertenezcan y si han cumplido con el servicio de las armas o si están excluidos o aplazados. Esta tarjeta se expedirá gratuitamente y deberá ser visada cada año por la Oficina de Reclutamiento de Zona, de Sector o Consulados. La Secretaría de la Defensa Nacional fijará oportunamente la fecha desde la cual dicha tarjeta es exigible.”</w:t>
      </w:r>
    </w:p>
    <w:p w14:paraId="60F6E858"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7B3C6DE7"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El formato de esta cartilla se establece en al artículo 17 del Reglamento de la Ley del Servicio Militar Nacional, el cual señala que "</w:t>
      </w:r>
      <w:r w:rsidRPr="00E81FF4">
        <w:rPr>
          <w:rFonts w:ascii="Palatino Linotype" w:hAnsi="Palatino Linotype"/>
          <w:bCs/>
          <w:i/>
          <w:iCs/>
          <w:sz w:val="22"/>
          <w:szCs w:val="22"/>
        </w:rPr>
        <w:t>La inscripción de cada mexicano se hará una sola vez, entregándole gratuitamente una cartilla de identificación según modelo número uno</w:t>
      </w:r>
      <w:r w:rsidRPr="00E81FF4">
        <w:rPr>
          <w:rFonts w:ascii="Palatino Linotype" w:hAnsi="Palatino Linotype"/>
          <w:bCs/>
          <w:iCs/>
          <w:sz w:val="22"/>
          <w:szCs w:val="22"/>
        </w:rPr>
        <w:t>".</w:t>
      </w:r>
    </w:p>
    <w:p w14:paraId="5851335F"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E2CB87A"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Posteriormente, en el artículo 151 de dicho Reglamento se señala que los datos que deberá tener este documento de identidad serán:</w:t>
      </w:r>
    </w:p>
    <w:p w14:paraId="54ADE88D"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2EBF46F6" w14:textId="77777777" w:rsidR="00B53C01" w:rsidRPr="00E81FF4" w:rsidRDefault="00B53C01" w:rsidP="00B53C01">
      <w:pPr>
        <w:numPr>
          <w:ilvl w:val="0"/>
          <w:numId w:val="11"/>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Un retrato de frente;</w:t>
      </w:r>
    </w:p>
    <w:p w14:paraId="7B1207C2" w14:textId="77777777" w:rsidR="00B53C01" w:rsidRPr="00E81FF4" w:rsidRDefault="00B53C01" w:rsidP="00B53C01">
      <w:pPr>
        <w:numPr>
          <w:ilvl w:val="0"/>
          <w:numId w:val="11"/>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lastRenderedPageBreak/>
        <w:t>Sus generales (nombre y apellidos paterno y materno, edad, ocupación, estado civil y domicilio);</w:t>
      </w:r>
    </w:p>
    <w:p w14:paraId="7DC086BF" w14:textId="77777777" w:rsidR="00B53C01" w:rsidRPr="00E81FF4" w:rsidRDefault="00B53C01" w:rsidP="00B53C01">
      <w:pPr>
        <w:numPr>
          <w:ilvl w:val="0"/>
          <w:numId w:val="11"/>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Matrícula;</w:t>
      </w:r>
    </w:p>
    <w:p w14:paraId="5DFE5588" w14:textId="77777777" w:rsidR="00B53C01" w:rsidRPr="00E81FF4" w:rsidRDefault="00B53C01" w:rsidP="00B53C01">
      <w:pPr>
        <w:numPr>
          <w:ilvl w:val="0"/>
          <w:numId w:val="11"/>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Clase a que pertenece;</w:t>
      </w:r>
    </w:p>
    <w:p w14:paraId="01241DE6" w14:textId="77777777" w:rsidR="00B53C01" w:rsidRPr="00E81FF4" w:rsidRDefault="00B53C01" w:rsidP="00B53C01">
      <w:pPr>
        <w:numPr>
          <w:ilvl w:val="0"/>
          <w:numId w:val="11"/>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Corporación a que se le destine;</w:t>
      </w:r>
    </w:p>
    <w:p w14:paraId="619BABB6" w14:textId="77777777" w:rsidR="00B53C01" w:rsidRPr="00E81FF4" w:rsidRDefault="00B53C01" w:rsidP="00B53C01">
      <w:pPr>
        <w:numPr>
          <w:ilvl w:val="0"/>
          <w:numId w:val="11"/>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Unidad a la que deba incorporarse en caso de movilización;</w:t>
      </w:r>
    </w:p>
    <w:p w14:paraId="2C1756F0" w14:textId="77777777" w:rsidR="00B53C01" w:rsidRPr="00E81FF4" w:rsidRDefault="00B53C01" w:rsidP="00B53C01">
      <w:pPr>
        <w:numPr>
          <w:ilvl w:val="0"/>
          <w:numId w:val="11"/>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Firma de la autoridad que la expida;</w:t>
      </w:r>
    </w:p>
    <w:p w14:paraId="166EF0C2" w14:textId="77777777" w:rsidR="00B53C01" w:rsidRPr="00E81FF4" w:rsidRDefault="00B53C01" w:rsidP="00B53C01">
      <w:pPr>
        <w:numPr>
          <w:ilvl w:val="0"/>
          <w:numId w:val="11"/>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Firma del interesado, si sabe hacerlo;</w:t>
      </w:r>
    </w:p>
    <w:p w14:paraId="39170577" w14:textId="77777777" w:rsidR="00B53C01" w:rsidRPr="00E81FF4" w:rsidRDefault="00B53C01" w:rsidP="00B53C01">
      <w:pPr>
        <w:numPr>
          <w:ilvl w:val="0"/>
          <w:numId w:val="11"/>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Sello de la Junta Municipal de Reclutamiento o Consulado;</w:t>
      </w:r>
    </w:p>
    <w:p w14:paraId="4339688B" w14:textId="77777777" w:rsidR="00B53C01" w:rsidRPr="00E81FF4" w:rsidRDefault="00B53C01" w:rsidP="00B53C01">
      <w:pPr>
        <w:numPr>
          <w:ilvl w:val="0"/>
          <w:numId w:val="11"/>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Huella digital.</w:t>
      </w:r>
    </w:p>
    <w:p w14:paraId="0C6C6CD3"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6978357"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Del listado de la información que integra la cartilla de identificación o llamada cartilla de servicio militar, se advierte que son netamente datos personales que se alejan de la transparencia y rendición de cuentas, los cuales su divulgación infiere en la esfera íntima del titular, por lo que resulta idónea su clasificación en su totalidad como información confidencial.</w:t>
      </w:r>
    </w:p>
    <w:p w14:paraId="6D966C48"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EC4F187" w14:textId="77777777" w:rsidR="00B53C01" w:rsidRPr="00E81FF4" w:rsidRDefault="00B53C01" w:rsidP="00B53C01">
      <w:pPr>
        <w:numPr>
          <w:ilvl w:val="0"/>
          <w:numId w:val="11"/>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Fotografías de los servidores públicos</w:t>
      </w:r>
    </w:p>
    <w:p w14:paraId="2472AD20"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5E68595F"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64398CEB"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0EDFF36F"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lastRenderedPageBreak/>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408A978E"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FE4FF33"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2F1F0E7C"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57B8569"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7EB9E93A"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D355F57"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w:t>
      </w:r>
      <w:r w:rsidRPr="00E81FF4">
        <w:rPr>
          <w:rFonts w:ascii="Palatino Linotype" w:hAnsi="Palatino Linotype"/>
          <w:bCs/>
          <w:iCs/>
          <w:sz w:val="22"/>
          <w:szCs w:val="22"/>
        </w:rPr>
        <w:lastRenderedPageBreak/>
        <w:t xml:space="preserve">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43975D74"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20E9049B"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26628381"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2C5BB37F"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5501DB7D"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434E27C5" w14:textId="77777777" w:rsidR="00B53C01"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Cs/>
          <w:iCs/>
          <w:sz w:val="22"/>
          <w:szCs w:val="22"/>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E81FF4">
        <w:rPr>
          <w:rFonts w:ascii="Palatino Linotype" w:hAnsi="Palatino Linotype"/>
          <w:b/>
          <w:bCs/>
          <w:iCs/>
          <w:sz w:val="22"/>
          <w:szCs w:val="22"/>
        </w:rPr>
        <w:t xml:space="preserve">Cabe hacer la aclaración que aquellos documentos que sean clasificados en su totalidad por no revestir de interés público, como lo es la credencial de elector, la fotografía correrá la </w:t>
      </w:r>
      <w:r w:rsidRPr="00E81FF4">
        <w:rPr>
          <w:rFonts w:ascii="Palatino Linotype" w:hAnsi="Palatino Linotype"/>
          <w:b/>
          <w:bCs/>
          <w:iCs/>
          <w:sz w:val="22"/>
          <w:szCs w:val="22"/>
        </w:rPr>
        <w:lastRenderedPageBreak/>
        <w:t>misma suerte que el documento en cuestión, únicamente para dicha expresión documental.</w:t>
      </w:r>
    </w:p>
    <w:p w14:paraId="285896D8" w14:textId="77777777" w:rsidR="00B53C01" w:rsidRPr="00511E03" w:rsidRDefault="00B53C01" w:rsidP="00B53C01">
      <w:pPr>
        <w:spacing w:line="360" w:lineRule="auto"/>
        <w:contextualSpacing/>
        <w:jc w:val="both"/>
        <w:rPr>
          <w:rFonts w:ascii="Palatino Linotype" w:hAnsi="Palatino Linotype"/>
          <w:b/>
          <w:bCs/>
          <w:iCs/>
          <w:sz w:val="22"/>
          <w:szCs w:val="22"/>
        </w:rPr>
      </w:pPr>
    </w:p>
    <w:p w14:paraId="699FB3FC" w14:textId="77777777" w:rsidR="00B53C01" w:rsidRPr="00511E03" w:rsidRDefault="00B53C01" w:rsidP="00B53C01">
      <w:pPr>
        <w:numPr>
          <w:ilvl w:val="0"/>
          <w:numId w:val="14"/>
        </w:numPr>
        <w:spacing w:line="360" w:lineRule="auto"/>
        <w:contextualSpacing/>
        <w:jc w:val="both"/>
        <w:rPr>
          <w:rFonts w:ascii="Palatino Linotype" w:hAnsi="Palatino Linotype"/>
          <w:b/>
          <w:bCs/>
          <w:iCs/>
          <w:sz w:val="22"/>
          <w:szCs w:val="22"/>
        </w:rPr>
      </w:pPr>
      <w:r w:rsidRPr="00511E03">
        <w:rPr>
          <w:rFonts w:ascii="Palatino Linotype" w:hAnsi="Palatino Linotype"/>
          <w:b/>
          <w:bCs/>
          <w:iCs/>
          <w:sz w:val="22"/>
          <w:szCs w:val="22"/>
        </w:rPr>
        <w:t>Firma de servidores públicos</w:t>
      </w:r>
    </w:p>
    <w:p w14:paraId="2EC8AA62" w14:textId="77777777" w:rsidR="00B53C01" w:rsidRPr="00511E03" w:rsidRDefault="00B53C01" w:rsidP="00B53C01">
      <w:pPr>
        <w:spacing w:line="360" w:lineRule="auto"/>
        <w:contextualSpacing/>
        <w:jc w:val="both"/>
        <w:rPr>
          <w:rFonts w:ascii="Palatino Linotype" w:hAnsi="Palatino Linotype"/>
          <w:b/>
          <w:bCs/>
          <w:iCs/>
          <w:sz w:val="22"/>
          <w:szCs w:val="22"/>
        </w:rPr>
      </w:pPr>
      <w:r w:rsidRPr="00511E03">
        <w:rPr>
          <w:rFonts w:ascii="Palatino Linotype" w:hAnsi="Palatino Linotype"/>
          <w:b/>
          <w:bCs/>
          <w:iCs/>
          <w:sz w:val="22"/>
          <w:szCs w:val="22"/>
        </w:rPr>
        <w:t xml:space="preserve"> </w:t>
      </w:r>
    </w:p>
    <w:p w14:paraId="633D314A" w14:textId="77777777" w:rsidR="00B53C01" w:rsidRPr="00511E03" w:rsidRDefault="00B53C01" w:rsidP="00B53C01">
      <w:pPr>
        <w:spacing w:line="360" w:lineRule="auto"/>
        <w:contextualSpacing/>
        <w:jc w:val="both"/>
        <w:rPr>
          <w:rFonts w:ascii="Palatino Linotype" w:hAnsi="Palatino Linotype"/>
          <w:iCs/>
          <w:sz w:val="22"/>
          <w:szCs w:val="22"/>
        </w:rPr>
      </w:pPr>
      <w:r w:rsidRPr="00511E03">
        <w:rPr>
          <w:rFonts w:ascii="Palatino Linotype" w:hAnsi="Palatino Linotype"/>
          <w:iCs/>
          <w:sz w:val="22"/>
          <w:szCs w:val="22"/>
        </w:rPr>
        <w:t>Sobre dicho dato, cabe precisar que, en el presente caso, es de señalar que la firma es un dato personal confidencial y únicamente será público dicho dato cuando sirva para la emisión de un acto de autoridad, en ejercicio de sus funciones.</w:t>
      </w:r>
    </w:p>
    <w:p w14:paraId="3D98CCDC" w14:textId="77777777" w:rsidR="00B53C01" w:rsidRPr="00511E03" w:rsidRDefault="00B53C01" w:rsidP="00B53C01">
      <w:pPr>
        <w:spacing w:line="360" w:lineRule="auto"/>
        <w:contextualSpacing/>
        <w:jc w:val="both"/>
        <w:rPr>
          <w:rFonts w:ascii="Palatino Linotype" w:hAnsi="Palatino Linotype"/>
          <w:iCs/>
          <w:sz w:val="22"/>
          <w:szCs w:val="22"/>
        </w:rPr>
      </w:pPr>
      <w:r w:rsidRPr="00511E03">
        <w:rPr>
          <w:rFonts w:ascii="Palatino Linotype" w:hAnsi="Palatino Linotype"/>
          <w:iCs/>
          <w:sz w:val="22"/>
          <w:szCs w:val="22"/>
        </w:rPr>
        <w:t xml:space="preserve"> </w:t>
      </w:r>
    </w:p>
    <w:p w14:paraId="29F7D9C2" w14:textId="77777777" w:rsidR="00B53C01" w:rsidRPr="00511E03" w:rsidRDefault="00B53C01" w:rsidP="00B53C01">
      <w:pPr>
        <w:spacing w:line="360" w:lineRule="auto"/>
        <w:contextualSpacing/>
        <w:jc w:val="both"/>
        <w:rPr>
          <w:rFonts w:ascii="Palatino Linotype" w:hAnsi="Palatino Linotype"/>
          <w:iCs/>
          <w:sz w:val="22"/>
          <w:szCs w:val="22"/>
        </w:rPr>
      </w:pPr>
      <w:r w:rsidRPr="00511E03">
        <w:rPr>
          <w:rFonts w:ascii="Palatino Linotype" w:hAnsi="Palatino Linotype"/>
          <w:iCs/>
          <w:sz w:val="22"/>
          <w:szCs w:val="22"/>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2469A60B" w14:textId="77777777" w:rsidR="00B53C01" w:rsidRPr="00511E03" w:rsidRDefault="00B53C01" w:rsidP="00B53C01">
      <w:pPr>
        <w:spacing w:line="360" w:lineRule="auto"/>
        <w:contextualSpacing/>
        <w:jc w:val="both"/>
        <w:rPr>
          <w:rFonts w:ascii="Palatino Linotype" w:hAnsi="Palatino Linotype"/>
          <w:iCs/>
          <w:sz w:val="22"/>
          <w:szCs w:val="22"/>
        </w:rPr>
      </w:pPr>
      <w:r w:rsidRPr="00511E03">
        <w:rPr>
          <w:rFonts w:ascii="Palatino Linotype" w:hAnsi="Palatino Linotype"/>
          <w:iCs/>
          <w:sz w:val="22"/>
          <w:szCs w:val="22"/>
        </w:rPr>
        <w:t xml:space="preserve"> </w:t>
      </w:r>
    </w:p>
    <w:p w14:paraId="0413C12D" w14:textId="77777777" w:rsidR="00B53C01" w:rsidRPr="000A3FD6" w:rsidRDefault="00B53C01" w:rsidP="00B53C01">
      <w:pPr>
        <w:spacing w:line="360" w:lineRule="auto"/>
        <w:ind w:left="567" w:right="567"/>
        <w:contextualSpacing/>
        <w:jc w:val="both"/>
        <w:rPr>
          <w:rFonts w:ascii="Palatino Linotype" w:hAnsi="Palatino Linotype"/>
          <w:iCs/>
        </w:rPr>
      </w:pPr>
      <w:r w:rsidRPr="000A3FD6">
        <w:rPr>
          <w:rFonts w:ascii="Palatino Linotype" w:hAnsi="Palatino Linotype"/>
          <w:b/>
          <w:bCs/>
          <w:i/>
          <w:iCs/>
        </w:rPr>
        <w:t>“Firma y rúbrica de servidores públicos.</w:t>
      </w:r>
      <w:r w:rsidRPr="000A3FD6">
        <w:rPr>
          <w:rFonts w:ascii="Palatino Linotype" w:hAnsi="Palatino Linotype"/>
          <w:i/>
          <w:iC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04E69246" w14:textId="77777777" w:rsidR="00B53C01" w:rsidRPr="00511E03" w:rsidRDefault="00B53C01" w:rsidP="00B53C01">
      <w:pPr>
        <w:spacing w:line="360" w:lineRule="auto"/>
        <w:contextualSpacing/>
        <w:jc w:val="both"/>
        <w:rPr>
          <w:rFonts w:ascii="Palatino Linotype" w:hAnsi="Palatino Linotype"/>
          <w:iCs/>
          <w:sz w:val="22"/>
          <w:szCs w:val="22"/>
        </w:rPr>
      </w:pPr>
      <w:r w:rsidRPr="00511E03">
        <w:rPr>
          <w:rFonts w:ascii="Palatino Linotype" w:hAnsi="Palatino Linotype"/>
          <w:iCs/>
          <w:sz w:val="22"/>
          <w:szCs w:val="22"/>
        </w:rPr>
        <w:t xml:space="preserve"> </w:t>
      </w:r>
    </w:p>
    <w:p w14:paraId="1C864061" w14:textId="77777777" w:rsidR="00B53C01" w:rsidRPr="00E81FF4" w:rsidRDefault="00B53C01" w:rsidP="00B53C01">
      <w:pPr>
        <w:spacing w:line="360" w:lineRule="auto"/>
        <w:contextualSpacing/>
        <w:jc w:val="both"/>
        <w:rPr>
          <w:rFonts w:ascii="Palatino Linotype" w:hAnsi="Palatino Linotype"/>
          <w:iCs/>
          <w:sz w:val="22"/>
          <w:szCs w:val="22"/>
        </w:rPr>
      </w:pPr>
      <w:r w:rsidRPr="00511E03">
        <w:rPr>
          <w:rFonts w:ascii="Palatino Linotype" w:hAnsi="Palatino Linotype"/>
          <w:iCs/>
          <w:sz w:val="22"/>
          <w:szCs w:val="22"/>
        </w:rPr>
        <w:t xml:space="preserve">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ante la Secretaría de Educación Pública. </w:t>
      </w:r>
    </w:p>
    <w:p w14:paraId="65607E83"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41E2470C" w14:textId="77777777" w:rsidR="00B53C01" w:rsidRPr="00E81FF4" w:rsidRDefault="00B53C01" w:rsidP="00B53C01">
      <w:pPr>
        <w:numPr>
          <w:ilvl w:val="0"/>
          <w:numId w:val="11"/>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lastRenderedPageBreak/>
        <w:t>Constancia o certificado médico</w:t>
      </w:r>
    </w:p>
    <w:p w14:paraId="20CC80F0"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607B280A"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Cs/>
          <w:iCs/>
          <w:sz w:val="22"/>
          <w:szCs w:val="22"/>
        </w:rPr>
        <w:t xml:space="preserve">En principio, es de señalar que cualquier información que dé cuenta del </w:t>
      </w:r>
      <w:r w:rsidRPr="00E81FF4">
        <w:rPr>
          <w:rFonts w:ascii="Palatino Linotype" w:hAnsi="Palatino Linotype"/>
          <w:b/>
          <w:bCs/>
          <w:iCs/>
          <w:sz w:val="22"/>
          <w:szCs w:val="22"/>
        </w:rPr>
        <w:t>estado de salud de una persona</w:t>
      </w:r>
      <w:r w:rsidRPr="00E81FF4">
        <w:rPr>
          <w:rFonts w:ascii="Palatino Linotype" w:hAnsi="Palatino Linotype"/>
          <w:bCs/>
          <w:iCs/>
          <w:sz w:val="22"/>
          <w:szCs w:val="22"/>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RPr="00E81FF4">
        <w:rPr>
          <w:rFonts w:ascii="Palatino Linotype" w:hAnsi="Palatino Linotype"/>
          <w:b/>
          <w:bCs/>
          <w:iCs/>
          <w:sz w:val="22"/>
          <w:szCs w:val="22"/>
        </w:rPr>
        <w:t>den cuenta del estado de salud, ya sea físico o mental.</w:t>
      </w:r>
    </w:p>
    <w:p w14:paraId="6FBBF1F4"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183E142E"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Cs/>
          <w:iCs/>
          <w:sz w:val="22"/>
          <w:szCs w:val="22"/>
        </w:rPr>
        <w:t>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w:t>
      </w:r>
    </w:p>
    <w:p w14:paraId="2098E9FA"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2554D751" w14:textId="77777777" w:rsidR="00B53C01" w:rsidRPr="00E81FF4" w:rsidRDefault="00B53C01" w:rsidP="00B53C01">
      <w:pPr>
        <w:numPr>
          <w:ilvl w:val="0"/>
          <w:numId w:val="11"/>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Aviso de Movimientos de alta ISSEMyM</w:t>
      </w:r>
    </w:p>
    <w:p w14:paraId="42D4FA72"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7F98ADD8"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El Aviso de Movimientos, es un documento que debe expedir la dependencia pública a la cual se ingresa y que indica el alta en el sistema como servidor público, este documento deberá ser presentado ante el Instituto de Seguridad Social del Estado de México y Municipios, con la finalidad de llevar a cabo diversos trámites para obtener los beneficios de seguridad social. </w:t>
      </w:r>
    </w:p>
    <w:p w14:paraId="1F522DC8"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2EB3244E"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Ahora bien, de acuerdo con lo que establece el artículo 3.85 del Código Reglamentario de Metepec, el Departamento de nómina tiene dentro de sus atribuciones aplicar en el Sistema del ISSEMyM, los movimientos de la nómina (altas, bajas y modificaciones), es decir, derivado del ingreso al servicio público, esta unidad administrativa deberá registrar los </w:t>
      </w:r>
      <w:r w:rsidRPr="00E81FF4">
        <w:rPr>
          <w:rFonts w:ascii="Palatino Linotype" w:hAnsi="Palatino Linotype"/>
          <w:bCs/>
          <w:iCs/>
          <w:sz w:val="22"/>
          <w:szCs w:val="22"/>
        </w:rPr>
        <w:lastRenderedPageBreak/>
        <w:t xml:space="preserve">datos correspondientes con la finalidad de desempeñar sus atribuciones y en cumplimiento de las obligaciones y derechos laborales a favor de los servidores públicos que emplea; es decir, la inscripción de los trabajadores a alguna institución de salud. </w:t>
      </w:r>
    </w:p>
    <w:p w14:paraId="2984853A"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BF7C115"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Por lo anterior, toda vez que este documento es generado en ejercicio de funciones del Sujeto Obligado, es de naturaleza pública, sin embargo, no pasa desapercibido mencionar que puede contener datos que actualizan la causal prevista en la fracción I del artículo 143 de la Ley de Transparencia del Estado de México y Municipios, por lo tanto, deberá ser proporcionado en versión pública. </w:t>
      </w:r>
    </w:p>
    <w:p w14:paraId="4AB7399D"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722A26F5" w14:textId="77777777" w:rsidR="00B53C01" w:rsidRPr="00E81FF4" w:rsidRDefault="00B53C01" w:rsidP="00B53C01">
      <w:pPr>
        <w:numPr>
          <w:ilvl w:val="0"/>
          <w:numId w:val="11"/>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Acta de nacimiento</w:t>
      </w:r>
    </w:p>
    <w:p w14:paraId="5625668F"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73DC68F8"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Las actas emitidas por el Registro Civil dan cuenta de un atributo de la personalidad, tal como lo establece el artículo 2.3 del Código Civil del Estado México. En ese orden de ideas, el artículo 3.5 del del citado Código Civil establece que el estado civil de las personas sólo se comprueba con las constancias relativas del Registro Civil, tal como lo es el Acta de Nacimiento. </w:t>
      </w:r>
    </w:p>
    <w:p w14:paraId="69B3D6F2"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349EEA3"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Ahora bien, de acuerdo con el Formato Único del Acta de Nacimiento publicado por la Secretaría de Gobernación en el enlace http://www.diputados.gob.mx/documentos/N_Acta_Nacimiento.pdf, se advierte que el Acta de Nacimiento se componte de quince elementos siendo los siguientes: </w:t>
      </w:r>
    </w:p>
    <w:p w14:paraId="3654AC32"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695ED0DB"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a)</w:t>
      </w:r>
      <w:r w:rsidRPr="00E81FF4">
        <w:rPr>
          <w:rFonts w:ascii="Palatino Linotype" w:hAnsi="Palatino Linotype"/>
          <w:bCs/>
          <w:iCs/>
          <w:sz w:val="22"/>
          <w:szCs w:val="22"/>
        </w:rPr>
        <w:tab/>
        <w:t>Folio de Impresión.</w:t>
      </w:r>
    </w:p>
    <w:p w14:paraId="757F4177"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b)</w:t>
      </w:r>
      <w:r w:rsidRPr="00E81FF4">
        <w:rPr>
          <w:rFonts w:ascii="Palatino Linotype" w:hAnsi="Palatino Linotype"/>
          <w:bCs/>
          <w:iCs/>
          <w:sz w:val="22"/>
          <w:szCs w:val="22"/>
        </w:rPr>
        <w:tab/>
        <w:t>Denominación del Documento.</w:t>
      </w:r>
    </w:p>
    <w:p w14:paraId="2DFF5F41"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c)</w:t>
      </w:r>
      <w:r w:rsidRPr="00E81FF4">
        <w:rPr>
          <w:rFonts w:ascii="Palatino Linotype" w:hAnsi="Palatino Linotype"/>
          <w:bCs/>
          <w:iCs/>
          <w:sz w:val="22"/>
          <w:szCs w:val="22"/>
        </w:rPr>
        <w:tab/>
        <w:t xml:space="preserve">Identificador Electrónico. </w:t>
      </w:r>
    </w:p>
    <w:p w14:paraId="38F5FF2E"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d)</w:t>
      </w:r>
      <w:r w:rsidRPr="00E81FF4">
        <w:rPr>
          <w:rFonts w:ascii="Palatino Linotype" w:hAnsi="Palatino Linotype"/>
          <w:bCs/>
          <w:iCs/>
          <w:sz w:val="22"/>
          <w:szCs w:val="22"/>
        </w:rPr>
        <w:tab/>
        <w:t xml:space="preserve">Elementos del Registro. </w:t>
      </w:r>
    </w:p>
    <w:p w14:paraId="504B54E3"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lastRenderedPageBreak/>
        <w:t>e)</w:t>
      </w:r>
      <w:r w:rsidRPr="00E81FF4">
        <w:rPr>
          <w:rFonts w:ascii="Palatino Linotype" w:hAnsi="Palatino Linotype"/>
          <w:bCs/>
          <w:iCs/>
          <w:sz w:val="22"/>
          <w:szCs w:val="22"/>
        </w:rPr>
        <w:tab/>
        <w:t xml:space="preserve">Datos de la Persona Registrada. </w:t>
      </w:r>
    </w:p>
    <w:p w14:paraId="750465BF"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f)</w:t>
      </w:r>
      <w:r w:rsidRPr="00E81FF4">
        <w:rPr>
          <w:rFonts w:ascii="Palatino Linotype" w:hAnsi="Palatino Linotype"/>
          <w:bCs/>
          <w:iCs/>
          <w:sz w:val="22"/>
          <w:szCs w:val="22"/>
        </w:rPr>
        <w:tab/>
        <w:t xml:space="preserve">Datos de Filiación de la Persona Registrada. </w:t>
      </w:r>
    </w:p>
    <w:p w14:paraId="44C0560F"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g)</w:t>
      </w:r>
      <w:r w:rsidRPr="00E81FF4">
        <w:rPr>
          <w:rFonts w:ascii="Palatino Linotype" w:hAnsi="Palatino Linotype"/>
          <w:bCs/>
          <w:iCs/>
          <w:sz w:val="22"/>
          <w:szCs w:val="22"/>
        </w:rPr>
        <w:tab/>
        <w:t xml:space="preserve">Anotaciones Marginales. </w:t>
      </w:r>
    </w:p>
    <w:p w14:paraId="21B25917"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h)</w:t>
      </w:r>
      <w:r w:rsidRPr="00E81FF4">
        <w:rPr>
          <w:rFonts w:ascii="Palatino Linotype" w:hAnsi="Palatino Linotype"/>
          <w:bCs/>
          <w:iCs/>
          <w:sz w:val="22"/>
          <w:szCs w:val="22"/>
        </w:rPr>
        <w:tab/>
        <w:t xml:space="preserve">Certificación. </w:t>
      </w:r>
    </w:p>
    <w:p w14:paraId="52108073"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i)</w:t>
      </w:r>
      <w:r w:rsidRPr="00E81FF4">
        <w:rPr>
          <w:rFonts w:ascii="Palatino Linotype" w:hAnsi="Palatino Linotype"/>
          <w:bCs/>
          <w:iCs/>
          <w:sz w:val="22"/>
          <w:szCs w:val="22"/>
        </w:rPr>
        <w:tab/>
        <w:t xml:space="preserve">Código Bidimensional QR que contiene información encriptada del acta. </w:t>
      </w:r>
    </w:p>
    <w:p w14:paraId="5E1CA55A"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j)</w:t>
      </w:r>
      <w:r w:rsidRPr="00E81FF4">
        <w:rPr>
          <w:rFonts w:ascii="Palatino Linotype" w:hAnsi="Palatino Linotype"/>
          <w:bCs/>
          <w:iCs/>
          <w:sz w:val="22"/>
          <w:szCs w:val="22"/>
        </w:rPr>
        <w:tab/>
        <w:t xml:space="preserve">Leyenda “Soy México” </w:t>
      </w:r>
    </w:p>
    <w:p w14:paraId="0C0044EA"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k)</w:t>
      </w:r>
      <w:r w:rsidRPr="00E81FF4">
        <w:rPr>
          <w:rFonts w:ascii="Palatino Linotype" w:hAnsi="Palatino Linotype"/>
          <w:bCs/>
          <w:iCs/>
          <w:sz w:val="22"/>
          <w:szCs w:val="22"/>
        </w:rPr>
        <w:tab/>
        <w:t xml:space="preserve">Firma Electrónica Avanzada. </w:t>
      </w:r>
    </w:p>
    <w:p w14:paraId="016088F9"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l)</w:t>
      </w:r>
      <w:r w:rsidRPr="00E81FF4">
        <w:rPr>
          <w:rFonts w:ascii="Palatino Linotype" w:hAnsi="Palatino Linotype"/>
          <w:bCs/>
          <w:iCs/>
          <w:sz w:val="22"/>
          <w:szCs w:val="22"/>
        </w:rPr>
        <w:tab/>
        <w:t xml:space="preserve">Firma y datos de la autoridad emisora. </w:t>
      </w:r>
    </w:p>
    <w:p w14:paraId="6F736244"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m)</w:t>
      </w:r>
      <w:r w:rsidRPr="00E81FF4">
        <w:rPr>
          <w:rFonts w:ascii="Palatino Linotype" w:hAnsi="Palatino Linotype"/>
          <w:bCs/>
          <w:iCs/>
          <w:sz w:val="22"/>
          <w:szCs w:val="22"/>
        </w:rPr>
        <w:tab/>
        <w:t xml:space="preserve">Código QR. </w:t>
      </w:r>
    </w:p>
    <w:p w14:paraId="388DB22E"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n)</w:t>
      </w:r>
      <w:r w:rsidRPr="00E81FF4">
        <w:rPr>
          <w:rFonts w:ascii="Palatino Linotype" w:hAnsi="Palatino Linotype"/>
          <w:bCs/>
          <w:iCs/>
          <w:sz w:val="22"/>
          <w:szCs w:val="22"/>
        </w:rPr>
        <w:tab/>
        <w:t>Código de Verificación.</w:t>
      </w:r>
    </w:p>
    <w:p w14:paraId="2EF96E3F"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o)</w:t>
      </w:r>
      <w:r w:rsidRPr="00E81FF4">
        <w:rPr>
          <w:rFonts w:ascii="Palatino Linotype" w:hAnsi="Palatino Linotype"/>
          <w:bCs/>
          <w:iCs/>
          <w:sz w:val="22"/>
          <w:szCs w:val="22"/>
        </w:rPr>
        <w:tab/>
        <w:t xml:space="preserve">Leyenda de instrucciones para la verificación del documento. </w:t>
      </w:r>
    </w:p>
    <w:p w14:paraId="32073111"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8F22C45"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5D993DC3"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AE354DA"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5E3B286E"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lastRenderedPageBreak/>
        <w:t xml:space="preserve"> </w:t>
      </w:r>
    </w:p>
    <w:p w14:paraId="1E8AD9C2"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De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4FD09A21"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10B5B5BD" w14:textId="77777777" w:rsidR="00B53C01" w:rsidRPr="00E81FF4" w:rsidRDefault="00B53C01" w:rsidP="00B53C01">
      <w:pPr>
        <w:numPr>
          <w:ilvl w:val="0"/>
          <w:numId w:val="11"/>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Credencial para votar</w:t>
      </w:r>
    </w:p>
    <w:p w14:paraId="2609CDA8"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61237022"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2791BAD8"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CB9B8ED"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Cs/>
          <w:iCs/>
          <w:sz w:val="22"/>
          <w:szCs w:val="22"/>
        </w:rPr>
        <w:t>De manera particular el artículo 156, de la Ley General de Instituciones y Procedimientos Electorales dispone que la credencial para votar deberá contener, cuando menos, los siguientes datos:</w:t>
      </w:r>
    </w:p>
    <w:p w14:paraId="1BF82861"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A31C145"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a) </w:t>
      </w:r>
      <w:r w:rsidRPr="00E81FF4">
        <w:rPr>
          <w:rFonts w:ascii="Palatino Linotype" w:hAnsi="Palatino Linotype"/>
          <w:bCs/>
          <w:i/>
          <w:iCs/>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01D0381B"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b) </w:t>
      </w:r>
      <w:r w:rsidRPr="00E81FF4">
        <w:rPr>
          <w:rFonts w:ascii="Palatino Linotype" w:hAnsi="Palatino Linotype"/>
          <w:bCs/>
          <w:i/>
          <w:iCs/>
        </w:rPr>
        <w:t xml:space="preserve">Sección electoral en donde deberá votar el ciudadano. En el caso de los ciudadanos residentes en el extranjero no será necesario incluir este requisito; </w:t>
      </w:r>
    </w:p>
    <w:p w14:paraId="2C051497"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c) </w:t>
      </w:r>
      <w:r w:rsidRPr="00E81FF4">
        <w:rPr>
          <w:rFonts w:ascii="Palatino Linotype" w:hAnsi="Palatino Linotype"/>
          <w:bCs/>
          <w:i/>
          <w:iCs/>
        </w:rPr>
        <w:t xml:space="preserve">Apellido paterno, apellido materno y nombre completo; </w:t>
      </w:r>
    </w:p>
    <w:p w14:paraId="59F3A1D9"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d) </w:t>
      </w:r>
      <w:r w:rsidRPr="00E81FF4">
        <w:rPr>
          <w:rFonts w:ascii="Palatino Linotype" w:hAnsi="Palatino Linotype"/>
          <w:bCs/>
          <w:i/>
          <w:iCs/>
        </w:rPr>
        <w:t xml:space="preserve">Domicilio; </w:t>
      </w:r>
    </w:p>
    <w:p w14:paraId="7294ED20"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e) </w:t>
      </w:r>
      <w:r w:rsidRPr="00E81FF4">
        <w:rPr>
          <w:rFonts w:ascii="Palatino Linotype" w:hAnsi="Palatino Linotype"/>
          <w:bCs/>
          <w:i/>
          <w:iCs/>
        </w:rPr>
        <w:t xml:space="preserve">Sexo; </w:t>
      </w:r>
    </w:p>
    <w:p w14:paraId="5659E906"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lastRenderedPageBreak/>
        <w:t xml:space="preserve">f) </w:t>
      </w:r>
      <w:r w:rsidRPr="00E81FF4">
        <w:rPr>
          <w:rFonts w:ascii="Palatino Linotype" w:hAnsi="Palatino Linotype"/>
          <w:bCs/>
          <w:i/>
          <w:iCs/>
        </w:rPr>
        <w:t>Edad y año de registro;</w:t>
      </w:r>
    </w:p>
    <w:p w14:paraId="524D6385"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g) </w:t>
      </w:r>
      <w:r w:rsidRPr="00E81FF4">
        <w:rPr>
          <w:rFonts w:ascii="Palatino Linotype" w:hAnsi="Palatino Linotype"/>
          <w:bCs/>
          <w:i/>
          <w:iCs/>
        </w:rPr>
        <w:t xml:space="preserve">Firma, huella digital y fotografía del elector; </w:t>
      </w:r>
    </w:p>
    <w:p w14:paraId="7DEFC512"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h) </w:t>
      </w:r>
      <w:r w:rsidRPr="00E81FF4">
        <w:rPr>
          <w:rFonts w:ascii="Palatino Linotype" w:hAnsi="Palatino Linotype"/>
          <w:bCs/>
          <w:i/>
          <w:iCs/>
        </w:rPr>
        <w:t xml:space="preserve">Clave de registro, y </w:t>
      </w:r>
    </w:p>
    <w:p w14:paraId="726848FC"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i) </w:t>
      </w:r>
      <w:r w:rsidRPr="00E81FF4">
        <w:rPr>
          <w:rFonts w:ascii="Palatino Linotype" w:hAnsi="Palatino Linotype"/>
          <w:bCs/>
          <w:i/>
          <w:iCs/>
        </w:rPr>
        <w:t xml:space="preserve">Clave Única del Registro de Población. </w:t>
      </w:r>
    </w:p>
    <w:p w14:paraId="25C4D8B8" w14:textId="77777777" w:rsidR="00B53C01" w:rsidRPr="00E81FF4" w:rsidRDefault="00B53C01" w:rsidP="00B53C01">
      <w:pPr>
        <w:spacing w:line="360" w:lineRule="auto"/>
        <w:ind w:left="567" w:right="567"/>
        <w:contextualSpacing/>
        <w:jc w:val="both"/>
        <w:rPr>
          <w:rFonts w:ascii="Palatino Linotype" w:hAnsi="Palatino Linotype"/>
          <w:b/>
          <w:bCs/>
          <w:i/>
          <w:iCs/>
        </w:rPr>
      </w:pPr>
      <w:r w:rsidRPr="00E81FF4">
        <w:rPr>
          <w:rFonts w:ascii="Palatino Linotype" w:hAnsi="Palatino Linotype"/>
          <w:b/>
          <w:bCs/>
          <w:i/>
          <w:iCs/>
        </w:rPr>
        <w:t xml:space="preserve"> </w:t>
      </w:r>
    </w:p>
    <w:p w14:paraId="0BBAD759"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2. </w:t>
      </w:r>
      <w:r w:rsidRPr="00E81FF4">
        <w:rPr>
          <w:rFonts w:ascii="Palatino Linotype" w:hAnsi="Palatino Linotype"/>
          <w:bCs/>
          <w:i/>
          <w:iCs/>
        </w:rPr>
        <w:t xml:space="preserve">Además tendrá: </w:t>
      </w:r>
    </w:p>
    <w:p w14:paraId="19E43645"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a) </w:t>
      </w:r>
      <w:r w:rsidRPr="00E81FF4">
        <w:rPr>
          <w:rFonts w:ascii="Palatino Linotype" w:hAnsi="Palatino Linotype"/>
          <w:bCs/>
          <w:i/>
          <w:iCs/>
        </w:rPr>
        <w:t xml:space="preserve">Espacios necesarios para marcar año y elección de que se trate; </w:t>
      </w:r>
    </w:p>
    <w:p w14:paraId="6302ACBC"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b) </w:t>
      </w:r>
      <w:r w:rsidRPr="00E81FF4">
        <w:rPr>
          <w:rFonts w:ascii="Palatino Linotype" w:hAnsi="Palatino Linotype"/>
          <w:bCs/>
          <w:i/>
          <w:iCs/>
        </w:rPr>
        <w:t xml:space="preserve">Firma impresa del Secretario Ejecutivo del Instituto; </w:t>
      </w:r>
    </w:p>
    <w:p w14:paraId="78A9A6EC"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c) </w:t>
      </w:r>
      <w:r w:rsidRPr="00E81FF4">
        <w:rPr>
          <w:rFonts w:ascii="Palatino Linotype" w:hAnsi="Palatino Linotype"/>
          <w:bCs/>
          <w:i/>
          <w:iCs/>
        </w:rPr>
        <w:t xml:space="preserve">Año de emisión; </w:t>
      </w:r>
    </w:p>
    <w:p w14:paraId="1F75AAE4"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d) </w:t>
      </w:r>
      <w:r w:rsidRPr="00E81FF4">
        <w:rPr>
          <w:rFonts w:ascii="Palatino Linotype" w:hAnsi="Palatino Linotype"/>
          <w:bCs/>
          <w:i/>
          <w:iCs/>
        </w:rPr>
        <w:t xml:space="preserve">Año en el que expira su vigencia, y </w:t>
      </w:r>
    </w:p>
    <w:p w14:paraId="0029A9C0"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e) </w:t>
      </w:r>
      <w:r w:rsidRPr="00E81FF4">
        <w:rPr>
          <w:rFonts w:ascii="Palatino Linotype" w:hAnsi="Palatino Linotype"/>
          <w:bCs/>
          <w:i/>
          <w:iCs/>
        </w:rPr>
        <w:t>En el caso de la que se expida al ciudadano residente en el extranjero, la leyenda “Para Votar desde el Extranjero”.</w:t>
      </w:r>
    </w:p>
    <w:p w14:paraId="5961D1B6"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8B71E58"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4413D50F"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47E1780A"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2FC6FE70"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001BCA42"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lastRenderedPageBreak/>
        <w:t>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14:paraId="452B08F6"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F03AE0C" w14:textId="77777777" w:rsidR="00B53C01" w:rsidRPr="00E81FF4" w:rsidRDefault="00B53C01" w:rsidP="00B53C01">
      <w:pPr>
        <w:numPr>
          <w:ilvl w:val="0"/>
          <w:numId w:val="11"/>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Certificado de no deudor alimentario moroso</w:t>
      </w:r>
    </w:p>
    <w:p w14:paraId="6B38BAB4" w14:textId="77777777" w:rsidR="00B53C01" w:rsidRPr="00E81FF4" w:rsidRDefault="00B53C01" w:rsidP="00B53C01">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7A5F7C01"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Respecto a este punto, es de indicar que la Ley General de los Derechos de las Niñas, Niños y Adolescentes </w:t>
      </w:r>
      <w:hyperlink r:id="rId17" w:history="1">
        <w:r w:rsidRPr="00E81FF4">
          <w:rPr>
            <w:rStyle w:val="Hipervnculo"/>
            <w:rFonts w:ascii="Palatino Linotype" w:hAnsi="Palatino Linotype"/>
            <w:bCs/>
            <w:iCs/>
            <w:sz w:val="22"/>
            <w:szCs w:val="22"/>
          </w:rPr>
          <w:t>https://www.diputados.gob.mx/LeyesBiblio/pdf/LGDNNA.pdf</w:t>
        </w:r>
      </w:hyperlink>
      <w:r w:rsidRPr="00E81FF4">
        <w:rPr>
          <w:rFonts w:ascii="Palatino Linotype" w:hAnsi="Palatino Linotype"/>
          <w:bCs/>
          <w:iCs/>
          <w:sz w:val="22"/>
          <w:szCs w:val="22"/>
        </w:rPr>
        <w:t>,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14:paraId="3C2532DE"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7A1D35E7"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w:t>
      </w:r>
      <w:r w:rsidRPr="00E81FF4">
        <w:rPr>
          <w:rFonts w:ascii="Palatino Linotype" w:hAnsi="Palatino Linotype"/>
          <w:bCs/>
          <w:iCs/>
          <w:sz w:val="22"/>
          <w:szCs w:val="22"/>
        </w:rPr>
        <w:lastRenderedPageBreak/>
        <w:t>competencias utilizando los sistemas e instrumentos tecnológicos del Sistema Nacional DIF para que con ella integre al Registro Nacional de Obligaciones.</w:t>
      </w:r>
    </w:p>
    <w:p w14:paraId="4DA9D528"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07632B4A"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
          <w:bCs/>
          <w:iCs/>
          <w:sz w:val="22"/>
          <w:szCs w:val="22"/>
        </w:rPr>
        <w:t>La calidad de deudor moroso se difundirá en el Registro Nacional de Obligaciones Alimentarias, el cual, será público con base en lo dispuesto en la Ley General de Protección de Datos Personales en Posesión de Sujetos Obligados.</w:t>
      </w:r>
      <w:r w:rsidRPr="00E81FF4">
        <w:rPr>
          <w:rFonts w:ascii="Palatino Linotype" w:hAnsi="Palatino Linotype"/>
          <w:bCs/>
          <w:iCs/>
          <w:sz w:val="22"/>
          <w:szCs w:val="22"/>
        </w:rPr>
        <w:t xml:space="preserve">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02805B80"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142F806"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Al respecto, en el Proyecto de Decreto por el que se Reforman y Adicionan Diversas Disposiciones para crear el Registro de Deudores Alimentarios del Estado de México, disponible en la dirección electrónica </w:t>
      </w:r>
      <w:hyperlink r:id="rId18" w:history="1">
        <w:r w:rsidRPr="00E81FF4">
          <w:rPr>
            <w:rStyle w:val="Hipervnculo"/>
            <w:rFonts w:ascii="Palatino Linotype" w:hAnsi="Palatino Linotype"/>
            <w:bCs/>
            <w:iCs/>
            <w:sz w:val="22"/>
            <w:szCs w:val="22"/>
          </w:rPr>
          <w:t>https://legislacion.edomex.gob.mx/sites/legislacion.edomex.gob.mx/files/files/pdf/gct/2014/nov144.PDF</w:t>
        </w:r>
      </w:hyperlink>
      <w:r w:rsidRPr="00E81FF4">
        <w:rPr>
          <w:rFonts w:ascii="Palatino Linotype" w:hAnsi="Palatino Linotype"/>
          <w:bCs/>
          <w:iCs/>
          <w:sz w:val="22"/>
          <w:szCs w:val="22"/>
        </w:rPr>
        <w:t xml:space="preserve">, advierte lo siguiente: </w:t>
      </w:r>
    </w:p>
    <w:p w14:paraId="5131AC56"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ab/>
      </w:r>
    </w:p>
    <w:p w14:paraId="79AD4BE3"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sz w:val="22"/>
          <w:szCs w:val="22"/>
        </w:rPr>
        <w:tab/>
      </w:r>
      <w:r w:rsidRPr="00E81FF4">
        <w:rPr>
          <w:rFonts w:ascii="Palatino Linotype" w:hAnsi="Palatino Linotype"/>
          <w:bCs/>
          <w:i/>
          <w:iCs/>
        </w:rPr>
        <w:t xml:space="preserve">“… </w:t>
      </w:r>
      <w:r w:rsidRPr="00E81FF4">
        <w:rPr>
          <w:rFonts w:ascii="Palatino Linotype" w:hAnsi="Palatino Linotype"/>
          <w:b/>
          <w:bCs/>
          <w:i/>
          <w:iCs/>
        </w:rPr>
        <w:t>“</w:t>
      </w:r>
      <w:r w:rsidRPr="00E81FF4">
        <w:rPr>
          <w:rFonts w:ascii="Palatino Linotype" w:hAnsi="Palatino Linotype"/>
          <w:bCs/>
          <w:i/>
          <w:iCs/>
        </w:rPr>
        <w:t xml:space="preserve">4.146 Bis.- El área del Registro de Deudores Alimentarios Morosos, es una unidad administrativa del Registro Civil. Actos inscribibles en el Registro de Deudores Alimentarios Morosos </w:t>
      </w:r>
    </w:p>
    <w:p w14:paraId="08452BD8"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w:t>
      </w:r>
    </w:p>
    <w:p w14:paraId="60AFB1FE"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4.146 Ter.- En el Registro de Deudores Alimentarios Morosos se inscriben a las personas que el Juez de lo Familiar determina en términos del artículo 4.136 del presente Código. </w:t>
      </w:r>
    </w:p>
    <w:p w14:paraId="4F4C43C6"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Serán objeto de registro los empleadores que incumplan una orden de descuento para alimentos ordenada por el órgano jurisdiccional.</w:t>
      </w:r>
    </w:p>
    <w:p w14:paraId="3BD0EF5A"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lastRenderedPageBreak/>
        <w:t xml:space="preserve"> </w:t>
      </w:r>
    </w:p>
    <w:p w14:paraId="597B232A"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De los datos que contendrá el Registro de Deudores Alimentarios Morosos </w:t>
      </w:r>
    </w:p>
    <w:p w14:paraId="6400E96F"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w:t>
      </w:r>
    </w:p>
    <w:p w14:paraId="120825BD"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Artículo. 4.146 </w:t>
      </w:r>
      <w:proofErr w:type="spellStart"/>
      <w:r w:rsidRPr="00E81FF4">
        <w:rPr>
          <w:rFonts w:ascii="Palatino Linotype" w:hAnsi="Palatino Linotype"/>
          <w:bCs/>
          <w:i/>
          <w:iCs/>
        </w:rPr>
        <w:t>Quáter</w:t>
      </w:r>
      <w:proofErr w:type="spellEnd"/>
      <w:r w:rsidRPr="00E81FF4">
        <w:rPr>
          <w:rFonts w:ascii="Palatino Linotype" w:hAnsi="Palatino Linotype"/>
          <w:bCs/>
          <w:i/>
          <w:iCs/>
        </w:rPr>
        <w:t xml:space="preserve">.- El Registro de Deudores Alimentarios Morosos contendrá: </w:t>
      </w:r>
    </w:p>
    <w:p w14:paraId="5D9C720A"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w:t>
      </w:r>
    </w:p>
    <w:p w14:paraId="55CFD42E"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I. Nombre y Clave Única del Registro de Población del deudor alimentario; </w:t>
      </w:r>
    </w:p>
    <w:p w14:paraId="210BCDCB"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II. Nombre del acreedor o acreedores alimentarios; </w:t>
      </w:r>
    </w:p>
    <w:p w14:paraId="5CE2997F"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III. Datos del acta que acredite el vínculo entre deudor y acreedor alimentario, en su caso; </w:t>
      </w:r>
    </w:p>
    <w:p w14:paraId="7C27722D"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IV. Monto de la pensión decretada o convenida, en su caso, número de pagos incumplidos y monto del adeudo alimentario; </w:t>
      </w:r>
    </w:p>
    <w:p w14:paraId="10542EC6"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V. Órgano jurisdiccional que ordenó el registro; </w:t>
      </w:r>
    </w:p>
    <w:p w14:paraId="08931050"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VI. Datos del expediente jurisdiccional de la que deriva su inscripción. </w:t>
      </w:r>
    </w:p>
    <w:p w14:paraId="0CE59140"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w:t>
      </w:r>
    </w:p>
    <w:p w14:paraId="5E0202F7"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14:paraId="0E3898D9"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w:t>
      </w:r>
    </w:p>
    <w:p w14:paraId="2C4C6B84" w14:textId="77777777" w:rsidR="00B53C01" w:rsidRPr="00E81FF4" w:rsidRDefault="00B53C01" w:rsidP="00B53C01">
      <w:pPr>
        <w:spacing w:line="360" w:lineRule="auto"/>
        <w:ind w:left="567" w:right="567"/>
        <w:contextualSpacing/>
        <w:jc w:val="both"/>
        <w:rPr>
          <w:rFonts w:ascii="Palatino Linotype" w:hAnsi="Palatino Linotype"/>
          <w:b/>
          <w:bCs/>
          <w:i/>
          <w:iCs/>
        </w:rPr>
      </w:pPr>
      <w:r w:rsidRPr="00E81FF4">
        <w:rPr>
          <w:rFonts w:ascii="Palatino Linotype" w:hAnsi="Palatino Linotype"/>
          <w:b/>
          <w:bCs/>
          <w:i/>
          <w:iCs/>
        </w:rPr>
        <w:t xml:space="preserve">Datos del Certificado expedido por la Unidad del Registro de Deudores Alimentarios Morosos </w:t>
      </w:r>
    </w:p>
    <w:p w14:paraId="0AC560A7"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w:t>
      </w:r>
    </w:p>
    <w:p w14:paraId="511994E6"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Artículo 4.146 Quinquies.- </w:t>
      </w:r>
      <w:r w:rsidRPr="00E81FF4">
        <w:rPr>
          <w:rFonts w:ascii="Palatino Linotype" w:hAnsi="Palatino Linotype"/>
          <w:b/>
          <w:bCs/>
          <w:i/>
          <w:iCs/>
        </w:rPr>
        <w:t>El Certificado expedido por la Unidad del Registro de Deudores Alimentarios Morosos contendrá lo siguiente:</w:t>
      </w:r>
      <w:r w:rsidRPr="00E81FF4">
        <w:rPr>
          <w:rFonts w:ascii="Palatino Linotype" w:hAnsi="Palatino Linotype"/>
          <w:bCs/>
          <w:i/>
          <w:iCs/>
        </w:rPr>
        <w:t xml:space="preserve"> </w:t>
      </w:r>
    </w:p>
    <w:p w14:paraId="5D72182A"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w:t>
      </w:r>
    </w:p>
    <w:p w14:paraId="7D15F093"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I. Nombre y Clave Única de Registro de Población del solicitante; </w:t>
      </w:r>
    </w:p>
    <w:p w14:paraId="4DBB3821"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II. La información sobre su inscripción o no en el registro de deudores alimentarios morosos.</w:t>
      </w:r>
    </w:p>
    <w:p w14:paraId="2265263A"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w:t>
      </w:r>
    </w:p>
    <w:p w14:paraId="1D78498D"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lastRenderedPageBreak/>
        <w:t>De ser el caso que el solicitante se encuentre inscrito en el registro, la constancia incluirá además lo siguiente:</w:t>
      </w:r>
    </w:p>
    <w:p w14:paraId="2AAA6ED4"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w:t>
      </w:r>
    </w:p>
    <w:p w14:paraId="676A953A"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I. Número de acreedores alimentarios;</w:t>
      </w:r>
    </w:p>
    <w:p w14:paraId="7EEBC695"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II. Monto de la pensión alimenticia decretada o convenida;</w:t>
      </w:r>
    </w:p>
    <w:p w14:paraId="362E2D47"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III. Órgano jurisdiccional que ordenó el registro;</w:t>
      </w:r>
    </w:p>
    <w:p w14:paraId="248BCD0B"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IV. Datos del expediente jurisdiccional de la que deriva su inscripción.</w:t>
      </w:r>
    </w:p>
    <w:p w14:paraId="2245E714"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w:t>
      </w:r>
    </w:p>
    <w:p w14:paraId="6EBEBA10" w14:textId="77777777" w:rsidR="00B53C01" w:rsidRPr="00E81FF4" w:rsidRDefault="00B53C01" w:rsidP="00B53C01">
      <w:pPr>
        <w:spacing w:line="360" w:lineRule="auto"/>
        <w:ind w:left="567" w:right="567"/>
        <w:contextualSpacing/>
        <w:jc w:val="both"/>
        <w:rPr>
          <w:rFonts w:ascii="Palatino Linotype" w:hAnsi="Palatino Linotype"/>
          <w:bCs/>
          <w:i/>
          <w:iCs/>
        </w:rPr>
      </w:pPr>
      <w:r w:rsidRPr="00E81FF4">
        <w:rPr>
          <w:rFonts w:ascii="Palatino Linotype" w:hAnsi="Palatino Linotype"/>
          <w:bCs/>
          <w:i/>
          <w:iCs/>
        </w:rPr>
        <w:t>El Certificado a que se refiere el presente artículo será expedido el mismo día hábil de su solicitud…”</w:t>
      </w:r>
    </w:p>
    <w:p w14:paraId="25F4E2D0" w14:textId="77777777" w:rsidR="00B53C01" w:rsidRPr="00E81FF4" w:rsidRDefault="00B53C01" w:rsidP="00B53C01">
      <w:pPr>
        <w:spacing w:line="360" w:lineRule="auto"/>
        <w:ind w:left="567" w:right="567"/>
        <w:contextualSpacing/>
        <w:jc w:val="both"/>
        <w:rPr>
          <w:rFonts w:ascii="Palatino Linotype" w:hAnsi="Palatino Linotype"/>
          <w:bCs/>
          <w:iCs/>
        </w:rPr>
      </w:pPr>
      <w:r w:rsidRPr="00E81FF4">
        <w:rPr>
          <w:rFonts w:ascii="Palatino Linotype" w:hAnsi="Palatino Linotype"/>
          <w:bCs/>
          <w:iCs/>
        </w:rPr>
        <w:t xml:space="preserve"> </w:t>
      </w:r>
    </w:p>
    <w:p w14:paraId="3EAE07B9"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Ahora bien, respecto a aquellos servidores públicos que se encuentren o no inscritos en dicho registro, procede su entrega en versión pública, ya que al ser un requisito </w:t>
      </w:r>
      <w:r w:rsidRPr="00E81FF4">
        <w:rPr>
          <w:rFonts w:ascii="Palatino Linotype" w:hAnsi="Palatino Linotype"/>
          <w:b/>
          <w:bCs/>
          <w:i/>
          <w:iCs/>
          <w:sz w:val="22"/>
          <w:szCs w:val="22"/>
        </w:rPr>
        <w:t xml:space="preserve">sine qua non </w:t>
      </w:r>
      <w:r w:rsidRPr="00E81FF4">
        <w:rPr>
          <w:rFonts w:ascii="Palatino Linotype" w:hAnsi="Palatino Linotype"/>
          <w:bCs/>
          <w:iCs/>
          <w:sz w:val="22"/>
          <w:szCs w:val="22"/>
        </w:rPr>
        <w:t xml:space="preserve">para ingresar al servicio público, específicamente como Titular de alguna Unidad Administrativa Municipal, se convierte en información que da certeza a la ciudadanía de que el Servidor Público que ostenta un cargo de Titular cumplió con los requisitos señalados por el artículo 32 de la Ley Orgánica Municipal, tan es así, que se trae a colación lo señalado en la nota periodística </w:t>
      </w:r>
      <w:hyperlink r:id="rId19" w:history="1">
        <w:r w:rsidRPr="00E81FF4">
          <w:rPr>
            <w:rStyle w:val="Hipervnculo"/>
            <w:rFonts w:ascii="Palatino Linotype" w:hAnsi="Palatino Linotype"/>
            <w:bCs/>
            <w:iCs/>
            <w:sz w:val="22"/>
            <w:szCs w:val="22"/>
          </w:rPr>
          <w:t>https://www.unionedomex.mx/2023/03/24/busqueda-de-deudores-alimentarios-morosos-estado-de-mexico-2023/</w:t>
        </w:r>
      </w:hyperlink>
      <w:r w:rsidRPr="00E81FF4">
        <w:rPr>
          <w:rFonts w:ascii="Palatino Linotype" w:hAnsi="Palatino Linotype"/>
          <w:bCs/>
          <w:iCs/>
          <w:sz w:val="22"/>
          <w:szCs w:val="22"/>
        </w:rPr>
        <w:t>, que a manera de referencia, se inserta:</w:t>
      </w:r>
    </w:p>
    <w:p w14:paraId="356B2CF5"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6BA88A4B" w14:textId="77777777" w:rsidR="00B53C01" w:rsidRPr="00E81FF4" w:rsidRDefault="00B53C01" w:rsidP="00B53C01">
      <w:pPr>
        <w:spacing w:line="360" w:lineRule="auto"/>
        <w:contextualSpacing/>
        <w:jc w:val="center"/>
        <w:rPr>
          <w:rFonts w:ascii="Palatino Linotype" w:hAnsi="Palatino Linotype"/>
          <w:bCs/>
          <w:iCs/>
          <w:sz w:val="22"/>
          <w:szCs w:val="22"/>
        </w:rPr>
      </w:pPr>
      <w:r w:rsidRPr="00E81FF4">
        <w:rPr>
          <w:rFonts w:ascii="Palatino Linotype" w:hAnsi="Palatino Linotype"/>
          <w:bCs/>
          <w:iCs/>
          <w:noProof/>
          <w:sz w:val="22"/>
          <w:szCs w:val="22"/>
          <w:lang w:eastAsia="es-MX"/>
        </w:rPr>
        <w:lastRenderedPageBreak/>
        <w:drawing>
          <wp:inline distT="0" distB="0" distL="0" distR="0" wp14:anchorId="45DCAE2F" wp14:editId="3E13173E">
            <wp:extent cx="2857500" cy="2571750"/>
            <wp:effectExtent l="0" t="0" r="0" b="0"/>
            <wp:docPr id="18293038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571750"/>
                    </a:xfrm>
                    <a:prstGeom prst="rect">
                      <a:avLst/>
                    </a:prstGeom>
                    <a:noFill/>
                    <a:ln>
                      <a:noFill/>
                    </a:ln>
                  </pic:spPr>
                </pic:pic>
              </a:graphicData>
            </a:graphic>
          </wp:inline>
        </w:drawing>
      </w:r>
    </w:p>
    <w:p w14:paraId="3BCE508A"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74F48A2F"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En este sentido, se advierte que al ser un requisito indispensable y preponderante para ser Titular de Unidad Administrativa dentro del Ámbito Municipal, el Sujeto Obligado deberá hacer entrega de dicho documento que dé cuenta de que no es una persona que ha incumplido con las obligaciones alimentarias, en caso de que estas existan, toda vez que si bien, debe considerarse que se trata del ámbito privado, esta determinación se toma en función de la preponderancia del interés superior del menor, por tal motivo, un requisito para que las personas puedan laborar en el servicio público es justamente, cumplir con las obligaciones que adquieran con sus menores hijos, porque al haberlas cubierto, no formarán parte de ese registro,</w:t>
      </w:r>
      <w:r w:rsidRPr="00E81FF4">
        <w:rPr>
          <w:rFonts w:ascii="Palatino Linotype" w:hAnsi="Palatino Linotype"/>
          <w:b/>
          <w:bCs/>
          <w:iCs/>
          <w:sz w:val="22"/>
          <w:szCs w:val="22"/>
        </w:rPr>
        <w:t xml:space="preserve"> por lo que no procede su clasificación total,</w:t>
      </w:r>
      <w:r w:rsidRPr="00E81FF4">
        <w:rPr>
          <w:rFonts w:ascii="Palatino Linotype" w:hAnsi="Palatino Linotype"/>
          <w:bCs/>
          <w:iCs/>
          <w:sz w:val="22"/>
          <w:szCs w:val="22"/>
        </w:rPr>
        <w:t xml:space="preserve"> no pasa desapercibido, que el Certificado de No Deudor Alimentario, pudiere contener información confidencial, como lo es el CURP y R.F.C.</w:t>
      </w:r>
    </w:p>
    <w:p w14:paraId="646614EC"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B3D98A5" w14:textId="77777777" w:rsidR="00B53C01" w:rsidRPr="00E81FF4" w:rsidRDefault="00B53C01" w:rsidP="00B53C01">
      <w:pPr>
        <w:numPr>
          <w:ilvl w:val="0"/>
          <w:numId w:val="11"/>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lastRenderedPageBreak/>
        <w:t>Constancia de no inhabilitación</w:t>
      </w:r>
    </w:p>
    <w:p w14:paraId="4515D5E5"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71BB97DE"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Al respecto dicho documento se encuentra regulado en el artículo 27 y 28 de la Ley General de Responsabilidades Administrativas, 28 de la Ley de Responsabilidades Administrativas, 28 quinto párrafo de la Ley de Responsabilidades Administrativas del Estado de México, 47 fracción X de la Ley del Trabajo de los Servidores públicos del Estado de México y Municipios.</w:t>
      </w:r>
    </w:p>
    <w:p w14:paraId="44BE0C25"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49E4C1E1"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Es el documento que expide la Secretaría de la Contraloría del Estado de México por medio del sistema electrónico extranet </w:t>
      </w:r>
      <w:hyperlink r:id="rId21" w:history="1">
        <w:r w:rsidRPr="00E81FF4">
          <w:rPr>
            <w:rStyle w:val="Hipervnculo"/>
            <w:rFonts w:ascii="Palatino Linotype" w:hAnsi="Palatino Linotype"/>
            <w:bCs/>
            <w:iCs/>
            <w:sz w:val="22"/>
            <w:szCs w:val="22"/>
          </w:rPr>
          <w:t>www.secogem.gob.mx/constancias/</w:t>
        </w:r>
      </w:hyperlink>
      <w:r w:rsidRPr="00E81FF4">
        <w:rPr>
          <w:rFonts w:ascii="Palatino Linotype" w:hAnsi="Palatino Linotype"/>
          <w:bCs/>
          <w:iCs/>
          <w:sz w:val="22"/>
          <w:szCs w:val="22"/>
        </w:rPr>
        <w:t xml:space="preserve"> en el cual se informa si las personas físicas cuentan con alguna sanción o inhabilitación para ocupar un empleo, cargo o comisión de carácter público.</w:t>
      </w:r>
    </w:p>
    <w:p w14:paraId="67EEB7CB" w14:textId="77777777" w:rsidR="00B53C01" w:rsidRDefault="00B53C01" w:rsidP="00B53C01">
      <w:pPr>
        <w:spacing w:line="360" w:lineRule="auto"/>
        <w:contextualSpacing/>
        <w:jc w:val="both"/>
        <w:rPr>
          <w:rFonts w:ascii="Palatino Linotype" w:hAnsi="Palatino Linotype"/>
          <w:bCs/>
          <w:iCs/>
          <w:sz w:val="22"/>
          <w:szCs w:val="22"/>
        </w:rPr>
      </w:pPr>
    </w:p>
    <w:p w14:paraId="4C0DC588" w14:textId="77777777" w:rsidR="00B53C01"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Por lo anterior, toda vez que este documento es generado en ejercicio de funciones del Sujeto Obligado, es de naturaleza pública, sin embargo, no pasa desapercibido mencionar que puede contener datos que actualizan la causal prevista en la fracción I del artículo 143 de la Ley de Transparencia del Estado de México y Municipios, por lo tanto, deberá ser proporcionado en versión pública. </w:t>
      </w:r>
    </w:p>
    <w:p w14:paraId="475FC3A1" w14:textId="77777777" w:rsidR="00B53C01" w:rsidRDefault="00B53C01" w:rsidP="00B53C01">
      <w:pPr>
        <w:spacing w:line="360" w:lineRule="auto"/>
        <w:contextualSpacing/>
        <w:jc w:val="both"/>
        <w:rPr>
          <w:rFonts w:ascii="Palatino Linotype" w:hAnsi="Palatino Linotype"/>
          <w:bCs/>
          <w:iCs/>
          <w:sz w:val="22"/>
          <w:szCs w:val="22"/>
        </w:rPr>
      </w:pPr>
    </w:p>
    <w:p w14:paraId="3FE0CD6E" w14:textId="77777777" w:rsidR="00B53C01" w:rsidRDefault="00B53C01" w:rsidP="00B53C01">
      <w:pPr>
        <w:spacing w:line="360" w:lineRule="auto"/>
        <w:contextualSpacing/>
        <w:jc w:val="both"/>
        <w:rPr>
          <w:rFonts w:ascii="Palatino Linotype" w:hAnsi="Palatino Linotype"/>
          <w:bCs/>
          <w:iCs/>
          <w:sz w:val="22"/>
          <w:szCs w:val="22"/>
        </w:rPr>
      </w:pPr>
      <w:r w:rsidRPr="006B394C">
        <w:rPr>
          <w:rFonts w:ascii="Palatino Linotype" w:hAnsi="Palatino Linotype"/>
          <w:bCs/>
          <w:iCs/>
          <w:sz w:val="22"/>
          <w:szCs w:val="22"/>
        </w:rPr>
        <w:t>Conforme a lo anterior, se considera</w:t>
      </w:r>
      <w:r w:rsidRPr="00E81FF4">
        <w:rPr>
          <w:rFonts w:ascii="Palatino Linotype" w:hAnsi="Palatino Linotype"/>
          <w:bCs/>
          <w:iCs/>
          <w:sz w:val="22"/>
          <w:szCs w:val="22"/>
        </w:rPr>
        <w:t xml:space="preserve"> que el Sujeto Obliga deberá entregar en</w:t>
      </w:r>
      <w:r>
        <w:rPr>
          <w:rFonts w:ascii="Palatino Linotype" w:hAnsi="Palatino Linotype"/>
          <w:bCs/>
          <w:iCs/>
          <w:sz w:val="22"/>
          <w:szCs w:val="22"/>
        </w:rPr>
        <w:t xml:space="preserve"> su caso en</w:t>
      </w:r>
      <w:r w:rsidRPr="00E81FF4">
        <w:rPr>
          <w:rFonts w:ascii="Palatino Linotype" w:hAnsi="Palatino Linotype"/>
          <w:bCs/>
          <w:iCs/>
          <w:sz w:val="22"/>
          <w:szCs w:val="22"/>
        </w:rPr>
        <w:t xml:space="preserve"> versión pública los documentos</w:t>
      </w:r>
      <w:r>
        <w:rPr>
          <w:rFonts w:ascii="Palatino Linotype" w:hAnsi="Palatino Linotype"/>
          <w:bCs/>
          <w:iCs/>
          <w:sz w:val="22"/>
          <w:szCs w:val="22"/>
        </w:rPr>
        <w:t xml:space="preserve"> que correspondan</w:t>
      </w:r>
      <w:r w:rsidRPr="00E81FF4">
        <w:rPr>
          <w:rFonts w:ascii="Palatino Linotype" w:hAnsi="Palatino Linotype"/>
          <w:bCs/>
          <w:iCs/>
          <w:sz w:val="22"/>
          <w:szCs w:val="22"/>
        </w:rPr>
        <w:t xml:space="preserve">; lo anterior, de conformidad con el artículo 3°, fracción XLV, relacionado con el 137, ambos de la Ley de Transparencia y Acceso a la Información Pública del Estado de México y Municipios, que precisa que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2E35DBEA" w14:textId="77777777" w:rsidR="00B53C01" w:rsidRDefault="00B53C01" w:rsidP="00B53C01">
      <w:pPr>
        <w:spacing w:line="360" w:lineRule="auto"/>
        <w:contextualSpacing/>
        <w:jc w:val="both"/>
        <w:rPr>
          <w:rFonts w:ascii="Palatino Linotype" w:hAnsi="Palatino Linotype"/>
          <w:bCs/>
          <w:iCs/>
          <w:sz w:val="22"/>
          <w:szCs w:val="22"/>
        </w:rPr>
      </w:pPr>
    </w:p>
    <w:p w14:paraId="63426983" w14:textId="77777777" w:rsidR="00B53C01" w:rsidRPr="00E81FF4" w:rsidRDefault="00B53C01" w:rsidP="00B53C01">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3E3B07ED" w14:textId="77777777" w:rsidR="00AC472B" w:rsidRDefault="00AC472B" w:rsidP="004A2538">
      <w:pPr>
        <w:spacing w:line="360" w:lineRule="auto"/>
        <w:contextualSpacing/>
        <w:jc w:val="both"/>
        <w:rPr>
          <w:rFonts w:ascii="Palatino Linotype" w:hAnsi="Palatino Linotype"/>
          <w:bCs/>
          <w:iCs/>
          <w:sz w:val="22"/>
          <w:szCs w:val="22"/>
        </w:rPr>
      </w:pPr>
    </w:p>
    <w:p w14:paraId="68BCA46D" w14:textId="77777777" w:rsidR="004A2538" w:rsidRPr="001F4BBD" w:rsidRDefault="004A2538" w:rsidP="004A2538">
      <w:pPr>
        <w:pStyle w:val="Ttulo2"/>
        <w:spacing w:before="0" w:after="0" w:line="360" w:lineRule="auto"/>
        <w:contextualSpacing/>
        <w:rPr>
          <w:rFonts w:ascii="Palatino Linotype" w:hAnsi="Palatino Linotype"/>
          <w:b/>
          <w:bCs/>
          <w:color w:val="auto"/>
          <w:sz w:val="22"/>
          <w:szCs w:val="22"/>
        </w:rPr>
      </w:pPr>
      <w:bookmarkStart w:id="20" w:name="_Toc203518783"/>
      <w:bookmarkStart w:id="21" w:name="_Toc226637720"/>
      <w:r w:rsidRPr="001F4BBD">
        <w:rPr>
          <w:rFonts w:ascii="Palatino Linotype" w:hAnsi="Palatino Linotype"/>
          <w:b/>
          <w:bCs/>
          <w:color w:val="auto"/>
          <w:sz w:val="22"/>
          <w:szCs w:val="22"/>
        </w:rPr>
        <w:t>SEXTO. Decisión</w:t>
      </w:r>
      <w:bookmarkEnd w:id="20"/>
      <w:bookmarkEnd w:id="21"/>
    </w:p>
    <w:p w14:paraId="27FCDBDD" w14:textId="77777777" w:rsidR="004A2538" w:rsidRPr="004E3B5A" w:rsidRDefault="004A2538" w:rsidP="004A2538">
      <w:pPr>
        <w:spacing w:line="360" w:lineRule="auto"/>
        <w:contextualSpacing/>
        <w:jc w:val="both"/>
        <w:rPr>
          <w:rFonts w:ascii="Palatino Linotype" w:eastAsia="Palatino Linotype" w:hAnsi="Palatino Linotype" w:cs="Palatino Linotype"/>
          <w:sz w:val="22"/>
          <w:szCs w:val="22"/>
        </w:rPr>
      </w:pPr>
    </w:p>
    <w:p w14:paraId="2A8B8733" w14:textId="5529F11E" w:rsidR="004A2538" w:rsidRDefault="004A2538" w:rsidP="004A2538">
      <w:pPr>
        <w:tabs>
          <w:tab w:val="left" w:pos="4962"/>
        </w:tabs>
        <w:spacing w:line="360" w:lineRule="auto"/>
        <w:contextualSpacing/>
        <w:jc w:val="both"/>
        <w:rPr>
          <w:rFonts w:ascii="Palatino Linotype" w:hAnsi="Palatino Linotype" w:cs="Tahoma"/>
          <w:sz w:val="22"/>
          <w:szCs w:val="22"/>
        </w:rPr>
      </w:pPr>
      <w:r w:rsidRPr="00B71E3E">
        <w:rPr>
          <w:rFonts w:ascii="Palatino Linotype" w:hAnsi="Palatino Linotype" w:cs="Arial"/>
          <w:sz w:val="22"/>
          <w:szCs w:val="22"/>
        </w:rPr>
        <w:t>C</w:t>
      </w:r>
      <w:r w:rsidRPr="00B71E3E">
        <w:rPr>
          <w:rFonts w:ascii="Palatino Linotype" w:hAnsi="Palatino Linotype" w:cs="Tahoma"/>
          <w:sz w:val="22"/>
          <w:szCs w:val="22"/>
        </w:rPr>
        <w:t xml:space="preserve">on fundamento en el artículo 186, fracción III, de la Ley de Transparencia y Acceso a la Información Pública del Estado de México y Municipios, este Instituto considera procedente </w:t>
      </w:r>
      <w:r>
        <w:rPr>
          <w:rFonts w:ascii="Palatino Linotype" w:hAnsi="Palatino Linotype" w:cs="Tahoma"/>
          <w:b/>
          <w:sz w:val="22"/>
          <w:szCs w:val="22"/>
        </w:rPr>
        <w:t>MODIFICAR</w:t>
      </w:r>
      <w:r w:rsidRPr="00B71E3E">
        <w:rPr>
          <w:rFonts w:ascii="Palatino Linotype" w:hAnsi="Palatino Linotype" w:cs="Tahoma"/>
          <w:sz w:val="22"/>
          <w:szCs w:val="22"/>
        </w:rPr>
        <w:t xml:space="preserve"> la respuesta otorgada a </w:t>
      </w:r>
      <w:r>
        <w:rPr>
          <w:rFonts w:ascii="Palatino Linotype" w:hAnsi="Palatino Linotype" w:cs="Tahoma"/>
          <w:sz w:val="22"/>
          <w:szCs w:val="22"/>
        </w:rPr>
        <w:t xml:space="preserve">la solicitud </w:t>
      </w:r>
      <w:r w:rsidRPr="00B71E3E">
        <w:rPr>
          <w:rFonts w:ascii="Palatino Linotype" w:hAnsi="Palatino Linotype" w:cs="Tahoma"/>
          <w:sz w:val="22"/>
          <w:szCs w:val="22"/>
        </w:rPr>
        <w:t xml:space="preserve">de </w:t>
      </w:r>
      <w:r w:rsidR="00B53C01" w:rsidRPr="00B71E3E">
        <w:rPr>
          <w:rFonts w:ascii="Palatino Linotype" w:hAnsi="Palatino Linotype" w:cs="Tahoma"/>
          <w:sz w:val="22"/>
          <w:szCs w:val="22"/>
        </w:rPr>
        <w:t xml:space="preserve">información </w:t>
      </w:r>
      <w:r w:rsidR="00B53C01" w:rsidRPr="00B53C01">
        <w:rPr>
          <w:rFonts w:ascii="Palatino Linotype" w:hAnsi="Palatino Linotype"/>
          <w:b/>
          <w:sz w:val="22"/>
          <w:szCs w:val="22"/>
        </w:rPr>
        <w:t>00025/SEIEM</w:t>
      </w:r>
      <w:r w:rsidR="00B53C01" w:rsidRPr="00AC4A59">
        <w:rPr>
          <w:rFonts w:ascii="Palatino Linotype" w:hAnsi="Palatino Linotype"/>
          <w:b/>
          <w:sz w:val="22"/>
          <w:szCs w:val="22"/>
        </w:rPr>
        <w:t>/IP/2026</w:t>
      </w:r>
      <w:r w:rsidRPr="00B71E3E">
        <w:rPr>
          <w:rFonts w:ascii="Palatino Linotype" w:hAnsi="Palatino Linotype" w:cs="Tahoma"/>
          <w:bCs/>
          <w:sz w:val="22"/>
          <w:szCs w:val="22"/>
        </w:rPr>
        <w:t>, a efecto de que</w:t>
      </w:r>
      <w:r>
        <w:rPr>
          <w:rFonts w:ascii="Palatino Linotype" w:hAnsi="Palatino Linotype" w:cs="Tahoma"/>
          <w:bCs/>
          <w:sz w:val="22"/>
          <w:szCs w:val="22"/>
        </w:rPr>
        <w:t xml:space="preserve"> proporcione el documento que dé cuenta</w:t>
      </w:r>
      <w:r w:rsidR="00B53C01">
        <w:rPr>
          <w:rFonts w:ascii="Palatino Linotype" w:hAnsi="Palatino Linotype" w:cs="Tahoma"/>
          <w:bCs/>
          <w:sz w:val="22"/>
          <w:szCs w:val="22"/>
        </w:rPr>
        <w:t xml:space="preserve"> del expediente laboral</w:t>
      </w:r>
      <w:r>
        <w:rPr>
          <w:rFonts w:ascii="Palatino Linotype" w:hAnsi="Palatino Linotype" w:cs="Tahoma"/>
          <w:bCs/>
          <w:sz w:val="22"/>
          <w:szCs w:val="22"/>
        </w:rPr>
        <w:t>.</w:t>
      </w:r>
    </w:p>
    <w:p w14:paraId="45CE882B" w14:textId="77777777" w:rsidR="004A2538" w:rsidRDefault="004A2538" w:rsidP="004A2538">
      <w:pPr>
        <w:tabs>
          <w:tab w:val="left" w:pos="4962"/>
        </w:tabs>
        <w:spacing w:line="360" w:lineRule="auto"/>
        <w:contextualSpacing/>
        <w:jc w:val="both"/>
        <w:rPr>
          <w:rFonts w:ascii="Palatino Linotype" w:hAnsi="Palatino Linotype" w:cs="Tahoma"/>
          <w:sz w:val="22"/>
          <w:szCs w:val="22"/>
        </w:rPr>
      </w:pPr>
    </w:p>
    <w:p w14:paraId="1F4AAEE4" w14:textId="77777777" w:rsidR="004A2538" w:rsidRDefault="004A2538" w:rsidP="004A2538">
      <w:pPr>
        <w:spacing w:line="360" w:lineRule="auto"/>
        <w:contextualSpacing/>
        <w:jc w:val="both"/>
        <w:rPr>
          <w:rFonts w:ascii="Palatino Linotype" w:hAnsi="Palatino Linotype"/>
          <w:b/>
          <w:color w:val="000000"/>
          <w:sz w:val="22"/>
          <w:szCs w:val="22"/>
        </w:rPr>
      </w:pPr>
      <w:bookmarkStart w:id="22" w:name="_Toc199369393"/>
      <w:r w:rsidRPr="00D86ECA">
        <w:rPr>
          <w:rFonts w:ascii="Palatino Linotype" w:hAnsi="Palatino Linotype"/>
          <w:b/>
          <w:color w:val="000000"/>
          <w:sz w:val="22"/>
          <w:szCs w:val="22"/>
        </w:rPr>
        <w:t>Términos de la Resolución para el Recurrente</w:t>
      </w:r>
    </w:p>
    <w:p w14:paraId="0F242F6E" w14:textId="77777777" w:rsidR="004A2538" w:rsidRPr="00D86ECA" w:rsidRDefault="004A2538" w:rsidP="004A2538">
      <w:pPr>
        <w:spacing w:line="360" w:lineRule="auto"/>
        <w:contextualSpacing/>
        <w:jc w:val="both"/>
        <w:rPr>
          <w:rFonts w:ascii="Palatino Linotype" w:hAnsi="Palatino Linotype"/>
          <w:b/>
          <w:color w:val="000000"/>
          <w:sz w:val="22"/>
          <w:szCs w:val="22"/>
        </w:rPr>
      </w:pPr>
    </w:p>
    <w:p w14:paraId="7A3C5730" w14:textId="67557B18" w:rsidR="004A2538" w:rsidRDefault="004A2538" w:rsidP="004A2538">
      <w:pPr>
        <w:spacing w:line="360" w:lineRule="auto"/>
        <w:contextualSpacing/>
        <w:jc w:val="both"/>
        <w:rPr>
          <w:rFonts w:ascii="Palatino Linotype" w:hAnsi="Palatino Linotype"/>
          <w:color w:val="000000"/>
          <w:sz w:val="22"/>
          <w:szCs w:val="22"/>
        </w:rPr>
      </w:pPr>
      <w:r w:rsidRPr="00D86ECA">
        <w:rPr>
          <w:rFonts w:ascii="Palatino Linotype" w:hAnsi="Palatino Linotype"/>
          <w:color w:val="000000"/>
          <w:sz w:val="22"/>
          <w:szCs w:val="22"/>
        </w:rPr>
        <w:t xml:space="preserve">Se le hace del conocimiento al Particular, que, en el presente caso, se le concede </w:t>
      </w:r>
      <w:r w:rsidR="00B53C01">
        <w:rPr>
          <w:rFonts w:ascii="Palatino Linotype" w:hAnsi="Palatino Linotype"/>
          <w:color w:val="000000"/>
          <w:sz w:val="22"/>
          <w:szCs w:val="22"/>
        </w:rPr>
        <w:t xml:space="preserve">parcialmente </w:t>
      </w:r>
      <w:r w:rsidRPr="00D86ECA">
        <w:rPr>
          <w:rFonts w:ascii="Palatino Linotype" w:hAnsi="Palatino Linotype"/>
          <w:color w:val="000000"/>
          <w:sz w:val="22"/>
          <w:szCs w:val="22"/>
        </w:rPr>
        <w:t xml:space="preserve">la razón, pues </w:t>
      </w:r>
      <w:r w:rsidR="00B53C01" w:rsidRPr="009C7BC9">
        <w:rPr>
          <w:rFonts w:ascii="Palatino Linotype" w:eastAsia="Calibri" w:hAnsi="Palatino Linotype" w:cs="Tahoma"/>
          <w:sz w:val="22"/>
          <w:szCs w:val="22"/>
          <w:lang w:eastAsia="en-US"/>
        </w:rPr>
        <w:t>Servicios Educativos Integrados al Estado de México</w:t>
      </w:r>
      <w:r w:rsidRPr="00D86ECA">
        <w:rPr>
          <w:rFonts w:ascii="Palatino Linotype" w:hAnsi="Palatino Linotype"/>
          <w:color w:val="000000"/>
          <w:sz w:val="22"/>
          <w:szCs w:val="22"/>
        </w:rPr>
        <w:t xml:space="preserve">, </w:t>
      </w:r>
      <w:r w:rsidR="00B53C01">
        <w:rPr>
          <w:rFonts w:ascii="Palatino Linotype" w:hAnsi="Palatino Linotype"/>
          <w:color w:val="000000"/>
          <w:sz w:val="22"/>
          <w:szCs w:val="22"/>
        </w:rPr>
        <w:t>entregó información pero faltó el expediente laboral.</w:t>
      </w:r>
      <w:r>
        <w:rPr>
          <w:rFonts w:ascii="Palatino Linotype" w:hAnsi="Palatino Linotype"/>
          <w:color w:val="000000"/>
          <w:sz w:val="22"/>
          <w:szCs w:val="22"/>
        </w:rPr>
        <w:t xml:space="preserve"> </w:t>
      </w:r>
      <w:r w:rsidRPr="00D86ECA">
        <w:rPr>
          <w:rFonts w:ascii="Palatino Linotype" w:hAnsi="Palatino Linotype"/>
          <w:color w:val="000000"/>
          <w:sz w:val="22"/>
          <w:szCs w:val="22"/>
        </w:rPr>
        <w:t xml:space="preserve"> </w:t>
      </w:r>
    </w:p>
    <w:p w14:paraId="77E9D088" w14:textId="77777777" w:rsidR="004A2538" w:rsidRDefault="004A2538" w:rsidP="004A2538">
      <w:pPr>
        <w:spacing w:line="360" w:lineRule="auto"/>
        <w:contextualSpacing/>
        <w:jc w:val="both"/>
        <w:rPr>
          <w:rFonts w:ascii="Palatino Linotype" w:hAnsi="Palatino Linotype"/>
          <w:color w:val="000000"/>
          <w:sz w:val="22"/>
          <w:szCs w:val="22"/>
        </w:rPr>
      </w:pPr>
    </w:p>
    <w:p w14:paraId="5FF1FA99" w14:textId="77777777" w:rsidR="004A2538" w:rsidRPr="0045543A" w:rsidRDefault="004A2538" w:rsidP="004A2538">
      <w:pPr>
        <w:spacing w:line="360" w:lineRule="auto"/>
        <w:contextualSpacing/>
        <w:jc w:val="both"/>
        <w:rPr>
          <w:rFonts w:ascii="Palatino Linotype" w:hAnsi="Palatino Linotype"/>
          <w:b/>
          <w:bCs/>
          <w:color w:val="000000"/>
          <w:sz w:val="22"/>
          <w:szCs w:val="22"/>
          <w:u w:val="single"/>
        </w:rPr>
      </w:pPr>
      <w:r w:rsidRPr="0045543A">
        <w:rPr>
          <w:rFonts w:ascii="Palatino Linotype" w:hAnsi="Palatino Linotype"/>
          <w:b/>
          <w:bCs/>
          <w:color w:val="000000"/>
          <w:sz w:val="22"/>
          <w:szCs w:val="22"/>
          <w:u w:val="single"/>
        </w:rPr>
        <w:t>La labor del Instituto es apoyar a la población para acceder a la información pública y garantizar la protección de los datos personales.</w:t>
      </w:r>
    </w:p>
    <w:p w14:paraId="6127AFE6" w14:textId="77777777" w:rsidR="004A2538" w:rsidRPr="00D86ECA" w:rsidRDefault="004A2538" w:rsidP="004A2538">
      <w:pPr>
        <w:spacing w:line="360" w:lineRule="auto"/>
        <w:contextualSpacing/>
        <w:jc w:val="both"/>
        <w:rPr>
          <w:rFonts w:ascii="Palatino Linotype" w:hAnsi="Palatino Linotype"/>
          <w:color w:val="000000"/>
          <w:sz w:val="22"/>
          <w:szCs w:val="22"/>
        </w:rPr>
      </w:pPr>
    </w:p>
    <w:p w14:paraId="4A93EF1C" w14:textId="77777777" w:rsidR="004A2538" w:rsidRDefault="004A2538" w:rsidP="004A2538">
      <w:pPr>
        <w:spacing w:line="360" w:lineRule="auto"/>
        <w:ind w:right="-93"/>
        <w:contextualSpacing/>
        <w:jc w:val="both"/>
        <w:rPr>
          <w:rFonts w:ascii="Palatino Linotype" w:hAnsi="Palatino Linotype"/>
          <w:color w:val="000000"/>
          <w:sz w:val="22"/>
          <w:szCs w:val="22"/>
        </w:rPr>
      </w:pPr>
      <w:r w:rsidRPr="00D86ECA">
        <w:rPr>
          <w:rFonts w:ascii="Palatino Linotype" w:hAnsi="Palatino Linotype"/>
          <w:color w:val="000000"/>
          <w:sz w:val="22"/>
          <w:szCs w:val="22"/>
        </w:rPr>
        <w:t>Por lo expuesto y fundado, este Pleno:</w:t>
      </w:r>
    </w:p>
    <w:p w14:paraId="2848D5DF" w14:textId="77777777" w:rsidR="004A2538" w:rsidRPr="00D86ECA" w:rsidRDefault="004A2538" w:rsidP="004A2538">
      <w:pPr>
        <w:spacing w:line="360" w:lineRule="auto"/>
        <w:ind w:right="-93"/>
        <w:contextualSpacing/>
        <w:jc w:val="both"/>
        <w:rPr>
          <w:rFonts w:ascii="Palatino Linotype" w:hAnsi="Palatino Linotype"/>
          <w:color w:val="000000"/>
          <w:sz w:val="22"/>
          <w:szCs w:val="22"/>
        </w:rPr>
      </w:pPr>
    </w:p>
    <w:p w14:paraId="0D41978B" w14:textId="77777777" w:rsidR="004A2538" w:rsidRPr="00903CC5" w:rsidRDefault="004A2538" w:rsidP="004A2538">
      <w:pPr>
        <w:pStyle w:val="Ttulo1"/>
        <w:spacing w:before="0" w:after="0" w:line="360" w:lineRule="auto"/>
        <w:contextualSpacing/>
        <w:jc w:val="center"/>
        <w:rPr>
          <w:rFonts w:ascii="Palatino Linotype" w:eastAsia="Calibri" w:hAnsi="Palatino Linotype"/>
          <w:b/>
          <w:bCs/>
          <w:color w:val="auto"/>
          <w:sz w:val="22"/>
          <w:szCs w:val="22"/>
        </w:rPr>
      </w:pPr>
      <w:bookmarkStart w:id="23" w:name="_Toc203518784"/>
      <w:bookmarkStart w:id="24" w:name="_Toc226637721"/>
      <w:r w:rsidRPr="00903CC5">
        <w:rPr>
          <w:rFonts w:ascii="Palatino Linotype" w:eastAsia="Calibri" w:hAnsi="Palatino Linotype"/>
          <w:b/>
          <w:bCs/>
          <w:color w:val="auto"/>
          <w:sz w:val="22"/>
          <w:szCs w:val="22"/>
        </w:rPr>
        <w:t>R E S U E L V E</w:t>
      </w:r>
      <w:bookmarkEnd w:id="22"/>
      <w:bookmarkEnd w:id="23"/>
      <w:bookmarkEnd w:id="24"/>
    </w:p>
    <w:p w14:paraId="285F6692" w14:textId="77777777" w:rsidR="004A2538" w:rsidRPr="00B71E3E" w:rsidRDefault="004A2538" w:rsidP="004A2538">
      <w:pPr>
        <w:spacing w:line="360" w:lineRule="auto"/>
        <w:ind w:right="-28"/>
        <w:contextualSpacing/>
        <w:jc w:val="both"/>
        <w:rPr>
          <w:rFonts w:ascii="Palatino Linotype" w:hAnsi="Palatino Linotype" w:cs="Tahoma"/>
          <w:b/>
          <w:bCs/>
          <w:sz w:val="22"/>
          <w:szCs w:val="22"/>
        </w:rPr>
      </w:pPr>
    </w:p>
    <w:p w14:paraId="6EEEB5EB" w14:textId="6A502093" w:rsidR="004A2538" w:rsidRPr="00B71E3E" w:rsidRDefault="004A2538" w:rsidP="004A2538">
      <w:pPr>
        <w:widowControl w:val="0"/>
        <w:spacing w:line="360" w:lineRule="auto"/>
        <w:contextualSpacing/>
        <w:jc w:val="both"/>
        <w:rPr>
          <w:rFonts w:ascii="Palatino Linotype" w:eastAsia="Calibri" w:hAnsi="Palatino Linotype"/>
          <w:b/>
          <w:bCs/>
          <w:sz w:val="22"/>
          <w:szCs w:val="22"/>
        </w:rPr>
      </w:pPr>
      <w:r w:rsidRPr="00B71E3E">
        <w:rPr>
          <w:rFonts w:ascii="Palatino Linotype" w:eastAsia="Calibri" w:hAnsi="Palatino Linotype"/>
          <w:b/>
          <w:bCs/>
          <w:sz w:val="22"/>
          <w:szCs w:val="22"/>
        </w:rPr>
        <w:t xml:space="preserve">PRIMERO. </w:t>
      </w:r>
      <w:r w:rsidRPr="00B71E3E">
        <w:rPr>
          <w:rFonts w:ascii="Palatino Linotype" w:eastAsia="Calibri" w:hAnsi="Palatino Linotype"/>
          <w:sz w:val="22"/>
          <w:szCs w:val="22"/>
        </w:rPr>
        <w:t xml:space="preserve">Se </w:t>
      </w:r>
      <w:r>
        <w:rPr>
          <w:rFonts w:ascii="Palatino Linotype" w:eastAsia="Calibri" w:hAnsi="Palatino Linotype"/>
          <w:b/>
          <w:bCs/>
          <w:sz w:val="22"/>
          <w:szCs w:val="22"/>
        </w:rPr>
        <w:t>MODIFICA</w:t>
      </w:r>
      <w:r w:rsidRPr="00B71E3E">
        <w:rPr>
          <w:rFonts w:ascii="Palatino Linotype" w:eastAsia="Calibri" w:hAnsi="Palatino Linotype"/>
          <w:b/>
          <w:bCs/>
          <w:sz w:val="22"/>
          <w:szCs w:val="22"/>
        </w:rPr>
        <w:t xml:space="preserve"> </w:t>
      </w:r>
      <w:r w:rsidRPr="00B71E3E">
        <w:rPr>
          <w:rFonts w:ascii="Palatino Linotype" w:eastAsia="Calibri" w:hAnsi="Palatino Linotype"/>
          <w:sz w:val="22"/>
          <w:szCs w:val="22"/>
        </w:rPr>
        <w:t>la</w:t>
      </w:r>
      <w:r w:rsidRPr="00B71E3E">
        <w:rPr>
          <w:rFonts w:ascii="Palatino Linotype" w:eastAsia="Calibri" w:hAnsi="Palatino Linotype"/>
          <w:b/>
          <w:bCs/>
          <w:sz w:val="22"/>
          <w:szCs w:val="22"/>
        </w:rPr>
        <w:t xml:space="preserve"> </w:t>
      </w:r>
      <w:r w:rsidRPr="00B71E3E">
        <w:rPr>
          <w:rFonts w:ascii="Palatino Linotype" w:eastAsia="Calibri" w:hAnsi="Palatino Linotype"/>
          <w:sz w:val="22"/>
          <w:szCs w:val="22"/>
        </w:rPr>
        <w:t xml:space="preserve">respuesta entregada por </w:t>
      </w:r>
      <w:r w:rsidR="00B53C01" w:rsidRPr="009C7BC9">
        <w:rPr>
          <w:rFonts w:ascii="Palatino Linotype" w:eastAsia="Calibri" w:hAnsi="Palatino Linotype" w:cs="Tahoma"/>
          <w:sz w:val="22"/>
          <w:szCs w:val="22"/>
          <w:lang w:eastAsia="en-US"/>
        </w:rPr>
        <w:t xml:space="preserve">Servicios Educativos Integrados al </w:t>
      </w:r>
      <w:r w:rsidR="00B53C01" w:rsidRPr="009C7BC9">
        <w:rPr>
          <w:rFonts w:ascii="Palatino Linotype" w:eastAsia="Calibri" w:hAnsi="Palatino Linotype" w:cs="Tahoma"/>
          <w:sz w:val="22"/>
          <w:szCs w:val="22"/>
          <w:lang w:eastAsia="en-US"/>
        </w:rPr>
        <w:lastRenderedPageBreak/>
        <w:t>Estado de México</w:t>
      </w:r>
      <w:r>
        <w:rPr>
          <w:rFonts w:ascii="Palatino Linotype" w:eastAsia="Calibri" w:hAnsi="Palatino Linotype"/>
          <w:sz w:val="22"/>
          <w:szCs w:val="22"/>
        </w:rPr>
        <w:t xml:space="preserve">, </w:t>
      </w:r>
      <w:r w:rsidRPr="00B71E3E">
        <w:rPr>
          <w:rFonts w:ascii="Palatino Linotype" w:eastAsia="Calibri" w:hAnsi="Palatino Linotype"/>
          <w:sz w:val="22"/>
          <w:szCs w:val="22"/>
        </w:rPr>
        <w:t>a la solicitud de información</w:t>
      </w:r>
      <w:r>
        <w:rPr>
          <w:rFonts w:ascii="Palatino Linotype" w:eastAsia="Calibri" w:hAnsi="Palatino Linotype"/>
          <w:sz w:val="22"/>
          <w:szCs w:val="22"/>
        </w:rPr>
        <w:t xml:space="preserve"> </w:t>
      </w:r>
      <w:r w:rsidR="00B53C01" w:rsidRPr="00B53C01">
        <w:rPr>
          <w:rFonts w:ascii="Palatino Linotype" w:hAnsi="Palatino Linotype"/>
          <w:b/>
          <w:sz w:val="22"/>
          <w:szCs w:val="22"/>
        </w:rPr>
        <w:t>00025/SEIEM</w:t>
      </w:r>
      <w:r w:rsidR="00B53C01" w:rsidRPr="00AC4A59">
        <w:rPr>
          <w:rFonts w:ascii="Palatino Linotype" w:hAnsi="Palatino Linotype"/>
          <w:b/>
          <w:sz w:val="22"/>
          <w:szCs w:val="22"/>
        </w:rPr>
        <w:t>/IP/2026</w:t>
      </w:r>
      <w:r>
        <w:rPr>
          <w:rFonts w:ascii="Palatino Linotype" w:eastAsia="Calibri" w:hAnsi="Palatino Linotype"/>
          <w:bCs/>
          <w:sz w:val="22"/>
          <w:szCs w:val="22"/>
        </w:rPr>
        <w:t xml:space="preserve">, </w:t>
      </w:r>
      <w:r w:rsidRPr="00B71E3E">
        <w:rPr>
          <w:rFonts w:ascii="Palatino Linotype" w:eastAsia="Calibri" w:hAnsi="Palatino Linotype"/>
          <w:sz w:val="22"/>
          <w:szCs w:val="22"/>
        </w:rPr>
        <w:t xml:space="preserve">por resultar </w:t>
      </w:r>
      <w:r w:rsidRPr="00B71E3E">
        <w:rPr>
          <w:rFonts w:ascii="Palatino Linotype" w:eastAsia="Calibri" w:hAnsi="Palatino Linotype"/>
          <w:b/>
          <w:bCs/>
          <w:caps/>
          <w:sz w:val="22"/>
          <w:szCs w:val="22"/>
        </w:rPr>
        <w:t>fundadas</w:t>
      </w:r>
      <w:r w:rsidRPr="00B71E3E">
        <w:rPr>
          <w:rFonts w:ascii="Palatino Linotype" w:eastAsia="Calibri" w:hAnsi="Palatino Linotype"/>
          <w:sz w:val="22"/>
          <w:szCs w:val="22"/>
        </w:rPr>
        <w:t xml:space="preserve"> las razones o motivos de inconformidad hechos valer por el Recurrente, en términos de los considerandos QUINTO y SEXTO de la presente Resolución.</w:t>
      </w:r>
    </w:p>
    <w:p w14:paraId="56C5F221" w14:textId="77777777" w:rsidR="004A2538" w:rsidRPr="00B71E3E" w:rsidRDefault="004A2538" w:rsidP="004A2538">
      <w:pPr>
        <w:widowControl w:val="0"/>
        <w:spacing w:line="360" w:lineRule="auto"/>
        <w:contextualSpacing/>
        <w:jc w:val="both"/>
        <w:rPr>
          <w:rFonts w:ascii="Palatino Linotype" w:eastAsia="Calibri" w:hAnsi="Palatino Linotype"/>
          <w:sz w:val="22"/>
          <w:szCs w:val="22"/>
        </w:rPr>
      </w:pPr>
    </w:p>
    <w:p w14:paraId="02E6BC46" w14:textId="77777777" w:rsidR="004A2538" w:rsidRDefault="004A2538" w:rsidP="004A2538">
      <w:pPr>
        <w:widowControl w:val="0"/>
        <w:spacing w:line="360" w:lineRule="auto"/>
        <w:contextualSpacing/>
        <w:jc w:val="both"/>
        <w:rPr>
          <w:rFonts w:ascii="Palatino Linotype" w:hAnsi="Palatino Linotype" w:cs="Tahoma"/>
          <w:bCs/>
          <w:iCs/>
          <w:sz w:val="22"/>
          <w:szCs w:val="22"/>
          <w:lang w:val="es-ES"/>
        </w:rPr>
      </w:pPr>
      <w:r w:rsidRPr="00B71E3E">
        <w:rPr>
          <w:rFonts w:ascii="Palatino Linotype" w:hAnsi="Palatino Linotype"/>
          <w:b/>
          <w:sz w:val="22"/>
          <w:szCs w:val="22"/>
        </w:rPr>
        <w:t xml:space="preserve">SEGUNDO. </w:t>
      </w:r>
      <w:r w:rsidRPr="00B71E3E">
        <w:rPr>
          <w:rFonts w:ascii="Palatino Linotype" w:hAnsi="Palatino Linotype"/>
          <w:sz w:val="22"/>
          <w:szCs w:val="22"/>
        </w:rPr>
        <w:t xml:space="preserve">Se </w:t>
      </w:r>
      <w:r w:rsidRPr="00B71E3E">
        <w:rPr>
          <w:rFonts w:ascii="Palatino Linotype" w:hAnsi="Palatino Linotype"/>
          <w:b/>
          <w:sz w:val="22"/>
          <w:szCs w:val="22"/>
        </w:rPr>
        <w:t>ORDENA</w:t>
      </w:r>
      <w:r w:rsidRPr="00B71E3E">
        <w:rPr>
          <w:rFonts w:ascii="Palatino Linotype" w:hAnsi="Palatino Linotype"/>
          <w:sz w:val="22"/>
          <w:szCs w:val="22"/>
        </w:rPr>
        <w:t xml:space="preserve"> al Ente Recurrido</w:t>
      </w:r>
      <w:r w:rsidRPr="00B71E3E">
        <w:rPr>
          <w:rFonts w:ascii="Palatino Linotype" w:hAnsi="Palatino Linotype"/>
          <w:b/>
          <w:sz w:val="22"/>
          <w:szCs w:val="22"/>
        </w:rPr>
        <w:t xml:space="preserve">, </w:t>
      </w:r>
      <w:r w:rsidRPr="00B71E3E">
        <w:rPr>
          <w:rFonts w:ascii="Palatino Linotype" w:hAnsi="Palatino Linotype" w:cs="Tahoma"/>
          <w:sz w:val="22"/>
          <w:szCs w:val="22"/>
        </w:rPr>
        <w:t xml:space="preserve">a efecto de que </w:t>
      </w:r>
      <w:r w:rsidRPr="00B71E3E">
        <w:rPr>
          <w:rFonts w:ascii="Palatino Linotype" w:eastAsia="Calibri" w:hAnsi="Palatino Linotype" w:cs="Tahoma"/>
          <w:sz w:val="22"/>
          <w:szCs w:val="22"/>
        </w:rPr>
        <w:t>previa búsqueda exhaustiva y razonable</w:t>
      </w:r>
      <w:r>
        <w:rPr>
          <w:rFonts w:ascii="Palatino Linotype" w:eastAsia="Calibri" w:hAnsi="Palatino Linotype" w:cs="Tahoma"/>
          <w:sz w:val="22"/>
          <w:szCs w:val="22"/>
        </w:rPr>
        <w:t xml:space="preserve"> en las unidades administrativas competentes</w:t>
      </w:r>
      <w:r>
        <w:rPr>
          <w:rFonts w:ascii="Palatino Linotype" w:eastAsia="Calibri" w:hAnsi="Palatino Linotype" w:cs="Tahoma"/>
          <w:sz w:val="22"/>
          <w:szCs w:val="22"/>
          <w:lang w:eastAsia="es-MX"/>
        </w:rPr>
        <w:t xml:space="preserve">, </w:t>
      </w:r>
      <w:r w:rsidRPr="00B71E3E">
        <w:rPr>
          <w:rFonts w:ascii="Palatino Linotype" w:eastAsia="Calibri" w:hAnsi="Palatino Linotype" w:cs="Tahoma"/>
          <w:sz w:val="22"/>
          <w:szCs w:val="22"/>
          <w:lang w:eastAsia="es-MX"/>
        </w:rPr>
        <w:t>entregue</w:t>
      </w:r>
      <w:r w:rsidRPr="004B4E9C">
        <w:rPr>
          <w:rFonts w:ascii="Palatino Linotype" w:eastAsia="Calibri" w:hAnsi="Palatino Linotype" w:cs="Tahoma"/>
          <w:sz w:val="22"/>
          <w:szCs w:val="22"/>
        </w:rPr>
        <w:t xml:space="preserve"> </w:t>
      </w:r>
      <w:r w:rsidRPr="00B71E3E">
        <w:rPr>
          <w:rFonts w:ascii="Palatino Linotype" w:eastAsia="Calibri" w:hAnsi="Palatino Linotype" w:cs="Tahoma"/>
          <w:sz w:val="22"/>
          <w:szCs w:val="22"/>
        </w:rPr>
        <w:t>a través del SAIMEX,</w:t>
      </w:r>
      <w:r w:rsidRPr="000A3FD6">
        <w:rPr>
          <w:rFonts w:ascii="Palatino Linotype" w:eastAsia="Calibri" w:hAnsi="Palatino Linotype" w:cs="Tahoma"/>
          <w:sz w:val="22"/>
          <w:szCs w:val="22"/>
        </w:rPr>
        <w:t xml:space="preserve"> </w:t>
      </w:r>
      <w:r>
        <w:rPr>
          <w:rFonts w:ascii="Palatino Linotype" w:eastAsia="Calibri" w:hAnsi="Palatino Linotype" w:cs="Tahoma"/>
          <w:sz w:val="22"/>
          <w:szCs w:val="22"/>
          <w:lang w:eastAsia="es-MX"/>
        </w:rPr>
        <w:t>en su caso en versión pública</w:t>
      </w:r>
      <w:r w:rsidRPr="00B71E3E">
        <w:rPr>
          <w:rFonts w:ascii="Palatino Linotype" w:eastAsia="Calibri" w:hAnsi="Palatino Linotype" w:cs="Tahoma"/>
          <w:sz w:val="22"/>
          <w:szCs w:val="22"/>
        </w:rPr>
        <w:t xml:space="preserve">, </w:t>
      </w:r>
      <w:r>
        <w:rPr>
          <w:rFonts w:ascii="Palatino Linotype" w:hAnsi="Palatino Linotype" w:cs="Tahoma"/>
          <w:sz w:val="22"/>
          <w:szCs w:val="22"/>
        </w:rPr>
        <w:t>los documentos que den cuenta de lo siguiente</w:t>
      </w:r>
      <w:r>
        <w:rPr>
          <w:rFonts w:ascii="Palatino Linotype" w:hAnsi="Palatino Linotype" w:cs="Tahoma"/>
          <w:bCs/>
          <w:iCs/>
          <w:sz w:val="22"/>
          <w:szCs w:val="22"/>
          <w:lang w:val="es-ES"/>
        </w:rPr>
        <w:t>:</w:t>
      </w:r>
    </w:p>
    <w:p w14:paraId="68D18C90" w14:textId="77777777" w:rsidR="004A2538" w:rsidRDefault="004A2538" w:rsidP="004A2538">
      <w:pPr>
        <w:widowControl w:val="0"/>
        <w:spacing w:line="360" w:lineRule="auto"/>
        <w:contextualSpacing/>
        <w:jc w:val="both"/>
        <w:rPr>
          <w:rFonts w:ascii="Palatino Linotype" w:hAnsi="Palatino Linotype" w:cs="Tahoma"/>
          <w:bCs/>
          <w:iCs/>
          <w:sz w:val="22"/>
          <w:szCs w:val="22"/>
          <w:lang w:val="es-ES"/>
        </w:rPr>
      </w:pPr>
    </w:p>
    <w:p w14:paraId="4A0A66ED" w14:textId="25A2CFC6" w:rsidR="004A2538" w:rsidRPr="00795606" w:rsidRDefault="00B53C01" w:rsidP="004A2538">
      <w:pPr>
        <w:pStyle w:val="Prrafodelista"/>
        <w:widowControl w:val="0"/>
        <w:numPr>
          <w:ilvl w:val="0"/>
          <w:numId w:val="1"/>
        </w:numPr>
        <w:spacing w:line="360" w:lineRule="auto"/>
        <w:jc w:val="both"/>
        <w:rPr>
          <w:rFonts w:ascii="Palatino Linotype" w:hAnsi="Palatino Linotype" w:cs="Tahoma"/>
          <w:sz w:val="22"/>
          <w:szCs w:val="22"/>
        </w:rPr>
      </w:pPr>
      <w:r>
        <w:rPr>
          <w:rFonts w:ascii="Palatino Linotype" w:hAnsi="Palatino Linotype" w:cs="Tahoma"/>
          <w:bCs/>
          <w:iCs/>
          <w:sz w:val="22"/>
          <w:szCs w:val="22"/>
          <w:lang w:val="es-ES"/>
        </w:rPr>
        <w:t>Expediente laboral del servidor público identificado en la solicitud, al once de febrero de dos mil veintiséis.</w:t>
      </w:r>
    </w:p>
    <w:p w14:paraId="0C1B712F" w14:textId="77777777" w:rsidR="004A2538" w:rsidRPr="00795606" w:rsidRDefault="004A2538" w:rsidP="004A2538">
      <w:pPr>
        <w:pStyle w:val="Prrafodelista"/>
        <w:widowControl w:val="0"/>
        <w:spacing w:line="360" w:lineRule="auto"/>
        <w:jc w:val="both"/>
        <w:rPr>
          <w:rFonts w:ascii="Palatino Linotype" w:hAnsi="Palatino Linotype" w:cs="Tahoma"/>
          <w:sz w:val="22"/>
          <w:szCs w:val="22"/>
        </w:rPr>
      </w:pPr>
    </w:p>
    <w:p w14:paraId="13D1DECF" w14:textId="77777777" w:rsidR="004A2538" w:rsidRDefault="004A2538" w:rsidP="004A2538">
      <w:pPr>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 xml:space="preserve">Además, el Sujeto Obligado </w:t>
      </w:r>
      <w:r w:rsidRPr="00381BA1">
        <w:rPr>
          <w:rFonts w:ascii="Palatino Linotype" w:hAnsi="Palatino Linotype" w:cs="Tahoma"/>
          <w:bCs/>
          <w:iCs/>
          <w:sz w:val="22"/>
          <w:szCs w:val="22"/>
        </w:rPr>
        <w:t>deberá proporcionar el Acuerdo de Clasificación donde el Comité de Transparencia, confirme la eliminación de los datos</w:t>
      </w:r>
      <w:r>
        <w:rPr>
          <w:rFonts w:ascii="Palatino Linotype" w:hAnsi="Palatino Linotype" w:cs="Tahoma"/>
          <w:bCs/>
          <w:iCs/>
          <w:sz w:val="22"/>
          <w:szCs w:val="22"/>
        </w:rPr>
        <w:t xml:space="preserve"> o la clasificación de documentos, en términos del Considerando QUINTO</w:t>
      </w:r>
      <w:r w:rsidRPr="00381BA1">
        <w:rPr>
          <w:rFonts w:ascii="Palatino Linotype" w:hAnsi="Palatino Linotype" w:cs="Tahoma"/>
          <w:bCs/>
          <w:iCs/>
          <w:sz w:val="22"/>
          <w:szCs w:val="22"/>
        </w:rPr>
        <w:t xml:space="preserve">, de conformidad con los artículos 49, fracciones II y VIII, 132, fracción II, 143, fracción I, y 149 de la Ley de Transparencia y Acceso a la Información Pública del Estado de México y Municipios. </w:t>
      </w:r>
    </w:p>
    <w:p w14:paraId="755D70A8" w14:textId="77777777" w:rsidR="004A2538" w:rsidRDefault="004A2538" w:rsidP="004A2538">
      <w:pPr>
        <w:spacing w:line="360" w:lineRule="auto"/>
        <w:contextualSpacing/>
        <w:jc w:val="both"/>
        <w:rPr>
          <w:rFonts w:ascii="Palatino Linotype" w:hAnsi="Palatino Linotype" w:cs="Tahoma"/>
          <w:bCs/>
          <w:iCs/>
          <w:sz w:val="22"/>
          <w:szCs w:val="22"/>
        </w:rPr>
      </w:pPr>
    </w:p>
    <w:p w14:paraId="1CB7C57C" w14:textId="77777777" w:rsidR="004A2538" w:rsidRDefault="004A2538" w:rsidP="004A2538">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t>TERCERO. NOTIFÍQUESE POR SAIMEX</w:t>
      </w:r>
      <w:r w:rsidRPr="00B71E3E">
        <w:rPr>
          <w:rFonts w:ascii="Palatino Linotype" w:eastAsia="Calibri" w:hAnsi="Palatino Linotype" w:cs="Tahoma"/>
          <w:iCs/>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r>
        <w:rPr>
          <w:rFonts w:ascii="Palatino Linotype" w:eastAsia="Calibri" w:hAnsi="Palatino Linotype" w:cs="Tahoma"/>
          <w:iCs/>
          <w:sz w:val="22"/>
          <w:szCs w:val="22"/>
        </w:rPr>
        <w:t xml:space="preserve"> </w:t>
      </w:r>
    </w:p>
    <w:p w14:paraId="511FE19D" w14:textId="77777777" w:rsidR="004A2538" w:rsidRDefault="004A2538" w:rsidP="004A2538">
      <w:pPr>
        <w:spacing w:line="360" w:lineRule="auto"/>
        <w:contextualSpacing/>
        <w:jc w:val="both"/>
        <w:rPr>
          <w:rFonts w:ascii="Palatino Linotype" w:eastAsia="Calibri" w:hAnsi="Palatino Linotype" w:cs="Tahoma"/>
          <w:iCs/>
          <w:sz w:val="22"/>
          <w:szCs w:val="22"/>
        </w:rPr>
      </w:pPr>
    </w:p>
    <w:p w14:paraId="4F1F2D62" w14:textId="77777777" w:rsidR="004A2538" w:rsidRPr="00B71E3E" w:rsidRDefault="004A2538" w:rsidP="004A2538">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lastRenderedPageBreak/>
        <w:t xml:space="preserve">De conformidad con el artículo 198 de la </w:t>
      </w:r>
      <w:r>
        <w:rPr>
          <w:rFonts w:ascii="Palatino Linotype" w:eastAsia="Calibri" w:hAnsi="Palatino Linotype" w:cs="Tahoma"/>
          <w:iCs/>
          <w:sz w:val="22"/>
          <w:szCs w:val="22"/>
        </w:rPr>
        <w:t>Ley de la materia</w:t>
      </w:r>
      <w:r w:rsidRPr="00B71E3E">
        <w:rPr>
          <w:rFonts w:ascii="Palatino Linotype" w:eastAsia="Calibri" w:hAnsi="Palatino Linotype" w:cs="Tahoma"/>
          <w:iCs/>
          <w:sz w:val="22"/>
          <w:szCs w:val="22"/>
        </w:rPr>
        <w:t>, de considerarlo procedente, el Sujeto Obligado de manera fundada y motivada, podrá solicitar una ampliación de plazo para el cumplimiento de la presente Resolución.</w:t>
      </w:r>
    </w:p>
    <w:p w14:paraId="7A1CF146" w14:textId="77777777" w:rsidR="004A2538" w:rsidRPr="00B71E3E" w:rsidRDefault="004A2538" w:rsidP="004A2538">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 </w:t>
      </w:r>
    </w:p>
    <w:p w14:paraId="4361011E" w14:textId="77777777" w:rsidR="004A2538" w:rsidRDefault="004A2538" w:rsidP="004A2538">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t>CUARTO. NOTIFÍQUESE POR SAIMEX</w:t>
      </w:r>
      <w:r w:rsidRPr="00B71E3E">
        <w:rPr>
          <w:rFonts w:ascii="Palatino Linotype" w:eastAsia="Calibri" w:hAnsi="Palatino Linotype" w:cs="Tahoma"/>
          <w:iCs/>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B74AAF2" w14:textId="77777777" w:rsidR="004A2538" w:rsidRDefault="004A2538" w:rsidP="004A2538">
      <w:pPr>
        <w:spacing w:line="360" w:lineRule="auto"/>
        <w:contextualSpacing/>
        <w:jc w:val="both"/>
        <w:rPr>
          <w:rFonts w:ascii="Palatino Linotype" w:eastAsia="Calibri" w:hAnsi="Palatino Linotype" w:cs="Tahoma"/>
          <w:iCs/>
          <w:sz w:val="22"/>
          <w:szCs w:val="22"/>
        </w:rPr>
      </w:pPr>
    </w:p>
    <w:p w14:paraId="45CEF7F4" w14:textId="489D37FD" w:rsidR="004A2538" w:rsidRDefault="004A2538" w:rsidP="004A2538">
      <w:pPr>
        <w:spacing w:line="360" w:lineRule="auto"/>
        <w:contextualSpacing/>
        <w:jc w:val="both"/>
        <w:rPr>
          <w:rFonts w:ascii="Palatino Linotype" w:hAnsi="Palatino Linotype" w:cs="Tahoma"/>
          <w:bCs/>
          <w:iCs/>
          <w:sz w:val="22"/>
          <w:szCs w:val="22"/>
        </w:rPr>
      </w:pPr>
      <w:r w:rsidRPr="00B71E3E">
        <w:rPr>
          <w:rFonts w:ascii="Palatino Linotype" w:eastAsia="Calibri" w:hAnsi="Palatino Linotype" w:cs="Tahoma"/>
          <w:iCs/>
          <w:sz w:val="22"/>
          <w:szCs w:val="22"/>
        </w:rPr>
        <w:t xml:space="preserve">ASÍ LO RESUELVE, POR </w:t>
      </w:r>
      <w:r w:rsidRPr="00B71E3E">
        <w:rPr>
          <w:rFonts w:ascii="Palatino Linotype" w:eastAsia="Calibri" w:hAnsi="Palatino Linotype" w:cs="Tahoma"/>
          <w:b/>
          <w:bCs/>
          <w:iCs/>
          <w:sz w:val="22"/>
          <w:szCs w:val="22"/>
        </w:rPr>
        <w:t>UNANIMIDAD</w:t>
      </w:r>
      <w:r w:rsidRPr="00B71E3E">
        <w:rPr>
          <w:rFonts w:ascii="Palatino Linotype" w:eastAsia="Calibri" w:hAnsi="Palatino Linotype" w:cs="Tahoma"/>
          <w:iCs/>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4F4CDF">
        <w:rPr>
          <w:rFonts w:ascii="Palatino Linotype" w:eastAsia="Calibri" w:hAnsi="Palatino Linotype" w:cs="Tahoma"/>
          <w:iCs/>
          <w:sz w:val="22"/>
          <w:szCs w:val="22"/>
        </w:rPr>
        <w:t xml:space="preserve"> </w:t>
      </w:r>
      <w:r w:rsidR="00C33C8C">
        <w:rPr>
          <w:rFonts w:ascii="Palatino Linotype" w:eastAsia="Calibri" w:hAnsi="Palatino Linotype" w:cs="Tahoma"/>
          <w:iCs/>
          <w:sz w:val="22"/>
          <w:szCs w:val="22"/>
        </w:rPr>
        <w:t>CON VOTO PARTICULAR</w:t>
      </w:r>
      <w:r w:rsidR="0025035B">
        <w:rPr>
          <w:rFonts w:ascii="Palatino Linotype" w:eastAsia="Calibri" w:hAnsi="Palatino Linotype" w:cs="Tahoma"/>
          <w:iCs/>
          <w:sz w:val="22"/>
          <w:szCs w:val="22"/>
        </w:rPr>
        <w:t xml:space="preserve"> CONCURRENTE</w:t>
      </w:r>
      <w:r w:rsidRPr="00B71E3E">
        <w:rPr>
          <w:rFonts w:ascii="Palatino Linotype" w:eastAsia="Calibri" w:hAnsi="Palatino Linotype" w:cs="Tahoma"/>
          <w:iCs/>
          <w:sz w:val="22"/>
          <w:szCs w:val="22"/>
        </w:rPr>
        <w:t>, SHARON CRISTINA MORALES MARTÍNEZ, LUIS GUSTAVO PARRA NORIEGA</w:t>
      </w:r>
      <w:r w:rsidR="004F4CDF">
        <w:rPr>
          <w:rFonts w:ascii="Palatino Linotype" w:eastAsia="Calibri" w:hAnsi="Palatino Linotype" w:cs="Tahoma"/>
          <w:iCs/>
          <w:sz w:val="22"/>
          <w:szCs w:val="22"/>
        </w:rPr>
        <w:t xml:space="preserve"> </w:t>
      </w:r>
      <w:r w:rsidR="00C33C8C">
        <w:rPr>
          <w:rFonts w:ascii="Palatino Linotype" w:eastAsia="Calibri" w:hAnsi="Palatino Linotype" w:cs="Tahoma"/>
          <w:iCs/>
          <w:sz w:val="22"/>
          <w:szCs w:val="22"/>
        </w:rPr>
        <w:t>CON VOTO PARTICULAR</w:t>
      </w:r>
      <w:r w:rsidR="00601041">
        <w:rPr>
          <w:rFonts w:ascii="Palatino Linotype" w:eastAsia="Calibri" w:hAnsi="Palatino Linotype" w:cs="Tahoma"/>
          <w:iCs/>
          <w:sz w:val="22"/>
          <w:szCs w:val="22"/>
        </w:rPr>
        <w:t xml:space="preserve"> CONCURRENTE</w:t>
      </w:r>
      <w:r w:rsidRPr="00B71E3E">
        <w:rPr>
          <w:rFonts w:ascii="Palatino Linotype" w:eastAsia="Calibri" w:hAnsi="Palatino Linotype" w:cs="Tahoma"/>
          <w:iCs/>
          <w:sz w:val="22"/>
          <w:szCs w:val="22"/>
        </w:rPr>
        <w:t xml:space="preserve"> Y GUADALUPE RAMÍREZ PEÑA</w:t>
      </w:r>
      <w:r w:rsidR="004F4CDF">
        <w:rPr>
          <w:rFonts w:ascii="Palatino Linotype" w:eastAsia="Calibri" w:hAnsi="Palatino Linotype" w:cs="Tahoma"/>
          <w:iCs/>
          <w:sz w:val="22"/>
          <w:szCs w:val="22"/>
        </w:rPr>
        <w:t xml:space="preserve"> </w:t>
      </w:r>
      <w:r w:rsidR="00601041">
        <w:rPr>
          <w:rFonts w:ascii="Palatino Linotype" w:eastAsia="Calibri" w:hAnsi="Palatino Linotype" w:cs="Tahoma"/>
          <w:iCs/>
          <w:sz w:val="22"/>
          <w:szCs w:val="22"/>
        </w:rPr>
        <w:t>CON VOTO PARTICULAR</w:t>
      </w:r>
      <w:bookmarkStart w:id="25" w:name="_GoBack"/>
      <w:bookmarkEnd w:id="25"/>
      <w:r w:rsidRPr="00B71E3E">
        <w:rPr>
          <w:rFonts w:ascii="Palatino Linotype" w:eastAsia="Calibri" w:hAnsi="Palatino Linotype" w:cs="Tahoma"/>
          <w:iCs/>
          <w:sz w:val="22"/>
          <w:szCs w:val="22"/>
        </w:rPr>
        <w:t xml:space="preserve">, EN LA </w:t>
      </w:r>
      <w:r>
        <w:rPr>
          <w:rFonts w:ascii="Palatino Linotype" w:eastAsia="Calibri" w:hAnsi="Palatino Linotype" w:cs="Tahoma"/>
          <w:iCs/>
          <w:sz w:val="22"/>
          <w:szCs w:val="22"/>
        </w:rPr>
        <w:t xml:space="preserve">DÉCIMA SEGUNDA </w:t>
      </w:r>
      <w:r w:rsidRPr="00B71E3E">
        <w:rPr>
          <w:rFonts w:ascii="Palatino Linotype" w:eastAsia="Calibri" w:hAnsi="Palatino Linotype" w:cs="Tahoma"/>
          <w:iCs/>
          <w:sz w:val="22"/>
          <w:szCs w:val="22"/>
        </w:rPr>
        <w:t xml:space="preserve">SESIÓN ORDINARIA, CELEBRADA EL </w:t>
      </w:r>
      <w:r>
        <w:rPr>
          <w:rFonts w:ascii="Palatino Linotype" w:eastAsia="Calibri" w:hAnsi="Palatino Linotype" w:cs="Tahoma"/>
          <w:iCs/>
          <w:sz w:val="22"/>
          <w:szCs w:val="22"/>
        </w:rPr>
        <w:t xml:space="preserve">OCHO DE </w:t>
      </w:r>
      <w:r w:rsidR="00B53C01">
        <w:rPr>
          <w:rFonts w:ascii="Palatino Linotype" w:eastAsia="Calibri" w:hAnsi="Palatino Linotype" w:cs="Tahoma"/>
          <w:iCs/>
          <w:sz w:val="22"/>
          <w:szCs w:val="22"/>
        </w:rPr>
        <w:t>ABRIL</w:t>
      </w:r>
      <w:r>
        <w:rPr>
          <w:rFonts w:ascii="Palatino Linotype" w:eastAsia="Calibri" w:hAnsi="Palatino Linotype" w:cs="Tahoma"/>
          <w:iCs/>
          <w:sz w:val="22"/>
          <w:szCs w:val="22"/>
        </w:rPr>
        <w:t xml:space="preserve"> </w:t>
      </w:r>
      <w:r w:rsidRPr="00B71E3E">
        <w:rPr>
          <w:rFonts w:ascii="Palatino Linotype" w:eastAsia="Calibri" w:hAnsi="Palatino Linotype" w:cs="Tahoma"/>
          <w:iCs/>
          <w:sz w:val="22"/>
          <w:szCs w:val="22"/>
        </w:rPr>
        <w:t xml:space="preserve">DE DOS MIL </w:t>
      </w:r>
      <w:r>
        <w:rPr>
          <w:rFonts w:ascii="Palatino Linotype" w:eastAsia="Calibri" w:hAnsi="Palatino Linotype" w:cs="Tahoma"/>
          <w:iCs/>
          <w:sz w:val="22"/>
          <w:szCs w:val="22"/>
        </w:rPr>
        <w:t>VEINTISÉIS</w:t>
      </w:r>
      <w:r w:rsidRPr="00B71E3E">
        <w:rPr>
          <w:rFonts w:ascii="Palatino Linotype" w:eastAsia="Calibri" w:hAnsi="Palatino Linotype" w:cs="Tahoma"/>
          <w:iCs/>
          <w:sz w:val="22"/>
          <w:szCs w:val="22"/>
        </w:rPr>
        <w:t>, ANTE EL SECRETARIO TÉCNICO DEL PLENO, ALEXIS TAPIA RAMÍREZ.</w:t>
      </w:r>
    </w:p>
    <w:p w14:paraId="1D1D65D0" w14:textId="77777777" w:rsidR="004459C8" w:rsidRDefault="004459C8" w:rsidP="00981A65">
      <w:pPr>
        <w:spacing w:line="360" w:lineRule="auto"/>
        <w:contextualSpacing/>
        <w:jc w:val="both"/>
        <w:rPr>
          <w:rFonts w:ascii="Palatino Linotype" w:hAnsi="Palatino Linotype" w:cs="Tahoma"/>
          <w:bCs/>
          <w:iCs/>
          <w:sz w:val="22"/>
          <w:szCs w:val="22"/>
        </w:rPr>
      </w:pPr>
    </w:p>
    <w:p w14:paraId="0BD7AADE" w14:textId="77777777" w:rsidR="004459C8" w:rsidRDefault="004459C8" w:rsidP="00981A65">
      <w:pPr>
        <w:spacing w:line="360" w:lineRule="auto"/>
        <w:contextualSpacing/>
        <w:rPr>
          <w:rFonts w:ascii="Palatino Linotype" w:hAnsi="Palatino Linotype"/>
        </w:rPr>
      </w:pPr>
    </w:p>
    <w:p w14:paraId="6BC2B301" w14:textId="77777777" w:rsidR="004459C8" w:rsidRDefault="004459C8" w:rsidP="00981A65">
      <w:pPr>
        <w:spacing w:line="360" w:lineRule="auto"/>
        <w:contextualSpacing/>
        <w:rPr>
          <w:rFonts w:ascii="Palatino Linotype" w:hAnsi="Palatino Linotype"/>
        </w:rPr>
      </w:pPr>
    </w:p>
    <w:p w14:paraId="275A1B96" w14:textId="77777777" w:rsidR="004459C8" w:rsidRDefault="004459C8" w:rsidP="00981A65">
      <w:pPr>
        <w:spacing w:line="360" w:lineRule="auto"/>
        <w:contextualSpacing/>
        <w:rPr>
          <w:rFonts w:ascii="Palatino Linotype" w:hAnsi="Palatino Linotype"/>
        </w:rPr>
      </w:pPr>
    </w:p>
    <w:p w14:paraId="46E10476" w14:textId="77777777" w:rsidR="004459C8" w:rsidRDefault="004459C8" w:rsidP="00981A65">
      <w:pPr>
        <w:spacing w:line="360" w:lineRule="auto"/>
        <w:contextualSpacing/>
        <w:rPr>
          <w:rFonts w:ascii="Palatino Linotype" w:hAnsi="Palatino Linotype"/>
        </w:rPr>
      </w:pPr>
    </w:p>
    <w:p w14:paraId="4174FAD5" w14:textId="77777777" w:rsidR="004459C8" w:rsidRDefault="004459C8" w:rsidP="00981A65">
      <w:pPr>
        <w:spacing w:line="360" w:lineRule="auto"/>
        <w:contextualSpacing/>
        <w:rPr>
          <w:rFonts w:ascii="Palatino Linotype" w:hAnsi="Palatino Linotype"/>
        </w:rPr>
      </w:pPr>
    </w:p>
    <w:p w14:paraId="3FC7A0A9" w14:textId="77777777" w:rsidR="004459C8" w:rsidRDefault="004459C8" w:rsidP="00981A65">
      <w:pPr>
        <w:spacing w:line="360" w:lineRule="auto"/>
        <w:contextualSpacing/>
        <w:rPr>
          <w:rFonts w:ascii="Palatino Linotype" w:hAnsi="Palatino Linotype"/>
        </w:rPr>
      </w:pPr>
    </w:p>
    <w:p w14:paraId="686B40B8" w14:textId="77777777" w:rsidR="004459C8" w:rsidRDefault="004459C8" w:rsidP="00981A65">
      <w:pPr>
        <w:spacing w:line="360" w:lineRule="auto"/>
        <w:contextualSpacing/>
        <w:rPr>
          <w:rFonts w:ascii="Palatino Linotype" w:hAnsi="Palatino Linotype"/>
        </w:rPr>
      </w:pPr>
    </w:p>
    <w:p w14:paraId="759EBE10" w14:textId="77777777" w:rsidR="004459C8" w:rsidRDefault="004459C8" w:rsidP="00981A65">
      <w:pPr>
        <w:spacing w:line="360" w:lineRule="auto"/>
        <w:contextualSpacing/>
        <w:rPr>
          <w:rFonts w:ascii="Palatino Linotype" w:hAnsi="Palatino Linotype"/>
        </w:rPr>
      </w:pPr>
    </w:p>
    <w:p w14:paraId="65EE693E" w14:textId="77777777" w:rsidR="004459C8" w:rsidRDefault="004459C8" w:rsidP="00981A65">
      <w:pPr>
        <w:spacing w:line="360" w:lineRule="auto"/>
        <w:contextualSpacing/>
        <w:rPr>
          <w:rFonts w:ascii="Palatino Linotype" w:hAnsi="Palatino Linotype"/>
        </w:rPr>
      </w:pPr>
    </w:p>
    <w:p w14:paraId="06484C10" w14:textId="77777777" w:rsidR="004459C8" w:rsidRDefault="004459C8" w:rsidP="00981A65">
      <w:pPr>
        <w:spacing w:line="360" w:lineRule="auto"/>
        <w:contextualSpacing/>
        <w:rPr>
          <w:rFonts w:ascii="Palatino Linotype" w:hAnsi="Palatino Linotype"/>
        </w:rPr>
      </w:pPr>
    </w:p>
    <w:p w14:paraId="1E9AC1CE" w14:textId="77777777" w:rsidR="004459C8" w:rsidRDefault="004459C8" w:rsidP="00981A65">
      <w:pPr>
        <w:spacing w:line="360" w:lineRule="auto"/>
        <w:contextualSpacing/>
        <w:rPr>
          <w:rFonts w:ascii="Palatino Linotype" w:hAnsi="Palatino Linotype"/>
        </w:rPr>
      </w:pPr>
    </w:p>
    <w:p w14:paraId="3209B3F5" w14:textId="77777777" w:rsidR="004459C8" w:rsidRDefault="004459C8" w:rsidP="00981A65">
      <w:pPr>
        <w:spacing w:line="360" w:lineRule="auto"/>
        <w:contextualSpacing/>
        <w:rPr>
          <w:rFonts w:ascii="Palatino Linotype" w:hAnsi="Palatino Linotype"/>
        </w:rPr>
      </w:pPr>
    </w:p>
    <w:p w14:paraId="394999B8" w14:textId="77777777" w:rsidR="004459C8" w:rsidRDefault="004459C8" w:rsidP="00981A65">
      <w:pPr>
        <w:spacing w:line="360" w:lineRule="auto"/>
        <w:contextualSpacing/>
        <w:rPr>
          <w:rFonts w:ascii="Palatino Linotype" w:hAnsi="Palatino Linotype"/>
        </w:rPr>
      </w:pPr>
    </w:p>
    <w:p w14:paraId="579AE7E8" w14:textId="77777777" w:rsidR="004459C8" w:rsidRPr="00537F14" w:rsidRDefault="004459C8" w:rsidP="00981A65">
      <w:pPr>
        <w:spacing w:line="360" w:lineRule="auto"/>
        <w:contextualSpacing/>
        <w:rPr>
          <w:rFonts w:ascii="Palatino Linotype" w:hAnsi="Palatino Linotype"/>
        </w:rPr>
      </w:pPr>
    </w:p>
    <w:p w14:paraId="6CBF94BB" w14:textId="77777777" w:rsidR="004459C8" w:rsidRDefault="004459C8" w:rsidP="00981A65">
      <w:pPr>
        <w:spacing w:line="360" w:lineRule="auto"/>
        <w:contextualSpacing/>
      </w:pPr>
    </w:p>
    <w:p w14:paraId="0CB9C7E4" w14:textId="77777777" w:rsidR="004459C8" w:rsidRDefault="004459C8" w:rsidP="00981A65">
      <w:pPr>
        <w:spacing w:line="360" w:lineRule="auto"/>
        <w:contextualSpacing/>
      </w:pPr>
    </w:p>
    <w:p w14:paraId="4E363657" w14:textId="77777777" w:rsidR="004459C8" w:rsidRDefault="004459C8" w:rsidP="00981A65">
      <w:pPr>
        <w:spacing w:line="360" w:lineRule="auto"/>
        <w:contextualSpacing/>
      </w:pPr>
    </w:p>
    <w:p w14:paraId="10CF9082" w14:textId="77777777" w:rsidR="004459C8" w:rsidRDefault="004459C8" w:rsidP="00981A65">
      <w:pPr>
        <w:spacing w:line="360" w:lineRule="auto"/>
        <w:contextualSpacing/>
      </w:pPr>
    </w:p>
    <w:p w14:paraId="05E78A18" w14:textId="77777777" w:rsidR="004459C8" w:rsidRDefault="004459C8" w:rsidP="00981A65">
      <w:pPr>
        <w:spacing w:line="360" w:lineRule="auto"/>
        <w:contextualSpacing/>
      </w:pPr>
    </w:p>
    <w:p w14:paraId="1EA97D68" w14:textId="77777777" w:rsidR="004459C8" w:rsidRDefault="004459C8" w:rsidP="00981A65">
      <w:pPr>
        <w:spacing w:line="360" w:lineRule="auto"/>
        <w:contextualSpacing/>
      </w:pPr>
    </w:p>
    <w:p w14:paraId="673CCB95" w14:textId="77777777" w:rsidR="004459C8" w:rsidRDefault="004459C8" w:rsidP="00981A65">
      <w:pPr>
        <w:spacing w:line="360" w:lineRule="auto"/>
        <w:contextualSpacing/>
      </w:pPr>
    </w:p>
    <w:p w14:paraId="225AF3F0" w14:textId="77777777" w:rsidR="004459C8" w:rsidRDefault="004459C8" w:rsidP="00981A65">
      <w:pPr>
        <w:spacing w:line="360" w:lineRule="auto"/>
        <w:contextualSpacing/>
      </w:pPr>
    </w:p>
    <w:p w14:paraId="164D0BBE" w14:textId="77777777" w:rsidR="004459C8" w:rsidRDefault="004459C8" w:rsidP="00981A65">
      <w:pPr>
        <w:spacing w:line="360" w:lineRule="auto"/>
        <w:contextualSpacing/>
      </w:pPr>
    </w:p>
    <w:p w14:paraId="24C82B6D" w14:textId="77777777" w:rsidR="004459C8" w:rsidRDefault="004459C8" w:rsidP="00981A65">
      <w:pPr>
        <w:spacing w:line="360" w:lineRule="auto"/>
        <w:contextualSpacing/>
      </w:pPr>
    </w:p>
    <w:p w14:paraId="2E36BF4D" w14:textId="77777777" w:rsidR="004459C8" w:rsidRDefault="004459C8" w:rsidP="00981A65">
      <w:pPr>
        <w:spacing w:line="360" w:lineRule="auto"/>
        <w:contextualSpacing/>
      </w:pPr>
    </w:p>
    <w:p w14:paraId="0555CA7D" w14:textId="77777777" w:rsidR="004459C8" w:rsidRDefault="004459C8" w:rsidP="00981A65">
      <w:pPr>
        <w:spacing w:line="360" w:lineRule="auto"/>
        <w:contextualSpacing/>
      </w:pPr>
    </w:p>
    <w:p w14:paraId="4745C4E6" w14:textId="77777777" w:rsidR="004459C8" w:rsidRDefault="004459C8" w:rsidP="00981A65">
      <w:pPr>
        <w:spacing w:line="360" w:lineRule="auto"/>
        <w:contextualSpacing/>
      </w:pPr>
    </w:p>
    <w:bookmarkEnd w:id="1"/>
    <w:p w14:paraId="5A9F7AD4" w14:textId="77777777" w:rsidR="004459C8" w:rsidRDefault="004459C8" w:rsidP="00981A65">
      <w:pPr>
        <w:spacing w:line="360" w:lineRule="auto"/>
        <w:contextualSpacing/>
      </w:pPr>
    </w:p>
    <w:p w14:paraId="3337F799" w14:textId="77777777" w:rsidR="004459C8" w:rsidRDefault="004459C8" w:rsidP="00981A65">
      <w:pPr>
        <w:spacing w:line="360" w:lineRule="auto"/>
        <w:contextualSpacing/>
      </w:pPr>
    </w:p>
    <w:p w14:paraId="27989613" w14:textId="77777777" w:rsidR="00B01980" w:rsidRDefault="00B01980" w:rsidP="00981A65">
      <w:pPr>
        <w:spacing w:line="360" w:lineRule="auto"/>
        <w:contextualSpacing/>
      </w:pPr>
    </w:p>
    <w:sectPr w:rsidR="00B01980" w:rsidSect="004459C8">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582595" w14:textId="77777777" w:rsidR="000C714D" w:rsidRDefault="000C714D" w:rsidP="004459C8">
      <w:r>
        <w:separator/>
      </w:r>
    </w:p>
  </w:endnote>
  <w:endnote w:type="continuationSeparator" w:id="0">
    <w:p w14:paraId="3BB3F93C" w14:textId="77777777" w:rsidR="000C714D" w:rsidRDefault="000C714D" w:rsidP="00445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965779"/>
      <w:docPartObj>
        <w:docPartGallery w:val="Page Numbers (Bottom of Page)"/>
        <w:docPartUnique/>
      </w:docPartObj>
    </w:sdtPr>
    <w:sdtEndPr/>
    <w:sdtContent>
      <w:sdt>
        <w:sdtPr>
          <w:id w:val="40187052"/>
          <w:docPartObj>
            <w:docPartGallery w:val="Page Numbers (Top of Page)"/>
            <w:docPartUnique/>
          </w:docPartObj>
        </w:sdtPr>
        <w:sdtEndPr/>
        <w:sdtContent>
          <w:p w14:paraId="1DDA41C1" w14:textId="77777777" w:rsidR="0053278B" w:rsidRDefault="0053278B">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E53E62">
              <w:rPr>
                <w:rFonts w:ascii="Palatino Linotype" w:hAnsi="Palatino Linotype"/>
                <w:b/>
                <w:bCs/>
                <w:noProof/>
                <w:sz w:val="22"/>
                <w:szCs w:val="22"/>
              </w:rPr>
              <w:t>60</w:t>
            </w:r>
            <w:r w:rsidRPr="00AA25BA">
              <w:rPr>
                <w:rFonts w:ascii="Palatino Linotype" w:hAnsi="Palatino Linotype"/>
                <w:b/>
                <w:bCs/>
                <w:sz w:val="22"/>
                <w:szCs w:val="22"/>
              </w:rPr>
              <w:fldChar w:fldCharType="end"/>
            </w:r>
          </w:p>
        </w:sdtContent>
      </w:sdt>
    </w:sdtContent>
  </w:sdt>
  <w:p w14:paraId="59194DE5" w14:textId="77777777" w:rsidR="0053278B" w:rsidRDefault="005327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576908"/>
      <w:docPartObj>
        <w:docPartGallery w:val="Page Numbers (Bottom of Page)"/>
        <w:docPartUnique/>
      </w:docPartObj>
    </w:sdtPr>
    <w:sdtEndPr/>
    <w:sdtContent>
      <w:sdt>
        <w:sdtPr>
          <w:id w:val="736206068"/>
          <w:docPartObj>
            <w:docPartGallery w:val="Page Numbers (Top of Page)"/>
            <w:docPartUnique/>
          </w:docPartObj>
        </w:sdtPr>
        <w:sdtEndPr/>
        <w:sdtContent>
          <w:p w14:paraId="1593272E" w14:textId="77777777" w:rsidR="0053278B" w:rsidRDefault="0053278B">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E53E62">
              <w:rPr>
                <w:rFonts w:ascii="Palatino Linotype" w:hAnsi="Palatino Linotype"/>
                <w:b/>
                <w:bCs/>
                <w:noProof/>
                <w:sz w:val="22"/>
                <w:szCs w:val="22"/>
              </w:rPr>
              <w:t>59</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E53E62">
              <w:rPr>
                <w:rFonts w:ascii="Palatino Linotype" w:hAnsi="Palatino Linotype"/>
                <w:b/>
                <w:bCs/>
                <w:noProof/>
                <w:sz w:val="22"/>
                <w:szCs w:val="22"/>
              </w:rPr>
              <w:t>60</w:t>
            </w:r>
            <w:r w:rsidRPr="00AA25BA">
              <w:rPr>
                <w:rFonts w:ascii="Palatino Linotype" w:hAnsi="Palatino Linotype"/>
                <w:b/>
                <w:bCs/>
                <w:sz w:val="22"/>
                <w:szCs w:val="22"/>
              </w:rPr>
              <w:fldChar w:fldCharType="end"/>
            </w:r>
          </w:p>
        </w:sdtContent>
      </w:sdt>
    </w:sdtContent>
  </w:sdt>
  <w:p w14:paraId="4952C163" w14:textId="77777777" w:rsidR="0053278B" w:rsidRDefault="0053278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974364972"/>
      <w:docPartObj>
        <w:docPartGallery w:val="Page Numbers (Bottom of Page)"/>
        <w:docPartUnique/>
      </w:docPartObj>
    </w:sdtPr>
    <w:sdtEndPr/>
    <w:sdtContent>
      <w:sdt>
        <w:sdtPr>
          <w:rPr>
            <w:rFonts w:ascii="Palatino Linotype" w:hAnsi="Palatino Linotype"/>
            <w:sz w:val="22"/>
            <w:szCs w:val="22"/>
          </w:rPr>
          <w:id w:val="-1769616900"/>
          <w:docPartObj>
            <w:docPartGallery w:val="Page Numbers (Top of Page)"/>
            <w:docPartUnique/>
          </w:docPartObj>
        </w:sdtPr>
        <w:sdtEndPr/>
        <w:sdtContent>
          <w:p w14:paraId="15A38C80" w14:textId="77777777" w:rsidR="0053278B" w:rsidRPr="00AA25BA" w:rsidRDefault="0053278B">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E53E62">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E53E62">
              <w:rPr>
                <w:rFonts w:ascii="Palatino Linotype" w:hAnsi="Palatino Linotype"/>
                <w:b/>
                <w:bCs/>
                <w:noProof/>
                <w:sz w:val="22"/>
                <w:szCs w:val="22"/>
              </w:rPr>
              <w:t>60</w:t>
            </w:r>
            <w:r w:rsidRPr="00AA25BA">
              <w:rPr>
                <w:rFonts w:ascii="Palatino Linotype" w:hAnsi="Palatino Linotype"/>
                <w:b/>
                <w:bCs/>
                <w:sz w:val="22"/>
                <w:szCs w:val="22"/>
              </w:rPr>
              <w:fldChar w:fldCharType="end"/>
            </w:r>
          </w:p>
        </w:sdtContent>
      </w:sdt>
    </w:sdtContent>
  </w:sdt>
  <w:p w14:paraId="3E51C193" w14:textId="77777777" w:rsidR="0053278B" w:rsidRDefault="005327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DC5EE3" w14:textId="77777777" w:rsidR="000C714D" w:rsidRDefault="000C714D" w:rsidP="004459C8">
      <w:r>
        <w:separator/>
      </w:r>
    </w:p>
  </w:footnote>
  <w:footnote w:type="continuationSeparator" w:id="0">
    <w:p w14:paraId="51BE3329" w14:textId="77777777" w:rsidR="000C714D" w:rsidRDefault="000C714D" w:rsidP="004459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05" w:type="dxa"/>
      <w:tblLayout w:type="fixed"/>
      <w:tblLook w:val="04A0" w:firstRow="1" w:lastRow="0" w:firstColumn="1" w:lastColumn="0" w:noHBand="0" w:noVBand="1"/>
    </w:tblPr>
    <w:tblGrid>
      <w:gridCol w:w="2972"/>
      <w:gridCol w:w="6733"/>
    </w:tblGrid>
    <w:tr w:rsidR="0053278B" w14:paraId="33C939E8" w14:textId="77777777" w:rsidTr="00FF1CEB">
      <w:trPr>
        <w:trHeight w:val="1435"/>
      </w:trPr>
      <w:tc>
        <w:tcPr>
          <w:tcW w:w="2972" w:type="dxa"/>
        </w:tcPr>
        <w:p w14:paraId="05228798" w14:textId="77777777" w:rsidR="0053278B" w:rsidRDefault="0053278B" w:rsidP="00FF1CEB">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53278B" w14:paraId="5853C5B3" w14:textId="77777777" w:rsidTr="00FF1CEB">
            <w:trPr>
              <w:trHeight w:val="144"/>
            </w:trPr>
            <w:tc>
              <w:tcPr>
                <w:tcW w:w="2447" w:type="dxa"/>
                <w:hideMark/>
              </w:tcPr>
              <w:p w14:paraId="18B891FC" w14:textId="77777777" w:rsidR="0053278B" w:rsidRPr="008A245E" w:rsidRDefault="0053278B" w:rsidP="00FF1CEB">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7BC53A20" w14:textId="77777777" w:rsidR="0053278B" w:rsidRPr="008A245E" w:rsidRDefault="0053278B" w:rsidP="00FF1CEB">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eastAsia="en-US"/>
                  </w:rPr>
                  <w:t>02946/INFOEM/IP/RR/2021</w:t>
                </w:r>
              </w:p>
            </w:tc>
          </w:tr>
          <w:tr w:rsidR="0053278B" w14:paraId="2323B958" w14:textId="77777777" w:rsidTr="00FF1CEB">
            <w:trPr>
              <w:trHeight w:val="283"/>
            </w:trPr>
            <w:tc>
              <w:tcPr>
                <w:tcW w:w="2447" w:type="dxa"/>
                <w:hideMark/>
              </w:tcPr>
              <w:p w14:paraId="20D44968" w14:textId="77777777" w:rsidR="0053278B" w:rsidRPr="008A245E" w:rsidRDefault="0053278B" w:rsidP="00FF1CEB">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0B10EB68" w14:textId="77777777" w:rsidR="0053278B" w:rsidRPr="008A245E" w:rsidRDefault="0053278B" w:rsidP="00FF1CEB">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eastAsia="en-US"/>
                  </w:rPr>
                  <w:t>Ayuntamiento de San Antonio la Isla</w:t>
                </w:r>
              </w:p>
            </w:tc>
          </w:tr>
          <w:tr w:rsidR="0053278B" w14:paraId="69A30AB6" w14:textId="77777777" w:rsidTr="00FF1CEB">
            <w:trPr>
              <w:trHeight w:val="283"/>
            </w:trPr>
            <w:tc>
              <w:tcPr>
                <w:tcW w:w="2447" w:type="dxa"/>
                <w:hideMark/>
              </w:tcPr>
              <w:p w14:paraId="2C8A202A" w14:textId="77777777" w:rsidR="0053278B" w:rsidRPr="008A245E" w:rsidRDefault="0053278B" w:rsidP="00FF1CEB">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4A00B1C4" w14:textId="77777777" w:rsidR="0053278B" w:rsidRPr="008A245E" w:rsidRDefault="0053278B" w:rsidP="00FF1CEB">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17B0831F" w14:textId="77777777" w:rsidR="0053278B" w:rsidRPr="008A245E" w:rsidRDefault="0053278B" w:rsidP="00FF1CEB">
                <w:pPr>
                  <w:tabs>
                    <w:tab w:val="right" w:pos="8838"/>
                  </w:tabs>
                  <w:ind w:left="-74" w:right="-105"/>
                  <w:jc w:val="both"/>
                  <w:rPr>
                    <w:rFonts w:ascii="Palatino Linotype" w:eastAsia="Calibri" w:hAnsi="Palatino Linotype" w:cs="Tahoma"/>
                    <w:b/>
                    <w:sz w:val="22"/>
                    <w:szCs w:val="22"/>
                    <w:lang w:eastAsia="en-US"/>
                  </w:rPr>
                </w:pPr>
              </w:p>
            </w:tc>
          </w:tr>
        </w:tbl>
        <w:p w14:paraId="2EDEC8C7" w14:textId="77777777" w:rsidR="0053278B" w:rsidRDefault="0053278B" w:rsidP="00FF1CEB">
          <w:pPr>
            <w:tabs>
              <w:tab w:val="right" w:pos="8838"/>
            </w:tabs>
            <w:spacing w:line="256" w:lineRule="auto"/>
            <w:ind w:left="-28"/>
            <w:jc w:val="both"/>
            <w:rPr>
              <w:rFonts w:ascii="Arial" w:eastAsia="Calibri" w:hAnsi="Arial" w:cs="Arial"/>
              <w:b/>
              <w:sz w:val="22"/>
              <w:szCs w:val="22"/>
              <w:lang w:eastAsia="en-US"/>
            </w:rPr>
          </w:pPr>
        </w:p>
      </w:tc>
    </w:tr>
  </w:tbl>
  <w:p w14:paraId="49BF5B4A" w14:textId="77777777" w:rsidR="0053278B" w:rsidRDefault="0053278B">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1086C94D" wp14:editId="1DE5394F">
          <wp:simplePos x="0" y="0"/>
          <wp:positionH relativeFrom="margin">
            <wp:posOffset>-1381125</wp:posOffset>
          </wp:positionH>
          <wp:positionV relativeFrom="margin">
            <wp:posOffset>-1611630</wp:posOffset>
          </wp:positionV>
          <wp:extent cx="5612130" cy="7308215"/>
          <wp:effectExtent l="0" t="0" r="762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985"/>
      <w:gridCol w:w="7371"/>
    </w:tblGrid>
    <w:tr w:rsidR="0053278B" w14:paraId="4FE7C30D" w14:textId="77777777" w:rsidTr="00FF1CEB">
      <w:trPr>
        <w:trHeight w:val="1435"/>
      </w:trPr>
      <w:tc>
        <w:tcPr>
          <w:tcW w:w="1985" w:type="dxa"/>
        </w:tcPr>
        <w:p w14:paraId="7DD45739" w14:textId="3AC452B1" w:rsidR="0053278B" w:rsidRDefault="0053278B" w:rsidP="00FF1CEB">
          <w:pPr>
            <w:tabs>
              <w:tab w:val="right" w:pos="4273"/>
            </w:tabs>
            <w:spacing w:line="256" w:lineRule="auto"/>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6F225937" wp14:editId="7B1D705E">
                <wp:simplePos x="0" y="0"/>
                <wp:positionH relativeFrom="margin">
                  <wp:posOffset>-1021715</wp:posOffset>
                </wp:positionH>
                <wp:positionV relativeFrom="margin">
                  <wp:posOffset>-529590</wp:posOffset>
                </wp:positionV>
                <wp:extent cx="7835900" cy="1020381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0" cy="10203815"/>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hideMark/>
        </w:tcPr>
        <w:tbl>
          <w:tblPr>
            <w:tblStyle w:val="Tablaconcuadrcula"/>
            <w:tblW w:w="9059" w:type="dxa"/>
            <w:tblInd w:w="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41"/>
            <w:gridCol w:w="3822"/>
            <w:gridCol w:w="2396"/>
          </w:tblGrid>
          <w:tr w:rsidR="0053278B" w14:paraId="625BB2E8" w14:textId="77777777" w:rsidTr="00E716FF">
            <w:trPr>
              <w:trHeight w:val="194"/>
            </w:trPr>
            <w:tc>
              <w:tcPr>
                <w:tcW w:w="2841" w:type="dxa"/>
                <w:hideMark/>
              </w:tcPr>
              <w:p w14:paraId="1DFC2730" w14:textId="77777777" w:rsidR="0053278B" w:rsidRPr="008A245E" w:rsidRDefault="0053278B" w:rsidP="00FF1CEB">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Recurso de Revisión:</w:t>
                </w:r>
              </w:p>
            </w:tc>
            <w:tc>
              <w:tcPr>
                <w:tcW w:w="3822" w:type="dxa"/>
                <w:hideMark/>
              </w:tcPr>
              <w:p w14:paraId="6D78106F" w14:textId="0B2B14F6" w:rsidR="0053278B" w:rsidRPr="008A245E" w:rsidRDefault="00517D65" w:rsidP="00841042">
                <w:pPr>
                  <w:tabs>
                    <w:tab w:val="right" w:pos="8838"/>
                  </w:tabs>
                  <w:ind w:left="-114" w:right="-105"/>
                  <w:jc w:val="both"/>
                  <w:rPr>
                    <w:rFonts w:ascii="Palatino Linotype" w:eastAsia="Calibri" w:hAnsi="Palatino Linotype" w:cs="Tahoma"/>
                    <w:bCs/>
                    <w:sz w:val="22"/>
                    <w:szCs w:val="22"/>
                    <w:lang w:eastAsia="en-US"/>
                  </w:rPr>
                </w:pPr>
                <w:r w:rsidRPr="00601724">
                  <w:rPr>
                    <w:rFonts w:ascii="Palatino Linotype" w:eastAsia="Calibri" w:hAnsi="Palatino Linotype" w:cs="Tahoma"/>
                    <w:sz w:val="22"/>
                    <w:szCs w:val="22"/>
                    <w:lang w:val="es-MX" w:eastAsia="en-US"/>
                  </w:rPr>
                  <w:t>02766/INFOEM/IP/RR/2026</w:t>
                </w:r>
              </w:p>
            </w:tc>
            <w:tc>
              <w:tcPr>
                <w:tcW w:w="2396" w:type="dxa"/>
              </w:tcPr>
              <w:p w14:paraId="321B74C7" w14:textId="77777777" w:rsidR="0053278B" w:rsidRDefault="0053278B" w:rsidP="00FF1CEB">
                <w:pPr>
                  <w:tabs>
                    <w:tab w:val="right" w:pos="8838"/>
                  </w:tabs>
                  <w:ind w:left="-114" w:right="-105"/>
                  <w:jc w:val="both"/>
                  <w:rPr>
                    <w:rFonts w:ascii="Palatino Linotype" w:eastAsia="Calibri" w:hAnsi="Palatino Linotype" w:cs="Tahoma"/>
                    <w:bCs/>
                    <w:sz w:val="22"/>
                    <w:szCs w:val="22"/>
                    <w:lang w:eastAsia="en-US"/>
                  </w:rPr>
                </w:pPr>
              </w:p>
            </w:tc>
          </w:tr>
          <w:tr w:rsidR="0053278B" w14:paraId="0A41AE6C" w14:textId="77777777" w:rsidTr="00E716FF">
            <w:trPr>
              <w:trHeight w:val="88"/>
            </w:trPr>
            <w:tc>
              <w:tcPr>
                <w:tcW w:w="2841" w:type="dxa"/>
                <w:hideMark/>
              </w:tcPr>
              <w:p w14:paraId="72EB6C75" w14:textId="77777777" w:rsidR="0053278B" w:rsidRPr="008A245E" w:rsidRDefault="0053278B" w:rsidP="00FF1CEB">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Sujeto Obligado:</w:t>
                </w:r>
              </w:p>
            </w:tc>
            <w:tc>
              <w:tcPr>
                <w:tcW w:w="3822" w:type="dxa"/>
                <w:hideMark/>
              </w:tcPr>
              <w:p w14:paraId="4CACC036" w14:textId="3C43D688" w:rsidR="0053278B" w:rsidRPr="00300B53" w:rsidRDefault="009C7BC9" w:rsidP="00FF1CEB">
                <w:pPr>
                  <w:tabs>
                    <w:tab w:val="left" w:pos="2834"/>
                    <w:tab w:val="right" w:pos="8838"/>
                  </w:tabs>
                  <w:ind w:left="-114"/>
                  <w:jc w:val="both"/>
                  <w:rPr>
                    <w:rFonts w:ascii="Palatino Linotype" w:eastAsia="Calibri" w:hAnsi="Palatino Linotype" w:cs="Tahoma"/>
                    <w:b/>
                    <w:sz w:val="32"/>
                    <w:szCs w:val="32"/>
                    <w:lang w:eastAsia="en-US"/>
                  </w:rPr>
                </w:pPr>
                <w:r w:rsidRPr="009C7BC9">
                  <w:rPr>
                    <w:rFonts w:ascii="Palatino Linotype" w:eastAsia="Calibri" w:hAnsi="Palatino Linotype" w:cs="Tahoma"/>
                    <w:sz w:val="22"/>
                    <w:szCs w:val="22"/>
                    <w:lang w:val="es-MX" w:eastAsia="en-US"/>
                  </w:rPr>
                  <w:t>Servicios Educativos Integrados al Estado de México</w:t>
                </w:r>
              </w:p>
            </w:tc>
            <w:tc>
              <w:tcPr>
                <w:tcW w:w="2396" w:type="dxa"/>
              </w:tcPr>
              <w:p w14:paraId="1A56AD43" w14:textId="77777777" w:rsidR="0053278B" w:rsidRPr="00326F31" w:rsidRDefault="0053278B" w:rsidP="00FF1CEB">
                <w:pPr>
                  <w:tabs>
                    <w:tab w:val="left" w:pos="2834"/>
                    <w:tab w:val="right" w:pos="8838"/>
                  </w:tabs>
                  <w:ind w:left="-114"/>
                  <w:jc w:val="both"/>
                  <w:rPr>
                    <w:rFonts w:ascii="Palatino Linotype" w:eastAsia="Calibri" w:hAnsi="Palatino Linotype" w:cs="Tahoma"/>
                    <w:sz w:val="22"/>
                    <w:szCs w:val="22"/>
                    <w:lang w:eastAsia="en-US"/>
                  </w:rPr>
                </w:pPr>
              </w:p>
            </w:tc>
          </w:tr>
          <w:tr w:rsidR="0053278B" w14:paraId="6617878F" w14:textId="77777777" w:rsidTr="00E716FF">
            <w:trPr>
              <w:trHeight w:val="383"/>
            </w:trPr>
            <w:tc>
              <w:tcPr>
                <w:tcW w:w="2841" w:type="dxa"/>
                <w:hideMark/>
              </w:tcPr>
              <w:p w14:paraId="14CD18DD" w14:textId="77777777" w:rsidR="0053278B" w:rsidRPr="008A245E" w:rsidRDefault="0053278B" w:rsidP="00FF1CEB">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Comisionado Ponente:</w:t>
                </w:r>
              </w:p>
            </w:tc>
            <w:tc>
              <w:tcPr>
                <w:tcW w:w="3822" w:type="dxa"/>
              </w:tcPr>
              <w:p w14:paraId="1B3F8F88" w14:textId="77777777" w:rsidR="0053278B" w:rsidRPr="007D2BD0" w:rsidRDefault="0053278B" w:rsidP="00FF1CEB">
                <w:pPr>
                  <w:tabs>
                    <w:tab w:val="right" w:pos="8838"/>
                  </w:tabs>
                  <w:ind w:left="-11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tc>
            <w:tc>
              <w:tcPr>
                <w:tcW w:w="2396" w:type="dxa"/>
              </w:tcPr>
              <w:p w14:paraId="7072258D" w14:textId="77777777" w:rsidR="0053278B" w:rsidRPr="008A245E" w:rsidRDefault="0053278B" w:rsidP="00FF1CEB">
                <w:pPr>
                  <w:tabs>
                    <w:tab w:val="right" w:pos="8838"/>
                  </w:tabs>
                  <w:ind w:left="-114" w:right="-105"/>
                  <w:jc w:val="both"/>
                  <w:rPr>
                    <w:rFonts w:ascii="Palatino Linotype" w:eastAsia="Calibri" w:hAnsi="Palatino Linotype" w:cs="Tahoma"/>
                    <w:sz w:val="22"/>
                    <w:szCs w:val="22"/>
                    <w:lang w:eastAsia="en-US"/>
                  </w:rPr>
                </w:pPr>
              </w:p>
            </w:tc>
          </w:tr>
        </w:tbl>
        <w:p w14:paraId="2FB8642C" w14:textId="77777777" w:rsidR="0053278B" w:rsidRDefault="0053278B" w:rsidP="00FF1CEB">
          <w:pPr>
            <w:tabs>
              <w:tab w:val="right" w:pos="8838"/>
            </w:tabs>
            <w:spacing w:line="256" w:lineRule="auto"/>
            <w:ind w:left="-28"/>
            <w:jc w:val="both"/>
            <w:rPr>
              <w:rFonts w:ascii="Arial" w:eastAsia="Calibri" w:hAnsi="Arial" w:cs="Arial"/>
              <w:b/>
              <w:sz w:val="22"/>
              <w:szCs w:val="22"/>
              <w:lang w:eastAsia="en-US"/>
            </w:rPr>
          </w:pPr>
        </w:p>
      </w:tc>
    </w:tr>
  </w:tbl>
  <w:p w14:paraId="0932A61D" w14:textId="2D5F441A" w:rsidR="0053278B" w:rsidRDefault="0053278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1560"/>
      <w:gridCol w:w="7654"/>
    </w:tblGrid>
    <w:tr w:rsidR="0053278B" w14:paraId="55596C17" w14:textId="77777777" w:rsidTr="00FF1CEB">
      <w:trPr>
        <w:trHeight w:val="1435"/>
      </w:trPr>
      <w:tc>
        <w:tcPr>
          <w:tcW w:w="1560" w:type="dxa"/>
        </w:tcPr>
        <w:p w14:paraId="3EB106AC" w14:textId="77777777" w:rsidR="0053278B" w:rsidRDefault="0053278B" w:rsidP="00FF1CEB">
          <w:pPr>
            <w:tabs>
              <w:tab w:val="right" w:pos="4273"/>
            </w:tabs>
            <w:spacing w:line="256" w:lineRule="auto"/>
            <w:rPr>
              <w:rFonts w:ascii="Garamond" w:eastAsia="Calibri" w:hAnsi="Garamond"/>
              <w:sz w:val="22"/>
              <w:szCs w:val="22"/>
              <w:lang w:eastAsia="en-US"/>
            </w:rPr>
          </w:pPr>
        </w:p>
      </w:tc>
      <w:tc>
        <w:tcPr>
          <w:tcW w:w="7654" w:type="dxa"/>
          <w:hideMark/>
        </w:tcPr>
        <w:tbl>
          <w:tblPr>
            <w:tblStyle w:val="Tablaconcuadrcula"/>
            <w:tblW w:w="9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818"/>
            <w:gridCol w:w="3836"/>
            <w:gridCol w:w="1421"/>
          </w:tblGrid>
          <w:tr w:rsidR="0053278B" w:rsidRPr="0095634C" w14:paraId="317D143A" w14:textId="77777777" w:rsidTr="00E716FF">
            <w:trPr>
              <w:gridAfter w:val="1"/>
              <w:wAfter w:w="1421" w:type="dxa"/>
              <w:trHeight w:val="132"/>
            </w:trPr>
            <w:tc>
              <w:tcPr>
                <w:tcW w:w="3818" w:type="dxa"/>
                <w:hideMark/>
              </w:tcPr>
              <w:p w14:paraId="2859C808" w14:textId="77777777" w:rsidR="0053278B" w:rsidRPr="0095634C" w:rsidRDefault="0053278B" w:rsidP="00FF1CEB">
                <w:pPr>
                  <w:tabs>
                    <w:tab w:val="right" w:pos="8838"/>
                  </w:tabs>
                  <w:ind w:left="-69"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Recurso de Revisión:</w:t>
                </w:r>
              </w:p>
            </w:tc>
            <w:tc>
              <w:tcPr>
                <w:tcW w:w="3836" w:type="dxa"/>
                <w:hideMark/>
              </w:tcPr>
              <w:p w14:paraId="175BA2B1" w14:textId="20AA4FFC" w:rsidR="0053278B" w:rsidRPr="0095634C" w:rsidRDefault="00601724" w:rsidP="00795D4C">
                <w:pPr>
                  <w:tabs>
                    <w:tab w:val="right" w:pos="8838"/>
                  </w:tabs>
                  <w:ind w:left="-74" w:right="712"/>
                  <w:jc w:val="both"/>
                  <w:rPr>
                    <w:rFonts w:ascii="Palatino Linotype" w:eastAsia="Calibri" w:hAnsi="Palatino Linotype" w:cs="Tahoma"/>
                    <w:sz w:val="22"/>
                    <w:szCs w:val="22"/>
                    <w:lang w:eastAsia="en-US"/>
                  </w:rPr>
                </w:pPr>
                <w:r w:rsidRPr="00601724">
                  <w:rPr>
                    <w:rFonts w:ascii="Palatino Linotype" w:eastAsia="Calibri" w:hAnsi="Palatino Linotype" w:cs="Tahoma"/>
                    <w:sz w:val="22"/>
                    <w:szCs w:val="22"/>
                    <w:lang w:val="es-MX" w:eastAsia="en-US"/>
                  </w:rPr>
                  <w:t>02766/INFOEM/IP/RR/2026</w:t>
                </w:r>
              </w:p>
            </w:tc>
          </w:tr>
          <w:tr w:rsidR="0053278B" w:rsidRPr="0095634C" w14:paraId="39E0F7B4" w14:textId="77777777" w:rsidTr="00E716FF">
            <w:trPr>
              <w:gridAfter w:val="1"/>
              <w:wAfter w:w="1421" w:type="dxa"/>
              <w:trHeight w:val="132"/>
            </w:trPr>
            <w:tc>
              <w:tcPr>
                <w:tcW w:w="3818" w:type="dxa"/>
                <w:hideMark/>
              </w:tcPr>
              <w:p w14:paraId="267DCA31" w14:textId="77777777" w:rsidR="0053278B" w:rsidRPr="0095634C" w:rsidRDefault="0053278B" w:rsidP="00FF1CEB">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Recurrente:</w:t>
                </w:r>
              </w:p>
            </w:tc>
            <w:tc>
              <w:tcPr>
                <w:tcW w:w="3836" w:type="dxa"/>
              </w:tcPr>
              <w:p w14:paraId="42C27A77" w14:textId="40CB3975" w:rsidR="0053278B" w:rsidRPr="0095634C" w:rsidRDefault="0053278B" w:rsidP="00795D4C">
                <w:pPr>
                  <w:tabs>
                    <w:tab w:val="left" w:pos="3122"/>
                    <w:tab w:val="right" w:pos="8838"/>
                  </w:tabs>
                  <w:ind w:left="-74" w:right="712"/>
                  <w:jc w:val="both"/>
                  <w:rPr>
                    <w:rFonts w:ascii="Palatino Linotype" w:eastAsia="Calibri" w:hAnsi="Palatino Linotype" w:cs="Tahoma"/>
                    <w:sz w:val="22"/>
                    <w:szCs w:val="22"/>
                    <w:lang w:eastAsia="en-US"/>
                  </w:rPr>
                </w:pPr>
              </w:p>
            </w:tc>
          </w:tr>
          <w:tr w:rsidR="0053278B" w:rsidRPr="0095634C" w14:paraId="5DFB279B" w14:textId="77777777" w:rsidTr="00E716FF">
            <w:trPr>
              <w:gridAfter w:val="1"/>
              <w:wAfter w:w="1421" w:type="dxa"/>
              <w:trHeight w:val="261"/>
            </w:trPr>
            <w:tc>
              <w:tcPr>
                <w:tcW w:w="3818" w:type="dxa"/>
                <w:hideMark/>
              </w:tcPr>
              <w:p w14:paraId="068B9161" w14:textId="77777777" w:rsidR="0053278B" w:rsidRPr="0095634C" w:rsidRDefault="0053278B" w:rsidP="00FF1CEB">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Sujeto Obligado:</w:t>
                </w:r>
              </w:p>
            </w:tc>
            <w:tc>
              <w:tcPr>
                <w:tcW w:w="3836" w:type="dxa"/>
                <w:hideMark/>
              </w:tcPr>
              <w:p w14:paraId="3354F9AD" w14:textId="3B292C8E" w:rsidR="0053278B" w:rsidRPr="0095634C" w:rsidRDefault="00517D65" w:rsidP="00795D4C">
                <w:pPr>
                  <w:tabs>
                    <w:tab w:val="right" w:pos="8838"/>
                  </w:tabs>
                  <w:ind w:left="-74" w:right="712"/>
                  <w:jc w:val="both"/>
                  <w:rPr>
                    <w:rFonts w:ascii="Palatino Linotype" w:eastAsia="Calibri" w:hAnsi="Palatino Linotype" w:cs="Tahoma"/>
                    <w:sz w:val="22"/>
                    <w:szCs w:val="22"/>
                    <w:lang w:eastAsia="en-US"/>
                  </w:rPr>
                </w:pPr>
                <w:r w:rsidRPr="00517D65">
                  <w:rPr>
                    <w:rFonts w:ascii="Palatino Linotype" w:eastAsia="Calibri" w:hAnsi="Palatino Linotype" w:cs="Tahoma"/>
                    <w:sz w:val="22"/>
                    <w:szCs w:val="22"/>
                    <w:lang w:val="es-MX" w:eastAsia="en-US"/>
                  </w:rPr>
                  <w:t>Servicios Educativos Integrados al Estado de México</w:t>
                </w:r>
              </w:p>
            </w:tc>
          </w:tr>
          <w:tr w:rsidR="0053278B" w:rsidRPr="0095634C" w14:paraId="70E2EFB2" w14:textId="77777777" w:rsidTr="00E716FF">
            <w:trPr>
              <w:trHeight w:val="261"/>
            </w:trPr>
            <w:tc>
              <w:tcPr>
                <w:tcW w:w="3818" w:type="dxa"/>
                <w:hideMark/>
              </w:tcPr>
              <w:p w14:paraId="072B4346" w14:textId="77777777" w:rsidR="0053278B" w:rsidRPr="0095634C" w:rsidRDefault="0053278B" w:rsidP="00FF1CEB">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Comisionado Ponente:</w:t>
                </w:r>
              </w:p>
            </w:tc>
            <w:tc>
              <w:tcPr>
                <w:tcW w:w="5257" w:type="dxa"/>
                <w:gridSpan w:val="2"/>
              </w:tcPr>
              <w:p w14:paraId="21C07F5E" w14:textId="77777777" w:rsidR="0053278B" w:rsidRPr="0057023C" w:rsidRDefault="0053278B" w:rsidP="00795D4C">
                <w:pPr>
                  <w:tabs>
                    <w:tab w:val="right" w:pos="8838"/>
                  </w:tabs>
                  <w:ind w:left="-74" w:right="712"/>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4D12627E" w14:textId="77777777" w:rsidR="0053278B" w:rsidRDefault="0053278B" w:rsidP="00FF1CEB">
          <w:pPr>
            <w:tabs>
              <w:tab w:val="right" w:pos="8838"/>
            </w:tabs>
            <w:spacing w:line="256" w:lineRule="auto"/>
            <w:ind w:left="-28"/>
            <w:jc w:val="both"/>
            <w:rPr>
              <w:rFonts w:ascii="Arial" w:eastAsia="Calibri" w:hAnsi="Arial" w:cs="Arial"/>
              <w:b/>
              <w:sz w:val="22"/>
              <w:szCs w:val="22"/>
              <w:lang w:eastAsia="en-US"/>
            </w:rPr>
          </w:pPr>
        </w:p>
      </w:tc>
    </w:tr>
  </w:tbl>
  <w:p w14:paraId="629492E8" w14:textId="77777777" w:rsidR="0053278B" w:rsidRDefault="000C714D" w:rsidP="00FF1CEB">
    <w:pPr>
      <w:pStyle w:val="Encabezado"/>
    </w:pPr>
    <w:r>
      <w:rPr>
        <w:rFonts w:ascii="Garamond" w:eastAsia="Calibri" w:hAnsi="Garamond"/>
        <w:noProof/>
        <w:sz w:val="22"/>
        <w:szCs w:val="22"/>
        <w:lang w:eastAsia="en-US"/>
      </w:rPr>
      <w:pict w14:anchorId="171E5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 style="position:absolute;margin-left:-85.05pt;margin-top:-122.1pt;width:663.5pt;height:12in;z-index:-25165772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D0675"/>
    <w:multiLevelType w:val="hybridMultilevel"/>
    <w:tmpl w:val="1A907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4A412F"/>
    <w:multiLevelType w:val="multilevel"/>
    <w:tmpl w:val="ED36F98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A2095D"/>
    <w:multiLevelType w:val="hybridMultilevel"/>
    <w:tmpl w:val="3E4A1312"/>
    <w:lvl w:ilvl="0" w:tplc="57500104">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63082B"/>
    <w:multiLevelType w:val="multilevel"/>
    <w:tmpl w:val="2CFE76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4E640CC"/>
    <w:multiLevelType w:val="multilevel"/>
    <w:tmpl w:val="4C723D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217558A"/>
    <w:multiLevelType w:val="multilevel"/>
    <w:tmpl w:val="983CD602"/>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 w15:restartNumberingAfterBreak="0">
    <w:nsid w:val="41796DE0"/>
    <w:multiLevelType w:val="hybridMultilevel"/>
    <w:tmpl w:val="59FCADBC"/>
    <w:lvl w:ilvl="0" w:tplc="75363626">
      <w:start w:val="1"/>
      <w:numFmt w:val="decimal"/>
      <w:lvlText w:val="%1."/>
      <w:lvlJc w:val="left"/>
      <w:pPr>
        <w:ind w:left="720" w:hanging="360"/>
      </w:pPr>
      <w:rPr>
        <w:rFonts w:cs="Times New Roman" w:hint="default"/>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5E067AC"/>
    <w:multiLevelType w:val="hybridMultilevel"/>
    <w:tmpl w:val="70807A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DE5A56"/>
    <w:multiLevelType w:val="multilevel"/>
    <w:tmpl w:val="CBB466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BEB42A9"/>
    <w:multiLevelType w:val="hybridMultilevel"/>
    <w:tmpl w:val="5DFC10D0"/>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F95481B"/>
    <w:multiLevelType w:val="hybridMultilevel"/>
    <w:tmpl w:val="59FCADBC"/>
    <w:lvl w:ilvl="0" w:tplc="75363626">
      <w:start w:val="1"/>
      <w:numFmt w:val="decimal"/>
      <w:lvlText w:val="%1."/>
      <w:lvlJc w:val="left"/>
      <w:pPr>
        <w:ind w:left="720" w:hanging="360"/>
      </w:pPr>
      <w:rPr>
        <w:rFonts w:cs="Times New Roman" w:hint="default"/>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1E1484"/>
    <w:multiLevelType w:val="hybridMultilevel"/>
    <w:tmpl w:val="7966A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06F4BD1"/>
    <w:multiLevelType w:val="multilevel"/>
    <w:tmpl w:val="BA7223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1F54206"/>
    <w:multiLevelType w:val="multilevel"/>
    <w:tmpl w:val="3260179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hint="default"/>
      </w:rPr>
    </w:lvl>
  </w:abstractNum>
  <w:abstractNum w:abstractNumId="15" w15:restartNumberingAfterBreak="0">
    <w:nsid w:val="66D65EA2"/>
    <w:multiLevelType w:val="multilevel"/>
    <w:tmpl w:val="89A2B444"/>
    <w:lvl w:ilvl="0">
      <w:start w:val="1"/>
      <w:numFmt w:val="bullet"/>
      <w:lvlText w:val="-"/>
      <w:lvlJc w:val="left"/>
      <w:pPr>
        <w:ind w:left="720" w:hanging="360"/>
      </w:pPr>
      <w:rPr>
        <w:rFonts w:ascii="Palatino Linotype" w:hAnsi="Palatino Linotyp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hint="default"/>
      </w:rPr>
    </w:lvl>
  </w:abstractNum>
  <w:abstractNum w:abstractNumId="16" w15:restartNumberingAfterBreak="0">
    <w:nsid w:val="737B163F"/>
    <w:multiLevelType w:val="hybridMultilevel"/>
    <w:tmpl w:val="69F075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4CA485C"/>
    <w:multiLevelType w:val="multilevel"/>
    <w:tmpl w:val="848ED064"/>
    <w:lvl w:ilvl="0">
      <w:numFmt w:val="bullet"/>
      <w:lvlText w:val="-"/>
      <w:lvlJc w:val="left"/>
      <w:pPr>
        <w:ind w:left="720" w:hanging="360"/>
      </w:pPr>
      <w:rPr>
        <w:rFonts w:ascii="Palatino Linotype" w:hAnsi="Palatino Linotyp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hint="default"/>
      </w:rPr>
    </w:lvl>
  </w:abstractNum>
  <w:abstractNum w:abstractNumId="18" w15:restartNumberingAfterBreak="0">
    <w:nsid w:val="75DB2D81"/>
    <w:multiLevelType w:val="multilevel"/>
    <w:tmpl w:val="E138D1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E136D66"/>
    <w:multiLevelType w:val="multilevel"/>
    <w:tmpl w:val="53B25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1"/>
  </w:num>
  <w:num w:numId="4">
    <w:abstractNumId w:val="2"/>
  </w:num>
  <w:num w:numId="5">
    <w:abstractNumId w:val="16"/>
  </w:num>
  <w:num w:numId="6">
    <w:abstractNumId w:val="0"/>
  </w:num>
  <w:num w:numId="7">
    <w:abstractNumId w:val="8"/>
  </w:num>
  <w:num w:numId="8">
    <w:abstractNumId w:val="12"/>
  </w:num>
  <w:num w:numId="9">
    <w:abstractNumId w:val="19"/>
  </w:num>
  <w:num w:numId="10">
    <w:abstractNumId w:val="18"/>
  </w:num>
  <w:num w:numId="11">
    <w:abstractNumId w:val="13"/>
  </w:num>
  <w:num w:numId="12">
    <w:abstractNumId w:val="9"/>
  </w:num>
  <w:num w:numId="13">
    <w:abstractNumId w:val="3"/>
  </w:num>
  <w:num w:numId="14">
    <w:abstractNumId w:val="5"/>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4"/>
  </w:num>
  <w:num w:numId="18">
    <w:abstractNumId w:val="17"/>
  </w:num>
  <w:num w:numId="19">
    <w:abstractNumId w:val="4"/>
  </w:num>
  <w:num w:numId="2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9C8"/>
    <w:rsid w:val="000116FA"/>
    <w:rsid w:val="000126B2"/>
    <w:rsid w:val="00016E20"/>
    <w:rsid w:val="00021A3E"/>
    <w:rsid w:val="00030C9A"/>
    <w:rsid w:val="00040814"/>
    <w:rsid w:val="00054366"/>
    <w:rsid w:val="00064CE4"/>
    <w:rsid w:val="000811C7"/>
    <w:rsid w:val="000954A3"/>
    <w:rsid w:val="000A2E8A"/>
    <w:rsid w:val="000A3FD6"/>
    <w:rsid w:val="000A587B"/>
    <w:rsid w:val="000B17CD"/>
    <w:rsid w:val="000C18ED"/>
    <w:rsid w:val="000C6968"/>
    <w:rsid w:val="000C714D"/>
    <w:rsid w:val="000D0CF1"/>
    <w:rsid w:val="000D2451"/>
    <w:rsid w:val="00102DCC"/>
    <w:rsid w:val="00106DEA"/>
    <w:rsid w:val="00106FC0"/>
    <w:rsid w:val="00114D70"/>
    <w:rsid w:val="00117DCD"/>
    <w:rsid w:val="00120D25"/>
    <w:rsid w:val="001357FC"/>
    <w:rsid w:val="00142134"/>
    <w:rsid w:val="00144DB2"/>
    <w:rsid w:val="00151739"/>
    <w:rsid w:val="00174E04"/>
    <w:rsid w:val="00180328"/>
    <w:rsid w:val="00183EE3"/>
    <w:rsid w:val="0018719B"/>
    <w:rsid w:val="00191518"/>
    <w:rsid w:val="001916C2"/>
    <w:rsid w:val="00195E4F"/>
    <w:rsid w:val="001A10B3"/>
    <w:rsid w:val="001A61DA"/>
    <w:rsid w:val="001A6F5E"/>
    <w:rsid w:val="001B2442"/>
    <w:rsid w:val="001B745D"/>
    <w:rsid w:val="001D3408"/>
    <w:rsid w:val="001F1CC9"/>
    <w:rsid w:val="002021A5"/>
    <w:rsid w:val="002025D7"/>
    <w:rsid w:val="00224036"/>
    <w:rsid w:val="00243CE8"/>
    <w:rsid w:val="0024547A"/>
    <w:rsid w:val="002473D4"/>
    <w:rsid w:val="0025035B"/>
    <w:rsid w:val="0025673A"/>
    <w:rsid w:val="00263B07"/>
    <w:rsid w:val="00264961"/>
    <w:rsid w:val="0028260D"/>
    <w:rsid w:val="00287860"/>
    <w:rsid w:val="002A51B2"/>
    <w:rsid w:val="002A6B5C"/>
    <w:rsid w:val="002B4F8B"/>
    <w:rsid w:val="002D1D8C"/>
    <w:rsid w:val="002D1E89"/>
    <w:rsid w:val="002E0301"/>
    <w:rsid w:val="002F10B4"/>
    <w:rsid w:val="002F4CDE"/>
    <w:rsid w:val="00320222"/>
    <w:rsid w:val="00320619"/>
    <w:rsid w:val="003212F8"/>
    <w:rsid w:val="0032370D"/>
    <w:rsid w:val="003300BC"/>
    <w:rsid w:val="00334607"/>
    <w:rsid w:val="0034004F"/>
    <w:rsid w:val="00342E1C"/>
    <w:rsid w:val="003511C5"/>
    <w:rsid w:val="00352F3D"/>
    <w:rsid w:val="00354971"/>
    <w:rsid w:val="00371CE2"/>
    <w:rsid w:val="0037522B"/>
    <w:rsid w:val="00377F3E"/>
    <w:rsid w:val="003A1959"/>
    <w:rsid w:val="003B3255"/>
    <w:rsid w:val="003C2F4E"/>
    <w:rsid w:val="003C44B4"/>
    <w:rsid w:val="003C7778"/>
    <w:rsid w:val="003F1A27"/>
    <w:rsid w:val="003F5FD4"/>
    <w:rsid w:val="003F7D72"/>
    <w:rsid w:val="00410274"/>
    <w:rsid w:val="00413187"/>
    <w:rsid w:val="004168F4"/>
    <w:rsid w:val="00421846"/>
    <w:rsid w:val="0042284C"/>
    <w:rsid w:val="00422D3B"/>
    <w:rsid w:val="00425B3F"/>
    <w:rsid w:val="00427945"/>
    <w:rsid w:val="004459C8"/>
    <w:rsid w:val="00446254"/>
    <w:rsid w:val="004503A8"/>
    <w:rsid w:val="0045543A"/>
    <w:rsid w:val="00455B26"/>
    <w:rsid w:val="00461B76"/>
    <w:rsid w:val="00462EB0"/>
    <w:rsid w:val="00471098"/>
    <w:rsid w:val="00471B07"/>
    <w:rsid w:val="004802E4"/>
    <w:rsid w:val="004A2538"/>
    <w:rsid w:val="004A4453"/>
    <w:rsid w:val="004B4E9C"/>
    <w:rsid w:val="004C0278"/>
    <w:rsid w:val="004E2169"/>
    <w:rsid w:val="004E26D7"/>
    <w:rsid w:val="004E3D7A"/>
    <w:rsid w:val="004F4CDF"/>
    <w:rsid w:val="00511E03"/>
    <w:rsid w:val="005142CC"/>
    <w:rsid w:val="005159D3"/>
    <w:rsid w:val="00517D65"/>
    <w:rsid w:val="00530812"/>
    <w:rsid w:val="00530DC1"/>
    <w:rsid w:val="0053278B"/>
    <w:rsid w:val="00536484"/>
    <w:rsid w:val="00543563"/>
    <w:rsid w:val="00552FFF"/>
    <w:rsid w:val="00566FE9"/>
    <w:rsid w:val="00567B79"/>
    <w:rsid w:val="00577735"/>
    <w:rsid w:val="00581307"/>
    <w:rsid w:val="005927A8"/>
    <w:rsid w:val="00596FD4"/>
    <w:rsid w:val="005A3500"/>
    <w:rsid w:val="005A66DE"/>
    <w:rsid w:val="005B1822"/>
    <w:rsid w:val="005C293E"/>
    <w:rsid w:val="005D3374"/>
    <w:rsid w:val="005F68E5"/>
    <w:rsid w:val="00601041"/>
    <w:rsid w:val="00601724"/>
    <w:rsid w:val="006219A2"/>
    <w:rsid w:val="006239E9"/>
    <w:rsid w:val="00635675"/>
    <w:rsid w:val="00651228"/>
    <w:rsid w:val="00654058"/>
    <w:rsid w:val="00672082"/>
    <w:rsid w:val="00673270"/>
    <w:rsid w:val="00674C26"/>
    <w:rsid w:val="006A0C0C"/>
    <w:rsid w:val="006A689B"/>
    <w:rsid w:val="006B3137"/>
    <w:rsid w:val="006B3203"/>
    <w:rsid w:val="006B394C"/>
    <w:rsid w:val="006B4784"/>
    <w:rsid w:val="006C282E"/>
    <w:rsid w:val="006C54AA"/>
    <w:rsid w:val="006D5283"/>
    <w:rsid w:val="006D5D0F"/>
    <w:rsid w:val="006D73E5"/>
    <w:rsid w:val="006E2DB6"/>
    <w:rsid w:val="006E67D2"/>
    <w:rsid w:val="007001E1"/>
    <w:rsid w:val="00701CDB"/>
    <w:rsid w:val="00701E55"/>
    <w:rsid w:val="0071284A"/>
    <w:rsid w:val="00714B26"/>
    <w:rsid w:val="007211A1"/>
    <w:rsid w:val="00723AEE"/>
    <w:rsid w:val="00730FE2"/>
    <w:rsid w:val="0074443C"/>
    <w:rsid w:val="00754675"/>
    <w:rsid w:val="00757708"/>
    <w:rsid w:val="00764BDB"/>
    <w:rsid w:val="00767097"/>
    <w:rsid w:val="007679F0"/>
    <w:rsid w:val="007703C1"/>
    <w:rsid w:val="00776ACD"/>
    <w:rsid w:val="007773E4"/>
    <w:rsid w:val="00780419"/>
    <w:rsid w:val="00782820"/>
    <w:rsid w:val="00795606"/>
    <w:rsid w:val="00795D4C"/>
    <w:rsid w:val="007B21CC"/>
    <w:rsid w:val="007B3BCC"/>
    <w:rsid w:val="007B417F"/>
    <w:rsid w:val="007C452D"/>
    <w:rsid w:val="007C5900"/>
    <w:rsid w:val="007D1072"/>
    <w:rsid w:val="007D6A4A"/>
    <w:rsid w:val="007E361F"/>
    <w:rsid w:val="007E5542"/>
    <w:rsid w:val="00815D2B"/>
    <w:rsid w:val="008229C7"/>
    <w:rsid w:val="008232A4"/>
    <w:rsid w:val="00823EB3"/>
    <w:rsid w:val="00833268"/>
    <w:rsid w:val="00834DDD"/>
    <w:rsid w:val="00840D80"/>
    <w:rsid w:val="00841042"/>
    <w:rsid w:val="008540FE"/>
    <w:rsid w:val="008608D5"/>
    <w:rsid w:val="00864B9C"/>
    <w:rsid w:val="0087356F"/>
    <w:rsid w:val="00875A76"/>
    <w:rsid w:val="008910FC"/>
    <w:rsid w:val="00895E3A"/>
    <w:rsid w:val="00897400"/>
    <w:rsid w:val="008A2ED9"/>
    <w:rsid w:val="008A32BD"/>
    <w:rsid w:val="008B3C55"/>
    <w:rsid w:val="008B44CF"/>
    <w:rsid w:val="008C35F9"/>
    <w:rsid w:val="008C4CAA"/>
    <w:rsid w:val="008D46AC"/>
    <w:rsid w:val="008E14A4"/>
    <w:rsid w:val="00904709"/>
    <w:rsid w:val="00920175"/>
    <w:rsid w:val="00965173"/>
    <w:rsid w:val="00980565"/>
    <w:rsid w:val="00981A65"/>
    <w:rsid w:val="00984572"/>
    <w:rsid w:val="009873B4"/>
    <w:rsid w:val="00996476"/>
    <w:rsid w:val="009A6CAD"/>
    <w:rsid w:val="009B084A"/>
    <w:rsid w:val="009B3FC6"/>
    <w:rsid w:val="009B639A"/>
    <w:rsid w:val="009B7930"/>
    <w:rsid w:val="009C171D"/>
    <w:rsid w:val="009C7BC9"/>
    <w:rsid w:val="009D5799"/>
    <w:rsid w:val="00A108E9"/>
    <w:rsid w:val="00A14CB9"/>
    <w:rsid w:val="00A2207D"/>
    <w:rsid w:val="00A3656A"/>
    <w:rsid w:val="00A37F6C"/>
    <w:rsid w:val="00A4377C"/>
    <w:rsid w:val="00A4629C"/>
    <w:rsid w:val="00A55A6C"/>
    <w:rsid w:val="00A73B99"/>
    <w:rsid w:val="00A75B4B"/>
    <w:rsid w:val="00A81D78"/>
    <w:rsid w:val="00A82B6C"/>
    <w:rsid w:val="00A91A96"/>
    <w:rsid w:val="00AA71EA"/>
    <w:rsid w:val="00AB2617"/>
    <w:rsid w:val="00AB55B5"/>
    <w:rsid w:val="00AC472B"/>
    <w:rsid w:val="00AC4A59"/>
    <w:rsid w:val="00AC6677"/>
    <w:rsid w:val="00AD27B6"/>
    <w:rsid w:val="00AD2EDA"/>
    <w:rsid w:val="00AE410D"/>
    <w:rsid w:val="00AF3447"/>
    <w:rsid w:val="00AF7F03"/>
    <w:rsid w:val="00B01980"/>
    <w:rsid w:val="00B026F5"/>
    <w:rsid w:val="00B059D7"/>
    <w:rsid w:val="00B06AE4"/>
    <w:rsid w:val="00B14DA8"/>
    <w:rsid w:val="00B17158"/>
    <w:rsid w:val="00B24F12"/>
    <w:rsid w:val="00B3127E"/>
    <w:rsid w:val="00B32B9B"/>
    <w:rsid w:val="00B379B2"/>
    <w:rsid w:val="00B40343"/>
    <w:rsid w:val="00B4584D"/>
    <w:rsid w:val="00B46B34"/>
    <w:rsid w:val="00B47E50"/>
    <w:rsid w:val="00B53C01"/>
    <w:rsid w:val="00B60E53"/>
    <w:rsid w:val="00B6473C"/>
    <w:rsid w:val="00B670B5"/>
    <w:rsid w:val="00B73231"/>
    <w:rsid w:val="00B73CE9"/>
    <w:rsid w:val="00B83AF3"/>
    <w:rsid w:val="00B85BAA"/>
    <w:rsid w:val="00B959FE"/>
    <w:rsid w:val="00B97460"/>
    <w:rsid w:val="00BA6860"/>
    <w:rsid w:val="00BC1E46"/>
    <w:rsid w:val="00BD147A"/>
    <w:rsid w:val="00BE2E1B"/>
    <w:rsid w:val="00BE4059"/>
    <w:rsid w:val="00BE60F2"/>
    <w:rsid w:val="00BF6484"/>
    <w:rsid w:val="00C01554"/>
    <w:rsid w:val="00C02DF5"/>
    <w:rsid w:val="00C11CBA"/>
    <w:rsid w:val="00C14C95"/>
    <w:rsid w:val="00C15F6F"/>
    <w:rsid w:val="00C237C8"/>
    <w:rsid w:val="00C2488B"/>
    <w:rsid w:val="00C26172"/>
    <w:rsid w:val="00C30997"/>
    <w:rsid w:val="00C33C8C"/>
    <w:rsid w:val="00C377DA"/>
    <w:rsid w:val="00C42CA2"/>
    <w:rsid w:val="00C45C9F"/>
    <w:rsid w:val="00C54E6D"/>
    <w:rsid w:val="00C55698"/>
    <w:rsid w:val="00C64D2D"/>
    <w:rsid w:val="00C732A8"/>
    <w:rsid w:val="00C773C5"/>
    <w:rsid w:val="00C82BCA"/>
    <w:rsid w:val="00C91133"/>
    <w:rsid w:val="00CC088C"/>
    <w:rsid w:val="00CD6CE0"/>
    <w:rsid w:val="00CF0B5E"/>
    <w:rsid w:val="00CF57AE"/>
    <w:rsid w:val="00D03B86"/>
    <w:rsid w:val="00D0441F"/>
    <w:rsid w:val="00D15B9A"/>
    <w:rsid w:val="00D16B21"/>
    <w:rsid w:val="00D20492"/>
    <w:rsid w:val="00D30D71"/>
    <w:rsid w:val="00D32BC7"/>
    <w:rsid w:val="00D33ED6"/>
    <w:rsid w:val="00D3514E"/>
    <w:rsid w:val="00D61A06"/>
    <w:rsid w:val="00D7423F"/>
    <w:rsid w:val="00D77C4B"/>
    <w:rsid w:val="00D864BF"/>
    <w:rsid w:val="00D91FD6"/>
    <w:rsid w:val="00D95797"/>
    <w:rsid w:val="00DB0038"/>
    <w:rsid w:val="00DB01C4"/>
    <w:rsid w:val="00DC78F3"/>
    <w:rsid w:val="00DD00BD"/>
    <w:rsid w:val="00DE35E5"/>
    <w:rsid w:val="00DE3A2D"/>
    <w:rsid w:val="00DE49BF"/>
    <w:rsid w:val="00DF2CAC"/>
    <w:rsid w:val="00DF5FEE"/>
    <w:rsid w:val="00E00037"/>
    <w:rsid w:val="00E11063"/>
    <w:rsid w:val="00E17F23"/>
    <w:rsid w:val="00E23D74"/>
    <w:rsid w:val="00E257FF"/>
    <w:rsid w:val="00E40BE0"/>
    <w:rsid w:val="00E53E62"/>
    <w:rsid w:val="00E60E87"/>
    <w:rsid w:val="00E66C63"/>
    <w:rsid w:val="00E716FF"/>
    <w:rsid w:val="00E812DB"/>
    <w:rsid w:val="00E81FF4"/>
    <w:rsid w:val="00E8453C"/>
    <w:rsid w:val="00E977FD"/>
    <w:rsid w:val="00EA390D"/>
    <w:rsid w:val="00EA4AED"/>
    <w:rsid w:val="00EA5FA3"/>
    <w:rsid w:val="00EA7AFA"/>
    <w:rsid w:val="00EC044B"/>
    <w:rsid w:val="00EC06DF"/>
    <w:rsid w:val="00ED48C0"/>
    <w:rsid w:val="00EE1BAD"/>
    <w:rsid w:val="00F06775"/>
    <w:rsid w:val="00F07CE9"/>
    <w:rsid w:val="00F20F9A"/>
    <w:rsid w:val="00F23E8E"/>
    <w:rsid w:val="00F25F8A"/>
    <w:rsid w:val="00F26F31"/>
    <w:rsid w:val="00F34B27"/>
    <w:rsid w:val="00F36F0C"/>
    <w:rsid w:val="00F414DD"/>
    <w:rsid w:val="00F4797D"/>
    <w:rsid w:val="00F5481B"/>
    <w:rsid w:val="00F576EC"/>
    <w:rsid w:val="00F62835"/>
    <w:rsid w:val="00F635FA"/>
    <w:rsid w:val="00F8293B"/>
    <w:rsid w:val="00F833B2"/>
    <w:rsid w:val="00F83B48"/>
    <w:rsid w:val="00F85951"/>
    <w:rsid w:val="00F91C7B"/>
    <w:rsid w:val="00F9396A"/>
    <w:rsid w:val="00FA7DB0"/>
    <w:rsid w:val="00FB0E47"/>
    <w:rsid w:val="00FC334C"/>
    <w:rsid w:val="00FC7BCC"/>
    <w:rsid w:val="00FC7D64"/>
    <w:rsid w:val="00FC7DD5"/>
    <w:rsid w:val="00FD511E"/>
    <w:rsid w:val="00FE0743"/>
    <w:rsid w:val="00FE1B50"/>
    <w:rsid w:val="00FE4C26"/>
    <w:rsid w:val="00FE6879"/>
    <w:rsid w:val="00FE7F70"/>
    <w:rsid w:val="00FF1CEB"/>
    <w:rsid w:val="00FF7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74DD9B5"/>
  <w15:chartTrackingRefBased/>
  <w15:docId w15:val="{D04704CC-6499-4D04-B684-E9B12BFEA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17F"/>
    <w:pPr>
      <w:spacing w:after="0" w:line="240" w:lineRule="auto"/>
    </w:pPr>
    <w:rPr>
      <w:rFonts w:ascii="Times New Roman" w:eastAsia="Times New Roman" w:hAnsi="Times New Roman" w:cs="Times New Roman"/>
      <w:kern w:val="0"/>
      <w:sz w:val="20"/>
      <w:szCs w:val="20"/>
      <w:lang w:eastAsia="es-ES"/>
      <w14:ligatures w14:val="none"/>
    </w:rPr>
  </w:style>
  <w:style w:type="paragraph" w:styleId="Ttulo1">
    <w:name w:val="heading 1"/>
    <w:basedOn w:val="Normal"/>
    <w:next w:val="Normal"/>
    <w:link w:val="Ttulo1Car"/>
    <w:uiPriority w:val="9"/>
    <w:qFormat/>
    <w:rsid w:val="004459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4459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4459C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459C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4459C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4459C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459C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459C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459C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459C8"/>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4459C8"/>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4459C8"/>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459C8"/>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4459C8"/>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4459C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459C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459C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459C8"/>
    <w:rPr>
      <w:rFonts w:eastAsiaTheme="majorEastAsia" w:cstheme="majorBidi"/>
      <w:color w:val="272727" w:themeColor="text1" w:themeTint="D8"/>
    </w:rPr>
  </w:style>
  <w:style w:type="paragraph" w:styleId="Puesto">
    <w:name w:val="Title"/>
    <w:basedOn w:val="Normal"/>
    <w:next w:val="Normal"/>
    <w:link w:val="PuestoCar"/>
    <w:uiPriority w:val="10"/>
    <w:qFormat/>
    <w:rsid w:val="004459C8"/>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459C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459C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459C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459C8"/>
    <w:pPr>
      <w:spacing w:before="160"/>
      <w:jc w:val="center"/>
    </w:pPr>
    <w:rPr>
      <w:i/>
      <w:iCs/>
      <w:color w:val="404040" w:themeColor="text1" w:themeTint="BF"/>
    </w:rPr>
  </w:style>
  <w:style w:type="character" w:customStyle="1" w:styleId="CitaCar">
    <w:name w:val="Cita Car"/>
    <w:basedOn w:val="Fuentedeprrafopredeter"/>
    <w:link w:val="Cita"/>
    <w:uiPriority w:val="29"/>
    <w:rsid w:val="004459C8"/>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459C8"/>
    <w:pPr>
      <w:ind w:left="720"/>
      <w:contextualSpacing/>
    </w:pPr>
  </w:style>
  <w:style w:type="character" w:styleId="nfasisintenso">
    <w:name w:val="Intense Emphasis"/>
    <w:basedOn w:val="Fuentedeprrafopredeter"/>
    <w:uiPriority w:val="21"/>
    <w:qFormat/>
    <w:rsid w:val="004459C8"/>
    <w:rPr>
      <w:i/>
      <w:iCs/>
      <w:color w:val="2F5496" w:themeColor="accent1" w:themeShade="BF"/>
    </w:rPr>
  </w:style>
  <w:style w:type="paragraph" w:styleId="Citadestacada">
    <w:name w:val="Intense Quote"/>
    <w:basedOn w:val="Normal"/>
    <w:next w:val="Normal"/>
    <w:link w:val="CitadestacadaCar"/>
    <w:uiPriority w:val="30"/>
    <w:qFormat/>
    <w:rsid w:val="004459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459C8"/>
    <w:rPr>
      <w:i/>
      <w:iCs/>
      <w:color w:val="2F5496" w:themeColor="accent1" w:themeShade="BF"/>
    </w:rPr>
  </w:style>
  <w:style w:type="character" w:styleId="Referenciaintensa">
    <w:name w:val="Intense Reference"/>
    <w:basedOn w:val="Fuentedeprrafopredeter"/>
    <w:uiPriority w:val="32"/>
    <w:qFormat/>
    <w:rsid w:val="004459C8"/>
    <w:rPr>
      <w:b/>
      <w:bCs/>
      <w:smallCaps/>
      <w:color w:val="2F5496" w:themeColor="accent1" w:themeShade="BF"/>
      <w:spacing w:val="5"/>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459C8"/>
  </w:style>
  <w:style w:type="table" w:styleId="Tablaconcuadrcula">
    <w:name w:val="Table Grid"/>
    <w:basedOn w:val="Tablanormal"/>
    <w:uiPriority w:val="39"/>
    <w:rsid w:val="004459C8"/>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459C8"/>
    <w:pPr>
      <w:tabs>
        <w:tab w:val="center" w:pos="4419"/>
        <w:tab w:val="right" w:pos="8838"/>
      </w:tabs>
    </w:pPr>
  </w:style>
  <w:style w:type="character" w:customStyle="1" w:styleId="EncabezadoCar">
    <w:name w:val="Encabezado Car"/>
    <w:basedOn w:val="Fuentedeprrafopredeter"/>
    <w:link w:val="Encabezado"/>
    <w:uiPriority w:val="99"/>
    <w:rsid w:val="004459C8"/>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4459C8"/>
    <w:pPr>
      <w:tabs>
        <w:tab w:val="center" w:pos="4419"/>
        <w:tab w:val="right" w:pos="8838"/>
      </w:tabs>
    </w:pPr>
  </w:style>
  <w:style w:type="character" w:customStyle="1" w:styleId="PiedepginaCar">
    <w:name w:val="Pie de página Car"/>
    <w:basedOn w:val="Fuentedeprrafopredeter"/>
    <w:link w:val="Piedepgina"/>
    <w:uiPriority w:val="99"/>
    <w:rsid w:val="004459C8"/>
    <w:rPr>
      <w:rFonts w:ascii="Times New Roman" w:eastAsia="Times New Roman" w:hAnsi="Times New Roman" w:cs="Times New Roman"/>
      <w:kern w:val="0"/>
      <w:sz w:val="20"/>
      <w:szCs w:val="20"/>
      <w:lang w:eastAsia="es-ES"/>
      <w14:ligatures w14:val="none"/>
    </w:rPr>
  </w:style>
  <w:style w:type="character" w:styleId="Hipervnculo">
    <w:name w:val="Hyperlink"/>
    <w:aliases w:val="Hipervínculo1,Hipervínculo11,Hipervínculo12,Hipervínculo13,Hipervínculo14,Hipervínculo15"/>
    <w:basedOn w:val="Fuentedeprrafopredeter"/>
    <w:uiPriority w:val="99"/>
    <w:unhideWhenUsed/>
    <w:qFormat/>
    <w:rsid w:val="004459C8"/>
    <w:rPr>
      <w:color w:val="0563C1" w:themeColor="hyperlink"/>
      <w:u w:val="single"/>
    </w:rPr>
  </w:style>
  <w:style w:type="paragraph" w:styleId="TtulodeTDC">
    <w:name w:val="TOC Heading"/>
    <w:basedOn w:val="Ttulo1"/>
    <w:next w:val="Normal"/>
    <w:uiPriority w:val="39"/>
    <w:unhideWhenUsed/>
    <w:qFormat/>
    <w:rsid w:val="004459C8"/>
    <w:pPr>
      <w:spacing w:before="240" w:after="0"/>
      <w:outlineLvl w:val="9"/>
    </w:pPr>
    <w:rPr>
      <w:sz w:val="32"/>
      <w:szCs w:val="32"/>
      <w:lang w:eastAsia="es-MX"/>
    </w:rPr>
  </w:style>
  <w:style w:type="paragraph" w:styleId="TDC2">
    <w:name w:val="toc 2"/>
    <w:basedOn w:val="Normal"/>
    <w:next w:val="Normal"/>
    <w:autoRedefine/>
    <w:uiPriority w:val="39"/>
    <w:unhideWhenUsed/>
    <w:rsid w:val="004459C8"/>
    <w:pPr>
      <w:spacing w:after="100" w:line="259" w:lineRule="auto"/>
      <w:ind w:left="220"/>
    </w:pPr>
    <w:rPr>
      <w:rFonts w:asciiTheme="minorHAnsi" w:eastAsiaTheme="minorEastAsia" w:hAnsiTheme="minorHAnsi"/>
      <w:sz w:val="22"/>
      <w:szCs w:val="22"/>
      <w:lang w:eastAsia="es-MX"/>
    </w:rPr>
  </w:style>
  <w:style w:type="paragraph" w:styleId="TDC1">
    <w:name w:val="toc 1"/>
    <w:basedOn w:val="Normal"/>
    <w:next w:val="Normal"/>
    <w:autoRedefine/>
    <w:uiPriority w:val="39"/>
    <w:unhideWhenUsed/>
    <w:rsid w:val="004459C8"/>
    <w:pPr>
      <w:spacing w:after="100" w:line="259" w:lineRule="auto"/>
    </w:pPr>
    <w:rPr>
      <w:rFonts w:asciiTheme="minorHAnsi" w:eastAsiaTheme="minorEastAsia" w:hAnsiTheme="minorHAnsi"/>
      <w:sz w:val="22"/>
      <w:szCs w:val="22"/>
      <w:lang w:eastAsia="es-MX"/>
    </w:rPr>
  </w:style>
  <w:style w:type="character" w:customStyle="1" w:styleId="Mencinsinresolver1">
    <w:name w:val="Mención sin resolver1"/>
    <w:basedOn w:val="Fuentedeprrafopredeter"/>
    <w:uiPriority w:val="99"/>
    <w:semiHidden/>
    <w:unhideWhenUsed/>
    <w:rsid w:val="00E81FF4"/>
    <w:rPr>
      <w:color w:val="605E5C"/>
      <w:shd w:val="clear" w:color="auto" w:fill="E1DFDD"/>
    </w:rPr>
  </w:style>
  <w:style w:type="paragraph" w:styleId="NormalWeb">
    <w:name w:val="Normal (Web)"/>
    <w:basedOn w:val="Normal"/>
    <w:uiPriority w:val="99"/>
    <w:semiHidden/>
    <w:unhideWhenUsed/>
    <w:rsid w:val="00996476"/>
    <w:pPr>
      <w:spacing w:before="100" w:beforeAutospacing="1" w:after="100" w:afterAutospacing="1"/>
    </w:pPr>
    <w:rPr>
      <w:sz w:val="24"/>
      <w:szCs w:val="24"/>
      <w:lang w:eastAsia="es-MX"/>
    </w:rPr>
  </w:style>
  <w:style w:type="character" w:styleId="Textoennegrita">
    <w:name w:val="Strong"/>
    <w:basedOn w:val="Fuentedeprrafopredeter"/>
    <w:uiPriority w:val="22"/>
    <w:qFormat/>
    <w:rsid w:val="00996476"/>
    <w:rPr>
      <w:b/>
      <w:bCs/>
    </w:rPr>
  </w:style>
  <w:style w:type="paragraph" w:customStyle="1" w:styleId="Default">
    <w:name w:val="Default"/>
    <w:rsid w:val="001F1CC9"/>
    <w:pPr>
      <w:autoSpaceDE w:val="0"/>
      <w:autoSpaceDN w:val="0"/>
      <w:adjustRightInd w:val="0"/>
      <w:spacing w:after="0" w:line="240" w:lineRule="auto"/>
    </w:pPr>
    <w:rPr>
      <w:rFonts w:ascii="Century Gothic" w:hAnsi="Century Gothic" w:cs="Century Gothic"/>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42602">
      <w:bodyDiv w:val="1"/>
      <w:marLeft w:val="0"/>
      <w:marRight w:val="0"/>
      <w:marTop w:val="0"/>
      <w:marBottom w:val="0"/>
      <w:divBdr>
        <w:top w:val="none" w:sz="0" w:space="0" w:color="auto"/>
        <w:left w:val="none" w:sz="0" w:space="0" w:color="auto"/>
        <w:bottom w:val="none" w:sz="0" w:space="0" w:color="auto"/>
        <w:right w:val="none" w:sz="0" w:space="0" w:color="auto"/>
      </w:divBdr>
      <w:divsChild>
        <w:div w:id="1748261762">
          <w:marLeft w:val="0"/>
          <w:marRight w:val="0"/>
          <w:marTop w:val="0"/>
          <w:marBottom w:val="0"/>
          <w:divBdr>
            <w:top w:val="none" w:sz="0" w:space="0" w:color="auto"/>
            <w:left w:val="none" w:sz="0" w:space="0" w:color="auto"/>
            <w:bottom w:val="none" w:sz="0" w:space="0" w:color="auto"/>
            <w:right w:val="none" w:sz="0" w:space="0" w:color="auto"/>
          </w:divBdr>
        </w:div>
      </w:divsChild>
    </w:div>
    <w:div w:id="322851505">
      <w:bodyDiv w:val="1"/>
      <w:marLeft w:val="0"/>
      <w:marRight w:val="0"/>
      <w:marTop w:val="0"/>
      <w:marBottom w:val="0"/>
      <w:divBdr>
        <w:top w:val="none" w:sz="0" w:space="0" w:color="auto"/>
        <w:left w:val="none" w:sz="0" w:space="0" w:color="auto"/>
        <w:bottom w:val="none" w:sz="0" w:space="0" w:color="auto"/>
        <w:right w:val="none" w:sz="0" w:space="0" w:color="auto"/>
      </w:divBdr>
      <w:divsChild>
        <w:div w:id="2018726159">
          <w:marLeft w:val="0"/>
          <w:marRight w:val="0"/>
          <w:marTop w:val="0"/>
          <w:marBottom w:val="0"/>
          <w:divBdr>
            <w:top w:val="none" w:sz="0" w:space="0" w:color="auto"/>
            <w:left w:val="none" w:sz="0" w:space="0" w:color="auto"/>
            <w:bottom w:val="none" w:sz="0" w:space="0" w:color="auto"/>
            <w:right w:val="none" w:sz="0" w:space="0" w:color="auto"/>
          </w:divBdr>
        </w:div>
      </w:divsChild>
    </w:div>
    <w:div w:id="439684676">
      <w:bodyDiv w:val="1"/>
      <w:marLeft w:val="0"/>
      <w:marRight w:val="0"/>
      <w:marTop w:val="0"/>
      <w:marBottom w:val="0"/>
      <w:divBdr>
        <w:top w:val="none" w:sz="0" w:space="0" w:color="auto"/>
        <w:left w:val="none" w:sz="0" w:space="0" w:color="auto"/>
        <w:bottom w:val="none" w:sz="0" w:space="0" w:color="auto"/>
        <w:right w:val="none" w:sz="0" w:space="0" w:color="auto"/>
      </w:divBdr>
    </w:div>
    <w:div w:id="451289487">
      <w:bodyDiv w:val="1"/>
      <w:marLeft w:val="0"/>
      <w:marRight w:val="0"/>
      <w:marTop w:val="0"/>
      <w:marBottom w:val="0"/>
      <w:divBdr>
        <w:top w:val="none" w:sz="0" w:space="0" w:color="auto"/>
        <w:left w:val="none" w:sz="0" w:space="0" w:color="auto"/>
        <w:bottom w:val="none" w:sz="0" w:space="0" w:color="auto"/>
        <w:right w:val="none" w:sz="0" w:space="0" w:color="auto"/>
      </w:divBdr>
    </w:div>
    <w:div w:id="804616681">
      <w:bodyDiv w:val="1"/>
      <w:marLeft w:val="0"/>
      <w:marRight w:val="0"/>
      <w:marTop w:val="0"/>
      <w:marBottom w:val="0"/>
      <w:divBdr>
        <w:top w:val="none" w:sz="0" w:space="0" w:color="auto"/>
        <w:left w:val="none" w:sz="0" w:space="0" w:color="auto"/>
        <w:bottom w:val="none" w:sz="0" w:space="0" w:color="auto"/>
        <w:right w:val="none" w:sz="0" w:space="0" w:color="auto"/>
      </w:divBdr>
      <w:divsChild>
        <w:div w:id="1057514121">
          <w:marLeft w:val="0"/>
          <w:marRight w:val="0"/>
          <w:marTop w:val="0"/>
          <w:marBottom w:val="0"/>
          <w:divBdr>
            <w:top w:val="none" w:sz="0" w:space="0" w:color="auto"/>
            <w:left w:val="none" w:sz="0" w:space="0" w:color="auto"/>
            <w:bottom w:val="none" w:sz="0" w:space="0" w:color="auto"/>
            <w:right w:val="none" w:sz="0" w:space="0" w:color="auto"/>
          </w:divBdr>
        </w:div>
      </w:divsChild>
    </w:div>
    <w:div w:id="808324126">
      <w:bodyDiv w:val="1"/>
      <w:marLeft w:val="0"/>
      <w:marRight w:val="0"/>
      <w:marTop w:val="0"/>
      <w:marBottom w:val="0"/>
      <w:divBdr>
        <w:top w:val="none" w:sz="0" w:space="0" w:color="auto"/>
        <w:left w:val="none" w:sz="0" w:space="0" w:color="auto"/>
        <w:bottom w:val="none" w:sz="0" w:space="0" w:color="auto"/>
        <w:right w:val="none" w:sz="0" w:space="0" w:color="auto"/>
      </w:divBdr>
    </w:div>
    <w:div w:id="993144313">
      <w:bodyDiv w:val="1"/>
      <w:marLeft w:val="0"/>
      <w:marRight w:val="0"/>
      <w:marTop w:val="0"/>
      <w:marBottom w:val="0"/>
      <w:divBdr>
        <w:top w:val="none" w:sz="0" w:space="0" w:color="auto"/>
        <w:left w:val="none" w:sz="0" w:space="0" w:color="auto"/>
        <w:bottom w:val="none" w:sz="0" w:space="0" w:color="auto"/>
        <w:right w:val="none" w:sz="0" w:space="0" w:color="auto"/>
      </w:divBdr>
    </w:div>
    <w:div w:id="128581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sultas.curp.gob.mx/CurpSP/html/informacionecurpPS.html" TargetMode="External"/><Relationship Id="rId18" Type="http://schemas.openxmlformats.org/officeDocument/2006/relationships/hyperlink" Target="https://legislacion.edomex.gob.mx/sites/legislacion.edomex.gob.mx/files/files/pdf/gct/2014/nov144.PD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secogem.gob.mx/constancias/" TargetMode="External"/><Relationship Id="rId7" Type="http://schemas.openxmlformats.org/officeDocument/2006/relationships/endnotes" Target="endnotes.xml"/><Relationship Id="rId12" Type="http://schemas.openxmlformats.org/officeDocument/2006/relationships/hyperlink" Target="https://www.sat.gob.mx/aplicacion/28889/obten-tu-cedula-de-identificacion-fiscal" TargetMode="External"/><Relationship Id="rId17" Type="http://schemas.openxmlformats.org/officeDocument/2006/relationships/hyperlink" Target="https://www.diputados.gob.mx/LeyesBiblio/pdf/LGDNNA.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consultatucedula.mx/"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unionedomex.mx/2023/03/24/busqueda-de-deudores-alimentarios-morosos-estado-de-mexico-2023/" TargetMode="External"/><Relationship Id="rId4" Type="http://schemas.openxmlformats.org/officeDocument/2006/relationships/settings" Target="settings.xml"/><Relationship Id="rId9" Type="http://schemas.openxmlformats.org/officeDocument/2006/relationships/hyperlink" Target="http://dof.gob.mx/nota_detalle.php?codigo=5492254&amp;fecha=28/07/2017" TargetMode="External"/><Relationship Id="rId14" Type="http://schemas.openxmlformats.org/officeDocument/2006/relationships/hyperlink" Target="https://www.gob.mx/segob/renapo/acciones-y-programas/clave-unica-de-registro-de-poblacion-curp-142226" TargetMode="External"/><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9DA3C-D946-4960-9C09-0F2894500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14954</Words>
  <Characters>82251</Characters>
  <Application>Microsoft Office Word</Application>
  <DocSecurity>0</DocSecurity>
  <Lines>685</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USUARIO</cp:lastModifiedBy>
  <cp:revision>3</cp:revision>
  <cp:lastPrinted>2026-04-10T16:38:00Z</cp:lastPrinted>
  <dcterms:created xsi:type="dcterms:W3CDTF">2026-04-10T16:38:00Z</dcterms:created>
  <dcterms:modified xsi:type="dcterms:W3CDTF">2026-04-10T16:39:00Z</dcterms:modified>
</cp:coreProperties>
</file>