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F3B" w:rsidRPr="00606199" w:rsidRDefault="00B50F3B" w:rsidP="00B50F3B">
      <w:pPr>
        <w:spacing w:line="360" w:lineRule="auto"/>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600687" w:rsidRPr="00606199">
        <w:rPr>
          <w:rFonts w:ascii="Palatino Linotype" w:eastAsia="Palatino Linotype" w:hAnsi="Palatino Linotype" w:cs="Palatino Linotype"/>
          <w:b/>
        </w:rPr>
        <w:t>quince</w:t>
      </w:r>
      <w:r w:rsidR="00606199">
        <w:rPr>
          <w:rFonts w:ascii="Palatino Linotype" w:eastAsia="Palatino Linotype" w:hAnsi="Palatino Linotype" w:cs="Palatino Linotype"/>
          <w:b/>
        </w:rPr>
        <w:t xml:space="preserve"> (15)</w:t>
      </w:r>
      <w:r w:rsidR="00600687" w:rsidRPr="00606199">
        <w:rPr>
          <w:rFonts w:ascii="Palatino Linotype" w:eastAsia="Palatino Linotype" w:hAnsi="Palatino Linotype" w:cs="Palatino Linotype"/>
          <w:b/>
        </w:rPr>
        <w:t xml:space="preserve"> de abril de dos mil veintiséis</w:t>
      </w:r>
      <w:r w:rsidR="00220494" w:rsidRPr="00606199">
        <w:rPr>
          <w:rFonts w:ascii="Palatino Linotype" w:eastAsia="Palatino Linotype" w:hAnsi="Palatino Linotype" w:cs="Palatino Linotype"/>
        </w:rPr>
        <w:t xml:space="preserve">. </w:t>
      </w:r>
    </w:p>
    <w:p w:rsidR="00B50F3B" w:rsidRPr="00606199" w:rsidRDefault="00B50F3B" w:rsidP="00B50F3B">
      <w:pPr>
        <w:spacing w:line="360" w:lineRule="auto"/>
        <w:jc w:val="both"/>
        <w:rPr>
          <w:rFonts w:ascii="Palatino Linotype" w:eastAsia="Palatino Linotype" w:hAnsi="Palatino Linotype" w:cs="Palatino Linotype"/>
          <w:b/>
        </w:rPr>
      </w:pPr>
    </w:p>
    <w:p w:rsidR="00B50F3B" w:rsidRPr="00606199" w:rsidRDefault="00B50F3B" w:rsidP="00B50F3B">
      <w:pPr>
        <w:spacing w:line="360" w:lineRule="auto"/>
        <w:jc w:val="both"/>
        <w:rPr>
          <w:rFonts w:ascii="Palatino Linotype" w:eastAsia="Palatino Linotype" w:hAnsi="Palatino Linotype" w:cs="Palatino Linotype"/>
        </w:rPr>
      </w:pPr>
      <w:r w:rsidRPr="00606199">
        <w:rPr>
          <w:rFonts w:ascii="Palatino Linotype" w:eastAsia="Palatino Linotype" w:hAnsi="Palatino Linotype" w:cs="Palatino Linotype"/>
          <w:b/>
        </w:rPr>
        <w:t>VISTOS</w:t>
      </w:r>
      <w:r w:rsidRPr="00606199">
        <w:rPr>
          <w:rFonts w:ascii="Palatino Linotype" w:eastAsia="Palatino Linotype" w:hAnsi="Palatino Linotype" w:cs="Palatino Linotype"/>
        </w:rPr>
        <w:t xml:space="preserve"> los expedientes electrónicos formados con motivo de los Recursos de Revisión </w:t>
      </w:r>
      <w:r w:rsidR="000B69B7" w:rsidRPr="00606199">
        <w:rPr>
          <w:rFonts w:ascii="Palatino Linotype" w:eastAsia="Palatino Linotype" w:hAnsi="Palatino Linotype" w:cs="Palatino Linotype"/>
          <w:b/>
        </w:rPr>
        <w:t xml:space="preserve">02953/INFOEM/IP/RR/2026  y 02954/INFOEM/IP/RR/2026 </w:t>
      </w:r>
      <w:r w:rsidRPr="00606199">
        <w:rPr>
          <w:rFonts w:ascii="Palatino Linotype" w:eastAsia="Palatino Linotype" w:hAnsi="Palatino Linotype" w:cs="Palatino Linotype"/>
        </w:rPr>
        <w:t>acumulados, promovidos por  </w:t>
      </w:r>
      <w:r w:rsidR="00B1161A">
        <w:rPr>
          <w:rFonts w:ascii="Palatino Linotype" w:eastAsia="Palatino Linotype" w:hAnsi="Palatino Linotype" w:cs="Palatino Linotype"/>
          <w:b/>
          <w:bCs/>
          <w:color w:val="000000"/>
        </w:rPr>
        <w:t>XXXX</w:t>
      </w:r>
      <w:r w:rsidRPr="00606199">
        <w:rPr>
          <w:rFonts w:ascii="Palatino Linotype" w:eastAsia="Palatino Linotype" w:hAnsi="Palatino Linotype" w:cs="Palatino Linotype"/>
        </w:rPr>
        <w:t xml:space="preserve">, a través del Sistema de Acceso a la Información Mexiquense (SAIMEX), a quien en lo sucesivo se le identificará como </w:t>
      </w:r>
      <w:r w:rsidRPr="00606199">
        <w:rPr>
          <w:rFonts w:ascii="Palatino Linotype" w:eastAsia="Palatino Linotype" w:hAnsi="Palatino Linotype" w:cs="Palatino Linotype"/>
          <w:b/>
        </w:rPr>
        <w:t>EL RECURRENTE</w:t>
      </w:r>
      <w:r w:rsidRPr="00606199">
        <w:rPr>
          <w:rFonts w:ascii="Palatino Linotype" w:eastAsia="Palatino Linotype" w:hAnsi="Palatino Linotype" w:cs="Palatino Linotype"/>
        </w:rPr>
        <w:t xml:space="preserve">, en contra de las respuestas del </w:t>
      </w:r>
      <w:r w:rsidRPr="00606199">
        <w:rPr>
          <w:rFonts w:ascii="Palatino Linotype" w:eastAsia="Palatino Linotype" w:hAnsi="Palatino Linotype" w:cs="Palatino Linotype"/>
          <w:b/>
        </w:rPr>
        <w:t xml:space="preserve">Ayuntamiento de </w:t>
      </w:r>
      <w:r w:rsidR="00600687" w:rsidRPr="00606199">
        <w:rPr>
          <w:rFonts w:ascii="Palatino Linotype" w:eastAsia="Palatino Linotype" w:hAnsi="Palatino Linotype" w:cs="Palatino Linotype"/>
          <w:b/>
          <w:color w:val="000000"/>
        </w:rPr>
        <w:t>Tepetlixpa</w:t>
      </w:r>
      <w:r w:rsidRPr="00606199">
        <w:rPr>
          <w:rFonts w:ascii="Palatino Linotype" w:eastAsia="Palatino Linotype" w:hAnsi="Palatino Linotype" w:cs="Palatino Linotype"/>
        </w:rPr>
        <w:t xml:space="preserve">, en adelante </w:t>
      </w:r>
      <w:r w:rsidRPr="00606199">
        <w:rPr>
          <w:rFonts w:ascii="Palatino Linotype" w:eastAsia="Palatino Linotype" w:hAnsi="Palatino Linotype" w:cs="Palatino Linotype"/>
          <w:b/>
        </w:rPr>
        <w:t>EL SUJETO OBLIGADO</w:t>
      </w:r>
      <w:r w:rsidRPr="00606199">
        <w:rPr>
          <w:rFonts w:ascii="Palatino Linotype" w:eastAsia="Palatino Linotype" w:hAnsi="Palatino Linotype" w:cs="Palatino Linotype"/>
        </w:rPr>
        <w:t>, se procede a dictar la presente resolución, con base en los siguientes:</w:t>
      </w:r>
    </w:p>
    <w:p w:rsidR="00B50F3B" w:rsidRPr="00606199" w:rsidRDefault="00B50F3B" w:rsidP="00B50F3B">
      <w:pPr>
        <w:spacing w:line="360" w:lineRule="auto"/>
        <w:jc w:val="both"/>
        <w:rPr>
          <w:rFonts w:ascii="Palatino Linotype" w:eastAsia="Palatino Linotype" w:hAnsi="Palatino Linotype" w:cs="Palatino Linotype"/>
        </w:rPr>
      </w:pPr>
    </w:p>
    <w:p w:rsidR="00B50F3B" w:rsidRPr="00606199" w:rsidRDefault="00B50F3B" w:rsidP="00B50F3B">
      <w:pPr>
        <w:spacing w:line="360" w:lineRule="auto"/>
        <w:jc w:val="center"/>
        <w:rPr>
          <w:rFonts w:ascii="Palatino Linotype" w:eastAsia="Palatino Linotype" w:hAnsi="Palatino Linotype" w:cs="Palatino Linotype"/>
          <w:b/>
        </w:rPr>
      </w:pPr>
      <w:r w:rsidRPr="00606199">
        <w:rPr>
          <w:rFonts w:ascii="Palatino Linotype" w:eastAsia="Palatino Linotype" w:hAnsi="Palatino Linotype" w:cs="Palatino Linotype"/>
          <w:b/>
        </w:rPr>
        <w:t>A N T E C E D E N T E S</w:t>
      </w:r>
    </w:p>
    <w:p w:rsidR="00B50F3B" w:rsidRPr="00606199" w:rsidRDefault="00B50F3B" w:rsidP="00B50F3B">
      <w:pPr>
        <w:spacing w:line="360" w:lineRule="auto"/>
        <w:rPr>
          <w:rFonts w:ascii="Palatino Linotype" w:eastAsia="Palatino Linotype" w:hAnsi="Palatino Linotype" w:cs="Palatino Linotype"/>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El día </w:t>
      </w:r>
      <w:r w:rsidR="000B69B7" w:rsidRPr="00606199">
        <w:rPr>
          <w:rFonts w:ascii="Palatino Linotype" w:eastAsia="Palatino Linotype" w:hAnsi="Palatino Linotype" w:cs="Palatino Linotype"/>
          <w:b/>
        </w:rPr>
        <w:t>ocho y nueve de febrero de dos mil veintiséis</w:t>
      </w:r>
      <w:r w:rsidRPr="00606199">
        <w:rPr>
          <w:rFonts w:ascii="Palatino Linotype" w:eastAsia="Palatino Linotype" w:hAnsi="Palatino Linotype" w:cs="Palatino Linotype"/>
          <w:b/>
        </w:rPr>
        <w:t xml:space="preserve">, </w:t>
      </w:r>
      <w:r w:rsidRPr="00606199">
        <w:rPr>
          <w:rFonts w:ascii="Palatino Linotype" w:eastAsia="Palatino Linotype" w:hAnsi="Palatino Linotype" w:cs="Palatino Linotype"/>
        </w:rPr>
        <w:t xml:space="preserve">se presentó ante el </w:t>
      </w:r>
      <w:r w:rsidRPr="00606199">
        <w:rPr>
          <w:rFonts w:ascii="Palatino Linotype" w:eastAsia="Palatino Linotype" w:hAnsi="Palatino Linotype" w:cs="Palatino Linotype"/>
          <w:b/>
        </w:rPr>
        <w:t>SUJETO OBLIGADO</w:t>
      </w:r>
      <w:r w:rsidRPr="00606199">
        <w:rPr>
          <w:rFonts w:ascii="Palatino Linotype" w:eastAsia="Palatino Linotype" w:hAnsi="Palatino Linotype" w:cs="Palatino Linotype"/>
        </w:rPr>
        <w:t xml:space="preserve"> vía </w:t>
      </w:r>
      <w:r w:rsidRPr="00606199">
        <w:rPr>
          <w:rFonts w:ascii="Palatino Linotype" w:eastAsia="Palatino Linotype" w:hAnsi="Palatino Linotype" w:cs="Palatino Linotype"/>
          <w:b/>
        </w:rPr>
        <w:t>SAIMEX</w:t>
      </w:r>
      <w:r w:rsidRPr="00606199">
        <w:rPr>
          <w:rFonts w:ascii="Palatino Linotype" w:eastAsia="Palatino Linotype" w:hAnsi="Palatino Linotype" w:cs="Palatino Linotype"/>
        </w:rPr>
        <w:t>, las solicitudes de información pública registradas con los números</w:t>
      </w:r>
      <w:r w:rsidRPr="00606199">
        <w:rPr>
          <w:rFonts w:ascii="Palatino Linotype" w:eastAsia="Palatino Linotype" w:hAnsi="Palatino Linotype" w:cs="Palatino Linotype"/>
          <w:b/>
          <w:color w:val="000000"/>
        </w:rPr>
        <w:t xml:space="preserve"> </w:t>
      </w:r>
      <w:r w:rsidRPr="00606199">
        <w:rPr>
          <w:rFonts w:ascii="Palatino Linotype" w:eastAsia="Palatino Linotype" w:hAnsi="Palatino Linotype" w:cs="Palatino Linotype"/>
          <w:b/>
        </w:rPr>
        <w:t xml:space="preserve"> </w:t>
      </w:r>
      <w:r w:rsidR="000B69B7" w:rsidRPr="00606199">
        <w:rPr>
          <w:rFonts w:ascii="Palatino Linotype" w:eastAsia="Palatino Linotype" w:hAnsi="Palatino Linotype" w:cs="Palatino Linotype"/>
          <w:b/>
        </w:rPr>
        <w:t>00025/TEPETLIX/IP/2026 y  00026/TEPETLIX/IP/2026</w:t>
      </w:r>
      <w:r w:rsidRPr="00606199">
        <w:rPr>
          <w:rFonts w:ascii="Palatino Linotype" w:eastAsia="Palatino Linotype" w:hAnsi="Palatino Linotype" w:cs="Palatino Linotype"/>
          <w:color w:val="000000"/>
        </w:rPr>
        <w:t xml:space="preserve">, </w:t>
      </w:r>
      <w:r w:rsidRPr="00606199">
        <w:rPr>
          <w:rFonts w:ascii="Palatino Linotype" w:eastAsia="Palatino Linotype" w:hAnsi="Palatino Linotype" w:cs="Palatino Linotype"/>
        </w:rPr>
        <w:t>las solicitudes de información consistieron en obtener lo siguiente:</w:t>
      </w:r>
    </w:p>
    <w:p w:rsidR="00B50F3B" w:rsidRPr="00606199" w:rsidRDefault="00B50F3B" w:rsidP="00B50F3B">
      <w:pPr>
        <w:spacing w:line="360" w:lineRule="auto"/>
        <w:jc w:val="both"/>
        <w:rPr>
          <w:rFonts w:ascii="Palatino Linotype" w:eastAsia="Palatino Linotype" w:hAnsi="Palatino Linotype" w:cs="Palatino Linotype"/>
        </w:rPr>
      </w:pPr>
    </w:p>
    <w:tbl>
      <w:tblPr>
        <w:tblStyle w:val="Tablaconcuadrcula"/>
        <w:tblW w:w="9918" w:type="dxa"/>
        <w:tblLook w:val="04A0" w:firstRow="1" w:lastRow="0" w:firstColumn="1" w:lastColumn="0" w:noHBand="0" w:noVBand="1"/>
      </w:tblPr>
      <w:tblGrid>
        <w:gridCol w:w="3837"/>
        <w:gridCol w:w="6081"/>
      </w:tblGrid>
      <w:tr w:rsidR="00B50F3B" w:rsidRPr="00606199" w:rsidTr="00606199">
        <w:tc>
          <w:tcPr>
            <w:tcW w:w="3837" w:type="dxa"/>
          </w:tcPr>
          <w:p w:rsidR="00B50F3B" w:rsidRPr="00606199" w:rsidRDefault="00B50F3B" w:rsidP="00C10D48">
            <w:pPr>
              <w:jc w:val="both"/>
              <w:rPr>
                <w:rFonts w:ascii="Palatino Linotype" w:eastAsia="Palatino Linotype" w:hAnsi="Palatino Linotype" w:cs="Palatino Linotype"/>
                <w:i/>
              </w:rPr>
            </w:pPr>
            <w:r w:rsidRPr="00606199">
              <w:rPr>
                <w:rFonts w:ascii="Palatino Linotype" w:eastAsia="Palatino Linotype" w:hAnsi="Palatino Linotype" w:cs="Palatino Linotype"/>
                <w:i/>
              </w:rPr>
              <w:t xml:space="preserve">Solicitud de información </w:t>
            </w:r>
          </w:p>
        </w:tc>
        <w:tc>
          <w:tcPr>
            <w:tcW w:w="6081" w:type="dxa"/>
          </w:tcPr>
          <w:p w:rsidR="00B50F3B" w:rsidRPr="00606199" w:rsidRDefault="00B50F3B" w:rsidP="00C10D48">
            <w:pPr>
              <w:jc w:val="both"/>
              <w:rPr>
                <w:rFonts w:ascii="Palatino Linotype" w:eastAsia="Palatino Linotype" w:hAnsi="Palatino Linotype" w:cs="Palatino Linotype"/>
                <w:i/>
              </w:rPr>
            </w:pPr>
            <w:r w:rsidRPr="00606199">
              <w:rPr>
                <w:rFonts w:ascii="Palatino Linotype" w:eastAsia="Palatino Linotype" w:hAnsi="Palatino Linotype" w:cs="Palatino Linotype"/>
                <w:i/>
              </w:rPr>
              <w:t xml:space="preserve">Información solicitada </w:t>
            </w:r>
          </w:p>
        </w:tc>
      </w:tr>
      <w:tr w:rsidR="00B50F3B" w:rsidRPr="00606199" w:rsidTr="00606199">
        <w:tc>
          <w:tcPr>
            <w:tcW w:w="3837" w:type="dxa"/>
          </w:tcPr>
          <w:p w:rsidR="00B50F3B" w:rsidRPr="00606199" w:rsidRDefault="00B50F3B" w:rsidP="00C10D48">
            <w:pPr>
              <w:ind w:right="900"/>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 xml:space="preserve">Solicitud  </w:t>
            </w:r>
            <w:r w:rsidR="008524A6" w:rsidRPr="00606199">
              <w:rPr>
                <w:rFonts w:ascii="Palatino Linotype" w:eastAsia="Palatino Linotype" w:hAnsi="Palatino Linotype" w:cs="Palatino Linotype"/>
                <w:b/>
                <w:i/>
              </w:rPr>
              <w:t xml:space="preserve">00025/TEPETLIX/IP/2026 </w:t>
            </w:r>
          </w:p>
          <w:p w:rsidR="00B50F3B" w:rsidRPr="00606199" w:rsidRDefault="00B50F3B" w:rsidP="00C10D48">
            <w:pPr>
              <w:jc w:val="both"/>
              <w:rPr>
                <w:rFonts w:ascii="Palatino Linotype" w:eastAsia="Palatino Linotype" w:hAnsi="Palatino Linotype" w:cs="Palatino Linotype"/>
                <w:i/>
              </w:rPr>
            </w:pPr>
          </w:p>
        </w:tc>
        <w:tc>
          <w:tcPr>
            <w:tcW w:w="6081" w:type="dxa"/>
          </w:tcPr>
          <w:p w:rsidR="00B50F3B" w:rsidRPr="00606199" w:rsidRDefault="00B50F3B" w:rsidP="00C10D48">
            <w:pPr>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r w:rsidR="008524A6" w:rsidRPr="00606199">
              <w:rPr>
                <w:rFonts w:ascii="Palatino Linotype" w:eastAsia="Palatino Linotype" w:hAnsi="Palatino Linotype" w:cs="Palatino Linotype"/>
                <w:i/>
              </w:rPr>
              <w:t xml:space="preserve">Por medio de la presente solicito atentamente a la Administración Pública Municipal de Tepetlixpa 2025–2027 la siguiente información correspondiente al ejercicio fiscal 2025, misma que deberá entregarse en formato digital, clara y legible, a través de la plataforma SAIMEX: </w:t>
            </w:r>
            <w:r w:rsidR="008524A6" w:rsidRPr="00606199">
              <w:rPr>
                <w:rFonts w:ascii="Times New Roman" w:eastAsia="Palatino Linotype" w:hAnsi="Times New Roman" w:cs="Times New Roman"/>
                <w:i/>
              </w:rPr>
              <w:t>⸻</w:t>
            </w:r>
            <w:r w:rsidR="008524A6" w:rsidRPr="00606199">
              <w:rPr>
                <w:rFonts w:ascii="Palatino Linotype" w:eastAsia="Palatino Linotype" w:hAnsi="Palatino Linotype" w:cs="Palatino Linotype"/>
                <w:i/>
              </w:rPr>
              <w:t xml:space="preserve"> 1) La información correspondiente a la última nómina pagada del mes de diciembre por el Ayuntamiento de Tepetlixpa, que incluya al Presidente Municipal, Síndico, Regidores, </w:t>
            </w:r>
            <w:r w:rsidR="008524A6" w:rsidRPr="00606199">
              <w:rPr>
                <w:rFonts w:ascii="Palatino Linotype" w:eastAsia="Palatino Linotype" w:hAnsi="Palatino Linotype" w:cs="Palatino Linotype"/>
                <w:i/>
              </w:rPr>
              <w:lastRenderedPageBreak/>
              <w:t xml:space="preserve">Directores, Coordinadores y Auxiliares, es decir, la totalidad de la nómina pagada, con excepción del personal adscrito a Seguridad Pública y Protección Civil, indicando la fecha exacta en que fue realizado cada pago. </w:t>
            </w:r>
            <w:r w:rsidR="008524A6" w:rsidRPr="00606199">
              <w:rPr>
                <w:rFonts w:ascii="Times New Roman" w:eastAsia="Palatino Linotype" w:hAnsi="Times New Roman" w:cs="Times New Roman"/>
                <w:i/>
              </w:rPr>
              <w:t>⸻</w:t>
            </w:r>
            <w:r w:rsidR="008524A6" w:rsidRPr="00606199">
              <w:rPr>
                <w:rFonts w:ascii="Palatino Linotype" w:eastAsia="Palatino Linotype" w:hAnsi="Palatino Linotype" w:cs="Palatino Linotype"/>
                <w:i/>
              </w:rPr>
              <w:t xml:space="preserve"> 2) La información relativa a los pagos netos realizados a servidores públicos, desglosados por separado en los siguientes conceptos: aguinaldo, prima vacacional, bonos, estímulos, compensaciones o cualquier otro pago extraordinario adicional al salario, indicando el concepto por el cual fue otorgado y la fecha en que se efectuó cada pago. </w:t>
            </w:r>
            <w:r w:rsidR="008524A6" w:rsidRPr="00606199">
              <w:rPr>
                <w:rFonts w:ascii="Times New Roman" w:eastAsia="Palatino Linotype" w:hAnsi="Times New Roman" w:cs="Times New Roman"/>
                <w:i/>
              </w:rPr>
              <w:t>⸻</w:t>
            </w:r>
            <w:r w:rsidR="008524A6" w:rsidRPr="00606199">
              <w:rPr>
                <w:rFonts w:ascii="Palatino Linotype" w:eastAsia="Palatino Linotype" w:hAnsi="Palatino Linotype" w:cs="Palatino Linotype"/>
                <w:i/>
              </w:rPr>
              <w:t xml:space="preserve"> 3) En caso de que no se encuentre comprendido en la información anterior, se informe el origen, fundamento, autorización y justificación administrativa y presupuestal del pago de una quincena adicional otorgada a determinados servidores públicos durante el mes de diciembre de 2025, distinta a las dos quincenas ordinarias, precisando a los servidores públicos beneficiados, particularmente la Tesorera Municipal, el Jefe de Adquisiciones, el Secretario Particular, el Chofer y, en su caso, si el propio Presidente Municipal se otorgó dicho beneficio, precisando que la presente solicitud deriva de manifestaciones expresas realizadas por los propios servidores públicos respecto de la recepción de dicho pago. </w:t>
            </w:r>
            <w:r w:rsidR="008524A6" w:rsidRPr="00606199">
              <w:rPr>
                <w:rFonts w:ascii="Times New Roman" w:eastAsia="Palatino Linotype" w:hAnsi="Times New Roman" w:cs="Times New Roman"/>
                <w:i/>
              </w:rPr>
              <w:t>⸻</w:t>
            </w:r>
            <w:r w:rsidR="008524A6" w:rsidRPr="00606199">
              <w:rPr>
                <w:rFonts w:ascii="Palatino Linotype" w:eastAsia="Palatino Linotype" w:hAnsi="Palatino Linotype" w:cs="Palatino Linotype"/>
                <w:i/>
              </w:rPr>
              <w:t xml:space="preserve"> La información solicitada deberá contener únicamente: nombre del servidor público, cargo o puesto, remuneración neta pagada por cada concepto y fecha de pago. No se solicitan datos personales sensibles, únicamente información de carácter público. Solicito que toda la información sea entregada en formato digital, a través de la plataforma SAIMEX, sin reproducción física. Agradezco la atención brindada a la presente.</w:t>
            </w:r>
            <w:r w:rsidRPr="00606199">
              <w:rPr>
                <w:rFonts w:ascii="Palatino Linotype" w:eastAsia="Palatino Linotype" w:hAnsi="Palatino Linotype" w:cs="Palatino Linotype"/>
                <w:i/>
              </w:rPr>
              <w:t>”</w:t>
            </w:r>
          </w:p>
        </w:tc>
      </w:tr>
      <w:tr w:rsidR="00B50F3B" w:rsidRPr="00606199" w:rsidTr="00606199">
        <w:tc>
          <w:tcPr>
            <w:tcW w:w="3837" w:type="dxa"/>
          </w:tcPr>
          <w:p w:rsidR="00B50F3B" w:rsidRPr="00606199" w:rsidRDefault="00B50F3B" w:rsidP="00C10D48">
            <w:pPr>
              <w:ind w:right="900"/>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lastRenderedPageBreak/>
              <w:t xml:space="preserve">Solicitud </w:t>
            </w:r>
            <w:r w:rsidR="008524A6" w:rsidRPr="00606199">
              <w:rPr>
                <w:rFonts w:ascii="Palatino Linotype" w:eastAsia="Palatino Linotype" w:hAnsi="Palatino Linotype" w:cs="Palatino Linotype"/>
                <w:b/>
                <w:i/>
              </w:rPr>
              <w:t>00026/TEPETLIX/IP/2026</w:t>
            </w:r>
          </w:p>
          <w:p w:rsidR="00B50F3B" w:rsidRPr="00606199" w:rsidRDefault="00B50F3B" w:rsidP="00C10D48">
            <w:pPr>
              <w:jc w:val="both"/>
              <w:rPr>
                <w:rFonts w:ascii="Palatino Linotype" w:eastAsia="Palatino Linotype" w:hAnsi="Palatino Linotype" w:cs="Palatino Linotype"/>
                <w:i/>
              </w:rPr>
            </w:pPr>
          </w:p>
        </w:tc>
        <w:tc>
          <w:tcPr>
            <w:tcW w:w="6081" w:type="dxa"/>
          </w:tcPr>
          <w:p w:rsidR="00B50F3B" w:rsidRPr="00606199" w:rsidRDefault="00B50F3B" w:rsidP="00C10D48">
            <w:pPr>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r w:rsidR="008524A6" w:rsidRPr="00606199">
              <w:rPr>
                <w:rFonts w:ascii="Palatino Linotype" w:eastAsia="Palatino Linotype" w:hAnsi="Palatino Linotype" w:cs="Palatino Linotype"/>
                <w:i/>
              </w:rPr>
              <w:t>Solicito la relación de la primera quincena pagada del 2026 de la nomina de todo el ayuntamiento, direcciones, coordinaciones, secretarias, auxiliarees, todos los pagos realizados a servidores públicos por concepto de la primer quincena de enero, a excepción de seguridad pública y proteccion civil, solicito nombre, cargo, remuneracion neta</w:t>
            </w:r>
            <w:r w:rsidRPr="00606199">
              <w:rPr>
                <w:rFonts w:ascii="Palatino Linotype" w:eastAsia="Palatino Linotype" w:hAnsi="Palatino Linotype" w:cs="Palatino Linotype"/>
                <w:i/>
              </w:rPr>
              <w:t>.”</w:t>
            </w:r>
          </w:p>
        </w:tc>
      </w:tr>
    </w:tbl>
    <w:p w:rsidR="00B50F3B" w:rsidRPr="00606199" w:rsidRDefault="00B50F3B" w:rsidP="00B50F3B">
      <w:pPr>
        <w:numPr>
          <w:ilvl w:val="0"/>
          <w:numId w:val="7"/>
        </w:numPr>
        <w:spacing w:line="360" w:lineRule="auto"/>
        <w:ind w:left="709" w:right="474"/>
        <w:jc w:val="both"/>
        <w:rPr>
          <w:rFonts w:ascii="Palatino Linotype" w:eastAsia="Palatino Linotype" w:hAnsi="Palatino Linotype" w:cs="Palatino Linotype"/>
        </w:rPr>
      </w:pPr>
      <w:r w:rsidRPr="00606199">
        <w:rPr>
          <w:rFonts w:ascii="Palatino Linotype" w:eastAsia="Palatino Linotype" w:hAnsi="Palatino Linotype" w:cs="Palatino Linotype"/>
          <w:b/>
        </w:rPr>
        <w:lastRenderedPageBreak/>
        <w:t>Modalidad de entrega</w:t>
      </w:r>
      <w:r w:rsidRPr="00606199">
        <w:rPr>
          <w:rFonts w:ascii="Palatino Linotype" w:eastAsia="Palatino Linotype" w:hAnsi="Palatino Linotype" w:cs="Palatino Linotype"/>
        </w:rPr>
        <w:t>: Sistema de Acceso a la Información.</w:t>
      </w:r>
    </w:p>
    <w:p w:rsidR="00B50F3B" w:rsidRPr="00606199" w:rsidRDefault="00B50F3B" w:rsidP="00B50F3B">
      <w:pPr>
        <w:spacing w:line="360" w:lineRule="auto"/>
        <w:jc w:val="both"/>
        <w:rPr>
          <w:rFonts w:ascii="Palatino Linotype" w:eastAsia="Palatino Linotype" w:hAnsi="Palatino Linotype" w:cs="Palatino Linotype"/>
          <w:i/>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De lo anterior, el </w:t>
      </w:r>
      <w:r w:rsidR="003D359C" w:rsidRPr="00606199">
        <w:rPr>
          <w:rFonts w:ascii="Palatino Linotype" w:eastAsia="Palatino Linotype" w:hAnsi="Palatino Linotype" w:cs="Palatino Linotype"/>
          <w:b/>
        </w:rPr>
        <w:t>nueve de febrero</w:t>
      </w:r>
      <w:r w:rsidRPr="00606199">
        <w:rPr>
          <w:rFonts w:ascii="Palatino Linotype" w:eastAsia="Palatino Linotype" w:hAnsi="Palatino Linotype" w:cs="Palatino Linotype"/>
          <w:b/>
        </w:rPr>
        <w:t xml:space="preserve"> de dos mil veinticinco, </w:t>
      </w:r>
      <w:r w:rsidRPr="00606199">
        <w:rPr>
          <w:rFonts w:ascii="Palatino Linotype" w:eastAsia="Palatino Linotype" w:hAnsi="Palatino Linotype" w:cs="Palatino Linotype"/>
        </w:rPr>
        <w:t xml:space="preserve">giro los requerimientos para que fueran atendidas las solicitudes de información </w:t>
      </w:r>
      <w:r w:rsidR="000B69B7" w:rsidRPr="00606199">
        <w:rPr>
          <w:rFonts w:ascii="Palatino Linotype" w:eastAsia="Palatino Linotype" w:hAnsi="Palatino Linotype" w:cs="Palatino Linotype"/>
          <w:b/>
        </w:rPr>
        <w:t>00025/TEPETLIX/IP/2026 y  00026/TEPETLIX/IP/2026</w:t>
      </w:r>
      <w:r w:rsidRPr="00606199">
        <w:rPr>
          <w:rFonts w:ascii="Palatino Linotype" w:eastAsia="Palatino Linotype" w:hAnsi="Palatino Linotype" w:cs="Palatino Linotype"/>
          <w:b/>
        </w:rPr>
        <w:t xml:space="preserve">. </w:t>
      </w:r>
    </w:p>
    <w:p w:rsidR="00B50F3B" w:rsidRPr="00606199" w:rsidRDefault="00B50F3B" w:rsidP="00B50F3B">
      <w:pPr>
        <w:spacing w:line="360" w:lineRule="auto"/>
        <w:jc w:val="both"/>
        <w:rPr>
          <w:rFonts w:ascii="Palatino Linotype" w:eastAsia="Palatino Linotype" w:hAnsi="Palatino Linotype" w:cs="Palatino Linotype"/>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Como se observa del tablero del Sistema de Acceso a la Información el </w:t>
      </w:r>
      <w:r w:rsidRPr="00606199">
        <w:rPr>
          <w:rFonts w:ascii="Palatino Linotype" w:eastAsia="Palatino Linotype" w:hAnsi="Palatino Linotype" w:cs="Palatino Linotype"/>
          <w:b/>
          <w:color w:val="000000"/>
        </w:rPr>
        <w:t xml:space="preserve">SUJETO OBLIGADO fue omiso en rendir respuesta a las solicitudes de información </w:t>
      </w:r>
      <w:r w:rsidR="000B69B7" w:rsidRPr="00606199">
        <w:rPr>
          <w:rFonts w:ascii="Palatino Linotype" w:eastAsia="Palatino Linotype" w:hAnsi="Palatino Linotype" w:cs="Palatino Linotype"/>
          <w:b/>
        </w:rPr>
        <w:t>00025/TEPETLIX/IP/2026 y  00026/TEPETLIX/IP/2026</w:t>
      </w:r>
      <w:r w:rsidRPr="00606199">
        <w:rPr>
          <w:rFonts w:ascii="Palatino Linotype" w:eastAsia="Palatino Linotype" w:hAnsi="Palatino Linotype" w:cs="Palatino Linotype"/>
          <w:color w:val="000000"/>
        </w:rPr>
        <w:t xml:space="preserve">. </w:t>
      </w:r>
    </w:p>
    <w:p w:rsidR="00B50F3B" w:rsidRPr="00606199" w:rsidRDefault="00B50F3B" w:rsidP="00B50F3B">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De lo anterior, el </w:t>
      </w:r>
      <w:r w:rsidRPr="00606199">
        <w:rPr>
          <w:rFonts w:ascii="Palatino Linotype" w:eastAsia="Palatino Linotype" w:hAnsi="Palatino Linotype" w:cs="Palatino Linotype"/>
          <w:b/>
          <w:color w:val="000000"/>
        </w:rPr>
        <w:t xml:space="preserve">doce de junio de dos mil veinticinco, </w:t>
      </w:r>
      <w:r w:rsidRPr="00606199">
        <w:rPr>
          <w:rFonts w:ascii="Palatino Linotype" w:eastAsia="Palatino Linotype" w:hAnsi="Palatino Linotype" w:cs="Palatino Linotype"/>
          <w:color w:val="000000"/>
        </w:rPr>
        <w:t xml:space="preserve">ante la falta de respuesta del </w:t>
      </w:r>
      <w:r w:rsidRPr="00606199">
        <w:rPr>
          <w:rFonts w:ascii="Palatino Linotype" w:eastAsia="Palatino Linotype" w:hAnsi="Palatino Linotype" w:cs="Palatino Linotype"/>
          <w:b/>
          <w:color w:val="000000"/>
        </w:rPr>
        <w:t xml:space="preserve">SUJETO OBLIGADO </w:t>
      </w:r>
      <w:r w:rsidRPr="00606199">
        <w:rPr>
          <w:rFonts w:ascii="Palatino Linotype" w:eastAsia="Palatino Linotype" w:hAnsi="Palatino Linotype" w:cs="Palatino Linotype"/>
          <w:color w:val="000000"/>
        </w:rPr>
        <w:t xml:space="preserve">el entonces </w:t>
      </w:r>
      <w:r w:rsidRPr="00606199">
        <w:rPr>
          <w:rFonts w:ascii="Palatino Linotype" w:eastAsia="Palatino Linotype" w:hAnsi="Palatino Linotype" w:cs="Palatino Linotype"/>
          <w:b/>
          <w:color w:val="000000"/>
        </w:rPr>
        <w:t xml:space="preserve">SOLICITANTE </w:t>
      </w:r>
      <w:r w:rsidRPr="00606199">
        <w:rPr>
          <w:rFonts w:ascii="Palatino Linotype" w:eastAsia="Palatino Linotype" w:hAnsi="Palatino Linotype" w:cs="Palatino Linotype"/>
          <w:color w:val="000000"/>
        </w:rPr>
        <w:t xml:space="preserve">interpuso recurso de revisión por cada solicitud de información, mediante los cuales señalo lo siguiente. </w:t>
      </w:r>
    </w:p>
    <w:p w:rsidR="00B50F3B" w:rsidRPr="00606199" w:rsidRDefault="00B50F3B" w:rsidP="00B50F3B">
      <w:pPr>
        <w:pStyle w:val="Prrafodelista"/>
        <w:rPr>
          <w:rFonts w:ascii="Palatino Linotype" w:eastAsia="Palatino Linotype" w:hAnsi="Palatino Linotype" w:cs="Palatino Linotype"/>
          <w:color w:val="000000"/>
        </w:rPr>
      </w:pPr>
    </w:p>
    <w:tbl>
      <w:tblPr>
        <w:tblStyle w:val="Tablaconcuadrcula"/>
        <w:tblW w:w="9918" w:type="dxa"/>
        <w:tblLook w:val="04A0" w:firstRow="1" w:lastRow="0" w:firstColumn="1" w:lastColumn="0" w:noHBand="0" w:noVBand="1"/>
      </w:tblPr>
      <w:tblGrid>
        <w:gridCol w:w="4086"/>
        <w:gridCol w:w="5832"/>
      </w:tblGrid>
      <w:tr w:rsidR="00B50F3B" w:rsidRPr="00606199" w:rsidTr="00606199">
        <w:tc>
          <w:tcPr>
            <w:tcW w:w="4086" w:type="dxa"/>
          </w:tcPr>
          <w:p w:rsidR="00B50F3B" w:rsidRPr="00606199" w:rsidRDefault="00B50F3B" w:rsidP="00C10D48">
            <w:pPr>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 xml:space="preserve">Recurso de revisión  </w:t>
            </w:r>
          </w:p>
        </w:tc>
        <w:tc>
          <w:tcPr>
            <w:tcW w:w="5832" w:type="dxa"/>
          </w:tcPr>
          <w:p w:rsidR="00B50F3B" w:rsidRPr="00606199" w:rsidRDefault="00B50F3B" w:rsidP="00C10D48">
            <w:pPr>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 xml:space="preserve">Información solicitada </w:t>
            </w:r>
          </w:p>
        </w:tc>
      </w:tr>
      <w:tr w:rsidR="00B50F3B" w:rsidRPr="00606199" w:rsidTr="00606199">
        <w:tc>
          <w:tcPr>
            <w:tcW w:w="4086" w:type="dxa"/>
          </w:tcPr>
          <w:p w:rsidR="00B50F3B" w:rsidRPr="00606199" w:rsidRDefault="008524A6" w:rsidP="00C10D48">
            <w:pPr>
              <w:ind w:right="900"/>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 xml:space="preserve">00025/TEPETLIX/IP/2026 </w:t>
            </w:r>
          </w:p>
          <w:p w:rsidR="00B50F3B" w:rsidRPr="00606199" w:rsidRDefault="00B50F3B" w:rsidP="00C10D48">
            <w:pPr>
              <w:ind w:right="900"/>
              <w:jc w:val="both"/>
              <w:rPr>
                <w:rFonts w:ascii="Palatino Linotype" w:eastAsia="Palatino Linotype" w:hAnsi="Palatino Linotype" w:cs="Palatino Linotype"/>
                <w:b/>
                <w:i/>
              </w:rPr>
            </w:pPr>
          </w:p>
          <w:p w:rsidR="00B50F3B" w:rsidRPr="00606199" w:rsidRDefault="00E157C0" w:rsidP="00C10D48">
            <w:pPr>
              <w:ind w:right="900"/>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02953/INFOEM/IP/RR/2026</w:t>
            </w:r>
          </w:p>
        </w:tc>
        <w:tc>
          <w:tcPr>
            <w:tcW w:w="5832" w:type="dxa"/>
          </w:tcPr>
          <w:p w:rsidR="00B50F3B" w:rsidRPr="00606199" w:rsidRDefault="00B50F3B" w:rsidP="00C10D48">
            <w:pPr>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 xml:space="preserve">Acto impugnado: </w:t>
            </w:r>
            <w:r w:rsidRPr="00606199">
              <w:rPr>
                <w:rFonts w:ascii="Palatino Linotype" w:eastAsia="Palatino Linotype" w:hAnsi="Palatino Linotype" w:cs="Palatino Linotype"/>
                <w:i/>
              </w:rPr>
              <w:t>“</w:t>
            </w:r>
            <w:r w:rsidR="009B621A" w:rsidRPr="00606199">
              <w:rPr>
                <w:rFonts w:ascii="Palatino Linotype" w:eastAsia="Palatino Linotype" w:hAnsi="Palatino Linotype" w:cs="Palatino Linotype"/>
                <w:i/>
              </w:rPr>
              <w:t>El Sujeto Obligado incumplió el plazo de 15 días hábiles previsto en la Ley de Transparencia del Estado de México para emitir respuesta, configurándose la negativa ficta. Dicha omisión vulnera mi derecho de acceso a la información, por lo que solicito se ordene la emisión de una respuesta Inmediata</w:t>
            </w:r>
            <w:r w:rsidRPr="00606199">
              <w:rPr>
                <w:rFonts w:ascii="Palatino Linotype" w:eastAsia="Palatino Linotype" w:hAnsi="Palatino Linotype" w:cs="Palatino Linotype"/>
                <w:i/>
              </w:rPr>
              <w:t>.”</w:t>
            </w:r>
            <w:r w:rsidRPr="00606199">
              <w:rPr>
                <w:rFonts w:ascii="Palatino Linotype" w:eastAsia="Palatino Linotype" w:hAnsi="Palatino Linotype" w:cs="Palatino Linotype"/>
                <w:b/>
                <w:i/>
              </w:rPr>
              <w:t xml:space="preserve"> </w:t>
            </w:r>
          </w:p>
          <w:p w:rsidR="00B50F3B" w:rsidRPr="00606199" w:rsidRDefault="00B50F3B" w:rsidP="00C10D48">
            <w:pPr>
              <w:jc w:val="both"/>
              <w:rPr>
                <w:rFonts w:ascii="Palatino Linotype" w:eastAsia="Palatino Linotype" w:hAnsi="Palatino Linotype" w:cs="Palatino Linotype"/>
                <w:b/>
                <w:i/>
              </w:rPr>
            </w:pPr>
          </w:p>
          <w:p w:rsidR="00B50F3B" w:rsidRPr="00606199" w:rsidRDefault="00B50F3B" w:rsidP="00C10D48">
            <w:pPr>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 xml:space="preserve">Razones o Motivos de Inconformidad: </w:t>
            </w:r>
            <w:r w:rsidRPr="00606199">
              <w:rPr>
                <w:rFonts w:ascii="Palatino Linotype" w:eastAsia="Palatino Linotype" w:hAnsi="Palatino Linotype" w:cs="Palatino Linotype"/>
                <w:i/>
              </w:rPr>
              <w:t>“</w:t>
            </w:r>
            <w:r w:rsidR="009B621A" w:rsidRPr="00606199">
              <w:rPr>
                <w:rFonts w:ascii="Palatino Linotype" w:eastAsia="Palatino Linotype" w:hAnsi="Palatino Linotype" w:cs="Palatino Linotype"/>
                <w:i/>
              </w:rPr>
              <w:t>El Sujeto Obligado no emitió respuesta dentro del plazo legal de 15 días hábiles, por lo que se configura la negativa ficta y se vulnera mi derecho de acceso a la información.</w:t>
            </w:r>
            <w:r w:rsidRPr="00606199">
              <w:rPr>
                <w:rFonts w:ascii="Palatino Linotype" w:eastAsia="Palatino Linotype" w:hAnsi="Palatino Linotype" w:cs="Palatino Linotype"/>
                <w:i/>
              </w:rPr>
              <w:t>.”</w:t>
            </w:r>
            <w:r w:rsidRPr="00606199">
              <w:rPr>
                <w:rFonts w:ascii="Palatino Linotype" w:eastAsia="Palatino Linotype" w:hAnsi="Palatino Linotype" w:cs="Palatino Linotype"/>
                <w:b/>
                <w:i/>
              </w:rPr>
              <w:t xml:space="preserve"> </w:t>
            </w:r>
          </w:p>
          <w:p w:rsidR="00B50F3B" w:rsidRPr="00606199" w:rsidRDefault="00B50F3B" w:rsidP="00C10D48">
            <w:pPr>
              <w:jc w:val="both"/>
              <w:rPr>
                <w:rFonts w:ascii="Palatino Linotype" w:eastAsia="Palatino Linotype" w:hAnsi="Palatino Linotype" w:cs="Palatino Linotype"/>
                <w:i/>
              </w:rPr>
            </w:pPr>
          </w:p>
          <w:p w:rsidR="00B50F3B" w:rsidRPr="00606199" w:rsidRDefault="00B50F3B" w:rsidP="00C10D48">
            <w:pPr>
              <w:jc w:val="both"/>
              <w:rPr>
                <w:rFonts w:ascii="Palatino Linotype" w:eastAsia="Palatino Linotype" w:hAnsi="Palatino Linotype" w:cs="Palatino Linotype"/>
                <w:i/>
              </w:rPr>
            </w:pPr>
          </w:p>
        </w:tc>
      </w:tr>
      <w:tr w:rsidR="00B50F3B" w:rsidRPr="00606199" w:rsidTr="00606199">
        <w:tc>
          <w:tcPr>
            <w:tcW w:w="4086" w:type="dxa"/>
          </w:tcPr>
          <w:p w:rsidR="00B50F3B" w:rsidRPr="00606199" w:rsidRDefault="008524A6" w:rsidP="00C10D48">
            <w:pPr>
              <w:ind w:right="900"/>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00026/TEPETLIX/IP/2026</w:t>
            </w:r>
          </w:p>
          <w:p w:rsidR="00B50F3B" w:rsidRPr="00606199" w:rsidRDefault="00B50F3B" w:rsidP="00C10D48">
            <w:pPr>
              <w:ind w:right="900"/>
              <w:jc w:val="both"/>
              <w:rPr>
                <w:rFonts w:ascii="Palatino Linotype" w:eastAsia="Palatino Linotype" w:hAnsi="Palatino Linotype" w:cs="Palatino Linotype"/>
                <w:b/>
                <w:i/>
              </w:rPr>
            </w:pPr>
          </w:p>
          <w:p w:rsidR="00B50F3B" w:rsidRPr="00606199" w:rsidRDefault="00E157C0" w:rsidP="00C10D48">
            <w:pPr>
              <w:jc w:val="both"/>
              <w:rPr>
                <w:rFonts w:ascii="Palatino Linotype" w:eastAsia="Palatino Linotype" w:hAnsi="Palatino Linotype" w:cs="Palatino Linotype"/>
                <w:i/>
              </w:rPr>
            </w:pPr>
            <w:r w:rsidRPr="00606199">
              <w:rPr>
                <w:rFonts w:ascii="Palatino Linotype" w:eastAsia="Palatino Linotype" w:hAnsi="Palatino Linotype" w:cs="Palatino Linotype"/>
                <w:b/>
                <w:i/>
              </w:rPr>
              <w:lastRenderedPageBreak/>
              <w:t>02954/INFOEM/IP/RR/2026</w:t>
            </w:r>
          </w:p>
        </w:tc>
        <w:tc>
          <w:tcPr>
            <w:tcW w:w="5832" w:type="dxa"/>
          </w:tcPr>
          <w:p w:rsidR="00B50F3B" w:rsidRPr="00606199" w:rsidRDefault="00B50F3B" w:rsidP="00C10D48">
            <w:pPr>
              <w:jc w:val="both"/>
              <w:rPr>
                <w:rFonts w:ascii="Palatino Linotype" w:eastAsia="Palatino Linotype" w:hAnsi="Palatino Linotype" w:cs="Palatino Linotype"/>
                <w:i/>
              </w:rPr>
            </w:pPr>
            <w:r w:rsidRPr="00606199">
              <w:rPr>
                <w:rFonts w:ascii="Palatino Linotype" w:eastAsia="Palatino Linotype" w:hAnsi="Palatino Linotype" w:cs="Palatino Linotype"/>
                <w:b/>
                <w:i/>
              </w:rPr>
              <w:lastRenderedPageBreak/>
              <w:t xml:space="preserve">Acto impugnado: </w:t>
            </w:r>
            <w:r w:rsidRPr="00606199">
              <w:rPr>
                <w:rFonts w:ascii="Palatino Linotype" w:eastAsia="Palatino Linotype" w:hAnsi="Palatino Linotype" w:cs="Palatino Linotype"/>
                <w:i/>
              </w:rPr>
              <w:t>“</w:t>
            </w:r>
            <w:r w:rsidR="009B621A" w:rsidRPr="00606199">
              <w:rPr>
                <w:rFonts w:ascii="Palatino Linotype" w:eastAsia="Palatino Linotype" w:hAnsi="Palatino Linotype" w:cs="Palatino Linotype"/>
                <w:i/>
              </w:rPr>
              <w:t xml:space="preserve">El Sujeto Obligado no emitió respuesta dentro del plazo legal de 15 días hábiles, por lo </w:t>
            </w:r>
            <w:r w:rsidR="009B621A" w:rsidRPr="00606199">
              <w:rPr>
                <w:rFonts w:ascii="Palatino Linotype" w:eastAsia="Palatino Linotype" w:hAnsi="Palatino Linotype" w:cs="Palatino Linotype"/>
                <w:i/>
              </w:rPr>
              <w:lastRenderedPageBreak/>
              <w:t>que se configura la negativa ficta y se vulnera mi derecho de acceso a la información.</w:t>
            </w:r>
            <w:r w:rsidRPr="00606199">
              <w:rPr>
                <w:rFonts w:ascii="Palatino Linotype" w:eastAsia="Palatino Linotype" w:hAnsi="Palatino Linotype" w:cs="Palatino Linotype"/>
                <w:i/>
              </w:rPr>
              <w:t>”</w:t>
            </w:r>
          </w:p>
          <w:p w:rsidR="00B50F3B" w:rsidRPr="00606199" w:rsidRDefault="00B50F3B" w:rsidP="00C10D48">
            <w:pPr>
              <w:jc w:val="both"/>
              <w:rPr>
                <w:rFonts w:ascii="Palatino Linotype" w:eastAsia="Palatino Linotype" w:hAnsi="Palatino Linotype" w:cs="Palatino Linotype"/>
                <w:i/>
              </w:rPr>
            </w:pPr>
          </w:p>
          <w:p w:rsidR="00B50F3B" w:rsidRPr="00606199" w:rsidRDefault="00B50F3B" w:rsidP="00C10D48">
            <w:pPr>
              <w:jc w:val="both"/>
              <w:rPr>
                <w:rFonts w:ascii="Palatino Linotype" w:eastAsia="Palatino Linotype" w:hAnsi="Palatino Linotype" w:cs="Palatino Linotype"/>
                <w:i/>
              </w:rPr>
            </w:pPr>
            <w:r w:rsidRPr="00606199">
              <w:rPr>
                <w:rFonts w:ascii="Palatino Linotype" w:eastAsia="Palatino Linotype" w:hAnsi="Palatino Linotype" w:cs="Palatino Linotype"/>
                <w:b/>
                <w:i/>
              </w:rPr>
              <w:t xml:space="preserve">Razones o Motivos de Inconformidad: </w:t>
            </w:r>
            <w:r w:rsidRPr="00606199">
              <w:rPr>
                <w:rFonts w:ascii="Palatino Linotype" w:eastAsia="Palatino Linotype" w:hAnsi="Palatino Linotype" w:cs="Palatino Linotype"/>
                <w:i/>
              </w:rPr>
              <w:t>“</w:t>
            </w:r>
            <w:r w:rsidR="009B621A" w:rsidRPr="00606199">
              <w:rPr>
                <w:rFonts w:ascii="Palatino Linotype" w:eastAsia="Palatino Linotype" w:hAnsi="Palatino Linotype" w:cs="Palatino Linotype"/>
                <w:i/>
              </w:rPr>
              <w:t>El Sujeto Obligado no emitió respuesta dentro del plazo legal de 15 días hábiles, por lo que se configura la negativa ficta y se vulnera mi derecho de acceso a la información.</w:t>
            </w:r>
            <w:r w:rsidRPr="00606199">
              <w:rPr>
                <w:rFonts w:ascii="Palatino Linotype" w:eastAsia="Palatino Linotype" w:hAnsi="Palatino Linotype" w:cs="Palatino Linotype"/>
                <w:i/>
              </w:rPr>
              <w:t>”</w:t>
            </w:r>
          </w:p>
          <w:p w:rsidR="00B50F3B" w:rsidRPr="00606199" w:rsidRDefault="00B50F3B" w:rsidP="00C10D48">
            <w:pPr>
              <w:jc w:val="both"/>
              <w:rPr>
                <w:rFonts w:ascii="Palatino Linotype" w:eastAsia="Palatino Linotype" w:hAnsi="Palatino Linotype" w:cs="Palatino Linotype"/>
                <w:i/>
              </w:rPr>
            </w:pPr>
          </w:p>
        </w:tc>
      </w:tr>
    </w:tbl>
    <w:p w:rsidR="00B50F3B" w:rsidRPr="00606199" w:rsidRDefault="00B50F3B" w:rsidP="00B50F3B">
      <w:pPr>
        <w:spacing w:line="360" w:lineRule="auto"/>
        <w:rPr>
          <w:rFonts w:ascii="Palatino Linotype" w:eastAsia="Palatino Linotype" w:hAnsi="Palatino Linotype" w:cs="Palatino Linotype"/>
          <w:i/>
          <w:color w:val="000000"/>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Consecutivamente</w:t>
      </w:r>
      <w:r w:rsidRPr="00606199">
        <w:rPr>
          <w:rFonts w:ascii="Palatino Linotype" w:eastAsia="Palatino Linotype" w:hAnsi="Palatino Linotype" w:cs="Palatino Linotype"/>
          <w:i/>
        </w:rPr>
        <w:t xml:space="preserve">, </w:t>
      </w:r>
      <w:r w:rsidRPr="00606199">
        <w:rPr>
          <w:rFonts w:ascii="Palatino Linotype" w:eastAsia="Palatino Linotype" w:hAnsi="Palatino Linotype" w:cs="Palatino Linotype"/>
        </w:rPr>
        <w:t xml:space="preserve">con fundamento en lo dispuesto por el artículo 185 fracción I de la Ley de Transparencia y Acceso a la Información Pública del Estado de </w:t>
      </w:r>
      <w:r w:rsidRPr="00606199">
        <w:rPr>
          <w:rFonts w:ascii="Palatino Linotype" w:eastAsia="Palatino Linotype" w:hAnsi="Palatino Linotype" w:cs="Palatino Linotype"/>
          <w:color w:val="000000"/>
        </w:rPr>
        <w:t>México</w:t>
      </w:r>
      <w:r w:rsidRPr="00606199">
        <w:rPr>
          <w:rFonts w:ascii="Palatino Linotype" w:eastAsia="Palatino Linotype" w:hAnsi="Palatino Linotype" w:cs="Palatino Linotype"/>
        </w:rPr>
        <w:t xml:space="preserve"> y Municipios, los recursos de referencia, fueron turnados</w:t>
      </w:r>
      <w:r w:rsidRPr="00606199">
        <w:rPr>
          <w:rFonts w:ascii="Palatino Linotype" w:eastAsia="Palatino Linotype" w:hAnsi="Palatino Linotype" w:cs="Palatino Linotype"/>
          <w:b/>
        </w:rPr>
        <w:t xml:space="preserve"> </w:t>
      </w:r>
      <w:r w:rsidRPr="00606199">
        <w:rPr>
          <w:rFonts w:ascii="Palatino Linotype" w:eastAsia="Palatino Linotype" w:hAnsi="Palatino Linotype" w:cs="Palatino Linotype"/>
        </w:rPr>
        <w:t>a las Comisionadas</w:t>
      </w:r>
      <w:r w:rsidR="002205DA" w:rsidRPr="00606199">
        <w:rPr>
          <w:rFonts w:ascii="Palatino Linotype" w:eastAsia="Palatino Linotype" w:hAnsi="Palatino Linotype" w:cs="Palatino Linotype"/>
          <w:b/>
        </w:rPr>
        <w:t xml:space="preserve"> María del Rosario Mejía Ayala </w:t>
      </w:r>
      <w:r w:rsidRPr="00606199">
        <w:rPr>
          <w:rFonts w:ascii="Palatino Linotype" w:eastAsia="Palatino Linotype" w:hAnsi="Palatino Linotype" w:cs="Palatino Linotype"/>
          <w:b/>
        </w:rPr>
        <w:t>y Guadalupe Ramírez Peña</w:t>
      </w:r>
      <w:r w:rsidRPr="00606199">
        <w:rPr>
          <w:rFonts w:ascii="Palatino Linotype" w:eastAsia="Palatino Linotype" w:hAnsi="Palatino Linotype" w:cs="Palatino Linotype"/>
        </w:rPr>
        <w:t>,</w:t>
      </w:r>
      <w:r w:rsidRPr="00606199">
        <w:rPr>
          <w:rFonts w:ascii="Palatino Linotype" w:eastAsia="Palatino Linotype" w:hAnsi="Palatino Linotype" w:cs="Palatino Linotype"/>
          <w:b/>
        </w:rPr>
        <w:t xml:space="preserve"> </w:t>
      </w:r>
      <w:r w:rsidR="00606199">
        <w:rPr>
          <w:rFonts w:ascii="Palatino Linotype" w:eastAsia="Palatino Linotype" w:hAnsi="Palatino Linotype" w:cs="Palatino Linotype"/>
        </w:rPr>
        <w:t xml:space="preserve"> respectivamente</w:t>
      </w:r>
      <w:r w:rsidRPr="00606199">
        <w:rPr>
          <w:rFonts w:ascii="Palatino Linotype" w:eastAsia="Palatino Linotype" w:hAnsi="Palatino Linotype" w:cs="Palatino Linotype"/>
          <w:b/>
        </w:rPr>
        <w:t xml:space="preserve"> </w:t>
      </w:r>
      <w:r w:rsidRPr="00606199">
        <w:rPr>
          <w:rFonts w:ascii="Palatino Linotype" w:eastAsia="Palatino Linotype" w:hAnsi="Palatino Linotype" w:cs="Palatino Linotype"/>
        </w:rPr>
        <w:t xml:space="preserve">para su análisis. </w:t>
      </w:r>
    </w:p>
    <w:p w:rsidR="00B50F3B" w:rsidRPr="00606199" w:rsidRDefault="00B50F3B" w:rsidP="00B50F3B">
      <w:pPr>
        <w:spacing w:line="360" w:lineRule="auto"/>
        <w:jc w:val="both"/>
        <w:rPr>
          <w:rFonts w:ascii="Palatino Linotype" w:eastAsia="Palatino Linotype" w:hAnsi="Palatino Linotype" w:cs="Palatino Linotype"/>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Los Comisionados Ponentes de origen con fundamento en lo dispuesto por el artículo 185 </w:t>
      </w:r>
      <w:r w:rsidRPr="00606199">
        <w:rPr>
          <w:rFonts w:ascii="Palatino Linotype" w:eastAsia="Palatino Linotype" w:hAnsi="Palatino Linotype" w:cs="Palatino Linotype"/>
        </w:rPr>
        <w:t>fracción</w:t>
      </w:r>
      <w:r w:rsidRPr="00606199">
        <w:rPr>
          <w:rFonts w:ascii="Palatino Linotype" w:eastAsia="Palatino Linotype" w:hAnsi="Palatino Linotype" w:cs="Palatino Linotype"/>
          <w:color w:val="000000"/>
        </w:rPr>
        <w:t xml:space="preserve"> II de la ley de la materia, a través de los </w:t>
      </w:r>
      <w:r w:rsidRPr="00606199">
        <w:rPr>
          <w:rFonts w:ascii="Palatino Linotype" w:eastAsia="Palatino Linotype" w:hAnsi="Palatino Linotype" w:cs="Palatino Linotype"/>
          <w:b/>
          <w:color w:val="000000"/>
        </w:rPr>
        <w:t xml:space="preserve">acuerdos de admisión </w:t>
      </w:r>
      <w:r w:rsidRPr="00606199">
        <w:rPr>
          <w:rFonts w:ascii="Palatino Linotype" w:eastAsia="Palatino Linotype" w:hAnsi="Palatino Linotype" w:cs="Palatino Linotype"/>
          <w:color w:val="000000"/>
        </w:rPr>
        <w:t xml:space="preserve">de fecha </w:t>
      </w:r>
      <w:r w:rsidR="001832E9" w:rsidRPr="00606199">
        <w:rPr>
          <w:rFonts w:ascii="Palatino Linotype" w:eastAsia="Palatino Linotype" w:hAnsi="Palatino Linotype" w:cs="Palatino Linotype"/>
          <w:b/>
        </w:rPr>
        <w:t xml:space="preserve">cinco y seis de marzo de dos mil </w:t>
      </w:r>
      <w:r w:rsidR="00001787" w:rsidRPr="00606199">
        <w:rPr>
          <w:rFonts w:ascii="Palatino Linotype" w:eastAsia="Palatino Linotype" w:hAnsi="Palatino Linotype" w:cs="Palatino Linotype"/>
          <w:b/>
        </w:rPr>
        <w:t>veintiséis</w:t>
      </w:r>
      <w:r w:rsidRPr="00606199">
        <w:rPr>
          <w:rFonts w:ascii="Palatino Linotype" w:eastAsia="Palatino Linotype" w:hAnsi="Palatino Linotype" w:cs="Palatino Linotype"/>
          <w:color w:val="000000"/>
        </w:rPr>
        <w:t xml:space="preserve">, pusieron a disposición de las partes el expediente electrónico vía SAIMEX a efecto de que en un plazo máximo de siete días </w:t>
      </w:r>
      <w:r w:rsidRPr="00606199">
        <w:rPr>
          <w:rFonts w:ascii="Palatino Linotype" w:eastAsia="Palatino Linotype" w:hAnsi="Palatino Linotype" w:cs="Palatino Linotype"/>
        </w:rPr>
        <w:t>manifestara</w:t>
      </w:r>
      <w:r w:rsidRPr="00606199">
        <w:rPr>
          <w:rFonts w:ascii="Palatino Linotype" w:eastAsia="Palatino Linotype" w:hAnsi="Palatino Linotype" w:cs="Palatino Linotype"/>
          <w:color w:val="000000"/>
        </w:rPr>
        <w:t xml:space="preserve"> lo que a su derecho conviniera, </w:t>
      </w:r>
      <w:r w:rsidRPr="00606199">
        <w:rPr>
          <w:rFonts w:ascii="Palatino Linotype" w:eastAsia="Palatino Linotype" w:hAnsi="Palatino Linotype" w:cs="Palatino Linotype"/>
        </w:rPr>
        <w:t>ofreciera</w:t>
      </w:r>
      <w:r w:rsidRPr="00606199">
        <w:rPr>
          <w:rFonts w:ascii="Palatino Linotype" w:eastAsia="Palatino Linotype" w:hAnsi="Palatino Linotype" w:cs="Palatino Linotype"/>
          <w:color w:val="000000"/>
        </w:rPr>
        <w:t xml:space="preserve"> pruebas y alegatos según corresponda al caso concreto, de esta forma para que el </w:t>
      </w:r>
      <w:r w:rsidRPr="00606199">
        <w:rPr>
          <w:rFonts w:ascii="Palatino Linotype" w:eastAsia="Palatino Linotype" w:hAnsi="Palatino Linotype" w:cs="Palatino Linotype"/>
          <w:b/>
          <w:color w:val="000000"/>
        </w:rPr>
        <w:t xml:space="preserve">SUJETO OBLIGADO </w:t>
      </w:r>
      <w:r w:rsidRPr="00606199">
        <w:rPr>
          <w:rFonts w:ascii="Palatino Linotype" w:eastAsia="Palatino Linotype" w:hAnsi="Palatino Linotype" w:cs="Palatino Linotype"/>
        </w:rPr>
        <w:t>presentará</w:t>
      </w:r>
      <w:r w:rsidRPr="00606199">
        <w:rPr>
          <w:rFonts w:ascii="Palatino Linotype" w:eastAsia="Palatino Linotype" w:hAnsi="Palatino Linotype" w:cs="Palatino Linotype"/>
          <w:color w:val="000000"/>
        </w:rPr>
        <w:t xml:space="preserve"> el Informe Justificado procedente.</w:t>
      </w:r>
    </w:p>
    <w:p w:rsidR="00B50F3B" w:rsidRPr="00606199" w:rsidRDefault="00B50F3B" w:rsidP="00B50F3B">
      <w:pPr>
        <w:spacing w:line="360" w:lineRule="auto"/>
        <w:jc w:val="both"/>
        <w:rPr>
          <w:rFonts w:ascii="Palatino Linotype" w:eastAsia="Palatino Linotype" w:hAnsi="Palatino Linotype" w:cs="Palatino Linotype"/>
          <w:color w:val="000000"/>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Posteriormente el Plen</w:t>
      </w:r>
      <w:r w:rsidR="00D033AD" w:rsidRPr="00606199">
        <w:rPr>
          <w:rFonts w:ascii="Palatino Linotype" w:eastAsia="Palatino Linotype" w:hAnsi="Palatino Linotype" w:cs="Palatino Linotype"/>
        </w:rPr>
        <w:t xml:space="preserve">o de este Órgano Autónomo, mediante acuerdo de fecha </w:t>
      </w:r>
      <w:r w:rsidR="00D033AD" w:rsidRPr="00606199">
        <w:rPr>
          <w:rFonts w:ascii="Palatino Linotype" w:eastAsia="Palatino Linotype" w:hAnsi="Palatino Linotype" w:cs="Palatino Linotype"/>
          <w:b/>
        </w:rPr>
        <w:t>diecinueve de marzo de dos mil veintiséis</w:t>
      </w:r>
      <w:r w:rsidRPr="00606199">
        <w:rPr>
          <w:rFonts w:ascii="Palatino Linotype" w:eastAsia="Palatino Linotype" w:hAnsi="Palatino Linotype" w:cs="Palatino Linotype"/>
        </w:rPr>
        <w:t xml:space="preserve">; se ordenó la acumulación de los recursos de revisión de mérito, a efecto de que la Ponencia de la </w:t>
      </w:r>
      <w:r w:rsidRPr="00606199">
        <w:rPr>
          <w:rFonts w:ascii="Palatino Linotype" w:eastAsia="Palatino Linotype" w:hAnsi="Palatino Linotype" w:cs="Palatino Linotype"/>
          <w:b/>
        </w:rPr>
        <w:t xml:space="preserve">Comisionada María del Rosario Mejía Ayala </w:t>
      </w:r>
      <w:r w:rsidRPr="00606199">
        <w:rPr>
          <w:rFonts w:ascii="Palatino Linotype" w:eastAsia="Palatino Linotype" w:hAnsi="Palatino Linotype" w:cs="Palatino Linotype"/>
        </w:rPr>
        <w:t xml:space="preserve">formulará y presentara el proyecto de resolución correspondiente, de conformidad con el numeral ONCE incisos b) y c) de los Lineamientos para la Recepción, Trámite y Resolución </w:t>
      </w:r>
      <w:r w:rsidRPr="00606199">
        <w:rPr>
          <w:rFonts w:ascii="Palatino Linotype" w:eastAsia="Palatino Linotype" w:hAnsi="Palatino Linotype" w:cs="Palatino Linotype"/>
        </w:rPr>
        <w:lastRenderedPageBreak/>
        <w:t>de las Solicitudes de Acceso a la Información Pública, así como de los Recursos de Revisión que deberán observar los Sujetos Obligados por la Ley de Transparencia Estatal</w:t>
      </w:r>
      <w:r w:rsidRPr="00606199">
        <w:rPr>
          <w:rFonts w:ascii="Palatino Linotype" w:eastAsia="Palatino Linotype" w:hAnsi="Palatino Linotype" w:cs="Palatino Linotype"/>
          <w:i/>
          <w:vertAlign w:val="superscript"/>
        </w:rPr>
        <w:footnoteReference w:id="1"/>
      </w:r>
      <w:r w:rsidRPr="00606199">
        <w:rPr>
          <w:rFonts w:ascii="Palatino Linotype" w:eastAsia="Palatino Linotype" w:hAnsi="Palatino Linotype" w:cs="Palatino Linotype"/>
        </w:rPr>
        <w:t>, que señala:</w:t>
      </w:r>
    </w:p>
    <w:p w:rsidR="00B50F3B" w:rsidRPr="00606199" w:rsidRDefault="00B50F3B" w:rsidP="00B50F3B">
      <w:pPr>
        <w:tabs>
          <w:tab w:val="left" w:pos="0"/>
          <w:tab w:val="left" w:pos="1134"/>
          <w:tab w:val="left" w:pos="7938"/>
        </w:tabs>
        <w:ind w:left="1134" w:right="851"/>
        <w:jc w:val="both"/>
        <w:rPr>
          <w:rFonts w:ascii="Palatino Linotype" w:eastAsia="Palatino Linotype" w:hAnsi="Palatino Linotype" w:cs="Palatino Linotype"/>
          <w:i/>
        </w:rPr>
      </w:pPr>
      <w:r w:rsidRPr="00606199">
        <w:rPr>
          <w:rFonts w:ascii="Palatino Linotype" w:eastAsia="Palatino Linotype" w:hAnsi="Palatino Linotype" w:cs="Palatino Linotype"/>
          <w:b/>
          <w:i/>
        </w:rPr>
        <w:t>“ONCE.</w:t>
      </w:r>
      <w:r w:rsidRPr="00606199">
        <w:rPr>
          <w:rFonts w:ascii="Palatino Linotype" w:eastAsia="Palatino Linotype" w:hAnsi="Palatino Linotype" w:cs="Palatino Linotype"/>
          <w:i/>
        </w:rPr>
        <w:t xml:space="preserve"> El Instituto, para mejor resolver y evitar la emisión de resoluciones contradictorias, podrá acordar la acumulación de los expedientes de recursos de revisión, de oficio o a petición de parte cuando:</w:t>
      </w:r>
    </w:p>
    <w:p w:rsidR="00B50F3B" w:rsidRPr="00606199" w:rsidRDefault="00B50F3B" w:rsidP="00B50F3B">
      <w:pPr>
        <w:tabs>
          <w:tab w:val="left" w:pos="0"/>
          <w:tab w:val="left" w:pos="426"/>
          <w:tab w:val="left" w:pos="7938"/>
        </w:tabs>
        <w:ind w:left="567" w:right="851" w:firstLine="567"/>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r w:rsidRPr="00606199">
        <w:rPr>
          <w:rFonts w:ascii="Palatino Linotype" w:eastAsia="Palatino Linotype" w:hAnsi="Palatino Linotype" w:cs="Palatino Linotype"/>
          <w:i/>
        </w:rPr>
        <w:tab/>
      </w:r>
    </w:p>
    <w:p w:rsidR="00B50F3B" w:rsidRPr="00606199" w:rsidRDefault="00B50F3B" w:rsidP="00B50F3B">
      <w:pPr>
        <w:tabs>
          <w:tab w:val="left" w:pos="0"/>
          <w:tab w:val="left" w:pos="426"/>
          <w:tab w:val="left" w:pos="7938"/>
        </w:tabs>
        <w:ind w:left="567" w:right="851" w:firstLine="567"/>
        <w:jc w:val="both"/>
        <w:rPr>
          <w:rFonts w:ascii="Palatino Linotype" w:eastAsia="Palatino Linotype" w:hAnsi="Palatino Linotype" w:cs="Palatino Linotype"/>
          <w:i/>
        </w:rPr>
      </w:pPr>
      <w:r w:rsidRPr="00606199">
        <w:rPr>
          <w:rFonts w:ascii="Palatino Linotype" w:eastAsia="Palatino Linotype" w:hAnsi="Palatino Linotype" w:cs="Palatino Linotype"/>
          <w:i/>
        </w:rPr>
        <w:t>b) Las partes o los actos impugnados sean iguales</w:t>
      </w:r>
    </w:p>
    <w:p w:rsidR="00B50F3B" w:rsidRPr="00606199" w:rsidRDefault="00B50F3B" w:rsidP="00B50F3B">
      <w:pPr>
        <w:tabs>
          <w:tab w:val="left" w:pos="0"/>
          <w:tab w:val="left" w:pos="7938"/>
        </w:tabs>
        <w:ind w:left="1134" w:right="851"/>
        <w:jc w:val="both"/>
        <w:rPr>
          <w:rFonts w:ascii="Palatino Linotype" w:eastAsia="Palatino Linotype" w:hAnsi="Palatino Linotype" w:cs="Palatino Linotype"/>
          <w:i/>
        </w:rPr>
      </w:pPr>
      <w:r w:rsidRPr="00606199">
        <w:rPr>
          <w:rFonts w:ascii="Palatino Linotype" w:eastAsia="Palatino Linotype" w:hAnsi="Palatino Linotype" w:cs="Palatino Linotype"/>
          <w:i/>
        </w:rPr>
        <w:t>c) Cuando se trate del mismo solicitante, el mismo SUJETO OBLIGADO, aunque se trate de solicitudes diversas;</w:t>
      </w:r>
    </w:p>
    <w:p w:rsidR="00B50F3B" w:rsidRPr="00606199" w:rsidRDefault="00B50F3B" w:rsidP="00B50F3B">
      <w:pPr>
        <w:tabs>
          <w:tab w:val="left" w:pos="0"/>
          <w:tab w:val="left" w:pos="426"/>
          <w:tab w:val="left" w:pos="7938"/>
        </w:tabs>
        <w:ind w:left="567" w:right="851" w:firstLine="567"/>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p>
    <w:p w:rsidR="00B50F3B" w:rsidRPr="00606199" w:rsidRDefault="00B50F3B" w:rsidP="00B50F3B">
      <w:pPr>
        <w:tabs>
          <w:tab w:val="left" w:pos="0"/>
          <w:tab w:val="left" w:pos="426"/>
        </w:tabs>
        <w:ind w:left="567" w:right="851" w:firstLine="567"/>
        <w:jc w:val="both"/>
        <w:rPr>
          <w:rFonts w:ascii="Palatino Linotype" w:eastAsia="Palatino Linotype" w:hAnsi="Palatino Linotype" w:cs="Palatino Linotype"/>
          <w:i/>
        </w:rPr>
      </w:pPr>
      <w:r w:rsidRPr="00606199">
        <w:rPr>
          <w:rFonts w:ascii="Palatino Linotype" w:eastAsia="Palatino Linotype" w:hAnsi="Palatino Linotype" w:cs="Palatino Linotype"/>
          <w:i/>
        </w:rPr>
        <w:t>(Énfasis añadido)</w:t>
      </w:r>
    </w:p>
    <w:p w:rsidR="00B50F3B" w:rsidRPr="00606199" w:rsidRDefault="00B50F3B" w:rsidP="00B50F3B">
      <w:pPr>
        <w:tabs>
          <w:tab w:val="left" w:pos="0"/>
          <w:tab w:val="left" w:pos="426"/>
        </w:tabs>
        <w:ind w:left="567" w:right="851" w:firstLine="567"/>
        <w:jc w:val="both"/>
        <w:rPr>
          <w:rFonts w:ascii="Palatino Linotype" w:eastAsia="Palatino Linotype" w:hAnsi="Palatino Linotype" w:cs="Palatino Linotype"/>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Es así que,</w:t>
      </w:r>
      <w:r w:rsidRPr="00606199">
        <w:rPr>
          <w:rFonts w:ascii="Palatino Linotype" w:eastAsia="Palatino Linotype" w:hAnsi="Palatino Linotype" w:cs="Palatino Linotype"/>
          <w:i/>
        </w:rPr>
        <w:t xml:space="preserve"> </w:t>
      </w:r>
      <w:r w:rsidRPr="00606199">
        <w:rPr>
          <w:rFonts w:ascii="Palatino Linotype" w:eastAsia="Palatino Linotype" w:hAnsi="Palatino Linotype" w:cs="Palatino Linotype"/>
        </w:rPr>
        <w:t>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B50F3B" w:rsidRPr="00606199" w:rsidRDefault="00B50F3B" w:rsidP="00B50F3B">
      <w:pPr>
        <w:ind w:left="1134" w:right="851"/>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Código de Procedimientos Administrativos del Estado de México.</w:t>
      </w:r>
    </w:p>
    <w:p w:rsidR="00B50F3B" w:rsidRPr="00606199" w:rsidRDefault="00B50F3B" w:rsidP="00B50F3B">
      <w:pPr>
        <w:ind w:left="1134" w:right="851"/>
        <w:jc w:val="both"/>
        <w:rPr>
          <w:rFonts w:ascii="Palatino Linotype" w:eastAsia="Palatino Linotype" w:hAnsi="Palatino Linotype" w:cs="Palatino Linotype"/>
          <w:i/>
        </w:rPr>
      </w:pPr>
      <w:r w:rsidRPr="00606199">
        <w:rPr>
          <w:rFonts w:ascii="Palatino Linotype" w:eastAsia="Palatino Linotype" w:hAnsi="Palatino Linotype" w:cs="Palatino Linotype"/>
          <w:b/>
          <w:i/>
        </w:rPr>
        <w:t>“Artículo 18.-</w:t>
      </w:r>
      <w:r w:rsidRPr="00606199">
        <w:rPr>
          <w:rFonts w:ascii="Palatino Linotype" w:eastAsia="Palatino Linotype" w:hAnsi="Palatino Linotype" w:cs="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B50F3B" w:rsidRPr="00606199" w:rsidRDefault="00B50F3B" w:rsidP="00B50F3B">
      <w:pPr>
        <w:ind w:left="1134" w:right="851"/>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Ley de Transparencia y Acceso a la Información Pública del Estado de México y Municipios</w:t>
      </w:r>
    </w:p>
    <w:p w:rsidR="00B50F3B" w:rsidRPr="00606199" w:rsidRDefault="00B50F3B" w:rsidP="00B50F3B">
      <w:pPr>
        <w:ind w:left="1134" w:right="851"/>
        <w:jc w:val="both"/>
        <w:rPr>
          <w:rFonts w:ascii="Palatino Linotype" w:eastAsia="Palatino Linotype" w:hAnsi="Palatino Linotype" w:cs="Palatino Linotype"/>
          <w:i/>
        </w:rPr>
      </w:pPr>
      <w:r w:rsidRPr="00606199">
        <w:rPr>
          <w:rFonts w:ascii="Palatino Linotype" w:eastAsia="Palatino Linotype" w:hAnsi="Palatino Linotype" w:cs="Palatino Linotype"/>
          <w:b/>
          <w:i/>
        </w:rPr>
        <w:lastRenderedPageBreak/>
        <w:t>“Artículo 195.</w:t>
      </w:r>
      <w:r w:rsidRPr="00606199">
        <w:rPr>
          <w:rFonts w:ascii="Palatino Linotype" w:eastAsia="Palatino Linotype" w:hAnsi="Palatino Linotype" w:cs="Palatino Linotype"/>
          <w:i/>
        </w:rPr>
        <w:t xml:space="preserve"> En la tramitación del recurso de revisión se aplicarán supletoriamente las disposiciones contenidas en el Código de Procedimientos Administrativos del Estado de México.”</w:t>
      </w:r>
    </w:p>
    <w:p w:rsidR="00B50F3B" w:rsidRPr="00606199" w:rsidRDefault="00B50F3B" w:rsidP="00B50F3B">
      <w:pPr>
        <w:ind w:left="1134" w:right="851"/>
        <w:jc w:val="both"/>
        <w:rPr>
          <w:rFonts w:ascii="Palatino Linotype" w:eastAsia="Palatino Linotype" w:hAnsi="Palatino Linotype" w:cs="Palatino Linotype"/>
          <w:i/>
        </w:rPr>
      </w:pPr>
      <w:r w:rsidRPr="00606199">
        <w:rPr>
          <w:rFonts w:ascii="Palatino Linotype" w:eastAsia="Palatino Linotype" w:hAnsi="Palatino Linotype" w:cs="Palatino Linotype"/>
          <w:i/>
        </w:rPr>
        <w:t>(Énfasis añadido)</w:t>
      </w:r>
    </w:p>
    <w:p w:rsidR="00B50F3B" w:rsidRPr="00606199" w:rsidRDefault="00B50F3B" w:rsidP="00B50F3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D1548" w:rsidRPr="00606199" w:rsidRDefault="00ED1548" w:rsidP="00B50F3B">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De lo anterior, el </w:t>
      </w:r>
      <w:r w:rsidRPr="00606199">
        <w:rPr>
          <w:rFonts w:ascii="Palatino Linotype" w:eastAsia="Palatino Linotype" w:hAnsi="Palatino Linotype" w:cs="Palatino Linotype"/>
          <w:b/>
          <w:color w:val="000000"/>
        </w:rPr>
        <w:t xml:space="preserve">seis de marzo de dos mil veinticinco, </w:t>
      </w:r>
      <w:r w:rsidRPr="00606199">
        <w:rPr>
          <w:rFonts w:ascii="Palatino Linotype" w:eastAsia="Palatino Linotype" w:hAnsi="Palatino Linotype" w:cs="Palatino Linotype"/>
          <w:color w:val="000000"/>
        </w:rPr>
        <w:t xml:space="preserve">el </w:t>
      </w:r>
      <w:r w:rsidRPr="00606199">
        <w:rPr>
          <w:rFonts w:ascii="Palatino Linotype" w:eastAsia="Palatino Linotype" w:hAnsi="Palatino Linotype" w:cs="Palatino Linotype"/>
          <w:b/>
          <w:color w:val="000000"/>
        </w:rPr>
        <w:t xml:space="preserve">RECURRENTE </w:t>
      </w:r>
      <w:r w:rsidRPr="00606199">
        <w:rPr>
          <w:rFonts w:ascii="Palatino Linotype" w:eastAsia="Palatino Linotype" w:hAnsi="Palatino Linotype" w:cs="Palatino Linotype"/>
          <w:color w:val="000000"/>
        </w:rPr>
        <w:t xml:space="preserve">entrego un archivo en cada recurso de revisión, suyo contenido grosso modo es el siguiente. </w:t>
      </w:r>
    </w:p>
    <w:tbl>
      <w:tblPr>
        <w:tblStyle w:val="Tabladelista4"/>
        <w:tblW w:w="0" w:type="auto"/>
        <w:jc w:val="center"/>
        <w:tblLook w:val="04A0" w:firstRow="1" w:lastRow="0" w:firstColumn="1" w:lastColumn="0" w:noHBand="0" w:noVBand="1"/>
      </w:tblPr>
      <w:tblGrid>
        <w:gridCol w:w="3987"/>
        <w:gridCol w:w="4990"/>
      </w:tblGrid>
      <w:tr w:rsidR="00ED1548" w:rsidRPr="00606199" w:rsidTr="00B116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8" w:type="dxa"/>
          </w:tcPr>
          <w:p w:rsidR="00ED1548" w:rsidRPr="00606199" w:rsidRDefault="00ED1548" w:rsidP="00C22799">
            <w:pPr>
              <w:jc w:val="both"/>
              <w:rPr>
                <w:rFonts w:ascii="Palatino Linotype" w:eastAsia="Palatino Linotype" w:hAnsi="Palatino Linotype" w:cs="Palatino Linotype"/>
                <w:b w:val="0"/>
                <w:i/>
              </w:rPr>
            </w:pPr>
            <w:r w:rsidRPr="00606199">
              <w:rPr>
                <w:rFonts w:ascii="Palatino Linotype" w:eastAsia="Palatino Linotype" w:hAnsi="Palatino Linotype" w:cs="Palatino Linotype"/>
                <w:b w:val="0"/>
                <w:i/>
              </w:rPr>
              <w:t xml:space="preserve">Recurso de revisión  </w:t>
            </w:r>
          </w:p>
        </w:tc>
        <w:tc>
          <w:tcPr>
            <w:tcW w:w="4990" w:type="dxa"/>
          </w:tcPr>
          <w:p w:rsidR="00ED1548" w:rsidRPr="00606199" w:rsidRDefault="00ED1548" w:rsidP="00C22799">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val="0"/>
                <w:i/>
              </w:rPr>
            </w:pPr>
            <w:r w:rsidRPr="00606199">
              <w:rPr>
                <w:rFonts w:ascii="Palatino Linotype" w:eastAsia="Palatino Linotype" w:hAnsi="Palatino Linotype" w:cs="Palatino Linotype"/>
                <w:b w:val="0"/>
                <w:i/>
              </w:rPr>
              <w:t xml:space="preserve">Manifestaciones </w:t>
            </w:r>
          </w:p>
        </w:tc>
      </w:tr>
      <w:tr w:rsidR="00ED1548" w:rsidRPr="00606199" w:rsidTr="00B116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8" w:type="dxa"/>
          </w:tcPr>
          <w:p w:rsidR="00ED1548" w:rsidRPr="00606199" w:rsidRDefault="00ED1548" w:rsidP="00C22799">
            <w:pPr>
              <w:ind w:right="900"/>
              <w:jc w:val="both"/>
              <w:rPr>
                <w:rFonts w:ascii="Palatino Linotype" w:eastAsia="Palatino Linotype" w:hAnsi="Palatino Linotype" w:cs="Palatino Linotype"/>
                <w:b w:val="0"/>
                <w:i/>
              </w:rPr>
            </w:pPr>
            <w:r w:rsidRPr="00606199">
              <w:rPr>
                <w:rFonts w:ascii="Palatino Linotype" w:eastAsia="Palatino Linotype" w:hAnsi="Palatino Linotype" w:cs="Palatino Linotype"/>
                <w:b w:val="0"/>
                <w:i/>
              </w:rPr>
              <w:t xml:space="preserve">00025/TEPETLIX/IP/2026 </w:t>
            </w:r>
          </w:p>
          <w:p w:rsidR="00ED1548" w:rsidRPr="00606199" w:rsidRDefault="00ED1548" w:rsidP="00C22799">
            <w:pPr>
              <w:ind w:right="900"/>
              <w:jc w:val="both"/>
              <w:rPr>
                <w:rFonts w:ascii="Palatino Linotype" w:eastAsia="Palatino Linotype" w:hAnsi="Palatino Linotype" w:cs="Palatino Linotype"/>
                <w:b w:val="0"/>
                <w:i/>
              </w:rPr>
            </w:pPr>
          </w:p>
          <w:p w:rsidR="00ED1548" w:rsidRPr="00606199" w:rsidRDefault="00ED1548" w:rsidP="00C22799">
            <w:pPr>
              <w:ind w:right="900"/>
              <w:jc w:val="both"/>
              <w:rPr>
                <w:rFonts w:ascii="Palatino Linotype" w:eastAsia="Palatino Linotype" w:hAnsi="Palatino Linotype" w:cs="Palatino Linotype"/>
                <w:b w:val="0"/>
                <w:i/>
              </w:rPr>
            </w:pPr>
            <w:r w:rsidRPr="00606199">
              <w:rPr>
                <w:rFonts w:ascii="Palatino Linotype" w:eastAsia="Palatino Linotype" w:hAnsi="Palatino Linotype" w:cs="Palatino Linotype"/>
                <w:b w:val="0"/>
                <w:i/>
              </w:rPr>
              <w:t>02953/INFOEM/IP/RR/2026</w:t>
            </w:r>
          </w:p>
        </w:tc>
        <w:tc>
          <w:tcPr>
            <w:tcW w:w="4990" w:type="dxa"/>
          </w:tcPr>
          <w:p w:rsidR="00ED1548" w:rsidRPr="00606199" w:rsidRDefault="00ED1548" w:rsidP="00ED154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i/>
              </w:rPr>
            </w:pPr>
            <w:r w:rsidRPr="00606199">
              <w:rPr>
                <w:rFonts w:ascii="Palatino Linotype" w:eastAsia="Palatino Linotype" w:hAnsi="Palatino Linotype" w:cs="Palatino Linotype"/>
                <w:b/>
                <w:i/>
              </w:rPr>
              <w:t xml:space="preserve"> ALEGATOS RR 0025.pdf: </w:t>
            </w:r>
            <w:r w:rsidRPr="00606199">
              <w:rPr>
                <w:rFonts w:ascii="Palatino Linotype" w:eastAsia="Palatino Linotype" w:hAnsi="Palatino Linotype" w:cs="Palatino Linotype"/>
                <w:i/>
              </w:rPr>
              <w:t xml:space="preserve">documento que contiene la inconformidad del </w:t>
            </w:r>
            <w:r w:rsidRPr="00606199">
              <w:rPr>
                <w:rFonts w:ascii="Palatino Linotype" w:eastAsia="Palatino Linotype" w:hAnsi="Palatino Linotype" w:cs="Palatino Linotype"/>
                <w:b/>
                <w:i/>
              </w:rPr>
              <w:t xml:space="preserve">RECURRENTE </w:t>
            </w:r>
            <w:r w:rsidRPr="00606199">
              <w:rPr>
                <w:rFonts w:ascii="Palatino Linotype" w:eastAsia="Palatino Linotype" w:hAnsi="Palatino Linotype" w:cs="Palatino Linotype"/>
                <w:i/>
              </w:rPr>
              <w:t xml:space="preserve">por la falta de respuesta del </w:t>
            </w:r>
            <w:r w:rsidRPr="00606199">
              <w:rPr>
                <w:rFonts w:ascii="Palatino Linotype" w:eastAsia="Palatino Linotype" w:hAnsi="Palatino Linotype" w:cs="Palatino Linotype"/>
                <w:b/>
                <w:i/>
              </w:rPr>
              <w:t xml:space="preserve">SUJETO OBLIGADO. </w:t>
            </w:r>
          </w:p>
        </w:tc>
      </w:tr>
      <w:tr w:rsidR="00ED1548" w:rsidRPr="00606199" w:rsidTr="00B1161A">
        <w:trPr>
          <w:jc w:val="center"/>
        </w:trPr>
        <w:tc>
          <w:tcPr>
            <w:cnfStyle w:val="001000000000" w:firstRow="0" w:lastRow="0" w:firstColumn="1" w:lastColumn="0" w:oddVBand="0" w:evenVBand="0" w:oddHBand="0" w:evenHBand="0" w:firstRowFirstColumn="0" w:firstRowLastColumn="0" w:lastRowFirstColumn="0" w:lastRowLastColumn="0"/>
            <w:tcW w:w="3838" w:type="dxa"/>
          </w:tcPr>
          <w:p w:rsidR="00ED1548" w:rsidRPr="00606199" w:rsidRDefault="00ED1548" w:rsidP="00C22799">
            <w:pPr>
              <w:ind w:right="900"/>
              <w:jc w:val="both"/>
              <w:rPr>
                <w:rFonts w:ascii="Palatino Linotype" w:eastAsia="Palatino Linotype" w:hAnsi="Palatino Linotype" w:cs="Palatino Linotype"/>
                <w:b w:val="0"/>
                <w:i/>
              </w:rPr>
            </w:pPr>
            <w:r w:rsidRPr="00606199">
              <w:rPr>
                <w:rFonts w:ascii="Palatino Linotype" w:eastAsia="Palatino Linotype" w:hAnsi="Palatino Linotype" w:cs="Palatino Linotype"/>
                <w:b w:val="0"/>
                <w:i/>
              </w:rPr>
              <w:t>00026/TEPETLIX/IP/2026</w:t>
            </w:r>
          </w:p>
          <w:p w:rsidR="00ED1548" w:rsidRPr="00606199" w:rsidRDefault="00ED1548" w:rsidP="00C22799">
            <w:pPr>
              <w:ind w:right="900"/>
              <w:jc w:val="both"/>
              <w:rPr>
                <w:rFonts w:ascii="Palatino Linotype" w:eastAsia="Palatino Linotype" w:hAnsi="Palatino Linotype" w:cs="Palatino Linotype"/>
                <w:b w:val="0"/>
                <w:i/>
              </w:rPr>
            </w:pPr>
          </w:p>
          <w:p w:rsidR="00ED1548" w:rsidRPr="00606199" w:rsidRDefault="00ED1548" w:rsidP="00C22799">
            <w:pPr>
              <w:jc w:val="both"/>
              <w:rPr>
                <w:rFonts w:ascii="Palatino Linotype" w:eastAsia="Palatino Linotype" w:hAnsi="Palatino Linotype" w:cs="Palatino Linotype"/>
                <w:i/>
              </w:rPr>
            </w:pPr>
            <w:r w:rsidRPr="00606199">
              <w:rPr>
                <w:rFonts w:ascii="Palatino Linotype" w:eastAsia="Palatino Linotype" w:hAnsi="Palatino Linotype" w:cs="Palatino Linotype"/>
                <w:b w:val="0"/>
                <w:i/>
              </w:rPr>
              <w:t>02954/INFOEM/IP/RR/2026</w:t>
            </w:r>
          </w:p>
        </w:tc>
        <w:tc>
          <w:tcPr>
            <w:tcW w:w="4990" w:type="dxa"/>
          </w:tcPr>
          <w:p w:rsidR="00ED1548" w:rsidRPr="00606199" w:rsidRDefault="004A6506" w:rsidP="00C227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rPr>
            </w:pPr>
            <w:r w:rsidRPr="00606199">
              <w:rPr>
                <w:rFonts w:ascii="Palatino Linotype" w:eastAsia="Palatino Linotype" w:hAnsi="Palatino Linotype" w:cs="Palatino Linotype"/>
                <w:b/>
                <w:i/>
              </w:rPr>
              <w:t xml:space="preserve">ALEGATOS RR 0026.pdf: </w:t>
            </w:r>
            <w:r w:rsidRPr="00606199">
              <w:rPr>
                <w:rFonts w:ascii="Palatino Linotype" w:eastAsia="Palatino Linotype" w:hAnsi="Palatino Linotype" w:cs="Palatino Linotype"/>
                <w:i/>
              </w:rPr>
              <w:t xml:space="preserve">documento que contiene la inconformidad del </w:t>
            </w:r>
            <w:r w:rsidRPr="00606199">
              <w:rPr>
                <w:rFonts w:ascii="Palatino Linotype" w:eastAsia="Palatino Linotype" w:hAnsi="Palatino Linotype" w:cs="Palatino Linotype"/>
                <w:b/>
                <w:i/>
              </w:rPr>
              <w:t xml:space="preserve">RECURRENTE </w:t>
            </w:r>
            <w:r w:rsidRPr="00606199">
              <w:rPr>
                <w:rFonts w:ascii="Palatino Linotype" w:eastAsia="Palatino Linotype" w:hAnsi="Palatino Linotype" w:cs="Palatino Linotype"/>
                <w:i/>
              </w:rPr>
              <w:t xml:space="preserve">por la falta de respuesta del </w:t>
            </w:r>
            <w:r w:rsidRPr="00606199">
              <w:rPr>
                <w:rFonts w:ascii="Palatino Linotype" w:eastAsia="Palatino Linotype" w:hAnsi="Palatino Linotype" w:cs="Palatino Linotype"/>
                <w:b/>
                <w:i/>
              </w:rPr>
              <w:t>SUJETO OBLIGADO.</w:t>
            </w:r>
          </w:p>
        </w:tc>
      </w:tr>
    </w:tbl>
    <w:p w:rsidR="00ED1548" w:rsidRPr="00606199" w:rsidRDefault="00ED1548" w:rsidP="00ED1548">
      <w:pPr>
        <w:spacing w:line="360" w:lineRule="auto"/>
        <w:jc w:val="both"/>
        <w:rPr>
          <w:rFonts w:ascii="Palatino Linotype" w:eastAsia="Palatino Linotype" w:hAnsi="Palatino Linotype" w:cs="Palatino Linotype"/>
          <w:color w:val="000000"/>
        </w:rPr>
      </w:pPr>
    </w:p>
    <w:p w:rsidR="00B50F3B" w:rsidRPr="00606199" w:rsidRDefault="00ED1548" w:rsidP="00B50F3B">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Seguidamente</w:t>
      </w:r>
      <w:r w:rsidR="00B50F3B" w:rsidRPr="00606199">
        <w:rPr>
          <w:rFonts w:ascii="Palatino Linotype" w:eastAsia="Palatino Linotype" w:hAnsi="Palatino Linotype" w:cs="Palatino Linotype"/>
          <w:color w:val="000000"/>
        </w:rPr>
        <w:t xml:space="preserve">, el </w:t>
      </w:r>
      <w:r w:rsidR="00B50F3B" w:rsidRPr="00606199">
        <w:rPr>
          <w:rFonts w:ascii="Palatino Linotype" w:eastAsia="Palatino Linotype" w:hAnsi="Palatino Linotype" w:cs="Palatino Linotype"/>
          <w:b/>
          <w:color w:val="000000"/>
        </w:rPr>
        <w:t>SUJETO OBLIGAD</w:t>
      </w:r>
      <w:r w:rsidR="00B50F3B" w:rsidRPr="00606199">
        <w:rPr>
          <w:rFonts w:ascii="Palatino Linotype" w:eastAsia="Palatino Linotype" w:hAnsi="Palatino Linotype" w:cs="Palatino Linotype"/>
          <w:color w:val="000000"/>
        </w:rPr>
        <w:t xml:space="preserve">O en fecha </w:t>
      </w:r>
      <w:r w:rsidR="00E952E8" w:rsidRPr="00606199">
        <w:rPr>
          <w:rFonts w:ascii="Palatino Linotype" w:eastAsia="Palatino Linotype" w:hAnsi="Palatino Linotype" w:cs="Palatino Linotype"/>
          <w:b/>
          <w:color w:val="000000"/>
        </w:rPr>
        <w:t xml:space="preserve">trece de marzo de dos mil </w:t>
      </w:r>
      <w:r w:rsidR="00514F28" w:rsidRPr="00606199">
        <w:rPr>
          <w:rFonts w:ascii="Palatino Linotype" w:eastAsia="Palatino Linotype" w:hAnsi="Palatino Linotype" w:cs="Palatino Linotype"/>
          <w:b/>
          <w:color w:val="000000"/>
        </w:rPr>
        <w:t>veintiséis</w:t>
      </w:r>
      <w:r w:rsidR="00B50F3B" w:rsidRPr="00606199">
        <w:rPr>
          <w:rFonts w:ascii="Palatino Linotype" w:eastAsia="Palatino Linotype" w:hAnsi="Palatino Linotype" w:cs="Palatino Linotype"/>
          <w:b/>
          <w:color w:val="000000"/>
        </w:rPr>
        <w:t xml:space="preserve">, </w:t>
      </w:r>
      <w:r w:rsidR="00514F28" w:rsidRPr="00606199">
        <w:rPr>
          <w:rFonts w:ascii="Palatino Linotype" w:eastAsia="Palatino Linotype" w:hAnsi="Palatino Linotype" w:cs="Palatino Linotype"/>
          <w:color w:val="000000"/>
        </w:rPr>
        <w:t>una carpeta zip por</w:t>
      </w:r>
      <w:r w:rsidR="00B50F3B" w:rsidRPr="00606199">
        <w:rPr>
          <w:rFonts w:ascii="Palatino Linotype" w:eastAsia="Palatino Linotype" w:hAnsi="Palatino Linotype" w:cs="Palatino Linotype"/>
          <w:color w:val="000000"/>
        </w:rPr>
        <w:t xml:space="preserve"> cada recurso de revisión, cuyo contenido a grosso modo es el siguiente. </w:t>
      </w:r>
    </w:p>
    <w:tbl>
      <w:tblPr>
        <w:tblStyle w:val="Tabladelista4"/>
        <w:tblW w:w="0" w:type="auto"/>
        <w:jc w:val="center"/>
        <w:tblLook w:val="04A0" w:firstRow="1" w:lastRow="0" w:firstColumn="1" w:lastColumn="0" w:noHBand="0" w:noVBand="1"/>
      </w:tblPr>
      <w:tblGrid>
        <w:gridCol w:w="3987"/>
        <w:gridCol w:w="4990"/>
      </w:tblGrid>
      <w:tr w:rsidR="00B50F3B" w:rsidRPr="00606199" w:rsidTr="00B116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8" w:type="dxa"/>
          </w:tcPr>
          <w:p w:rsidR="00B50F3B" w:rsidRPr="00606199" w:rsidRDefault="00B50F3B" w:rsidP="00C10D48">
            <w:pPr>
              <w:jc w:val="both"/>
              <w:rPr>
                <w:rFonts w:ascii="Palatino Linotype" w:eastAsia="Palatino Linotype" w:hAnsi="Palatino Linotype" w:cs="Palatino Linotype"/>
                <w:b w:val="0"/>
                <w:i/>
              </w:rPr>
            </w:pPr>
            <w:r w:rsidRPr="00606199">
              <w:rPr>
                <w:rFonts w:ascii="Palatino Linotype" w:eastAsia="Palatino Linotype" w:hAnsi="Palatino Linotype" w:cs="Palatino Linotype"/>
                <w:b w:val="0"/>
                <w:i/>
              </w:rPr>
              <w:t xml:space="preserve">Recurso de revisión  </w:t>
            </w:r>
          </w:p>
        </w:tc>
        <w:tc>
          <w:tcPr>
            <w:tcW w:w="4990" w:type="dxa"/>
          </w:tcPr>
          <w:p w:rsidR="00B50F3B" w:rsidRPr="00606199" w:rsidRDefault="00B50F3B" w:rsidP="00C10D48">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val="0"/>
                <w:i/>
              </w:rPr>
            </w:pPr>
            <w:r w:rsidRPr="00606199">
              <w:rPr>
                <w:rFonts w:ascii="Palatino Linotype" w:eastAsia="Palatino Linotype" w:hAnsi="Palatino Linotype" w:cs="Palatino Linotype"/>
                <w:b w:val="0"/>
                <w:i/>
              </w:rPr>
              <w:t xml:space="preserve">Manifestaciones </w:t>
            </w:r>
          </w:p>
        </w:tc>
      </w:tr>
      <w:tr w:rsidR="00B50F3B" w:rsidRPr="00606199" w:rsidTr="00B116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8" w:type="dxa"/>
          </w:tcPr>
          <w:p w:rsidR="00B50F3B" w:rsidRPr="00606199" w:rsidRDefault="008524A6" w:rsidP="00C10D48">
            <w:pPr>
              <w:ind w:right="900"/>
              <w:jc w:val="both"/>
              <w:rPr>
                <w:rFonts w:ascii="Palatino Linotype" w:eastAsia="Palatino Linotype" w:hAnsi="Palatino Linotype" w:cs="Palatino Linotype"/>
                <w:b w:val="0"/>
                <w:i/>
              </w:rPr>
            </w:pPr>
            <w:r w:rsidRPr="00606199">
              <w:rPr>
                <w:rFonts w:ascii="Palatino Linotype" w:eastAsia="Palatino Linotype" w:hAnsi="Palatino Linotype" w:cs="Palatino Linotype"/>
                <w:b w:val="0"/>
                <w:i/>
              </w:rPr>
              <w:t xml:space="preserve">00025/TEPETLIX/IP/2026 </w:t>
            </w:r>
          </w:p>
          <w:p w:rsidR="00B50F3B" w:rsidRPr="00606199" w:rsidRDefault="00B50F3B" w:rsidP="00C10D48">
            <w:pPr>
              <w:ind w:right="900"/>
              <w:jc w:val="both"/>
              <w:rPr>
                <w:rFonts w:ascii="Palatino Linotype" w:eastAsia="Palatino Linotype" w:hAnsi="Palatino Linotype" w:cs="Palatino Linotype"/>
                <w:b w:val="0"/>
                <w:i/>
              </w:rPr>
            </w:pPr>
          </w:p>
          <w:p w:rsidR="00B50F3B" w:rsidRPr="00606199" w:rsidRDefault="00E157C0" w:rsidP="00C10D48">
            <w:pPr>
              <w:ind w:right="900"/>
              <w:jc w:val="both"/>
              <w:rPr>
                <w:rFonts w:ascii="Palatino Linotype" w:eastAsia="Palatino Linotype" w:hAnsi="Palatino Linotype" w:cs="Palatino Linotype"/>
                <w:b w:val="0"/>
                <w:i/>
              </w:rPr>
            </w:pPr>
            <w:r w:rsidRPr="00606199">
              <w:rPr>
                <w:rFonts w:ascii="Palatino Linotype" w:eastAsia="Palatino Linotype" w:hAnsi="Palatino Linotype" w:cs="Palatino Linotype"/>
                <w:b w:val="0"/>
                <w:i/>
              </w:rPr>
              <w:t>02953/INFOEM/IP/RR/2026</w:t>
            </w:r>
          </w:p>
        </w:tc>
        <w:tc>
          <w:tcPr>
            <w:tcW w:w="4990" w:type="dxa"/>
          </w:tcPr>
          <w:p w:rsidR="00B50F3B" w:rsidRPr="00606199" w:rsidRDefault="00AF07D5" w:rsidP="00C10D4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rPr>
            </w:pPr>
            <w:r w:rsidRPr="00606199">
              <w:rPr>
                <w:rFonts w:ascii="Palatino Linotype" w:eastAsia="Palatino Linotype" w:hAnsi="Palatino Linotype" w:cs="Palatino Linotype"/>
                <w:b/>
                <w:i/>
              </w:rPr>
              <w:t xml:space="preserve">RR 2953.rar: </w:t>
            </w:r>
            <w:r w:rsidRPr="00606199">
              <w:rPr>
                <w:rFonts w:ascii="Palatino Linotype" w:eastAsia="Palatino Linotype" w:hAnsi="Palatino Linotype" w:cs="Palatino Linotype"/>
                <w:i/>
              </w:rPr>
              <w:t xml:space="preserve">carpeta zip </w:t>
            </w:r>
          </w:p>
          <w:p w:rsidR="00AF07D5" w:rsidRPr="00606199" w:rsidRDefault="00AF07D5" w:rsidP="00AF07D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rPr>
            </w:pPr>
            <w:r w:rsidRPr="00606199">
              <w:rPr>
                <w:rFonts w:ascii="Palatino Linotype" w:eastAsia="Palatino Linotype" w:hAnsi="Palatino Linotype" w:cs="Palatino Linotype"/>
                <w:b/>
                <w:i/>
              </w:rPr>
              <w:t xml:space="preserve">prima vacacacional 2025.pdf: </w:t>
            </w:r>
            <w:r w:rsidRPr="00606199">
              <w:rPr>
                <w:rFonts w:ascii="Palatino Linotype" w:eastAsia="Palatino Linotype" w:hAnsi="Palatino Linotype" w:cs="Palatino Linotype"/>
                <w:i/>
              </w:rPr>
              <w:t xml:space="preserve">prima vacacional de los servidores públicos del ayuntamiento, de la cual no se conoce el periodo de pago. </w:t>
            </w:r>
          </w:p>
          <w:p w:rsidR="00AF07D5" w:rsidRPr="00606199" w:rsidRDefault="00AF07D5" w:rsidP="00AF07D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rPr>
            </w:pPr>
            <w:r w:rsidRPr="00606199">
              <w:rPr>
                <w:rFonts w:ascii="Palatino Linotype" w:eastAsia="Palatino Linotype" w:hAnsi="Palatino Linotype" w:cs="Palatino Linotype"/>
                <w:b/>
                <w:i/>
              </w:rPr>
              <w:t xml:space="preserve">aguinaldo 2025.pdf: </w:t>
            </w:r>
            <w:r w:rsidRPr="00606199">
              <w:rPr>
                <w:rFonts w:ascii="Palatino Linotype" w:eastAsia="Palatino Linotype" w:hAnsi="Palatino Linotype" w:cs="Palatino Linotype"/>
                <w:i/>
              </w:rPr>
              <w:t xml:space="preserve">aguilando de los servidores públicos del ayuntamiento, del cual no se conoce la fecha de pago. </w:t>
            </w:r>
          </w:p>
          <w:p w:rsidR="00AF07D5" w:rsidRPr="00606199" w:rsidRDefault="00AF07D5" w:rsidP="00AF07D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rPr>
            </w:pPr>
            <w:r w:rsidRPr="00606199">
              <w:rPr>
                <w:rFonts w:ascii="Palatino Linotype" w:eastAsia="Palatino Linotype" w:hAnsi="Palatino Linotype" w:cs="Palatino Linotype"/>
                <w:b/>
                <w:i/>
              </w:rPr>
              <w:t xml:space="preserve">2a quinc Dic 2025.pdf: </w:t>
            </w:r>
            <w:r w:rsidRPr="00606199">
              <w:rPr>
                <w:rFonts w:ascii="Palatino Linotype" w:eastAsia="Palatino Linotype" w:hAnsi="Palatino Linotype" w:cs="Palatino Linotype"/>
                <w:i/>
              </w:rPr>
              <w:t xml:space="preserve">pago de la segunda quincena a los servidores públicos del mes de diciembre. </w:t>
            </w:r>
          </w:p>
          <w:p w:rsidR="00AF07D5" w:rsidRPr="00606199" w:rsidRDefault="00AF07D5" w:rsidP="00AF07D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rPr>
            </w:pPr>
            <w:r w:rsidRPr="00606199">
              <w:rPr>
                <w:rFonts w:ascii="Palatino Linotype" w:eastAsia="Palatino Linotype" w:hAnsi="Palatino Linotype" w:cs="Palatino Linotype"/>
                <w:b/>
                <w:i/>
              </w:rPr>
              <w:t>01 Oficio Resp SIP 25 26 RR 2953 2954 Tes.pdf:</w:t>
            </w:r>
            <w:r w:rsidR="00C10D48" w:rsidRPr="00606199">
              <w:rPr>
                <w:rFonts w:ascii="Palatino Linotype" w:eastAsia="Palatino Linotype" w:hAnsi="Palatino Linotype" w:cs="Palatino Linotype"/>
                <w:b/>
                <w:i/>
              </w:rPr>
              <w:t xml:space="preserve"> </w:t>
            </w:r>
            <w:r w:rsidR="004474A1" w:rsidRPr="00606199">
              <w:rPr>
                <w:rFonts w:ascii="Palatino Linotype" w:eastAsia="Palatino Linotype" w:hAnsi="Palatino Linotype" w:cs="Palatino Linotype"/>
                <w:i/>
              </w:rPr>
              <w:t xml:space="preserve">oficio de la Tesorera Municipal, mediante el cual informa que adjunta los archivos </w:t>
            </w:r>
            <w:r w:rsidR="004474A1" w:rsidRPr="00606199">
              <w:rPr>
                <w:rFonts w:ascii="Palatino Linotype" w:eastAsia="Palatino Linotype" w:hAnsi="Palatino Linotype" w:cs="Palatino Linotype"/>
                <w:i/>
              </w:rPr>
              <w:lastRenderedPageBreak/>
              <w:t>solicitados y respecto al punto tres refiere no se hubo un pago por una quincena adicional a los servidores públicos particularmente la Tesorera Municipal, el Jefe de Adquisiciones, el Secretario Particular, el Chofer y, en su caso, el propio Presidente Municipal.</w:t>
            </w:r>
            <w:r w:rsidRPr="00606199">
              <w:rPr>
                <w:rFonts w:ascii="Palatino Linotype" w:eastAsia="Palatino Linotype" w:hAnsi="Palatino Linotype" w:cs="Palatino Linotype"/>
                <w:b/>
                <w:i/>
              </w:rPr>
              <w:t xml:space="preserve"> </w:t>
            </w:r>
          </w:p>
        </w:tc>
      </w:tr>
      <w:tr w:rsidR="00B50F3B" w:rsidRPr="00606199" w:rsidTr="00B1161A">
        <w:trPr>
          <w:jc w:val="center"/>
        </w:trPr>
        <w:tc>
          <w:tcPr>
            <w:cnfStyle w:val="001000000000" w:firstRow="0" w:lastRow="0" w:firstColumn="1" w:lastColumn="0" w:oddVBand="0" w:evenVBand="0" w:oddHBand="0" w:evenHBand="0" w:firstRowFirstColumn="0" w:firstRowLastColumn="0" w:lastRowFirstColumn="0" w:lastRowLastColumn="0"/>
            <w:tcW w:w="3838" w:type="dxa"/>
          </w:tcPr>
          <w:p w:rsidR="00B50F3B" w:rsidRPr="00606199" w:rsidRDefault="008524A6" w:rsidP="00C10D48">
            <w:pPr>
              <w:ind w:right="900"/>
              <w:jc w:val="both"/>
              <w:rPr>
                <w:rFonts w:ascii="Palatino Linotype" w:eastAsia="Palatino Linotype" w:hAnsi="Palatino Linotype" w:cs="Palatino Linotype"/>
                <w:b w:val="0"/>
                <w:i/>
              </w:rPr>
            </w:pPr>
            <w:r w:rsidRPr="00606199">
              <w:rPr>
                <w:rFonts w:ascii="Palatino Linotype" w:eastAsia="Palatino Linotype" w:hAnsi="Palatino Linotype" w:cs="Palatino Linotype"/>
                <w:b w:val="0"/>
                <w:i/>
              </w:rPr>
              <w:lastRenderedPageBreak/>
              <w:t>00026/TEPETLIX/IP/2026</w:t>
            </w:r>
          </w:p>
          <w:p w:rsidR="00B50F3B" w:rsidRPr="00606199" w:rsidRDefault="00B50F3B" w:rsidP="00C10D48">
            <w:pPr>
              <w:ind w:right="900"/>
              <w:jc w:val="both"/>
              <w:rPr>
                <w:rFonts w:ascii="Palatino Linotype" w:eastAsia="Palatino Linotype" w:hAnsi="Palatino Linotype" w:cs="Palatino Linotype"/>
                <w:b w:val="0"/>
                <w:i/>
              </w:rPr>
            </w:pPr>
          </w:p>
          <w:p w:rsidR="00B50F3B" w:rsidRPr="00606199" w:rsidRDefault="00E157C0" w:rsidP="00C10D48">
            <w:pPr>
              <w:jc w:val="both"/>
              <w:rPr>
                <w:rFonts w:ascii="Palatino Linotype" w:eastAsia="Palatino Linotype" w:hAnsi="Palatino Linotype" w:cs="Palatino Linotype"/>
                <w:i/>
              </w:rPr>
            </w:pPr>
            <w:r w:rsidRPr="00606199">
              <w:rPr>
                <w:rFonts w:ascii="Palatino Linotype" w:eastAsia="Palatino Linotype" w:hAnsi="Palatino Linotype" w:cs="Palatino Linotype"/>
                <w:b w:val="0"/>
                <w:i/>
              </w:rPr>
              <w:t>02954/INFOEM/IP/RR/2026</w:t>
            </w:r>
          </w:p>
        </w:tc>
        <w:tc>
          <w:tcPr>
            <w:tcW w:w="4990" w:type="dxa"/>
          </w:tcPr>
          <w:p w:rsidR="00B50F3B" w:rsidRPr="00606199" w:rsidRDefault="001301EA" w:rsidP="00C10D4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rPr>
            </w:pPr>
            <w:r w:rsidRPr="00606199">
              <w:rPr>
                <w:rFonts w:ascii="Palatino Linotype" w:eastAsia="Palatino Linotype" w:hAnsi="Palatino Linotype" w:cs="Palatino Linotype"/>
                <w:b/>
                <w:i/>
              </w:rPr>
              <w:t xml:space="preserve">RR 2954.rar: </w:t>
            </w:r>
            <w:r w:rsidRPr="00606199">
              <w:rPr>
                <w:rFonts w:ascii="Palatino Linotype" w:eastAsia="Palatino Linotype" w:hAnsi="Palatino Linotype" w:cs="Palatino Linotype"/>
                <w:i/>
              </w:rPr>
              <w:t xml:space="preserve">carpeta zip </w:t>
            </w:r>
          </w:p>
          <w:p w:rsidR="001301EA" w:rsidRPr="00606199" w:rsidRDefault="001301EA" w:rsidP="001301E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rPr>
            </w:pPr>
            <w:r w:rsidRPr="00606199">
              <w:rPr>
                <w:rFonts w:ascii="Palatino Linotype" w:eastAsia="Palatino Linotype" w:hAnsi="Palatino Linotype" w:cs="Palatino Linotype"/>
                <w:b/>
                <w:i/>
              </w:rPr>
              <w:t xml:space="preserve">02 1A QNA ENE 2026.pdf: </w:t>
            </w:r>
            <w:r w:rsidRPr="00606199">
              <w:rPr>
                <w:rFonts w:ascii="Palatino Linotype" w:eastAsia="Palatino Linotype" w:hAnsi="Palatino Linotype" w:cs="Palatino Linotype"/>
                <w:i/>
              </w:rPr>
              <w:t xml:space="preserve">documento que contiene el pago de la primera quincena de dos mil veintiséis de los servidores públicos del ayuntamiento. </w:t>
            </w:r>
          </w:p>
          <w:p w:rsidR="001301EA" w:rsidRPr="00606199" w:rsidRDefault="001301EA" w:rsidP="001301E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rPr>
            </w:pPr>
            <w:r w:rsidRPr="00606199">
              <w:rPr>
                <w:rFonts w:ascii="Palatino Linotype" w:eastAsia="Palatino Linotype" w:hAnsi="Palatino Linotype" w:cs="Palatino Linotype"/>
                <w:b/>
                <w:i/>
              </w:rPr>
              <w:t>Oficio Resp SIP 25 26 RR 2953 2954 Tes.pdf:</w:t>
            </w:r>
            <w:r w:rsidR="0063669A" w:rsidRPr="00606199">
              <w:rPr>
                <w:rFonts w:ascii="Palatino Linotype" w:eastAsia="Palatino Linotype" w:hAnsi="Palatino Linotype" w:cs="Palatino Linotype"/>
                <w:b/>
                <w:i/>
              </w:rPr>
              <w:t xml:space="preserve"> </w:t>
            </w:r>
            <w:r w:rsidRPr="00606199">
              <w:rPr>
                <w:rFonts w:ascii="Palatino Linotype" w:eastAsia="Palatino Linotype" w:hAnsi="Palatino Linotype" w:cs="Palatino Linotype"/>
                <w:b/>
                <w:i/>
              </w:rPr>
              <w:t xml:space="preserve"> </w:t>
            </w:r>
            <w:r w:rsidR="00ED1548" w:rsidRPr="00606199">
              <w:rPr>
                <w:rFonts w:ascii="Palatino Linotype" w:eastAsia="Palatino Linotype" w:hAnsi="Palatino Linotype" w:cs="Palatino Linotype"/>
                <w:i/>
              </w:rPr>
              <w:t>oficio de la Tesorera Municipal, mediante el cual informa que adjunta los archivos solicitados</w:t>
            </w:r>
          </w:p>
        </w:tc>
      </w:tr>
    </w:tbl>
    <w:p w:rsidR="00B50F3B" w:rsidRPr="00606199" w:rsidRDefault="00B50F3B" w:rsidP="00B50F3B">
      <w:pPr>
        <w:pBdr>
          <w:top w:val="nil"/>
          <w:left w:val="nil"/>
          <w:bottom w:val="nil"/>
          <w:right w:val="nil"/>
          <w:between w:val="nil"/>
        </w:pBdr>
        <w:ind w:left="720"/>
        <w:rPr>
          <w:rFonts w:ascii="Palatino Linotype" w:eastAsia="Palatino Linotype" w:hAnsi="Palatino Linotype" w:cs="Palatino Linotype"/>
          <w:i/>
          <w:color w:val="000000"/>
        </w:rPr>
      </w:pPr>
    </w:p>
    <w:p w:rsidR="00B50F3B" w:rsidRPr="00606199" w:rsidRDefault="00B50F3B" w:rsidP="00B50F3B">
      <w:pPr>
        <w:rPr>
          <w:rFonts w:ascii="Palatino Linotype" w:eastAsia="Palatino Linotype" w:hAnsi="Palatino Linotype" w:cs="Palatino Linotype"/>
          <w:color w:val="000000"/>
          <w:highlight w:val="white"/>
        </w:rPr>
      </w:pPr>
      <w:bookmarkStart w:id="0" w:name="_heading=h.3znysh7" w:colFirst="0" w:colLast="0"/>
      <w:bookmarkEnd w:id="0"/>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b/>
          <w:color w:val="000000"/>
        </w:rPr>
      </w:pPr>
      <w:r w:rsidRPr="00606199">
        <w:rPr>
          <w:rFonts w:ascii="Palatino Linotype" w:eastAsia="Palatino Linotype" w:hAnsi="Palatino Linotype" w:cs="Palatino Linotype"/>
          <w:color w:val="000000"/>
          <w:highlight w:val="white"/>
        </w:rPr>
        <w:t xml:space="preserve">Seguidamente, mediante acuerdo de fecha </w:t>
      </w:r>
      <w:r w:rsidR="00FE64A8" w:rsidRPr="00606199">
        <w:rPr>
          <w:rFonts w:ascii="Palatino Linotype" w:eastAsia="Palatino Linotype" w:hAnsi="Palatino Linotype" w:cs="Palatino Linotype"/>
          <w:b/>
          <w:color w:val="000000"/>
          <w:highlight w:val="white"/>
        </w:rPr>
        <w:t>quince de julio de dos mil veinticinco</w:t>
      </w:r>
      <w:r w:rsidRPr="00606199">
        <w:rPr>
          <w:rFonts w:ascii="Palatino Linotype" w:eastAsia="Palatino Linotype" w:hAnsi="Palatino Linotype" w:cs="Palatino Linotype"/>
          <w:b/>
          <w:color w:val="000000"/>
          <w:highlight w:val="white"/>
        </w:rPr>
        <w:t xml:space="preserve">, </w:t>
      </w:r>
      <w:r w:rsidRPr="00606199">
        <w:rPr>
          <w:rFonts w:ascii="Palatino Linotype" w:eastAsia="Palatino Linotype" w:hAnsi="Palatino Linotype" w:cs="Palatino Linotype"/>
          <w:color w:val="000000"/>
          <w:highlight w:val="white"/>
        </w:rPr>
        <w:t xml:space="preserve"> se decretó el cierre de instrucción, por lo que no habiendo más que hacer constar, y</w:t>
      </w:r>
    </w:p>
    <w:p w:rsidR="00B50F3B" w:rsidRPr="00606199" w:rsidRDefault="00B50F3B" w:rsidP="00B50F3B">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B50F3B" w:rsidRPr="00606199" w:rsidRDefault="00B50F3B" w:rsidP="00B50F3B">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606199">
        <w:rPr>
          <w:rFonts w:ascii="Palatino Linotype" w:eastAsia="Palatino Linotype" w:hAnsi="Palatino Linotype" w:cs="Palatino Linotype"/>
          <w:b/>
          <w:color w:val="000000"/>
        </w:rPr>
        <w:t>C O N S I D E R A N D O</w:t>
      </w:r>
    </w:p>
    <w:p w:rsidR="00B50F3B" w:rsidRPr="00606199" w:rsidRDefault="00B50F3B" w:rsidP="00B50F3B">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B50F3B" w:rsidRPr="00606199" w:rsidRDefault="00B50F3B" w:rsidP="00B50F3B">
      <w:pPr>
        <w:pStyle w:val="Ttulo2"/>
        <w:spacing w:before="0" w:line="360" w:lineRule="auto"/>
        <w:rPr>
          <w:rFonts w:ascii="Palatino Linotype" w:eastAsia="Palatino Linotype" w:hAnsi="Palatino Linotype" w:cs="Palatino Linotype"/>
          <w:b/>
          <w:color w:val="000000"/>
          <w:sz w:val="24"/>
          <w:szCs w:val="24"/>
        </w:rPr>
      </w:pPr>
      <w:bookmarkStart w:id="1" w:name="_heading=h.2et92p0" w:colFirst="0" w:colLast="0"/>
      <w:bookmarkEnd w:id="1"/>
      <w:r w:rsidRPr="00606199">
        <w:rPr>
          <w:rFonts w:ascii="Palatino Linotype" w:eastAsia="Palatino Linotype" w:hAnsi="Palatino Linotype" w:cs="Palatino Linotype"/>
          <w:b/>
          <w:color w:val="000000"/>
          <w:sz w:val="24"/>
          <w:szCs w:val="24"/>
        </w:rPr>
        <w:t>PRIMERO. De la competencia</w:t>
      </w:r>
    </w:p>
    <w:p w:rsidR="00B50F3B" w:rsidRPr="00606199" w:rsidRDefault="00B50F3B" w:rsidP="00B50F3B">
      <w:pPr>
        <w:numPr>
          <w:ilvl w:val="0"/>
          <w:numId w:val="8"/>
        </w:numPr>
        <w:spacing w:line="360" w:lineRule="auto"/>
        <w:ind w:left="0" w:firstLine="0"/>
        <w:jc w:val="both"/>
        <w:rPr>
          <w:color w:val="000000"/>
        </w:rPr>
      </w:pPr>
      <w:r w:rsidRPr="00606199">
        <w:rPr>
          <w:rFonts w:ascii="Palatino Linotype" w:eastAsia="Palatino Linotype" w:hAnsi="Palatino Linotype" w:cs="Palatino Linotype"/>
          <w:color w:val="000000"/>
        </w:rPr>
        <w:t xml:space="preserve">Este Instituto de Transparencia, Acceso a la Información Pública y Protección de Datos </w:t>
      </w:r>
      <w:r w:rsidRPr="00606199">
        <w:rPr>
          <w:rFonts w:ascii="Palatino Linotype" w:eastAsia="Palatino Linotype" w:hAnsi="Palatino Linotype" w:cs="Palatino Linotype"/>
          <w:color w:val="000000"/>
          <w:highlight w:val="white"/>
        </w:rPr>
        <w:t>Personales</w:t>
      </w:r>
      <w:r w:rsidRPr="00606199">
        <w:rPr>
          <w:rFonts w:ascii="Palatino Linotype" w:eastAsia="Palatino Linotype" w:hAnsi="Palatino Linotype" w:cs="Palatino Linotype"/>
          <w:color w:val="000000"/>
        </w:rPr>
        <w:t xml:space="preserve"> del Estado de México y Municipios es competente para conocer y resolver el presente </w:t>
      </w:r>
      <w:r w:rsidRPr="00606199">
        <w:rPr>
          <w:rFonts w:ascii="Palatino Linotype" w:eastAsia="Palatino Linotype" w:hAnsi="Palatino Linotype" w:cs="Palatino Linotype"/>
          <w:color w:val="000000"/>
          <w:highlight w:val="white"/>
        </w:rPr>
        <w:t>Recurso</w:t>
      </w:r>
      <w:r w:rsidRPr="00606199">
        <w:rPr>
          <w:rFonts w:ascii="Palatino Linotype" w:eastAsia="Palatino Linotype" w:hAnsi="Palatino Linotype" w:cs="Palatino Linotype"/>
          <w:color w:val="000000"/>
        </w:rPr>
        <w:t xml:space="preserve">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w:t>
      </w:r>
      <w:r w:rsidRPr="00606199">
        <w:rPr>
          <w:rFonts w:ascii="Palatino Linotype" w:eastAsia="Palatino Linotype" w:hAnsi="Palatino Linotype" w:cs="Palatino Linotype"/>
          <w:color w:val="000000"/>
        </w:rPr>
        <w:lastRenderedPageBreak/>
        <w:t>Instituto de Transparencia, Acceso a la Información Pública y Protección de Datos Personales del Estado de México y Municipios..</w:t>
      </w:r>
    </w:p>
    <w:p w:rsidR="00B50F3B" w:rsidRPr="00606199" w:rsidRDefault="00B50F3B" w:rsidP="00B50F3B">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B50F3B" w:rsidRPr="00606199" w:rsidRDefault="00B50F3B" w:rsidP="00B50F3B">
      <w:pPr>
        <w:pStyle w:val="Ttulo2"/>
        <w:spacing w:before="0" w:line="360" w:lineRule="auto"/>
        <w:rPr>
          <w:rFonts w:ascii="Palatino Linotype" w:eastAsia="Palatino Linotype" w:hAnsi="Palatino Linotype" w:cs="Palatino Linotype"/>
          <w:b/>
          <w:color w:val="000000"/>
          <w:sz w:val="24"/>
          <w:szCs w:val="24"/>
        </w:rPr>
      </w:pPr>
      <w:bookmarkStart w:id="2" w:name="_heading=h.tyjcwt" w:colFirst="0" w:colLast="0"/>
      <w:bookmarkEnd w:id="2"/>
      <w:r w:rsidRPr="00606199">
        <w:rPr>
          <w:rFonts w:ascii="Palatino Linotype" w:eastAsia="Palatino Linotype" w:hAnsi="Palatino Linotype" w:cs="Palatino Linotype"/>
          <w:b/>
          <w:color w:val="000000"/>
          <w:sz w:val="24"/>
          <w:szCs w:val="24"/>
        </w:rPr>
        <w:t>SEGUNDO. De la oportunidad y procedencia.</w:t>
      </w: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rPr>
        <w:t xml:space="preserve">Es de precisar, que la Ley de Transparencia y Acceso a la Información Pública del Estado de México y Municipios, en el artículo 178 describe la procedencia del recurso de revisión, </w:t>
      </w:r>
      <w:r w:rsidRPr="00606199">
        <w:rPr>
          <w:rFonts w:ascii="Palatino Linotype" w:eastAsia="Palatino Linotype" w:hAnsi="Palatino Linotype" w:cs="Palatino Linotype"/>
          <w:color w:val="000000"/>
          <w:highlight w:val="white"/>
        </w:rPr>
        <w:t>asimismo</w:t>
      </w:r>
      <w:r w:rsidRPr="00606199">
        <w:rPr>
          <w:rFonts w:ascii="Palatino Linotype" w:eastAsia="Palatino Linotype" w:hAnsi="Palatino Linotype" w:cs="Palatino Linotype"/>
        </w:rPr>
        <w:t xml:space="preserve"> señala que el plazo del </w:t>
      </w:r>
      <w:r w:rsidRPr="00606199">
        <w:rPr>
          <w:rFonts w:ascii="Palatino Linotype" w:eastAsia="Palatino Linotype" w:hAnsi="Palatino Linotype" w:cs="Palatino Linotype"/>
          <w:b/>
        </w:rPr>
        <w:t>SUJETO OBLIGADO</w:t>
      </w:r>
      <w:r w:rsidRPr="00606199">
        <w:rPr>
          <w:rFonts w:ascii="Palatino Linotype" w:eastAsia="Palatino Linotype" w:hAnsi="Palatino Linotype" w:cs="Palatino Linotype"/>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B50F3B" w:rsidRPr="00606199" w:rsidRDefault="00B50F3B" w:rsidP="00B50F3B">
      <w:pPr>
        <w:tabs>
          <w:tab w:val="left" w:pos="284"/>
        </w:tabs>
        <w:spacing w:line="360" w:lineRule="auto"/>
        <w:jc w:val="both"/>
        <w:rPr>
          <w:rFonts w:ascii="Palatino Linotype" w:eastAsia="Palatino Linotype" w:hAnsi="Palatino Linotype" w:cs="Palatino Linotype"/>
          <w:color w:val="000000"/>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rPr>
        <w:t xml:space="preserve">Por ende, se constituye la figura jurídica de la </w:t>
      </w:r>
      <w:r w:rsidRPr="00606199">
        <w:rPr>
          <w:rFonts w:ascii="Palatino Linotype" w:eastAsia="Palatino Linotype" w:hAnsi="Palatino Linotype" w:cs="Palatino Linotype"/>
          <w:i/>
        </w:rPr>
        <w:t>negativa ficta</w:t>
      </w:r>
      <w:r w:rsidRPr="00606199">
        <w:rPr>
          <w:rFonts w:ascii="Palatino Linotype" w:eastAsia="Palatino Linotype" w:hAnsi="Palatino Linotype" w:cs="Palatino Linotype"/>
        </w:rPr>
        <w:t xml:space="preserve">, cuya esencia es atribuir un efecto negativo al silencio de la autoridad administrativa frente a las instancias y solicitudes que hagan los particulares, lo cual encuentra sustento en lo que establece el artículo </w:t>
      </w:r>
      <w:r w:rsidRPr="00606199">
        <w:rPr>
          <w:rFonts w:ascii="Palatino Linotype" w:eastAsia="Palatino Linotype" w:hAnsi="Palatino Linotype" w:cs="Palatino Linotype"/>
          <w:b/>
        </w:rPr>
        <w:t>178</w:t>
      </w:r>
      <w:r w:rsidRPr="00606199">
        <w:rPr>
          <w:rFonts w:ascii="Palatino Linotype" w:eastAsia="Palatino Linotype" w:hAnsi="Palatino Linotype" w:cs="Palatino Linotype"/>
        </w:rPr>
        <w:t xml:space="preserve"> </w:t>
      </w:r>
      <w:r w:rsidRPr="00606199">
        <w:rPr>
          <w:rFonts w:ascii="Palatino Linotype" w:eastAsia="Palatino Linotype" w:hAnsi="Palatino Linotype" w:cs="Palatino Linotype"/>
          <w:color w:val="000000"/>
          <w:highlight w:val="white"/>
        </w:rPr>
        <w:t>segundo</w:t>
      </w:r>
      <w:r w:rsidRPr="00606199">
        <w:rPr>
          <w:rFonts w:ascii="Palatino Linotype" w:eastAsia="Palatino Linotype" w:hAnsi="Palatino Linotype" w:cs="Palatino Linotype"/>
        </w:rPr>
        <w:t xml:space="preserve"> párrafo de </w:t>
      </w:r>
      <w:r w:rsidRPr="00606199">
        <w:rPr>
          <w:rFonts w:ascii="Palatino Linotype" w:eastAsia="Palatino Linotype" w:hAnsi="Palatino Linotype" w:cs="Palatino Linotype"/>
          <w:b/>
        </w:rPr>
        <w:t>Ley de Transparencia y Acceso a la Información Pública del Estado de México y Municipios</w:t>
      </w:r>
      <w:r w:rsidRPr="00606199">
        <w:rPr>
          <w:rFonts w:ascii="Palatino Linotype" w:eastAsia="Palatino Linotype" w:hAnsi="Palatino Linotype" w:cs="Palatino Linotype"/>
          <w:color w:val="000000"/>
          <w:highlight w:val="white"/>
        </w:rPr>
        <w:t xml:space="preserve">, que dispone; ante la falta de respuesta del </w:t>
      </w:r>
      <w:r w:rsidRPr="00606199">
        <w:rPr>
          <w:rFonts w:ascii="Palatino Linotype" w:eastAsia="Palatino Linotype" w:hAnsi="Palatino Linotype" w:cs="Palatino Linotype"/>
          <w:b/>
          <w:color w:val="000000"/>
          <w:highlight w:val="white"/>
        </w:rPr>
        <w:t>SUJETO OBLIGADO,</w:t>
      </w:r>
      <w:r w:rsidRPr="00606199">
        <w:rPr>
          <w:rFonts w:ascii="Palatino Linotype" w:eastAsia="Palatino Linotype" w:hAnsi="Palatino Linotype" w:cs="Palatino Linotype"/>
          <w:color w:val="000000"/>
          <w:highlight w:val="white"/>
        </w:rPr>
        <w:t xml:space="preserve"> dentro de los plazos establecidos en esta Ley, a una solicitud de acceso a la información pública, el recurso </w:t>
      </w:r>
      <w:r w:rsidRPr="00606199">
        <w:rPr>
          <w:rFonts w:ascii="Palatino Linotype" w:eastAsia="Palatino Linotype" w:hAnsi="Palatino Linotype" w:cs="Palatino Linotype"/>
          <w:b/>
          <w:color w:val="000000"/>
          <w:highlight w:val="white"/>
        </w:rPr>
        <w:t xml:space="preserve">podrá ser interpuesto en cualquier momento. </w:t>
      </w:r>
    </w:p>
    <w:p w:rsidR="00B50F3B" w:rsidRPr="00606199" w:rsidRDefault="00B50F3B" w:rsidP="00B50F3B">
      <w:pPr>
        <w:tabs>
          <w:tab w:val="left" w:pos="284"/>
        </w:tabs>
        <w:spacing w:line="360" w:lineRule="auto"/>
        <w:jc w:val="both"/>
        <w:rPr>
          <w:rFonts w:ascii="Palatino Linotype" w:eastAsia="Palatino Linotype" w:hAnsi="Palatino Linotype" w:cs="Palatino Linotype"/>
          <w:color w:val="000000"/>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rPr>
        <w:t xml:space="preserve">Por lo que, tratándose de la </w:t>
      </w:r>
      <w:r w:rsidRPr="00606199">
        <w:rPr>
          <w:rFonts w:ascii="Palatino Linotype" w:eastAsia="Palatino Linotype" w:hAnsi="Palatino Linotype" w:cs="Palatino Linotype"/>
          <w:i/>
        </w:rPr>
        <w:t>negativa ficta</w:t>
      </w:r>
      <w:r w:rsidRPr="00606199">
        <w:rPr>
          <w:rFonts w:ascii="Palatino Linotype" w:eastAsia="Palatino Linotype" w:hAnsi="Palatino Linotype" w:cs="Palatino Linotype"/>
        </w:rPr>
        <w:t xml:space="preserve"> no existe respuesta que se haga del conocimiento al particular, a partir de la cual pueda computarse el plazo legal establecido, por tal motivo es pertinente señalar que no existe plazo para la interposición del recurso de revisión, </w:t>
      </w:r>
      <w:r w:rsidRPr="00606199">
        <w:rPr>
          <w:rFonts w:ascii="Palatino Linotype" w:eastAsia="Palatino Linotype" w:hAnsi="Palatino Linotype" w:cs="Palatino Linotype"/>
          <w:color w:val="000000"/>
          <w:highlight w:val="white"/>
        </w:rPr>
        <w:t>sirviendo</w:t>
      </w:r>
      <w:r w:rsidRPr="00606199">
        <w:rPr>
          <w:rFonts w:ascii="Palatino Linotype" w:eastAsia="Palatino Linotype" w:hAnsi="Palatino Linotype" w:cs="Palatino Linotype"/>
        </w:rPr>
        <w:t xml:space="preserve"> de apoyo a lo anterior lo que dispone el Criterio de Interpretación en el </w:t>
      </w:r>
      <w:r w:rsidRPr="00606199">
        <w:rPr>
          <w:rFonts w:ascii="Palatino Linotype" w:eastAsia="Palatino Linotype" w:hAnsi="Palatino Linotype" w:cs="Palatino Linotype"/>
        </w:rPr>
        <w:lastRenderedPageBreak/>
        <w:t xml:space="preserve">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606199">
        <w:rPr>
          <w:rFonts w:ascii="Palatino Linotype" w:eastAsia="Palatino Linotype" w:hAnsi="Palatino Linotype" w:cs="Palatino Linotype"/>
          <w:i/>
        </w:rPr>
        <w:t>negativa ficta</w:t>
      </w:r>
      <w:r w:rsidRPr="00606199">
        <w:rPr>
          <w:rFonts w:ascii="Palatino Linotype" w:eastAsia="Palatino Linotype" w:hAnsi="Palatino Linotype" w:cs="Palatino Linotype"/>
        </w:rPr>
        <w:t>, que señala:</w:t>
      </w:r>
    </w:p>
    <w:p w:rsidR="00B50F3B" w:rsidRPr="00606199" w:rsidRDefault="00B50F3B" w:rsidP="00B50F3B">
      <w:pPr>
        <w:tabs>
          <w:tab w:val="left" w:pos="284"/>
          <w:tab w:val="left" w:pos="7655"/>
          <w:tab w:val="left" w:pos="7938"/>
        </w:tabs>
        <w:spacing w:after="240"/>
        <w:ind w:left="1134" w:right="1106"/>
        <w:jc w:val="center"/>
        <w:rPr>
          <w:rFonts w:ascii="Palatino Linotype" w:eastAsia="Palatino Linotype" w:hAnsi="Palatino Linotype" w:cs="Palatino Linotype"/>
          <w:b/>
        </w:rPr>
      </w:pPr>
      <w:r w:rsidRPr="00606199">
        <w:rPr>
          <w:rFonts w:ascii="Palatino Linotype" w:eastAsia="Palatino Linotype" w:hAnsi="Palatino Linotype" w:cs="Palatino Linotype"/>
          <w:b/>
        </w:rPr>
        <w:t>Criterio 0001-15</w:t>
      </w:r>
    </w:p>
    <w:p w:rsidR="00B50F3B" w:rsidRPr="00606199" w:rsidRDefault="00B50F3B" w:rsidP="00B50F3B">
      <w:pPr>
        <w:tabs>
          <w:tab w:val="left" w:pos="284"/>
          <w:tab w:val="left" w:pos="7655"/>
          <w:tab w:val="left" w:pos="7938"/>
        </w:tabs>
        <w:spacing w:before="240" w:after="240"/>
        <w:ind w:left="1134" w:right="1106"/>
        <w:jc w:val="both"/>
        <w:rPr>
          <w:rFonts w:ascii="Palatino Linotype" w:eastAsia="Palatino Linotype" w:hAnsi="Palatino Linotype" w:cs="Palatino Linotype"/>
          <w:i/>
        </w:rPr>
      </w:pPr>
      <w:r w:rsidRPr="00606199">
        <w:rPr>
          <w:rFonts w:ascii="Palatino Linotype" w:eastAsia="Palatino Linotype" w:hAnsi="Palatino Linotype" w:cs="Palatino Linotype"/>
          <w:b/>
          <w:i/>
        </w:rPr>
        <w:t>NEGATIVA FICTA. PLAZO PARA INTERPONER EL RECURSO DE REVISIÓN TRATÁNDOSE DE.</w:t>
      </w:r>
      <w:r w:rsidRPr="00606199">
        <w:rPr>
          <w:rFonts w:ascii="Palatino Linotype" w:eastAsia="Palatino Linotype" w:hAnsi="Palatino Linotype" w:cs="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B50F3B" w:rsidRPr="00606199" w:rsidRDefault="00B50F3B" w:rsidP="00B50F3B">
      <w:pPr>
        <w:tabs>
          <w:tab w:val="left" w:pos="284"/>
          <w:tab w:val="left" w:pos="7655"/>
        </w:tabs>
        <w:spacing w:before="240" w:after="240"/>
        <w:ind w:right="822"/>
        <w:jc w:val="both"/>
        <w:rPr>
          <w:rFonts w:ascii="Palatino Linotype" w:eastAsia="Palatino Linotype" w:hAnsi="Palatino Linotype" w:cs="Palatino Linotype"/>
          <w:i/>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Lo anterior, se explica porque la </w:t>
      </w:r>
      <w:r w:rsidRPr="00606199">
        <w:rPr>
          <w:rFonts w:ascii="Palatino Linotype" w:eastAsia="Palatino Linotype" w:hAnsi="Palatino Linotype" w:cs="Palatino Linotype"/>
          <w:b/>
          <w:color w:val="000000"/>
          <w:u w:val="single"/>
        </w:rPr>
        <w:t>posible ausencia</w:t>
      </w:r>
      <w:r w:rsidRPr="00606199">
        <w:rPr>
          <w:rFonts w:ascii="Palatino Linotype" w:eastAsia="Palatino Linotype" w:hAnsi="Palatino Linotype" w:cs="Palatino Linotype"/>
          <w:color w:val="000000"/>
        </w:rPr>
        <w:t xml:space="preserve"> de una respuesta en la solicitud constituye un acto que vulnera el derecho de manera continua y actualizable cada día en tanto, no se emita la respuesta a la que esté impuesto el </w:t>
      </w:r>
      <w:r w:rsidRPr="00606199">
        <w:rPr>
          <w:rFonts w:ascii="Palatino Linotype" w:eastAsia="Palatino Linotype" w:hAnsi="Palatino Linotype" w:cs="Palatino Linotype"/>
          <w:b/>
          <w:color w:val="000000"/>
        </w:rPr>
        <w:t>SUJETO OBLIGADO</w:t>
      </w:r>
      <w:r w:rsidRPr="00606199">
        <w:rPr>
          <w:rFonts w:ascii="Palatino Linotype" w:eastAsia="Palatino Linotype" w:hAnsi="Palatino Linotype" w:cs="Palatino Linotype"/>
          <w:color w:val="000000"/>
        </w:rPr>
        <w:t>.</w:t>
      </w:r>
    </w:p>
    <w:p w:rsidR="00B50F3B" w:rsidRPr="00606199" w:rsidRDefault="00B50F3B" w:rsidP="00B50F3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50F3B" w:rsidRPr="00606199" w:rsidRDefault="00B50F3B" w:rsidP="00B50F3B">
      <w:pPr>
        <w:numPr>
          <w:ilvl w:val="0"/>
          <w:numId w:val="8"/>
        </w:numPr>
        <w:spacing w:line="360" w:lineRule="auto"/>
        <w:ind w:left="0" w:firstLine="0"/>
        <w:jc w:val="both"/>
        <w:rPr>
          <w:color w:val="000000"/>
        </w:rPr>
      </w:pPr>
      <w:r w:rsidRPr="00606199">
        <w:rPr>
          <w:rFonts w:ascii="Palatino Linotype" w:eastAsia="Palatino Linotype" w:hAnsi="Palatino Linotype" w:cs="Palatino Linotype"/>
          <w:color w:val="000000"/>
        </w:rPr>
        <w:t xml:space="preserve">Por otro lado, es de suma importancia señalar que la parte recurrente no proporciona un nombre o </w:t>
      </w:r>
      <w:r w:rsidRPr="00606199">
        <w:rPr>
          <w:rFonts w:ascii="Palatino Linotype" w:eastAsia="Palatino Linotype" w:hAnsi="Palatino Linotype" w:cs="Palatino Linotype"/>
          <w:color w:val="000000"/>
          <w:highlight w:val="white"/>
        </w:rPr>
        <w:t>datos</w:t>
      </w:r>
      <w:r w:rsidRPr="00606199">
        <w:rPr>
          <w:rFonts w:ascii="Palatino Linotype" w:eastAsia="Palatino Linotype" w:hAnsi="Palatino Linotype" w:cs="Palatino Linotype"/>
          <w:color w:val="000000"/>
        </w:rPr>
        <w:t xml:space="preserve"> de identificación como se advierte en el detalle de seguimiento del SAIMEX, </w:t>
      </w:r>
      <w:r w:rsidRPr="00606199">
        <w:rPr>
          <w:rFonts w:ascii="Palatino Linotype" w:eastAsia="Palatino Linotype" w:hAnsi="Palatino Linotype" w:cs="Palatino Linotype"/>
          <w:color w:val="000000"/>
        </w:rPr>
        <w:lastRenderedPageBreak/>
        <w:t>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r w:rsidRPr="00606199">
        <w:rPr>
          <w:rFonts w:ascii="Palatino Linotype" w:eastAsia="Palatino Linotype" w:hAnsi="Palatino Linotype" w:cs="Palatino Linotype"/>
          <w:b/>
          <w:i/>
        </w:rPr>
        <w:t>Las solicitudes anónimas</w:t>
      </w:r>
      <w:r w:rsidRPr="00606199">
        <w:rPr>
          <w:rFonts w:ascii="Palatino Linotype" w:eastAsia="Palatino Linotype" w:hAnsi="Palatino Linotype" w:cs="Palatino Linotype"/>
          <w:i/>
        </w:rPr>
        <w:t xml:space="preserve">, con nombre incompleto o seudónimo </w:t>
      </w:r>
      <w:r w:rsidRPr="00606199">
        <w:rPr>
          <w:rFonts w:ascii="Palatino Linotype" w:eastAsia="Palatino Linotype" w:hAnsi="Palatino Linotype" w:cs="Palatino Linotype"/>
          <w:b/>
          <w:i/>
        </w:rPr>
        <w:t>serán procedentes para su trámite por parte del sujeto obligado ante quien se presente</w:t>
      </w:r>
      <w:r w:rsidRPr="00606199">
        <w:rPr>
          <w:rFonts w:ascii="Palatino Linotype" w:eastAsia="Palatino Linotype" w:hAnsi="Palatino Linotype" w:cs="Palatino Linotype"/>
          <w:i/>
        </w:rPr>
        <w:t>. No podrá requerirse información adicional con motivo del nombre proporcionado por el solicitante."</w:t>
      </w:r>
    </w:p>
    <w:p w:rsidR="00B50F3B" w:rsidRPr="00606199" w:rsidRDefault="00B50F3B" w:rsidP="00B50F3B">
      <w:pPr>
        <w:ind w:left="1134" w:right="900"/>
        <w:jc w:val="both"/>
        <w:rPr>
          <w:rFonts w:ascii="Palatino Linotype" w:eastAsia="Palatino Linotype" w:hAnsi="Palatino Linotype" w:cs="Palatino Linotype"/>
          <w:i/>
        </w:rPr>
      </w:pPr>
    </w:p>
    <w:p w:rsidR="00B50F3B" w:rsidRPr="00606199" w:rsidRDefault="00B50F3B" w:rsidP="00B50F3B">
      <w:pPr>
        <w:numPr>
          <w:ilvl w:val="0"/>
          <w:numId w:val="8"/>
        </w:numPr>
        <w:spacing w:line="360" w:lineRule="auto"/>
        <w:ind w:left="0" w:firstLine="0"/>
        <w:jc w:val="both"/>
        <w:rPr>
          <w:color w:val="000000"/>
        </w:rPr>
      </w:pPr>
      <w:r w:rsidRPr="00606199">
        <w:rPr>
          <w:rFonts w:ascii="Palatino Linotype" w:eastAsia="Palatino Linotype" w:hAnsi="Palatino Linotype" w:cs="Palatino Linotype"/>
          <w:color w:val="000000"/>
        </w:rPr>
        <w:t xml:space="preserve">Robusteciendo lo anterior se encuentra lo dispuesto en el artículo 6, Apartado A, fracciones III </w:t>
      </w:r>
      <w:r w:rsidRPr="00606199">
        <w:rPr>
          <w:rFonts w:ascii="Palatino Linotype" w:eastAsia="Palatino Linotype" w:hAnsi="Palatino Linotype" w:cs="Palatino Linotype"/>
          <w:color w:val="000000"/>
          <w:highlight w:val="white"/>
        </w:rPr>
        <w:t>de</w:t>
      </w:r>
      <w:r w:rsidRPr="00606199">
        <w:rPr>
          <w:rFonts w:ascii="Palatino Linotype" w:eastAsia="Palatino Linotype" w:hAnsi="Palatino Linotype" w:cs="Palatino Linotype"/>
          <w:color w:val="000000"/>
        </w:rPr>
        <w:t xml:space="preserve"> la Constitución Política de los Estados Unidos Mexicanos que establece:</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r w:rsidRPr="00606199">
        <w:rPr>
          <w:rFonts w:ascii="Palatino Linotype" w:eastAsia="Palatino Linotype" w:hAnsi="Palatino Linotype" w:cs="Palatino Linotype"/>
          <w:b/>
          <w:i/>
        </w:rPr>
        <w:t>Artículo 6.-</w:t>
      </w:r>
      <w:r w:rsidRPr="00606199">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Para efectos de lo dispuesto en el presente artículo se observará lo siguiente:</w:t>
      </w:r>
    </w:p>
    <w:p w:rsidR="00B50F3B" w:rsidRPr="00606199" w:rsidRDefault="00B50F3B" w:rsidP="00B50F3B">
      <w:pPr>
        <w:ind w:left="1134" w:right="900"/>
        <w:jc w:val="both"/>
        <w:rPr>
          <w:rFonts w:ascii="Palatino Linotype" w:eastAsia="Palatino Linotype" w:hAnsi="Palatino Linotype" w:cs="Palatino Linotype"/>
          <w:i/>
        </w:rPr>
      </w:pP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B50F3B" w:rsidRPr="00606199" w:rsidRDefault="00B50F3B" w:rsidP="00B50F3B">
      <w:pPr>
        <w:ind w:left="1134" w:right="900"/>
        <w:jc w:val="both"/>
        <w:rPr>
          <w:rFonts w:ascii="Palatino Linotype" w:eastAsia="Palatino Linotype" w:hAnsi="Palatino Linotype" w:cs="Palatino Linotype"/>
          <w:i/>
        </w:rPr>
      </w:pP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606199">
        <w:rPr>
          <w:rFonts w:ascii="Palatino Linotype" w:eastAsia="Palatino Linotype" w:hAnsi="Palatino Linotype" w:cs="Palatino Linotype"/>
        </w:rPr>
        <w:t>(Sic)</w:t>
      </w:r>
    </w:p>
    <w:p w:rsidR="00B50F3B" w:rsidRPr="00606199" w:rsidRDefault="00B50F3B" w:rsidP="00B50F3B">
      <w:pPr>
        <w:spacing w:line="360" w:lineRule="auto"/>
        <w:ind w:left="567" w:right="474"/>
        <w:jc w:val="both"/>
        <w:rPr>
          <w:rFonts w:ascii="Palatino Linotype" w:eastAsia="Palatino Linotype" w:hAnsi="Palatino Linotype" w:cs="Palatino Linotype"/>
          <w:i/>
        </w:rPr>
      </w:pPr>
    </w:p>
    <w:p w:rsidR="00B50F3B" w:rsidRPr="00606199" w:rsidRDefault="00B50F3B" w:rsidP="00B50F3B">
      <w:pPr>
        <w:numPr>
          <w:ilvl w:val="0"/>
          <w:numId w:val="8"/>
        </w:numPr>
        <w:spacing w:line="360" w:lineRule="auto"/>
        <w:ind w:left="0" w:firstLine="0"/>
        <w:jc w:val="both"/>
        <w:rPr>
          <w:color w:val="000000"/>
        </w:rPr>
      </w:pPr>
      <w:r w:rsidRPr="00606199">
        <w:rPr>
          <w:rFonts w:ascii="Palatino Linotype" w:eastAsia="Palatino Linotype" w:hAnsi="Palatino Linotype" w:cs="Palatino Linotype"/>
          <w:color w:val="000000"/>
        </w:rPr>
        <w:t xml:space="preserve">Así como el artículo 5 fracción III, párrafo vigésimo noveno, trigésimo y trigésimo primero, </w:t>
      </w:r>
      <w:r w:rsidRPr="00606199">
        <w:rPr>
          <w:rFonts w:ascii="Palatino Linotype" w:eastAsia="Palatino Linotype" w:hAnsi="Palatino Linotype" w:cs="Palatino Linotype"/>
          <w:color w:val="000000"/>
          <w:highlight w:val="white"/>
        </w:rPr>
        <w:t>de</w:t>
      </w:r>
      <w:r w:rsidRPr="00606199">
        <w:rPr>
          <w:rFonts w:ascii="Palatino Linotype" w:eastAsia="Palatino Linotype" w:hAnsi="Palatino Linotype" w:cs="Palatino Linotype"/>
          <w:color w:val="000000"/>
        </w:rPr>
        <w:t xml:space="preserve"> la Constitución Política del Estado Libre y Soberano de México, que determina lo siguiente:</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r w:rsidRPr="00606199">
        <w:rPr>
          <w:rFonts w:ascii="Palatino Linotype" w:eastAsia="Palatino Linotype" w:hAnsi="Palatino Linotype" w:cs="Palatino Linotype"/>
          <w:b/>
          <w:i/>
        </w:rPr>
        <w:t>Artículo 5.-</w:t>
      </w:r>
      <w:r w:rsidRPr="00606199">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w:t>
      </w:r>
      <w:r w:rsidRPr="00606199">
        <w:rPr>
          <w:rFonts w:ascii="Palatino Linotype" w:eastAsia="Palatino Linotype" w:hAnsi="Palatino Linotype" w:cs="Palatino Linotype"/>
          <w:i/>
        </w:rPr>
        <w:lastRenderedPageBreak/>
        <w:t>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606199">
        <w:rPr>
          <w:rFonts w:ascii="Palatino Linotype" w:eastAsia="Palatino Linotype" w:hAnsi="Palatino Linotype" w:cs="Palatino Linotype"/>
        </w:rPr>
        <w:t>(Sic)</w:t>
      </w:r>
    </w:p>
    <w:p w:rsidR="00B50F3B" w:rsidRPr="00606199" w:rsidRDefault="00B50F3B" w:rsidP="00B50F3B">
      <w:pPr>
        <w:spacing w:line="360" w:lineRule="auto"/>
        <w:ind w:left="426" w:right="476"/>
        <w:jc w:val="both"/>
        <w:rPr>
          <w:rFonts w:ascii="Palatino Linotype" w:eastAsia="Palatino Linotype" w:hAnsi="Palatino Linotype" w:cs="Palatino Linotype"/>
          <w:i/>
        </w:rPr>
      </w:pPr>
    </w:p>
    <w:p w:rsidR="00B50F3B" w:rsidRPr="00606199" w:rsidRDefault="00B50F3B" w:rsidP="00B50F3B">
      <w:pPr>
        <w:numPr>
          <w:ilvl w:val="0"/>
          <w:numId w:val="8"/>
        </w:numPr>
        <w:spacing w:line="360" w:lineRule="auto"/>
        <w:ind w:left="0" w:firstLine="0"/>
        <w:jc w:val="both"/>
        <w:rPr>
          <w:color w:val="000000"/>
        </w:rPr>
      </w:pPr>
      <w:r w:rsidRPr="00606199">
        <w:rPr>
          <w:rFonts w:ascii="Palatino Linotype" w:eastAsia="Palatino Linotype" w:hAnsi="Palatino Linotype" w:cs="Palatino Linotype"/>
          <w:color w:val="000000"/>
        </w:rPr>
        <w:t xml:space="preserve">Por otra parte, del contenido del artículo 1 de la Constitución Política de los Estados Unidos </w:t>
      </w:r>
      <w:r w:rsidRPr="00606199">
        <w:rPr>
          <w:rFonts w:ascii="Palatino Linotype" w:eastAsia="Palatino Linotype" w:hAnsi="Palatino Linotype" w:cs="Palatino Linotype"/>
          <w:color w:val="000000"/>
          <w:highlight w:val="white"/>
        </w:rPr>
        <w:t>mexicanos</w:t>
      </w:r>
      <w:r w:rsidRPr="00606199">
        <w:rPr>
          <w:rFonts w:ascii="Palatino Linotype" w:eastAsia="Palatino Linotype" w:hAnsi="Palatino Linotype" w:cs="Palatino Linotype"/>
          <w:color w:val="000000"/>
        </w:rPr>
        <w:t>, se destaca lo siguiente:</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r w:rsidRPr="00606199">
        <w:rPr>
          <w:rFonts w:ascii="Palatino Linotype" w:eastAsia="Palatino Linotype" w:hAnsi="Palatino Linotype" w:cs="Palatino Linotype"/>
          <w:b/>
          <w:i/>
        </w:rPr>
        <w:t>Artículo 1</w:t>
      </w:r>
      <w:r w:rsidRPr="00606199">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w:t>
      </w:r>
      <w:r w:rsidRPr="00606199">
        <w:rPr>
          <w:rFonts w:ascii="Palatino Linotype" w:eastAsia="Palatino Linotype" w:hAnsi="Palatino Linotype" w:cs="Palatino Linotype"/>
          <w:i/>
        </w:rPr>
        <w:lastRenderedPageBreak/>
        <w:t>para su protección, cuyo ejercicio no podrá restringirse ni suspenderse, salvo en los casos y bajo las condiciones que esta Constitución establece.</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B50F3B" w:rsidRPr="00606199" w:rsidRDefault="00B50F3B" w:rsidP="00B50F3B">
      <w:pPr>
        <w:ind w:left="426" w:right="474"/>
        <w:jc w:val="both"/>
        <w:rPr>
          <w:rFonts w:ascii="Palatino Linotype" w:eastAsia="Palatino Linotype" w:hAnsi="Palatino Linotype" w:cs="Palatino Linotype"/>
          <w:i/>
        </w:rPr>
      </w:pPr>
    </w:p>
    <w:p w:rsidR="00B50F3B" w:rsidRPr="00606199" w:rsidRDefault="00B50F3B" w:rsidP="00B50F3B">
      <w:pPr>
        <w:numPr>
          <w:ilvl w:val="0"/>
          <w:numId w:val="8"/>
        </w:numPr>
        <w:spacing w:line="360" w:lineRule="auto"/>
        <w:ind w:left="0" w:firstLine="0"/>
        <w:jc w:val="both"/>
      </w:pPr>
      <w:r w:rsidRPr="00606199">
        <w:rPr>
          <w:rFonts w:ascii="Palatino Linotype" w:eastAsia="Palatino Linotype" w:hAnsi="Palatino Linotype" w:cs="Palatino Linotype"/>
          <w:color w:val="000000"/>
          <w:highlight w:val="white"/>
        </w:rPr>
        <w:t>Esto</w:t>
      </w:r>
      <w:r w:rsidRPr="00606199">
        <w:rPr>
          <w:rFonts w:ascii="Palatino Linotype" w:eastAsia="Palatino Linotype" w:hAnsi="Palatino Linotype" w:cs="Palatino Linotype"/>
        </w:rPr>
        <w:t xml:space="preserve"> es, que el derecho humano de acceso a la información pública, se aprecia que toda persona, sin necesidad de acreditar interés alguno o justificar su interposición, deberá tener acceso a la información pública, es decir, dicho </w:t>
      </w:r>
      <w:r w:rsidRPr="00606199">
        <w:rPr>
          <w:rFonts w:ascii="Palatino Linotype" w:eastAsia="Palatino Linotype" w:hAnsi="Palatino Linotype" w:cs="Palatino Linotype"/>
          <w:i/>
        </w:rPr>
        <w:t>derecho fundamental exime a quien lo ejerce</w:t>
      </w:r>
      <w:r w:rsidRPr="00606199">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B50F3B" w:rsidRPr="00606199" w:rsidRDefault="00B50F3B" w:rsidP="00B50F3B">
      <w:pPr>
        <w:spacing w:line="360" w:lineRule="auto"/>
        <w:jc w:val="both"/>
        <w:rPr>
          <w:rFonts w:ascii="Palatino Linotype" w:eastAsia="Palatino Linotype" w:hAnsi="Palatino Linotype" w:cs="Palatino Linotype"/>
        </w:rPr>
      </w:pPr>
    </w:p>
    <w:p w:rsidR="00B50F3B" w:rsidRPr="00606199" w:rsidRDefault="00B50F3B" w:rsidP="00B50F3B">
      <w:pPr>
        <w:numPr>
          <w:ilvl w:val="0"/>
          <w:numId w:val="8"/>
        </w:numPr>
        <w:spacing w:line="360" w:lineRule="auto"/>
        <w:ind w:left="0" w:firstLine="0"/>
        <w:jc w:val="both"/>
      </w:pPr>
      <w:r w:rsidRPr="00606199">
        <w:rPr>
          <w:rFonts w:ascii="Palatino Linotype" w:eastAsia="Palatino Linotype" w:hAnsi="Palatino Linotype" w:cs="Palatino Linotype"/>
        </w:rPr>
        <w:t xml:space="preserve">En consecuencia, dado lo expuesto y fundado con anterioridad, se estima que el requisito relativo al nombre del </w:t>
      </w:r>
      <w:r w:rsidRPr="00606199">
        <w:rPr>
          <w:rFonts w:ascii="Palatino Linotype" w:eastAsia="Palatino Linotype" w:hAnsi="Palatino Linotype" w:cs="Palatino Linotype"/>
          <w:b/>
        </w:rPr>
        <w:t>RECURRENTE</w:t>
      </w:r>
      <w:r w:rsidRPr="00606199">
        <w:rPr>
          <w:rFonts w:ascii="Palatino Linotype" w:eastAsia="Palatino Linotype" w:hAnsi="Palatino Linotype" w:cs="Palatino Linotype"/>
        </w:rPr>
        <w:t xml:space="preserve"> no constituye un presupuesto indispensable de procedencia del Recurso de Revisión, en términos de los artículos 25 de la </w:t>
      </w:r>
      <w:r w:rsidRPr="00606199">
        <w:rPr>
          <w:rFonts w:ascii="Palatino Linotype" w:eastAsia="Palatino Linotype" w:hAnsi="Palatino Linotype" w:cs="Palatino Linotype"/>
          <w:color w:val="000000"/>
          <w:highlight w:val="white"/>
        </w:rPr>
        <w:t>Convención</w:t>
      </w:r>
      <w:r w:rsidRPr="00606199">
        <w:rPr>
          <w:rFonts w:ascii="Palatino Linotype" w:eastAsia="Palatino Linotype" w:hAnsi="Palatino Linotype" w:cs="Palatino Linotype"/>
        </w:rPr>
        <w:t xml:space="preserve">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w:t>
      </w:r>
      <w:r w:rsidRPr="00606199">
        <w:rPr>
          <w:rFonts w:ascii="Palatino Linotype" w:eastAsia="Palatino Linotype" w:hAnsi="Palatino Linotype" w:cs="Palatino Linotype"/>
        </w:rPr>
        <w:lastRenderedPageBreak/>
        <w:t>electrónicas de los expedientes en revisión, de las que se desprende que la parte recurrente, es la misma que realizó la solicitud de acceso a la información pública que ahora se impugna.</w:t>
      </w:r>
    </w:p>
    <w:p w:rsidR="00B50F3B" w:rsidRPr="00606199" w:rsidRDefault="00B50F3B" w:rsidP="00B50F3B">
      <w:pPr>
        <w:spacing w:line="360" w:lineRule="auto"/>
        <w:jc w:val="both"/>
        <w:rPr>
          <w:rFonts w:ascii="Palatino Linotype" w:eastAsia="Palatino Linotype" w:hAnsi="Palatino Linotype" w:cs="Palatino Linotype"/>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b/>
        </w:rPr>
      </w:pPr>
      <w:r w:rsidRPr="00606199">
        <w:rPr>
          <w:rFonts w:ascii="Palatino Linotype" w:eastAsia="Palatino Linotype" w:hAnsi="Palatino Linotype" w:cs="Palatino Linotype"/>
          <w:color w:val="000000"/>
          <w:highlight w:val="white"/>
        </w:rPr>
        <w:t>Expuesto</w:t>
      </w:r>
      <w:r w:rsidRPr="00606199">
        <w:rPr>
          <w:rFonts w:ascii="Palatino Linotype" w:eastAsia="Palatino Linotype" w:hAnsi="Palatino Linotype" w:cs="Palatino Linotype"/>
        </w:rPr>
        <w:t xml:space="preserve">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50F3B" w:rsidRPr="00606199" w:rsidRDefault="00B50F3B" w:rsidP="00B50F3B">
      <w:pPr>
        <w:pBdr>
          <w:top w:val="nil"/>
          <w:left w:val="nil"/>
          <w:bottom w:val="nil"/>
          <w:right w:val="nil"/>
          <w:between w:val="nil"/>
        </w:pBdr>
        <w:ind w:left="720"/>
        <w:rPr>
          <w:rFonts w:ascii="Palatino Linotype" w:eastAsia="Palatino Linotype" w:hAnsi="Palatino Linotype" w:cs="Palatino Linotype"/>
          <w:b/>
          <w:color w:val="000000"/>
        </w:rPr>
      </w:pPr>
    </w:p>
    <w:p w:rsidR="00B50F3B" w:rsidRPr="00606199" w:rsidRDefault="00B50F3B" w:rsidP="00B50F3B">
      <w:pPr>
        <w:pStyle w:val="Ttulo1"/>
        <w:spacing w:before="0" w:line="360" w:lineRule="auto"/>
        <w:rPr>
          <w:rFonts w:ascii="Palatino Linotype" w:eastAsia="Palatino Linotype" w:hAnsi="Palatino Linotype" w:cs="Palatino Linotype"/>
          <w:b/>
          <w:color w:val="000000"/>
          <w:sz w:val="24"/>
          <w:szCs w:val="24"/>
        </w:rPr>
      </w:pPr>
      <w:bookmarkStart w:id="3" w:name="_heading=h.gjdgxs" w:colFirst="0" w:colLast="0"/>
      <w:bookmarkEnd w:id="3"/>
      <w:r w:rsidRPr="00606199">
        <w:rPr>
          <w:rFonts w:ascii="Palatino Linotype" w:eastAsia="Palatino Linotype" w:hAnsi="Palatino Linotype" w:cs="Palatino Linotype"/>
          <w:b/>
          <w:color w:val="000000"/>
          <w:sz w:val="24"/>
          <w:szCs w:val="24"/>
        </w:rPr>
        <w:t xml:space="preserve">TERCERO. Del planteamiento de la </w:t>
      </w:r>
      <w:r w:rsidRPr="00606199">
        <w:rPr>
          <w:rFonts w:ascii="Palatino Linotype" w:eastAsia="Palatino Linotype" w:hAnsi="Palatino Linotype" w:cs="Palatino Linotype"/>
          <w:b/>
          <w:i/>
          <w:color w:val="000000"/>
          <w:sz w:val="24"/>
          <w:szCs w:val="24"/>
        </w:rPr>
        <w:t>Litis</w:t>
      </w:r>
      <w:r w:rsidRPr="00606199">
        <w:rPr>
          <w:rFonts w:ascii="Palatino Linotype" w:eastAsia="Palatino Linotype" w:hAnsi="Palatino Linotype" w:cs="Palatino Linotype"/>
          <w:b/>
          <w:color w:val="000000"/>
          <w:sz w:val="24"/>
          <w:szCs w:val="24"/>
        </w:rPr>
        <w:t>.</w:t>
      </w: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b/>
        </w:rPr>
      </w:pPr>
      <w:r w:rsidRPr="00606199">
        <w:rPr>
          <w:rFonts w:ascii="Palatino Linotype" w:eastAsia="Palatino Linotype" w:hAnsi="Palatino Linotype" w:cs="Palatino Linotype"/>
        </w:rPr>
        <w:t xml:space="preserve">De las constancias en el expediente al rubro indicado, se desprende que la particular solicitó la </w:t>
      </w:r>
      <w:r w:rsidRPr="00606199">
        <w:rPr>
          <w:rFonts w:ascii="Palatino Linotype" w:eastAsia="Palatino Linotype" w:hAnsi="Palatino Linotype" w:cs="Palatino Linotype"/>
          <w:color w:val="000000"/>
          <w:highlight w:val="white"/>
        </w:rPr>
        <w:t>información</w:t>
      </w:r>
      <w:r w:rsidRPr="00606199">
        <w:rPr>
          <w:rFonts w:ascii="Palatino Linotype" w:eastAsia="Palatino Linotype" w:hAnsi="Palatino Linotype" w:cs="Palatino Linotype"/>
        </w:rPr>
        <w:t xml:space="preserve"> que a continuación se desagrega:</w:t>
      </w:r>
    </w:p>
    <w:p w:rsidR="00B50F3B" w:rsidRPr="00606199" w:rsidRDefault="00B50F3B" w:rsidP="00B50F3B">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tbl>
      <w:tblPr>
        <w:tblStyle w:val="Tabladelista4"/>
        <w:tblW w:w="10080" w:type="dxa"/>
        <w:tblLayout w:type="fixed"/>
        <w:tblLook w:val="04A0" w:firstRow="1" w:lastRow="0" w:firstColumn="1" w:lastColumn="0" w:noHBand="0" w:noVBand="1"/>
      </w:tblPr>
      <w:tblGrid>
        <w:gridCol w:w="4248"/>
        <w:gridCol w:w="5832"/>
      </w:tblGrid>
      <w:tr w:rsidR="00202F45" w:rsidRPr="00606199" w:rsidTr="00606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202F45" w:rsidRPr="00606199" w:rsidRDefault="00202F45" w:rsidP="00C22799">
            <w:pPr>
              <w:jc w:val="both"/>
              <w:rPr>
                <w:rFonts w:ascii="Palatino Linotype" w:eastAsia="Palatino Linotype" w:hAnsi="Palatino Linotype" w:cs="Palatino Linotype"/>
                <w:b w:val="0"/>
                <w:i/>
              </w:rPr>
            </w:pPr>
            <w:r w:rsidRPr="00606199">
              <w:rPr>
                <w:rFonts w:ascii="Palatino Linotype" w:eastAsia="Palatino Linotype" w:hAnsi="Palatino Linotype" w:cs="Palatino Linotype"/>
                <w:b w:val="0"/>
                <w:i/>
              </w:rPr>
              <w:t xml:space="preserve">Recurso de revisión  </w:t>
            </w:r>
          </w:p>
        </w:tc>
        <w:tc>
          <w:tcPr>
            <w:tcW w:w="5832" w:type="dxa"/>
          </w:tcPr>
          <w:p w:rsidR="00202F45" w:rsidRPr="00606199" w:rsidRDefault="00202F45" w:rsidP="00C22799">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val="0"/>
                <w:i/>
              </w:rPr>
            </w:pPr>
            <w:r w:rsidRPr="00606199">
              <w:rPr>
                <w:rFonts w:ascii="Palatino Linotype" w:eastAsia="Palatino Linotype" w:hAnsi="Palatino Linotype" w:cs="Palatino Linotype"/>
                <w:b w:val="0"/>
                <w:i/>
              </w:rPr>
              <w:t xml:space="preserve">Información solicitada </w:t>
            </w:r>
          </w:p>
        </w:tc>
      </w:tr>
      <w:tr w:rsidR="00202F45" w:rsidRPr="00606199" w:rsidTr="00606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202F45" w:rsidRPr="00606199" w:rsidRDefault="00202F45" w:rsidP="00C22799">
            <w:pPr>
              <w:ind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 xml:space="preserve">00025/TEPETLIX/IP/2026 </w:t>
            </w:r>
          </w:p>
          <w:p w:rsidR="00202F45" w:rsidRPr="00606199" w:rsidRDefault="00202F45" w:rsidP="00C22799">
            <w:pPr>
              <w:ind w:right="900"/>
              <w:jc w:val="both"/>
              <w:rPr>
                <w:rFonts w:ascii="Palatino Linotype" w:eastAsia="Palatino Linotype" w:hAnsi="Palatino Linotype" w:cs="Palatino Linotype"/>
                <w:i/>
              </w:rPr>
            </w:pPr>
          </w:p>
          <w:p w:rsidR="00202F45" w:rsidRPr="00606199" w:rsidRDefault="00202F45" w:rsidP="00C22799">
            <w:pPr>
              <w:ind w:right="900"/>
              <w:jc w:val="both"/>
              <w:rPr>
                <w:rFonts w:ascii="Palatino Linotype" w:eastAsia="Palatino Linotype" w:hAnsi="Palatino Linotype" w:cs="Palatino Linotype"/>
                <w:b w:val="0"/>
                <w:i/>
              </w:rPr>
            </w:pPr>
            <w:r w:rsidRPr="00606199">
              <w:rPr>
                <w:rFonts w:ascii="Palatino Linotype" w:eastAsia="Palatino Linotype" w:hAnsi="Palatino Linotype" w:cs="Palatino Linotype"/>
                <w:i/>
              </w:rPr>
              <w:t>02953/INFOEM/IP/RR/2026</w:t>
            </w:r>
          </w:p>
        </w:tc>
        <w:tc>
          <w:tcPr>
            <w:tcW w:w="5832" w:type="dxa"/>
          </w:tcPr>
          <w:p w:rsidR="00202F45" w:rsidRPr="00606199" w:rsidRDefault="00202F45" w:rsidP="00202F4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lang w:val="es-MX"/>
              </w:rPr>
            </w:pPr>
            <w:r w:rsidRPr="00606199">
              <w:rPr>
                <w:rFonts w:ascii="Palatino Linotype" w:eastAsia="Palatino Linotype" w:hAnsi="Palatino Linotype" w:cs="Palatino Linotype"/>
                <w:b/>
                <w:i/>
              </w:rPr>
              <w:t xml:space="preserve"> </w:t>
            </w:r>
            <w:r w:rsidRPr="00606199">
              <w:rPr>
                <w:rFonts w:ascii="Palatino Linotype" w:eastAsia="Palatino Linotype" w:hAnsi="Palatino Linotype" w:cs="Palatino Linotype"/>
                <w:i/>
              </w:rPr>
              <w:t xml:space="preserve">1.- </w:t>
            </w:r>
            <w:r w:rsidRPr="00606199">
              <w:rPr>
                <w:rFonts w:ascii="Palatino Linotype" w:eastAsia="Palatino Linotype" w:hAnsi="Palatino Linotype" w:cs="Palatino Linotype"/>
                <w:i/>
                <w:lang w:val="es-MX"/>
              </w:rPr>
              <w:t>La última nómina pagada del mes de diciembre por el Ayuntamiento de Tepetlixpa, que incluya al Presidente Municipal, Síndico, Regidores, Directores, Coordinadores y Auxiliares</w:t>
            </w:r>
            <w:r w:rsidR="00F14277" w:rsidRPr="00606199">
              <w:rPr>
                <w:rFonts w:ascii="Palatino Linotype" w:eastAsia="Palatino Linotype" w:hAnsi="Palatino Linotype" w:cs="Palatino Linotype"/>
                <w:i/>
                <w:lang w:val="es-MX"/>
              </w:rPr>
              <w:t>.</w:t>
            </w:r>
          </w:p>
          <w:p w:rsidR="00202F45" w:rsidRPr="00606199" w:rsidRDefault="00202F45" w:rsidP="00202F4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lang w:val="es-MX"/>
              </w:rPr>
            </w:pPr>
          </w:p>
          <w:p w:rsidR="00202F45" w:rsidRPr="00606199" w:rsidRDefault="00202F45" w:rsidP="00202F4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lang w:val="es-MX"/>
              </w:rPr>
            </w:pPr>
            <w:r w:rsidRPr="00606199">
              <w:rPr>
                <w:rFonts w:ascii="Palatino Linotype" w:eastAsia="Palatino Linotype" w:hAnsi="Palatino Linotype" w:cs="Palatino Linotype"/>
                <w:i/>
                <w:lang w:val="es-MX"/>
              </w:rPr>
              <w:t>2.- La información relativa a los pagos netos realizados a servidores públicos, desglosados por separado en los siguientes conceptos: aguinaldo, prima vacacional, bonos, estímulos, compensaciones o cualquier otro pago extraordinario adicional al salario, indicando el concepto por el cual fue otorgado y la fecha en que se efectuó cada pago</w:t>
            </w:r>
            <w:r w:rsidR="00F14277" w:rsidRPr="00606199">
              <w:rPr>
                <w:rFonts w:ascii="Palatino Linotype" w:eastAsia="Palatino Linotype" w:hAnsi="Palatino Linotype" w:cs="Palatino Linotype"/>
                <w:i/>
                <w:lang w:val="es-MX"/>
              </w:rPr>
              <w:t>.</w:t>
            </w:r>
          </w:p>
          <w:p w:rsidR="00202F45" w:rsidRPr="00606199" w:rsidRDefault="00202F45" w:rsidP="00202F4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lang w:val="es-MX"/>
              </w:rPr>
            </w:pPr>
          </w:p>
          <w:p w:rsidR="00202F45" w:rsidRPr="00606199" w:rsidRDefault="00202F45" w:rsidP="00202F4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lang w:val="es-MX"/>
              </w:rPr>
            </w:pPr>
            <w:r w:rsidRPr="00606199">
              <w:rPr>
                <w:rFonts w:ascii="Palatino Linotype" w:eastAsia="Palatino Linotype" w:hAnsi="Palatino Linotype" w:cs="Palatino Linotype"/>
                <w:i/>
                <w:lang w:val="es-MX"/>
              </w:rPr>
              <w:t xml:space="preserve">3.- Origen, fundamento, autorización y justificación administrativa y presupuestal del pago de una quincena adicional otorgada a determinados servidores públicos durante el mes de diciembre de 2025, distinta a las dos quincenas ordinarias, precisando a los servidores públicos </w:t>
            </w:r>
            <w:r w:rsidRPr="00606199">
              <w:rPr>
                <w:rFonts w:ascii="Palatino Linotype" w:eastAsia="Palatino Linotype" w:hAnsi="Palatino Linotype" w:cs="Palatino Linotype"/>
                <w:i/>
                <w:lang w:val="es-MX"/>
              </w:rPr>
              <w:lastRenderedPageBreak/>
              <w:t>beneficiados, particularmente la Tesorera Municipal, el Jefe de Adquisiciones, el Secretario Particular, el Chofer y, en su caso, si el propio Presidente Municipal se otorgó dicho beneficio</w:t>
            </w:r>
            <w:r w:rsidR="00F14277" w:rsidRPr="00606199">
              <w:rPr>
                <w:rFonts w:ascii="Palatino Linotype" w:eastAsia="Palatino Linotype" w:hAnsi="Palatino Linotype" w:cs="Palatino Linotype"/>
                <w:i/>
                <w:lang w:val="es-MX"/>
              </w:rPr>
              <w:t>.</w:t>
            </w:r>
          </w:p>
          <w:p w:rsidR="00202F45" w:rsidRPr="00606199" w:rsidRDefault="00202F45" w:rsidP="00202F4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i/>
              </w:rPr>
            </w:pPr>
          </w:p>
        </w:tc>
      </w:tr>
      <w:tr w:rsidR="00202F45" w:rsidRPr="00606199" w:rsidTr="00606199">
        <w:tc>
          <w:tcPr>
            <w:cnfStyle w:val="001000000000" w:firstRow="0" w:lastRow="0" w:firstColumn="1" w:lastColumn="0" w:oddVBand="0" w:evenVBand="0" w:oddHBand="0" w:evenHBand="0" w:firstRowFirstColumn="0" w:firstRowLastColumn="0" w:lastRowFirstColumn="0" w:lastRowLastColumn="0"/>
            <w:tcW w:w="4248" w:type="dxa"/>
          </w:tcPr>
          <w:p w:rsidR="00202F45" w:rsidRPr="00606199" w:rsidRDefault="00202F45" w:rsidP="00C22799">
            <w:pPr>
              <w:ind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lastRenderedPageBreak/>
              <w:t>00026/TEPETLIX/IP/2026</w:t>
            </w:r>
          </w:p>
          <w:p w:rsidR="00202F45" w:rsidRPr="00606199" w:rsidRDefault="00202F45" w:rsidP="00C22799">
            <w:pPr>
              <w:ind w:right="900"/>
              <w:jc w:val="both"/>
              <w:rPr>
                <w:rFonts w:ascii="Palatino Linotype" w:eastAsia="Palatino Linotype" w:hAnsi="Palatino Linotype" w:cs="Palatino Linotype"/>
                <w:i/>
              </w:rPr>
            </w:pPr>
          </w:p>
          <w:p w:rsidR="00202F45" w:rsidRPr="00606199" w:rsidRDefault="00202F45" w:rsidP="00C22799">
            <w:pPr>
              <w:jc w:val="both"/>
              <w:rPr>
                <w:rFonts w:ascii="Palatino Linotype" w:eastAsia="Palatino Linotype" w:hAnsi="Palatino Linotype" w:cs="Palatino Linotype"/>
                <w:i/>
              </w:rPr>
            </w:pPr>
            <w:r w:rsidRPr="00606199">
              <w:rPr>
                <w:rFonts w:ascii="Palatino Linotype" w:eastAsia="Palatino Linotype" w:hAnsi="Palatino Linotype" w:cs="Palatino Linotype"/>
                <w:i/>
              </w:rPr>
              <w:t>02954/INFOEM/IP/RR/2026</w:t>
            </w:r>
          </w:p>
        </w:tc>
        <w:tc>
          <w:tcPr>
            <w:tcW w:w="5832" w:type="dxa"/>
          </w:tcPr>
          <w:p w:rsidR="00202F45" w:rsidRPr="00606199" w:rsidRDefault="00C0384B" w:rsidP="00F1427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rPr>
            </w:pPr>
            <w:r w:rsidRPr="00606199">
              <w:rPr>
                <w:rFonts w:ascii="Palatino Linotype" w:eastAsia="Palatino Linotype" w:hAnsi="Palatino Linotype" w:cs="Palatino Linotype"/>
                <w:i/>
              </w:rPr>
              <w:t xml:space="preserve">1.- Relación de la primera quincena pagada del 2026 de la </w:t>
            </w:r>
            <w:r w:rsidR="00F14277" w:rsidRPr="00606199">
              <w:rPr>
                <w:rFonts w:ascii="Palatino Linotype" w:eastAsia="Palatino Linotype" w:hAnsi="Palatino Linotype" w:cs="Palatino Linotype"/>
                <w:i/>
              </w:rPr>
              <w:t>nómina</w:t>
            </w:r>
            <w:r w:rsidRPr="00606199">
              <w:rPr>
                <w:rFonts w:ascii="Palatino Linotype" w:eastAsia="Palatino Linotype" w:hAnsi="Palatino Linotype" w:cs="Palatino Linotype"/>
                <w:i/>
              </w:rPr>
              <w:t xml:space="preserve"> de todo el ayuntamiento, direcciones, coordinaciones, secretarias, </w:t>
            </w:r>
            <w:r w:rsidR="00F14277" w:rsidRPr="00606199">
              <w:rPr>
                <w:rFonts w:ascii="Palatino Linotype" w:eastAsia="Palatino Linotype" w:hAnsi="Palatino Linotype" w:cs="Palatino Linotype"/>
                <w:i/>
              </w:rPr>
              <w:t>auxiliares.</w:t>
            </w:r>
          </w:p>
        </w:tc>
      </w:tr>
    </w:tbl>
    <w:p w:rsidR="00B50F3B" w:rsidRDefault="00B50F3B" w:rsidP="00B50F3B">
      <w:pPr>
        <w:pBdr>
          <w:top w:val="nil"/>
          <w:left w:val="nil"/>
          <w:bottom w:val="nil"/>
          <w:right w:val="nil"/>
          <w:between w:val="nil"/>
        </w:pBdr>
        <w:ind w:left="1134" w:right="900"/>
        <w:jc w:val="both"/>
        <w:rPr>
          <w:rFonts w:ascii="Palatino Linotype" w:eastAsia="Palatino Linotype" w:hAnsi="Palatino Linotype" w:cs="Palatino Linotype"/>
          <w:b/>
          <w:i/>
          <w:color w:val="000000"/>
        </w:rPr>
      </w:pPr>
    </w:p>
    <w:p w:rsidR="00606199" w:rsidRPr="00606199" w:rsidRDefault="00606199" w:rsidP="00B50F3B">
      <w:pPr>
        <w:pBdr>
          <w:top w:val="nil"/>
          <w:left w:val="nil"/>
          <w:bottom w:val="nil"/>
          <w:right w:val="nil"/>
          <w:between w:val="nil"/>
        </w:pBdr>
        <w:ind w:left="1134" w:right="900"/>
        <w:jc w:val="both"/>
        <w:rPr>
          <w:rFonts w:ascii="Palatino Linotype" w:eastAsia="Palatino Linotype" w:hAnsi="Palatino Linotype" w:cs="Palatino Linotype"/>
          <w:b/>
          <w:i/>
          <w:color w:val="000000"/>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Tal y </w:t>
      </w:r>
      <w:r w:rsidRPr="00606199">
        <w:rPr>
          <w:rFonts w:ascii="Palatino Linotype" w:eastAsia="Palatino Linotype" w:hAnsi="Palatino Linotype" w:cs="Palatino Linotype"/>
          <w:color w:val="000000"/>
          <w:highlight w:val="white"/>
        </w:rPr>
        <w:t>como</w:t>
      </w:r>
      <w:r w:rsidRPr="00606199">
        <w:rPr>
          <w:rFonts w:ascii="Palatino Linotype" w:eastAsia="Palatino Linotype" w:hAnsi="Palatino Linotype" w:cs="Palatino Linotype"/>
        </w:rPr>
        <w:t xml:space="preserve"> se observa en el tablero del expediente electrónico el </w:t>
      </w:r>
      <w:r w:rsidRPr="00606199">
        <w:rPr>
          <w:rFonts w:ascii="Palatino Linotype" w:eastAsia="Palatino Linotype" w:hAnsi="Palatino Linotype" w:cs="Palatino Linotype"/>
          <w:b/>
        </w:rPr>
        <w:t xml:space="preserve">SUJETO OBLIGADO </w:t>
      </w:r>
      <w:r w:rsidRPr="00606199">
        <w:rPr>
          <w:rFonts w:ascii="Palatino Linotype" w:eastAsia="Palatino Linotype" w:hAnsi="Palatino Linotype" w:cs="Palatino Linotype"/>
        </w:rPr>
        <w:t xml:space="preserve">fue omiso en entregar respuesta.  </w:t>
      </w:r>
    </w:p>
    <w:p w:rsidR="00B50F3B" w:rsidRPr="00606199" w:rsidRDefault="00B50F3B" w:rsidP="00B50F3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En dichas condiciones, la </w:t>
      </w:r>
      <w:r w:rsidRPr="00606199">
        <w:rPr>
          <w:rFonts w:ascii="Palatino Linotype" w:eastAsia="Palatino Linotype" w:hAnsi="Palatino Linotype" w:cs="Palatino Linotype"/>
          <w:i/>
        </w:rPr>
        <w:t>Litis</w:t>
      </w:r>
      <w:r w:rsidRPr="00606199">
        <w:rPr>
          <w:rFonts w:ascii="Palatino Linotype" w:eastAsia="Palatino Linotype" w:hAnsi="Palatino Linotype" w:cs="Palatino Linotype"/>
        </w:rPr>
        <w:t xml:space="preserve"> a resolver en este recurso se circunscribe a determinar si se actualizan las causales de procedencia previstas en el artículo 179, </w:t>
      </w:r>
      <w:r w:rsidRPr="00606199">
        <w:rPr>
          <w:rFonts w:ascii="Palatino Linotype" w:eastAsia="Palatino Linotype" w:hAnsi="Palatino Linotype" w:cs="Palatino Linotype"/>
          <w:b/>
        </w:rPr>
        <w:t xml:space="preserve">fracción I </w:t>
      </w:r>
      <w:r w:rsidRPr="00606199">
        <w:rPr>
          <w:rFonts w:ascii="Palatino Linotype" w:eastAsia="Palatino Linotype" w:hAnsi="Palatino Linotype" w:cs="Palatino Linotype"/>
        </w:rPr>
        <w:t>de la</w:t>
      </w:r>
      <w:r w:rsidRPr="00606199">
        <w:rPr>
          <w:rFonts w:ascii="Palatino Linotype" w:eastAsia="Palatino Linotype" w:hAnsi="Palatino Linotype" w:cs="Palatino Linotype"/>
          <w:color w:val="000000"/>
        </w:rPr>
        <w:t xml:space="preserve"> Ley</w:t>
      </w:r>
      <w:r w:rsidRPr="00606199">
        <w:rPr>
          <w:rFonts w:ascii="Palatino Linotype" w:eastAsia="Palatino Linotype" w:hAnsi="Palatino Linotype" w:cs="Palatino Linotype"/>
          <w:b/>
        </w:rPr>
        <w:t xml:space="preserve"> de </w:t>
      </w:r>
      <w:r w:rsidRPr="00606199">
        <w:rPr>
          <w:rFonts w:ascii="Palatino Linotype" w:eastAsia="Palatino Linotype" w:hAnsi="Palatino Linotype" w:cs="Palatino Linotype"/>
          <w:color w:val="000000"/>
          <w:highlight w:val="white"/>
        </w:rPr>
        <w:t>Transparencia</w:t>
      </w:r>
      <w:r w:rsidRPr="00606199">
        <w:rPr>
          <w:rFonts w:ascii="Palatino Linotype" w:eastAsia="Palatino Linotype" w:hAnsi="Palatino Linotype" w:cs="Palatino Linotype"/>
          <w:b/>
        </w:rPr>
        <w:t xml:space="preserve"> y Acceso a la Información Pública del Estado de </w:t>
      </w:r>
      <w:r w:rsidRPr="00606199">
        <w:rPr>
          <w:rFonts w:ascii="Palatino Linotype" w:eastAsia="Palatino Linotype" w:hAnsi="Palatino Linotype" w:cs="Palatino Linotype"/>
        </w:rPr>
        <w:t>México</w:t>
      </w:r>
      <w:r w:rsidRPr="00606199">
        <w:rPr>
          <w:rFonts w:ascii="Palatino Linotype" w:eastAsia="Palatino Linotype" w:hAnsi="Palatino Linotype" w:cs="Palatino Linotype"/>
          <w:b/>
        </w:rPr>
        <w:t xml:space="preserve"> y Municipios</w:t>
      </w:r>
      <w:r w:rsidRPr="00606199">
        <w:rPr>
          <w:rFonts w:ascii="Palatino Linotype" w:eastAsia="Palatino Linotype" w:hAnsi="Palatino Linotype" w:cs="Palatino Linotype"/>
        </w:rPr>
        <w:t xml:space="preserve">; </w:t>
      </w:r>
      <w:r w:rsidRPr="00606199">
        <w:rPr>
          <w:rFonts w:ascii="Palatino Linotype" w:eastAsia="Palatino Linotype" w:hAnsi="Palatino Linotype" w:cs="Palatino Linotype"/>
          <w:color w:val="000000"/>
        </w:rPr>
        <w:t xml:space="preserve">fracción que determina la negativa de la información solicitada; </w:t>
      </w:r>
      <w:r w:rsidRPr="00606199">
        <w:rPr>
          <w:rFonts w:ascii="Palatino Linotype" w:eastAsia="Palatino Linotype" w:hAnsi="Palatino Linotype" w:cs="Palatino Linotype"/>
        </w:rPr>
        <w:t xml:space="preserve">contexto del cual se dolió </w:t>
      </w:r>
      <w:r w:rsidRPr="00606199">
        <w:rPr>
          <w:rFonts w:ascii="Palatino Linotype" w:eastAsia="Palatino Linotype" w:hAnsi="Palatino Linotype" w:cs="Palatino Linotype"/>
          <w:b/>
        </w:rPr>
        <w:t xml:space="preserve">EL RECURRENTE </w:t>
      </w:r>
      <w:r w:rsidRPr="00606199">
        <w:rPr>
          <w:rFonts w:ascii="Palatino Linotype" w:eastAsia="Palatino Linotype" w:hAnsi="Palatino Linotype" w:cs="Palatino Linotype"/>
        </w:rPr>
        <w:t>al momento de interponer su inconformidad.</w:t>
      </w:r>
    </w:p>
    <w:p w:rsidR="00B50F3B" w:rsidRPr="00606199" w:rsidRDefault="00B50F3B" w:rsidP="00B50F3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color w:val="000000"/>
        </w:rPr>
        <w:t xml:space="preserve">De modo tal que el presente recurso de revisión se abocara en determinar si el </w:t>
      </w:r>
      <w:r w:rsidRPr="00606199">
        <w:rPr>
          <w:rFonts w:ascii="Palatino Linotype" w:eastAsia="Palatino Linotype" w:hAnsi="Palatino Linotype" w:cs="Palatino Linotype"/>
          <w:b/>
        </w:rPr>
        <w:t>SUJETO</w:t>
      </w:r>
      <w:r w:rsidRPr="00606199">
        <w:rPr>
          <w:rFonts w:ascii="Palatino Linotype" w:eastAsia="Palatino Linotype" w:hAnsi="Palatino Linotype" w:cs="Palatino Linotype"/>
          <w:b/>
          <w:color w:val="000000"/>
        </w:rPr>
        <w:t xml:space="preserve"> OBLIGADO</w:t>
      </w:r>
      <w:r w:rsidRPr="00606199">
        <w:rPr>
          <w:rFonts w:ascii="Palatino Linotype" w:eastAsia="Palatino Linotype" w:hAnsi="Palatino Linotype" w:cs="Palatino Linotype"/>
          <w:color w:val="000000"/>
        </w:rPr>
        <w:t xml:space="preserve"> con su respuesta ciertamente actualiza la causal de procedencia</w:t>
      </w:r>
      <w:r w:rsidRPr="00606199">
        <w:rPr>
          <w:rFonts w:ascii="Palatino Linotype" w:eastAsia="Palatino Linotype" w:hAnsi="Palatino Linotype" w:cs="Palatino Linotype"/>
          <w:b/>
          <w:color w:val="000000"/>
        </w:rPr>
        <w:t xml:space="preserve"> </w:t>
      </w:r>
      <w:r w:rsidRPr="00606199">
        <w:rPr>
          <w:rFonts w:ascii="Palatino Linotype" w:eastAsia="Palatino Linotype" w:hAnsi="Palatino Linotype" w:cs="Palatino Linotype"/>
          <w:color w:val="000000"/>
        </w:rPr>
        <w:t xml:space="preserve">antes señalada; </w:t>
      </w:r>
      <w:r w:rsidRPr="00606199">
        <w:rPr>
          <w:rFonts w:ascii="Palatino Linotype" w:eastAsia="Palatino Linotype" w:hAnsi="Palatino Linotype" w:cs="Palatino Linotype"/>
          <w:color w:val="000000"/>
          <w:highlight w:val="white"/>
        </w:rPr>
        <w:t>asimismo</w:t>
      </w:r>
      <w:r w:rsidRPr="00606199">
        <w:rPr>
          <w:rFonts w:ascii="Palatino Linotype" w:eastAsia="Palatino Linotype" w:hAnsi="Palatino Linotype" w:cs="Palatino Linotype"/>
          <w:color w:val="000000"/>
        </w:rPr>
        <w:t>,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B50F3B" w:rsidRPr="00606199" w:rsidRDefault="00B50F3B" w:rsidP="00B50F3B">
      <w:pPr>
        <w:spacing w:line="360" w:lineRule="auto"/>
        <w:jc w:val="both"/>
        <w:rPr>
          <w:rFonts w:ascii="Palatino Linotype" w:eastAsia="Palatino Linotype" w:hAnsi="Palatino Linotype" w:cs="Palatino Linotype"/>
        </w:rPr>
      </w:pPr>
    </w:p>
    <w:p w:rsidR="00B50F3B" w:rsidRPr="00606199" w:rsidRDefault="00B50F3B" w:rsidP="00B50F3B">
      <w:pPr>
        <w:keepNext/>
        <w:keepLines/>
        <w:spacing w:line="360" w:lineRule="auto"/>
        <w:rPr>
          <w:rFonts w:ascii="Palatino Linotype" w:eastAsia="Palatino Linotype" w:hAnsi="Palatino Linotype" w:cs="Palatino Linotype"/>
          <w:b/>
          <w:color w:val="000000"/>
        </w:rPr>
      </w:pPr>
      <w:r w:rsidRPr="00606199">
        <w:rPr>
          <w:rFonts w:ascii="Palatino Linotype" w:eastAsia="Palatino Linotype" w:hAnsi="Palatino Linotype" w:cs="Palatino Linotype"/>
          <w:b/>
          <w:color w:val="000000"/>
        </w:rPr>
        <w:lastRenderedPageBreak/>
        <w:t>CUARTO. Del estudio y resolución del asunto</w:t>
      </w:r>
    </w:p>
    <w:p w:rsidR="00B50F3B" w:rsidRPr="00606199" w:rsidRDefault="00B50F3B" w:rsidP="00B50F3B">
      <w:pPr>
        <w:keepNext/>
        <w:keepLines/>
        <w:numPr>
          <w:ilvl w:val="0"/>
          <w:numId w:val="5"/>
        </w:numPr>
        <w:spacing w:after="240" w:line="360" w:lineRule="auto"/>
        <w:ind w:left="786"/>
        <w:rPr>
          <w:rFonts w:ascii="Palatino Linotype" w:eastAsia="Palatino Linotype" w:hAnsi="Palatino Linotype" w:cs="Palatino Linotype"/>
          <w:b/>
        </w:rPr>
      </w:pPr>
      <w:bookmarkStart w:id="4" w:name="_heading=h.1t3h5sf" w:colFirst="0" w:colLast="0"/>
      <w:bookmarkEnd w:id="4"/>
      <w:r w:rsidRPr="00606199">
        <w:rPr>
          <w:rFonts w:ascii="Palatino Linotype" w:eastAsia="Palatino Linotype" w:hAnsi="Palatino Linotype" w:cs="Palatino Linotype"/>
          <w:b/>
        </w:rPr>
        <w:t>Del derecho de acceso a la información.</w:t>
      </w: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El </w:t>
      </w:r>
      <w:r w:rsidRPr="00606199">
        <w:rPr>
          <w:rFonts w:ascii="Palatino Linotype" w:eastAsia="Palatino Linotype" w:hAnsi="Palatino Linotype" w:cs="Palatino Linotype"/>
          <w:color w:val="000000"/>
          <w:highlight w:val="white"/>
        </w:rPr>
        <w:t>Derecho</w:t>
      </w:r>
      <w:r w:rsidRPr="00606199">
        <w:rPr>
          <w:rFonts w:ascii="Palatino Linotype" w:eastAsia="Palatino Linotype" w:hAnsi="Palatino Linotype" w:cs="Palatino Linotype"/>
          <w:color w:val="000000"/>
        </w:rPr>
        <w:t xml:space="preserve">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B50F3B" w:rsidRPr="00606199" w:rsidRDefault="00B50F3B" w:rsidP="00B50F3B">
      <w:pPr>
        <w:spacing w:line="360" w:lineRule="auto"/>
        <w:ind w:right="48"/>
        <w:jc w:val="both"/>
        <w:rPr>
          <w:rFonts w:ascii="Palatino Linotype" w:eastAsia="Palatino Linotype" w:hAnsi="Palatino Linotype" w:cs="Palatino Linotype"/>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Definiendo el Derecho de Acceso a la Información Pública como: </w:t>
      </w:r>
      <w:r w:rsidRPr="00606199">
        <w:rPr>
          <w:rFonts w:ascii="Palatino Linotype" w:eastAsia="Palatino Linotype" w:hAnsi="Palatino Linotype" w:cs="Palatino Linotype"/>
          <w:i/>
          <w:color w:val="000000"/>
        </w:rPr>
        <w:t xml:space="preserve">La igualdad de oportunidades </w:t>
      </w:r>
      <w:r w:rsidRPr="00606199">
        <w:rPr>
          <w:rFonts w:ascii="Palatino Linotype" w:eastAsia="Palatino Linotype" w:hAnsi="Palatino Linotype" w:cs="Palatino Linotype"/>
          <w:color w:val="000000"/>
          <w:highlight w:val="white"/>
        </w:rPr>
        <w:t>para</w:t>
      </w:r>
      <w:r w:rsidRPr="00606199">
        <w:rPr>
          <w:rFonts w:ascii="Palatino Linotype" w:eastAsia="Palatino Linotype" w:hAnsi="Palatino Linotype" w:cs="Palatino Linotype"/>
          <w:i/>
          <w:color w:val="000000"/>
        </w:rPr>
        <w:t xml:space="preserve"> recibir, buscar e impartir información</w:t>
      </w:r>
      <w:r w:rsidRPr="00606199">
        <w:rPr>
          <w:rFonts w:ascii="Palatino Linotype" w:eastAsia="Palatino Linotype" w:hAnsi="Palatino Linotype" w:cs="Palatino Linotype"/>
          <w:i/>
          <w:vertAlign w:val="superscript"/>
        </w:rPr>
        <w:footnoteReference w:id="2"/>
      </w:r>
      <w:r w:rsidRPr="00606199">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06199">
        <w:rPr>
          <w:rFonts w:ascii="Palatino Linotype" w:eastAsia="Palatino Linotype" w:hAnsi="Palatino Linotype" w:cs="Palatino Linotype"/>
          <w:i/>
          <w:vertAlign w:val="superscript"/>
        </w:rPr>
        <w:footnoteReference w:id="3"/>
      </w:r>
      <w:r w:rsidRPr="00606199">
        <w:rPr>
          <w:rFonts w:ascii="Palatino Linotype" w:eastAsia="Palatino Linotype" w:hAnsi="Palatino Linotype" w:cs="Palatino Linotype"/>
          <w:color w:val="000000"/>
        </w:rPr>
        <w:t>que se constituye como una herramienta fundamental para ejercer</w:t>
      </w:r>
      <w:r w:rsidRPr="00606199">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606199">
        <w:rPr>
          <w:rFonts w:ascii="Palatino Linotype" w:eastAsia="Palatino Linotype" w:hAnsi="Palatino Linotype" w:cs="Palatino Linotype"/>
          <w:i/>
          <w:vertAlign w:val="superscript"/>
        </w:rPr>
        <w:footnoteReference w:id="4"/>
      </w:r>
      <w:r w:rsidRPr="00606199">
        <w:rPr>
          <w:rFonts w:ascii="Palatino Linotype" w:eastAsia="Palatino Linotype" w:hAnsi="Palatino Linotype" w:cs="Palatino Linotype"/>
          <w:color w:val="000000"/>
        </w:rPr>
        <w:t>fomentando</w:t>
      </w:r>
      <w:r w:rsidRPr="00606199">
        <w:rPr>
          <w:rFonts w:ascii="Palatino Linotype" w:eastAsia="Palatino Linotype" w:hAnsi="Palatino Linotype" w:cs="Palatino Linotype"/>
          <w:i/>
          <w:color w:val="000000"/>
        </w:rPr>
        <w:t xml:space="preserve"> la transparencia de las actividades estatales y </w:t>
      </w:r>
      <w:r w:rsidRPr="00606199">
        <w:rPr>
          <w:rFonts w:ascii="Palatino Linotype" w:eastAsia="Palatino Linotype" w:hAnsi="Palatino Linotype" w:cs="Palatino Linotype"/>
          <w:color w:val="000000"/>
        </w:rPr>
        <w:t>promoviendo</w:t>
      </w:r>
      <w:r w:rsidRPr="00606199">
        <w:rPr>
          <w:rFonts w:ascii="Palatino Linotype" w:eastAsia="Palatino Linotype" w:hAnsi="Palatino Linotype" w:cs="Palatino Linotype"/>
          <w:i/>
          <w:color w:val="000000"/>
        </w:rPr>
        <w:t xml:space="preserve"> la responsabilidad de los funcionarios sobre su gestión pública,</w:t>
      </w:r>
      <w:r w:rsidRPr="00606199">
        <w:rPr>
          <w:rFonts w:ascii="Palatino Linotype" w:eastAsia="Palatino Linotype" w:hAnsi="Palatino Linotype" w:cs="Palatino Linotype"/>
          <w:i/>
          <w:vertAlign w:val="superscript"/>
        </w:rPr>
        <w:footnoteReference w:id="5"/>
      </w:r>
      <w:r w:rsidRPr="00606199">
        <w:rPr>
          <w:rFonts w:ascii="Palatino Linotype" w:eastAsia="Palatino Linotype" w:hAnsi="Palatino Linotype" w:cs="Palatino Linotype"/>
          <w:color w:val="000000"/>
        </w:rPr>
        <w:t>que permite</w:t>
      </w:r>
      <w:r w:rsidRPr="00606199">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B50F3B" w:rsidRPr="00606199" w:rsidRDefault="00B50F3B" w:rsidP="00B50F3B">
      <w:pPr>
        <w:spacing w:line="360" w:lineRule="auto"/>
        <w:ind w:right="49"/>
        <w:jc w:val="both"/>
        <w:rPr>
          <w:rFonts w:ascii="Palatino Linotype" w:eastAsia="Palatino Linotype" w:hAnsi="Palatino Linotype" w:cs="Palatino Linotype"/>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lastRenderedPageBreak/>
        <w:t xml:space="preserve">En México, además de los derechos, están reconocidas las garantías para su protección, en </w:t>
      </w:r>
      <w:r w:rsidRPr="00606199">
        <w:rPr>
          <w:rFonts w:ascii="Palatino Linotype" w:eastAsia="Palatino Linotype" w:hAnsi="Palatino Linotype" w:cs="Palatino Linotype"/>
          <w:color w:val="000000"/>
          <w:highlight w:val="white"/>
        </w:rPr>
        <w:t>ese</w:t>
      </w:r>
      <w:r w:rsidRPr="00606199">
        <w:rPr>
          <w:rFonts w:ascii="Palatino Linotype" w:eastAsia="Palatino Linotype" w:hAnsi="Palatino Linotype" w:cs="Palatino Linotype"/>
        </w:rPr>
        <w:t xml:space="preserve"> sentido el párrafo tercero de artículo primero de la Constitución Política de los Estados Unidos Mexicanos dispone lo siguiente:</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r w:rsidRPr="00606199">
        <w:rPr>
          <w:rFonts w:ascii="Palatino Linotype" w:eastAsia="Palatino Linotype" w:hAnsi="Palatino Linotype" w:cs="Palatino Linotype"/>
          <w:b/>
          <w:i/>
        </w:rPr>
        <w:t>Artículo 1.-</w:t>
      </w:r>
      <w:r w:rsidRPr="00606199">
        <w:rPr>
          <w:rFonts w:ascii="Palatino Linotype" w:eastAsia="Palatino Linotype" w:hAnsi="Palatino Linotype" w:cs="Palatino Linotype"/>
          <w:i/>
        </w:rPr>
        <w:t xml:space="preserve"> </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p>
    <w:p w:rsidR="00B50F3B" w:rsidRPr="00606199" w:rsidRDefault="00B50F3B" w:rsidP="00B50F3B">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Todas las</w:t>
      </w:r>
      <w:r w:rsidRPr="00606199">
        <w:rPr>
          <w:rFonts w:ascii="Palatino Linotype" w:eastAsia="Palatino Linotype" w:hAnsi="Palatino Linotype" w:cs="Palatino Linotype"/>
        </w:rPr>
        <w:t xml:space="preserve"> </w:t>
      </w:r>
      <w:r w:rsidRPr="00606199">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50F3B" w:rsidRPr="00606199" w:rsidRDefault="00B50F3B" w:rsidP="00B50F3B">
      <w:pPr>
        <w:ind w:left="1134" w:right="900"/>
        <w:jc w:val="both"/>
        <w:rPr>
          <w:rFonts w:ascii="Palatino Linotype" w:eastAsia="Palatino Linotype" w:hAnsi="Palatino Linotype" w:cs="Palatino Linotype"/>
        </w:rPr>
      </w:pPr>
      <w:r w:rsidRPr="00606199">
        <w:rPr>
          <w:rFonts w:ascii="Palatino Linotype" w:eastAsia="Palatino Linotype" w:hAnsi="Palatino Linotype" w:cs="Palatino Linotype"/>
          <w:i/>
        </w:rPr>
        <w:t>(…)</w:t>
      </w:r>
      <w:r w:rsidRPr="00606199">
        <w:rPr>
          <w:rFonts w:ascii="Palatino Linotype" w:eastAsia="Palatino Linotype" w:hAnsi="Palatino Linotype" w:cs="Palatino Linotype"/>
        </w:rPr>
        <w:t>”.</w:t>
      </w:r>
    </w:p>
    <w:p w:rsidR="00B50F3B" w:rsidRPr="00606199" w:rsidRDefault="00B50F3B" w:rsidP="00B50F3B">
      <w:pPr>
        <w:ind w:left="1134" w:right="900"/>
        <w:jc w:val="both"/>
        <w:rPr>
          <w:rFonts w:ascii="Palatino Linotype" w:eastAsia="Palatino Linotype" w:hAnsi="Palatino Linotype" w:cs="Palatino Linotype"/>
          <w:b/>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Por lo </w:t>
      </w:r>
      <w:r w:rsidRPr="00606199">
        <w:rPr>
          <w:rFonts w:ascii="Palatino Linotype" w:eastAsia="Palatino Linotype" w:hAnsi="Palatino Linotype" w:cs="Palatino Linotype"/>
          <w:color w:val="000000"/>
          <w:highlight w:val="white"/>
        </w:rPr>
        <w:t>anterior</w:t>
      </w:r>
      <w:r w:rsidRPr="00606199">
        <w:rPr>
          <w:rFonts w:ascii="Palatino Linotype" w:eastAsia="Palatino Linotype" w:hAnsi="Palatino Linotype" w:cs="Palatino Linotype"/>
        </w:rPr>
        <w:t>,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B50F3B" w:rsidRPr="00606199" w:rsidRDefault="00B50F3B" w:rsidP="00B50F3B">
      <w:pPr>
        <w:spacing w:line="360" w:lineRule="auto"/>
        <w:ind w:right="49"/>
        <w:jc w:val="both"/>
        <w:rPr>
          <w:rFonts w:ascii="Palatino Linotype" w:eastAsia="Palatino Linotype" w:hAnsi="Palatino Linotype" w:cs="Palatino Linotype"/>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Así, conforme a la Constitución Política de las Estado Unidos Mexicanos y la Constitución </w:t>
      </w:r>
      <w:r w:rsidRPr="00606199">
        <w:rPr>
          <w:rFonts w:ascii="Palatino Linotype" w:eastAsia="Palatino Linotype" w:hAnsi="Palatino Linotype" w:cs="Palatino Linotype"/>
          <w:color w:val="000000"/>
          <w:highlight w:val="white"/>
        </w:rPr>
        <w:t>Política</w:t>
      </w:r>
      <w:r w:rsidRPr="00606199">
        <w:rPr>
          <w:rFonts w:ascii="Palatino Linotype" w:eastAsia="Palatino Linotype" w:hAnsi="Palatino Linotype" w:cs="Palatino Linotype"/>
        </w:rPr>
        <w:t xml:space="preserve">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B50F3B" w:rsidRPr="00606199" w:rsidRDefault="00B50F3B" w:rsidP="00B50F3B">
      <w:pPr>
        <w:tabs>
          <w:tab w:val="left" w:pos="7938"/>
        </w:tabs>
        <w:spacing w:after="240"/>
        <w:ind w:left="1134" w:right="900"/>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Constitución Política de los Estados Unidos Mexicanos</w:t>
      </w:r>
    </w:p>
    <w:p w:rsidR="00B50F3B" w:rsidRPr="00606199" w:rsidRDefault="00B50F3B" w:rsidP="00B50F3B">
      <w:pPr>
        <w:tabs>
          <w:tab w:val="left" w:pos="7938"/>
        </w:tabs>
        <w:spacing w:before="240" w:after="240"/>
        <w:ind w:left="1134" w:right="900"/>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“Artículo 6.</w:t>
      </w:r>
    </w:p>
    <w:p w:rsidR="00B50F3B" w:rsidRPr="00606199" w:rsidRDefault="00B50F3B" w:rsidP="00B50F3B">
      <w:pPr>
        <w:tabs>
          <w:tab w:val="left" w:pos="7938"/>
        </w:tabs>
        <w:spacing w:before="240" w:after="240"/>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p>
    <w:p w:rsidR="00B50F3B" w:rsidRPr="00606199" w:rsidRDefault="00B50F3B" w:rsidP="00B50F3B">
      <w:pPr>
        <w:tabs>
          <w:tab w:val="left" w:pos="7938"/>
        </w:tabs>
        <w:spacing w:before="240" w:after="240"/>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Para efectos de lo dispuesto en el presente artículo se observará lo siguiente:</w:t>
      </w:r>
    </w:p>
    <w:p w:rsidR="00B50F3B" w:rsidRPr="00606199" w:rsidRDefault="00B50F3B" w:rsidP="00B50F3B">
      <w:pPr>
        <w:tabs>
          <w:tab w:val="left" w:pos="7938"/>
        </w:tabs>
        <w:spacing w:before="240" w:after="240"/>
        <w:ind w:left="1134" w:right="900"/>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lastRenderedPageBreak/>
        <w:t>A</w:t>
      </w:r>
      <w:r w:rsidRPr="00606199">
        <w:rPr>
          <w:rFonts w:ascii="Palatino Linotype" w:eastAsia="Palatino Linotype" w:hAnsi="Palatino Linotype" w:cs="Palatino Linotype"/>
          <w:i/>
        </w:rPr>
        <w:t xml:space="preserve">. </w:t>
      </w:r>
      <w:r w:rsidRPr="00606199">
        <w:rPr>
          <w:rFonts w:ascii="Palatino Linotype" w:eastAsia="Palatino Linotype" w:hAnsi="Palatino Linotype" w:cs="Palatino Linotype"/>
          <w:b/>
          <w:i/>
        </w:rPr>
        <w:t>Para el ejercicio del derecho de acceso a la información</w:t>
      </w:r>
      <w:r w:rsidRPr="00606199">
        <w:rPr>
          <w:rFonts w:ascii="Palatino Linotype" w:eastAsia="Palatino Linotype" w:hAnsi="Palatino Linotype" w:cs="Palatino Linotype"/>
          <w:i/>
        </w:rPr>
        <w:t xml:space="preserve">, la Federación y </w:t>
      </w:r>
      <w:r w:rsidRPr="00606199">
        <w:rPr>
          <w:rFonts w:ascii="Palatino Linotype" w:eastAsia="Palatino Linotype" w:hAnsi="Palatino Linotype" w:cs="Palatino Linotype"/>
          <w:b/>
          <w:i/>
        </w:rPr>
        <w:t>las entidades federativas, en el ámbito de sus respectivas competencias, se regirán por los siguientes principios y bases:</w:t>
      </w:r>
    </w:p>
    <w:p w:rsidR="00B50F3B" w:rsidRPr="00606199" w:rsidRDefault="00B50F3B" w:rsidP="00B50F3B">
      <w:pPr>
        <w:tabs>
          <w:tab w:val="left" w:pos="7938"/>
        </w:tabs>
        <w:spacing w:before="240" w:after="240"/>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b/>
          <w:i/>
        </w:rPr>
        <w:t>I. Toda la información en posesión de cualquier</w:t>
      </w:r>
      <w:r w:rsidRPr="00606199">
        <w:rPr>
          <w:rFonts w:ascii="Palatino Linotype" w:eastAsia="Palatino Linotype" w:hAnsi="Palatino Linotype" w:cs="Palatino Linotype"/>
          <w:i/>
        </w:rPr>
        <w:t xml:space="preserve"> </w:t>
      </w:r>
      <w:r w:rsidRPr="00606199">
        <w:rPr>
          <w:rFonts w:ascii="Palatino Linotype" w:eastAsia="Palatino Linotype" w:hAnsi="Palatino Linotype" w:cs="Palatino Linotype"/>
          <w:b/>
          <w:i/>
        </w:rPr>
        <w:t>autoridad</w:t>
      </w:r>
      <w:r w:rsidRPr="00606199">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06199">
        <w:rPr>
          <w:rFonts w:ascii="Palatino Linotype" w:eastAsia="Palatino Linotype" w:hAnsi="Palatino Linotype" w:cs="Palatino Linotype"/>
          <w:b/>
          <w:i/>
        </w:rPr>
        <w:t>municipal</w:t>
      </w:r>
      <w:r w:rsidRPr="00606199">
        <w:rPr>
          <w:rFonts w:ascii="Palatino Linotype" w:eastAsia="Palatino Linotype" w:hAnsi="Palatino Linotype" w:cs="Palatino Linotype"/>
          <w:i/>
        </w:rPr>
        <w:t xml:space="preserve">, </w:t>
      </w:r>
      <w:r w:rsidRPr="00606199">
        <w:rPr>
          <w:rFonts w:ascii="Palatino Linotype" w:eastAsia="Palatino Linotype" w:hAnsi="Palatino Linotype" w:cs="Palatino Linotype"/>
          <w:b/>
          <w:i/>
        </w:rPr>
        <w:t>es pública</w:t>
      </w:r>
      <w:r w:rsidRPr="00606199">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606199">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606199">
        <w:rPr>
          <w:rFonts w:ascii="Palatino Linotype" w:eastAsia="Palatino Linotype" w:hAnsi="Palatino Linotype" w:cs="Palatino Linotype"/>
          <w:i/>
        </w:rPr>
        <w:t>, la ley determinará los supuestos específicos bajo los cuales procederá la declaración de inexistencia de la información.”</w:t>
      </w:r>
    </w:p>
    <w:p w:rsidR="00B50F3B" w:rsidRPr="00606199" w:rsidRDefault="00B50F3B" w:rsidP="00B50F3B">
      <w:pPr>
        <w:tabs>
          <w:tab w:val="left" w:pos="567"/>
          <w:tab w:val="left" w:pos="7938"/>
        </w:tabs>
        <w:spacing w:before="240"/>
        <w:ind w:left="1134" w:right="900"/>
        <w:jc w:val="both"/>
        <w:rPr>
          <w:rFonts w:ascii="Palatino Linotype" w:eastAsia="Palatino Linotype" w:hAnsi="Palatino Linotype" w:cs="Palatino Linotype"/>
          <w:b/>
          <w:i/>
        </w:rPr>
      </w:pPr>
    </w:p>
    <w:p w:rsidR="00B50F3B" w:rsidRPr="00606199" w:rsidRDefault="00B50F3B" w:rsidP="00B50F3B">
      <w:pPr>
        <w:tabs>
          <w:tab w:val="left" w:pos="7938"/>
        </w:tabs>
        <w:spacing w:after="240"/>
        <w:ind w:left="1134" w:right="900"/>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Constitución Política del Estado Libre y Soberano de México</w:t>
      </w:r>
    </w:p>
    <w:p w:rsidR="00B50F3B" w:rsidRPr="00606199" w:rsidRDefault="00B50F3B" w:rsidP="00B50F3B">
      <w:pPr>
        <w:tabs>
          <w:tab w:val="left" w:pos="7938"/>
        </w:tabs>
        <w:spacing w:before="240" w:after="240"/>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b/>
          <w:i/>
        </w:rPr>
        <w:t>“Artículo 5</w:t>
      </w:r>
      <w:r w:rsidRPr="00606199">
        <w:rPr>
          <w:rFonts w:ascii="Palatino Linotype" w:eastAsia="Palatino Linotype" w:hAnsi="Palatino Linotype" w:cs="Palatino Linotype"/>
          <w:i/>
        </w:rPr>
        <w:t xml:space="preserve">.- </w:t>
      </w:r>
    </w:p>
    <w:p w:rsidR="00B50F3B" w:rsidRPr="00606199" w:rsidRDefault="00B50F3B" w:rsidP="00B50F3B">
      <w:pPr>
        <w:tabs>
          <w:tab w:val="left" w:pos="7938"/>
        </w:tabs>
        <w:spacing w:before="240" w:after="240"/>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p>
    <w:p w:rsidR="00B50F3B" w:rsidRPr="00606199" w:rsidRDefault="00B50F3B" w:rsidP="00B50F3B">
      <w:pPr>
        <w:tabs>
          <w:tab w:val="left" w:pos="7938"/>
        </w:tabs>
        <w:spacing w:before="240" w:after="240"/>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606199">
        <w:rPr>
          <w:rFonts w:ascii="Palatino Linotype" w:eastAsia="Palatino Linotype" w:hAnsi="Palatino Linotype" w:cs="Palatino Linotype"/>
          <w:i/>
        </w:rPr>
        <w:t>.</w:t>
      </w:r>
    </w:p>
    <w:p w:rsidR="00B50F3B" w:rsidRPr="00606199" w:rsidRDefault="00B50F3B" w:rsidP="00B50F3B">
      <w:pPr>
        <w:tabs>
          <w:tab w:val="left" w:pos="7938"/>
        </w:tabs>
        <w:spacing w:before="240" w:after="240"/>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50F3B" w:rsidRPr="00606199" w:rsidRDefault="00B50F3B" w:rsidP="00B50F3B">
      <w:pPr>
        <w:tabs>
          <w:tab w:val="left" w:pos="7938"/>
        </w:tabs>
        <w:spacing w:before="240" w:after="240"/>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b/>
          <w:i/>
        </w:rPr>
        <w:t>Este derecho se regirá por los principios y bases siguientes</w:t>
      </w:r>
      <w:r w:rsidRPr="00606199">
        <w:rPr>
          <w:rFonts w:ascii="Palatino Linotype" w:eastAsia="Palatino Linotype" w:hAnsi="Palatino Linotype" w:cs="Palatino Linotype"/>
          <w:i/>
        </w:rPr>
        <w:t>:</w:t>
      </w:r>
    </w:p>
    <w:p w:rsidR="00B50F3B" w:rsidRPr="00606199" w:rsidRDefault="00B50F3B" w:rsidP="00B50F3B">
      <w:pPr>
        <w:tabs>
          <w:tab w:val="left" w:pos="7938"/>
        </w:tabs>
        <w:spacing w:before="240" w:after="240"/>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b/>
          <w:i/>
        </w:rPr>
        <w:t>I. Toda la información en posesión de cualquier autoridad, entidad, órgano y organismos de los</w:t>
      </w:r>
      <w:r w:rsidRPr="00606199">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606199">
        <w:rPr>
          <w:rFonts w:ascii="Palatino Linotype" w:eastAsia="Palatino Linotype" w:hAnsi="Palatino Linotype" w:cs="Palatino Linotype"/>
          <w:b/>
          <w:i/>
        </w:rPr>
        <w:t>municipales</w:t>
      </w:r>
      <w:r w:rsidRPr="00606199">
        <w:rPr>
          <w:rFonts w:ascii="Palatino Linotype" w:eastAsia="Palatino Linotype" w:hAnsi="Palatino Linotype" w:cs="Palatino Linotype"/>
          <w:i/>
        </w:rPr>
        <w:t xml:space="preserve">, así como del gobierno y de la administración pública municipal y </w:t>
      </w:r>
      <w:r w:rsidRPr="00606199">
        <w:rPr>
          <w:rFonts w:ascii="Palatino Linotype" w:eastAsia="Palatino Linotype" w:hAnsi="Palatino Linotype" w:cs="Palatino Linotype"/>
          <w:i/>
        </w:rPr>
        <w:lastRenderedPageBreak/>
        <w:t xml:space="preserve">sus organismos descentralizados, asimismo de cualquier persona física, jurídica colectiva o sindicato que reciba y ejerza recursos públicos o realice actos de autoridad en el ámbito estatal y municipal, </w:t>
      </w:r>
      <w:r w:rsidRPr="00606199">
        <w:rPr>
          <w:rFonts w:ascii="Palatino Linotype" w:eastAsia="Palatino Linotype" w:hAnsi="Palatino Linotype" w:cs="Palatino Linotype"/>
          <w:b/>
          <w:i/>
        </w:rPr>
        <w:t>es pública</w:t>
      </w:r>
      <w:r w:rsidRPr="00606199">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606199">
        <w:rPr>
          <w:rFonts w:ascii="Palatino Linotype" w:eastAsia="Palatino Linotype" w:hAnsi="Palatino Linotype" w:cs="Palatino Linotype"/>
          <w:b/>
          <w:i/>
        </w:rPr>
        <w:t>En la interpretación de este derecho deberá prevalecer el principio de máxima publicidad</w:t>
      </w:r>
      <w:r w:rsidRPr="00606199">
        <w:rPr>
          <w:rFonts w:ascii="Palatino Linotype" w:eastAsia="Palatino Linotype" w:hAnsi="Palatino Linotype" w:cs="Palatino Linotype"/>
          <w:i/>
        </w:rPr>
        <w:t xml:space="preserve">. </w:t>
      </w:r>
      <w:r w:rsidRPr="00606199">
        <w:rPr>
          <w:rFonts w:ascii="Palatino Linotype" w:eastAsia="Palatino Linotype" w:hAnsi="Palatino Linotype" w:cs="Palatino Linotype"/>
          <w:b/>
          <w:i/>
        </w:rPr>
        <w:t>Los sujetos obligados deberán documentar todo acto que derive del ejercicio de sus facultades, competencias o funciones</w:t>
      </w:r>
      <w:r w:rsidRPr="00606199">
        <w:rPr>
          <w:rFonts w:ascii="Palatino Linotype" w:eastAsia="Palatino Linotype" w:hAnsi="Palatino Linotype" w:cs="Palatino Linotype"/>
          <w:i/>
        </w:rPr>
        <w:t>, la ley determinará los supuestos específicos bajo los cuales procederá la declaración de inexistencia de la información.”</w:t>
      </w:r>
    </w:p>
    <w:p w:rsidR="00B50F3B" w:rsidRPr="00606199" w:rsidRDefault="00B50F3B" w:rsidP="00B50F3B">
      <w:pPr>
        <w:tabs>
          <w:tab w:val="left" w:pos="567"/>
        </w:tabs>
        <w:spacing w:before="240" w:after="240"/>
        <w:ind w:right="567"/>
        <w:jc w:val="both"/>
        <w:rPr>
          <w:rFonts w:ascii="Palatino Linotype" w:eastAsia="Palatino Linotype" w:hAnsi="Palatino Linotype" w:cs="Palatino Linotype"/>
          <w:b/>
          <w:i/>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Según el artículo 150 de la Ley de Transparencia del Estado, la solicitud es la garantía primaria del </w:t>
      </w:r>
      <w:r w:rsidRPr="00606199">
        <w:rPr>
          <w:rFonts w:ascii="Palatino Linotype" w:eastAsia="Palatino Linotype" w:hAnsi="Palatino Linotype" w:cs="Palatino Linotype"/>
          <w:color w:val="000000"/>
          <w:highlight w:val="white"/>
        </w:rPr>
        <w:t>Derecho</w:t>
      </w:r>
      <w:r w:rsidRPr="00606199">
        <w:rPr>
          <w:rFonts w:ascii="Palatino Linotype" w:eastAsia="Palatino Linotype" w:hAnsi="Palatino Linotype" w:cs="Palatino Linotype"/>
        </w:rPr>
        <w:t xml:space="preserve"> de Acceso a la Información, además, establece que se regirá </w:t>
      </w:r>
      <w:r w:rsidRPr="00606199">
        <w:rPr>
          <w:rFonts w:ascii="Palatino Linotype" w:eastAsia="Palatino Linotype" w:hAnsi="Palatino Linotype" w:cs="Palatino Linotype"/>
          <w:i/>
        </w:rPr>
        <w:t>por los principios de simplicidad, rapidez gratuidad del procedimiento, auxilio y orientación a los particulares</w:t>
      </w:r>
      <w:r w:rsidRPr="00606199">
        <w:rPr>
          <w:rFonts w:ascii="Palatino Linotype" w:eastAsia="Palatino Linotype" w:hAnsi="Palatino Linotype" w:cs="Palatino Linotype"/>
        </w:rPr>
        <w:t>, contemplando el derecho de las personas con discapacidad y hablantes de lengua indígena.</w:t>
      </w:r>
    </w:p>
    <w:p w:rsidR="00B50F3B" w:rsidRPr="00606199" w:rsidRDefault="00B50F3B" w:rsidP="00B50F3B">
      <w:pPr>
        <w:spacing w:line="360" w:lineRule="auto"/>
        <w:ind w:right="49"/>
        <w:jc w:val="both"/>
        <w:rPr>
          <w:rFonts w:ascii="Palatino Linotype" w:eastAsia="Palatino Linotype" w:hAnsi="Palatino Linotype" w:cs="Palatino Linotype"/>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El Derecho de Acceso a la Información se garantiza y respeta oportunamente, y según lo que </w:t>
      </w:r>
      <w:r w:rsidRPr="00606199">
        <w:rPr>
          <w:rFonts w:ascii="Palatino Linotype" w:eastAsia="Palatino Linotype" w:hAnsi="Palatino Linotype" w:cs="Palatino Linotype"/>
          <w:color w:val="000000"/>
          <w:highlight w:val="white"/>
        </w:rPr>
        <w:t>dispone</w:t>
      </w:r>
      <w:r w:rsidRPr="00606199">
        <w:rPr>
          <w:rFonts w:ascii="Palatino Linotype" w:eastAsia="Palatino Linotype" w:hAnsi="Palatino Linotype" w:cs="Palatino Linotype"/>
        </w:rPr>
        <w:t xml:space="preserve"> la Ley, las </w:t>
      </w:r>
      <w:r w:rsidRPr="00606199">
        <w:rPr>
          <w:rFonts w:ascii="Palatino Linotype" w:eastAsia="Palatino Linotype" w:hAnsi="Palatino Linotype" w:cs="Palatino Linotype"/>
          <w:i/>
        </w:rPr>
        <w:t>solicitudes de acceso a la información</w:t>
      </w:r>
      <w:r w:rsidRPr="00606199">
        <w:rPr>
          <w:rFonts w:ascii="Palatino Linotype" w:eastAsia="Palatino Linotype" w:hAnsi="Palatino Linotype" w:cs="Palatino Linotype"/>
        </w:rPr>
        <w:t>.</w:t>
      </w:r>
    </w:p>
    <w:p w:rsidR="00B50F3B" w:rsidRPr="00606199" w:rsidRDefault="00B50F3B" w:rsidP="00B50F3B">
      <w:pPr>
        <w:spacing w:line="360" w:lineRule="auto"/>
        <w:ind w:right="49"/>
        <w:jc w:val="both"/>
        <w:rPr>
          <w:rFonts w:ascii="Palatino Linotype" w:eastAsia="Palatino Linotype" w:hAnsi="Palatino Linotype" w:cs="Palatino Linotype"/>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bookmarkStart w:id="5" w:name="_heading=h.4d34og8" w:colFirst="0" w:colLast="0"/>
      <w:bookmarkEnd w:id="5"/>
      <w:r w:rsidRPr="00606199">
        <w:rPr>
          <w:rFonts w:ascii="Palatino Linotype" w:eastAsia="Palatino Linotype" w:hAnsi="Palatino Linotype" w:cs="Palatino Linotype"/>
        </w:rPr>
        <w:t xml:space="preserve">Así entonces, se procede analizar, en primer lugar, si el </w:t>
      </w:r>
      <w:r w:rsidRPr="00606199">
        <w:rPr>
          <w:rFonts w:ascii="Palatino Linotype" w:eastAsia="Palatino Linotype" w:hAnsi="Palatino Linotype" w:cs="Palatino Linotype"/>
          <w:b/>
        </w:rPr>
        <w:t>SUJETO OBLIGADO</w:t>
      </w:r>
      <w:r w:rsidRPr="00606199">
        <w:rPr>
          <w:rFonts w:ascii="Palatino Linotype" w:eastAsia="Palatino Linotype" w:hAnsi="Palatino Linotype" w:cs="Palatino Linotype"/>
        </w:rPr>
        <w:t xml:space="preserve"> al atender la </w:t>
      </w:r>
      <w:r w:rsidRPr="00606199">
        <w:rPr>
          <w:rFonts w:ascii="Palatino Linotype" w:eastAsia="Palatino Linotype" w:hAnsi="Palatino Linotype" w:cs="Palatino Linotype"/>
          <w:color w:val="000000"/>
          <w:highlight w:val="white"/>
        </w:rPr>
        <w:t>solicitud</w:t>
      </w:r>
      <w:r w:rsidRPr="00606199">
        <w:rPr>
          <w:rFonts w:ascii="Palatino Linotype" w:eastAsia="Palatino Linotype" w:hAnsi="Palatino Linotype" w:cs="Palatino Linotype"/>
        </w:rPr>
        <w:t xml:space="preserve">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B50F3B" w:rsidRPr="00606199" w:rsidRDefault="00B50F3B" w:rsidP="00B50F3B">
      <w:pPr>
        <w:spacing w:line="360" w:lineRule="auto"/>
        <w:ind w:right="49"/>
        <w:jc w:val="both"/>
        <w:rPr>
          <w:rFonts w:ascii="Palatino Linotype" w:eastAsia="Palatino Linotype" w:hAnsi="Palatino Linotype" w:cs="Palatino Linotype"/>
        </w:rPr>
      </w:pPr>
    </w:p>
    <w:p w:rsidR="00B50F3B" w:rsidRPr="00606199" w:rsidRDefault="00B50F3B" w:rsidP="00B50F3B">
      <w:pPr>
        <w:keepNext/>
        <w:keepLines/>
        <w:spacing w:after="240" w:line="360" w:lineRule="auto"/>
        <w:rPr>
          <w:rFonts w:ascii="Palatino Linotype" w:eastAsia="Palatino Linotype" w:hAnsi="Palatino Linotype" w:cs="Palatino Linotype"/>
          <w:b/>
        </w:rPr>
      </w:pPr>
      <w:bookmarkStart w:id="6" w:name="_heading=h.2s8eyo1" w:colFirst="0" w:colLast="0"/>
      <w:bookmarkEnd w:id="6"/>
      <w:r w:rsidRPr="00606199">
        <w:rPr>
          <w:rFonts w:ascii="Palatino Linotype" w:eastAsia="Palatino Linotype" w:hAnsi="Palatino Linotype" w:cs="Palatino Linotype"/>
          <w:b/>
        </w:rPr>
        <w:lastRenderedPageBreak/>
        <w:t>II. De la información solicitada y la respuesta del SUJETO OBLIGADO</w:t>
      </w:r>
    </w:p>
    <w:p w:rsidR="00B50F3B" w:rsidRPr="00606199" w:rsidRDefault="00B50F3B" w:rsidP="00532EB3">
      <w:pPr>
        <w:numPr>
          <w:ilvl w:val="0"/>
          <w:numId w:val="8"/>
        </w:numPr>
        <w:spacing w:line="360" w:lineRule="auto"/>
        <w:ind w:left="0" w:firstLine="0"/>
        <w:jc w:val="both"/>
        <w:rPr>
          <w:rFonts w:ascii="Palatino Linotype" w:eastAsia="Palatino Linotype" w:hAnsi="Palatino Linotype" w:cs="Palatino Linotype"/>
          <w:b/>
        </w:rPr>
      </w:pPr>
      <w:r w:rsidRPr="00606199">
        <w:rPr>
          <w:rFonts w:ascii="Palatino Linotype" w:eastAsia="Palatino Linotype" w:hAnsi="Palatino Linotype" w:cs="Palatino Linotype"/>
        </w:rPr>
        <w:t xml:space="preserve">Ahora bien, </w:t>
      </w:r>
      <w:r w:rsidR="00532EB3" w:rsidRPr="00606199">
        <w:rPr>
          <w:rFonts w:ascii="Palatino Linotype" w:eastAsia="Palatino Linotype" w:hAnsi="Palatino Linotype" w:cs="Palatino Linotype"/>
        </w:rPr>
        <w:t>mediante el siguient</w:t>
      </w:r>
      <w:r w:rsidR="00600687" w:rsidRPr="00606199">
        <w:rPr>
          <w:rFonts w:ascii="Palatino Linotype" w:eastAsia="Palatino Linotype" w:hAnsi="Palatino Linotype" w:cs="Palatino Linotype"/>
        </w:rPr>
        <w:t>e cuadro se analizara si con las</w:t>
      </w:r>
      <w:r w:rsidR="00532EB3" w:rsidRPr="00606199">
        <w:rPr>
          <w:rFonts w:ascii="Palatino Linotype" w:eastAsia="Palatino Linotype" w:hAnsi="Palatino Linotype" w:cs="Palatino Linotype"/>
        </w:rPr>
        <w:t xml:space="preserve"> respuestas proporcionados por el </w:t>
      </w:r>
      <w:r w:rsidR="00532EB3" w:rsidRPr="00606199">
        <w:rPr>
          <w:rFonts w:ascii="Palatino Linotype" w:eastAsia="Palatino Linotype" w:hAnsi="Palatino Linotype" w:cs="Palatino Linotype"/>
          <w:b/>
        </w:rPr>
        <w:t xml:space="preserve">SUJETO OBLIGADO </w:t>
      </w:r>
      <w:r w:rsidR="00532EB3" w:rsidRPr="00606199">
        <w:rPr>
          <w:rFonts w:ascii="Palatino Linotype" w:eastAsia="Palatino Linotype" w:hAnsi="Palatino Linotype" w:cs="Palatino Linotype"/>
        </w:rPr>
        <w:t xml:space="preserve">fue colmado el derecho de acceso a la información del </w:t>
      </w:r>
      <w:r w:rsidR="00532EB3" w:rsidRPr="00606199">
        <w:rPr>
          <w:rFonts w:ascii="Palatino Linotype" w:eastAsia="Palatino Linotype" w:hAnsi="Palatino Linotype" w:cs="Palatino Linotype"/>
          <w:b/>
        </w:rPr>
        <w:t xml:space="preserve">RECURRENTE. </w:t>
      </w:r>
      <w:r w:rsidRPr="00606199">
        <w:rPr>
          <w:rFonts w:ascii="Palatino Linotype" w:eastAsia="Palatino Linotype" w:hAnsi="Palatino Linotype" w:cs="Palatino Linotype"/>
          <w:b/>
          <w:i/>
          <w:color w:val="000000"/>
        </w:rPr>
        <w:t xml:space="preserve"> </w:t>
      </w:r>
    </w:p>
    <w:p w:rsidR="00B50F3B" w:rsidRPr="00606199" w:rsidRDefault="00532EB3" w:rsidP="00532EB3">
      <w:pPr>
        <w:pBdr>
          <w:top w:val="nil"/>
          <w:left w:val="nil"/>
          <w:bottom w:val="nil"/>
          <w:right w:val="nil"/>
          <w:between w:val="nil"/>
        </w:pBdr>
        <w:ind w:right="900"/>
        <w:jc w:val="both"/>
        <w:rPr>
          <w:rFonts w:ascii="Palatino Linotype" w:eastAsia="Palatino Linotype" w:hAnsi="Palatino Linotype" w:cs="Palatino Linotype"/>
          <w:b/>
          <w:i/>
          <w:color w:val="000000"/>
        </w:rPr>
      </w:pPr>
      <w:r w:rsidRPr="00606199">
        <w:rPr>
          <w:rFonts w:ascii="Palatino Linotype" w:eastAsia="Palatino Linotype" w:hAnsi="Palatino Linotype" w:cs="Palatino Linotype"/>
          <w:b/>
          <w:i/>
          <w:color w:val="000000"/>
          <w:lang w:val="es-MX"/>
        </w:rPr>
        <w:t xml:space="preserve">Recurso de revisión </w:t>
      </w:r>
      <w:r w:rsidRPr="00606199">
        <w:rPr>
          <w:rFonts w:ascii="Palatino Linotype" w:eastAsia="Palatino Linotype" w:hAnsi="Palatino Linotype" w:cs="Palatino Linotype"/>
          <w:b/>
          <w:i/>
          <w:color w:val="000000"/>
        </w:rPr>
        <w:t>02953/INFOEM/IP/RR/2026</w:t>
      </w:r>
    </w:p>
    <w:p w:rsidR="00532EB3" w:rsidRPr="00606199" w:rsidRDefault="00532EB3" w:rsidP="00532EB3">
      <w:pPr>
        <w:pBdr>
          <w:top w:val="nil"/>
          <w:left w:val="nil"/>
          <w:bottom w:val="nil"/>
          <w:right w:val="nil"/>
          <w:between w:val="nil"/>
        </w:pBdr>
        <w:ind w:right="900"/>
        <w:jc w:val="both"/>
        <w:rPr>
          <w:rFonts w:ascii="Palatino Linotype" w:eastAsia="Palatino Linotype" w:hAnsi="Palatino Linotype" w:cs="Palatino Linotype"/>
          <w:b/>
          <w:i/>
          <w:color w:val="000000"/>
          <w:lang w:val="es-MX"/>
        </w:rPr>
      </w:pPr>
    </w:p>
    <w:tbl>
      <w:tblPr>
        <w:tblStyle w:val="Tablaconcuadrcula"/>
        <w:tblW w:w="9918" w:type="dxa"/>
        <w:tblLook w:val="04A0" w:firstRow="1" w:lastRow="0" w:firstColumn="1" w:lastColumn="0" w:noHBand="0" w:noVBand="1"/>
      </w:tblPr>
      <w:tblGrid>
        <w:gridCol w:w="2689"/>
        <w:gridCol w:w="2132"/>
        <w:gridCol w:w="2178"/>
        <w:gridCol w:w="2919"/>
      </w:tblGrid>
      <w:tr w:rsidR="00B50F3B" w:rsidRPr="00606199" w:rsidTr="00606199">
        <w:tc>
          <w:tcPr>
            <w:tcW w:w="2689" w:type="dxa"/>
          </w:tcPr>
          <w:p w:rsidR="00B50F3B" w:rsidRPr="00606199" w:rsidRDefault="00B50F3B" w:rsidP="00C10D48">
            <w:pPr>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Información solicitada</w:t>
            </w:r>
          </w:p>
        </w:tc>
        <w:tc>
          <w:tcPr>
            <w:tcW w:w="2132" w:type="dxa"/>
          </w:tcPr>
          <w:p w:rsidR="00B50F3B" w:rsidRPr="00606199" w:rsidRDefault="00B50F3B" w:rsidP="00C10D48">
            <w:pPr>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 xml:space="preserve">Respuesta </w:t>
            </w:r>
          </w:p>
        </w:tc>
        <w:tc>
          <w:tcPr>
            <w:tcW w:w="2178" w:type="dxa"/>
          </w:tcPr>
          <w:p w:rsidR="00B50F3B" w:rsidRPr="00606199" w:rsidRDefault="00B50F3B" w:rsidP="00C10D48">
            <w:pPr>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Manifestaciones</w:t>
            </w:r>
          </w:p>
        </w:tc>
        <w:tc>
          <w:tcPr>
            <w:tcW w:w="2919" w:type="dxa"/>
          </w:tcPr>
          <w:p w:rsidR="00B50F3B" w:rsidRPr="00606199" w:rsidRDefault="00B50F3B" w:rsidP="00C10D48">
            <w:pPr>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 xml:space="preserve">Colma </w:t>
            </w:r>
          </w:p>
        </w:tc>
      </w:tr>
      <w:tr w:rsidR="00B50F3B" w:rsidRPr="00606199" w:rsidTr="00606199">
        <w:tc>
          <w:tcPr>
            <w:tcW w:w="2689" w:type="dxa"/>
          </w:tcPr>
          <w:p w:rsidR="00B50F3B" w:rsidRPr="00606199" w:rsidRDefault="00B50F3B" w:rsidP="00C10D48">
            <w:pPr>
              <w:pBdr>
                <w:top w:val="nil"/>
                <w:left w:val="nil"/>
                <w:bottom w:val="nil"/>
                <w:right w:val="nil"/>
                <w:between w:val="nil"/>
              </w:pBdr>
              <w:jc w:val="both"/>
              <w:rPr>
                <w:rFonts w:ascii="Palatino Linotype" w:eastAsia="Palatino Linotype" w:hAnsi="Palatino Linotype" w:cs="Palatino Linotype"/>
                <w:b/>
                <w:i/>
                <w:color w:val="000000"/>
              </w:rPr>
            </w:pPr>
            <w:r w:rsidRPr="00606199">
              <w:rPr>
                <w:rFonts w:ascii="Palatino Linotype" w:eastAsia="Palatino Linotype" w:hAnsi="Palatino Linotype" w:cs="Palatino Linotype"/>
                <w:b/>
                <w:i/>
                <w:color w:val="000000"/>
              </w:rPr>
              <w:t xml:space="preserve"> </w:t>
            </w:r>
            <w:r w:rsidR="00532EB3" w:rsidRPr="00606199">
              <w:rPr>
                <w:rFonts w:ascii="Palatino Linotype" w:eastAsia="Palatino Linotype" w:hAnsi="Palatino Linotype" w:cs="Palatino Linotype"/>
                <w:b/>
                <w:i/>
                <w:color w:val="000000"/>
                <w:lang w:val="es-MX"/>
              </w:rPr>
              <w:t>1.- La última nómina pagada del mes de diciembre por el Ayuntamiento de Tepetlixpa, que incluya al Presidente Municipal, Síndico, Regidores, Directores, Coordinadores y Auxiliares.</w:t>
            </w:r>
          </w:p>
          <w:p w:rsidR="00B50F3B" w:rsidRPr="00606199" w:rsidRDefault="00B50F3B" w:rsidP="00C10D48">
            <w:pPr>
              <w:jc w:val="both"/>
              <w:rPr>
                <w:rFonts w:ascii="Palatino Linotype" w:eastAsia="Palatino Linotype" w:hAnsi="Palatino Linotype" w:cs="Palatino Linotype"/>
                <w:b/>
                <w:i/>
                <w:lang w:val="es-MX"/>
              </w:rPr>
            </w:pPr>
          </w:p>
        </w:tc>
        <w:tc>
          <w:tcPr>
            <w:tcW w:w="2132" w:type="dxa"/>
          </w:tcPr>
          <w:p w:rsidR="00B50F3B" w:rsidRPr="00606199" w:rsidRDefault="00B50F3B" w:rsidP="00C10D48">
            <w:pPr>
              <w:jc w:val="both"/>
              <w:rPr>
                <w:rFonts w:ascii="Palatino Linotype" w:eastAsia="Palatino Linotype" w:hAnsi="Palatino Linotype" w:cs="Palatino Linotype"/>
                <w:i/>
              </w:rPr>
            </w:pPr>
            <w:r w:rsidRPr="00606199">
              <w:rPr>
                <w:rFonts w:ascii="Palatino Linotype" w:eastAsia="Palatino Linotype" w:hAnsi="Palatino Linotype" w:cs="Palatino Linotype"/>
                <w:i/>
              </w:rPr>
              <w:t xml:space="preserve">No hubo respuesta </w:t>
            </w:r>
          </w:p>
        </w:tc>
        <w:tc>
          <w:tcPr>
            <w:tcW w:w="2178" w:type="dxa"/>
          </w:tcPr>
          <w:p w:rsidR="00532EB3" w:rsidRPr="00606199" w:rsidRDefault="00B50F3B" w:rsidP="00532EB3">
            <w:pPr>
              <w:ind w:right="19"/>
              <w:jc w:val="both"/>
              <w:rPr>
                <w:rFonts w:ascii="Palatino Linotype" w:eastAsia="Palatino Linotype" w:hAnsi="Palatino Linotype" w:cs="Palatino Linotype"/>
                <w:i/>
                <w:color w:val="000000"/>
                <w:lang w:val="es-MX"/>
              </w:rPr>
            </w:pPr>
            <w:r w:rsidRPr="00606199">
              <w:rPr>
                <w:rFonts w:ascii="Palatino Linotype" w:eastAsia="Palatino Linotype" w:hAnsi="Palatino Linotype" w:cs="Palatino Linotype"/>
                <w:i/>
                <w:color w:val="000000"/>
              </w:rPr>
              <w:t xml:space="preserve"> </w:t>
            </w:r>
            <w:r w:rsidR="00532EB3" w:rsidRPr="00606199">
              <w:rPr>
                <w:rFonts w:ascii="Palatino Linotype" w:eastAsia="Palatino Linotype" w:hAnsi="Palatino Linotype" w:cs="Palatino Linotype"/>
                <w:b/>
                <w:i/>
                <w:color w:val="000000"/>
                <w:lang w:val="es-MX"/>
              </w:rPr>
              <w:t xml:space="preserve">2a quinc Dic 2025.pdf: </w:t>
            </w:r>
            <w:r w:rsidR="00532EB3" w:rsidRPr="00606199">
              <w:rPr>
                <w:rFonts w:ascii="Palatino Linotype" w:eastAsia="Palatino Linotype" w:hAnsi="Palatino Linotype" w:cs="Palatino Linotype"/>
                <w:i/>
                <w:color w:val="000000"/>
                <w:lang w:val="es-MX"/>
              </w:rPr>
              <w:t xml:space="preserve">pago de la segunda quincena a los servidores públicos del mes de diciembre. </w:t>
            </w:r>
          </w:p>
          <w:p w:rsidR="00B50F3B" w:rsidRPr="00606199" w:rsidRDefault="00B50F3B" w:rsidP="00532EB3">
            <w:pPr>
              <w:ind w:right="19"/>
              <w:jc w:val="both"/>
              <w:rPr>
                <w:rFonts w:ascii="Palatino Linotype" w:eastAsia="Palatino Linotype" w:hAnsi="Palatino Linotype" w:cs="Palatino Linotype"/>
                <w:i/>
                <w:color w:val="000000"/>
              </w:rPr>
            </w:pPr>
          </w:p>
        </w:tc>
        <w:tc>
          <w:tcPr>
            <w:tcW w:w="2919" w:type="dxa"/>
          </w:tcPr>
          <w:p w:rsidR="00B50F3B" w:rsidRPr="00606199" w:rsidRDefault="00C22799" w:rsidP="00532EB3">
            <w:pPr>
              <w:jc w:val="both"/>
              <w:rPr>
                <w:rFonts w:ascii="Palatino Linotype" w:eastAsia="Palatino Linotype" w:hAnsi="Palatino Linotype" w:cs="Palatino Linotype"/>
                <w:b/>
                <w:i/>
              </w:rPr>
            </w:pPr>
            <w:r w:rsidRPr="00606199">
              <w:rPr>
                <w:rFonts w:ascii="Palatino Linotype" w:eastAsia="Palatino Linotype" w:hAnsi="Palatino Linotype" w:cs="Palatino Linotype"/>
                <w:i/>
              </w:rPr>
              <w:t xml:space="preserve">No colma, toda vez que el documento que colma la pretensión del </w:t>
            </w:r>
            <w:r w:rsidRPr="00606199">
              <w:rPr>
                <w:rFonts w:ascii="Palatino Linotype" w:eastAsia="Palatino Linotype" w:hAnsi="Palatino Linotype" w:cs="Palatino Linotype"/>
                <w:b/>
                <w:i/>
              </w:rPr>
              <w:t xml:space="preserve">RECURRENTE </w:t>
            </w:r>
            <w:r w:rsidRPr="00606199">
              <w:rPr>
                <w:rFonts w:ascii="Palatino Linotype" w:eastAsia="Palatino Linotype" w:hAnsi="Palatino Linotype" w:cs="Palatino Linotype"/>
                <w:i/>
              </w:rPr>
              <w:t xml:space="preserve">es la conciliación de nómina, documento que no fue remitido por el </w:t>
            </w:r>
            <w:r w:rsidRPr="00606199">
              <w:rPr>
                <w:rFonts w:ascii="Palatino Linotype" w:eastAsia="Palatino Linotype" w:hAnsi="Palatino Linotype" w:cs="Palatino Linotype"/>
                <w:b/>
                <w:i/>
              </w:rPr>
              <w:t xml:space="preserve">SUJETO OBLIGADO. </w:t>
            </w:r>
          </w:p>
        </w:tc>
      </w:tr>
      <w:tr w:rsidR="00532EB3" w:rsidRPr="00606199" w:rsidTr="00606199">
        <w:tc>
          <w:tcPr>
            <w:tcW w:w="2689" w:type="dxa"/>
          </w:tcPr>
          <w:p w:rsidR="00532EB3" w:rsidRPr="00606199" w:rsidRDefault="00532EB3" w:rsidP="00532EB3">
            <w:pPr>
              <w:pBdr>
                <w:top w:val="nil"/>
                <w:left w:val="nil"/>
                <w:bottom w:val="nil"/>
                <w:right w:val="nil"/>
                <w:between w:val="nil"/>
              </w:pBdr>
              <w:jc w:val="both"/>
              <w:rPr>
                <w:rFonts w:ascii="Palatino Linotype" w:eastAsia="Palatino Linotype" w:hAnsi="Palatino Linotype" w:cs="Palatino Linotype"/>
                <w:b/>
                <w:i/>
                <w:color w:val="000000"/>
                <w:lang w:val="es-MX"/>
              </w:rPr>
            </w:pPr>
            <w:r w:rsidRPr="00606199">
              <w:rPr>
                <w:rFonts w:ascii="Palatino Linotype" w:eastAsia="Palatino Linotype" w:hAnsi="Palatino Linotype" w:cs="Palatino Linotype"/>
                <w:b/>
                <w:i/>
                <w:color w:val="000000"/>
                <w:lang w:val="es-MX"/>
              </w:rPr>
              <w:t xml:space="preserve">2.- La información relativa a los pagos netos realizados a servidores públicos, desglosados por separado en los siguientes conceptos: aguinaldo, prima vacacional, bonos, estímulos, compensaciones o cualquier otro pago extraordinario adicional al salario, indicando el concepto </w:t>
            </w:r>
            <w:r w:rsidRPr="00606199">
              <w:rPr>
                <w:rFonts w:ascii="Palatino Linotype" w:eastAsia="Palatino Linotype" w:hAnsi="Palatino Linotype" w:cs="Palatino Linotype"/>
                <w:b/>
                <w:i/>
                <w:color w:val="000000"/>
                <w:lang w:val="es-MX"/>
              </w:rPr>
              <w:lastRenderedPageBreak/>
              <w:t>por el cual fue otorgado y la fecha en que se efectuó cada pago.</w:t>
            </w:r>
          </w:p>
          <w:p w:rsidR="00532EB3" w:rsidRPr="00606199" w:rsidRDefault="00532EB3" w:rsidP="00C10D48">
            <w:pPr>
              <w:pBdr>
                <w:top w:val="nil"/>
                <w:left w:val="nil"/>
                <w:bottom w:val="nil"/>
                <w:right w:val="nil"/>
                <w:between w:val="nil"/>
              </w:pBdr>
              <w:jc w:val="both"/>
              <w:rPr>
                <w:rFonts w:ascii="Palatino Linotype" w:eastAsia="Palatino Linotype" w:hAnsi="Palatino Linotype" w:cs="Palatino Linotype"/>
                <w:b/>
                <w:i/>
                <w:color w:val="000000"/>
              </w:rPr>
            </w:pPr>
          </w:p>
        </w:tc>
        <w:tc>
          <w:tcPr>
            <w:tcW w:w="2132" w:type="dxa"/>
          </w:tcPr>
          <w:p w:rsidR="00532EB3" w:rsidRPr="00606199" w:rsidRDefault="00532EB3" w:rsidP="00C10D48">
            <w:pPr>
              <w:jc w:val="both"/>
              <w:rPr>
                <w:rFonts w:ascii="Palatino Linotype" w:eastAsia="Palatino Linotype" w:hAnsi="Palatino Linotype" w:cs="Palatino Linotype"/>
                <w:i/>
              </w:rPr>
            </w:pPr>
            <w:r w:rsidRPr="00606199">
              <w:rPr>
                <w:rFonts w:ascii="Palatino Linotype" w:eastAsia="Palatino Linotype" w:hAnsi="Palatino Linotype" w:cs="Palatino Linotype"/>
                <w:i/>
              </w:rPr>
              <w:lastRenderedPageBreak/>
              <w:t>No hubo respuesta</w:t>
            </w:r>
          </w:p>
        </w:tc>
        <w:tc>
          <w:tcPr>
            <w:tcW w:w="2178" w:type="dxa"/>
          </w:tcPr>
          <w:p w:rsidR="00532EB3" w:rsidRPr="00606199" w:rsidRDefault="00532EB3" w:rsidP="00532EB3">
            <w:pPr>
              <w:ind w:right="19"/>
              <w:jc w:val="both"/>
              <w:rPr>
                <w:rFonts w:ascii="Palatino Linotype" w:eastAsia="Palatino Linotype" w:hAnsi="Palatino Linotype" w:cs="Palatino Linotype"/>
                <w:i/>
                <w:color w:val="000000"/>
                <w:lang w:val="es-MX"/>
              </w:rPr>
            </w:pPr>
            <w:r w:rsidRPr="00606199">
              <w:rPr>
                <w:rFonts w:ascii="Palatino Linotype" w:eastAsia="Palatino Linotype" w:hAnsi="Palatino Linotype" w:cs="Palatino Linotype"/>
                <w:b/>
                <w:i/>
                <w:color w:val="000000"/>
                <w:lang w:val="es-MX"/>
              </w:rPr>
              <w:t xml:space="preserve">prima vacacacional 2025.pdf: </w:t>
            </w:r>
            <w:r w:rsidRPr="00606199">
              <w:rPr>
                <w:rFonts w:ascii="Palatino Linotype" w:eastAsia="Palatino Linotype" w:hAnsi="Palatino Linotype" w:cs="Palatino Linotype"/>
                <w:i/>
                <w:color w:val="000000"/>
                <w:lang w:val="es-MX"/>
              </w:rPr>
              <w:t xml:space="preserve">prima vacacional de los servidores públicos del ayuntamiento, de la cual no se conoce el periodo de pago. </w:t>
            </w:r>
          </w:p>
          <w:p w:rsidR="00AF7A03" w:rsidRPr="00606199" w:rsidRDefault="00AF7A03" w:rsidP="00532EB3">
            <w:pPr>
              <w:ind w:right="19"/>
              <w:jc w:val="both"/>
              <w:rPr>
                <w:rFonts w:ascii="Palatino Linotype" w:eastAsia="Palatino Linotype" w:hAnsi="Palatino Linotype" w:cs="Palatino Linotype"/>
                <w:i/>
                <w:color w:val="000000"/>
                <w:lang w:val="es-MX"/>
              </w:rPr>
            </w:pPr>
          </w:p>
          <w:p w:rsidR="00AF7A03" w:rsidRPr="00606199" w:rsidRDefault="00AF7A03" w:rsidP="00AF7A03">
            <w:pPr>
              <w:ind w:right="19"/>
              <w:jc w:val="both"/>
              <w:rPr>
                <w:rFonts w:ascii="Palatino Linotype" w:eastAsia="Palatino Linotype" w:hAnsi="Palatino Linotype" w:cs="Palatino Linotype"/>
                <w:i/>
                <w:color w:val="000000"/>
                <w:lang w:val="es-MX"/>
              </w:rPr>
            </w:pPr>
            <w:r w:rsidRPr="00606199">
              <w:rPr>
                <w:rFonts w:ascii="Palatino Linotype" w:eastAsia="Palatino Linotype" w:hAnsi="Palatino Linotype" w:cs="Palatino Linotype"/>
                <w:b/>
                <w:i/>
                <w:color w:val="000000"/>
                <w:lang w:val="es-MX"/>
              </w:rPr>
              <w:t xml:space="preserve">aguinaldo 2025.pdf: </w:t>
            </w:r>
            <w:r w:rsidRPr="00606199">
              <w:rPr>
                <w:rFonts w:ascii="Palatino Linotype" w:eastAsia="Palatino Linotype" w:hAnsi="Palatino Linotype" w:cs="Palatino Linotype"/>
                <w:i/>
                <w:color w:val="000000"/>
                <w:lang w:val="es-MX"/>
              </w:rPr>
              <w:t xml:space="preserve">aguilando de los servidores públicos del ayuntamiento, </w:t>
            </w:r>
            <w:r w:rsidRPr="00606199">
              <w:rPr>
                <w:rFonts w:ascii="Palatino Linotype" w:eastAsia="Palatino Linotype" w:hAnsi="Palatino Linotype" w:cs="Palatino Linotype"/>
                <w:i/>
                <w:color w:val="000000"/>
                <w:lang w:val="es-MX"/>
              </w:rPr>
              <w:lastRenderedPageBreak/>
              <w:t xml:space="preserve">del cual no se conoce la fecha de pago. </w:t>
            </w:r>
          </w:p>
          <w:p w:rsidR="00AF7A03" w:rsidRPr="00606199" w:rsidRDefault="00AF7A03" w:rsidP="00532EB3">
            <w:pPr>
              <w:ind w:right="19"/>
              <w:jc w:val="both"/>
              <w:rPr>
                <w:rFonts w:ascii="Palatino Linotype" w:eastAsia="Palatino Linotype" w:hAnsi="Palatino Linotype" w:cs="Palatino Linotype"/>
                <w:i/>
                <w:color w:val="000000"/>
                <w:lang w:val="es-MX"/>
              </w:rPr>
            </w:pPr>
          </w:p>
          <w:p w:rsidR="00532EB3" w:rsidRPr="00606199" w:rsidRDefault="00532EB3" w:rsidP="00532EB3">
            <w:pPr>
              <w:ind w:right="19"/>
              <w:jc w:val="both"/>
              <w:rPr>
                <w:rFonts w:ascii="Palatino Linotype" w:eastAsia="Palatino Linotype" w:hAnsi="Palatino Linotype" w:cs="Palatino Linotype"/>
                <w:i/>
                <w:color w:val="000000"/>
              </w:rPr>
            </w:pPr>
          </w:p>
        </w:tc>
        <w:tc>
          <w:tcPr>
            <w:tcW w:w="2919" w:type="dxa"/>
          </w:tcPr>
          <w:p w:rsidR="00532EB3" w:rsidRPr="00606199" w:rsidRDefault="00C22799" w:rsidP="00532EB3">
            <w:pPr>
              <w:jc w:val="both"/>
              <w:rPr>
                <w:rFonts w:ascii="Palatino Linotype" w:eastAsia="Palatino Linotype" w:hAnsi="Palatino Linotype" w:cs="Palatino Linotype"/>
                <w:i/>
              </w:rPr>
            </w:pPr>
            <w:r w:rsidRPr="00606199">
              <w:rPr>
                <w:rFonts w:ascii="Palatino Linotype" w:eastAsia="Palatino Linotype" w:hAnsi="Palatino Linotype" w:cs="Palatino Linotype"/>
                <w:i/>
              </w:rPr>
              <w:lastRenderedPageBreak/>
              <w:t xml:space="preserve">No colma, toda vez </w:t>
            </w:r>
            <w:r w:rsidR="00AF7A03" w:rsidRPr="00606199">
              <w:rPr>
                <w:rFonts w:ascii="Palatino Linotype" w:eastAsia="Palatino Linotype" w:hAnsi="Palatino Linotype" w:cs="Palatino Linotype"/>
                <w:i/>
              </w:rPr>
              <w:t xml:space="preserve">que si bien fueron enviados los archivos de la prima vacacional y del aguinaldo, también lo es que no se informa la fecha de pago, además no existe pronunciamiento sobre bonos, estímulos, compensaciones, pagos extraordinarios y salario adicional por tiempo extra laborado. </w:t>
            </w:r>
          </w:p>
        </w:tc>
      </w:tr>
      <w:tr w:rsidR="00532EB3" w:rsidRPr="00606199" w:rsidTr="00606199">
        <w:tc>
          <w:tcPr>
            <w:tcW w:w="2689" w:type="dxa"/>
          </w:tcPr>
          <w:p w:rsidR="00532EB3" w:rsidRPr="00606199" w:rsidRDefault="00532EB3" w:rsidP="00532EB3">
            <w:pPr>
              <w:pBdr>
                <w:top w:val="nil"/>
                <w:left w:val="nil"/>
                <w:bottom w:val="nil"/>
                <w:right w:val="nil"/>
                <w:between w:val="nil"/>
              </w:pBdr>
              <w:jc w:val="both"/>
              <w:rPr>
                <w:rFonts w:ascii="Palatino Linotype" w:eastAsia="Palatino Linotype" w:hAnsi="Palatino Linotype" w:cs="Palatino Linotype"/>
                <w:b/>
                <w:i/>
                <w:color w:val="000000"/>
                <w:lang w:val="es-MX"/>
              </w:rPr>
            </w:pPr>
            <w:r w:rsidRPr="00606199">
              <w:rPr>
                <w:rFonts w:ascii="Palatino Linotype" w:eastAsia="Palatino Linotype" w:hAnsi="Palatino Linotype" w:cs="Palatino Linotype"/>
                <w:b/>
                <w:i/>
                <w:color w:val="000000"/>
                <w:lang w:val="es-MX"/>
              </w:rPr>
              <w:t>3.- Origen, fundamento, autorización y justificación administrativa y presupuestal del pago de una quincena adicional otorgada a determinados servidores públicos durante el mes de diciembre de 2025, distinta a las dos quincenas ordinarias, precisando a los servidores públicos beneficiados, particularmente la Tesorera Municipal, el Jefe de Adquisiciones, el Secretario Particular, el Chofer y, en su caso, si el propio Presidente Municipal se otorgó dicho beneficio.</w:t>
            </w:r>
          </w:p>
          <w:p w:rsidR="00532EB3" w:rsidRPr="00606199" w:rsidRDefault="00532EB3" w:rsidP="00C10D48">
            <w:pPr>
              <w:pBdr>
                <w:top w:val="nil"/>
                <w:left w:val="nil"/>
                <w:bottom w:val="nil"/>
                <w:right w:val="nil"/>
                <w:between w:val="nil"/>
              </w:pBdr>
              <w:jc w:val="both"/>
              <w:rPr>
                <w:rFonts w:ascii="Palatino Linotype" w:eastAsia="Palatino Linotype" w:hAnsi="Palatino Linotype" w:cs="Palatino Linotype"/>
                <w:b/>
                <w:i/>
                <w:color w:val="000000"/>
              </w:rPr>
            </w:pPr>
          </w:p>
        </w:tc>
        <w:tc>
          <w:tcPr>
            <w:tcW w:w="2132" w:type="dxa"/>
          </w:tcPr>
          <w:p w:rsidR="00532EB3" w:rsidRPr="00606199" w:rsidRDefault="00532EB3" w:rsidP="00C10D48">
            <w:pPr>
              <w:jc w:val="both"/>
              <w:rPr>
                <w:rFonts w:ascii="Palatino Linotype" w:eastAsia="Palatino Linotype" w:hAnsi="Palatino Linotype" w:cs="Palatino Linotype"/>
                <w:i/>
              </w:rPr>
            </w:pPr>
            <w:r w:rsidRPr="00606199">
              <w:rPr>
                <w:rFonts w:ascii="Palatino Linotype" w:eastAsia="Palatino Linotype" w:hAnsi="Palatino Linotype" w:cs="Palatino Linotype"/>
                <w:i/>
              </w:rPr>
              <w:t>No hubo respuesta</w:t>
            </w:r>
          </w:p>
        </w:tc>
        <w:tc>
          <w:tcPr>
            <w:tcW w:w="2178" w:type="dxa"/>
          </w:tcPr>
          <w:p w:rsidR="00532EB3" w:rsidRPr="00606199" w:rsidRDefault="00532EB3" w:rsidP="00532EB3">
            <w:pPr>
              <w:ind w:right="19"/>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b/>
                <w:i/>
                <w:color w:val="000000"/>
                <w:lang w:val="es-MX"/>
              </w:rPr>
              <w:t xml:space="preserve">01 Oficio Resp SIP 25 26 RR 2953 2954 Tes.pdf: </w:t>
            </w:r>
            <w:r w:rsidRPr="00606199">
              <w:rPr>
                <w:rFonts w:ascii="Palatino Linotype" w:eastAsia="Palatino Linotype" w:hAnsi="Palatino Linotype" w:cs="Palatino Linotype"/>
                <w:i/>
                <w:color w:val="000000"/>
                <w:lang w:val="es-MX"/>
              </w:rPr>
              <w:t xml:space="preserve">oficio de la Tesorera Municipal, mediante el cual informa que adjunta los archivos solicitados y </w:t>
            </w:r>
            <w:r w:rsidRPr="00606199">
              <w:rPr>
                <w:rFonts w:ascii="Palatino Linotype" w:eastAsia="Palatino Linotype" w:hAnsi="Palatino Linotype" w:cs="Palatino Linotype"/>
                <w:b/>
                <w:i/>
                <w:color w:val="000000"/>
                <w:lang w:val="es-MX"/>
              </w:rPr>
              <w:t>respecto al punto tres refiere no se hubo un pago por una quincena adicional a los servidores públicos particularmente la Tesorera Municipal, el Jefe de Adquisiciones, el Secretario Particular, el Chofer y, en su caso, el propio Presidente Municipal.</w:t>
            </w:r>
          </w:p>
        </w:tc>
        <w:tc>
          <w:tcPr>
            <w:tcW w:w="2919" w:type="dxa"/>
          </w:tcPr>
          <w:p w:rsidR="00532EB3" w:rsidRPr="00606199" w:rsidRDefault="00AF7A03" w:rsidP="00532EB3">
            <w:pPr>
              <w:jc w:val="both"/>
              <w:rPr>
                <w:rFonts w:ascii="Palatino Linotype" w:eastAsia="Palatino Linotype" w:hAnsi="Palatino Linotype" w:cs="Palatino Linotype"/>
                <w:i/>
              </w:rPr>
            </w:pPr>
            <w:r w:rsidRPr="00606199">
              <w:rPr>
                <w:rFonts w:ascii="Palatino Linotype" w:eastAsia="Palatino Linotype" w:hAnsi="Palatino Linotype" w:cs="Palatino Linotype"/>
                <w:i/>
              </w:rPr>
              <w:t xml:space="preserve">Colma, toda vez que el Tesorero Municipal, informa que no se generaron pagos por quincenas adicionales. </w:t>
            </w:r>
          </w:p>
        </w:tc>
      </w:tr>
    </w:tbl>
    <w:p w:rsidR="00B50F3B" w:rsidRDefault="00B50F3B" w:rsidP="00B50F3B">
      <w:pPr>
        <w:pBdr>
          <w:top w:val="nil"/>
          <w:left w:val="nil"/>
          <w:bottom w:val="nil"/>
          <w:right w:val="nil"/>
          <w:between w:val="nil"/>
        </w:pBdr>
        <w:spacing w:line="360" w:lineRule="auto"/>
        <w:jc w:val="both"/>
        <w:rPr>
          <w:rFonts w:ascii="Palatino Linotype" w:eastAsia="Palatino Linotype" w:hAnsi="Palatino Linotype" w:cs="Palatino Linotype"/>
          <w:b/>
        </w:rPr>
      </w:pPr>
    </w:p>
    <w:p w:rsidR="00606199" w:rsidRDefault="00606199" w:rsidP="00B50F3B">
      <w:pPr>
        <w:pBdr>
          <w:top w:val="nil"/>
          <w:left w:val="nil"/>
          <w:bottom w:val="nil"/>
          <w:right w:val="nil"/>
          <w:between w:val="nil"/>
        </w:pBdr>
        <w:spacing w:line="360" w:lineRule="auto"/>
        <w:jc w:val="both"/>
        <w:rPr>
          <w:rFonts w:ascii="Palatino Linotype" w:eastAsia="Palatino Linotype" w:hAnsi="Palatino Linotype" w:cs="Palatino Linotype"/>
          <w:b/>
        </w:rPr>
      </w:pPr>
    </w:p>
    <w:p w:rsidR="00606199" w:rsidRPr="00606199" w:rsidRDefault="00606199" w:rsidP="00B50F3B">
      <w:pPr>
        <w:pBdr>
          <w:top w:val="nil"/>
          <w:left w:val="nil"/>
          <w:bottom w:val="nil"/>
          <w:right w:val="nil"/>
          <w:between w:val="nil"/>
        </w:pBdr>
        <w:spacing w:line="360" w:lineRule="auto"/>
        <w:jc w:val="both"/>
        <w:rPr>
          <w:rFonts w:ascii="Palatino Linotype" w:eastAsia="Palatino Linotype" w:hAnsi="Palatino Linotype" w:cs="Palatino Linotype"/>
          <w:b/>
        </w:rPr>
      </w:pPr>
    </w:p>
    <w:p w:rsidR="00F34F4F" w:rsidRPr="00606199" w:rsidRDefault="00F34F4F" w:rsidP="00F34F4F">
      <w:pPr>
        <w:pBdr>
          <w:top w:val="nil"/>
          <w:left w:val="nil"/>
          <w:bottom w:val="nil"/>
          <w:right w:val="nil"/>
          <w:between w:val="nil"/>
        </w:pBdr>
        <w:ind w:right="900"/>
        <w:jc w:val="both"/>
        <w:rPr>
          <w:rFonts w:ascii="Palatino Linotype" w:eastAsia="Palatino Linotype" w:hAnsi="Palatino Linotype" w:cs="Palatino Linotype"/>
          <w:b/>
          <w:i/>
          <w:color w:val="000000"/>
        </w:rPr>
      </w:pPr>
      <w:r w:rsidRPr="00606199">
        <w:rPr>
          <w:rFonts w:ascii="Palatino Linotype" w:eastAsia="Palatino Linotype" w:hAnsi="Palatino Linotype" w:cs="Palatino Linotype"/>
          <w:b/>
          <w:i/>
          <w:color w:val="000000"/>
          <w:lang w:val="es-MX"/>
        </w:rPr>
        <w:lastRenderedPageBreak/>
        <w:t xml:space="preserve">Recurso de revisión </w:t>
      </w:r>
      <w:r w:rsidRPr="00606199">
        <w:rPr>
          <w:rFonts w:ascii="Palatino Linotype" w:eastAsia="Palatino Linotype" w:hAnsi="Palatino Linotype" w:cs="Palatino Linotype"/>
          <w:b/>
          <w:i/>
          <w:color w:val="000000"/>
        </w:rPr>
        <w:t>02954/INFOEM/IP/RR/2026</w:t>
      </w:r>
    </w:p>
    <w:p w:rsidR="00660B1A" w:rsidRPr="00606199" w:rsidRDefault="00660B1A" w:rsidP="00660B1A">
      <w:pPr>
        <w:spacing w:line="360" w:lineRule="auto"/>
        <w:jc w:val="both"/>
        <w:rPr>
          <w:rFonts w:ascii="Palatino Linotype" w:eastAsia="Palatino Linotype" w:hAnsi="Palatino Linotype" w:cs="Palatino Linotype"/>
          <w:b/>
          <w:i/>
        </w:rPr>
      </w:pPr>
    </w:p>
    <w:tbl>
      <w:tblPr>
        <w:tblStyle w:val="Tablaconcuadrcula"/>
        <w:tblW w:w="0" w:type="auto"/>
        <w:tblLook w:val="04A0" w:firstRow="1" w:lastRow="0" w:firstColumn="1" w:lastColumn="0" w:noHBand="0" w:noVBand="1"/>
      </w:tblPr>
      <w:tblGrid>
        <w:gridCol w:w="2413"/>
        <w:gridCol w:w="2132"/>
        <w:gridCol w:w="2178"/>
        <w:gridCol w:w="2105"/>
      </w:tblGrid>
      <w:tr w:rsidR="00F34F4F" w:rsidRPr="00606199" w:rsidTr="000C75CA">
        <w:tc>
          <w:tcPr>
            <w:tcW w:w="2413" w:type="dxa"/>
          </w:tcPr>
          <w:p w:rsidR="00F34F4F" w:rsidRPr="00606199" w:rsidRDefault="00F34F4F" w:rsidP="000C75CA">
            <w:pPr>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Información solicitada</w:t>
            </w:r>
          </w:p>
        </w:tc>
        <w:tc>
          <w:tcPr>
            <w:tcW w:w="2132" w:type="dxa"/>
          </w:tcPr>
          <w:p w:rsidR="00F34F4F" w:rsidRPr="00606199" w:rsidRDefault="00F34F4F" w:rsidP="000C75CA">
            <w:pPr>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 xml:space="preserve">Respuesta </w:t>
            </w:r>
          </w:p>
        </w:tc>
        <w:tc>
          <w:tcPr>
            <w:tcW w:w="2178" w:type="dxa"/>
          </w:tcPr>
          <w:p w:rsidR="00F34F4F" w:rsidRPr="00606199" w:rsidRDefault="00F34F4F" w:rsidP="000C75CA">
            <w:pPr>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Manifestaciones</w:t>
            </w:r>
          </w:p>
        </w:tc>
        <w:tc>
          <w:tcPr>
            <w:tcW w:w="2105" w:type="dxa"/>
          </w:tcPr>
          <w:p w:rsidR="00F34F4F" w:rsidRPr="00606199" w:rsidRDefault="00F34F4F" w:rsidP="000C75CA">
            <w:pPr>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t xml:space="preserve">Colma </w:t>
            </w:r>
          </w:p>
        </w:tc>
      </w:tr>
      <w:tr w:rsidR="00F34F4F" w:rsidRPr="00606199" w:rsidTr="000C75CA">
        <w:tc>
          <w:tcPr>
            <w:tcW w:w="2413" w:type="dxa"/>
          </w:tcPr>
          <w:p w:rsidR="00F34F4F" w:rsidRPr="00606199" w:rsidRDefault="00F34F4F" w:rsidP="000C75CA">
            <w:pPr>
              <w:jc w:val="both"/>
              <w:rPr>
                <w:rFonts w:ascii="Palatino Linotype" w:eastAsia="Palatino Linotype" w:hAnsi="Palatino Linotype" w:cs="Palatino Linotype"/>
                <w:b/>
                <w:i/>
                <w:lang w:val="es-MX"/>
              </w:rPr>
            </w:pPr>
            <w:r w:rsidRPr="00606199">
              <w:rPr>
                <w:rFonts w:ascii="Palatino Linotype" w:eastAsia="Palatino Linotype" w:hAnsi="Palatino Linotype" w:cs="Palatino Linotype"/>
                <w:b/>
                <w:i/>
                <w:color w:val="000000"/>
              </w:rPr>
              <w:t xml:space="preserve"> </w:t>
            </w:r>
            <w:r w:rsidRPr="00606199">
              <w:rPr>
                <w:rFonts w:ascii="Palatino Linotype" w:eastAsia="Palatino Linotype" w:hAnsi="Palatino Linotype" w:cs="Palatino Linotype"/>
                <w:b/>
                <w:i/>
                <w:color w:val="000000"/>
                <w:lang w:val="es-MX"/>
              </w:rPr>
              <w:t>1.- Relación de la primera quincena pagada del 2026 de la nómina de todo el ayuntamiento, direcciones, coordinaciones, secretarias, auxiliares.</w:t>
            </w:r>
          </w:p>
        </w:tc>
        <w:tc>
          <w:tcPr>
            <w:tcW w:w="2132" w:type="dxa"/>
          </w:tcPr>
          <w:p w:rsidR="00F34F4F" w:rsidRPr="00606199" w:rsidRDefault="00F34F4F" w:rsidP="000C75CA">
            <w:pPr>
              <w:jc w:val="both"/>
              <w:rPr>
                <w:rFonts w:ascii="Palatino Linotype" w:eastAsia="Palatino Linotype" w:hAnsi="Palatino Linotype" w:cs="Palatino Linotype"/>
                <w:i/>
              </w:rPr>
            </w:pPr>
            <w:r w:rsidRPr="00606199">
              <w:rPr>
                <w:rFonts w:ascii="Palatino Linotype" w:eastAsia="Palatino Linotype" w:hAnsi="Palatino Linotype" w:cs="Palatino Linotype"/>
                <w:i/>
              </w:rPr>
              <w:t xml:space="preserve">No hubo respuesta </w:t>
            </w:r>
          </w:p>
        </w:tc>
        <w:tc>
          <w:tcPr>
            <w:tcW w:w="2178" w:type="dxa"/>
          </w:tcPr>
          <w:p w:rsidR="00F34F4F" w:rsidRPr="00606199" w:rsidRDefault="00F34F4F" w:rsidP="00F34F4F">
            <w:pPr>
              <w:ind w:right="19"/>
              <w:jc w:val="both"/>
              <w:rPr>
                <w:rFonts w:ascii="Palatino Linotype" w:eastAsia="Palatino Linotype" w:hAnsi="Palatino Linotype" w:cs="Palatino Linotype"/>
                <w:i/>
                <w:color w:val="000000"/>
                <w:lang w:val="es-MX"/>
              </w:rPr>
            </w:pPr>
            <w:r w:rsidRPr="00606199">
              <w:rPr>
                <w:rFonts w:ascii="Palatino Linotype" w:eastAsia="Palatino Linotype" w:hAnsi="Palatino Linotype" w:cs="Palatino Linotype"/>
                <w:i/>
                <w:color w:val="000000"/>
              </w:rPr>
              <w:t xml:space="preserve"> </w:t>
            </w:r>
            <w:r w:rsidRPr="00606199">
              <w:rPr>
                <w:rFonts w:ascii="Palatino Linotype" w:eastAsia="Palatino Linotype" w:hAnsi="Palatino Linotype" w:cs="Palatino Linotype"/>
                <w:b/>
                <w:i/>
                <w:color w:val="000000"/>
                <w:lang w:val="es-MX"/>
              </w:rPr>
              <w:t xml:space="preserve">02 1A QNA ENE 2026.pdf: </w:t>
            </w:r>
            <w:r w:rsidRPr="00606199">
              <w:rPr>
                <w:rFonts w:ascii="Palatino Linotype" w:eastAsia="Palatino Linotype" w:hAnsi="Palatino Linotype" w:cs="Palatino Linotype"/>
                <w:i/>
                <w:color w:val="000000"/>
                <w:lang w:val="es-MX"/>
              </w:rPr>
              <w:t xml:space="preserve">documento que contiene el pago de la primera quincena de dos mil veintiséis de los servidores públicos del ayuntamiento. </w:t>
            </w:r>
          </w:p>
          <w:p w:rsidR="00F34F4F" w:rsidRPr="00606199" w:rsidRDefault="00F34F4F" w:rsidP="00F34F4F">
            <w:pPr>
              <w:ind w:right="19"/>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b/>
                <w:i/>
                <w:color w:val="000000"/>
                <w:lang w:val="es-MX"/>
              </w:rPr>
              <w:t xml:space="preserve">Oficio Resp SIP 25 26 RR 2953 2954 Tes.pdf:  </w:t>
            </w:r>
            <w:r w:rsidRPr="00606199">
              <w:rPr>
                <w:rFonts w:ascii="Palatino Linotype" w:eastAsia="Palatino Linotype" w:hAnsi="Palatino Linotype" w:cs="Palatino Linotype"/>
                <w:i/>
                <w:color w:val="000000"/>
                <w:lang w:val="es-MX"/>
              </w:rPr>
              <w:t>oficio de la Tesorera Municipal, mediante el cual informa que adjunta los archivos solicitados</w:t>
            </w:r>
          </w:p>
        </w:tc>
        <w:tc>
          <w:tcPr>
            <w:tcW w:w="2105" w:type="dxa"/>
          </w:tcPr>
          <w:p w:rsidR="00F34F4F" w:rsidRPr="00606199" w:rsidRDefault="00F34F4F" w:rsidP="000C75CA">
            <w:pPr>
              <w:jc w:val="both"/>
              <w:rPr>
                <w:rFonts w:ascii="Palatino Linotype" w:eastAsia="Palatino Linotype" w:hAnsi="Palatino Linotype" w:cs="Palatino Linotype"/>
                <w:b/>
                <w:i/>
              </w:rPr>
            </w:pPr>
            <w:r w:rsidRPr="00606199">
              <w:rPr>
                <w:rFonts w:ascii="Palatino Linotype" w:eastAsia="Palatino Linotype" w:hAnsi="Palatino Linotype" w:cs="Palatino Linotype"/>
                <w:i/>
              </w:rPr>
              <w:t xml:space="preserve">No colma, toda vez que el documento que colma la pretensión del </w:t>
            </w:r>
            <w:r w:rsidRPr="00606199">
              <w:rPr>
                <w:rFonts w:ascii="Palatino Linotype" w:eastAsia="Palatino Linotype" w:hAnsi="Palatino Linotype" w:cs="Palatino Linotype"/>
                <w:b/>
                <w:i/>
              </w:rPr>
              <w:t xml:space="preserve">RECURRENTE </w:t>
            </w:r>
            <w:r w:rsidRPr="00606199">
              <w:rPr>
                <w:rFonts w:ascii="Palatino Linotype" w:eastAsia="Palatino Linotype" w:hAnsi="Palatino Linotype" w:cs="Palatino Linotype"/>
                <w:i/>
              </w:rPr>
              <w:t xml:space="preserve">es la conciliación de nómina, documento que no fue remitido por el </w:t>
            </w:r>
            <w:r w:rsidRPr="00606199">
              <w:rPr>
                <w:rFonts w:ascii="Palatino Linotype" w:eastAsia="Palatino Linotype" w:hAnsi="Palatino Linotype" w:cs="Palatino Linotype"/>
                <w:b/>
                <w:i/>
              </w:rPr>
              <w:t xml:space="preserve">SUJETO OBLIGADO. </w:t>
            </w:r>
          </w:p>
        </w:tc>
      </w:tr>
    </w:tbl>
    <w:p w:rsidR="00660B1A" w:rsidRPr="00606199" w:rsidRDefault="00660B1A" w:rsidP="00660B1A">
      <w:pPr>
        <w:spacing w:line="360" w:lineRule="auto"/>
        <w:jc w:val="both"/>
        <w:rPr>
          <w:rFonts w:ascii="Palatino Linotype" w:eastAsia="Palatino Linotype" w:hAnsi="Palatino Linotype" w:cs="Palatino Linotype"/>
          <w:b/>
          <w:i/>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De la tabla anterior, se tiene que el </w:t>
      </w:r>
      <w:r w:rsidRPr="00606199">
        <w:rPr>
          <w:rFonts w:ascii="Palatino Linotype" w:eastAsia="Palatino Linotype" w:hAnsi="Palatino Linotype" w:cs="Palatino Linotype"/>
          <w:b/>
        </w:rPr>
        <w:t>SUJETO OBLIGADO</w:t>
      </w:r>
      <w:r w:rsidR="001531DA" w:rsidRPr="00606199">
        <w:rPr>
          <w:rFonts w:ascii="Palatino Linotype" w:eastAsia="Palatino Linotype" w:hAnsi="Palatino Linotype" w:cs="Palatino Linotype"/>
          <w:b/>
        </w:rPr>
        <w:t xml:space="preserve"> solamente colmo el derecho de acceso a la información del RECURRENTE </w:t>
      </w:r>
      <w:r w:rsidR="001531DA" w:rsidRPr="00606199">
        <w:rPr>
          <w:rFonts w:ascii="Palatino Linotype" w:eastAsia="Palatino Linotype" w:hAnsi="Palatino Linotype" w:cs="Palatino Linotype"/>
        </w:rPr>
        <w:t xml:space="preserve">en el punto tres del recurso de revisión </w:t>
      </w:r>
      <w:r w:rsidR="001531DA" w:rsidRPr="00606199">
        <w:rPr>
          <w:rFonts w:ascii="Palatino Linotype" w:eastAsia="Palatino Linotype" w:hAnsi="Palatino Linotype" w:cs="Palatino Linotype"/>
          <w:b/>
          <w:color w:val="000000"/>
        </w:rPr>
        <w:t>02953/INFOEM/IP/RR/2026</w:t>
      </w:r>
      <w:r w:rsidR="001531DA" w:rsidRPr="00606199">
        <w:rPr>
          <w:rFonts w:ascii="Palatino Linotype" w:eastAsia="Palatino Linotype" w:hAnsi="Palatino Linotype" w:cs="Palatino Linotype"/>
          <w:color w:val="000000"/>
        </w:rPr>
        <w:t>, toda vez que informo que no se generaron pagos po</w:t>
      </w:r>
      <w:r w:rsidR="009426E6" w:rsidRPr="00606199">
        <w:rPr>
          <w:rFonts w:ascii="Palatino Linotype" w:eastAsia="Palatino Linotype" w:hAnsi="Palatino Linotype" w:cs="Palatino Linotype"/>
          <w:color w:val="000000"/>
        </w:rPr>
        <w:t>r</w:t>
      </w:r>
      <w:r w:rsidR="001531DA" w:rsidRPr="00606199">
        <w:rPr>
          <w:rFonts w:ascii="Palatino Linotype" w:eastAsia="Palatino Linotype" w:hAnsi="Palatino Linotype" w:cs="Palatino Linotype"/>
          <w:color w:val="000000"/>
        </w:rPr>
        <w:t xml:space="preserve"> quincenas adicionales</w:t>
      </w:r>
      <w:r w:rsidR="00437FFC" w:rsidRPr="00606199">
        <w:rPr>
          <w:rFonts w:ascii="Palatino Linotype" w:eastAsia="Palatino Linotype" w:hAnsi="Palatino Linotype" w:cs="Palatino Linotype"/>
          <w:color w:val="000000"/>
        </w:rPr>
        <w:t xml:space="preserve">. </w:t>
      </w:r>
    </w:p>
    <w:p w:rsidR="00437FFC" w:rsidRPr="00606199" w:rsidRDefault="00437FFC" w:rsidP="00437FFC">
      <w:pPr>
        <w:spacing w:line="360" w:lineRule="auto"/>
        <w:jc w:val="both"/>
        <w:rPr>
          <w:rFonts w:ascii="Palatino Linotype" w:eastAsia="Palatino Linotype" w:hAnsi="Palatino Linotype" w:cs="Palatino Linotype"/>
        </w:rPr>
      </w:pPr>
    </w:p>
    <w:p w:rsidR="00437FFC" w:rsidRPr="00606199" w:rsidRDefault="00437FFC"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Ahora bien, toda vez que las solicitudes de información guardan relación con el documento que colma la pretensión del </w:t>
      </w:r>
      <w:r w:rsidRPr="00606199">
        <w:rPr>
          <w:rFonts w:ascii="Palatino Linotype" w:eastAsia="Palatino Linotype" w:hAnsi="Palatino Linotype" w:cs="Palatino Linotype"/>
          <w:b/>
        </w:rPr>
        <w:t xml:space="preserve">RECURRENTE </w:t>
      </w:r>
      <w:r w:rsidRPr="00606199">
        <w:rPr>
          <w:rFonts w:ascii="Palatino Linotype" w:eastAsia="Palatino Linotype" w:hAnsi="Palatino Linotype" w:cs="Palatino Linotype"/>
        </w:rPr>
        <w:t xml:space="preserve">que es la </w:t>
      </w:r>
      <w:r w:rsidRPr="00606199">
        <w:rPr>
          <w:rFonts w:ascii="Palatino Linotype" w:eastAsia="Palatino Linotype" w:hAnsi="Palatino Linotype" w:cs="Palatino Linotype"/>
          <w:b/>
        </w:rPr>
        <w:t xml:space="preserve">conciliación de nómina </w:t>
      </w:r>
      <w:r w:rsidRPr="00606199">
        <w:rPr>
          <w:rFonts w:ascii="Palatino Linotype" w:eastAsia="Palatino Linotype" w:hAnsi="Palatino Linotype" w:cs="Palatino Linotype"/>
        </w:rPr>
        <w:t>es que</w:t>
      </w:r>
      <w:r w:rsidR="007A7F35" w:rsidRPr="00606199">
        <w:rPr>
          <w:rFonts w:ascii="Palatino Linotype" w:eastAsia="Palatino Linotype" w:hAnsi="Palatino Linotype" w:cs="Palatino Linotype"/>
        </w:rPr>
        <w:t xml:space="preserve"> se hace el siguiente </w:t>
      </w:r>
      <w:r w:rsidR="00600687" w:rsidRPr="00606199">
        <w:rPr>
          <w:rFonts w:ascii="Palatino Linotype" w:eastAsia="Palatino Linotype" w:hAnsi="Palatino Linotype" w:cs="Palatino Linotype"/>
        </w:rPr>
        <w:t>análisis</w:t>
      </w:r>
      <w:r w:rsidR="007A7F35" w:rsidRPr="00606199">
        <w:rPr>
          <w:rFonts w:ascii="Palatino Linotype" w:eastAsia="Palatino Linotype" w:hAnsi="Palatino Linotype" w:cs="Palatino Linotype"/>
        </w:rPr>
        <w:t xml:space="preserve"> de  manera conjunta.</w:t>
      </w:r>
    </w:p>
    <w:p w:rsidR="000C75CA" w:rsidRPr="00606199" w:rsidRDefault="000C75CA" w:rsidP="000C75CA">
      <w:pPr>
        <w:pStyle w:val="Prrafodelista"/>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b/>
          <w:i/>
          <w:color w:val="000000"/>
        </w:rPr>
      </w:pPr>
      <w:r w:rsidRPr="00606199">
        <w:rPr>
          <w:rFonts w:ascii="Palatino Linotype" w:eastAsia="Palatino Linotype" w:hAnsi="Palatino Linotype" w:cs="Palatino Linotype"/>
        </w:rPr>
        <w:t xml:space="preserve">Respecto a la </w:t>
      </w:r>
      <w:r w:rsidRPr="00606199">
        <w:rPr>
          <w:rFonts w:ascii="Palatino Linotype" w:eastAsia="Palatino Linotype" w:hAnsi="Palatino Linotype" w:cs="Palatino Linotype"/>
          <w:b/>
          <w:color w:val="000000"/>
        </w:rPr>
        <w:t>conciliación de nómina</w:t>
      </w:r>
      <w:r w:rsidRPr="00606199">
        <w:rPr>
          <w:rFonts w:ascii="Palatino Linotype" w:eastAsia="Palatino Linotype" w:hAnsi="Palatino Linotype" w:cs="Palatino Linotype"/>
          <w:color w:val="000000"/>
        </w:rPr>
        <w:t xml:space="preserve">, se debe de fijar que es información que se encuentra dentro de las atribuciones de la Tesorería Municipal, quien de acuerdo con la Ley Orgánica Municipal del Estado de México, tiene las siguientes funciones.  </w:t>
      </w:r>
    </w:p>
    <w:p w:rsidR="000C75CA" w:rsidRPr="00606199" w:rsidRDefault="000C75CA" w:rsidP="000C75CA">
      <w:pP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b/>
          <w:i/>
          <w:color w:val="000000"/>
        </w:rPr>
        <w:t xml:space="preserve">Artículo 95.- </w:t>
      </w:r>
      <w:r w:rsidRPr="00606199">
        <w:rPr>
          <w:rFonts w:ascii="Palatino Linotype" w:eastAsia="Palatino Linotype" w:hAnsi="Palatino Linotype" w:cs="Palatino Linotype"/>
          <w:i/>
          <w:color w:val="000000"/>
        </w:rPr>
        <w:t xml:space="preserve">Son atribuciones del tesorero municipal: </w:t>
      </w:r>
    </w:p>
    <w:p w:rsidR="000C75CA" w:rsidRPr="00606199" w:rsidRDefault="000C75CA" w:rsidP="000C75CA">
      <w:pPr>
        <w:numPr>
          <w:ilvl w:val="1"/>
          <w:numId w:val="10"/>
        </w:numPr>
        <w:pBdr>
          <w:top w:val="nil"/>
          <w:left w:val="nil"/>
          <w:bottom w:val="nil"/>
          <w:right w:val="nil"/>
          <w:between w:val="nil"/>
        </w:pBdr>
        <w:ind w:left="1134" w:right="900" w:firstLine="0"/>
        <w:jc w:val="both"/>
        <w:rPr>
          <w:rFonts w:ascii="Palatino Linotype" w:eastAsia="Palatino Linotype" w:hAnsi="Palatino Linotype" w:cs="Palatino Linotype"/>
          <w:b/>
          <w:i/>
          <w:color w:val="000000"/>
        </w:rPr>
      </w:pPr>
      <w:r w:rsidRPr="00606199">
        <w:rPr>
          <w:rFonts w:ascii="Palatino Linotype" w:eastAsia="Palatino Linotype" w:hAnsi="Palatino Linotype" w:cs="Palatino Linotype"/>
          <w:b/>
          <w:i/>
          <w:color w:val="000000"/>
        </w:rPr>
        <w:t xml:space="preserve">Administrar la hacienda pública municipal, de conformidad con las disposiciones legales aplicables;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III. Imponer las sanciones administrativas que procedan por infracciones a las disposiciones fiscales;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606199">
        <w:rPr>
          <w:rFonts w:ascii="Palatino Linotype" w:eastAsia="Palatino Linotype" w:hAnsi="Palatino Linotype" w:cs="Palatino Linotype"/>
          <w:b/>
          <w:i/>
          <w:color w:val="000000"/>
        </w:rPr>
        <w:t xml:space="preserve">IV. Llevar los registros contables, financieros y administrativos de los ingresos, egresos, e inventarios;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V. Proporcionar oportunamente al ayuntamiento todos los datos o informes que sean necesarios para la formulación del Presupuesto de Egresos Municipales, vigilando que se ajuste a las disposiciones de esta Ley y otros ordenamientos aplicables;</w:t>
      </w:r>
      <w:r w:rsidRPr="00606199">
        <w:rPr>
          <w:rFonts w:ascii="Palatino Linotype" w:eastAsia="Calibri" w:hAnsi="Palatino Linotype"/>
          <w:color w:val="000000"/>
        </w:rPr>
        <w:t xml:space="preserve">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VI. Presentar anualmente al ayuntamiento un informe de la situación contable financiera de la Tesorería Municipal;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VI Bis. Proporcionar para la formulación del proyecto de Presupuesto de Egresos Municipales la información financiera relativa a la solución o en su caso, el pago de los litigios laborales;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VII. Diseñar y aprobar las formas oficiales de manifestaciones, avisos y declaraciones y demás documentos requeridos;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VIII. Participar en la formulación de Convenios Fiscales y ejercer las atribuciones que le correspondan en el ámbito de su competencia;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IX. Proponer al ayuntamiento la cancelación de cuentas incobrables;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X. Custodiar y ejercer las garantías que se otorguen en favor de la hacienda municipal;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XI. Proponer la política de ingresos de la tesorería municipal;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XII. Intervenir en la elaboración del programa financiero municipal;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XIII. Elaborar y mantener actualizado el Padrón de Contribuyentes;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606199">
        <w:rPr>
          <w:rFonts w:ascii="Palatino Linotype" w:eastAsia="Palatino Linotype" w:hAnsi="Palatino Linotype" w:cs="Palatino Linotype"/>
          <w:b/>
          <w:i/>
          <w:color w:val="000000"/>
        </w:rPr>
        <w:lastRenderedPageBreak/>
        <w:t xml:space="preserve">XIV. Ministrar a su inmediato antecesor todos los datos oficiales que le solicitare, para contestar los pliegos de observaciones y alcances que formule y deduzca el Órgano Superior de Fiscalización del Estado de México;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XV. Solicitar a las instancias competentes, la práctica de revisiones circunstanciadas, de conformidad con las normas que rigen en materia de control y evaluación gubernamental en el ámbito municipal;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XVI. Glosar oportunamente las cuentas del ayuntamiento;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b/>
          <w:i/>
          <w:color w:val="000000"/>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606199">
        <w:rPr>
          <w:rFonts w:ascii="Palatino Linotype" w:eastAsia="Palatino Linotype" w:hAnsi="Palatino Linotype" w:cs="Palatino Linotype"/>
          <w:i/>
          <w:color w:val="000000"/>
        </w:rPr>
        <w:t xml:space="preserve">;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XVIII. Expedir copias certificadas de los documentos a su cuidado, por acuerdo expreso del Ayuntamiento y cuando se trate de documentación presentada ante el Órgano Superior de Fiscalización del Estado de México;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XX. Dar cumplimiento a las leyes, convenios de coordinación fiscal y demás que en materia hacendaria celebre el Ayuntamiento con el Estado;</w:t>
      </w:r>
      <w:r w:rsidRPr="00606199">
        <w:rPr>
          <w:rFonts w:ascii="Palatino Linotype" w:eastAsia="Calibri" w:hAnsi="Palatino Linotype"/>
          <w:color w:val="000000"/>
        </w:rPr>
        <w:t xml:space="preserve">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606199">
        <w:rPr>
          <w:rFonts w:ascii="Palatino Linotype" w:eastAsia="Palatino Linotype" w:hAnsi="Palatino Linotype" w:cs="Palatino Linotype"/>
          <w:b/>
          <w:i/>
          <w:color w:val="000000"/>
        </w:rPr>
        <w:t xml:space="preserve">XXI. Entregar oportunamente a él o los Síndicos, según sea el caso, el informe mensual que corresponda, a fin de que se revise, y de ser necesario, para que se formulen las observaciones respectivas. </w:t>
      </w:r>
    </w:p>
    <w:p w:rsidR="000C75CA" w:rsidRPr="00606199" w:rsidRDefault="000C75CA" w:rsidP="000C75CA">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XXII. Las que les señalen las demás disposiciones legales y el ayuntamiento.</w:t>
      </w:r>
    </w:p>
    <w:p w:rsidR="000C75CA" w:rsidRPr="00606199" w:rsidRDefault="000C75CA" w:rsidP="000C75CA">
      <w:pPr>
        <w:spacing w:line="360" w:lineRule="auto"/>
        <w:jc w:val="both"/>
        <w:rPr>
          <w:rFonts w:ascii="Palatino Linotype" w:eastAsia="Palatino Linotype" w:hAnsi="Palatino Linotype" w:cs="Palatino Linotype"/>
          <w:color w:val="000000"/>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De lo anterior, se observa que la Tesorería Municipal, es el área encargada de administrar la hacienda pública municipal, de conformidad con las disposiciones legales aplicables, así como de atender la </w:t>
      </w:r>
      <w:r w:rsidRPr="00606199">
        <w:rPr>
          <w:rFonts w:ascii="Palatino Linotype" w:eastAsia="Palatino Linotype" w:hAnsi="Palatino Linotype" w:cs="Palatino Linotype"/>
        </w:rPr>
        <w:t>solicitudes</w:t>
      </w:r>
      <w:r w:rsidRPr="00606199">
        <w:rPr>
          <w:rFonts w:ascii="Palatino Linotype" w:eastAsia="Palatino Linotype" w:hAnsi="Palatino Linotype" w:cs="Palatino Linotype"/>
          <w:color w:val="000000"/>
        </w:rPr>
        <w:t xml:space="preserve"> o pliegos de información que le requiera el Órgano Superior de Fiscalización del Estado de México al Municipio y así como la entrega </w:t>
      </w:r>
      <w:r w:rsidRPr="00606199">
        <w:rPr>
          <w:rFonts w:ascii="Palatino Linotype" w:eastAsia="Palatino Linotype" w:hAnsi="Palatino Linotype" w:cs="Palatino Linotype"/>
          <w:color w:val="000000"/>
        </w:rPr>
        <w:lastRenderedPageBreak/>
        <w:t xml:space="preserve">oportuna al Síndico Municipal del informe mensual que se remite al Órgano Superior de Fiscalización del Estado de México. </w:t>
      </w:r>
    </w:p>
    <w:p w:rsidR="000C75CA" w:rsidRPr="00606199" w:rsidRDefault="000C75CA" w:rsidP="000C75CA">
      <w:pPr>
        <w:pStyle w:val="Prrafodelista"/>
        <w:spacing w:line="360" w:lineRule="auto"/>
        <w:ind w:left="0"/>
        <w:contextualSpacing w:val="0"/>
        <w:jc w:val="both"/>
        <w:rPr>
          <w:rFonts w:ascii="Palatino Linotype" w:eastAsia="Palatino Linotype" w:hAnsi="Palatino Linotype" w:cs="Palatino Linotype"/>
          <w:color w:val="000000"/>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En esa línea de estudio, se debe de señalar que la información solicitada por parte del </w:t>
      </w:r>
      <w:r w:rsidRPr="00606199">
        <w:rPr>
          <w:rFonts w:ascii="Palatino Linotype" w:eastAsia="Palatino Linotype" w:hAnsi="Palatino Linotype" w:cs="Palatino Linotype"/>
          <w:b/>
          <w:color w:val="000000"/>
        </w:rPr>
        <w:t xml:space="preserve">RECURRENTE </w:t>
      </w:r>
      <w:r w:rsidRPr="00606199">
        <w:rPr>
          <w:rFonts w:ascii="Palatino Linotype" w:eastAsia="Palatino Linotype" w:hAnsi="Palatino Linotype" w:cs="Palatino Linotype"/>
          <w:color w:val="000000"/>
        </w:rPr>
        <w:t xml:space="preserve">forma parte de la información de las obligaciones de transparencia común de conformidad con el artículo 92 de la Ley de Transparencia y Acceso a la Información Pública del Estado de México y Municipios. </w:t>
      </w:r>
    </w:p>
    <w:p w:rsidR="000C75CA" w:rsidRPr="00606199" w:rsidRDefault="000C75CA" w:rsidP="000C75CA">
      <w:pP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b/>
          <w:i/>
          <w:color w:val="000000"/>
        </w:rPr>
        <w:t>Artículo 92.</w:t>
      </w:r>
      <w:r w:rsidRPr="00606199">
        <w:rPr>
          <w:rFonts w:ascii="Palatino Linotype" w:eastAsia="Palatino Linotype" w:hAnsi="Palatino Linotype" w:cs="Palatino Linotype"/>
          <w:i/>
          <w:color w:val="00000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C75CA" w:rsidRPr="00606199" w:rsidRDefault="000C75CA" w:rsidP="000C75CA">
      <w:pPr>
        <w:ind w:left="1134" w:right="900"/>
        <w:jc w:val="both"/>
        <w:rPr>
          <w:rFonts w:ascii="Palatino Linotype" w:eastAsia="Palatino Linotype" w:hAnsi="Palatino Linotype" w:cs="Palatino Linotype"/>
          <w:b/>
          <w:i/>
          <w:color w:val="000000"/>
        </w:rPr>
      </w:pPr>
      <w:r w:rsidRPr="00606199">
        <w:rPr>
          <w:rFonts w:ascii="Palatino Linotype" w:eastAsia="Palatino Linotype" w:hAnsi="Palatino Linotype" w:cs="Palatino Linotype"/>
          <w:b/>
          <w:i/>
          <w:color w:val="000000"/>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C75CA" w:rsidRPr="00606199" w:rsidRDefault="000C75CA" w:rsidP="000C75CA">
      <w:pPr>
        <w:ind w:left="1134" w:right="900"/>
        <w:jc w:val="both"/>
        <w:rPr>
          <w:rFonts w:ascii="Palatino Linotype" w:eastAsia="Palatino Linotype" w:hAnsi="Palatino Linotype" w:cs="Palatino Linotype"/>
          <w:b/>
          <w:i/>
          <w:color w:val="000000"/>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rPr>
        <w:t xml:space="preserve">Es necesario mencionar que el acceso a la información es un derecho humano </w:t>
      </w:r>
      <w:r w:rsidRPr="00606199">
        <w:rPr>
          <w:rFonts w:ascii="Palatino Linotype" w:eastAsia="Palatino Linotype" w:hAnsi="Palatino Linotype" w:cs="Palatino Linotype"/>
          <w:color w:val="000000"/>
        </w:rPr>
        <w:t>constitucional</w:t>
      </w:r>
      <w:r w:rsidRPr="00606199">
        <w:rPr>
          <w:rFonts w:ascii="Palatino Linotype" w:eastAsia="Palatino Linotype" w:hAnsi="Palatino Linotype" w:cs="Palatino Linotype"/>
        </w:rPr>
        <w:t xml:space="preserve"> y convencionalmente reconocido y para tal efecto el párrafo tercero del artículo primero de la Constitución Política de los Estados Unidos Mexicanos establece que el deber de todas las autoridades, </w:t>
      </w:r>
      <w:r w:rsidRPr="00606199">
        <w:rPr>
          <w:rFonts w:ascii="Palatino Linotype" w:eastAsia="Palatino Linotype" w:hAnsi="Palatino Linotype" w:cs="Palatino Linotype"/>
          <w:i/>
        </w:rPr>
        <w:t xml:space="preserve">en el ámbito de sus atribuciones, de promover, respetar, proteger y </w:t>
      </w:r>
      <w:r w:rsidRPr="00606199">
        <w:rPr>
          <w:rFonts w:ascii="Palatino Linotype" w:eastAsia="Palatino Linotype" w:hAnsi="Palatino Linotype" w:cs="Palatino Linotype"/>
          <w:b/>
          <w:i/>
        </w:rPr>
        <w:t>garantizar</w:t>
      </w:r>
      <w:r w:rsidRPr="00606199">
        <w:rPr>
          <w:rFonts w:ascii="Palatino Linotype" w:eastAsia="Palatino Linotype" w:hAnsi="Palatino Linotype" w:cs="Palatino Linotype"/>
          <w:i/>
        </w:rPr>
        <w:t xml:space="preserve"> los derechos humanos. </w:t>
      </w:r>
      <w:r w:rsidRPr="00606199">
        <w:rPr>
          <w:rFonts w:ascii="Palatino Linotype" w:eastAsia="Palatino Linotype" w:hAnsi="Palatino Linotype" w:cs="Palatino Linotype"/>
          <w:b/>
          <w:i/>
        </w:rPr>
        <w:t>En cuanto al derecho de acceso a la información, la Ley de Transparencia y Acceso a la Información Pública del Estado de México y Municipios prevé establece que e</w:t>
      </w:r>
      <w:r w:rsidRPr="00606199">
        <w:rPr>
          <w:rFonts w:ascii="Palatino Linotype" w:eastAsia="Palatino Linotype" w:hAnsi="Palatino Linotype" w:cs="Palatino Linotype"/>
          <w:i/>
        </w:rPr>
        <w:t xml:space="preserve">l procedimiento de acceso a la información es la garantía primaria del derecho en cuestión y se rige por los principios de simplicidad, rapidez y gratuidad del procedimiento, auxilio y orientación a los </w:t>
      </w:r>
      <w:r w:rsidRPr="00606199">
        <w:rPr>
          <w:rFonts w:ascii="Palatino Linotype" w:eastAsia="Palatino Linotype" w:hAnsi="Palatino Linotype" w:cs="Palatino Linotype"/>
          <w:i/>
        </w:rPr>
        <w:lastRenderedPageBreak/>
        <w:t>particulares</w:t>
      </w:r>
      <w:r w:rsidRPr="00606199">
        <w:rPr>
          <w:rFonts w:ascii="Palatino Linotype" w:hAnsi="Palatino Linotype"/>
          <w:i/>
          <w:vertAlign w:val="superscript"/>
        </w:rPr>
        <w:footnoteReference w:id="6"/>
      </w:r>
      <w:r w:rsidRPr="00606199">
        <w:rPr>
          <w:rFonts w:ascii="Palatino Linotype" w:eastAsia="Palatino Linotype" w:hAnsi="Palatino Linotype" w:cs="Palatino Linotype"/>
          <w:i/>
        </w:rPr>
        <w:t xml:space="preserve">, </w:t>
      </w:r>
      <w:r w:rsidRPr="00606199">
        <w:rPr>
          <w:rFonts w:ascii="Palatino Linotype" w:eastAsia="Palatino Linotype" w:hAnsi="Palatino Linotype" w:cs="Palatino Linotype"/>
        </w:rPr>
        <w:t>asimismo establece</w:t>
      </w:r>
      <w:r w:rsidRPr="00606199">
        <w:rPr>
          <w:rFonts w:ascii="Palatino Linotype" w:eastAsia="Palatino Linotype" w:hAnsi="Palatino Linotype" w:cs="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0C75CA" w:rsidRPr="00606199" w:rsidRDefault="000C75CA" w:rsidP="000C75CA">
      <w:pPr>
        <w:spacing w:line="360" w:lineRule="auto"/>
        <w:jc w:val="both"/>
        <w:rPr>
          <w:rFonts w:ascii="Palatino Linotype" w:eastAsia="Palatino Linotype" w:hAnsi="Palatino Linotype" w:cs="Palatino Linotype"/>
          <w:color w:val="000000"/>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En ese sentido, sobre la nómina nos lleva a precisar que en nuestra legislación del Estado de México no existe como tal una definición de “nómina”; sin embargo, el “Glosario de Términos Usuales de Finanzas Públicas” del Centro de Estudios de las Finanzas </w:t>
      </w:r>
      <w:r w:rsidRPr="00606199">
        <w:rPr>
          <w:rFonts w:ascii="Palatino Linotype" w:eastAsia="Palatino Linotype" w:hAnsi="Palatino Linotype" w:cs="Palatino Linotype"/>
          <w:color w:val="000000"/>
        </w:rPr>
        <w:t>Públicas</w:t>
      </w:r>
      <w:r w:rsidRPr="00606199">
        <w:rPr>
          <w:rFonts w:ascii="Palatino Linotype" w:eastAsia="Palatino Linotype" w:hAnsi="Palatino Linotype" w:cs="Palatino Linotype"/>
        </w:rPr>
        <w:t xml:space="preserve">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0C75CA" w:rsidRPr="00606199" w:rsidRDefault="000C75CA" w:rsidP="000C75CA">
      <w:pPr>
        <w:ind w:left="1134" w:right="277"/>
        <w:jc w:val="both"/>
        <w:rPr>
          <w:rFonts w:ascii="Palatino Linotype" w:eastAsia="Palatino Linotype" w:hAnsi="Palatino Linotype" w:cs="Palatino Linotype"/>
          <w:i/>
        </w:rPr>
      </w:pPr>
      <w:r w:rsidRPr="00606199">
        <w:rPr>
          <w:rFonts w:ascii="Palatino Linotype" w:eastAsia="Palatino Linotype" w:hAnsi="Palatino Linotype" w:cs="Palatino Linotype"/>
          <w:b/>
          <w:i/>
        </w:rPr>
        <w:t xml:space="preserve">“NÓMINA </w:t>
      </w:r>
      <w:r w:rsidRPr="00606199">
        <w:rPr>
          <w:rFonts w:ascii="Palatino Linotype" w:eastAsia="Palatino Linotype" w:hAnsi="Palatino Linotype" w:cs="Palatino Linotype"/>
          <w:i/>
        </w:rPr>
        <w:t>Listado general de los trabajadores de una institución, en</w:t>
      </w:r>
      <w:r w:rsidRPr="00606199">
        <w:rPr>
          <w:rFonts w:ascii="Palatino Linotype" w:eastAsia="Palatino Linotype" w:hAnsi="Palatino Linotype" w:cs="Palatino Linotype"/>
          <w:b/>
          <w:i/>
        </w:rPr>
        <w:t xml:space="preserve"> </w:t>
      </w:r>
      <w:r w:rsidRPr="00606199">
        <w:rPr>
          <w:rFonts w:ascii="Palatino Linotype" w:eastAsia="Palatino Linotype" w:hAnsi="Palatino Linotype" w:cs="Palatino Linotype"/>
          <w:i/>
        </w:rPr>
        <w:t>el cual se asientan las percepciones brutas, deducciones y</w:t>
      </w:r>
      <w:r w:rsidRPr="00606199">
        <w:rPr>
          <w:rFonts w:ascii="Palatino Linotype" w:eastAsia="Palatino Linotype" w:hAnsi="Palatino Linotype" w:cs="Palatino Linotype"/>
          <w:b/>
          <w:i/>
        </w:rPr>
        <w:t xml:space="preserve"> </w:t>
      </w:r>
      <w:r w:rsidRPr="00606199">
        <w:rPr>
          <w:rFonts w:ascii="Palatino Linotype" w:eastAsia="Palatino Linotype" w:hAnsi="Palatino Linotype" w:cs="Palatino Linotype"/>
          <w:i/>
        </w:rPr>
        <w:t>alcance neto de las mismas; la nómina es utilizada para</w:t>
      </w:r>
      <w:r w:rsidRPr="00606199">
        <w:rPr>
          <w:rFonts w:ascii="Palatino Linotype" w:eastAsia="Palatino Linotype" w:hAnsi="Palatino Linotype" w:cs="Palatino Linotype"/>
          <w:b/>
          <w:i/>
        </w:rPr>
        <w:t xml:space="preserve"> </w:t>
      </w:r>
      <w:r w:rsidRPr="00606199">
        <w:rPr>
          <w:rFonts w:ascii="Palatino Linotype" w:eastAsia="Palatino Linotype" w:hAnsi="Palatino Linotype" w:cs="Palatino Linotype"/>
          <w:i/>
        </w:rPr>
        <w:t>efectuar los pagos periódicos (semanales, quincenales o</w:t>
      </w:r>
      <w:r w:rsidRPr="00606199">
        <w:rPr>
          <w:rFonts w:ascii="Palatino Linotype" w:eastAsia="Palatino Linotype" w:hAnsi="Palatino Linotype" w:cs="Palatino Linotype"/>
          <w:b/>
          <w:i/>
        </w:rPr>
        <w:t xml:space="preserve"> </w:t>
      </w:r>
      <w:r w:rsidRPr="00606199">
        <w:rPr>
          <w:rFonts w:ascii="Palatino Linotype" w:eastAsia="Palatino Linotype" w:hAnsi="Palatino Linotype" w:cs="Palatino Linotype"/>
          <w:i/>
        </w:rPr>
        <w:t>mensuales) a los trabajadores por concepto de sueldos y</w:t>
      </w:r>
      <w:r w:rsidRPr="00606199">
        <w:rPr>
          <w:rFonts w:ascii="Palatino Linotype" w:eastAsia="Palatino Linotype" w:hAnsi="Palatino Linotype" w:cs="Palatino Linotype"/>
          <w:b/>
          <w:i/>
        </w:rPr>
        <w:t xml:space="preserve"> </w:t>
      </w:r>
      <w:r w:rsidRPr="00606199">
        <w:rPr>
          <w:rFonts w:ascii="Palatino Linotype" w:eastAsia="Palatino Linotype" w:hAnsi="Palatino Linotype" w:cs="Palatino Linotype"/>
          <w:i/>
        </w:rPr>
        <w:t>salarios.”(Sic)</w:t>
      </w:r>
    </w:p>
    <w:p w:rsidR="000C75CA" w:rsidRPr="00606199" w:rsidRDefault="000C75CA" w:rsidP="000C75CA">
      <w:pPr>
        <w:spacing w:line="360" w:lineRule="auto"/>
        <w:ind w:left="1134" w:right="-93"/>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En base a lo anterior, conviene a traer lo establecido por el artículo 804, fracción II, </w:t>
      </w:r>
      <w:r w:rsidRPr="00606199">
        <w:rPr>
          <w:rFonts w:ascii="Palatino Linotype" w:eastAsia="Palatino Linotype" w:hAnsi="Palatino Linotype" w:cs="Palatino Linotype"/>
          <w:color w:val="000000"/>
        </w:rPr>
        <w:t>de</w:t>
      </w:r>
      <w:r w:rsidRPr="00606199">
        <w:rPr>
          <w:rFonts w:ascii="Palatino Linotype" w:eastAsia="Palatino Linotype" w:hAnsi="Palatino Linotype" w:cs="Palatino Linotype"/>
        </w:rPr>
        <w:t xml:space="preserve"> la Ley Federal de Trabajo, el cual a la letra establece: </w:t>
      </w:r>
    </w:p>
    <w:p w:rsidR="000C75CA" w:rsidRPr="00606199" w:rsidRDefault="000C75CA" w:rsidP="000C75CA">
      <w:pPr>
        <w:ind w:left="851" w:right="277"/>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r w:rsidRPr="00606199">
        <w:rPr>
          <w:rFonts w:ascii="Palatino Linotype" w:eastAsia="Palatino Linotype" w:hAnsi="Palatino Linotype" w:cs="Palatino Linotype"/>
          <w:b/>
          <w:i/>
        </w:rPr>
        <w:t>Artículo 804.-</w:t>
      </w:r>
      <w:r w:rsidRPr="00606199">
        <w:rPr>
          <w:rFonts w:ascii="Palatino Linotype" w:eastAsia="Palatino Linotype" w:hAnsi="Palatino Linotype" w:cs="Palatino Linotype"/>
          <w:i/>
        </w:rPr>
        <w:t xml:space="preserve"> </w:t>
      </w:r>
      <w:r w:rsidRPr="00606199">
        <w:rPr>
          <w:rFonts w:ascii="Palatino Linotype" w:eastAsia="Palatino Linotype" w:hAnsi="Palatino Linotype" w:cs="Palatino Linotype"/>
          <w:b/>
          <w:i/>
        </w:rPr>
        <w:t>El patrón tiene obligación de conservar y exhibir en juicio los documentos que a continuación se precisan</w:t>
      </w:r>
      <w:r w:rsidRPr="00606199">
        <w:rPr>
          <w:rFonts w:ascii="Palatino Linotype" w:eastAsia="Palatino Linotype" w:hAnsi="Palatino Linotype" w:cs="Palatino Linotype"/>
          <w:i/>
        </w:rPr>
        <w:t>:</w:t>
      </w:r>
    </w:p>
    <w:p w:rsidR="000C75CA" w:rsidRPr="00606199" w:rsidRDefault="000C75CA" w:rsidP="000C75CA">
      <w:pPr>
        <w:ind w:left="851" w:right="277"/>
        <w:jc w:val="both"/>
        <w:rPr>
          <w:rFonts w:ascii="Palatino Linotype" w:eastAsia="Palatino Linotype" w:hAnsi="Palatino Linotype" w:cs="Palatino Linotype"/>
          <w:i/>
        </w:rPr>
      </w:pPr>
    </w:p>
    <w:p w:rsidR="000C75CA" w:rsidRPr="00606199" w:rsidRDefault="000C75CA" w:rsidP="000C75CA">
      <w:pPr>
        <w:ind w:left="851" w:right="277"/>
        <w:jc w:val="both"/>
        <w:rPr>
          <w:rFonts w:ascii="Palatino Linotype" w:eastAsia="Palatino Linotype" w:hAnsi="Palatino Linotype" w:cs="Palatino Linotype"/>
          <w:b/>
          <w:i/>
        </w:rPr>
      </w:pPr>
      <w:r w:rsidRPr="00606199">
        <w:rPr>
          <w:rFonts w:ascii="Palatino Linotype" w:eastAsia="Palatino Linotype" w:hAnsi="Palatino Linotype" w:cs="Palatino Linotype"/>
          <w:b/>
          <w:i/>
        </w:rPr>
        <w:lastRenderedPageBreak/>
        <w:t>II.</w:t>
      </w:r>
      <w:r w:rsidRPr="00606199">
        <w:rPr>
          <w:rFonts w:ascii="Palatino Linotype" w:eastAsia="Palatino Linotype" w:hAnsi="Palatino Linotype" w:cs="Palatino Linotype"/>
          <w:i/>
        </w:rPr>
        <w:t xml:space="preserve"> </w:t>
      </w:r>
      <w:r w:rsidRPr="00606199">
        <w:rPr>
          <w:rFonts w:ascii="Palatino Linotype" w:eastAsia="Palatino Linotype" w:hAnsi="Palatino Linotype" w:cs="Palatino Linotype"/>
          <w:b/>
          <w:i/>
        </w:rPr>
        <w:t>Listas de raya o nómina de personal</w:t>
      </w:r>
      <w:r w:rsidRPr="00606199">
        <w:rPr>
          <w:rFonts w:ascii="Palatino Linotype" w:eastAsia="Palatino Linotype" w:hAnsi="Palatino Linotype" w:cs="Palatino Linotype"/>
          <w:i/>
        </w:rPr>
        <w:t xml:space="preserve">, </w:t>
      </w:r>
      <w:r w:rsidRPr="00606199">
        <w:rPr>
          <w:rFonts w:ascii="Palatino Linotype" w:eastAsia="Palatino Linotype" w:hAnsi="Palatino Linotype" w:cs="Palatino Linotype"/>
          <w:b/>
          <w:i/>
        </w:rPr>
        <w:t xml:space="preserve">cuando se lleven en el centro de trabajo; o recibos de pagos de salarios; </w:t>
      </w:r>
    </w:p>
    <w:p w:rsidR="000C75CA" w:rsidRPr="00606199" w:rsidRDefault="000C75CA" w:rsidP="000C75CA">
      <w:pPr>
        <w:ind w:left="851" w:right="277"/>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p>
    <w:p w:rsidR="000C75CA" w:rsidRPr="00606199" w:rsidRDefault="000C75CA" w:rsidP="000C75CA">
      <w:pPr>
        <w:ind w:left="851" w:right="277"/>
        <w:jc w:val="both"/>
        <w:rPr>
          <w:rFonts w:ascii="Palatino Linotype" w:eastAsia="Palatino Linotype" w:hAnsi="Palatino Linotype" w:cs="Palatino Linotype"/>
          <w:i/>
        </w:rPr>
      </w:pPr>
      <w:r w:rsidRPr="00606199">
        <w:rPr>
          <w:rFonts w:ascii="Palatino Linotype" w:eastAsia="Palatino Linotype" w:hAnsi="Palatino Linotype" w:cs="Palatino Linotype"/>
          <w:i/>
        </w:rPr>
        <w:t xml:space="preserve">Los documentos señalados en la fracción I deberán conservarse mientras dure la relación laboral y hasta un año después; </w:t>
      </w:r>
      <w:r w:rsidRPr="00606199">
        <w:rPr>
          <w:rFonts w:ascii="Palatino Linotype" w:eastAsia="Palatino Linotype" w:hAnsi="Palatino Linotype" w:cs="Palatino Linotype"/>
          <w:b/>
          <w:i/>
        </w:rPr>
        <w:t>los señalados en las fracciones II, III y IV, durante el último año y un año después de que se extinga la relación laboral</w:t>
      </w:r>
      <w:r w:rsidRPr="00606199">
        <w:rPr>
          <w:rFonts w:ascii="Palatino Linotype" w:eastAsia="Palatino Linotype" w:hAnsi="Palatino Linotype" w:cs="Palatino Linotype"/>
          <w:i/>
        </w:rPr>
        <w:t>; y los mencionados en la fracción V, conforme lo señalen las Leyes que los rijan.” (Sic)</w:t>
      </w:r>
    </w:p>
    <w:p w:rsidR="000C75CA" w:rsidRPr="00606199" w:rsidRDefault="000C75CA" w:rsidP="000C75CA">
      <w:pPr>
        <w:ind w:right="851"/>
        <w:jc w:val="both"/>
        <w:rPr>
          <w:rFonts w:ascii="Palatino Linotype" w:eastAsia="Palatino Linotype" w:hAnsi="Palatino Linotype" w:cs="Palatino Linotype"/>
          <w:i/>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De lo precedente, se concluye que la nómina, es el registro utilizado para efectuar los </w:t>
      </w:r>
      <w:r w:rsidRPr="00606199">
        <w:rPr>
          <w:rFonts w:ascii="Palatino Linotype" w:eastAsia="Palatino Linotype" w:hAnsi="Palatino Linotype" w:cs="Palatino Linotype"/>
          <w:color w:val="000000"/>
        </w:rPr>
        <w:t>pagos</w:t>
      </w:r>
      <w:r w:rsidRPr="00606199">
        <w:rPr>
          <w:rFonts w:ascii="Palatino Linotype" w:eastAsia="Palatino Linotype" w:hAnsi="Palatino Linotype" w:cs="Palatino Linotype"/>
        </w:rPr>
        <w:t xml:space="preserve"> a los trabajadores por concepto de sueldos y salarios, el cual se compone por el conjunto de trabajadores en el que se asientan las percepciones brutas, deducciones y la cantidad neta a pagar.</w:t>
      </w:r>
    </w:p>
    <w:p w:rsidR="000C75CA" w:rsidRPr="00606199" w:rsidRDefault="000C75CA" w:rsidP="000C75CA">
      <w:pPr>
        <w:spacing w:line="360" w:lineRule="auto"/>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rsidR="000C75CA" w:rsidRPr="00606199" w:rsidRDefault="000C75CA" w:rsidP="000C75CA">
      <w:pPr>
        <w:tabs>
          <w:tab w:val="left" w:pos="9072"/>
        </w:tabs>
        <w:spacing w:before="240"/>
        <w:ind w:left="851" w:right="277"/>
        <w:jc w:val="both"/>
        <w:rPr>
          <w:rFonts w:ascii="Palatino Linotype" w:eastAsia="Palatino Linotype" w:hAnsi="Palatino Linotype" w:cs="Palatino Linotype"/>
          <w:i/>
        </w:rPr>
      </w:pPr>
      <w:r w:rsidRPr="00606199">
        <w:rPr>
          <w:rFonts w:ascii="Palatino Linotype" w:eastAsia="Palatino Linotype" w:hAnsi="Palatino Linotype" w:cs="Palatino Linotype"/>
          <w:b/>
          <w:i/>
        </w:rPr>
        <w:t>“ARTÍCULO 220 K.-</w:t>
      </w:r>
      <w:r w:rsidRPr="00606199">
        <w:rPr>
          <w:rFonts w:ascii="Palatino Linotype" w:eastAsia="Palatino Linotype" w:hAnsi="Palatino Linotype" w:cs="Palatino Linotype"/>
          <w:i/>
        </w:rPr>
        <w:t xml:space="preserve"> La </w:t>
      </w:r>
      <w:r w:rsidRPr="00606199">
        <w:rPr>
          <w:rFonts w:ascii="Palatino Linotype" w:eastAsia="Palatino Linotype" w:hAnsi="Palatino Linotype" w:cs="Palatino Linotype"/>
          <w:b/>
          <w:i/>
        </w:rPr>
        <w:t>institución o dependencia pública tiene la obligación de conservar y exhibir en el proceso los documentos que a continuación</w:t>
      </w:r>
      <w:r w:rsidRPr="00606199">
        <w:rPr>
          <w:rFonts w:ascii="Palatino Linotype" w:eastAsia="Palatino Linotype" w:hAnsi="Palatino Linotype" w:cs="Palatino Linotype"/>
          <w:i/>
        </w:rPr>
        <w:t xml:space="preserve"> </w:t>
      </w:r>
      <w:r w:rsidRPr="00606199">
        <w:rPr>
          <w:rFonts w:ascii="Palatino Linotype" w:eastAsia="Palatino Linotype" w:hAnsi="Palatino Linotype" w:cs="Palatino Linotype"/>
          <w:b/>
          <w:i/>
        </w:rPr>
        <w:t>se precisan</w:t>
      </w:r>
      <w:r w:rsidRPr="00606199">
        <w:rPr>
          <w:rFonts w:ascii="Palatino Linotype" w:eastAsia="Palatino Linotype" w:hAnsi="Palatino Linotype" w:cs="Palatino Linotype"/>
          <w:i/>
        </w:rPr>
        <w:t>:</w:t>
      </w:r>
    </w:p>
    <w:p w:rsidR="000C75CA" w:rsidRPr="00606199" w:rsidRDefault="000C75CA" w:rsidP="000C75CA">
      <w:pPr>
        <w:tabs>
          <w:tab w:val="left" w:pos="9072"/>
        </w:tabs>
        <w:ind w:left="851" w:right="277"/>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p>
    <w:p w:rsidR="000C75CA" w:rsidRPr="00606199" w:rsidRDefault="000C75CA" w:rsidP="000C75CA">
      <w:pPr>
        <w:tabs>
          <w:tab w:val="left" w:pos="9072"/>
        </w:tabs>
        <w:ind w:left="851" w:right="277"/>
        <w:jc w:val="both"/>
        <w:rPr>
          <w:rFonts w:ascii="Palatino Linotype" w:eastAsia="Palatino Linotype" w:hAnsi="Palatino Linotype" w:cs="Palatino Linotype"/>
          <w:b/>
          <w:i/>
        </w:rPr>
      </w:pPr>
      <w:r w:rsidRPr="00606199">
        <w:rPr>
          <w:rFonts w:ascii="Palatino Linotype" w:eastAsia="Palatino Linotype" w:hAnsi="Palatino Linotype" w:cs="Palatino Linotype"/>
          <w:i/>
        </w:rPr>
        <w:t xml:space="preserve">II. </w:t>
      </w:r>
      <w:r w:rsidRPr="00606199">
        <w:rPr>
          <w:rFonts w:ascii="Palatino Linotype" w:eastAsia="Palatino Linotype" w:hAnsi="Palatino Linotype" w:cs="Palatino Linotype"/>
          <w:b/>
          <w:i/>
        </w:rPr>
        <w:t>Recibos de pagos de salarios o</w:t>
      </w:r>
      <w:r w:rsidRPr="00606199">
        <w:rPr>
          <w:rFonts w:ascii="Palatino Linotype" w:eastAsia="Palatino Linotype" w:hAnsi="Palatino Linotype" w:cs="Palatino Linotype"/>
          <w:i/>
        </w:rPr>
        <w:t xml:space="preserve"> </w:t>
      </w:r>
      <w:r w:rsidRPr="00606199">
        <w:rPr>
          <w:rFonts w:ascii="Palatino Linotype" w:eastAsia="Palatino Linotype" w:hAnsi="Palatino Linotype" w:cs="Palatino Linotype"/>
          <w:b/>
          <w:i/>
        </w:rPr>
        <w:t>las constancias documentales del pago de salario</w:t>
      </w:r>
      <w:r w:rsidRPr="00606199">
        <w:rPr>
          <w:rFonts w:ascii="Palatino Linotype" w:eastAsia="Palatino Linotype" w:hAnsi="Palatino Linotype" w:cs="Palatino Linotype"/>
          <w:i/>
        </w:rPr>
        <w:t xml:space="preserve"> </w:t>
      </w:r>
      <w:r w:rsidRPr="00606199">
        <w:rPr>
          <w:rFonts w:ascii="Palatino Linotype" w:eastAsia="Palatino Linotype" w:hAnsi="Palatino Linotype" w:cs="Palatino Linotype"/>
          <w:b/>
          <w:i/>
        </w:rPr>
        <w:t xml:space="preserve">cuando </w:t>
      </w:r>
      <w:r w:rsidRPr="00606199">
        <w:rPr>
          <w:rFonts w:ascii="Palatino Linotype" w:eastAsia="Palatino Linotype" w:hAnsi="Palatino Linotype" w:cs="Palatino Linotype"/>
          <w:b/>
          <w:i/>
          <w:u w:val="single"/>
        </w:rPr>
        <w:t>sea por depósito o mediante información electrónica</w:t>
      </w:r>
      <w:r w:rsidRPr="00606199">
        <w:rPr>
          <w:rFonts w:ascii="Palatino Linotype" w:eastAsia="Palatino Linotype" w:hAnsi="Palatino Linotype" w:cs="Palatino Linotype"/>
          <w:b/>
          <w:i/>
        </w:rPr>
        <w:t>;</w:t>
      </w:r>
    </w:p>
    <w:p w:rsidR="000C75CA" w:rsidRPr="00606199" w:rsidRDefault="000C75CA" w:rsidP="000C75CA">
      <w:pPr>
        <w:tabs>
          <w:tab w:val="left" w:pos="9072"/>
        </w:tabs>
        <w:ind w:left="851" w:right="277"/>
        <w:jc w:val="both"/>
        <w:rPr>
          <w:rFonts w:ascii="Palatino Linotype" w:eastAsia="Palatino Linotype" w:hAnsi="Palatino Linotype" w:cs="Palatino Linotype"/>
          <w:i/>
        </w:rPr>
      </w:pPr>
      <w:r w:rsidRPr="00606199">
        <w:rPr>
          <w:rFonts w:ascii="Palatino Linotype" w:eastAsia="Palatino Linotype" w:hAnsi="Palatino Linotype" w:cs="Palatino Linotype"/>
          <w:i/>
        </w:rPr>
        <w:t>…</w:t>
      </w:r>
    </w:p>
    <w:p w:rsidR="000C75CA" w:rsidRPr="00606199" w:rsidRDefault="000C75CA" w:rsidP="000C75CA">
      <w:pPr>
        <w:tabs>
          <w:tab w:val="left" w:pos="9072"/>
        </w:tabs>
        <w:ind w:left="851" w:right="277"/>
        <w:jc w:val="both"/>
        <w:rPr>
          <w:rFonts w:ascii="Palatino Linotype" w:eastAsia="Palatino Linotype" w:hAnsi="Palatino Linotype" w:cs="Palatino Linotype"/>
          <w:i/>
        </w:rPr>
      </w:pPr>
      <w:r w:rsidRPr="00606199">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0C75CA" w:rsidRPr="00606199" w:rsidRDefault="000C75CA" w:rsidP="000C75CA">
      <w:pPr>
        <w:tabs>
          <w:tab w:val="left" w:pos="9072"/>
        </w:tabs>
        <w:ind w:left="851" w:right="277"/>
        <w:jc w:val="both"/>
        <w:rPr>
          <w:rFonts w:ascii="Palatino Linotype" w:eastAsia="Palatino Linotype" w:hAnsi="Palatino Linotype" w:cs="Palatino Linotype"/>
          <w:i/>
        </w:rPr>
      </w:pPr>
      <w:r w:rsidRPr="00606199">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0C75CA" w:rsidRPr="00606199" w:rsidRDefault="000C75CA" w:rsidP="000C75CA">
      <w:pPr>
        <w:tabs>
          <w:tab w:val="left" w:pos="9072"/>
        </w:tabs>
        <w:ind w:left="851" w:right="851"/>
        <w:jc w:val="both"/>
        <w:rPr>
          <w:rFonts w:ascii="Palatino Linotype" w:eastAsia="Palatino Linotype" w:hAnsi="Palatino Linotype" w:cs="Palatino Linotype"/>
          <w:i/>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lastRenderedPageBreak/>
        <w:t xml:space="preserve">Luego entonces, tenemos que toda institución o dependencia pública del Estado de México debe conservar las constancias documentales del pago de salario cuando sea por depósito o mediante información electrónica, debiendo conservar dicha </w:t>
      </w:r>
      <w:r w:rsidRPr="00606199">
        <w:rPr>
          <w:rFonts w:ascii="Palatino Linotype" w:eastAsia="Palatino Linotype" w:hAnsi="Palatino Linotype" w:cs="Palatino Linotype"/>
          <w:color w:val="000000"/>
        </w:rPr>
        <w:t>documentación</w:t>
      </w:r>
      <w:r w:rsidRPr="00606199">
        <w:rPr>
          <w:rFonts w:ascii="Palatino Linotype" w:eastAsia="Palatino Linotype" w:hAnsi="Palatino Linotype" w:cs="Palatino Linotype"/>
        </w:rPr>
        <w:t xml:space="preserve"> durante el último año y un año después de que se extinga la relación laboral a través de los sistemas de digitalización o de información magnética o electrónica.</w:t>
      </w:r>
    </w:p>
    <w:p w:rsidR="000C75CA" w:rsidRPr="00606199" w:rsidRDefault="000C75CA" w:rsidP="000C75CA">
      <w:pPr>
        <w:spacing w:line="360" w:lineRule="auto"/>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hAnsi="Palatino Linotype"/>
        </w:rPr>
      </w:pPr>
      <w:r w:rsidRPr="00606199">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w:t>
      </w:r>
      <w:r w:rsidRPr="00606199">
        <w:rPr>
          <w:rFonts w:ascii="Palatino Linotype" w:eastAsia="Palatino Linotype" w:hAnsi="Palatino Linotype" w:cs="Palatino Linotype"/>
          <w:color w:val="000000"/>
        </w:rPr>
        <w:t>conforman</w:t>
      </w:r>
      <w:r w:rsidRPr="00606199">
        <w:rPr>
          <w:rFonts w:ascii="Palatino Linotype" w:eastAsia="Palatino Linotype" w:hAnsi="Palatino Linotype" w:cs="Palatino Linotype"/>
        </w:rPr>
        <w:t xml:space="preserve"> el Estado de México, entre ellos el </w:t>
      </w:r>
      <w:r w:rsidRPr="00606199">
        <w:rPr>
          <w:rFonts w:ascii="Palatino Linotype" w:eastAsia="Palatino Linotype" w:hAnsi="Palatino Linotype" w:cs="Palatino Linotype"/>
          <w:b/>
        </w:rPr>
        <w:t>SUJETO OBLIGADO</w:t>
      </w:r>
      <w:r w:rsidRPr="00606199">
        <w:rPr>
          <w:rFonts w:ascii="Palatino Linotype" w:eastAsia="Palatino Linotype" w:hAnsi="Palatino Linotype" w:cs="Palatino Linotype"/>
        </w:rPr>
        <w:t>,</w:t>
      </w:r>
      <w:r w:rsidRPr="00606199">
        <w:rPr>
          <w:rFonts w:ascii="Palatino Linotype" w:hAnsi="Palatino Linotype"/>
        </w:rPr>
        <w:t xml:space="preserve"> </w:t>
      </w:r>
      <w:r w:rsidRPr="00606199">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rsidR="000C75CA" w:rsidRPr="00606199" w:rsidRDefault="000C75CA" w:rsidP="000C75CA">
      <w:pPr>
        <w:spacing w:before="240"/>
        <w:ind w:left="1134" w:right="851"/>
        <w:jc w:val="both"/>
        <w:rPr>
          <w:rFonts w:ascii="Palatino Linotype" w:eastAsia="Palatino Linotype" w:hAnsi="Palatino Linotype" w:cs="Palatino Linotype"/>
          <w:i/>
        </w:rPr>
      </w:pPr>
      <w:r w:rsidRPr="00606199">
        <w:rPr>
          <w:rFonts w:ascii="Palatino Linotype" w:eastAsia="Palatino Linotype" w:hAnsi="Palatino Linotype" w:cs="Palatino Linotype"/>
          <w:i/>
        </w:rPr>
        <w:t>Artículo 4.- Son sujetos de fiscalización:</w:t>
      </w:r>
    </w:p>
    <w:p w:rsidR="000C75CA" w:rsidRPr="00606199" w:rsidRDefault="000C75CA" w:rsidP="000C75CA">
      <w:pPr>
        <w:numPr>
          <w:ilvl w:val="1"/>
          <w:numId w:val="10"/>
        </w:numPr>
        <w:pBdr>
          <w:top w:val="nil"/>
          <w:left w:val="nil"/>
          <w:bottom w:val="nil"/>
          <w:right w:val="nil"/>
          <w:between w:val="nil"/>
        </w:pBdr>
        <w:spacing w:before="240"/>
        <w:ind w:left="1134" w:right="851" w:firstLine="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Los Poderes Públicos del Estado; </w:t>
      </w:r>
    </w:p>
    <w:p w:rsidR="000C75CA" w:rsidRPr="00606199" w:rsidRDefault="000C75CA" w:rsidP="000C75CA">
      <w:pPr>
        <w:pBdr>
          <w:top w:val="nil"/>
          <w:left w:val="nil"/>
          <w:bottom w:val="nil"/>
          <w:right w:val="nil"/>
          <w:between w:val="nil"/>
        </w:pBdr>
        <w:ind w:left="1134" w:right="851"/>
        <w:jc w:val="both"/>
        <w:rPr>
          <w:rFonts w:ascii="Palatino Linotype" w:eastAsia="Palatino Linotype" w:hAnsi="Palatino Linotype" w:cs="Palatino Linotype"/>
          <w:b/>
          <w:i/>
          <w:color w:val="000000"/>
        </w:rPr>
      </w:pPr>
      <w:r w:rsidRPr="00606199">
        <w:rPr>
          <w:rFonts w:ascii="Palatino Linotype" w:eastAsia="Palatino Linotype" w:hAnsi="Palatino Linotype" w:cs="Palatino Linotype"/>
          <w:b/>
          <w:i/>
          <w:color w:val="000000"/>
        </w:rPr>
        <w:t xml:space="preserve">II. Los municipios del Estado de México; </w:t>
      </w:r>
    </w:p>
    <w:p w:rsidR="000C75CA" w:rsidRPr="00606199" w:rsidRDefault="000C75CA" w:rsidP="000C75CA">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III. Los organismos autónomos; </w:t>
      </w:r>
    </w:p>
    <w:p w:rsidR="000C75CA" w:rsidRPr="00606199" w:rsidRDefault="000C75CA" w:rsidP="000C75CA">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IV. Los organismos auxiliares; </w:t>
      </w:r>
    </w:p>
    <w:p w:rsidR="000C75CA" w:rsidRPr="00606199" w:rsidRDefault="000C75CA" w:rsidP="000C75CA">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V. Los fideicomisos previstos en el artículo 3 fracción XVII del Código Financiero del Estado de México y Municipios, y aquellos que manejen recursos del Estado, Municipios, o en su caso provenientes de la federación;</w:t>
      </w:r>
      <w:r w:rsidRPr="00606199">
        <w:rPr>
          <w:rFonts w:ascii="Palatino Linotype" w:eastAsia="Calibri" w:hAnsi="Palatino Linotype"/>
          <w:color w:val="000000"/>
        </w:rPr>
        <w:t xml:space="preserve"> </w:t>
      </w:r>
    </w:p>
    <w:p w:rsidR="000C75CA" w:rsidRPr="00606199" w:rsidRDefault="000C75CA" w:rsidP="000C75CA">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0C75CA" w:rsidRPr="00606199" w:rsidRDefault="000C75CA" w:rsidP="000C75CA">
      <w:pPr>
        <w:pBdr>
          <w:top w:val="nil"/>
          <w:left w:val="nil"/>
          <w:bottom w:val="nil"/>
          <w:right w:val="nil"/>
          <w:between w:val="nil"/>
        </w:pBdr>
        <w:ind w:left="1134" w:right="851"/>
        <w:jc w:val="both"/>
        <w:rPr>
          <w:rFonts w:ascii="Palatino Linotype" w:eastAsia="Palatino Linotype" w:hAnsi="Palatino Linotype" w:cs="Palatino Linotype"/>
          <w:i/>
          <w:color w:val="000000"/>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rPr>
        <w:t>Establecido</w:t>
      </w:r>
      <w:r w:rsidRPr="00606199">
        <w:rPr>
          <w:rFonts w:ascii="Palatino Linotype" w:eastAsia="Palatino Linotype" w:hAnsi="Palatino Linotype" w:cs="Palatino Linotype"/>
          <w:color w:val="000000"/>
        </w:rPr>
        <w:t xml:space="preserve"> </w:t>
      </w:r>
      <w:r w:rsidRPr="00606199">
        <w:rPr>
          <w:rFonts w:ascii="Palatino Linotype" w:eastAsia="Palatino Linotype" w:hAnsi="Palatino Linotype" w:cs="Palatino Linotype"/>
        </w:rPr>
        <w:t xml:space="preserve">lo anterior, el Órgano Superior de Fiscalización del Estado de México (OSFEM), emite anualmente una herramienta para elaborar y presentar los informes trimestrales, denominado “Políticas para la Integración del Informe Trimestral de los Sujetos </w:t>
      </w:r>
      <w:r w:rsidRPr="00606199">
        <w:rPr>
          <w:rFonts w:ascii="Palatino Linotype" w:eastAsia="Palatino Linotype" w:hAnsi="Palatino Linotype" w:cs="Palatino Linotype"/>
        </w:rPr>
        <w:lastRenderedPageBreak/>
        <w:t xml:space="preserve">de Fiscalización Municipales”, cuyo objetivo es establecer las especificaciones necesarias para que las entidades fiscales elaboren y presentes los referidos informes. </w:t>
      </w:r>
    </w:p>
    <w:p w:rsidR="000C75CA" w:rsidRPr="00606199" w:rsidRDefault="000C75CA" w:rsidP="000C75CA">
      <w:pPr>
        <w:pStyle w:val="Prrafodelista"/>
        <w:spacing w:line="360" w:lineRule="auto"/>
        <w:ind w:left="0"/>
        <w:contextualSpacing w:val="0"/>
        <w:jc w:val="both"/>
        <w:rPr>
          <w:rFonts w:ascii="Palatino Linotype" w:eastAsia="Palatino Linotype" w:hAnsi="Palatino Linotype" w:cs="Palatino Linotype"/>
          <w:color w:val="000000"/>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Estas políticas </w:t>
      </w:r>
      <w:r w:rsidRPr="00606199">
        <w:rPr>
          <w:rFonts w:ascii="Palatino Linotype" w:eastAsia="Palatino Linotype" w:hAnsi="Palatino Linotype" w:cs="Palatino Linotype"/>
        </w:rPr>
        <w:t xml:space="preserve">son de observancia general para todos los servidores públicos de las entidades fiscalizables de la administración pública municipal que desempeñen un empleo, cargo o comisión y que manejen recursos públicos; en atención a </w:t>
      </w:r>
      <w:r w:rsidRPr="00606199">
        <w:rPr>
          <w:rFonts w:ascii="Palatino Linotype" w:eastAsia="Palatino Linotype" w:hAnsi="Palatino Linotype" w:cs="Palatino Linotype"/>
          <w:color w:val="000000"/>
        </w:rPr>
        <w:t>ello</w:t>
      </w:r>
      <w:r w:rsidRPr="00606199">
        <w:rPr>
          <w:rFonts w:ascii="Palatino Linotype" w:eastAsia="Palatino Linotype" w:hAnsi="Palatino Linotype" w:cs="Palatino Linotype"/>
        </w:rPr>
        <w:t>, el informe trimestral deberá ser presentado al Órgano Superior de Fiscalización.</w:t>
      </w:r>
    </w:p>
    <w:p w:rsidR="000C75CA" w:rsidRPr="00606199" w:rsidRDefault="000C75CA" w:rsidP="000C75CA">
      <w:pPr>
        <w:pStyle w:val="Prrafodelista"/>
        <w:spacing w:line="360" w:lineRule="auto"/>
        <w:ind w:left="0"/>
        <w:contextualSpacing w:val="0"/>
        <w:jc w:val="both"/>
        <w:rPr>
          <w:rFonts w:ascii="Palatino Linotype" w:eastAsia="Palatino Linotype" w:hAnsi="Palatino Linotype" w:cs="Palatino Linotype"/>
          <w:color w:val="000000"/>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La </w:t>
      </w:r>
      <w:r w:rsidRPr="00606199">
        <w:rPr>
          <w:rFonts w:ascii="Palatino Linotype" w:eastAsia="Palatino Linotype" w:hAnsi="Palatino Linotype" w:cs="Palatino Linotype"/>
        </w:rPr>
        <w:t xml:space="preserve">integración del Informe Trimestral se entregará de manera física al Órgano Superior </w:t>
      </w:r>
      <w:r w:rsidRPr="00606199">
        <w:rPr>
          <w:rFonts w:ascii="Palatino Linotype" w:eastAsia="Palatino Linotype" w:hAnsi="Palatino Linotype" w:cs="Palatino Linotype"/>
          <w:color w:val="000000"/>
        </w:rPr>
        <w:t>de</w:t>
      </w:r>
      <w:r w:rsidRPr="00606199">
        <w:rPr>
          <w:rFonts w:ascii="Palatino Linotype" w:eastAsia="Palatino Linotype" w:hAnsi="Palatino Linotype" w:cs="Palatino Linotype"/>
        </w:rPr>
        <w:t xml:space="preserve"> Fiscalización del Estado de México, y estará compuesto de la siguiente manera:</w:t>
      </w:r>
    </w:p>
    <w:p w:rsidR="000C75CA" w:rsidRPr="00606199" w:rsidRDefault="000C75CA" w:rsidP="000C75CA">
      <w:pPr>
        <w:numPr>
          <w:ilvl w:val="1"/>
          <w:numId w:val="10"/>
        </w:numPr>
        <w:pBdr>
          <w:top w:val="nil"/>
          <w:left w:val="nil"/>
          <w:bottom w:val="nil"/>
          <w:right w:val="nil"/>
          <w:between w:val="nil"/>
        </w:pBdr>
        <w:tabs>
          <w:tab w:val="left" w:pos="426"/>
        </w:tabs>
        <w:spacing w:before="240"/>
        <w:ind w:left="1134" w:right="277" w:firstLine="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Información impresa; e</w:t>
      </w:r>
    </w:p>
    <w:p w:rsidR="000C75CA" w:rsidRPr="00606199" w:rsidRDefault="000C75CA" w:rsidP="000C75CA">
      <w:pPr>
        <w:numPr>
          <w:ilvl w:val="1"/>
          <w:numId w:val="10"/>
        </w:numPr>
        <w:pBdr>
          <w:top w:val="nil"/>
          <w:left w:val="nil"/>
          <w:bottom w:val="nil"/>
          <w:right w:val="nil"/>
          <w:between w:val="nil"/>
        </w:pBdr>
        <w:tabs>
          <w:tab w:val="left" w:pos="426"/>
        </w:tabs>
        <w:ind w:left="1134" w:right="277" w:firstLine="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Información en medio de almacenamiento electrónico.</w:t>
      </w:r>
    </w:p>
    <w:p w:rsidR="000C75CA" w:rsidRPr="00606199" w:rsidRDefault="000C75CA" w:rsidP="000C75CA">
      <w:p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i/>
          <w:color w:val="000000"/>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Por cuanto hace a la información entregable en Medios de almacenamiento Electrónico, se </w:t>
      </w:r>
      <w:r w:rsidRPr="00606199">
        <w:rPr>
          <w:rFonts w:ascii="Palatino Linotype" w:eastAsia="Palatino Linotype" w:hAnsi="Palatino Linotype" w:cs="Palatino Linotype"/>
        </w:rPr>
        <w:t>compondrá</w:t>
      </w:r>
      <w:r w:rsidRPr="00606199">
        <w:rPr>
          <w:rFonts w:ascii="Palatino Linotype" w:eastAsia="Palatino Linotype" w:hAnsi="Palatino Linotype" w:cs="Palatino Linotype"/>
          <w:color w:val="000000"/>
        </w:rPr>
        <w:t xml:space="preserve"> en cuatro módulos que integrarán la siguiente semántica:</w:t>
      </w:r>
    </w:p>
    <w:p w:rsidR="000C75CA" w:rsidRPr="00606199" w:rsidRDefault="000C75CA" w:rsidP="000C75CA">
      <w:pPr>
        <w:numPr>
          <w:ilvl w:val="1"/>
          <w:numId w:val="10"/>
        </w:numPr>
        <w:pBdr>
          <w:top w:val="nil"/>
          <w:left w:val="nil"/>
          <w:bottom w:val="nil"/>
          <w:right w:val="nil"/>
          <w:between w:val="nil"/>
        </w:pBdr>
        <w:tabs>
          <w:tab w:val="left" w:pos="426"/>
        </w:tabs>
        <w:spacing w:before="240"/>
        <w:ind w:left="1134" w:right="277" w:firstLine="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Módulo 1: Información contable y financiera;</w:t>
      </w:r>
    </w:p>
    <w:p w:rsidR="000C75CA" w:rsidRPr="00606199" w:rsidRDefault="000C75CA" w:rsidP="000C75CA">
      <w:pPr>
        <w:numPr>
          <w:ilvl w:val="1"/>
          <w:numId w:val="10"/>
        </w:numPr>
        <w:pBdr>
          <w:top w:val="nil"/>
          <w:left w:val="nil"/>
          <w:bottom w:val="nil"/>
          <w:right w:val="nil"/>
          <w:between w:val="nil"/>
        </w:pBdr>
        <w:tabs>
          <w:tab w:val="left" w:pos="426"/>
        </w:tabs>
        <w:ind w:left="1134" w:right="277" w:firstLine="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Módulo 2: Información presupuestaria;</w:t>
      </w:r>
    </w:p>
    <w:p w:rsidR="000C75CA" w:rsidRPr="00606199" w:rsidRDefault="000C75CA" w:rsidP="000C75CA">
      <w:pPr>
        <w:numPr>
          <w:ilvl w:val="1"/>
          <w:numId w:val="10"/>
        </w:numPr>
        <w:pBdr>
          <w:top w:val="nil"/>
          <w:left w:val="nil"/>
          <w:bottom w:val="nil"/>
          <w:right w:val="nil"/>
          <w:between w:val="nil"/>
        </w:pBdr>
        <w:tabs>
          <w:tab w:val="left" w:pos="426"/>
        </w:tabs>
        <w:ind w:left="1134" w:right="277" w:firstLine="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Módulo 3: Información programática; y</w:t>
      </w:r>
    </w:p>
    <w:p w:rsidR="000C75CA" w:rsidRPr="00606199" w:rsidRDefault="000C75CA" w:rsidP="000C75CA">
      <w:pPr>
        <w:numPr>
          <w:ilvl w:val="1"/>
          <w:numId w:val="10"/>
        </w:numPr>
        <w:pBdr>
          <w:top w:val="nil"/>
          <w:left w:val="nil"/>
          <w:bottom w:val="nil"/>
          <w:right w:val="nil"/>
          <w:between w:val="nil"/>
        </w:pBdr>
        <w:tabs>
          <w:tab w:val="left" w:pos="426"/>
        </w:tabs>
        <w:ind w:left="1134" w:right="277" w:firstLine="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Módulo 4: Información administrativa.</w:t>
      </w:r>
    </w:p>
    <w:p w:rsidR="000C75CA" w:rsidRPr="00606199" w:rsidRDefault="000C75CA" w:rsidP="000C75CA">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i/>
          <w:color w:val="000000"/>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rPr>
        <w:t>Siendo</w:t>
      </w:r>
      <w:r w:rsidRPr="00606199">
        <w:rPr>
          <w:rFonts w:ascii="Palatino Linotype" w:eastAsia="Palatino Linotype" w:hAnsi="Palatino Linotype" w:cs="Palatino Linotype"/>
          <w:color w:val="000000"/>
        </w:rPr>
        <w:t xml:space="preserve"> de especial interés, para el presente asunto, el contenido del Módulo 4, sobre ‘Información Administrativa’; que de acuerdo con las </w:t>
      </w:r>
      <w:r w:rsidRPr="00606199">
        <w:rPr>
          <w:rFonts w:ascii="Palatino Linotype" w:eastAsia="Palatino Linotype" w:hAnsi="Palatino Linotype" w:cs="Palatino Linotype"/>
          <w:b/>
        </w:rPr>
        <w:t>“Políticas para la Integración del Informe Trimestral de los Sujetos de Fiscalización Municipales”</w:t>
      </w:r>
      <w:r w:rsidRPr="00606199">
        <w:rPr>
          <w:rFonts w:ascii="Palatino Linotype" w:eastAsia="Palatino Linotype" w:hAnsi="Palatino Linotype" w:cs="Palatino Linotype"/>
        </w:rPr>
        <w:t>, se compondrá de los siguientes documentos:</w:t>
      </w:r>
    </w:p>
    <w:p w:rsidR="000C75CA" w:rsidRDefault="000C75CA" w:rsidP="000C75CA">
      <w:pPr>
        <w:pBdr>
          <w:top w:val="nil"/>
          <w:left w:val="nil"/>
          <w:bottom w:val="nil"/>
          <w:right w:val="nil"/>
          <w:between w:val="nil"/>
        </w:pBdr>
        <w:tabs>
          <w:tab w:val="left" w:pos="426"/>
        </w:tabs>
        <w:spacing w:line="360" w:lineRule="auto"/>
        <w:ind w:right="51"/>
        <w:jc w:val="center"/>
        <w:rPr>
          <w:rFonts w:ascii="Palatino Linotype" w:eastAsia="Calibri" w:hAnsi="Palatino Linotype"/>
          <w:color w:val="000000"/>
        </w:rPr>
      </w:pPr>
      <w:r w:rsidRPr="00606199">
        <w:rPr>
          <w:rFonts w:ascii="Palatino Linotype" w:eastAsia="Calibri" w:hAnsi="Palatino Linotype"/>
          <w:color w:val="000000"/>
        </w:rPr>
        <w:object w:dxaOrig="6486" w:dyaOrig="5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7" o:title=""/>
            <w10:bordertop type="single" width="8"/>
            <w10:borderleft type="single" width="8"/>
            <w10:borderbottom type="single" width="8"/>
            <w10:borderright type="single" width="8"/>
          </v:shape>
          <o:OLEObject Type="Embed" ProgID="PBrush" ShapeID="_x0000_i1025" DrawAspect="Content" ObjectID="_1838371934" r:id="rId8"/>
        </w:object>
      </w:r>
    </w:p>
    <w:p w:rsidR="00606199" w:rsidRPr="00606199" w:rsidRDefault="00606199" w:rsidP="000C75CA">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En lo que corresponde al Submódulo de </w:t>
      </w:r>
      <w:r w:rsidRPr="00606199">
        <w:rPr>
          <w:rFonts w:ascii="Palatino Linotype" w:eastAsia="Palatino Linotype" w:hAnsi="Palatino Linotype" w:cs="Palatino Linotype"/>
          <w:b/>
          <w:color w:val="000000"/>
        </w:rPr>
        <w:t>‘Nómina y Comprobantes Fiscales’,</w:t>
      </w:r>
      <w:r w:rsidRPr="00606199">
        <w:rPr>
          <w:rFonts w:ascii="Palatino Linotype" w:eastAsia="Palatino Linotype" w:hAnsi="Palatino Linotype" w:cs="Palatino Linotype"/>
          <w:color w:val="000000"/>
        </w:rPr>
        <w:t xml:space="preserve"> se advierte que el </w:t>
      </w:r>
      <w:r w:rsidRPr="00606199">
        <w:rPr>
          <w:rFonts w:ascii="Palatino Linotype" w:eastAsia="Palatino Linotype" w:hAnsi="Palatino Linotype" w:cs="Palatino Linotype"/>
          <w:b/>
          <w:color w:val="000000"/>
        </w:rPr>
        <w:t>SUJETO OBLIGADO,</w:t>
      </w:r>
      <w:r w:rsidRPr="00606199">
        <w:rPr>
          <w:rFonts w:ascii="Palatino Linotype" w:eastAsia="Palatino Linotype" w:hAnsi="Palatino Linotype" w:cs="Palatino Linotype"/>
          <w:color w:val="000000"/>
        </w:rPr>
        <w:t xml:space="preserve"> deberá integrar, en formato </w:t>
      </w:r>
      <w:r w:rsidRPr="00606199">
        <w:rPr>
          <w:rFonts w:ascii="Palatino Linotype" w:eastAsia="Palatino Linotype" w:hAnsi="Palatino Linotype" w:cs="Palatino Linotype"/>
          <w:i/>
          <w:color w:val="000000"/>
        </w:rPr>
        <w:t>.pdf</w:t>
      </w:r>
      <w:r w:rsidRPr="00606199">
        <w:rPr>
          <w:rFonts w:ascii="Palatino Linotype" w:eastAsia="Palatino Linotype" w:hAnsi="Palatino Linotype" w:cs="Palatino Linotype"/>
          <w:color w:val="000000"/>
        </w:rPr>
        <w:t xml:space="preserve">, y de forma quincenal, el documento titulado </w:t>
      </w:r>
      <w:r w:rsidRPr="00606199">
        <w:rPr>
          <w:rFonts w:ascii="Palatino Linotype" w:eastAsia="Palatino Linotype" w:hAnsi="Palatino Linotype" w:cs="Palatino Linotype"/>
          <w:b/>
          <w:color w:val="000000"/>
        </w:rPr>
        <w:t>Conciliación de Nómina Mensual</w:t>
      </w:r>
      <w:r w:rsidRPr="00606199">
        <w:rPr>
          <w:rFonts w:ascii="Palatino Linotype" w:eastAsia="Palatino Linotype" w:hAnsi="Palatino Linotype" w:cs="Palatino Linotype"/>
          <w:color w:val="000000"/>
        </w:rPr>
        <w:t>; tal como lo establece el mapa de integración del Submódulo en comento:</w:t>
      </w:r>
    </w:p>
    <w:p w:rsidR="000C75CA" w:rsidRPr="00606199" w:rsidRDefault="000C75CA" w:rsidP="000C75CA">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rsidR="000C75CA" w:rsidRPr="00606199" w:rsidRDefault="000C75CA" w:rsidP="000C75CA">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606199">
        <w:rPr>
          <w:rFonts w:ascii="Palatino Linotype" w:eastAsia="Calibri" w:hAnsi="Palatino Linotype"/>
          <w:color w:val="000000"/>
        </w:rPr>
        <w:object w:dxaOrig="7649" w:dyaOrig="2212">
          <v:shape id="_x0000_i1026" type="#_x0000_t75" alt="" style="width:382.4pt;height:110.7pt;mso-width-percent:0;mso-height-percent:0;mso-width-percent:0;mso-height-percent:0"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6" DrawAspect="Content" ObjectID="_1838371935" r:id="rId10"/>
        </w:object>
      </w:r>
      <w:r w:rsidRPr="00606199">
        <w:rPr>
          <w:rFonts w:ascii="Palatino Linotype" w:hAnsi="Palatino Linotype"/>
          <w:noProof/>
          <w:lang w:val="es-MX" w:eastAsia="es-MX"/>
        </w:rPr>
        <mc:AlternateContent>
          <mc:Choice Requires="wps">
            <w:drawing>
              <wp:anchor distT="0" distB="0" distL="114300" distR="114300" simplePos="0" relativeHeight="251659264" behindDoc="0" locked="0" layoutInCell="1" hidden="0" allowOverlap="1" wp14:anchorId="735A488F" wp14:editId="699E86B7">
                <wp:simplePos x="0" y="0"/>
                <wp:positionH relativeFrom="column">
                  <wp:posOffset>723900</wp:posOffset>
                </wp:positionH>
                <wp:positionV relativeFrom="paragraph">
                  <wp:posOffset>495300</wp:posOffset>
                </wp:positionV>
                <wp:extent cx="4451350" cy="215900"/>
                <wp:effectExtent l="0" t="0" r="0" b="0"/>
                <wp:wrapNone/>
                <wp:docPr id="56" name="Rectángulo 56"/>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rsidR="00AF4F73" w:rsidRDefault="00AF4F73" w:rsidP="000C75CA">
                            <w:pPr>
                              <w:textDirection w:val="btLr"/>
                            </w:pPr>
                          </w:p>
                        </w:txbxContent>
                      </wps:txbx>
                      <wps:bodyPr spcFirstLastPara="1" wrap="square" lIns="91425" tIns="91425" rIns="91425" bIns="91425" anchor="ctr" anchorCtr="0">
                        <a:noAutofit/>
                      </wps:bodyPr>
                    </wps:wsp>
                  </a:graphicData>
                </a:graphic>
              </wp:anchor>
            </w:drawing>
          </mc:Choice>
          <mc:Fallback>
            <w:pict>
              <v:rect w14:anchorId="735A488F" id="Rectángulo 56" o:spid="_x0000_s1026" style="position:absolute;left:0;text-align:left;margin-left:57pt;margin-top:39pt;width:350.5pt;height: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" filled="f" strokecolor="red" strokeweight="1.5pt">
                <v:stroke startarrowwidth="narrow" startarrowlength="short" endarrowwidth="narrow" endarrowlength="short"/>
                <v:textbox inset="2.53958mm,2.53958mm,2.53958mm,2.53958mm">
                  <w:txbxContent>
                    <w:p w:rsidR="00AF4F73" w:rsidRDefault="00AF4F73" w:rsidP="000C75CA">
                      <w:pPr>
                        <w:textDirection w:val="btLr"/>
                      </w:pPr>
                    </w:p>
                  </w:txbxContent>
                </v:textbox>
              </v:rect>
            </w:pict>
          </mc:Fallback>
        </mc:AlternateContent>
      </w:r>
    </w:p>
    <w:p w:rsidR="000C75CA" w:rsidRPr="00606199" w:rsidRDefault="000C75CA" w:rsidP="000C75CA">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lastRenderedPageBreak/>
        <w:t xml:space="preserve">Al </w:t>
      </w:r>
      <w:r w:rsidRPr="00606199">
        <w:rPr>
          <w:rFonts w:ascii="Palatino Linotype" w:eastAsia="Palatino Linotype" w:hAnsi="Palatino Linotype" w:cs="Palatino Linotype"/>
        </w:rPr>
        <w:t>respecto</w:t>
      </w:r>
      <w:r w:rsidRPr="00606199">
        <w:rPr>
          <w:rFonts w:ascii="Palatino Linotype" w:eastAsia="Palatino Linotype" w:hAnsi="Palatino Linotype" w:cs="Palatino Linotype"/>
          <w:color w:val="000000"/>
        </w:rPr>
        <w:t xml:space="preserve">, conviene referir que la Conciliación de Nómina Mensual es un documento en el que se detalla, entre otros, </w:t>
      </w:r>
      <w:r w:rsidRPr="00606199">
        <w:rPr>
          <w:rFonts w:ascii="Palatino Linotype" w:eastAsia="Palatino Linotype" w:hAnsi="Palatino Linotype" w:cs="Palatino Linotype"/>
          <w:b/>
          <w:color w:val="000000"/>
        </w:rPr>
        <w:t>el nombre, puesto funcional, área de adscripción, categoría, así como todas las percepciones y deducciones que recibe cada servidor público que labora en la entidad</w:t>
      </w:r>
      <w:r w:rsidRPr="00606199">
        <w:rPr>
          <w:rFonts w:ascii="Palatino Linotype" w:hAnsi="Palatino Linotype"/>
          <w:b/>
          <w:color w:val="000000"/>
          <w:vertAlign w:val="superscript"/>
        </w:rPr>
        <w:footnoteReference w:id="7"/>
      </w:r>
      <w:r w:rsidRPr="00606199">
        <w:rPr>
          <w:rFonts w:ascii="Palatino Linotype" w:eastAsia="Palatino Linotype" w:hAnsi="Palatino Linotype" w:cs="Palatino Linotype"/>
          <w:color w:val="000000"/>
        </w:rPr>
        <w:t xml:space="preserve">. </w:t>
      </w:r>
    </w:p>
    <w:p w:rsidR="000C75CA" w:rsidRPr="00606199" w:rsidRDefault="000C75CA" w:rsidP="000C75CA">
      <w:pPr>
        <w:spacing w:line="360" w:lineRule="auto"/>
        <w:ind w:right="49"/>
        <w:jc w:val="both"/>
        <w:rPr>
          <w:rFonts w:ascii="Palatino Linotype" w:eastAsia="Palatino Linotype" w:hAnsi="Palatino Linotype" w:cs="Palatino Linotype"/>
          <w:color w:val="000000"/>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Aunado</w:t>
      </w:r>
      <w:r w:rsidRPr="00606199">
        <w:rPr>
          <w:rFonts w:ascii="Palatino Linotype" w:eastAsia="Palatino Linotype" w:hAnsi="Palatino Linotype" w:cs="Palatino Linotype"/>
        </w:rPr>
        <w:t xml:space="preserve"> a </w:t>
      </w:r>
      <w:r w:rsidRPr="00606199">
        <w:rPr>
          <w:rFonts w:ascii="Palatino Linotype" w:eastAsia="Palatino Linotype" w:hAnsi="Palatino Linotype" w:cs="Palatino Linotype"/>
          <w:color w:val="000000"/>
        </w:rPr>
        <w:t xml:space="preserve">lo anterior, las Políticas para la Integración del Informe Trimestral de los Sujetos de </w:t>
      </w:r>
      <w:r w:rsidRPr="00606199">
        <w:rPr>
          <w:rFonts w:ascii="Palatino Linotype" w:eastAsia="Palatino Linotype" w:hAnsi="Palatino Linotype" w:cs="Palatino Linotype"/>
        </w:rPr>
        <w:t>Fiscalización</w:t>
      </w:r>
      <w:r w:rsidRPr="00606199">
        <w:rPr>
          <w:rFonts w:ascii="Palatino Linotype" w:eastAsia="Palatino Linotype" w:hAnsi="Palatino Linotype" w:cs="Palatino Linotype"/>
          <w:color w:val="000000"/>
        </w:rPr>
        <w:t xml:space="preserve"> Municipales, que elabora el Órgano Superior de Fiscalización del Estado de México, refieren que el formato en cuestión contemplará un total de 26 elementos, a saber:</w:t>
      </w:r>
    </w:p>
    <w:p w:rsidR="000C75CA" w:rsidRPr="00606199" w:rsidRDefault="000C75CA" w:rsidP="000C75CA">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rsidR="000C75CA" w:rsidRPr="00606199" w:rsidRDefault="000C75CA" w:rsidP="000C75CA">
      <w:pPr>
        <w:pBdr>
          <w:top w:val="nil"/>
          <w:left w:val="nil"/>
          <w:bottom w:val="nil"/>
          <w:right w:val="nil"/>
          <w:between w:val="nil"/>
        </w:pBdr>
        <w:tabs>
          <w:tab w:val="left" w:pos="426"/>
        </w:tabs>
        <w:spacing w:line="360" w:lineRule="auto"/>
        <w:ind w:right="51"/>
        <w:jc w:val="center"/>
        <w:rPr>
          <w:rFonts w:ascii="Palatino Linotype" w:eastAsia="Calibri" w:hAnsi="Palatino Linotype"/>
          <w:color w:val="000000"/>
        </w:rPr>
      </w:pPr>
      <w:r w:rsidRPr="00606199">
        <w:rPr>
          <w:rFonts w:ascii="Palatino Linotype" w:eastAsia="Calibri" w:hAnsi="Palatino Linotype"/>
          <w:color w:val="000000"/>
        </w:rPr>
        <w:object w:dxaOrig="7638" w:dyaOrig="4320">
          <v:shape id="_x0000_i1027" type="#_x0000_t75" alt="" style="width:381.75pt;height:3in;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7" DrawAspect="Content" ObjectID="_1838371936" r:id="rId12"/>
        </w:object>
      </w:r>
      <w:r w:rsidRPr="00606199">
        <w:rPr>
          <w:rFonts w:ascii="Palatino Linotype" w:hAnsi="Palatino Linotype"/>
          <w:noProof/>
          <w:lang w:val="es-MX" w:eastAsia="es-MX"/>
        </w:rPr>
        <mc:AlternateContent>
          <mc:Choice Requires="wps">
            <w:drawing>
              <wp:anchor distT="0" distB="0" distL="114300" distR="114300" simplePos="0" relativeHeight="251660288" behindDoc="0" locked="0" layoutInCell="1" hidden="0" allowOverlap="1" wp14:anchorId="01A3028F" wp14:editId="65A5E6E3">
                <wp:simplePos x="0" y="0"/>
                <wp:positionH relativeFrom="column">
                  <wp:posOffset>3556000</wp:posOffset>
                </wp:positionH>
                <wp:positionV relativeFrom="paragraph">
                  <wp:posOffset>482600</wp:posOffset>
                </wp:positionV>
                <wp:extent cx="499550" cy="1401542"/>
                <wp:effectExtent l="0" t="0" r="0" b="0"/>
                <wp:wrapNone/>
                <wp:docPr id="50" name="Rectángulo 5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AF4F73" w:rsidRDefault="00AF4F73" w:rsidP="000C75CA">
                            <w:pPr>
                              <w:textDirection w:val="btLr"/>
                            </w:pPr>
                          </w:p>
                        </w:txbxContent>
                      </wps:txbx>
                      <wps:bodyPr spcFirstLastPara="1" wrap="square" lIns="91425" tIns="91425" rIns="91425" bIns="91425" anchor="ctr" anchorCtr="0">
                        <a:noAutofit/>
                      </wps:bodyPr>
                    </wps:wsp>
                  </a:graphicData>
                </a:graphic>
              </wp:anchor>
            </w:drawing>
          </mc:Choice>
          <mc:Fallback>
            <w:pict>
              <v:rect w14:anchorId="01A3028F" id="Rectángulo 50" o:spid="_x0000_s1027" style="position:absolute;left:0;text-align:left;margin-left:280pt;margin-top:38pt;width:39.35pt;height:11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" filled="f" strokecolor="red" strokeweight="2.25pt">
                <v:stroke startarrowwidth="narrow" startarrowlength="short" endarrowwidth="narrow" endarrowlength="short"/>
                <v:textbox inset="2.53958mm,2.53958mm,2.53958mm,2.53958mm">
                  <w:txbxContent>
                    <w:p w:rsidR="00AF4F73" w:rsidRDefault="00AF4F73" w:rsidP="000C75CA">
                      <w:pPr>
                        <w:textDirection w:val="btLr"/>
                      </w:pPr>
                    </w:p>
                  </w:txbxContent>
                </v:textbox>
              </v:rect>
            </w:pict>
          </mc:Fallback>
        </mc:AlternateContent>
      </w:r>
      <w:r w:rsidRPr="00606199">
        <w:rPr>
          <w:rFonts w:ascii="Palatino Linotype" w:hAnsi="Palatino Linotype"/>
          <w:noProof/>
          <w:lang w:val="es-MX" w:eastAsia="es-MX"/>
        </w:rPr>
        <mc:AlternateContent>
          <mc:Choice Requires="wps">
            <w:drawing>
              <wp:anchor distT="0" distB="0" distL="114300" distR="114300" simplePos="0" relativeHeight="251661312" behindDoc="0" locked="0" layoutInCell="1" hidden="0" allowOverlap="1" wp14:anchorId="2897827C" wp14:editId="5775A331">
                <wp:simplePos x="0" y="0"/>
                <wp:positionH relativeFrom="column">
                  <wp:posOffset>2603500</wp:posOffset>
                </wp:positionH>
                <wp:positionV relativeFrom="paragraph">
                  <wp:posOffset>457200</wp:posOffset>
                </wp:positionV>
                <wp:extent cx="379705" cy="1401542"/>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AF4F73" w:rsidRDefault="00AF4F73" w:rsidP="000C75CA">
                            <w:pPr>
                              <w:textDirection w:val="btLr"/>
                            </w:pPr>
                          </w:p>
                        </w:txbxContent>
                      </wps:txbx>
                      <wps:bodyPr spcFirstLastPara="1" wrap="square" lIns="91425" tIns="91425" rIns="91425" bIns="91425" anchor="ctr" anchorCtr="0">
                        <a:noAutofit/>
                      </wps:bodyPr>
                    </wps:wsp>
                  </a:graphicData>
                </a:graphic>
              </wp:anchor>
            </w:drawing>
          </mc:Choice>
          <mc:Fallback>
            <w:pict>
              <v:rect w14:anchorId="2897827C" id="Rectángulo 59" o:spid="_x0000_s1028" style="position:absolute;left:0;text-align:left;margin-left:205pt;margin-top:36pt;width:29.9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3II9MzgCAABW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rsidR="00AF4F73" w:rsidRDefault="00AF4F73" w:rsidP="000C75CA">
                      <w:pPr>
                        <w:textDirection w:val="btLr"/>
                      </w:pPr>
                    </w:p>
                  </w:txbxContent>
                </v:textbox>
              </v:rect>
            </w:pict>
          </mc:Fallback>
        </mc:AlternateContent>
      </w:r>
    </w:p>
    <w:p w:rsidR="000C75CA" w:rsidRPr="00606199" w:rsidRDefault="000C75CA" w:rsidP="000C75CA">
      <w:pPr>
        <w:pBdr>
          <w:top w:val="nil"/>
          <w:left w:val="nil"/>
          <w:bottom w:val="nil"/>
          <w:right w:val="nil"/>
          <w:between w:val="nil"/>
        </w:pBdr>
        <w:tabs>
          <w:tab w:val="left" w:pos="426"/>
        </w:tabs>
        <w:spacing w:line="360" w:lineRule="auto"/>
        <w:ind w:right="51"/>
        <w:jc w:val="center"/>
        <w:rPr>
          <w:rFonts w:ascii="Palatino Linotype" w:eastAsia="Calibri" w:hAnsi="Palatino Linotype"/>
          <w:color w:val="000000"/>
        </w:rPr>
      </w:pPr>
      <w:r w:rsidRPr="00606199">
        <w:rPr>
          <w:rFonts w:ascii="Palatino Linotype" w:eastAsia="Calibri" w:hAnsi="Palatino Linotype"/>
          <w:color w:val="000000"/>
        </w:rPr>
        <w:object w:dxaOrig="7672" w:dyaOrig="4504">
          <v:shape id="_x0000_i1028" type="#_x0000_t75" alt="" style="width:383.75pt;height:225.5pt;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8" DrawAspect="Content" ObjectID="_1838371937" r:id="rId14"/>
        </w:object>
      </w:r>
    </w:p>
    <w:p w:rsidR="000C75CA" w:rsidRPr="00606199" w:rsidRDefault="000C75CA" w:rsidP="000C75CA">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606199">
        <w:rPr>
          <w:rFonts w:ascii="Palatino Linotype" w:eastAsia="Calibri" w:hAnsi="Palatino Linotype"/>
          <w:color w:val="000000"/>
        </w:rPr>
        <w:object w:dxaOrig="7684" w:dyaOrig="2396">
          <v:shape id="_x0000_i1029" type="#_x0000_t75" alt="" style="width:384.45pt;height:119.55pt;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9" DrawAspect="Content" ObjectID="_1838371938" r:id="rId16"/>
        </w:object>
      </w:r>
    </w:p>
    <w:p w:rsidR="000C75CA" w:rsidRPr="00606199" w:rsidRDefault="000C75CA" w:rsidP="000C75CA">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De </w:t>
      </w:r>
      <w:r w:rsidRPr="00606199">
        <w:rPr>
          <w:rFonts w:ascii="Palatino Linotype" w:eastAsia="Palatino Linotype" w:hAnsi="Palatino Linotype" w:cs="Palatino Linotype"/>
        </w:rPr>
        <w:t>las</w:t>
      </w:r>
      <w:r w:rsidRPr="00606199">
        <w:rPr>
          <w:rFonts w:ascii="Palatino Linotype" w:eastAsia="Palatino Linotype" w:hAnsi="Palatino Linotype" w:cs="Palatino Linotype"/>
          <w:color w:val="000000"/>
        </w:rPr>
        <w:t xml:space="preserve"> imágenes anteriores, podemos identificar a la </w:t>
      </w:r>
      <w:r w:rsidRPr="00606199">
        <w:rPr>
          <w:rFonts w:ascii="Palatino Linotype" w:eastAsia="Palatino Linotype" w:hAnsi="Palatino Linotype" w:cs="Palatino Linotype"/>
          <w:b/>
          <w:color w:val="000000"/>
        </w:rPr>
        <w:t xml:space="preserve">Conciliación de Nómina </w:t>
      </w:r>
      <w:r w:rsidRPr="00606199">
        <w:rPr>
          <w:rFonts w:ascii="Palatino Linotype" w:eastAsia="Palatino Linotype" w:hAnsi="Palatino Linotype" w:cs="Palatino Linotype"/>
          <w:color w:val="000000"/>
        </w:rPr>
        <w:t xml:space="preserve">como el documento </w:t>
      </w:r>
      <w:r w:rsidRPr="00606199">
        <w:rPr>
          <w:rFonts w:ascii="Palatino Linotype" w:eastAsia="Palatino Linotype" w:hAnsi="Palatino Linotype" w:cs="Palatino Linotype"/>
          <w:b/>
          <w:color w:val="000000"/>
        </w:rPr>
        <w:t>idóneo</w:t>
      </w:r>
      <w:r w:rsidRPr="00606199">
        <w:rPr>
          <w:rFonts w:ascii="Palatino Linotype" w:eastAsia="Palatino Linotype" w:hAnsi="Palatino Linotype" w:cs="Palatino Linotype"/>
          <w:color w:val="000000"/>
        </w:rPr>
        <w:t xml:space="preserve"> que puede satisfacer los requerimientos del particular, pues como se ha analizado en párrafos previos, </w:t>
      </w:r>
      <w:r w:rsidRPr="00606199">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sidRPr="00606199">
        <w:rPr>
          <w:rFonts w:ascii="Palatino Linotype" w:eastAsia="Palatino Linotype" w:hAnsi="Palatino Linotype" w:cs="Palatino Linotype"/>
          <w:color w:val="000000"/>
        </w:rPr>
        <w:t xml:space="preserve">, asimismo </w:t>
      </w:r>
      <w:r w:rsidRPr="00606199">
        <w:rPr>
          <w:rFonts w:ascii="Palatino Linotype" w:eastAsia="Palatino Linotype" w:hAnsi="Palatino Linotype" w:cs="Palatino Linotype"/>
          <w:b/>
          <w:color w:val="000000"/>
        </w:rPr>
        <w:t>contiene la fecha de alta</w:t>
      </w:r>
      <w:r w:rsidRPr="00606199">
        <w:rPr>
          <w:rFonts w:ascii="Palatino Linotype" w:eastAsia="Palatino Linotype" w:hAnsi="Palatino Linotype" w:cs="Palatino Linotype"/>
          <w:color w:val="000000"/>
        </w:rPr>
        <w:t xml:space="preserve"> y fecha de baja de los servidores públicos;</w:t>
      </w:r>
      <w:r w:rsidRPr="00606199">
        <w:rPr>
          <w:rFonts w:ascii="Palatino Linotype" w:eastAsia="Palatino Linotype" w:hAnsi="Palatino Linotype" w:cs="Palatino Linotype"/>
          <w:b/>
          <w:color w:val="000000"/>
        </w:rPr>
        <w:t xml:space="preserve"> su nombre; puesto; área de adscripción </w:t>
      </w:r>
      <w:r w:rsidRPr="00606199">
        <w:rPr>
          <w:rFonts w:ascii="Palatino Linotype" w:eastAsia="Palatino Linotype" w:hAnsi="Palatino Linotype" w:cs="Palatino Linotype"/>
          <w:color w:val="000000"/>
        </w:rPr>
        <w:t>y</w:t>
      </w:r>
      <w:r w:rsidRPr="00606199">
        <w:rPr>
          <w:rFonts w:ascii="Palatino Linotype" w:eastAsia="Palatino Linotype" w:hAnsi="Palatino Linotype" w:cs="Palatino Linotype"/>
          <w:b/>
          <w:color w:val="000000"/>
        </w:rPr>
        <w:t xml:space="preserve"> categoría.</w:t>
      </w:r>
    </w:p>
    <w:p w:rsidR="000C75CA" w:rsidRPr="00606199" w:rsidRDefault="000C75CA" w:rsidP="000C75CA">
      <w:pPr>
        <w:spacing w:line="360" w:lineRule="auto"/>
        <w:ind w:right="49"/>
        <w:jc w:val="both"/>
        <w:rPr>
          <w:rFonts w:ascii="Palatino Linotype" w:eastAsia="Palatino Linotype" w:hAnsi="Palatino Linotype" w:cs="Palatino Linotype"/>
          <w:color w:val="000000"/>
        </w:rPr>
      </w:pPr>
    </w:p>
    <w:p w:rsidR="000C75CA" w:rsidRPr="00606199" w:rsidRDefault="005A3013" w:rsidP="000C75CA">
      <w:pPr>
        <w:numPr>
          <w:ilvl w:val="0"/>
          <w:numId w:val="8"/>
        </w:numPr>
        <w:spacing w:line="360" w:lineRule="auto"/>
        <w:ind w:left="0" w:firstLine="0"/>
        <w:jc w:val="both"/>
        <w:rPr>
          <w:rFonts w:ascii="Palatino Linotype" w:eastAsia="Palatino Linotype" w:hAnsi="Palatino Linotype" w:cs="Palatino Linotype"/>
          <w:b/>
          <w:color w:val="000000"/>
        </w:rPr>
      </w:pPr>
      <w:r w:rsidRPr="00606199">
        <w:rPr>
          <w:rFonts w:ascii="Palatino Linotype" w:eastAsia="Palatino Linotype" w:hAnsi="Palatino Linotype" w:cs="Palatino Linotype"/>
          <w:color w:val="000000"/>
        </w:rPr>
        <w:lastRenderedPageBreak/>
        <w:t xml:space="preserve">De lo anteriormente analizado, se tiene que la conciliación de nómina es el documento idóneo para colmar el derecho de acceso a la información del </w:t>
      </w:r>
      <w:r w:rsidRPr="00606199">
        <w:rPr>
          <w:rFonts w:ascii="Palatino Linotype" w:eastAsia="Palatino Linotype" w:hAnsi="Palatino Linotype" w:cs="Palatino Linotype"/>
          <w:b/>
          <w:color w:val="000000"/>
        </w:rPr>
        <w:t xml:space="preserve">RECURRENTE, toda vez que contiene la información solicitada, </w:t>
      </w:r>
      <w:r w:rsidRPr="00606199">
        <w:rPr>
          <w:rFonts w:ascii="Palatino Linotype" w:eastAsia="Palatino Linotype" w:hAnsi="Palatino Linotype" w:cs="Palatino Linotype"/>
          <w:color w:val="000000"/>
        </w:rPr>
        <w:t xml:space="preserve">respecto de todas las percepciones, incluyendo </w:t>
      </w:r>
      <w:r w:rsidRPr="00606199">
        <w:rPr>
          <w:rFonts w:ascii="Palatino Linotype" w:eastAsia="Palatino Linotype" w:hAnsi="Palatino Linotype" w:cs="Palatino Linotype"/>
          <w:b/>
          <w:color w:val="000000"/>
        </w:rPr>
        <w:t xml:space="preserve">sueldos, prestaciones, gratificaciones, primas, comisiones, dietas, bonos, estímulos, ingresos y sistemas de compensación, señalando la periodicidad de dicha remuneración. </w:t>
      </w:r>
    </w:p>
    <w:p w:rsidR="005A3013" w:rsidRPr="00606199" w:rsidRDefault="005A3013" w:rsidP="005A3013">
      <w:pPr>
        <w:pStyle w:val="Prrafodelista"/>
        <w:rPr>
          <w:rFonts w:ascii="Palatino Linotype" w:eastAsia="Palatino Linotype" w:hAnsi="Palatino Linotype" w:cs="Palatino Linotype"/>
          <w:b/>
          <w:color w:val="000000"/>
        </w:rPr>
      </w:pPr>
    </w:p>
    <w:p w:rsidR="005A3013" w:rsidRPr="00606199" w:rsidRDefault="005A3013" w:rsidP="000C75CA">
      <w:pPr>
        <w:numPr>
          <w:ilvl w:val="0"/>
          <w:numId w:val="8"/>
        </w:numPr>
        <w:spacing w:line="360" w:lineRule="auto"/>
        <w:ind w:left="0" w:firstLine="0"/>
        <w:jc w:val="both"/>
        <w:rPr>
          <w:rFonts w:ascii="Palatino Linotype" w:eastAsia="Palatino Linotype" w:hAnsi="Palatino Linotype" w:cs="Palatino Linotype"/>
          <w:b/>
          <w:color w:val="000000"/>
        </w:rPr>
      </w:pPr>
      <w:r w:rsidRPr="00606199">
        <w:rPr>
          <w:rFonts w:ascii="Palatino Linotype" w:eastAsia="Palatino Linotype" w:hAnsi="Palatino Linotype" w:cs="Palatino Linotype"/>
          <w:color w:val="000000"/>
        </w:rPr>
        <w:t xml:space="preserve">En esa línea, se tiene que el </w:t>
      </w:r>
      <w:r w:rsidRPr="00606199">
        <w:rPr>
          <w:rFonts w:ascii="Palatino Linotype" w:eastAsia="Palatino Linotype" w:hAnsi="Palatino Linotype" w:cs="Palatino Linotype"/>
          <w:b/>
          <w:color w:val="000000"/>
        </w:rPr>
        <w:t xml:space="preserve">RECURRENTE </w:t>
      </w:r>
      <w:r w:rsidRPr="00606199">
        <w:rPr>
          <w:rFonts w:ascii="Palatino Linotype" w:eastAsia="Palatino Linotype" w:hAnsi="Palatino Linotype" w:cs="Palatino Linotype"/>
          <w:color w:val="000000"/>
        </w:rPr>
        <w:t>solicita la información de primas vacacionales y aguinaldos, mismos que se pagan a los servidores públicos en dos exhibiciones</w:t>
      </w:r>
      <w:r w:rsidR="006C2898" w:rsidRPr="00606199">
        <w:rPr>
          <w:rFonts w:ascii="Palatino Linotype" w:eastAsia="Palatino Linotype" w:hAnsi="Palatino Linotype" w:cs="Palatino Linotype"/>
          <w:color w:val="000000"/>
        </w:rPr>
        <w:t xml:space="preserve">, que suelen ser en los meses de marzo o abril para el primer pago de aguinaldo y el mes de diciembre para el segundo pago de aguinaldo y el mes de julio para el primer pago de la primera vacacional y diciembre para el pago del segundo pago de la prima vacacional, situación por la cual el </w:t>
      </w:r>
      <w:r w:rsidR="006C2898" w:rsidRPr="00606199">
        <w:rPr>
          <w:rFonts w:ascii="Palatino Linotype" w:eastAsia="Palatino Linotype" w:hAnsi="Palatino Linotype" w:cs="Palatino Linotype"/>
          <w:b/>
          <w:color w:val="000000"/>
        </w:rPr>
        <w:t xml:space="preserve">SUJETO OBLIGADO </w:t>
      </w:r>
      <w:r w:rsidR="006C2898" w:rsidRPr="00606199">
        <w:rPr>
          <w:rFonts w:ascii="Palatino Linotype" w:eastAsia="Palatino Linotype" w:hAnsi="Palatino Linotype" w:cs="Palatino Linotype"/>
          <w:color w:val="000000"/>
        </w:rPr>
        <w:t xml:space="preserve">deberá de remitir las conciliaciones de nómina que contengan dicha información. </w:t>
      </w:r>
    </w:p>
    <w:p w:rsidR="006C2898" w:rsidRPr="00606199" w:rsidRDefault="006C2898" w:rsidP="006C2898">
      <w:pPr>
        <w:pStyle w:val="Prrafodelista"/>
        <w:rPr>
          <w:rFonts w:ascii="Palatino Linotype" w:eastAsia="Palatino Linotype" w:hAnsi="Palatino Linotype" w:cs="Palatino Linotype"/>
          <w:b/>
          <w:color w:val="000000"/>
        </w:rPr>
      </w:pPr>
    </w:p>
    <w:p w:rsidR="006C2898" w:rsidRPr="00606199" w:rsidRDefault="006C2898" w:rsidP="000C75CA">
      <w:pPr>
        <w:numPr>
          <w:ilvl w:val="0"/>
          <w:numId w:val="8"/>
        </w:numPr>
        <w:spacing w:line="360" w:lineRule="auto"/>
        <w:ind w:left="0" w:firstLine="0"/>
        <w:jc w:val="both"/>
        <w:rPr>
          <w:rFonts w:ascii="Palatino Linotype" w:eastAsia="Palatino Linotype" w:hAnsi="Palatino Linotype" w:cs="Palatino Linotype"/>
          <w:b/>
          <w:color w:val="000000"/>
        </w:rPr>
      </w:pPr>
      <w:r w:rsidRPr="00606199">
        <w:rPr>
          <w:rFonts w:ascii="Palatino Linotype" w:eastAsia="Palatino Linotype" w:hAnsi="Palatino Linotype" w:cs="Palatino Linotype"/>
          <w:color w:val="000000"/>
        </w:rPr>
        <w:t xml:space="preserve">Ahora bien, para el caso de </w:t>
      </w:r>
      <w:r w:rsidRPr="00606199">
        <w:rPr>
          <w:rFonts w:ascii="Palatino Linotype" w:eastAsia="Palatino Linotype" w:hAnsi="Palatino Linotype" w:cs="Palatino Linotype"/>
          <w:b/>
          <w:color w:val="000000"/>
        </w:rPr>
        <w:t xml:space="preserve">gratificaciones, primas, comisiones, dietas, bonos, estímulos, ingresos y sistemas de compensación, </w:t>
      </w:r>
      <w:r w:rsidRPr="00606199">
        <w:rPr>
          <w:rFonts w:ascii="Palatino Linotype" w:eastAsia="Palatino Linotype" w:hAnsi="Palatino Linotype" w:cs="Palatino Linotype"/>
          <w:color w:val="000000"/>
        </w:rPr>
        <w:t xml:space="preserve">se debe de referir que son datos que integran las conciliaciones, situación por la cual de ser el caso que se hubieran realizado pagos relacionados a servidores públicos con dichos conceptos el </w:t>
      </w:r>
      <w:r w:rsidRPr="00606199">
        <w:rPr>
          <w:rFonts w:ascii="Palatino Linotype" w:eastAsia="Palatino Linotype" w:hAnsi="Palatino Linotype" w:cs="Palatino Linotype"/>
          <w:b/>
          <w:color w:val="000000"/>
        </w:rPr>
        <w:t xml:space="preserve">SUJETO OBLIGADO </w:t>
      </w:r>
      <w:r w:rsidRPr="00606199">
        <w:rPr>
          <w:rFonts w:ascii="Palatino Linotype" w:eastAsia="Palatino Linotype" w:hAnsi="Palatino Linotype" w:cs="Palatino Linotype"/>
          <w:color w:val="000000"/>
        </w:rPr>
        <w:t xml:space="preserve">deberá </w:t>
      </w:r>
      <w:r w:rsidR="001B3407" w:rsidRPr="00606199">
        <w:rPr>
          <w:rFonts w:ascii="Palatino Linotype" w:eastAsia="Palatino Linotype" w:hAnsi="Palatino Linotype" w:cs="Palatino Linotype"/>
          <w:color w:val="000000"/>
        </w:rPr>
        <w:t xml:space="preserve">de remitir las conciliaciones de nómina en las se observen dichos pagos, sin embargo de ser el caso que no se hubieran generado pagos por dichos a conceptos a servidores públicos durante el año dos mil veinticinco bastará con que se haga del conocimiento del </w:t>
      </w:r>
      <w:r w:rsidR="001B3407" w:rsidRPr="00606199">
        <w:rPr>
          <w:rFonts w:ascii="Palatino Linotype" w:eastAsia="Palatino Linotype" w:hAnsi="Palatino Linotype" w:cs="Palatino Linotype"/>
          <w:b/>
          <w:color w:val="000000"/>
        </w:rPr>
        <w:t xml:space="preserve">RECURRENTE </w:t>
      </w:r>
      <w:r w:rsidR="001B3407" w:rsidRPr="00606199">
        <w:rPr>
          <w:rFonts w:ascii="Palatino Linotype" w:eastAsia="Palatino Linotype" w:hAnsi="Palatino Linotype" w:cs="Palatino Linotype"/>
          <w:color w:val="000000"/>
        </w:rPr>
        <w:t xml:space="preserve">de conformidad con el artículo 19 párrafo segundo de la Ley de Transparencia y Acceso a la Información Pública del Estado de México y Municipios. </w:t>
      </w:r>
    </w:p>
    <w:p w:rsidR="000C75CA" w:rsidRPr="00606199" w:rsidRDefault="000C75CA" w:rsidP="000C75CA">
      <w:pPr>
        <w:rPr>
          <w:rFonts w:ascii="Palatino Linotype" w:eastAsia="Palatino Linotype" w:hAnsi="Palatino Linotype" w:cs="Palatino Linotype"/>
          <w:color w:val="000000"/>
        </w:rPr>
      </w:pPr>
    </w:p>
    <w:p w:rsidR="004D6367" w:rsidRPr="00606199" w:rsidRDefault="004D6367"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lastRenderedPageBreak/>
        <w:t xml:space="preserve">En cuanto al pago de la segunda quincena del mes de diciembre de dos mil veinticinco y de la primera quincena de enero de dos mil veintiséis, el </w:t>
      </w:r>
      <w:r w:rsidRPr="00606199">
        <w:rPr>
          <w:rFonts w:ascii="Palatino Linotype" w:eastAsia="Palatino Linotype" w:hAnsi="Palatino Linotype" w:cs="Palatino Linotype"/>
          <w:b/>
        </w:rPr>
        <w:t xml:space="preserve">SUJETO OBLIGADO </w:t>
      </w:r>
      <w:r w:rsidRPr="00606199">
        <w:rPr>
          <w:rFonts w:ascii="Palatino Linotype" w:eastAsia="Palatino Linotype" w:hAnsi="Palatino Linotype" w:cs="Palatino Linotype"/>
        </w:rPr>
        <w:t>deberá de remitir la</w:t>
      </w:r>
      <w:r w:rsidR="00A35226" w:rsidRPr="00606199">
        <w:rPr>
          <w:rFonts w:ascii="Palatino Linotype" w:eastAsia="Palatino Linotype" w:hAnsi="Palatino Linotype" w:cs="Palatino Linotype"/>
        </w:rPr>
        <w:t xml:space="preserve"> conciliación</w:t>
      </w:r>
      <w:r w:rsidRPr="00606199">
        <w:rPr>
          <w:rFonts w:ascii="Palatino Linotype" w:eastAsia="Palatino Linotype" w:hAnsi="Palatino Linotype" w:cs="Palatino Linotype"/>
        </w:rPr>
        <w:t xml:space="preserve"> de nómina de cada quincena para colmar el derecho de acceso a la información del </w:t>
      </w:r>
      <w:r w:rsidRPr="00606199">
        <w:rPr>
          <w:rFonts w:ascii="Palatino Linotype" w:eastAsia="Palatino Linotype" w:hAnsi="Palatino Linotype" w:cs="Palatino Linotype"/>
          <w:b/>
        </w:rPr>
        <w:t xml:space="preserve">RECURRENTE. </w:t>
      </w:r>
    </w:p>
    <w:p w:rsidR="004D6367" w:rsidRPr="00606199" w:rsidRDefault="004D6367" w:rsidP="004D6367">
      <w:pPr>
        <w:pStyle w:val="Prrafodelista"/>
        <w:rPr>
          <w:rFonts w:ascii="Palatino Linotype" w:eastAsia="Palatino Linotype" w:hAnsi="Palatino Linotype" w:cs="Palatino Linotype"/>
          <w:color w:val="000000"/>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color w:val="000000"/>
        </w:rPr>
        <w:t>Ahora</w:t>
      </w:r>
      <w:r w:rsidRPr="00606199">
        <w:rPr>
          <w:rFonts w:ascii="Palatino Linotype" w:eastAsia="Palatino Linotype" w:hAnsi="Palatino Linotype" w:cs="Palatino Linotype"/>
        </w:rPr>
        <w:t xml:space="preserve"> bien, toda vez que el </w:t>
      </w:r>
      <w:r w:rsidRPr="00606199">
        <w:rPr>
          <w:rFonts w:ascii="Palatino Linotype" w:eastAsia="Palatino Linotype" w:hAnsi="Palatino Linotype" w:cs="Palatino Linotype"/>
          <w:b/>
        </w:rPr>
        <w:t xml:space="preserve">SUJETO OBLIGADO </w:t>
      </w:r>
      <w:r w:rsidRPr="00606199">
        <w:rPr>
          <w:rFonts w:ascii="Palatino Linotype" w:eastAsia="Palatino Linotype" w:hAnsi="Palatino Linotype" w:cs="Palatino Linotype"/>
        </w:rPr>
        <w:t>para colmar el derecho de acceso a la información, deberá de remitir la conciliación de nómina,  es que se debe realizar el análisis de los datos que se deberán de clasificar como confidenciales y los datos que deben de tener formato abierto.</w:t>
      </w:r>
    </w:p>
    <w:p w:rsidR="000C75CA" w:rsidRPr="00606199" w:rsidRDefault="000C75CA" w:rsidP="000C75CA">
      <w:pPr>
        <w:tabs>
          <w:tab w:val="left" w:pos="284"/>
        </w:tabs>
        <w:spacing w:line="360" w:lineRule="auto"/>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De lo anterior, se debe de puntualizar que la conciliación de nómina contienen datos </w:t>
      </w:r>
      <w:r w:rsidRPr="00606199">
        <w:rPr>
          <w:rFonts w:ascii="Palatino Linotype" w:eastAsia="Palatino Linotype" w:hAnsi="Palatino Linotype" w:cs="Palatino Linotype"/>
          <w:color w:val="000000"/>
        </w:rPr>
        <w:t>personales</w:t>
      </w:r>
      <w:r w:rsidRPr="00606199">
        <w:rPr>
          <w:rFonts w:ascii="Palatino Linotype" w:eastAsia="Palatino Linotype" w:hAnsi="Palatino Linotype" w:cs="Palatino Linotype"/>
        </w:rPr>
        <w:t xml:space="preserve"> de los servidores públicos, que de hacerse públicos afectarían su </w:t>
      </w:r>
      <w:r w:rsidRPr="00606199">
        <w:rPr>
          <w:rFonts w:ascii="Palatino Linotype" w:hAnsi="Palatino Linotype"/>
          <w:lang w:val="es-ES"/>
        </w:rPr>
        <w:t>intimidad</w:t>
      </w:r>
      <w:r w:rsidRPr="00606199">
        <w:rPr>
          <w:rFonts w:ascii="Palatino Linotype" w:eastAsia="Palatino Linotype" w:hAnsi="Palatino Linotype" w:cs="Palatino Linotype"/>
        </w:rPr>
        <w:t xml:space="preserve">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0C75CA" w:rsidRPr="00606199" w:rsidRDefault="000C75CA" w:rsidP="000C75CA">
      <w:pPr>
        <w:pStyle w:val="Prrafodelista"/>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color w:val="000000"/>
        </w:rPr>
        <w:t>Ahora</w:t>
      </w:r>
      <w:r w:rsidRPr="00606199">
        <w:rPr>
          <w:rFonts w:ascii="Palatino Linotype" w:eastAsia="Palatino Linotype" w:hAnsi="Palatino Linotype" w:cs="Palatino Linotype"/>
        </w:rPr>
        <w:t xml:space="preserve"> bien, en cuanto Por cuanto hace al </w:t>
      </w:r>
      <w:r w:rsidRPr="00606199">
        <w:rPr>
          <w:rFonts w:ascii="Palatino Linotype" w:eastAsia="Palatino Linotype" w:hAnsi="Palatino Linotype" w:cs="Palatino Linotype"/>
          <w:b/>
        </w:rPr>
        <w:t>Registro Federal de Contribuyentes (RFC),</w:t>
      </w:r>
      <w:r w:rsidRPr="00606199">
        <w:rPr>
          <w:rFonts w:ascii="Palatino Linotype" w:eastAsia="Palatino Linotype" w:hAnsi="Palatino Linotype" w:cs="Palatino Linotype"/>
        </w:rPr>
        <w:t xml:space="preserve"> de las </w:t>
      </w:r>
      <w:r w:rsidRPr="00606199">
        <w:rPr>
          <w:rFonts w:ascii="Palatino Linotype" w:hAnsi="Palatino Linotype"/>
          <w:lang w:val="es-ES"/>
        </w:rPr>
        <w:t>personas</w:t>
      </w:r>
      <w:r w:rsidRPr="00606199">
        <w:rPr>
          <w:rFonts w:ascii="Palatino Linotype" w:eastAsia="Palatino Linotype" w:hAnsi="Palatino Linotype" w:cs="Palatino Linotype"/>
        </w:rPr>
        <w:t xml:space="preserve"> físicas, constituye un dato personal, pues se genera con caracteres alfanuméricos a partir del nombre y la fecha de nacimiento de cada persona, y finalmente la </w:t>
      </w:r>
      <w:r w:rsidRPr="00606199">
        <w:rPr>
          <w:rFonts w:ascii="Palatino Linotype" w:eastAsia="Palatino Linotype" w:hAnsi="Palatino Linotype" w:cs="Palatino Linotype"/>
        </w:rPr>
        <w:lastRenderedPageBreak/>
        <w:t>homoclave, por lo que para su obtención es necesario acreditar ante la autoridad fiscal previamente la identidad de la persona, su fecha de nacimiento, entre otros aspectos.</w:t>
      </w:r>
    </w:p>
    <w:p w:rsidR="000C75CA" w:rsidRPr="00606199" w:rsidRDefault="000C75CA" w:rsidP="000C75CA">
      <w:pPr>
        <w:tabs>
          <w:tab w:val="left" w:pos="284"/>
        </w:tabs>
        <w:spacing w:line="360" w:lineRule="auto"/>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Ahora bien, las personas físicas tramitan su inscripción en el registro con el propósito </w:t>
      </w:r>
      <w:r w:rsidRPr="00606199">
        <w:rPr>
          <w:rFonts w:ascii="Palatino Linotype" w:eastAsia="Palatino Linotype" w:hAnsi="Palatino Linotype" w:cs="Palatino Linotype"/>
          <w:color w:val="000000"/>
        </w:rPr>
        <w:t>de</w:t>
      </w:r>
      <w:r w:rsidRPr="00606199">
        <w:rPr>
          <w:rFonts w:ascii="Palatino Linotype" w:eastAsia="Palatino Linotype" w:hAnsi="Palatino Linotype" w:cs="Palatino Linotype"/>
        </w:rPr>
        <w:t xml:space="preserve"> realizar —mediante esa clave de identificación— operaciones o actividades de naturaleza fiscal, la cual, les permite hacerse identificables respecto de una situación fiscal determinada.</w:t>
      </w:r>
    </w:p>
    <w:p w:rsidR="000C75CA" w:rsidRPr="00606199" w:rsidRDefault="000C75CA" w:rsidP="000C75CA">
      <w:pPr>
        <w:tabs>
          <w:tab w:val="left" w:pos="284"/>
        </w:tabs>
        <w:spacing w:line="360" w:lineRule="auto"/>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Lo anterior es compartido por el entonces Instituto Federal de Acceso a la Información Pública y Protección de Datos Personales (IFAI) a través del Criterio 19/17, el cual es del tenor literal siguiente:</w:t>
      </w:r>
    </w:p>
    <w:p w:rsidR="000C75CA" w:rsidRPr="00606199" w:rsidRDefault="000C75CA" w:rsidP="000C75CA">
      <w:pPr>
        <w:ind w:left="1134" w:right="851"/>
        <w:jc w:val="both"/>
        <w:rPr>
          <w:rFonts w:ascii="Palatino Linotype" w:eastAsia="Palatino Linotype" w:hAnsi="Palatino Linotype" w:cs="Palatino Linotype"/>
          <w:i/>
        </w:rPr>
      </w:pPr>
      <w:r w:rsidRPr="00606199">
        <w:rPr>
          <w:rFonts w:ascii="Palatino Linotype" w:eastAsia="Palatino Linotype" w:hAnsi="Palatino Linotype" w:cs="Palatino Linotype"/>
          <w:b/>
          <w:i/>
        </w:rPr>
        <w:t>“Registro Federal de Contribuyentes (RFC) de personas físicas</w:t>
      </w:r>
      <w:r w:rsidRPr="00606199">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rsidR="000C75CA" w:rsidRDefault="000C75CA" w:rsidP="000C75CA">
      <w:pPr>
        <w:ind w:left="567" w:right="900"/>
        <w:jc w:val="both"/>
        <w:rPr>
          <w:rFonts w:ascii="Palatino Linotype" w:eastAsia="Palatino Linotype" w:hAnsi="Palatino Linotype" w:cs="Palatino Linotype"/>
          <w:i/>
        </w:rPr>
      </w:pPr>
    </w:p>
    <w:p w:rsidR="00606199" w:rsidRPr="00606199" w:rsidRDefault="00606199" w:rsidP="000C75CA">
      <w:pPr>
        <w:ind w:left="567" w:right="900"/>
        <w:jc w:val="both"/>
        <w:rPr>
          <w:rFonts w:ascii="Palatino Linotype" w:eastAsia="Palatino Linotype" w:hAnsi="Palatino Linotype" w:cs="Palatino Linotype"/>
          <w:i/>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hAnsi="Palatino Linotype"/>
          <w:lang w:val="es-ES"/>
        </w:rPr>
        <w:t>Así</w:t>
      </w:r>
      <w:r w:rsidRPr="00606199">
        <w:rPr>
          <w:rFonts w:ascii="Palatino Linotype" w:eastAsia="Palatino Linotype" w:hAnsi="Palatino Linotype" w:cs="Palatino Linotype"/>
        </w:rPr>
        <w:t xml:space="preserve">, el </w:t>
      </w:r>
      <w:r w:rsidRPr="00606199">
        <w:rPr>
          <w:rFonts w:ascii="Palatino Linotype" w:eastAsia="Palatino Linotype" w:hAnsi="Palatino Linotype" w:cs="Palatino Linotype"/>
          <w:b/>
        </w:rPr>
        <w:t>Registro Federal de Contribuyentes, RFC</w:t>
      </w:r>
      <w:r w:rsidRPr="00606199">
        <w:rPr>
          <w:rFonts w:ascii="Palatino Linotype" w:eastAsia="Palatino Linotype" w:hAnsi="Palatino Linotype" w:cs="Palatino Linotype"/>
        </w:rPr>
        <w:t>,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0C75CA" w:rsidRPr="00606199" w:rsidRDefault="000C75CA" w:rsidP="000C75CA">
      <w:pPr>
        <w:tabs>
          <w:tab w:val="left" w:pos="284"/>
        </w:tabs>
        <w:spacing w:line="360" w:lineRule="auto"/>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De lo anterior, se determina que el </w:t>
      </w:r>
      <w:r w:rsidRPr="00606199">
        <w:rPr>
          <w:rFonts w:ascii="Palatino Linotype" w:eastAsia="Palatino Linotype" w:hAnsi="Palatino Linotype" w:cs="Palatino Linotype"/>
          <w:b/>
        </w:rPr>
        <w:t xml:space="preserve">REGISTRO FEDERAL DE CONTTIBUYENTES </w:t>
      </w:r>
      <w:r w:rsidRPr="00606199">
        <w:rPr>
          <w:rFonts w:ascii="Palatino Linotype" w:eastAsia="Palatino Linotype" w:hAnsi="Palatino Linotype" w:cs="Palatino Linotype"/>
        </w:rPr>
        <w:t xml:space="preserve">que fue solicitado por el </w:t>
      </w:r>
      <w:r w:rsidRPr="00606199">
        <w:rPr>
          <w:rFonts w:ascii="Palatino Linotype" w:eastAsia="Palatino Linotype" w:hAnsi="Palatino Linotype" w:cs="Palatino Linotype"/>
          <w:b/>
        </w:rPr>
        <w:t xml:space="preserve">RECURRENTE </w:t>
      </w:r>
      <w:r w:rsidRPr="00606199">
        <w:rPr>
          <w:rFonts w:ascii="Palatino Linotype" w:eastAsia="Palatino Linotype" w:hAnsi="Palatino Linotype" w:cs="Palatino Linotype"/>
        </w:rPr>
        <w:t xml:space="preserve">no puede ser entregado, </w:t>
      </w:r>
      <w:r w:rsidRPr="00606199">
        <w:rPr>
          <w:rFonts w:ascii="Palatino Linotype" w:eastAsia="Palatino Linotype" w:hAnsi="Palatino Linotype" w:cs="Palatino Linotype"/>
          <w:color w:val="000000"/>
        </w:rPr>
        <w:t>toda</w:t>
      </w:r>
      <w:r w:rsidRPr="00606199">
        <w:rPr>
          <w:rFonts w:ascii="Palatino Linotype" w:eastAsia="Palatino Linotype" w:hAnsi="Palatino Linotype" w:cs="Palatino Linotype"/>
        </w:rPr>
        <w:t xml:space="preserve"> vez que contiene </w:t>
      </w:r>
      <w:r w:rsidRPr="00606199">
        <w:rPr>
          <w:rFonts w:ascii="Palatino Linotype" w:eastAsia="Palatino Linotype" w:hAnsi="Palatino Linotype" w:cs="Palatino Linotype"/>
        </w:rPr>
        <w:lastRenderedPageBreak/>
        <w:t xml:space="preserve">información que solo le pertenece a la persona titular de los datos, situación por la cual no puede dar acceso a esta información. </w:t>
      </w:r>
    </w:p>
    <w:p w:rsidR="000C75CA" w:rsidRPr="00606199" w:rsidRDefault="000C75CA" w:rsidP="000C75CA">
      <w:pPr>
        <w:pStyle w:val="Prrafodelista"/>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De </w:t>
      </w:r>
      <w:r w:rsidRPr="00606199">
        <w:rPr>
          <w:rFonts w:ascii="Palatino Linotype" w:eastAsia="Palatino Linotype" w:hAnsi="Palatino Linotype" w:cs="Palatino Linotype"/>
          <w:color w:val="000000"/>
        </w:rPr>
        <w:t>igual</w:t>
      </w:r>
      <w:r w:rsidRPr="00606199">
        <w:rPr>
          <w:rFonts w:ascii="Palatino Linotype" w:eastAsia="Palatino Linotype" w:hAnsi="Palatino Linotype" w:cs="Palatino Linotype"/>
        </w:rPr>
        <w:t xml:space="preserve"> manera la </w:t>
      </w:r>
      <w:r w:rsidRPr="00606199">
        <w:rPr>
          <w:rFonts w:ascii="Palatino Linotype" w:eastAsia="Palatino Linotype" w:hAnsi="Palatino Linotype" w:cs="Palatino Linotype"/>
          <w:b/>
        </w:rPr>
        <w:t>Clave Única de Registro de Población (CURP),</w:t>
      </w:r>
      <w:r w:rsidRPr="00606199">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0C75CA" w:rsidRPr="00606199" w:rsidRDefault="000C75CA" w:rsidP="000C75CA">
      <w:pPr>
        <w:tabs>
          <w:tab w:val="left" w:pos="284"/>
        </w:tabs>
        <w:spacing w:line="360" w:lineRule="auto"/>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Argumento que es compartido por el Instituto Nacional de Transparencia, Acceso a la Información y Protección de Datos Personales, INAI, conforme al criterio 18/17, el cual refiere: </w:t>
      </w:r>
    </w:p>
    <w:p w:rsidR="000C75CA" w:rsidRPr="00606199" w:rsidRDefault="000C75CA" w:rsidP="000C75CA">
      <w:pPr>
        <w:ind w:left="1134" w:right="851"/>
        <w:jc w:val="both"/>
        <w:rPr>
          <w:rFonts w:ascii="Palatino Linotype" w:eastAsia="Palatino Linotype" w:hAnsi="Palatino Linotype" w:cs="Palatino Linotype"/>
          <w:i/>
        </w:rPr>
      </w:pPr>
      <w:r w:rsidRPr="00606199">
        <w:rPr>
          <w:rFonts w:ascii="Palatino Linotype" w:eastAsia="Palatino Linotype" w:hAnsi="Palatino Linotype" w:cs="Palatino Linotype"/>
          <w:b/>
          <w:i/>
        </w:rPr>
        <w:t xml:space="preserve">“Clave Única de Registro de Población (CURP). </w:t>
      </w:r>
      <w:r w:rsidRPr="00606199">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C75CA" w:rsidRPr="00606199" w:rsidRDefault="000C75CA" w:rsidP="000C75CA">
      <w:pPr>
        <w:ind w:right="333"/>
        <w:jc w:val="both"/>
        <w:rPr>
          <w:rFonts w:ascii="Palatino Linotype" w:eastAsia="Palatino Linotype" w:hAnsi="Palatino Linotype" w:cs="Palatino Linotype"/>
          <w:i/>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De lo anterior, se determina que la </w:t>
      </w:r>
      <w:r w:rsidRPr="00606199">
        <w:rPr>
          <w:rFonts w:ascii="Palatino Linotype" w:eastAsia="Palatino Linotype" w:hAnsi="Palatino Linotype" w:cs="Palatino Linotype"/>
          <w:b/>
        </w:rPr>
        <w:t xml:space="preserve">CLAVE ÚNICA DE REGISTRO DE </w:t>
      </w:r>
      <w:r w:rsidRPr="00606199">
        <w:rPr>
          <w:rFonts w:ascii="Palatino Linotype" w:eastAsia="Palatino Linotype" w:hAnsi="Palatino Linotype" w:cs="Palatino Linotype"/>
          <w:color w:val="000000"/>
        </w:rPr>
        <w:t>POBLACIÓN</w:t>
      </w:r>
      <w:r w:rsidRPr="00606199">
        <w:rPr>
          <w:rFonts w:ascii="Palatino Linotype" w:eastAsia="Palatino Linotype" w:hAnsi="Palatino Linotype" w:cs="Palatino Linotype"/>
          <w:b/>
        </w:rPr>
        <w:t xml:space="preserve">,  </w:t>
      </w:r>
      <w:r w:rsidRPr="00606199">
        <w:rPr>
          <w:rFonts w:ascii="Palatino Linotype" w:eastAsia="Palatino Linotype" w:hAnsi="Palatino Linotype" w:cs="Palatino Linotype"/>
        </w:rPr>
        <w:t xml:space="preserve">que fue solicitada por el </w:t>
      </w:r>
      <w:r w:rsidRPr="00606199">
        <w:rPr>
          <w:rFonts w:ascii="Palatino Linotype" w:eastAsia="Palatino Linotype" w:hAnsi="Palatino Linotype" w:cs="Palatino Linotype"/>
          <w:b/>
        </w:rPr>
        <w:t xml:space="preserve">RECURRENTE </w:t>
      </w:r>
      <w:r w:rsidRPr="00606199">
        <w:rPr>
          <w:rFonts w:ascii="Palatino Linotype" w:eastAsia="Palatino Linotype" w:hAnsi="Palatino Linotype" w:cs="Palatino Linotype"/>
        </w:rPr>
        <w:t xml:space="preserve">no puede ser entregado, toda vez que contiene información que solo le pertenece a la persona titular de los datos, situación por la cual no puede dar acceso a esta información. </w:t>
      </w:r>
    </w:p>
    <w:p w:rsidR="000C75CA" w:rsidRPr="00606199" w:rsidRDefault="000C75CA" w:rsidP="000C75CA">
      <w:pPr>
        <w:pStyle w:val="Prrafodelista"/>
        <w:spacing w:line="360" w:lineRule="auto"/>
        <w:ind w:left="0"/>
        <w:contextualSpacing w:val="0"/>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Por </w:t>
      </w:r>
      <w:r w:rsidRPr="00606199">
        <w:rPr>
          <w:rFonts w:ascii="Palatino Linotype" w:eastAsia="Palatino Linotype" w:hAnsi="Palatino Linotype" w:cs="Palatino Linotype"/>
          <w:color w:val="000000"/>
        </w:rPr>
        <w:t>cuanto</w:t>
      </w:r>
      <w:r w:rsidRPr="00606199">
        <w:rPr>
          <w:rFonts w:ascii="Palatino Linotype" w:eastAsia="Palatino Linotype" w:hAnsi="Palatino Linotype" w:cs="Palatino Linotype"/>
        </w:rPr>
        <w:t xml:space="preserve"> hace a la </w:t>
      </w:r>
      <w:r w:rsidRPr="00606199">
        <w:rPr>
          <w:rFonts w:ascii="Palatino Linotype" w:eastAsia="Palatino Linotype" w:hAnsi="Palatino Linotype" w:cs="Palatino Linotype"/>
          <w:b/>
        </w:rPr>
        <w:t>Clave de cualquier tipo de seguridad social (ISSEMyM, u otros</w:t>
      </w:r>
      <w:r w:rsidRPr="00606199">
        <w:rPr>
          <w:rFonts w:ascii="Palatino Linotype" w:eastAsia="Palatino Linotype" w:hAnsi="Palatino Linotype" w:cs="Palatino Linotype"/>
        </w:rPr>
        <w:t xml:space="preserve">), está integrado por una secuencia de números con los que se identifica a los trabajadores que </w:t>
      </w:r>
      <w:r w:rsidRPr="00606199">
        <w:rPr>
          <w:rFonts w:ascii="Palatino Linotype" w:eastAsia="Palatino Linotype" w:hAnsi="Palatino Linotype" w:cs="Palatino Linotype"/>
        </w:rPr>
        <w:lastRenderedPageBreak/>
        <w:t>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C75CA" w:rsidRPr="00606199" w:rsidRDefault="000C75CA" w:rsidP="000C75CA">
      <w:pPr>
        <w:tabs>
          <w:tab w:val="left" w:pos="284"/>
        </w:tabs>
        <w:spacing w:line="360" w:lineRule="auto"/>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w:t>
      </w:r>
      <w:r w:rsidRPr="00606199">
        <w:rPr>
          <w:rFonts w:ascii="Palatino Linotype" w:eastAsia="Palatino Linotype" w:hAnsi="Palatino Linotype" w:cs="Palatino Linotype"/>
          <w:color w:val="000000"/>
        </w:rPr>
        <w:t>que</w:t>
      </w:r>
      <w:r w:rsidRPr="00606199">
        <w:rPr>
          <w:rFonts w:ascii="Palatino Linotype" w:eastAsia="Palatino Linotype" w:hAnsi="Palatino Linotype" w:cs="Palatino Linotype"/>
        </w:rPr>
        <w:t xml:space="preserv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rsidR="000C75CA" w:rsidRPr="00606199" w:rsidRDefault="000C75CA" w:rsidP="000C75CA">
      <w:pPr>
        <w:tabs>
          <w:tab w:val="left" w:pos="284"/>
        </w:tabs>
        <w:spacing w:line="360" w:lineRule="auto"/>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0C75CA" w:rsidRPr="00606199" w:rsidRDefault="000C75CA" w:rsidP="000C75CA">
      <w:pPr>
        <w:tabs>
          <w:tab w:val="left" w:pos="284"/>
        </w:tabs>
        <w:spacing w:line="360" w:lineRule="auto"/>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hAnsi="Palatino Linotype"/>
          <w:lang w:val="es-ES"/>
        </w:rPr>
        <w:lastRenderedPageBreak/>
        <w:t>Contar</w:t>
      </w:r>
      <w:r w:rsidRPr="00606199">
        <w:rPr>
          <w:rFonts w:ascii="Palatino Linotype" w:eastAsia="Palatino Linotype" w:hAnsi="Palatino Linotype" w:cs="Palatino Linotype"/>
        </w:rPr>
        <w:t xml:space="preserve"> con la prestación de seguridad social que brinda el ISSEMYM no es una obligación </w:t>
      </w:r>
      <w:r w:rsidRPr="00606199">
        <w:rPr>
          <w:rFonts w:ascii="Palatino Linotype" w:eastAsia="Palatino Linotype" w:hAnsi="Palatino Linotype" w:cs="Palatino Linotype"/>
          <w:color w:val="000000"/>
        </w:rPr>
        <w:t>para</w:t>
      </w:r>
      <w:r w:rsidRPr="00606199">
        <w:rPr>
          <w:rFonts w:ascii="Palatino Linotype" w:eastAsia="Palatino Linotype" w:hAnsi="Palatino Linotype" w:cs="Palatino Linotype"/>
        </w:rPr>
        <w:t xml:space="preserve">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0C75CA" w:rsidRPr="00606199" w:rsidRDefault="000C75CA" w:rsidP="000C75CA">
      <w:pPr>
        <w:tabs>
          <w:tab w:val="left" w:pos="284"/>
        </w:tabs>
        <w:spacing w:line="360" w:lineRule="auto"/>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Respecto </w:t>
      </w:r>
      <w:r w:rsidRPr="00606199">
        <w:rPr>
          <w:rFonts w:ascii="Palatino Linotype" w:eastAsia="Palatino Linotype" w:hAnsi="Palatino Linotype" w:cs="Palatino Linotype"/>
          <w:color w:val="000000"/>
        </w:rPr>
        <w:t>de</w:t>
      </w:r>
      <w:r w:rsidRPr="00606199">
        <w:rPr>
          <w:rFonts w:ascii="Palatino Linotype" w:eastAsia="Palatino Linotype" w:hAnsi="Palatino Linotype" w:cs="Palatino Linotype"/>
        </w:rPr>
        <w:t xml:space="preserv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rsidR="000C75CA" w:rsidRPr="00606199" w:rsidRDefault="000C75CA" w:rsidP="000C75CA">
      <w:pPr>
        <w:tabs>
          <w:tab w:val="left" w:pos="284"/>
        </w:tabs>
        <w:spacing w:line="360" w:lineRule="auto"/>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Por su </w:t>
      </w:r>
      <w:r w:rsidRPr="00606199">
        <w:rPr>
          <w:rFonts w:ascii="Palatino Linotype" w:eastAsia="Palatino Linotype" w:hAnsi="Palatino Linotype" w:cs="Palatino Linotype"/>
          <w:color w:val="000000"/>
        </w:rPr>
        <w:t>parte</w:t>
      </w:r>
      <w:r w:rsidRPr="00606199">
        <w:rPr>
          <w:rFonts w:ascii="Palatino Linotype" w:eastAsia="Palatino Linotype" w:hAnsi="Palatino Linotype" w:cs="Palatino Linotype"/>
        </w:rPr>
        <w:t>, el artículo 84 de la Ley del Trabajo de los Servidores Públicos del Estado y Municipios, señala:</w:t>
      </w:r>
    </w:p>
    <w:p w:rsidR="000C75CA" w:rsidRPr="00606199" w:rsidRDefault="000C75CA" w:rsidP="000C75CA">
      <w:pPr>
        <w:ind w:left="1134" w:right="851"/>
        <w:jc w:val="both"/>
        <w:rPr>
          <w:rFonts w:ascii="Palatino Linotype" w:eastAsia="Palatino Linotype" w:hAnsi="Palatino Linotype" w:cs="Palatino Linotype"/>
        </w:rPr>
      </w:pPr>
      <w:r w:rsidRPr="00606199">
        <w:rPr>
          <w:rFonts w:ascii="Palatino Linotype" w:eastAsia="Palatino Linotype" w:hAnsi="Palatino Linotype" w:cs="Palatino Linotype"/>
          <w:i/>
        </w:rPr>
        <w:t>“</w:t>
      </w:r>
      <w:r w:rsidRPr="00606199">
        <w:rPr>
          <w:rFonts w:ascii="Palatino Linotype" w:eastAsia="Palatino Linotype" w:hAnsi="Palatino Linotype" w:cs="Palatino Linotype"/>
          <w:b/>
          <w:i/>
        </w:rPr>
        <w:t>ARTICULO 84. Sólo podrán hacerse retenciones, descuentos o deducciones al sueldo de los servidores públicos por concepto de:</w:t>
      </w:r>
    </w:p>
    <w:p w:rsidR="000C75CA" w:rsidRPr="00606199" w:rsidRDefault="000C75CA" w:rsidP="000C75CA">
      <w:pPr>
        <w:ind w:left="1134" w:right="851"/>
        <w:jc w:val="both"/>
        <w:rPr>
          <w:rFonts w:ascii="Palatino Linotype" w:eastAsia="Palatino Linotype" w:hAnsi="Palatino Linotype" w:cs="Palatino Linotype"/>
        </w:rPr>
      </w:pPr>
      <w:r w:rsidRPr="00606199">
        <w:rPr>
          <w:rFonts w:ascii="Palatino Linotype" w:eastAsia="Palatino Linotype" w:hAnsi="Palatino Linotype" w:cs="Palatino Linotype"/>
          <w:i/>
        </w:rPr>
        <w:t>I. Gravámenes fiscales relacionados con el sueldo;</w:t>
      </w:r>
    </w:p>
    <w:p w:rsidR="000C75CA" w:rsidRPr="00606199" w:rsidRDefault="000C75CA" w:rsidP="000C75CA">
      <w:pPr>
        <w:ind w:left="1134" w:right="851"/>
        <w:jc w:val="both"/>
        <w:rPr>
          <w:rFonts w:ascii="Palatino Linotype" w:eastAsia="Palatino Linotype" w:hAnsi="Palatino Linotype" w:cs="Palatino Linotype"/>
        </w:rPr>
      </w:pPr>
      <w:r w:rsidRPr="00606199">
        <w:rPr>
          <w:rFonts w:ascii="Palatino Linotype" w:eastAsia="Palatino Linotype" w:hAnsi="Palatino Linotype" w:cs="Palatino Linotype"/>
          <w:b/>
          <w:i/>
        </w:rPr>
        <w:t>II. Deudas contraídas con las instituciones públicas o dependencias</w:t>
      </w:r>
      <w:r w:rsidRPr="00606199">
        <w:rPr>
          <w:rFonts w:ascii="Palatino Linotype" w:eastAsia="Palatino Linotype" w:hAnsi="Palatino Linotype" w:cs="Palatino Linotype"/>
          <w:i/>
        </w:rPr>
        <w:t xml:space="preserve"> por concepto de anticipos de sueldo, pagos hechos con exceso, errores o pérdidas debidamente comprobados;</w:t>
      </w:r>
    </w:p>
    <w:p w:rsidR="000C75CA" w:rsidRPr="00606199" w:rsidRDefault="000C75CA" w:rsidP="000C75CA">
      <w:pPr>
        <w:ind w:left="1134" w:right="851"/>
        <w:jc w:val="both"/>
        <w:rPr>
          <w:rFonts w:ascii="Palatino Linotype" w:eastAsia="Palatino Linotype" w:hAnsi="Palatino Linotype" w:cs="Palatino Linotype"/>
        </w:rPr>
      </w:pPr>
      <w:r w:rsidRPr="00606199">
        <w:rPr>
          <w:rFonts w:ascii="Palatino Linotype" w:eastAsia="Palatino Linotype" w:hAnsi="Palatino Linotype" w:cs="Palatino Linotype"/>
          <w:b/>
          <w:i/>
        </w:rPr>
        <w:t>III. Cuotas sindicales</w:t>
      </w:r>
      <w:r w:rsidRPr="00606199">
        <w:rPr>
          <w:rFonts w:ascii="Palatino Linotype" w:eastAsia="Palatino Linotype" w:hAnsi="Palatino Linotype" w:cs="Palatino Linotype"/>
          <w:i/>
        </w:rPr>
        <w:t>;</w:t>
      </w:r>
    </w:p>
    <w:p w:rsidR="000C75CA" w:rsidRPr="00606199" w:rsidRDefault="000C75CA" w:rsidP="000C75CA">
      <w:pPr>
        <w:ind w:left="1134" w:right="851"/>
        <w:jc w:val="both"/>
        <w:rPr>
          <w:rFonts w:ascii="Palatino Linotype" w:eastAsia="Palatino Linotype" w:hAnsi="Palatino Linotype" w:cs="Palatino Linotype"/>
        </w:rPr>
      </w:pPr>
      <w:r w:rsidRPr="00606199">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rsidR="000C75CA" w:rsidRPr="00606199" w:rsidRDefault="000C75CA" w:rsidP="000C75CA">
      <w:pPr>
        <w:ind w:left="1134" w:right="851"/>
        <w:jc w:val="both"/>
        <w:rPr>
          <w:rFonts w:ascii="Palatino Linotype" w:eastAsia="Palatino Linotype" w:hAnsi="Palatino Linotype" w:cs="Palatino Linotype"/>
        </w:rPr>
      </w:pPr>
      <w:r w:rsidRPr="00606199">
        <w:rPr>
          <w:rFonts w:ascii="Palatino Linotype" w:eastAsia="Palatino Linotype" w:hAnsi="Palatino Linotype" w:cs="Palatino Linotype"/>
          <w:i/>
        </w:rPr>
        <w:lastRenderedPageBreak/>
        <w:t>V. Descuentos ordenados por el Instituto de Seguridad Social del Estado de México y Municipios, con motivo de cuotas y obligaciones contraídas con éste por los servidores públicos;</w:t>
      </w:r>
    </w:p>
    <w:p w:rsidR="000C75CA" w:rsidRPr="00606199" w:rsidRDefault="000C75CA" w:rsidP="000C75CA">
      <w:pPr>
        <w:ind w:left="1134" w:right="851"/>
        <w:jc w:val="both"/>
        <w:rPr>
          <w:rFonts w:ascii="Palatino Linotype" w:eastAsia="Palatino Linotype" w:hAnsi="Palatino Linotype" w:cs="Palatino Linotype"/>
        </w:rPr>
      </w:pPr>
      <w:r w:rsidRPr="00606199">
        <w:rPr>
          <w:rFonts w:ascii="Palatino Linotype" w:eastAsia="Palatino Linotype" w:hAnsi="Palatino Linotype" w:cs="Palatino Linotype"/>
          <w:b/>
          <w:i/>
        </w:rPr>
        <w:t>VI. Obligaciones a cargo del servidor público con las que haya consentido</w:t>
      </w:r>
      <w:r w:rsidRPr="00606199">
        <w:rPr>
          <w:rFonts w:ascii="Palatino Linotype" w:eastAsia="Palatino Linotype" w:hAnsi="Palatino Linotype" w:cs="Palatino Linotype"/>
          <w:i/>
        </w:rPr>
        <w:t>, derivadas de la adquisición o del uso de habitaciones consideradas como de interés social;</w:t>
      </w:r>
    </w:p>
    <w:p w:rsidR="000C75CA" w:rsidRPr="00606199" w:rsidRDefault="000C75CA" w:rsidP="000C75CA">
      <w:pPr>
        <w:ind w:left="1134" w:right="851"/>
        <w:jc w:val="both"/>
        <w:rPr>
          <w:rFonts w:ascii="Palatino Linotype" w:eastAsia="Palatino Linotype" w:hAnsi="Palatino Linotype" w:cs="Palatino Linotype"/>
        </w:rPr>
      </w:pPr>
      <w:r w:rsidRPr="00606199">
        <w:rPr>
          <w:rFonts w:ascii="Palatino Linotype" w:eastAsia="Palatino Linotype" w:hAnsi="Palatino Linotype" w:cs="Palatino Linotype"/>
          <w:i/>
        </w:rPr>
        <w:t>VII. Faltas de puntualidad o de asistencia injustificadas;</w:t>
      </w:r>
    </w:p>
    <w:p w:rsidR="000C75CA" w:rsidRPr="00606199" w:rsidRDefault="000C75CA" w:rsidP="000C75CA">
      <w:pPr>
        <w:ind w:left="1134" w:right="851"/>
        <w:jc w:val="both"/>
        <w:rPr>
          <w:rFonts w:ascii="Palatino Linotype" w:eastAsia="Palatino Linotype" w:hAnsi="Palatino Linotype" w:cs="Palatino Linotype"/>
        </w:rPr>
      </w:pPr>
      <w:r w:rsidRPr="00606199">
        <w:rPr>
          <w:rFonts w:ascii="Palatino Linotype" w:eastAsia="Palatino Linotype" w:hAnsi="Palatino Linotype" w:cs="Palatino Linotype"/>
          <w:b/>
          <w:i/>
        </w:rPr>
        <w:t>VIII. Pensiones alimenticias ordenadas por la autoridad judicial;</w:t>
      </w:r>
      <w:r w:rsidRPr="00606199">
        <w:rPr>
          <w:rFonts w:ascii="Palatino Linotype" w:eastAsia="Palatino Linotype" w:hAnsi="Palatino Linotype" w:cs="Palatino Linotype"/>
          <w:i/>
        </w:rPr>
        <w:t xml:space="preserve"> o</w:t>
      </w:r>
    </w:p>
    <w:p w:rsidR="000C75CA" w:rsidRPr="00606199" w:rsidRDefault="000C75CA" w:rsidP="000C75CA">
      <w:pPr>
        <w:ind w:left="1134" w:right="851"/>
        <w:jc w:val="both"/>
        <w:rPr>
          <w:rFonts w:ascii="Palatino Linotype" w:eastAsia="Palatino Linotype" w:hAnsi="Palatino Linotype" w:cs="Palatino Linotype"/>
        </w:rPr>
      </w:pPr>
      <w:r w:rsidRPr="00606199">
        <w:rPr>
          <w:rFonts w:ascii="Palatino Linotype" w:eastAsia="Palatino Linotype" w:hAnsi="Palatino Linotype" w:cs="Palatino Linotype"/>
          <w:b/>
          <w:i/>
        </w:rPr>
        <w:t>IX. Cualquier otro convenido con instituciones de servicios y aceptado por el servidor público.</w:t>
      </w:r>
    </w:p>
    <w:p w:rsidR="000C75CA" w:rsidRPr="00606199" w:rsidRDefault="000C75CA" w:rsidP="000C75CA">
      <w:pPr>
        <w:ind w:left="1134" w:right="851"/>
        <w:jc w:val="both"/>
        <w:rPr>
          <w:rFonts w:ascii="Palatino Linotype" w:eastAsia="Palatino Linotype" w:hAnsi="Palatino Linotype" w:cs="Palatino Linotype"/>
        </w:rPr>
      </w:pPr>
      <w:r w:rsidRPr="00606199">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0C75CA" w:rsidRPr="00606199" w:rsidRDefault="000C75CA" w:rsidP="000C75CA">
      <w:pPr>
        <w:ind w:left="1134" w:right="851"/>
        <w:jc w:val="both"/>
        <w:rPr>
          <w:rFonts w:ascii="Palatino Linotype" w:eastAsia="Palatino Linotype" w:hAnsi="Palatino Linotype" w:cs="Palatino Linotype"/>
        </w:rPr>
      </w:pPr>
      <w:r w:rsidRPr="00606199">
        <w:rPr>
          <w:rFonts w:ascii="Palatino Linotype" w:eastAsia="Palatino Linotype" w:hAnsi="Palatino Linotype" w:cs="Palatino Linotype"/>
        </w:rPr>
        <w:t>(Énfasis añadido)</w:t>
      </w:r>
    </w:p>
    <w:p w:rsidR="000C75CA" w:rsidRPr="00606199" w:rsidRDefault="000C75CA" w:rsidP="000C75CA">
      <w:pPr>
        <w:spacing w:line="360" w:lineRule="auto"/>
        <w:ind w:left="851" w:right="-929"/>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hAnsi="Palatino Linotype"/>
          <w:lang w:val="es-ES"/>
        </w:rPr>
        <w:t>Derivado</w:t>
      </w:r>
      <w:r w:rsidRPr="00606199">
        <w:rPr>
          <w:rFonts w:ascii="Palatino Linotype" w:eastAsia="Palatino Linotype" w:hAnsi="Palatino Linotype" w:cs="Palatino Linotype"/>
        </w:rPr>
        <w:t xml:space="preserve"> de lo anterior, la ley establece claramente cuáles son esos descuentos o gravámenes que directamente se relacionan con las obligaciones adquiridas como servidores públicos y aquéllos que </w:t>
      </w:r>
      <w:r w:rsidRPr="00606199">
        <w:rPr>
          <w:rFonts w:ascii="Palatino Linotype" w:eastAsia="Palatino Linotype" w:hAnsi="Palatino Linotype" w:cs="Palatino Linotype"/>
          <w:b/>
          <w:u w:val="single"/>
        </w:rPr>
        <w:t>únicamente inciden en su vida privada</w:t>
      </w:r>
      <w:r w:rsidRPr="00606199">
        <w:rPr>
          <w:rFonts w:ascii="Palatino Linotype" w:eastAsia="Palatino Linotype" w:hAnsi="Palatino Linotype" w:cs="Palatino Linotype"/>
        </w:rPr>
        <w:t xml:space="preserve">. De este modo, </w:t>
      </w:r>
      <w:r w:rsidRPr="00606199">
        <w:rPr>
          <w:rFonts w:ascii="Palatino Linotype" w:eastAsia="Palatino Linotype" w:hAnsi="Palatino Linotype" w:cs="Palatino Linotype"/>
          <w:color w:val="000000"/>
        </w:rPr>
        <w:t>descuentos</w:t>
      </w:r>
      <w:r w:rsidRPr="00606199">
        <w:rPr>
          <w:rFonts w:ascii="Palatino Linotype" w:eastAsia="Palatino Linotype" w:hAnsi="Palatino Linotype" w:cs="Palatino Linotype"/>
        </w:rPr>
        <w:t xml:space="preserve"> por pensiones alimenticias o créditos adquiridos con instituciones privadas o públicas pero que fueron contraídas en forma individual, son información que debe clasificarse como confidencial.</w:t>
      </w:r>
    </w:p>
    <w:p w:rsidR="000C75CA" w:rsidRPr="00606199" w:rsidRDefault="000C75CA" w:rsidP="000C75CA">
      <w:pPr>
        <w:tabs>
          <w:tab w:val="left" w:pos="284"/>
        </w:tabs>
        <w:spacing w:line="360" w:lineRule="auto"/>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w:t>
      </w:r>
      <w:r w:rsidRPr="00606199">
        <w:rPr>
          <w:rFonts w:ascii="Palatino Linotype" w:eastAsia="Palatino Linotype" w:hAnsi="Palatino Linotype" w:cs="Palatino Linotype"/>
          <w:color w:val="000000"/>
        </w:rPr>
        <w:t>vez</w:t>
      </w:r>
      <w:r w:rsidRPr="00606199">
        <w:rPr>
          <w:rFonts w:ascii="Palatino Linotype" w:eastAsia="Palatino Linotype" w:hAnsi="Palatino Linotype" w:cs="Palatino Linotype"/>
        </w:rPr>
        <w:t xml:space="preserve"> que los datos personales son irrenunciables, intransferibles e indelegables, por lo tanto los sujetos </w:t>
      </w:r>
      <w:r w:rsidRPr="00606199">
        <w:rPr>
          <w:rFonts w:ascii="Palatino Linotype" w:eastAsia="Palatino Linotype" w:hAnsi="Palatino Linotype" w:cs="Palatino Linotype"/>
        </w:rPr>
        <w:lastRenderedPageBreak/>
        <w:t>obligados no deben hacer entrega de éstos a persona ajena a su titular, sobre todo cuando traiga implícita que se ponga en riesgo la vida o integridad de una persona.</w:t>
      </w:r>
    </w:p>
    <w:p w:rsidR="000C75CA" w:rsidRPr="00606199" w:rsidRDefault="000C75CA" w:rsidP="000C75CA">
      <w:pPr>
        <w:tabs>
          <w:tab w:val="left" w:pos="284"/>
        </w:tabs>
        <w:spacing w:line="360" w:lineRule="auto"/>
        <w:jc w:val="both"/>
        <w:rPr>
          <w:rFonts w:ascii="Palatino Linotype" w:eastAsia="Palatino Linotype" w:hAnsi="Palatino Linotype" w:cs="Palatino Linotype"/>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hAnsi="Palatino Linotype"/>
          <w:lang w:val="es-ES"/>
        </w:rPr>
        <w:t>Sirven</w:t>
      </w:r>
      <w:r w:rsidRPr="00606199">
        <w:rPr>
          <w:rFonts w:ascii="Palatino Linotype" w:eastAsia="Palatino Linotype" w:hAnsi="Palatino Linotype" w:cs="Palatino Linotype"/>
        </w:rPr>
        <w:t xml:space="preserve"> de sustento a lo anterior, las tesis jurisprudenciales P. LX/2000 y 2a. XLIII/2008 emitidas por el Peno y la Segunda Sala de la Suprema Corte de Justicia de la Nación, respectivamente, que son del tenor literal siguiente:</w:t>
      </w:r>
    </w:p>
    <w:p w:rsidR="000C75CA" w:rsidRPr="00606199" w:rsidRDefault="000C75CA" w:rsidP="000C75CA">
      <w:pPr>
        <w:ind w:left="1134" w:right="851"/>
        <w:jc w:val="both"/>
        <w:rPr>
          <w:rFonts w:ascii="Palatino Linotype" w:eastAsia="Palatino Linotype" w:hAnsi="Palatino Linotype" w:cs="Palatino Linotype"/>
          <w:i/>
        </w:rPr>
      </w:pPr>
      <w:r w:rsidRPr="00606199">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606199">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606199">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606199">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606199">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606199">
        <w:rPr>
          <w:rFonts w:ascii="Palatino Linotype" w:eastAsia="Palatino Linotype" w:hAnsi="Palatino Linotype" w:cs="Palatino Linotype"/>
          <w:i/>
        </w:rPr>
        <w:t>.”</w:t>
      </w:r>
    </w:p>
    <w:p w:rsidR="000C75CA" w:rsidRPr="00606199" w:rsidRDefault="000C75CA" w:rsidP="000C75CA">
      <w:pPr>
        <w:ind w:left="1134" w:right="851"/>
        <w:jc w:val="both"/>
        <w:rPr>
          <w:rFonts w:ascii="Palatino Linotype" w:eastAsia="Palatino Linotype" w:hAnsi="Palatino Linotype" w:cs="Palatino Linotype"/>
          <w:i/>
        </w:rPr>
      </w:pPr>
    </w:p>
    <w:p w:rsidR="000C75CA" w:rsidRPr="00606199" w:rsidRDefault="000C75CA" w:rsidP="000C75CA">
      <w:pPr>
        <w:ind w:left="1134" w:right="851"/>
        <w:jc w:val="both"/>
        <w:rPr>
          <w:rFonts w:ascii="Palatino Linotype" w:eastAsia="Palatino Linotype" w:hAnsi="Palatino Linotype" w:cs="Palatino Linotype"/>
          <w:i/>
        </w:rPr>
      </w:pPr>
      <w:r w:rsidRPr="00606199">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606199">
        <w:rPr>
          <w:rFonts w:ascii="Palatino Linotype" w:eastAsia="Palatino Linotype" w:hAnsi="Palatino Linotype" w:cs="Palatino Linotype"/>
          <w:i/>
        </w:rPr>
        <w:t xml:space="preserve">El Tribunal en Pleno de la Suprema Corte de Justicia de la </w:t>
      </w:r>
      <w:r w:rsidRPr="00606199">
        <w:rPr>
          <w:rFonts w:ascii="Palatino Linotype" w:eastAsia="Palatino Linotype" w:hAnsi="Palatino Linotype" w:cs="Palatino Linotype"/>
          <w:i/>
        </w:rPr>
        <w:lastRenderedPageBreak/>
        <w:t xml:space="preserve">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606199">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606199">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0C75CA" w:rsidRPr="00606199" w:rsidRDefault="000C75CA" w:rsidP="000C75CA">
      <w:pPr>
        <w:ind w:left="1134" w:right="-929"/>
        <w:jc w:val="both"/>
        <w:rPr>
          <w:rFonts w:ascii="Palatino Linotype" w:eastAsia="Palatino Linotype" w:hAnsi="Palatino Linotype" w:cs="Palatino Linotype"/>
          <w:i/>
        </w:rPr>
      </w:pPr>
    </w:p>
    <w:p w:rsidR="000C75CA" w:rsidRPr="00606199" w:rsidRDefault="000C75CA" w:rsidP="000C75CA">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También, el número de cuenta bancario, en el Criterio 10/17 emitido por el Pleno del </w:t>
      </w:r>
      <w:r w:rsidRPr="00606199">
        <w:rPr>
          <w:rFonts w:ascii="Palatino Linotype" w:eastAsia="Palatino Linotype" w:hAnsi="Palatino Linotype" w:cs="Palatino Linotype"/>
          <w:color w:val="000000"/>
        </w:rPr>
        <w:t>Instituto</w:t>
      </w:r>
      <w:r w:rsidRPr="00606199">
        <w:rPr>
          <w:rFonts w:ascii="Palatino Linotype" w:eastAsia="Palatino Linotype" w:hAnsi="Palatino Linotype" w:cs="Palatino Linotype"/>
        </w:rPr>
        <w:t xml:space="preserve"> Nacional de Transparencia, Acceso a la Información y Protección de Datos Personales  se establece lo siguiente:</w:t>
      </w:r>
    </w:p>
    <w:p w:rsidR="000C75CA" w:rsidRPr="00606199" w:rsidRDefault="000C75CA" w:rsidP="000C75CA">
      <w:pPr>
        <w:shd w:val="clear" w:color="auto" w:fill="FFFFFF"/>
        <w:ind w:left="1134" w:right="851"/>
        <w:jc w:val="both"/>
        <w:rPr>
          <w:rFonts w:ascii="Palatino Linotype" w:eastAsia="Palatino Linotype" w:hAnsi="Palatino Linotype" w:cs="Palatino Linotype"/>
        </w:rPr>
      </w:pPr>
      <w:r w:rsidRPr="00606199">
        <w:rPr>
          <w:rFonts w:ascii="Palatino Linotype" w:eastAsia="Palatino Linotype" w:hAnsi="Palatino Linotype" w:cs="Palatino Linotype"/>
        </w:rPr>
        <w:t>“</w:t>
      </w:r>
      <w:r w:rsidRPr="00606199">
        <w:rPr>
          <w:rFonts w:ascii="Palatino Linotype" w:eastAsia="Palatino Linotype" w:hAnsi="Palatino Linotype" w:cs="Palatino Linotype"/>
          <w:b/>
          <w:i/>
        </w:rPr>
        <w:t>Cuentas bancarias y/o CLABE interbancaria de personas físicas y morales privadas.</w:t>
      </w:r>
      <w:r w:rsidRPr="00606199">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606199">
        <w:rPr>
          <w:rFonts w:ascii="Palatino Linotype" w:eastAsia="Palatino Linotype" w:hAnsi="Palatino Linotype" w:cs="Palatino Linotype"/>
        </w:rPr>
        <w:t>.”</w:t>
      </w:r>
    </w:p>
    <w:p w:rsidR="00437FFC" w:rsidRPr="00606199" w:rsidRDefault="000C75CA" w:rsidP="007C2E8B">
      <w:pPr>
        <w:numPr>
          <w:ilvl w:val="0"/>
          <w:numId w:val="8"/>
        </w:numPr>
        <w:spacing w:line="360" w:lineRule="auto"/>
        <w:ind w:left="0" w:firstLine="0"/>
        <w:jc w:val="both"/>
        <w:rPr>
          <w:rFonts w:ascii="Palatino Linotype" w:eastAsia="Palatino Linotype" w:hAnsi="Palatino Linotype" w:cs="Palatino Linotype"/>
        </w:rPr>
      </w:pPr>
      <w:bookmarkStart w:id="7" w:name="_GoBack"/>
      <w:bookmarkEnd w:id="7"/>
      <w:r w:rsidRPr="00606199">
        <w:rPr>
          <w:rFonts w:ascii="Palatino Linotype" w:eastAsia="Palatino Linotype" w:hAnsi="Palatino Linotype" w:cs="Palatino Linotype"/>
        </w:rPr>
        <w:lastRenderedPageBreak/>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403C36" w:rsidRPr="00606199" w:rsidRDefault="00403C36" w:rsidP="00403C36">
      <w:pPr>
        <w:spacing w:line="360" w:lineRule="auto"/>
        <w:jc w:val="both"/>
        <w:rPr>
          <w:rFonts w:ascii="Palatino Linotype" w:eastAsia="Palatino Linotype" w:hAnsi="Palatino Linotype" w:cs="Palatino Linotype"/>
        </w:rPr>
      </w:pPr>
    </w:p>
    <w:p w:rsidR="00403C36" w:rsidRPr="00606199" w:rsidRDefault="00403C36" w:rsidP="00403C36">
      <w:pPr>
        <w:numPr>
          <w:ilvl w:val="0"/>
          <w:numId w:val="8"/>
        </w:numPr>
        <w:spacing w:line="360" w:lineRule="auto"/>
        <w:ind w:left="0" w:firstLine="0"/>
        <w:jc w:val="both"/>
        <w:rPr>
          <w:rFonts w:ascii="Palatino Linotype" w:eastAsia="Palatino Linotype" w:hAnsi="Palatino Linotype" w:cs="Palatino Linotype"/>
          <w:b/>
          <w:i/>
        </w:rPr>
      </w:pPr>
      <w:r w:rsidRPr="00606199">
        <w:rPr>
          <w:rFonts w:ascii="Palatino Linotype" w:eastAsia="Palatino Linotype" w:hAnsi="Palatino Linotype" w:cs="Palatino Linotype"/>
        </w:rPr>
        <w:t xml:space="preserve">Por otro lado se debe de establecer que si bien es cierto el </w:t>
      </w:r>
      <w:r w:rsidRPr="00606199">
        <w:rPr>
          <w:rFonts w:ascii="Palatino Linotype" w:eastAsia="Palatino Linotype" w:hAnsi="Palatino Linotype" w:cs="Palatino Linotype"/>
          <w:b/>
        </w:rPr>
        <w:t xml:space="preserve">RECURRENTE </w:t>
      </w:r>
      <w:r w:rsidRPr="00606199">
        <w:rPr>
          <w:rFonts w:ascii="Palatino Linotype" w:eastAsia="Palatino Linotype" w:hAnsi="Palatino Linotype" w:cs="Palatino Linotype"/>
        </w:rPr>
        <w:t xml:space="preserve">no solicita información del personal de seguridad, también lo es que la conciliación de nómina se integra por todos los servidores públicos dados de alta en el </w:t>
      </w:r>
      <w:r w:rsidRPr="00606199">
        <w:rPr>
          <w:rFonts w:ascii="Palatino Linotype" w:eastAsia="Palatino Linotype" w:hAnsi="Palatino Linotype" w:cs="Palatino Linotype"/>
          <w:b/>
        </w:rPr>
        <w:t xml:space="preserve">SUJETO OBLIGADO </w:t>
      </w:r>
      <w:r w:rsidRPr="00606199">
        <w:rPr>
          <w:rFonts w:ascii="Palatino Linotype" w:eastAsia="Palatino Linotype" w:hAnsi="Palatino Linotype" w:cs="Palatino Linotype"/>
        </w:rPr>
        <w:t xml:space="preserve">situación por la cual el </w:t>
      </w:r>
      <w:r w:rsidRPr="00606199">
        <w:rPr>
          <w:rFonts w:ascii="Palatino Linotype" w:eastAsia="Palatino Linotype" w:hAnsi="Palatino Linotype" w:cs="Palatino Linotype"/>
          <w:b/>
        </w:rPr>
        <w:t xml:space="preserve">SUJETO </w:t>
      </w:r>
      <w:r w:rsidRPr="00606199">
        <w:rPr>
          <w:rFonts w:ascii="Palatino Linotype" w:eastAsia="Palatino Linotype" w:hAnsi="Palatino Linotype" w:cs="Palatino Linotype"/>
          <w:color w:val="000000"/>
        </w:rPr>
        <w:t>OBLIGADO</w:t>
      </w:r>
      <w:r w:rsidRPr="00606199">
        <w:rPr>
          <w:rFonts w:ascii="Palatino Linotype" w:eastAsia="Palatino Linotype" w:hAnsi="Palatino Linotype" w:cs="Palatino Linotype"/>
          <w:b/>
        </w:rPr>
        <w:t xml:space="preserve"> </w:t>
      </w:r>
      <w:r w:rsidRPr="00606199">
        <w:rPr>
          <w:rFonts w:ascii="Palatino Linotype" w:eastAsia="Palatino Linotype" w:hAnsi="Palatino Linotype" w:cs="Palatino Linotype"/>
        </w:rPr>
        <w:t xml:space="preserve">deberá de proceder a la clasificación del nombre del personal Operativo adscrito a la </w:t>
      </w:r>
      <w:r w:rsidRPr="00606199">
        <w:rPr>
          <w:rFonts w:ascii="Palatino Linotype" w:eastAsia="Palatino Linotype" w:hAnsi="Palatino Linotype" w:cs="Palatino Linotype"/>
          <w:b/>
          <w:i/>
        </w:rPr>
        <w:t>Dirección de Seguridad Pública y Vialidad</w:t>
      </w:r>
      <w:r w:rsidRPr="00606199">
        <w:rPr>
          <w:rFonts w:ascii="Palatino Linotype" w:eastAsia="Palatino Linotype" w:hAnsi="Palatino Linotype" w:cs="Palatino Linotype"/>
        </w:rPr>
        <w:t xml:space="preserve">, de acuerdo con lo siguiente. </w:t>
      </w:r>
    </w:p>
    <w:p w:rsidR="00403C36" w:rsidRPr="00606199" w:rsidRDefault="00403C36" w:rsidP="00403C36">
      <w:pPr>
        <w:rPr>
          <w:rFonts w:ascii="Palatino Linotype" w:eastAsia="Palatino Linotype" w:hAnsi="Palatino Linotype" w:cs="Palatino Linotype"/>
          <w:b/>
          <w:i/>
        </w:rPr>
      </w:pPr>
    </w:p>
    <w:p w:rsidR="00403C36" w:rsidRPr="00606199" w:rsidRDefault="00403C36" w:rsidP="00403C36">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En ese orden de ideas si bien por regla general los nombres de los trabajadores gubernamentales son información pública de oficio, existe una excepción relativa a aquellos que </w:t>
      </w:r>
      <w:r w:rsidRPr="00606199">
        <w:rPr>
          <w:rFonts w:ascii="Palatino Linotype" w:eastAsia="Palatino Linotype" w:hAnsi="Palatino Linotype" w:cs="Palatino Linotype"/>
        </w:rPr>
        <w:t>realicen</w:t>
      </w:r>
      <w:r w:rsidRPr="00606199">
        <w:rPr>
          <w:rFonts w:ascii="Palatino Linotype" w:eastAsia="Palatino Linotype" w:hAnsi="Palatino Linotype" w:cs="Palatino Linotype"/>
          <w:color w:val="000000"/>
        </w:rPr>
        <w:t xml:space="preserve"> </w:t>
      </w:r>
      <w:r w:rsidRPr="00606199">
        <w:rPr>
          <w:rFonts w:ascii="Palatino Linotype" w:eastAsia="Palatino Linotype" w:hAnsi="Palatino Linotype" w:cs="Palatino Linotype"/>
          <w:b/>
          <w:color w:val="000000"/>
        </w:rPr>
        <w:t>actividades operativas en materia de seguridad</w:t>
      </w:r>
      <w:r w:rsidRPr="00606199">
        <w:rPr>
          <w:rFonts w:ascii="Palatino Linotype" w:eastAsia="Palatino Linotype" w:hAnsi="Palatino Linotype" w:cs="Palatino Linotype"/>
          <w:color w:val="000000"/>
        </w:rPr>
        <w:t>, como es el caso de los elementos operativos y la policía municipal.</w:t>
      </w:r>
    </w:p>
    <w:p w:rsidR="00403C36" w:rsidRPr="00606199" w:rsidRDefault="00403C36" w:rsidP="00403C36">
      <w:pPr>
        <w:pBdr>
          <w:top w:val="nil"/>
          <w:left w:val="nil"/>
          <w:bottom w:val="nil"/>
          <w:right w:val="nil"/>
          <w:between w:val="nil"/>
        </w:pBdr>
        <w:ind w:left="720"/>
        <w:rPr>
          <w:rFonts w:ascii="Palatino Linotype" w:eastAsia="Palatino Linotype" w:hAnsi="Palatino Linotype" w:cs="Palatino Linotype"/>
          <w:color w:val="000000"/>
        </w:rPr>
      </w:pPr>
    </w:p>
    <w:p w:rsidR="00403C36" w:rsidRPr="00606199" w:rsidRDefault="00403C36" w:rsidP="00403C36">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w:t>
      </w:r>
      <w:r w:rsidRPr="00606199">
        <w:rPr>
          <w:rFonts w:ascii="Palatino Linotype" w:eastAsia="Palatino Linotype" w:hAnsi="Palatino Linotype" w:cs="Palatino Linotype"/>
        </w:rPr>
        <w:t>que</w:t>
      </w:r>
      <w:r w:rsidRPr="00606199">
        <w:rPr>
          <w:rFonts w:ascii="Palatino Linotype" w:eastAsia="Palatino Linotype" w:hAnsi="Palatino Linotype" w:cs="Palatino Linotype"/>
          <w:color w:val="000000"/>
        </w:rPr>
        <w:t xml:space="preserve"> lleve a cabo actividades de prevención y salvaguarda de la integridad </w:t>
      </w:r>
      <w:r w:rsidRPr="00606199">
        <w:rPr>
          <w:rFonts w:ascii="Palatino Linotype" w:eastAsia="Palatino Linotype" w:hAnsi="Palatino Linotype" w:cs="Palatino Linotype"/>
          <w:color w:val="000000"/>
        </w:rPr>
        <w:lastRenderedPageBreak/>
        <w:t>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403C36" w:rsidRPr="00606199" w:rsidRDefault="00403C36" w:rsidP="00403C3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03C36" w:rsidRPr="00606199" w:rsidRDefault="00403C36" w:rsidP="00403C36">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De tal situación, se considera que dar a conocer el nombre de los elementos operativos, que incluye a los policías municipales, puede poner en riesgo la vida, seguridad y salud de estos, de </w:t>
      </w:r>
      <w:r w:rsidRPr="00606199">
        <w:rPr>
          <w:rFonts w:ascii="Palatino Linotype" w:eastAsia="Palatino Linotype" w:hAnsi="Palatino Linotype" w:cs="Palatino Linotype"/>
        </w:rPr>
        <w:t>sus</w:t>
      </w:r>
      <w:r w:rsidRPr="00606199">
        <w:rPr>
          <w:rFonts w:ascii="Palatino Linotype" w:eastAsia="Palatino Linotype" w:hAnsi="Palatino Linotype" w:cs="Palatino Linotype"/>
          <w:color w:val="000000"/>
        </w:rPr>
        <w:t xml:space="preserve">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403C36" w:rsidRPr="00606199" w:rsidRDefault="00403C36" w:rsidP="00403C3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03C36" w:rsidRPr="00606199" w:rsidRDefault="00403C36" w:rsidP="00403C36">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color w:val="000000"/>
        </w:rPr>
        <w:t>Por</w:t>
      </w:r>
      <w:r w:rsidRPr="00606199">
        <w:rPr>
          <w:rFonts w:ascii="Palatino Linotype" w:eastAsia="Palatino Linotype" w:hAnsi="Palatino Linotype" w:cs="Palatino Linotype"/>
        </w:rPr>
        <w:t xml:space="preserve"> </w:t>
      </w:r>
      <w:r w:rsidRPr="00606199">
        <w:rPr>
          <w:rFonts w:ascii="Palatino Linotype" w:eastAsia="Palatino Linotype" w:hAnsi="Palatino Linotype" w:cs="Palatino Linotype"/>
          <w:color w:val="000000"/>
        </w:rPr>
        <w:t>tales</w:t>
      </w:r>
      <w:r w:rsidRPr="00606199">
        <w:rPr>
          <w:rFonts w:ascii="Palatino Linotype" w:eastAsia="Palatino Linotype" w:hAnsi="Palatino Linotype" w:cs="Palatino Linotype"/>
        </w:rPr>
        <w:t xml:space="preserve"> consideraciones, resulta procedente la reserva del </w:t>
      </w:r>
      <w:r w:rsidRPr="00606199">
        <w:rPr>
          <w:rFonts w:ascii="Palatino Linotype" w:eastAsia="Palatino Linotype" w:hAnsi="Palatino Linotype" w:cs="Palatino Linotype"/>
          <w:b/>
        </w:rPr>
        <w:t>nombre de los elementos operativos</w:t>
      </w:r>
      <w:r w:rsidRPr="00606199">
        <w:rPr>
          <w:rFonts w:ascii="Palatino Linotype" w:eastAsia="Palatino Linotype" w:hAnsi="Palatino Linotype" w:cs="Palatino Linotype"/>
        </w:rPr>
        <w:t xml:space="preserve"> de la Dirección de Seguridad Pública Municipal, en términos del artículo </w:t>
      </w:r>
      <w:r w:rsidRPr="00606199">
        <w:rPr>
          <w:rFonts w:ascii="Palatino Linotype" w:eastAsia="Palatino Linotype" w:hAnsi="Palatino Linotype" w:cs="Palatino Linotype"/>
          <w:color w:val="000000"/>
        </w:rPr>
        <w:t>140</w:t>
      </w:r>
      <w:r w:rsidRPr="00606199">
        <w:rPr>
          <w:rFonts w:ascii="Palatino Linotype" w:eastAsia="Palatino Linotype" w:hAnsi="Palatino Linotype" w:cs="Palatino Linotype"/>
        </w:rPr>
        <w:t>, fracción IV, de la Ley de Transparencia y Acceso a la Información Pública del Estado de México y Municipios.</w:t>
      </w:r>
    </w:p>
    <w:p w:rsidR="005228C1" w:rsidRPr="00606199" w:rsidRDefault="005228C1" w:rsidP="005228C1">
      <w:pPr>
        <w:pStyle w:val="Prrafodelista"/>
        <w:rPr>
          <w:rFonts w:ascii="Palatino Linotype" w:eastAsia="Palatino Linotype" w:hAnsi="Palatino Linotype" w:cs="Palatino Linotype"/>
        </w:rPr>
      </w:pPr>
    </w:p>
    <w:p w:rsidR="005228C1" w:rsidRPr="00606199" w:rsidRDefault="005228C1" w:rsidP="00403C36">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Finalmente, se debe de señalar que si bien es cierto </w:t>
      </w:r>
      <w:r w:rsidR="00EC7A85" w:rsidRPr="00606199">
        <w:rPr>
          <w:rFonts w:ascii="Palatino Linotype" w:eastAsia="Palatino Linotype" w:hAnsi="Palatino Linotype" w:cs="Palatino Linotype"/>
        </w:rPr>
        <w:t xml:space="preserve">el </w:t>
      </w:r>
      <w:r w:rsidR="00EC7A85" w:rsidRPr="00606199">
        <w:rPr>
          <w:rFonts w:ascii="Palatino Linotype" w:eastAsia="Palatino Linotype" w:hAnsi="Palatino Linotype" w:cs="Palatino Linotype"/>
          <w:b/>
        </w:rPr>
        <w:t xml:space="preserve">SUJETO OBLIGADO </w:t>
      </w:r>
      <w:r w:rsidR="00EC7A85" w:rsidRPr="00606199">
        <w:rPr>
          <w:rFonts w:ascii="Palatino Linotype" w:eastAsia="Palatino Linotype" w:hAnsi="Palatino Linotype" w:cs="Palatino Linotype"/>
        </w:rPr>
        <w:t xml:space="preserve">clasifico como reservada la información del personal operativo, también lo es que no remitió el Acta del Comité de Transparencia, mediante la cual se aprobó la reserva de la información, situación por la cual se hace el siguiente </w:t>
      </w:r>
      <w:r w:rsidR="00600687" w:rsidRPr="00606199">
        <w:rPr>
          <w:rFonts w:ascii="Palatino Linotype" w:eastAsia="Palatino Linotype" w:hAnsi="Palatino Linotype" w:cs="Palatino Linotype"/>
        </w:rPr>
        <w:t>análisis</w:t>
      </w:r>
      <w:r w:rsidR="00EC7A85" w:rsidRPr="00606199">
        <w:rPr>
          <w:rFonts w:ascii="Palatino Linotype" w:eastAsia="Palatino Linotype" w:hAnsi="Palatino Linotype" w:cs="Palatino Linotype"/>
        </w:rPr>
        <w:t xml:space="preserve">. </w:t>
      </w:r>
    </w:p>
    <w:p w:rsidR="00EC7A85" w:rsidRPr="00606199" w:rsidRDefault="00EC7A85" w:rsidP="00EC7A85">
      <w:pPr>
        <w:pStyle w:val="Prrafodelista"/>
        <w:rPr>
          <w:rFonts w:ascii="Palatino Linotype" w:eastAsia="Palatino Linotype" w:hAnsi="Palatino Linotype" w:cs="Palatino Linotype"/>
        </w:rPr>
      </w:pPr>
    </w:p>
    <w:p w:rsidR="00AF4F73" w:rsidRPr="00606199" w:rsidRDefault="00AF4F73" w:rsidP="00AF4F73">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lastRenderedPageBreak/>
        <w:t xml:space="preserve">En esa línea se determina que de acuerdo con  la Ley de Transparencia y Acceso a la Información Pública del Estado de México y Municipios, regula lo siguiente en cuanto a la clasificación de la información. </w:t>
      </w:r>
    </w:p>
    <w:p w:rsidR="00AF4F73" w:rsidRPr="00606199" w:rsidRDefault="00AF4F73" w:rsidP="00AF4F73">
      <w:pPr>
        <w:pBdr>
          <w:top w:val="nil"/>
          <w:left w:val="nil"/>
          <w:bottom w:val="nil"/>
          <w:right w:val="nil"/>
          <w:between w:val="nil"/>
        </w:pBdr>
        <w:ind w:left="720"/>
        <w:rPr>
          <w:rFonts w:ascii="Palatino Linotype" w:eastAsia="Palatino Linotype" w:hAnsi="Palatino Linotype" w:cs="Palatino Linotype"/>
          <w:color w:val="000000"/>
        </w:rPr>
      </w:pPr>
    </w:p>
    <w:p w:rsidR="00AF4F73" w:rsidRPr="00606199" w:rsidRDefault="00AF4F73" w:rsidP="00AF4F73">
      <w:pPr>
        <w:ind w:left="1134" w:right="900"/>
        <w:jc w:val="both"/>
        <w:rPr>
          <w:rFonts w:ascii="Palatino Linotype" w:eastAsia="Palatino Linotype" w:hAnsi="Palatino Linotype" w:cs="Palatino Linotype"/>
          <w:i/>
        </w:rPr>
      </w:pPr>
      <w:r w:rsidRPr="00606199">
        <w:rPr>
          <w:rFonts w:ascii="Palatino Linotype" w:eastAsia="Palatino Linotype" w:hAnsi="Palatino Linotype" w:cs="Palatino Linotype"/>
          <w:i/>
        </w:rPr>
        <w:t xml:space="preserve">Artículo 49. Los Comités de Transparencia tendrán las siguientes atribuciones: </w:t>
      </w:r>
    </w:p>
    <w:p w:rsidR="00AF4F73" w:rsidRPr="00606199" w:rsidRDefault="00AF4F73" w:rsidP="00AF4F73">
      <w:pPr>
        <w:numPr>
          <w:ilvl w:val="0"/>
          <w:numId w:val="12"/>
        </w:numPr>
        <w:pBdr>
          <w:top w:val="nil"/>
          <w:left w:val="nil"/>
          <w:bottom w:val="nil"/>
          <w:right w:val="nil"/>
          <w:between w:val="nil"/>
        </w:pBdr>
        <w:ind w:left="1134" w:right="900" w:firstLine="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Instituir, coordinar y supervisar en términos de las disposiciones aplicables, las acciones, medidas y procedimientos que coadyuven a asegurar una mayor eficacia en la gestión y atención de las solicitudes en materia de acceso a la información;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606199">
        <w:rPr>
          <w:rFonts w:ascii="Palatino Linotype" w:eastAsia="Palatino Linotype" w:hAnsi="Palatino Linotype" w:cs="Palatino Linotype"/>
          <w:b/>
          <w:i/>
          <w:color w:val="000000"/>
        </w:rPr>
        <w:t xml:space="preserve">II. Confirmar, modificar o revocar las determinaciones que en materia de ampliación del plazo de respuesta, clasificación de la información y declaración de inexistencia o de incompetencia realicen los titulares de las áreas de los sujetos obligados;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IV. Establecer políticas para facilitar la obtención y entrega de información en las solicitudes que permita el adecuado ejercicio del derecho de acceso a la información;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V. Promover la capacitación y actualización de los servidores públicos o integrantes adscritos a las unidades de transparencia;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VI. Establecer programas de capacitación en materia de transparencia, acceso a la información, accesibilidad y protección de datos personales, para todos los servidores públicos o integrantes del sujeto obligado;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VII. Solicitar y autorizar la ampliación del plazo de reserva de la información a que se refiere esta Ley;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606199">
        <w:rPr>
          <w:rFonts w:ascii="Palatino Linotype" w:eastAsia="Palatino Linotype" w:hAnsi="Palatino Linotype" w:cs="Palatino Linotype"/>
          <w:b/>
          <w:i/>
          <w:color w:val="000000"/>
        </w:rPr>
        <w:t>VIII. Aprobar, modificar o revocar la clasificación de la información</w:t>
      </w:r>
      <w:r w:rsidRPr="00606199">
        <w:rPr>
          <w:rFonts w:eastAsia="Calibri"/>
          <w:b/>
          <w:i/>
          <w:color w:val="000000"/>
        </w:rPr>
        <w:t xml:space="preserve">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IX. Supervisar la aplicación de los lineamientos en materia de acceso a la información pública para el manejo, mantenimiento y seguridad de los datos personales, así como de los criterios de clasificación expedidos por el Instituto;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X. Elaborar un programa para facilitar la sistematización y actualización de la información, mismo que deberá remitirse al Instituto dentro de los primeros veinte días de cada año;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XI. Recabar y enviar al Instituto, de conformidad con los lineamientos que éste expida, los datos necesarios para la elaboración del informe anual;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lastRenderedPageBreak/>
        <w:t xml:space="preserve">XII. Emitir las resoluciones que correspondan para la atención de las solicitudes de información;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XIII. Dictaminar las declaratorias de inexistencia de la información que les remitan las unidades administrativas y resolver en consecuencia;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XIV. Supervisar el registro y actualización de las solicitudes de acceso a la información, así como sus trámites, costos y resultados;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XV. Fomentar la cultura de transparencia;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XVI. Supervisar el cumplimiento de criterios y lineamientos en materia de información clasificada;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XVII. Vigilar el cumplimiento de las resoluciones y recomendaciones que emita el Instituto; y </w:t>
      </w:r>
    </w:p>
    <w:p w:rsidR="00AF4F73" w:rsidRPr="00606199" w:rsidRDefault="00AF4F73" w:rsidP="00AF4F73">
      <w:pPr>
        <w:pBdr>
          <w:top w:val="nil"/>
          <w:left w:val="nil"/>
          <w:bottom w:val="nil"/>
          <w:right w:val="nil"/>
          <w:between w:val="nil"/>
        </w:pBdr>
        <w:ind w:left="1134" w:right="900"/>
        <w:jc w:val="both"/>
        <w:rPr>
          <w:rFonts w:eastAsia="Calibri"/>
          <w:color w:val="000000"/>
        </w:rPr>
      </w:pPr>
      <w:r w:rsidRPr="00606199">
        <w:rPr>
          <w:rFonts w:ascii="Palatino Linotype" w:eastAsia="Palatino Linotype" w:hAnsi="Palatino Linotype" w:cs="Palatino Linotype"/>
          <w:i/>
          <w:color w:val="000000"/>
        </w:rPr>
        <w:t>XVIII. Las demás que se desprendan de la presente Ley y las disposiciones jurídicas aplicables, que faciliten el acceso a la información.</w:t>
      </w:r>
      <w:r w:rsidRPr="00606199">
        <w:rPr>
          <w:rFonts w:eastAsia="Calibri"/>
          <w:color w:val="000000"/>
        </w:rPr>
        <w:t xml:space="preserve">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b/>
          <w:i/>
          <w:color w:val="000000"/>
        </w:rPr>
        <w:t>Artículo 53.</w:t>
      </w:r>
      <w:r w:rsidRPr="00606199">
        <w:rPr>
          <w:rFonts w:ascii="Palatino Linotype" w:eastAsia="Palatino Linotype" w:hAnsi="Palatino Linotype" w:cs="Palatino Linotype"/>
          <w:i/>
          <w:color w:val="000000"/>
        </w:rPr>
        <w:t xml:space="preserve"> Las Unidades de Transparencia tendrán las siguientes funciones: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AF4F73" w:rsidRPr="00606199" w:rsidRDefault="00AF4F73" w:rsidP="00AF4F73">
      <w:pPr>
        <w:pBdr>
          <w:top w:val="nil"/>
          <w:left w:val="nil"/>
          <w:bottom w:val="nil"/>
          <w:right w:val="nil"/>
          <w:between w:val="nil"/>
        </w:pBdr>
        <w:ind w:left="1134" w:right="900"/>
        <w:jc w:val="both"/>
        <w:rPr>
          <w:rFonts w:eastAsia="Calibri"/>
          <w:color w:val="000000"/>
        </w:rPr>
      </w:pPr>
      <w:r w:rsidRPr="00606199">
        <w:rPr>
          <w:rFonts w:ascii="Palatino Linotype" w:eastAsia="Palatino Linotype" w:hAnsi="Palatino Linotype" w:cs="Palatino Linotype"/>
          <w:i/>
          <w:color w:val="000000"/>
        </w:rPr>
        <w:t>II. Recibir, tramitar y dar respuesta a las solicitudes de acceso a la información;</w:t>
      </w:r>
      <w:r w:rsidRPr="00606199">
        <w:rPr>
          <w:rFonts w:eastAsia="Calibri"/>
          <w:color w:val="000000"/>
        </w:rPr>
        <w:t xml:space="preserve">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III Auxiliar a los particulares en la elaboración de solicitudes de acceso a la información y, en su caso, orientarlos sobre los sujetos obligados competentes conforme a la normatividad aplicable;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IV. Realizar, con efectividad, los trámites internos necesarios para la atención de las solicitudes de acceso a la información;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V. Entregar, en su caso, a los particulares la información solicitada;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VI. Efectuar las notificaciones a los solicitantes;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VII. Proponer al Comité de Transparencia, los procedimientos internos que aseguren la mayor eficiencia en la gestión de las solicitudes de acceso a la información, conforme a la normatividad aplicable;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VIII. Proponer a quien preside el Comité de Transparencia, personal habilitado que sea necesario para recibir y dar trámite a las solicitudes de acceso a la información;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606199">
        <w:rPr>
          <w:rFonts w:ascii="Palatino Linotype" w:eastAsia="Palatino Linotype" w:hAnsi="Palatino Linotype" w:cs="Palatino Linotype"/>
          <w:b/>
          <w:i/>
          <w:color w:val="000000"/>
        </w:rPr>
        <w:t xml:space="preserve">X. Presentar ante el Comité, el proyecto de clasificación de información;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lastRenderedPageBreak/>
        <w:t xml:space="preserve">XI. Promover e implementar políticas de transparencia proactiva procurando su accesibilidad;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XII. Fomentar la transparencia y accesibilidad al interior del sujeto obligado;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XIII. Hacer del conocimiento de la instancia competente la probable responsabilidad por el incumplimiento de las obligaciones previstas en la presente Ley; y</w:t>
      </w:r>
      <w:r w:rsidRPr="00606199">
        <w:rPr>
          <w:rFonts w:eastAsia="Calibri"/>
          <w:color w:val="000000"/>
        </w:rPr>
        <w:t xml:space="preserve"> </w:t>
      </w:r>
    </w:p>
    <w:p w:rsidR="00AF4F73" w:rsidRPr="00606199" w:rsidRDefault="00AF4F73" w:rsidP="00AF4F73">
      <w:pPr>
        <w:pBdr>
          <w:top w:val="nil"/>
          <w:left w:val="nil"/>
          <w:bottom w:val="nil"/>
          <w:right w:val="nil"/>
          <w:between w:val="nil"/>
        </w:pBdr>
        <w:ind w:left="1134" w:right="900"/>
        <w:jc w:val="both"/>
        <w:rPr>
          <w:rFonts w:eastAsia="Calibri"/>
          <w:color w:val="000000"/>
        </w:rPr>
      </w:pPr>
      <w:r w:rsidRPr="00606199">
        <w:rPr>
          <w:rFonts w:ascii="Palatino Linotype" w:eastAsia="Palatino Linotype" w:hAnsi="Palatino Linotype" w:cs="Palatino Linotype"/>
          <w:i/>
          <w:color w:val="000000"/>
        </w:rPr>
        <w:t>XIV. Las demás que resulten necesarias para facilitar el acceso a la información y aquellas que se desprenden de la presente Ley y demás disposiciones jurídicas aplicables.</w:t>
      </w:r>
      <w:r w:rsidRPr="00606199">
        <w:rPr>
          <w:rFonts w:eastAsia="Calibri"/>
          <w:color w:val="000000"/>
        </w:rPr>
        <w:t xml:space="preserve">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b/>
          <w:i/>
          <w:color w:val="000000"/>
        </w:rPr>
        <w:t>Artículo 59.</w:t>
      </w:r>
      <w:r w:rsidRPr="00606199">
        <w:rPr>
          <w:rFonts w:ascii="Palatino Linotype" w:eastAsia="Palatino Linotype" w:hAnsi="Palatino Linotype" w:cs="Palatino Linotype"/>
          <w:i/>
          <w:color w:val="000000"/>
        </w:rPr>
        <w:t xml:space="preserve"> Los servidores públicos habilitados tendrán las funciones siguientes: </w:t>
      </w:r>
    </w:p>
    <w:p w:rsidR="00AF4F73" w:rsidRPr="00606199" w:rsidRDefault="00AF4F73" w:rsidP="00AF4F73">
      <w:pPr>
        <w:numPr>
          <w:ilvl w:val="0"/>
          <w:numId w:val="13"/>
        </w:numPr>
        <w:pBdr>
          <w:top w:val="nil"/>
          <w:left w:val="nil"/>
          <w:bottom w:val="nil"/>
          <w:right w:val="nil"/>
          <w:between w:val="nil"/>
        </w:pBdr>
        <w:ind w:left="1134" w:right="900" w:firstLine="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Localizar la información que le solicite la Unidad de Transparencia;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II. Proporcionar la información que obre en los archivos y que le sea solicitada por la Unidad de Transparencia;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III. Apoyar a la Unidad de Transparencia en lo que esta le solicite para el cumplimiento de sus funciones;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IV. Proporcionar a la Unidad de Transparencia, las modificaciones a la información pública de oficio que obre en su poder;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606199">
        <w:rPr>
          <w:rFonts w:ascii="Palatino Linotype" w:eastAsia="Palatino Linotype" w:hAnsi="Palatino Linotype" w:cs="Palatino Linotype"/>
          <w:b/>
          <w:i/>
          <w:color w:val="000000"/>
        </w:rPr>
        <w:t xml:space="preserve">V. Integrar y presentar al responsable de la Unidad de Transparencia la propuesta de clasificación de información, la cual tendrá los fundamentos y argumentos en que se basa dicha propuesta;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VI. Verificar, una vez analizado el contenido de la información, que no se encuentre en los supuestos de información clasificada; y </w:t>
      </w:r>
    </w:p>
    <w:p w:rsidR="00AF4F73" w:rsidRPr="00606199" w:rsidRDefault="00AF4F73" w:rsidP="00AF4F73">
      <w:pPr>
        <w:pBdr>
          <w:top w:val="nil"/>
          <w:left w:val="nil"/>
          <w:bottom w:val="nil"/>
          <w:right w:val="nil"/>
          <w:between w:val="nil"/>
        </w:pBdr>
        <w:ind w:left="1134" w:right="900"/>
        <w:jc w:val="both"/>
        <w:rPr>
          <w:rFonts w:eastAsia="Calibri"/>
          <w:color w:val="000000"/>
        </w:rPr>
      </w:pPr>
      <w:r w:rsidRPr="00606199">
        <w:rPr>
          <w:rFonts w:ascii="Palatino Linotype" w:eastAsia="Palatino Linotype" w:hAnsi="Palatino Linotype" w:cs="Palatino Linotype"/>
          <w:i/>
          <w:color w:val="000000"/>
        </w:rPr>
        <w:t>VII. Dar cuenta a la Unidad de Transparencia del vencimiento de los plazos de reserva.</w:t>
      </w:r>
      <w:r w:rsidRPr="00606199">
        <w:rPr>
          <w:rFonts w:eastAsia="Calibri"/>
          <w:color w:val="000000"/>
        </w:rPr>
        <w:t xml:space="preserve">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b/>
          <w:i/>
          <w:color w:val="000000"/>
        </w:rPr>
        <w:t>Artículo 122. La clasificación es el proceso mediante el cual el sujeto obligado determina que la información en su poder actualiza alguno de los supuestos de reserva o confidencialidad, de conformidad con lo dispuesto en el presente título</w:t>
      </w:r>
      <w:r w:rsidRPr="00606199">
        <w:rPr>
          <w:rFonts w:ascii="Palatino Linotype" w:eastAsia="Palatino Linotype" w:hAnsi="Palatino Linotype" w:cs="Palatino Linotype"/>
          <w:i/>
          <w:color w:val="000000"/>
        </w:rPr>
        <w:t xml:space="preserve">.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 xml:space="preserve">Los supuestos de reserva o confidencialidad previstos en las leyes deberán ser acordes con las bases, principios y disposiciones establecidos en la Ley General y, en ningún caso, podrán contravenirla. </w:t>
      </w:r>
    </w:p>
    <w:p w:rsidR="00AF4F73" w:rsidRPr="00606199" w:rsidRDefault="00AF4F73" w:rsidP="00AF4F73">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606199">
        <w:rPr>
          <w:rFonts w:ascii="Palatino Linotype" w:eastAsia="Palatino Linotype" w:hAnsi="Palatino Linotype" w:cs="Palatino Linotype"/>
          <w:i/>
          <w:color w:val="000000"/>
        </w:rPr>
        <w:t>Los titulares de las áreas de los sujetos obligados serán los responsables de clasificar la información, de conformidad con lo dispuesto en la presente Ley y demás disposiciones jurídicas aplicables.</w:t>
      </w:r>
    </w:p>
    <w:p w:rsidR="00AF4F73" w:rsidRPr="00606199" w:rsidRDefault="00AF4F73" w:rsidP="00AF4F73">
      <w:pPr>
        <w:pBdr>
          <w:top w:val="nil"/>
          <w:left w:val="nil"/>
          <w:bottom w:val="nil"/>
          <w:right w:val="nil"/>
          <w:between w:val="nil"/>
        </w:pBdr>
        <w:rPr>
          <w:rFonts w:ascii="Palatino Linotype" w:eastAsia="Palatino Linotype" w:hAnsi="Palatino Linotype" w:cs="Palatino Linotype"/>
          <w:color w:val="000000"/>
        </w:rPr>
      </w:pPr>
    </w:p>
    <w:p w:rsidR="00AF4F73" w:rsidRPr="00606199" w:rsidRDefault="00AF4F73" w:rsidP="00AF4F73">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rPr>
        <w:lastRenderedPageBreak/>
        <w:t xml:space="preserve">De los artículos citados anteriormente, se colige que los Comités de Transparencia, las  Unidades de Transparencia y los Servidores Públicos Habilitados tiene la función de clasificar la información que obre en sus archivos ya se manera confidencial o </w:t>
      </w:r>
      <w:r w:rsidRPr="00606199">
        <w:rPr>
          <w:rFonts w:ascii="Palatino Linotype" w:eastAsia="Palatino Linotype" w:hAnsi="Palatino Linotype" w:cs="Palatino Linotype"/>
          <w:b/>
        </w:rPr>
        <w:t xml:space="preserve">reservada </w:t>
      </w:r>
      <w:r w:rsidRPr="00606199">
        <w:rPr>
          <w:rFonts w:ascii="Palatino Linotype" w:eastAsia="Palatino Linotype" w:hAnsi="Palatino Linotype" w:cs="Palatino Linotype"/>
        </w:rPr>
        <w:t xml:space="preserve">para velar y resguardar los datos que se consideré necesario hacerlo por su naturaleza como este caso los nombres del personal operativo del </w:t>
      </w:r>
      <w:r w:rsidRPr="00606199">
        <w:rPr>
          <w:rFonts w:ascii="Palatino Linotype" w:eastAsia="Palatino Linotype" w:hAnsi="Palatino Linotype" w:cs="Palatino Linotype"/>
          <w:b/>
          <w:color w:val="000000"/>
        </w:rPr>
        <w:t>Ayuntamiento de Tepetlixpa</w:t>
      </w:r>
      <w:r w:rsidRPr="00606199">
        <w:rPr>
          <w:rFonts w:ascii="Palatino Linotype" w:eastAsia="Palatino Linotype" w:hAnsi="Palatino Linotype" w:cs="Palatino Linotype"/>
        </w:rPr>
        <w:t xml:space="preserve">, mismo que tendrá su sustento y fundamentación en el Acta que emita el Comité de Transparencia. </w:t>
      </w:r>
    </w:p>
    <w:p w:rsidR="00B50F3B" w:rsidRPr="00606199" w:rsidRDefault="00B50F3B" w:rsidP="00B50F3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lang w:val="es-MX" w:eastAsia="es-MX"/>
        </w:rPr>
      </w:pPr>
    </w:p>
    <w:p w:rsidR="00B50F3B" w:rsidRPr="00606199" w:rsidRDefault="00B50F3B" w:rsidP="00B50F3B">
      <w:pPr>
        <w:spacing w:line="360" w:lineRule="auto"/>
        <w:jc w:val="both"/>
        <w:rPr>
          <w:rFonts w:ascii="Palatino Linotype" w:eastAsia="Palatino Linotype" w:hAnsi="Palatino Linotype" w:cs="Palatino Linotype"/>
        </w:rPr>
      </w:pPr>
      <w:r w:rsidRPr="00606199">
        <w:rPr>
          <w:rFonts w:ascii="Palatino Linotype" w:eastAsia="Palatino Linotype" w:hAnsi="Palatino Linotype" w:cs="Palatino Linotype"/>
          <w:b/>
        </w:rPr>
        <w:t>QUINTO. De la versión pública.</w:t>
      </w:r>
    </w:p>
    <w:p w:rsidR="00B50F3B" w:rsidRPr="00606199" w:rsidRDefault="00B50F3B" w:rsidP="00B50F3B">
      <w:pPr>
        <w:pStyle w:val="Ttulo1"/>
        <w:numPr>
          <w:ilvl w:val="0"/>
          <w:numId w:val="6"/>
        </w:numPr>
        <w:tabs>
          <w:tab w:val="left" w:pos="284"/>
        </w:tabs>
        <w:spacing w:before="0" w:line="360" w:lineRule="auto"/>
        <w:ind w:left="0" w:firstLine="0"/>
        <w:rPr>
          <w:rFonts w:ascii="Palatino Linotype" w:eastAsia="Palatino Linotype" w:hAnsi="Palatino Linotype" w:cs="Palatino Linotype"/>
          <w:b/>
          <w:color w:val="000000"/>
          <w:sz w:val="24"/>
          <w:szCs w:val="24"/>
        </w:rPr>
      </w:pPr>
      <w:bookmarkStart w:id="8" w:name="_heading=h.4hm3vlrjjcw2" w:colFirst="0" w:colLast="0"/>
      <w:bookmarkEnd w:id="8"/>
      <w:r w:rsidRPr="00606199">
        <w:rPr>
          <w:rFonts w:ascii="Palatino Linotype" w:eastAsia="Palatino Linotype" w:hAnsi="Palatino Linotype" w:cs="Palatino Linotype"/>
          <w:b/>
          <w:color w:val="000000"/>
          <w:sz w:val="24"/>
          <w:szCs w:val="24"/>
        </w:rPr>
        <w:t xml:space="preserve">Nociones generales. </w:t>
      </w: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rPr>
        <w:t>Debe</w:t>
      </w:r>
      <w:r w:rsidRPr="00606199">
        <w:rPr>
          <w:rFonts w:ascii="Palatino Linotype" w:eastAsia="Palatino Linotype" w:hAnsi="Palatino Linotype" w:cs="Palatino Linotype"/>
          <w:color w:val="000000"/>
        </w:rPr>
        <w:t xml:space="preserve"> </w:t>
      </w:r>
      <w:r w:rsidRPr="00606199">
        <w:rPr>
          <w:rFonts w:ascii="Palatino Linotype" w:eastAsia="Palatino Linotype" w:hAnsi="Palatino Linotype" w:cs="Palatino Linotype"/>
          <w:color w:val="000000"/>
          <w:highlight w:val="white"/>
        </w:rPr>
        <w:t>destacarse</w:t>
      </w:r>
      <w:r w:rsidRPr="00606199">
        <w:rPr>
          <w:rFonts w:ascii="Palatino Linotype" w:eastAsia="Palatino Linotype" w:hAnsi="Palatino Linotype" w:cs="Palatino Linotype"/>
          <w:color w:val="000000"/>
        </w:rPr>
        <w:t xml:space="preserve"> que, debido a la naturaleza de la información solicitada,</w:t>
      </w:r>
      <w:r w:rsidRPr="00606199">
        <w:rPr>
          <w:rFonts w:ascii="Palatino Linotype" w:eastAsia="Palatino Linotype" w:hAnsi="Palatino Linotype" w:cs="Palatino Linotype"/>
          <w:b/>
          <w:color w:val="000000"/>
        </w:rPr>
        <w:t xml:space="preserve"> </w:t>
      </w:r>
      <w:r w:rsidRPr="00606199">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606199">
        <w:rPr>
          <w:rFonts w:ascii="Palatino Linotype" w:eastAsia="Palatino Linotype" w:hAnsi="Palatino Linotype" w:cs="Palatino Linotype"/>
          <w:b/>
          <w:color w:val="000000"/>
        </w:rPr>
        <w:t xml:space="preserve">Sujeto Obligado </w:t>
      </w:r>
      <w:r w:rsidRPr="00606199">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B50F3B" w:rsidRPr="00606199" w:rsidRDefault="00B50F3B" w:rsidP="00B50F3B">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No pasa desapercibido para este Órgano Garante que los </w:t>
      </w:r>
      <w:r w:rsidRPr="00606199">
        <w:rPr>
          <w:rFonts w:ascii="Palatino Linotype" w:eastAsia="Palatino Linotype" w:hAnsi="Palatino Linotype" w:cs="Palatino Linotype"/>
          <w:b/>
          <w:color w:val="000000"/>
        </w:rPr>
        <w:t xml:space="preserve">Sujetos Obligados </w:t>
      </w:r>
      <w:r w:rsidRPr="00606199">
        <w:rPr>
          <w:rFonts w:ascii="Palatino Linotype" w:eastAsia="Palatino Linotype" w:hAnsi="Palatino Linotype" w:cs="Palatino Linotype"/>
          <w:color w:val="000000"/>
        </w:rPr>
        <w:t xml:space="preserve">serán responsables de los datos personales en su posesión y que, en caso de localizarse datos </w:t>
      </w:r>
      <w:r w:rsidRPr="00606199">
        <w:rPr>
          <w:rFonts w:ascii="Palatino Linotype" w:eastAsia="Palatino Linotype" w:hAnsi="Palatino Linotype" w:cs="Palatino Linotype"/>
        </w:rPr>
        <w:t>concernientes</w:t>
      </w:r>
      <w:r w:rsidRPr="00606199">
        <w:rPr>
          <w:rFonts w:ascii="Palatino Linotype" w:eastAsia="Palatino Linotype" w:hAnsi="Palatino Linotype" w:cs="Palatino Linotype"/>
          <w:color w:val="000000"/>
        </w:rPr>
        <w:t xml:space="preserve"> a </w:t>
      </w:r>
      <w:r w:rsidRPr="00606199">
        <w:rPr>
          <w:rFonts w:ascii="Palatino Linotype" w:eastAsia="Palatino Linotype" w:hAnsi="Palatino Linotype" w:cs="Palatino Linotype"/>
          <w:color w:val="000000"/>
          <w:highlight w:val="white"/>
        </w:rPr>
        <w:t>terceros</w:t>
      </w:r>
      <w:r w:rsidRPr="00606199">
        <w:rPr>
          <w:rFonts w:ascii="Palatino Linotype" w:eastAsia="Palatino Linotype" w:hAnsi="Palatino Linotype" w:cs="Palatino Linotype"/>
          <w:color w:val="000000"/>
        </w:rPr>
        <w:t>, éstos no podrán difundir, distribuir o comercializar los datos personales.  Cabe destacar que, para la realización de la clasificación de la información, se deben seguir una serie de pasos y procedimientos, por lo que es menester reiterar los mismos:</w:t>
      </w:r>
    </w:p>
    <w:p w:rsidR="00B50F3B" w:rsidRPr="00606199" w:rsidRDefault="00B50F3B" w:rsidP="00B50F3B">
      <w:pPr>
        <w:tabs>
          <w:tab w:val="left" w:pos="284"/>
        </w:tabs>
        <w:spacing w:line="360" w:lineRule="auto"/>
        <w:ind w:right="49"/>
        <w:jc w:val="both"/>
        <w:rPr>
          <w:rFonts w:ascii="Palatino Linotype" w:eastAsia="Palatino Linotype" w:hAnsi="Palatino Linotype" w:cs="Palatino Linotype"/>
          <w:color w:val="000000"/>
        </w:rPr>
      </w:pPr>
    </w:p>
    <w:tbl>
      <w:tblPr>
        <w:tblW w:w="9781"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52"/>
        <w:gridCol w:w="7229"/>
      </w:tblGrid>
      <w:tr w:rsidR="00B50F3B" w:rsidRPr="00606199" w:rsidTr="00606199">
        <w:tc>
          <w:tcPr>
            <w:tcW w:w="2552" w:type="dxa"/>
            <w:tcBorders>
              <w:top w:val="single" w:sz="4" w:space="0" w:color="BFBFBF"/>
              <w:left w:val="single" w:sz="4" w:space="0" w:color="BFBFBF"/>
              <w:bottom w:val="single" w:sz="4" w:space="0" w:color="BFBFBF"/>
              <w:right w:val="single" w:sz="4" w:space="0" w:color="BFBFBF"/>
            </w:tcBorders>
          </w:tcPr>
          <w:p w:rsidR="00B50F3B" w:rsidRPr="00606199" w:rsidRDefault="00B50F3B" w:rsidP="00C10D48">
            <w:pPr>
              <w:tabs>
                <w:tab w:val="left" w:pos="284"/>
              </w:tabs>
              <w:spacing w:line="360" w:lineRule="auto"/>
              <w:rPr>
                <w:rFonts w:ascii="Palatino Linotype" w:eastAsia="Palatino Linotype" w:hAnsi="Palatino Linotype" w:cs="Palatino Linotype"/>
              </w:rPr>
            </w:pPr>
            <w:r w:rsidRPr="00606199">
              <w:rPr>
                <w:rFonts w:ascii="Palatino Linotype" w:eastAsia="Palatino Linotype" w:hAnsi="Palatino Linotype" w:cs="Palatino Linotype"/>
              </w:rPr>
              <w:t>a) Requisitos previos.</w:t>
            </w:r>
          </w:p>
        </w:tc>
        <w:tc>
          <w:tcPr>
            <w:tcW w:w="7229" w:type="dxa"/>
            <w:tcBorders>
              <w:top w:val="single" w:sz="4" w:space="0" w:color="BFBFBF"/>
              <w:left w:val="single" w:sz="4" w:space="0" w:color="BFBFBF"/>
              <w:bottom w:val="single" w:sz="4" w:space="0" w:color="BFBFBF"/>
              <w:right w:val="single" w:sz="4" w:space="0" w:color="BFBFBF"/>
            </w:tcBorders>
          </w:tcPr>
          <w:p w:rsidR="00B50F3B" w:rsidRPr="00606199" w:rsidRDefault="00B50F3B" w:rsidP="00C10D48">
            <w:pPr>
              <w:tabs>
                <w:tab w:val="left" w:pos="284"/>
              </w:tabs>
              <w:spacing w:line="360" w:lineRule="auto"/>
              <w:ind w:right="49"/>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w:t>
            </w:r>
            <w:r w:rsidRPr="00606199">
              <w:rPr>
                <w:rFonts w:ascii="Palatino Linotype" w:eastAsia="Palatino Linotype" w:hAnsi="Palatino Linotype" w:cs="Palatino Linotype"/>
                <w:color w:val="000000"/>
              </w:rPr>
              <w:lastRenderedPageBreak/>
              <w:t xml:space="preserve">clasificación, es deber de los titulares de las áreas proponer su clasificación y no del Comité de Transparencia. </w:t>
            </w:r>
          </w:p>
          <w:p w:rsidR="00B50F3B" w:rsidRPr="00606199" w:rsidRDefault="00B50F3B" w:rsidP="00C10D48">
            <w:pPr>
              <w:tabs>
                <w:tab w:val="left" w:pos="284"/>
              </w:tabs>
              <w:spacing w:line="360" w:lineRule="auto"/>
              <w:ind w:right="49"/>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B50F3B" w:rsidRPr="00606199" w:rsidRDefault="00B50F3B" w:rsidP="00C10D48">
            <w:pPr>
              <w:tabs>
                <w:tab w:val="left" w:pos="284"/>
              </w:tabs>
              <w:spacing w:line="360" w:lineRule="auto"/>
              <w:ind w:right="49"/>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B50F3B" w:rsidRPr="00606199" w:rsidRDefault="00B50F3B" w:rsidP="00C10D48">
            <w:pPr>
              <w:tabs>
                <w:tab w:val="left" w:pos="284"/>
              </w:tabs>
              <w:spacing w:line="360" w:lineRule="auto"/>
              <w:jc w:val="both"/>
              <w:rPr>
                <w:rFonts w:ascii="Palatino Linotype" w:eastAsia="Palatino Linotype" w:hAnsi="Palatino Linotype" w:cs="Palatino Linotype"/>
              </w:rPr>
            </w:pPr>
            <w:r w:rsidRPr="00606199">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606199">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606199">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B50F3B" w:rsidRPr="00606199" w:rsidTr="00606199">
        <w:tc>
          <w:tcPr>
            <w:tcW w:w="2552" w:type="dxa"/>
            <w:tcBorders>
              <w:top w:val="single" w:sz="4" w:space="0" w:color="BFBFBF"/>
              <w:left w:val="single" w:sz="4" w:space="0" w:color="BFBFBF"/>
              <w:bottom w:val="single" w:sz="4" w:space="0" w:color="BFBFBF"/>
              <w:right w:val="single" w:sz="4" w:space="0" w:color="BFBFBF"/>
            </w:tcBorders>
          </w:tcPr>
          <w:p w:rsidR="00B50F3B" w:rsidRPr="00606199" w:rsidRDefault="00B50F3B" w:rsidP="00C10D48">
            <w:pPr>
              <w:tabs>
                <w:tab w:val="left" w:pos="284"/>
              </w:tabs>
              <w:spacing w:line="360" w:lineRule="auto"/>
              <w:rPr>
                <w:rFonts w:ascii="Palatino Linotype" w:eastAsia="Palatino Linotype" w:hAnsi="Palatino Linotype" w:cs="Palatino Linotype"/>
              </w:rPr>
            </w:pPr>
            <w:r w:rsidRPr="00606199">
              <w:rPr>
                <w:rFonts w:ascii="Palatino Linotype" w:eastAsia="Palatino Linotype" w:hAnsi="Palatino Linotype" w:cs="Palatino Linotype"/>
              </w:rPr>
              <w:lastRenderedPageBreak/>
              <w:t>b) Supuestos de clasificación.</w:t>
            </w:r>
          </w:p>
        </w:tc>
        <w:tc>
          <w:tcPr>
            <w:tcW w:w="7229" w:type="dxa"/>
            <w:tcBorders>
              <w:top w:val="single" w:sz="4" w:space="0" w:color="BFBFBF"/>
              <w:left w:val="single" w:sz="4" w:space="0" w:color="BFBFBF"/>
              <w:bottom w:val="single" w:sz="4" w:space="0" w:color="BFBFBF"/>
              <w:right w:val="single" w:sz="4" w:space="0" w:color="BFBFBF"/>
            </w:tcBorders>
          </w:tcPr>
          <w:p w:rsidR="00B50F3B" w:rsidRPr="00606199" w:rsidRDefault="00B50F3B" w:rsidP="00C10D48">
            <w:pPr>
              <w:tabs>
                <w:tab w:val="left" w:pos="284"/>
              </w:tabs>
              <w:spacing w:line="360" w:lineRule="auto"/>
              <w:ind w:right="49"/>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B50F3B" w:rsidRPr="00606199" w:rsidRDefault="00B50F3B" w:rsidP="00C10D48">
            <w:pPr>
              <w:tabs>
                <w:tab w:val="left" w:pos="284"/>
              </w:tabs>
              <w:spacing w:line="360" w:lineRule="auto"/>
              <w:ind w:right="49"/>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w:t>
            </w:r>
            <w:r w:rsidRPr="00606199">
              <w:rPr>
                <w:rFonts w:ascii="Palatino Linotype" w:eastAsia="Palatino Linotype" w:hAnsi="Palatino Linotype" w:cs="Palatino Linotype"/>
                <w:color w:val="000000"/>
              </w:rPr>
              <w:lastRenderedPageBreak/>
              <w:t>cumple con esta condición y no se pueden ampliar las excepciones o supuestos de clasificación aduciendo analogía o mayoría de razón.</w:t>
            </w:r>
          </w:p>
          <w:p w:rsidR="00B50F3B" w:rsidRPr="00606199" w:rsidRDefault="00B50F3B" w:rsidP="00C10D48">
            <w:pPr>
              <w:tabs>
                <w:tab w:val="left" w:pos="284"/>
              </w:tabs>
              <w:spacing w:line="360" w:lineRule="auto"/>
              <w:jc w:val="both"/>
              <w:rPr>
                <w:rFonts w:ascii="Palatino Linotype" w:eastAsia="Palatino Linotype" w:hAnsi="Palatino Linotype" w:cs="Palatino Linotype"/>
              </w:rPr>
            </w:pPr>
            <w:r w:rsidRPr="00606199">
              <w:rPr>
                <w:rFonts w:ascii="Palatino Linotype" w:eastAsia="Palatino Linotype" w:hAnsi="Palatino Linotype" w:cs="Palatino Linotype"/>
                <w:color w:val="000000"/>
              </w:rPr>
              <w:t xml:space="preserve">El </w:t>
            </w:r>
            <w:r w:rsidRPr="00606199">
              <w:rPr>
                <w:rFonts w:ascii="Palatino Linotype" w:eastAsia="Palatino Linotype" w:hAnsi="Palatino Linotype" w:cs="Palatino Linotype"/>
                <w:b/>
                <w:color w:val="000000"/>
              </w:rPr>
              <w:t>Sujeto Obligado</w:t>
            </w:r>
            <w:r w:rsidRPr="00606199">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50F3B" w:rsidRPr="00606199" w:rsidTr="00606199">
        <w:tc>
          <w:tcPr>
            <w:tcW w:w="2552" w:type="dxa"/>
            <w:tcBorders>
              <w:top w:val="single" w:sz="4" w:space="0" w:color="BFBFBF"/>
              <w:left w:val="single" w:sz="4" w:space="0" w:color="BFBFBF"/>
              <w:bottom w:val="single" w:sz="4" w:space="0" w:color="BFBFBF"/>
              <w:right w:val="single" w:sz="4" w:space="0" w:color="BFBFBF"/>
            </w:tcBorders>
          </w:tcPr>
          <w:p w:rsidR="00B50F3B" w:rsidRPr="00606199" w:rsidRDefault="00B50F3B" w:rsidP="00C10D48">
            <w:pPr>
              <w:tabs>
                <w:tab w:val="left" w:pos="284"/>
              </w:tabs>
              <w:spacing w:line="360" w:lineRule="auto"/>
              <w:rPr>
                <w:rFonts w:ascii="Palatino Linotype" w:eastAsia="Palatino Linotype" w:hAnsi="Palatino Linotype" w:cs="Palatino Linotype"/>
              </w:rPr>
            </w:pPr>
            <w:r w:rsidRPr="00606199">
              <w:rPr>
                <w:rFonts w:ascii="Palatino Linotype" w:eastAsia="Palatino Linotype" w:hAnsi="Palatino Linotype" w:cs="Palatino Linotype"/>
              </w:rPr>
              <w:lastRenderedPageBreak/>
              <w:t>c) Formalidades para emitir el acuerdo de clasificación.</w:t>
            </w:r>
          </w:p>
        </w:tc>
        <w:tc>
          <w:tcPr>
            <w:tcW w:w="7229" w:type="dxa"/>
            <w:tcBorders>
              <w:top w:val="single" w:sz="4" w:space="0" w:color="BFBFBF"/>
              <w:left w:val="single" w:sz="4" w:space="0" w:color="BFBFBF"/>
              <w:bottom w:val="single" w:sz="4" w:space="0" w:color="BFBFBF"/>
              <w:right w:val="single" w:sz="4" w:space="0" w:color="BFBFBF"/>
            </w:tcBorders>
          </w:tcPr>
          <w:p w:rsidR="00B50F3B" w:rsidRPr="00606199" w:rsidRDefault="00B50F3B" w:rsidP="00C10D48">
            <w:pPr>
              <w:tabs>
                <w:tab w:val="left" w:pos="284"/>
              </w:tabs>
              <w:spacing w:line="360" w:lineRule="auto"/>
              <w:ind w:right="49"/>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B50F3B" w:rsidRPr="00606199" w:rsidRDefault="00B50F3B" w:rsidP="00C10D48">
            <w:pPr>
              <w:tabs>
                <w:tab w:val="left" w:pos="284"/>
              </w:tabs>
              <w:spacing w:line="360" w:lineRule="auto"/>
              <w:ind w:right="49"/>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Es necesario que </w:t>
            </w:r>
            <w:r w:rsidRPr="00606199">
              <w:rPr>
                <w:rFonts w:ascii="Palatino Linotype" w:eastAsia="Palatino Linotype" w:hAnsi="Palatino Linotype" w:cs="Palatino Linotype"/>
                <w:b/>
                <w:color w:val="000000"/>
                <w:u w:val="single"/>
              </w:rPr>
              <w:t>el acto reúna con los requisitos elementales</w:t>
            </w:r>
            <w:r w:rsidRPr="00606199">
              <w:rPr>
                <w:rFonts w:ascii="Palatino Linotype" w:eastAsia="Palatino Linotype" w:hAnsi="Palatino Linotype" w:cs="Palatino Linotype"/>
                <w:color w:val="000000"/>
              </w:rPr>
              <w:t>, entre ellos, que la autoridad que va a emitir el acto de autoridad sea la legalmente facultada para ello.</w:t>
            </w:r>
          </w:p>
          <w:p w:rsidR="00B50F3B" w:rsidRPr="00606199" w:rsidRDefault="00B50F3B" w:rsidP="00C10D48">
            <w:pPr>
              <w:tabs>
                <w:tab w:val="left" w:pos="284"/>
              </w:tabs>
              <w:spacing w:line="360" w:lineRule="auto"/>
              <w:jc w:val="both"/>
              <w:rPr>
                <w:rFonts w:ascii="Palatino Linotype" w:eastAsia="Palatino Linotype" w:hAnsi="Palatino Linotype" w:cs="Palatino Linotype"/>
              </w:rPr>
            </w:pPr>
            <w:r w:rsidRPr="00606199">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50F3B" w:rsidRPr="00606199" w:rsidTr="00606199">
        <w:tc>
          <w:tcPr>
            <w:tcW w:w="2552" w:type="dxa"/>
            <w:tcBorders>
              <w:top w:val="single" w:sz="4" w:space="0" w:color="BFBFBF"/>
              <w:left w:val="single" w:sz="4" w:space="0" w:color="BFBFBF"/>
              <w:bottom w:val="single" w:sz="4" w:space="0" w:color="BFBFBF"/>
              <w:right w:val="single" w:sz="4" w:space="0" w:color="BFBFBF"/>
            </w:tcBorders>
          </w:tcPr>
          <w:p w:rsidR="00B50F3B" w:rsidRPr="00606199" w:rsidRDefault="00B50F3B" w:rsidP="00C10D48">
            <w:pPr>
              <w:tabs>
                <w:tab w:val="left" w:pos="284"/>
              </w:tabs>
              <w:spacing w:line="360" w:lineRule="auto"/>
              <w:rPr>
                <w:rFonts w:ascii="Palatino Linotype" w:eastAsia="Palatino Linotype" w:hAnsi="Palatino Linotype" w:cs="Palatino Linotype"/>
              </w:rPr>
            </w:pPr>
          </w:p>
          <w:p w:rsidR="00B50F3B" w:rsidRPr="00606199" w:rsidRDefault="00B50F3B" w:rsidP="00C10D48">
            <w:pPr>
              <w:tabs>
                <w:tab w:val="left" w:pos="284"/>
              </w:tabs>
              <w:spacing w:line="360" w:lineRule="auto"/>
              <w:jc w:val="both"/>
              <w:rPr>
                <w:rFonts w:ascii="Palatino Linotype" w:eastAsia="Palatino Linotype" w:hAnsi="Palatino Linotype" w:cs="Palatino Linotype"/>
              </w:rPr>
            </w:pPr>
            <w:r w:rsidRPr="00606199">
              <w:rPr>
                <w:rFonts w:ascii="Palatino Linotype" w:eastAsia="Palatino Linotype" w:hAnsi="Palatino Linotype" w:cs="Palatino Linotype"/>
                <w:color w:val="000000"/>
              </w:rPr>
              <w:t xml:space="preserve">d) Requisitos de fondo del acuerdo de clasificación. </w:t>
            </w:r>
          </w:p>
        </w:tc>
        <w:tc>
          <w:tcPr>
            <w:tcW w:w="7229" w:type="dxa"/>
            <w:tcBorders>
              <w:top w:val="single" w:sz="4" w:space="0" w:color="BFBFBF"/>
              <w:left w:val="single" w:sz="4" w:space="0" w:color="BFBFBF"/>
              <w:bottom w:val="single" w:sz="4" w:space="0" w:color="BFBFBF"/>
              <w:right w:val="single" w:sz="4" w:space="0" w:color="BFBFBF"/>
            </w:tcBorders>
          </w:tcPr>
          <w:p w:rsidR="00B50F3B" w:rsidRPr="00606199" w:rsidRDefault="00B50F3B" w:rsidP="00C10D48">
            <w:pPr>
              <w:tabs>
                <w:tab w:val="left" w:pos="284"/>
              </w:tabs>
              <w:spacing w:line="360" w:lineRule="auto"/>
              <w:ind w:right="49"/>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06199">
              <w:rPr>
                <w:rFonts w:ascii="Palatino Linotype" w:eastAsia="Palatino Linotype" w:hAnsi="Palatino Linotype" w:cs="Palatino Linotype"/>
                <w:b/>
                <w:color w:val="000000"/>
              </w:rPr>
              <w:t>Sujetos Obligados</w:t>
            </w:r>
            <w:r w:rsidRPr="00606199">
              <w:rPr>
                <w:rFonts w:ascii="Palatino Linotype" w:eastAsia="Palatino Linotype" w:hAnsi="Palatino Linotype" w:cs="Palatino Linotype"/>
                <w:color w:val="000000"/>
              </w:rPr>
              <w:t xml:space="preserve">, por lo que deberán fundar y motivar debidamente la clasificación. </w:t>
            </w:r>
          </w:p>
          <w:p w:rsidR="00B50F3B" w:rsidRPr="00606199" w:rsidRDefault="00B50F3B" w:rsidP="00C10D48">
            <w:pPr>
              <w:tabs>
                <w:tab w:val="left" w:pos="284"/>
              </w:tabs>
              <w:spacing w:line="360" w:lineRule="auto"/>
              <w:ind w:right="49"/>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De lo anterior, se desprende que para una correcta </w:t>
            </w:r>
            <w:r w:rsidRPr="00606199">
              <w:rPr>
                <w:rFonts w:ascii="Palatino Linotype" w:eastAsia="Palatino Linotype" w:hAnsi="Palatino Linotype" w:cs="Palatino Linotype"/>
                <w:b/>
                <w:color w:val="000000"/>
              </w:rPr>
              <w:t>clasificación total o parcial</w:t>
            </w:r>
            <w:r w:rsidRPr="00606199">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B50F3B" w:rsidRPr="00606199" w:rsidRDefault="00B50F3B" w:rsidP="00C10D48">
            <w:pPr>
              <w:tabs>
                <w:tab w:val="left" w:pos="284"/>
              </w:tabs>
              <w:spacing w:line="360" w:lineRule="auto"/>
              <w:ind w:right="49"/>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B50F3B" w:rsidRPr="00606199" w:rsidRDefault="00B50F3B" w:rsidP="00C10D48">
            <w:pPr>
              <w:tabs>
                <w:tab w:val="left" w:pos="284"/>
              </w:tabs>
              <w:spacing w:line="360" w:lineRule="auto"/>
              <w:ind w:right="49"/>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En ese mismo sentido, el numeral trigésimo tercero fracción V de los Lineamientos Generales, precisa que para motivar la </w:t>
            </w:r>
            <w:r w:rsidRPr="00606199">
              <w:rPr>
                <w:rFonts w:ascii="Palatino Linotype" w:eastAsia="Palatino Linotype" w:hAnsi="Palatino Linotype" w:cs="Palatino Linotype"/>
                <w:color w:val="000000"/>
              </w:rPr>
              <w:lastRenderedPageBreak/>
              <w:t>clasificación se deben acreditar las circunstancias de tiempo, modo y lugar.</w:t>
            </w:r>
          </w:p>
          <w:p w:rsidR="00B50F3B" w:rsidRPr="00606199" w:rsidRDefault="00B50F3B" w:rsidP="00C10D48">
            <w:pPr>
              <w:tabs>
                <w:tab w:val="left" w:pos="284"/>
              </w:tabs>
              <w:spacing w:line="360" w:lineRule="auto"/>
              <w:ind w:right="49"/>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Ahora bien, </w:t>
            </w:r>
            <w:r w:rsidRPr="00606199">
              <w:rPr>
                <w:rFonts w:ascii="Palatino Linotype" w:eastAsia="Palatino Linotype" w:hAnsi="Palatino Linotype" w:cs="Palatino Linotype"/>
                <w:b/>
                <w:color w:val="000000"/>
                <w:u w:val="single"/>
              </w:rPr>
              <w:t>para cada caso además de fundar y motivar</w:t>
            </w:r>
            <w:r w:rsidRPr="00606199">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50F3B" w:rsidRPr="00606199" w:rsidTr="00606199">
        <w:tc>
          <w:tcPr>
            <w:tcW w:w="2552" w:type="dxa"/>
            <w:tcBorders>
              <w:top w:val="single" w:sz="4" w:space="0" w:color="BFBFBF"/>
              <w:left w:val="single" w:sz="4" w:space="0" w:color="BFBFBF"/>
              <w:bottom w:val="single" w:sz="4" w:space="0" w:color="BFBFBF"/>
              <w:right w:val="single" w:sz="4" w:space="0" w:color="BFBFBF"/>
            </w:tcBorders>
          </w:tcPr>
          <w:p w:rsidR="00B50F3B" w:rsidRPr="00606199" w:rsidRDefault="00B50F3B" w:rsidP="00C10D48">
            <w:pPr>
              <w:tabs>
                <w:tab w:val="left" w:pos="284"/>
              </w:tabs>
              <w:spacing w:line="360" w:lineRule="auto"/>
              <w:ind w:right="49"/>
              <w:jc w:val="both"/>
              <w:rPr>
                <w:rFonts w:ascii="Palatino Linotype" w:eastAsia="Palatino Linotype" w:hAnsi="Palatino Linotype" w:cs="Palatino Linotype"/>
              </w:rPr>
            </w:pPr>
            <w:r w:rsidRPr="00606199">
              <w:rPr>
                <w:rFonts w:ascii="Palatino Linotype" w:eastAsia="Palatino Linotype" w:hAnsi="Palatino Linotype" w:cs="Palatino Linotype"/>
              </w:rPr>
              <w:lastRenderedPageBreak/>
              <w:t xml:space="preserve">e) Condiciones especiales de la clasificación de la información como confidencial. </w:t>
            </w:r>
          </w:p>
        </w:tc>
        <w:tc>
          <w:tcPr>
            <w:tcW w:w="7229" w:type="dxa"/>
            <w:tcBorders>
              <w:top w:val="single" w:sz="4" w:space="0" w:color="BFBFBF"/>
              <w:left w:val="single" w:sz="4" w:space="0" w:color="BFBFBF"/>
              <w:bottom w:val="single" w:sz="4" w:space="0" w:color="BFBFBF"/>
              <w:right w:val="single" w:sz="4" w:space="0" w:color="BFBFBF"/>
            </w:tcBorders>
          </w:tcPr>
          <w:p w:rsidR="00B50F3B" w:rsidRPr="00606199" w:rsidRDefault="00B50F3B" w:rsidP="00C10D48">
            <w:pPr>
              <w:tabs>
                <w:tab w:val="left" w:pos="284"/>
              </w:tabs>
              <w:spacing w:line="360" w:lineRule="auto"/>
              <w:ind w:right="49"/>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B50F3B" w:rsidRPr="00606199" w:rsidRDefault="00B50F3B" w:rsidP="00C10D48">
            <w:pPr>
              <w:tabs>
                <w:tab w:val="left" w:pos="284"/>
              </w:tabs>
              <w:spacing w:line="360" w:lineRule="auto"/>
              <w:ind w:right="49"/>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B50F3B" w:rsidRPr="00606199" w:rsidRDefault="00B50F3B" w:rsidP="00C10D48">
            <w:pPr>
              <w:tabs>
                <w:tab w:val="left" w:pos="284"/>
              </w:tabs>
              <w:spacing w:line="360" w:lineRule="auto"/>
              <w:rPr>
                <w:rFonts w:ascii="Palatino Linotype" w:eastAsia="Palatino Linotype" w:hAnsi="Palatino Linotype" w:cs="Palatino Linotype"/>
              </w:rPr>
            </w:pPr>
            <w:r w:rsidRPr="00606199">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color w:val="000000"/>
        </w:rPr>
      </w:pPr>
      <w:r w:rsidRPr="00606199">
        <w:rPr>
          <w:rFonts w:ascii="Palatino Linotype" w:eastAsia="Palatino Linotype" w:hAnsi="Palatino Linotype" w:cs="Palatino Linotype"/>
        </w:rPr>
        <w:lastRenderedPageBreak/>
        <w:t xml:space="preserve">Si el </w:t>
      </w:r>
      <w:r w:rsidRPr="00606199">
        <w:rPr>
          <w:rFonts w:ascii="Palatino Linotype" w:eastAsia="Palatino Linotype" w:hAnsi="Palatino Linotype" w:cs="Palatino Linotype"/>
          <w:color w:val="000000"/>
          <w:highlight w:val="white"/>
        </w:rPr>
        <w:t>servidor</w:t>
      </w:r>
      <w:r w:rsidRPr="00606199">
        <w:rPr>
          <w:rFonts w:ascii="Palatino Linotype" w:eastAsia="Palatino Linotype" w:hAnsi="Palatino Linotype" w:cs="Palatino Linotype"/>
        </w:rPr>
        <w:t xml:space="preserve"> público incumple con estas formalidades y entrega la información sin proteger los datos personales incumple con lo que estipula las disposiciones </w:t>
      </w:r>
      <w:r w:rsidRPr="00606199">
        <w:rPr>
          <w:rFonts w:ascii="Palatino Linotype" w:eastAsia="Palatino Linotype" w:hAnsi="Palatino Linotype" w:cs="Palatino Linotype"/>
          <w:color w:val="000000"/>
        </w:rPr>
        <w:t>legales</w:t>
      </w:r>
      <w:r w:rsidRPr="00606199">
        <w:rPr>
          <w:rFonts w:ascii="Palatino Linotype" w:eastAsia="Palatino Linotype" w:hAnsi="Palatino Linotype" w:cs="Palatino Linotype"/>
        </w:rPr>
        <w:t xml:space="preserve"> establ</w:t>
      </w:r>
      <w:r w:rsidRPr="00606199">
        <w:rPr>
          <w:rFonts w:ascii="Palatino Linotype" w:eastAsia="Palatino Linotype" w:hAnsi="Palatino Linotype" w:cs="Palatino Linotype"/>
          <w:color w:val="000000"/>
        </w:rPr>
        <w:t>e</w:t>
      </w:r>
      <w:r w:rsidRPr="00606199">
        <w:rPr>
          <w:rFonts w:ascii="Palatino Linotype" w:eastAsia="Palatino Linotype" w:hAnsi="Palatino Linotype" w:cs="Palatino Linotype"/>
        </w:rPr>
        <w:t>cidas, asimismo que si entrega un documento testado sin el debido acuerdo de clasificación.</w:t>
      </w:r>
    </w:p>
    <w:p w:rsidR="00B50F3B" w:rsidRPr="00606199" w:rsidRDefault="00B50F3B" w:rsidP="00B50F3B">
      <w:pPr>
        <w:pBdr>
          <w:top w:val="nil"/>
          <w:left w:val="nil"/>
          <w:bottom w:val="nil"/>
          <w:right w:val="nil"/>
          <w:between w:val="nil"/>
        </w:pBdr>
        <w:rPr>
          <w:rFonts w:ascii="Palatino Linotype" w:eastAsia="Palatino Linotype" w:hAnsi="Palatino Linotype" w:cs="Palatino Linotype"/>
          <w:color w:val="000000"/>
        </w:rPr>
      </w:pPr>
    </w:p>
    <w:p w:rsidR="00B50F3B" w:rsidRPr="00606199" w:rsidRDefault="00B50F3B" w:rsidP="00B50F3B">
      <w:pPr>
        <w:numPr>
          <w:ilvl w:val="0"/>
          <w:numId w:val="8"/>
        </w:numPr>
        <w:spacing w:line="360" w:lineRule="auto"/>
        <w:ind w:left="0" w:firstLine="0"/>
        <w:jc w:val="both"/>
        <w:rPr>
          <w:rFonts w:ascii="Palatino Linotype" w:eastAsia="Palatino Linotype" w:hAnsi="Palatino Linotype" w:cs="Palatino Linotype"/>
        </w:rPr>
      </w:pPr>
      <w:r w:rsidRPr="00606199">
        <w:rPr>
          <w:rFonts w:ascii="Palatino Linotype" w:eastAsia="Palatino Linotype" w:hAnsi="Palatino Linotype" w:cs="Palatino Linotype"/>
        </w:rPr>
        <w:t xml:space="preserve">Por lo anteriormente expuesto y fundado, este </w:t>
      </w:r>
      <w:r w:rsidRPr="00606199">
        <w:rPr>
          <w:rFonts w:ascii="Palatino Linotype" w:eastAsia="Palatino Linotype" w:hAnsi="Palatino Linotype" w:cs="Palatino Linotype"/>
          <w:b/>
        </w:rPr>
        <w:t>ÓRGANO GARANTE</w:t>
      </w:r>
      <w:r w:rsidRPr="00606199">
        <w:rPr>
          <w:rFonts w:ascii="Palatino Linotype" w:eastAsia="Palatino Linotype" w:hAnsi="Palatino Linotype" w:cs="Palatino Linotype"/>
        </w:rPr>
        <w:t xml:space="preserve"> emite los siguientes:</w:t>
      </w:r>
    </w:p>
    <w:p w:rsidR="00B50F3B" w:rsidRPr="00606199" w:rsidRDefault="00B50F3B" w:rsidP="00B50F3B">
      <w:pPr>
        <w:pBdr>
          <w:top w:val="nil"/>
          <w:left w:val="nil"/>
          <w:bottom w:val="nil"/>
          <w:right w:val="nil"/>
          <w:between w:val="nil"/>
        </w:pBdr>
        <w:spacing w:line="360" w:lineRule="auto"/>
        <w:jc w:val="both"/>
        <w:rPr>
          <w:rFonts w:ascii="Palatino Linotype" w:eastAsia="Palatino Linotype" w:hAnsi="Palatino Linotype" w:cs="Palatino Linotype"/>
        </w:rPr>
      </w:pPr>
    </w:p>
    <w:p w:rsidR="00B50F3B" w:rsidRPr="00606199" w:rsidRDefault="00B50F3B" w:rsidP="00B50F3B">
      <w:pPr>
        <w:pStyle w:val="Ttulo1"/>
        <w:jc w:val="center"/>
        <w:rPr>
          <w:rFonts w:ascii="Palatino Linotype" w:eastAsia="Palatino Linotype" w:hAnsi="Palatino Linotype" w:cs="Palatino Linotype"/>
          <w:b/>
          <w:color w:val="000000"/>
          <w:sz w:val="24"/>
          <w:szCs w:val="24"/>
        </w:rPr>
      </w:pPr>
      <w:bookmarkStart w:id="9" w:name="_heading=h.lnxbz9" w:colFirst="0" w:colLast="0"/>
      <w:bookmarkEnd w:id="9"/>
      <w:r w:rsidRPr="00606199">
        <w:rPr>
          <w:rFonts w:ascii="Palatino Linotype" w:eastAsia="Palatino Linotype" w:hAnsi="Palatino Linotype" w:cs="Palatino Linotype"/>
          <w:b/>
          <w:color w:val="000000"/>
          <w:sz w:val="24"/>
          <w:szCs w:val="24"/>
        </w:rPr>
        <w:t>R E S O L U T I V O S</w:t>
      </w:r>
    </w:p>
    <w:p w:rsidR="00B50F3B" w:rsidRPr="00606199" w:rsidRDefault="00B50F3B" w:rsidP="00B50F3B">
      <w:pPr>
        <w:tabs>
          <w:tab w:val="left" w:pos="284"/>
        </w:tabs>
        <w:spacing w:line="360" w:lineRule="auto"/>
        <w:jc w:val="both"/>
        <w:rPr>
          <w:rFonts w:ascii="Palatino Linotype" w:eastAsia="Palatino Linotype" w:hAnsi="Palatino Linotype" w:cs="Palatino Linotype"/>
          <w:b/>
        </w:rPr>
      </w:pPr>
    </w:p>
    <w:p w:rsidR="00B50F3B" w:rsidRPr="00606199" w:rsidRDefault="00B50F3B" w:rsidP="00B50F3B">
      <w:pPr>
        <w:tabs>
          <w:tab w:val="left" w:pos="284"/>
        </w:tabs>
        <w:spacing w:line="360" w:lineRule="auto"/>
        <w:jc w:val="both"/>
        <w:rPr>
          <w:rFonts w:ascii="Palatino Linotype" w:eastAsia="Palatino Linotype" w:hAnsi="Palatino Linotype" w:cs="Palatino Linotype"/>
          <w:b/>
        </w:rPr>
      </w:pPr>
      <w:r w:rsidRPr="00606199">
        <w:rPr>
          <w:rFonts w:ascii="Palatino Linotype" w:eastAsia="Palatino Linotype" w:hAnsi="Palatino Linotype" w:cs="Palatino Linotype"/>
          <w:b/>
        </w:rPr>
        <w:t xml:space="preserve">PRIMERO. </w:t>
      </w:r>
      <w:r w:rsidRPr="00606199">
        <w:rPr>
          <w:rFonts w:ascii="Palatino Linotype" w:eastAsia="Palatino Linotype" w:hAnsi="Palatino Linotype" w:cs="Palatino Linotype"/>
        </w:rPr>
        <w:t>Resultan fundadas las</w:t>
      </w:r>
      <w:r w:rsidRPr="00606199">
        <w:rPr>
          <w:rFonts w:ascii="Palatino Linotype" w:eastAsia="Palatino Linotype" w:hAnsi="Palatino Linotype" w:cs="Palatino Linotype"/>
          <w:b/>
        </w:rPr>
        <w:t xml:space="preserve"> </w:t>
      </w:r>
      <w:r w:rsidRPr="00606199">
        <w:rPr>
          <w:rFonts w:ascii="Palatino Linotype" w:eastAsia="Palatino Linotype" w:hAnsi="Palatino Linotype" w:cs="Palatino Linotype"/>
        </w:rPr>
        <w:t>razones o motivos de i</w:t>
      </w:r>
      <w:r w:rsidR="00AF4F73" w:rsidRPr="00606199">
        <w:rPr>
          <w:rFonts w:ascii="Palatino Linotype" w:eastAsia="Palatino Linotype" w:hAnsi="Palatino Linotype" w:cs="Palatino Linotype"/>
        </w:rPr>
        <w:t xml:space="preserve">nconformidad hechos valer en los </w:t>
      </w:r>
      <w:r w:rsidRPr="00606199">
        <w:rPr>
          <w:rFonts w:ascii="Palatino Linotype" w:eastAsia="Palatino Linotype" w:hAnsi="Palatino Linotype" w:cs="Palatino Linotype"/>
        </w:rPr>
        <w:t>recurso</w:t>
      </w:r>
      <w:r w:rsidR="00AF4F73" w:rsidRPr="00606199">
        <w:rPr>
          <w:rFonts w:ascii="Palatino Linotype" w:eastAsia="Palatino Linotype" w:hAnsi="Palatino Linotype" w:cs="Palatino Linotype"/>
        </w:rPr>
        <w:t>s</w:t>
      </w:r>
      <w:r w:rsidRPr="00606199">
        <w:rPr>
          <w:rFonts w:ascii="Palatino Linotype" w:eastAsia="Palatino Linotype" w:hAnsi="Palatino Linotype" w:cs="Palatino Linotype"/>
        </w:rPr>
        <w:t xml:space="preserve"> de revisión </w:t>
      </w:r>
      <w:r w:rsidR="00AF4F73" w:rsidRPr="00606199">
        <w:rPr>
          <w:rFonts w:ascii="Palatino Linotype" w:eastAsia="Palatino Linotype" w:hAnsi="Palatino Linotype" w:cs="Palatino Linotype"/>
          <w:b/>
        </w:rPr>
        <w:t xml:space="preserve">02953/INFOEM/IP/RR/2026 y </w:t>
      </w:r>
      <w:r w:rsidR="00AF4F73" w:rsidRPr="00606199">
        <w:rPr>
          <w:rFonts w:ascii="Palatino Linotype" w:eastAsia="Palatino Linotype" w:hAnsi="Palatino Linotype" w:cs="Palatino Linotype"/>
          <w:b/>
          <w:color w:val="000000"/>
        </w:rPr>
        <w:t>02954/INFOEM/IP/RR/2026</w:t>
      </w:r>
      <w:r w:rsidR="00AF4F73" w:rsidRPr="00606199">
        <w:rPr>
          <w:rFonts w:ascii="Palatino Linotype" w:eastAsia="Palatino Linotype" w:hAnsi="Palatino Linotype" w:cs="Palatino Linotype"/>
          <w:color w:val="000000"/>
        </w:rPr>
        <w:t xml:space="preserve"> </w:t>
      </w:r>
      <w:r w:rsidRPr="00606199">
        <w:rPr>
          <w:rFonts w:ascii="Palatino Linotype" w:eastAsia="Palatino Linotype" w:hAnsi="Palatino Linotype" w:cs="Palatino Linotype"/>
        </w:rPr>
        <w:t xml:space="preserve">en términos de los </w:t>
      </w:r>
      <w:r w:rsidRPr="00606199">
        <w:rPr>
          <w:rFonts w:ascii="Palatino Linotype" w:eastAsia="Palatino Linotype" w:hAnsi="Palatino Linotype" w:cs="Palatino Linotype"/>
          <w:b/>
        </w:rPr>
        <w:t xml:space="preserve">Considerandos CUARTO y QUINTO </w:t>
      </w:r>
      <w:r w:rsidRPr="00606199">
        <w:rPr>
          <w:rFonts w:ascii="Palatino Linotype" w:eastAsia="Palatino Linotype" w:hAnsi="Palatino Linotype" w:cs="Palatino Linotype"/>
        </w:rPr>
        <w:t>de la presente resolución.</w:t>
      </w:r>
    </w:p>
    <w:p w:rsidR="00B50F3B" w:rsidRPr="00606199" w:rsidRDefault="00B50F3B" w:rsidP="00B50F3B">
      <w:pPr>
        <w:tabs>
          <w:tab w:val="left" w:pos="284"/>
        </w:tabs>
        <w:spacing w:line="360" w:lineRule="auto"/>
        <w:jc w:val="both"/>
        <w:rPr>
          <w:rFonts w:ascii="Palatino Linotype" w:eastAsia="Palatino Linotype" w:hAnsi="Palatino Linotype" w:cs="Palatino Linotype"/>
        </w:rPr>
      </w:pPr>
    </w:p>
    <w:p w:rsidR="00B50F3B" w:rsidRPr="00606199" w:rsidRDefault="00B50F3B" w:rsidP="00B50F3B">
      <w:pPr>
        <w:tabs>
          <w:tab w:val="left" w:pos="284"/>
        </w:tabs>
        <w:spacing w:line="360" w:lineRule="auto"/>
        <w:jc w:val="both"/>
        <w:rPr>
          <w:rFonts w:ascii="Palatino Linotype" w:eastAsia="Palatino Linotype" w:hAnsi="Palatino Linotype" w:cs="Palatino Linotype"/>
        </w:rPr>
      </w:pPr>
      <w:r w:rsidRPr="00606199">
        <w:rPr>
          <w:rFonts w:ascii="Palatino Linotype" w:eastAsia="Palatino Linotype" w:hAnsi="Palatino Linotype" w:cs="Palatino Linotype"/>
          <w:b/>
        </w:rPr>
        <w:t xml:space="preserve">SEGUNDO. </w:t>
      </w:r>
      <w:r w:rsidRPr="00606199">
        <w:rPr>
          <w:rFonts w:ascii="Palatino Linotype" w:eastAsia="Palatino Linotype" w:hAnsi="Palatino Linotype" w:cs="Palatino Linotype"/>
        </w:rPr>
        <w:t xml:space="preserve">Se </w:t>
      </w:r>
      <w:r w:rsidRPr="00606199">
        <w:rPr>
          <w:rFonts w:ascii="Palatino Linotype" w:eastAsia="Palatino Linotype" w:hAnsi="Palatino Linotype" w:cs="Palatino Linotype"/>
          <w:b/>
        </w:rPr>
        <w:t xml:space="preserve">ORDENA </w:t>
      </w:r>
      <w:r w:rsidRPr="00606199">
        <w:rPr>
          <w:rFonts w:ascii="Palatino Linotype" w:eastAsia="Palatino Linotype" w:hAnsi="Palatino Linotype" w:cs="Palatino Linotype"/>
        </w:rPr>
        <w:t xml:space="preserve">al </w:t>
      </w:r>
      <w:r w:rsidR="00AF4F73" w:rsidRPr="00606199">
        <w:rPr>
          <w:rFonts w:ascii="Palatino Linotype" w:eastAsia="Palatino Linotype" w:hAnsi="Palatino Linotype" w:cs="Palatino Linotype"/>
          <w:b/>
          <w:color w:val="000000"/>
        </w:rPr>
        <w:t>Ayuntamiento de Tepetlixpa</w:t>
      </w:r>
      <w:r w:rsidR="00AF4F73" w:rsidRPr="00606199">
        <w:rPr>
          <w:rFonts w:ascii="Palatino Linotype" w:eastAsia="Palatino Linotype" w:hAnsi="Palatino Linotype" w:cs="Palatino Linotype"/>
        </w:rPr>
        <w:t xml:space="preserve"> </w:t>
      </w:r>
      <w:r w:rsidRPr="00606199">
        <w:rPr>
          <w:rFonts w:ascii="Palatino Linotype" w:eastAsia="Palatino Linotype" w:hAnsi="Palatino Linotype" w:cs="Palatino Linotype"/>
        </w:rPr>
        <w:t xml:space="preserve">entregar vía Sistema de Acceso a la Información Mexiquense </w:t>
      </w:r>
      <w:r w:rsidRPr="00606199">
        <w:rPr>
          <w:rFonts w:ascii="Palatino Linotype" w:eastAsia="Palatino Linotype" w:hAnsi="Palatino Linotype" w:cs="Palatino Linotype"/>
          <w:b/>
        </w:rPr>
        <w:t>(SAIMEX)</w:t>
      </w:r>
      <w:r w:rsidRPr="00606199">
        <w:rPr>
          <w:rFonts w:ascii="Palatino Linotype" w:eastAsia="Palatino Linotype" w:hAnsi="Palatino Linotype" w:cs="Palatino Linotype"/>
        </w:rPr>
        <w:t xml:space="preserve">, la siguiente información. </w:t>
      </w:r>
    </w:p>
    <w:p w:rsidR="00B50F3B" w:rsidRPr="00606199" w:rsidRDefault="00B50F3B" w:rsidP="00B50F3B">
      <w:pPr>
        <w:pStyle w:val="Prrafodelista"/>
        <w:spacing w:after="160" w:line="259" w:lineRule="auto"/>
        <w:ind w:left="1134" w:right="900"/>
        <w:jc w:val="both"/>
        <w:rPr>
          <w:rFonts w:ascii="Palatino Linotype" w:eastAsia="Calibri" w:hAnsi="Palatino Linotype"/>
          <w:b/>
          <w:i/>
          <w:color w:val="000000"/>
          <w:lang w:val="es-MX"/>
        </w:rPr>
      </w:pPr>
    </w:p>
    <w:p w:rsidR="00B50F3B" w:rsidRPr="00606199" w:rsidRDefault="00B50F3B" w:rsidP="00B50F3B">
      <w:pPr>
        <w:pStyle w:val="Prrafodelista"/>
        <w:spacing w:after="160" w:line="259" w:lineRule="auto"/>
        <w:ind w:left="1134" w:right="900"/>
        <w:jc w:val="both"/>
        <w:rPr>
          <w:rFonts w:ascii="Palatino Linotype" w:eastAsia="Calibri" w:hAnsi="Palatino Linotype"/>
          <w:b/>
          <w:i/>
          <w:color w:val="000000"/>
        </w:rPr>
      </w:pPr>
      <w:r w:rsidRPr="00606199">
        <w:rPr>
          <w:rFonts w:ascii="Palatino Linotype" w:eastAsia="Calibri" w:hAnsi="Palatino Linotype"/>
          <w:b/>
          <w:i/>
          <w:color w:val="000000"/>
        </w:rPr>
        <w:t xml:space="preserve">1.- </w:t>
      </w:r>
      <w:r w:rsidR="00AF4F73" w:rsidRPr="00606199">
        <w:rPr>
          <w:rFonts w:ascii="Palatino Linotype" w:eastAsia="Calibri" w:hAnsi="Palatino Linotype"/>
          <w:b/>
          <w:i/>
          <w:color w:val="000000"/>
        </w:rPr>
        <w:t xml:space="preserve">Conciliación de nómina de la segunda quincena del mes de diciembre de dos mil veinticinco; </w:t>
      </w:r>
    </w:p>
    <w:p w:rsidR="00AF4F73" w:rsidRPr="00606199" w:rsidRDefault="00AF4F73" w:rsidP="00B50F3B">
      <w:pPr>
        <w:pStyle w:val="Prrafodelista"/>
        <w:spacing w:after="160" w:line="259" w:lineRule="auto"/>
        <w:ind w:left="1134" w:right="900"/>
        <w:jc w:val="both"/>
        <w:rPr>
          <w:rFonts w:ascii="Palatino Linotype" w:eastAsia="Calibri" w:hAnsi="Palatino Linotype"/>
          <w:b/>
          <w:i/>
          <w:color w:val="000000"/>
        </w:rPr>
      </w:pPr>
    </w:p>
    <w:p w:rsidR="00AF4F73" w:rsidRPr="00606199" w:rsidRDefault="00AF4F73" w:rsidP="00B50F3B">
      <w:pPr>
        <w:pStyle w:val="Prrafodelista"/>
        <w:spacing w:after="160" w:line="259" w:lineRule="auto"/>
        <w:ind w:left="1134" w:right="900"/>
        <w:jc w:val="both"/>
        <w:rPr>
          <w:rFonts w:ascii="Palatino Linotype" w:eastAsia="Calibri" w:hAnsi="Palatino Linotype"/>
          <w:b/>
          <w:i/>
          <w:color w:val="000000"/>
        </w:rPr>
      </w:pPr>
      <w:r w:rsidRPr="00606199">
        <w:rPr>
          <w:rFonts w:ascii="Palatino Linotype" w:eastAsia="Calibri" w:hAnsi="Palatino Linotype"/>
          <w:b/>
          <w:i/>
          <w:color w:val="000000"/>
        </w:rPr>
        <w:t xml:space="preserve">2.- Conciliación de Nómina de la primera </w:t>
      </w:r>
      <w:r w:rsidR="00C73DE9" w:rsidRPr="00606199">
        <w:rPr>
          <w:rFonts w:ascii="Palatino Linotype" w:eastAsia="Calibri" w:hAnsi="Palatino Linotype"/>
          <w:b/>
          <w:i/>
          <w:color w:val="000000"/>
        </w:rPr>
        <w:t>quincena de enero de dos mil veintiséis;</w:t>
      </w:r>
      <w:r w:rsidR="00936FA3" w:rsidRPr="00606199">
        <w:rPr>
          <w:rFonts w:ascii="Palatino Linotype" w:eastAsia="Calibri" w:hAnsi="Palatino Linotype"/>
          <w:b/>
          <w:i/>
          <w:color w:val="000000"/>
        </w:rPr>
        <w:t xml:space="preserve"> y</w:t>
      </w:r>
    </w:p>
    <w:p w:rsidR="00936FA3" w:rsidRPr="00606199" w:rsidRDefault="00936FA3" w:rsidP="00B50F3B">
      <w:pPr>
        <w:pStyle w:val="Prrafodelista"/>
        <w:spacing w:after="160" w:line="259" w:lineRule="auto"/>
        <w:ind w:left="1134" w:right="900"/>
        <w:jc w:val="both"/>
        <w:rPr>
          <w:rFonts w:ascii="Palatino Linotype" w:eastAsia="Calibri" w:hAnsi="Palatino Linotype"/>
          <w:b/>
          <w:i/>
          <w:color w:val="000000"/>
        </w:rPr>
      </w:pPr>
    </w:p>
    <w:p w:rsidR="00C73DE9" w:rsidRPr="00606199" w:rsidRDefault="00C73DE9" w:rsidP="00B50F3B">
      <w:pPr>
        <w:pStyle w:val="Prrafodelista"/>
        <w:spacing w:after="160" w:line="259" w:lineRule="auto"/>
        <w:ind w:left="1134" w:right="900"/>
        <w:jc w:val="both"/>
        <w:rPr>
          <w:rFonts w:ascii="Palatino Linotype" w:eastAsia="Calibri" w:hAnsi="Palatino Linotype"/>
          <w:b/>
          <w:i/>
          <w:color w:val="000000"/>
        </w:rPr>
      </w:pPr>
      <w:r w:rsidRPr="00606199">
        <w:rPr>
          <w:rFonts w:ascii="Palatino Linotype" w:eastAsia="Calibri" w:hAnsi="Palatino Linotype"/>
          <w:b/>
          <w:i/>
          <w:color w:val="000000"/>
        </w:rPr>
        <w:t xml:space="preserve">3.- Conciliaciones de nómina que sustenten el pago de </w:t>
      </w:r>
      <w:r w:rsidR="00936FA3" w:rsidRPr="00606199">
        <w:rPr>
          <w:rFonts w:ascii="Palatino Linotype" w:eastAsia="Calibri" w:hAnsi="Palatino Linotype"/>
          <w:b/>
          <w:i/>
          <w:color w:val="000000"/>
        </w:rPr>
        <w:t xml:space="preserve">aguinaldos, primas vacacionales, gratificaciones, comisiones, dietas, bonos, estímulos, ingresos y sistemas de compensación, en el año dos mil veinticinco. </w:t>
      </w:r>
    </w:p>
    <w:p w:rsidR="00B50F3B" w:rsidRPr="00606199" w:rsidRDefault="00B50F3B" w:rsidP="00B50F3B">
      <w:pPr>
        <w:pBdr>
          <w:top w:val="nil"/>
          <w:left w:val="nil"/>
          <w:bottom w:val="nil"/>
          <w:right w:val="nil"/>
          <w:between w:val="nil"/>
        </w:pBdr>
        <w:spacing w:after="160" w:line="259" w:lineRule="auto"/>
        <w:jc w:val="both"/>
        <w:rPr>
          <w:rFonts w:ascii="Palatino Linotype" w:eastAsia="Calibri" w:hAnsi="Palatino Linotype"/>
          <w:b/>
          <w:i/>
          <w:color w:val="000000"/>
        </w:rPr>
      </w:pPr>
    </w:p>
    <w:p w:rsidR="00B50F3B" w:rsidRPr="00606199" w:rsidRDefault="00B50F3B" w:rsidP="00B50F3B">
      <w:pPr>
        <w:tabs>
          <w:tab w:val="left" w:pos="8080"/>
        </w:tabs>
        <w:spacing w:line="360" w:lineRule="auto"/>
        <w:ind w:right="49"/>
        <w:jc w:val="both"/>
        <w:rPr>
          <w:rFonts w:ascii="Palatino Linotype" w:eastAsia="Palatino Linotype" w:hAnsi="Palatino Linotype" w:cs="Palatino Linotype"/>
          <w:b/>
        </w:rPr>
      </w:pPr>
      <w:r w:rsidRPr="00606199">
        <w:rPr>
          <w:rFonts w:ascii="Palatino Linotype" w:eastAsia="Palatino Linotype" w:hAnsi="Palatino Linotype" w:cs="Palatino Linotype"/>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606199">
        <w:rPr>
          <w:rFonts w:ascii="Palatino Linotype" w:eastAsia="Palatino Linotype" w:hAnsi="Palatino Linotype" w:cs="Palatino Linotype"/>
          <w:b/>
        </w:rPr>
        <w:t>RECURRENTE.</w:t>
      </w:r>
    </w:p>
    <w:p w:rsidR="00936FA3" w:rsidRPr="00606199" w:rsidRDefault="00936FA3" w:rsidP="00B50F3B">
      <w:pPr>
        <w:tabs>
          <w:tab w:val="left" w:pos="8080"/>
        </w:tabs>
        <w:spacing w:line="360" w:lineRule="auto"/>
        <w:ind w:right="49"/>
        <w:jc w:val="both"/>
        <w:rPr>
          <w:rFonts w:ascii="Palatino Linotype" w:eastAsia="Palatino Linotype" w:hAnsi="Palatino Linotype" w:cs="Palatino Linotype"/>
          <w:b/>
        </w:rPr>
      </w:pPr>
    </w:p>
    <w:p w:rsidR="00936FA3" w:rsidRPr="00606199" w:rsidRDefault="00936FA3" w:rsidP="00936FA3">
      <w:pPr>
        <w:spacing w:after="160" w:line="360" w:lineRule="auto"/>
        <w:jc w:val="both"/>
        <w:rPr>
          <w:rFonts w:ascii="Palatino Linotype" w:eastAsia="Palatino Linotype" w:hAnsi="Palatino Linotype" w:cs="Palatino Linotype"/>
          <w:b/>
          <w:color w:val="000000"/>
          <w:lang w:val="es-MX" w:eastAsia="en-US"/>
        </w:rPr>
      </w:pPr>
      <w:r w:rsidRPr="00606199">
        <w:rPr>
          <w:rFonts w:ascii="Palatino Linotype" w:eastAsia="Palatino Linotype" w:hAnsi="Palatino Linotype" w:cs="Palatino Linotype"/>
          <w:color w:val="000000"/>
          <w:lang w:val="es-MX" w:eastAsia="en-US"/>
        </w:rPr>
        <w:t xml:space="preserve">Para el caso de </w:t>
      </w:r>
      <w:r w:rsidRPr="00606199">
        <w:rPr>
          <w:rFonts w:ascii="Palatino Linotype" w:eastAsia="Palatino Linotype" w:hAnsi="Palatino Linotype" w:cs="Palatino Linotype"/>
          <w:b/>
          <w:color w:val="000000"/>
          <w:lang w:val="es-MX" w:eastAsia="en-US"/>
        </w:rPr>
        <w:t xml:space="preserve">gratificaciones, primas, comisiones, dietas, bonos, estímulos, ingresos y sistemas de compensación, </w:t>
      </w:r>
      <w:r w:rsidRPr="00606199">
        <w:rPr>
          <w:rFonts w:ascii="Palatino Linotype" w:eastAsia="Palatino Linotype" w:hAnsi="Palatino Linotype" w:cs="Palatino Linotype"/>
          <w:color w:val="000000"/>
          <w:lang w:val="es-MX" w:eastAsia="en-US"/>
        </w:rPr>
        <w:t xml:space="preserve"> de ser el caso que no se hubieran generado pagos por dichos a conceptos a servidores públicos durante el año dos mil veinticinco bastará con que se haga del conocimiento del </w:t>
      </w:r>
      <w:r w:rsidRPr="00606199">
        <w:rPr>
          <w:rFonts w:ascii="Palatino Linotype" w:eastAsia="Palatino Linotype" w:hAnsi="Palatino Linotype" w:cs="Palatino Linotype"/>
          <w:b/>
          <w:color w:val="000000"/>
          <w:lang w:val="es-MX" w:eastAsia="en-US"/>
        </w:rPr>
        <w:t xml:space="preserve">RECURRENTE </w:t>
      </w:r>
      <w:r w:rsidRPr="00606199">
        <w:rPr>
          <w:rFonts w:ascii="Palatino Linotype" w:eastAsia="Palatino Linotype" w:hAnsi="Palatino Linotype" w:cs="Palatino Linotype"/>
          <w:color w:val="000000"/>
          <w:lang w:val="es-MX" w:eastAsia="en-US"/>
        </w:rPr>
        <w:t xml:space="preserve">de conformidad con el artículo 19 párrafo segundo de la Ley de Transparencia y Acceso a la Información Pública del Estado de México y Municipios. </w:t>
      </w:r>
    </w:p>
    <w:p w:rsidR="00B50F3B" w:rsidRPr="00606199" w:rsidRDefault="00B50F3B" w:rsidP="00B50F3B">
      <w:pPr>
        <w:tabs>
          <w:tab w:val="left" w:pos="284"/>
          <w:tab w:val="left" w:pos="8080"/>
        </w:tabs>
        <w:spacing w:line="360" w:lineRule="auto"/>
        <w:ind w:right="49"/>
        <w:jc w:val="both"/>
        <w:rPr>
          <w:rFonts w:ascii="Palatino Linotype" w:eastAsia="Palatino Linotype" w:hAnsi="Palatino Linotype" w:cs="Palatino Linotype"/>
          <w:b/>
        </w:rPr>
      </w:pPr>
    </w:p>
    <w:p w:rsidR="00B50F3B" w:rsidRPr="00606199" w:rsidRDefault="00B50F3B" w:rsidP="00B50F3B">
      <w:pPr>
        <w:tabs>
          <w:tab w:val="left" w:pos="284"/>
          <w:tab w:val="left" w:pos="8080"/>
        </w:tabs>
        <w:spacing w:line="360" w:lineRule="auto"/>
        <w:ind w:right="49"/>
        <w:jc w:val="both"/>
        <w:rPr>
          <w:rFonts w:ascii="Palatino Linotype" w:eastAsia="Palatino Linotype" w:hAnsi="Palatino Linotype" w:cs="Palatino Linotype"/>
          <w:color w:val="222222"/>
        </w:rPr>
      </w:pPr>
      <w:r w:rsidRPr="00606199">
        <w:rPr>
          <w:rFonts w:ascii="Palatino Linotype" w:eastAsia="Palatino Linotype" w:hAnsi="Palatino Linotype" w:cs="Palatino Linotype"/>
          <w:b/>
        </w:rPr>
        <w:t xml:space="preserve">TERCERO. </w:t>
      </w:r>
      <w:r w:rsidRPr="00606199">
        <w:rPr>
          <w:rFonts w:ascii="Palatino Linotype" w:eastAsia="Palatino Linotype" w:hAnsi="Palatino Linotype" w:cs="Palatino Linotype"/>
          <w:b/>
          <w:color w:val="222222"/>
        </w:rPr>
        <w:t>NOTIFÍQUESE</w:t>
      </w:r>
      <w:r w:rsidRPr="00606199">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606199">
        <w:rPr>
          <w:rFonts w:ascii="Palatino Linotype" w:eastAsia="Palatino Linotype" w:hAnsi="Palatino Linotype" w:cs="Palatino Linotype"/>
          <w:b/>
          <w:color w:val="222222"/>
        </w:rPr>
        <w:t>dé cumplimiento a lo ordenado dentro del plazo de diez días hábiles</w:t>
      </w:r>
      <w:r w:rsidRPr="00606199">
        <w:rPr>
          <w:rFonts w:ascii="Palatino Linotype" w:eastAsia="Palatino Linotype" w:hAnsi="Palatino Linotype" w:cs="Palatino Linotype"/>
          <w:color w:val="222222"/>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50F3B" w:rsidRPr="00606199" w:rsidRDefault="00B50F3B" w:rsidP="00B50F3B">
      <w:pPr>
        <w:tabs>
          <w:tab w:val="left" w:pos="284"/>
          <w:tab w:val="left" w:pos="8080"/>
        </w:tabs>
        <w:spacing w:line="360" w:lineRule="auto"/>
        <w:ind w:right="49"/>
        <w:jc w:val="both"/>
        <w:rPr>
          <w:rFonts w:ascii="Palatino Linotype" w:eastAsia="Palatino Linotype" w:hAnsi="Palatino Linotype" w:cs="Palatino Linotype"/>
          <w:color w:val="222222"/>
        </w:rPr>
      </w:pPr>
    </w:p>
    <w:p w:rsidR="00B50F3B" w:rsidRPr="00606199" w:rsidRDefault="00B50F3B" w:rsidP="00B50F3B">
      <w:pPr>
        <w:tabs>
          <w:tab w:val="left" w:pos="8080"/>
        </w:tabs>
        <w:spacing w:line="360" w:lineRule="auto"/>
        <w:ind w:right="49"/>
        <w:jc w:val="both"/>
        <w:rPr>
          <w:rFonts w:ascii="Palatino Linotype" w:eastAsia="Palatino Linotype" w:hAnsi="Palatino Linotype" w:cs="Palatino Linotype"/>
        </w:rPr>
      </w:pPr>
      <w:r w:rsidRPr="00606199">
        <w:rPr>
          <w:rFonts w:ascii="Palatino Linotype" w:eastAsia="Palatino Linotype" w:hAnsi="Palatino Linotype" w:cs="Palatino Linotype"/>
          <w:b/>
        </w:rPr>
        <w:t xml:space="preserve">CUARTO. </w:t>
      </w:r>
      <w:r w:rsidRPr="00606199">
        <w:rPr>
          <w:rFonts w:ascii="Palatino Linotype" w:eastAsia="Palatino Linotype" w:hAnsi="Palatino Linotype" w:cs="Palatino Linotype"/>
        </w:rPr>
        <w:t xml:space="preserve">Notifíquese a </w:t>
      </w:r>
      <w:r w:rsidRPr="00606199">
        <w:rPr>
          <w:rFonts w:ascii="Palatino Linotype" w:eastAsia="Palatino Linotype" w:hAnsi="Palatino Linotype" w:cs="Palatino Linotype"/>
          <w:b/>
        </w:rPr>
        <w:t>EL RECURRENTE</w:t>
      </w:r>
      <w:r w:rsidRPr="00606199">
        <w:rPr>
          <w:rFonts w:ascii="Palatino Linotype" w:eastAsia="Palatino Linotype" w:hAnsi="Palatino Linotype" w:cs="Palatino Linotype"/>
        </w:rPr>
        <w:t xml:space="preserve"> la presente resolución, vía SAIMEX.</w:t>
      </w:r>
    </w:p>
    <w:p w:rsidR="00B50F3B" w:rsidRPr="00606199" w:rsidRDefault="00B50F3B" w:rsidP="00B50F3B">
      <w:pPr>
        <w:shd w:val="clear" w:color="auto" w:fill="FFFFFF"/>
        <w:spacing w:line="360" w:lineRule="auto"/>
        <w:jc w:val="both"/>
        <w:rPr>
          <w:rFonts w:ascii="Palatino Linotype" w:eastAsia="Palatino Linotype" w:hAnsi="Palatino Linotype" w:cs="Palatino Linotype"/>
        </w:rPr>
      </w:pPr>
    </w:p>
    <w:p w:rsidR="00B50F3B" w:rsidRPr="00606199" w:rsidRDefault="00B50F3B" w:rsidP="00B50F3B">
      <w:pPr>
        <w:spacing w:line="360" w:lineRule="auto"/>
        <w:jc w:val="both"/>
        <w:rPr>
          <w:rFonts w:ascii="Palatino Linotype" w:eastAsia="Palatino Linotype" w:hAnsi="Palatino Linotype" w:cs="Palatino Linotype"/>
        </w:rPr>
      </w:pPr>
      <w:r w:rsidRPr="00606199">
        <w:rPr>
          <w:rFonts w:ascii="Palatino Linotype" w:eastAsia="Palatino Linotype" w:hAnsi="Palatino Linotype" w:cs="Palatino Linotype"/>
          <w:b/>
        </w:rPr>
        <w:lastRenderedPageBreak/>
        <w:t xml:space="preserve">QUINTO. Gírese </w:t>
      </w:r>
      <w:r w:rsidRPr="00606199">
        <w:rPr>
          <w:rFonts w:ascii="Palatino Linotype" w:eastAsia="Palatino Linotype" w:hAnsi="Palatino Linotype" w:cs="Palatino Linotype"/>
        </w:rPr>
        <w:t xml:space="preserve">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606199">
        <w:rPr>
          <w:rFonts w:ascii="Palatino Linotype" w:eastAsia="Palatino Linotype" w:hAnsi="Palatino Linotype" w:cs="Palatino Linotype"/>
          <w:b/>
        </w:rPr>
        <w:t>CUARTO</w:t>
      </w:r>
      <w:r w:rsidRPr="00606199">
        <w:rPr>
          <w:rFonts w:ascii="Palatino Linotype" w:eastAsia="Palatino Linotype" w:hAnsi="Palatino Linotype" w:cs="Palatino Linotype"/>
        </w:rPr>
        <w:t>.</w:t>
      </w:r>
    </w:p>
    <w:p w:rsidR="00B50F3B" w:rsidRPr="00606199" w:rsidRDefault="00B50F3B" w:rsidP="00B50F3B">
      <w:pPr>
        <w:shd w:val="clear" w:color="auto" w:fill="FFFFFF"/>
        <w:spacing w:line="360" w:lineRule="auto"/>
        <w:jc w:val="both"/>
        <w:rPr>
          <w:rFonts w:ascii="Palatino Linotype" w:eastAsia="Palatino Linotype" w:hAnsi="Palatino Linotype" w:cs="Palatino Linotype"/>
        </w:rPr>
      </w:pPr>
    </w:p>
    <w:p w:rsidR="00B50F3B" w:rsidRPr="00606199" w:rsidRDefault="00B50F3B" w:rsidP="00B50F3B">
      <w:pPr>
        <w:shd w:val="clear" w:color="auto" w:fill="FFFFFF"/>
        <w:spacing w:line="360" w:lineRule="auto"/>
        <w:jc w:val="both"/>
        <w:rPr>
          <w:rFonts w:ascii="Palatino Linotype" w:eastAsia="Palatino Linotype" w:hAnsi="Palatino Linotype" w:cs="Palatino Linotype"/>
        </w:rPr>
      </w:pPr>
      <w:r w:rsidRPr="00606199">
        <w:rPr>
          <w:rFonts w:ascii="Palatino Linotype" w:eastAsia="Palatino Linotype" w:hAnsi="Palatino Linotype" w:cs="Palatino Linotype"/>
          <w:b/>
        </w:rPr>
        <w:t>SEXTO</w:t>
      </w:r>
      <w:r w:rsidRPr="00606199">
        <w:rPr>
          <w:rFonts w:ascii="Palatino Linotype" w:eastAsia="Palatino Linotype" w:hAnsi="Palatino Linotype" w:cs="Palatino Linotype"/>
        </w:rPr>
        <w:t xml:space="preserve">. Hágase del conocimiento del </w:t>
      </w:r>
      <w:r w:rsidRPr="00606199">
        <w:rPr>
          <w:rFonts w:ascii="Palatino Linotype" w:eastAsia="Palatino Linotype" w:hAnsi="Palatino Linotype" w:cs="Palatino Linotype"/>
          <w:b/>
        </w:rPr>
        <w:t>RECURRENTE</w:t>
      </w:r>
      <w:r w:rsidRPr="00606199">
        <w:rPr>
          <w:rFonts w:ascii="Palatino Linotype" w:eastAsia="Palatino Linotype" w:hAnsi="Palatino Linotype" w:cs="Palatino Linotype"/>
        </w:rPr>
        <w:t xml:space="preserve"> que la respuesta que dé </w:t>
      </w:r>
      <w:r w:rsidRPr="00606199">
        <w:rPr>
          <w:rFonts w:ascii="Palatino Linotype" w:eastAsia="Palatino Linotype" w:hAnsi="Palatino Linotype" w:cs="Palatino Linotype"/>
          <w:b/>
        </w:rPr>
        <w:t>EL SUJETO OBLIGADO</w:t>
      </w:r>
      <w:r w:rsidRPr="00606199">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r w:rsidRPr="00606199">
        <w:rPr>
          <w:rFonts w:ascii="Palatino Linotype" w:eastAsia="Palatino Linotype" w:hAnsi="Palatino Linotype" w:cs="Palatino Linotype"/>
        </w:rPr>
        <w:tab/>
      </w:r>
    </w:p>
    <w:p w:rsidR="00B50F3B" w:rsidRPr="00606199" w:rsidRDefault="00B50F3B" w:rsidP="00B50F3B">
      <w:pPr>
        <w:shd w:val="clear" w:color="auto" w:fill="FFFFFF"/>
        <w:spacing w:line="360" w:lineRule="auto"/>
        <w:jc w:val="both"/>
        <w:rPr>
          <w:rFonts w:ascii="Palatino Linotype" w:eastAsia="Palatino Linotype" w:hAnsi="Palatino Linotype" w:cs="Palatino Linotype"/>
        </w:rPr>
      </w:pPr>
    </w:p>
    <w:p w:rsidR="00B50F3B" w:rsidRPr="00606199" w:rsidRDefault="00B50F3B" w:rsidP="00B50F3B">
      <w:pPr>
        <w:shd w:val="clear" w:color="auto" w:fill="FFFFFF"/>
        <w:spacing w:line="360" w:lineRule="auto"/>
        <w:jc w:val="both"/>
        <w:rPr>
          <w:rFonts w:ascii="Palatino Linotype" w:eastAsia="Palatino Linotype" w:hAnsi="Palatino Linotype" w:cs="Palatino Linotype"/>
        </w:rPr>
      </w:pPr>
      <w:r w:rsidRPr="00606199">
        <w:rPr>
          <w:rFonts w:ascii="Palatino Linotype" w:eastAsia="Palatino Linotype" w:hAnsi="Palatino Linotype" w:cs="Palatino Linotype"/>
          <w:b/>
        </w:rPr>
        <w:t>SÉPTIMA.</w:t>
      </w:r>
      <w:r w:rsidRPr="00606199">
        <w:rPr>
          <w:rFonts w:ascii="Palatino Linotype" w:eastAsia="Palatino Linotype" w:hAnsi="Palatino Linotype" w:cs="Palatino Linotype"/>
        </w:rPr>
        <w:t xml:space="preserve"> Se hace del conocimiento del </w:t>
      </w:r>
      <w:r w:rsidRPr="00606199">
        <w:rPr>
          <w:rFonts w:ascii="Palatino Linotype" w:eastAsia="Palatino Linotype" w:hAnsi="Palatino Linotype" w:cs="Palatino Linotype"/>
          <w:b/>
        </w:rPr>
        <w:t xml:space="preserve">RECURRENTE </w:t>
      </w:r>
      <w:r w:rsidRPr="00606199">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B50F3B" w:rsidRPr="00606199" w:rsidRDefault="00B50F3B" w:rsidP="00B50F3B">
      <w:pPr>
        <w:shd w:val="clear" w:color="auto" w:fill="FFFFFF"/>
        <w:spacing w:line="360" w:lineRule="auto"/>
        <w:jc w:val="both"/>
        <w:rPr>
          <w:rFonts w:ascii="Palatino Linotype" w:eastAsia="Palatino Linotype" w:hAnsi="Palatino Linotype" w:cs="Palatino Linotype"/>
        </w:rPr>
      </w:pPr>
    </w:p>
    <w:p w:rsidR="00600687" w:rsidRPr="00606199" w:rsidRDefault="00600687" w:rsidP="00600687">
      <w:pPr>
        <w:spacing w:before="240" w:after="240" w:line="360" w:lineRule="auto"/>
        <w:ind w:firstLine="1"/>
        <w:jc w:val="both"/>
        <w:rPr>
          <w:rFonts w:ascii="Palatino Linotype" w:hAnsi="Palatino Linotype"/>
        </w:rPr>
      </w:pPr>
      <w:bookmarkStart w:id="10" w:name="_heading=h.30j0zll" w:colFirst="0" w:colLast="0"/>
      <w:bookmarkStart w:id="11" w:name="_Hlk99014733"/>
      <w:bookmarkEnd w:id="10"/>
      <w:r w:rsidRPr="00606199">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CB60CD" w:rsidRPr="00606199">
        <w:rPr>
          <w:rFonts w:ascii="Palatino Linotype" w:hAnsi="Palatino Linotype" w:cs="Palatino Linotype"/>
        </w:rPr>
        <w:t xml:space="preserve">EMITIENDO VOTO PARTICULAR </w:t>
      </w:r>
      <w:r w:rsidRPr="00606199">
        <w:rPr>
          <w:rFonts w:ascii="Palatino Linotype" w:hAnsi="Palatino Linotype" w:cs="Palatino Linotype"/>
        </w:rPr>
        <w:t>Y GUADALUPE RAMÍREZ PEÑA</w:t>
      </w:r>
      <w:r w:rsidR="00CB60CD" w:rsidRPr="00606199">
        <w:rPr>
          <w:rFonts w:ascii="Palatino Linotype" w:hAnsi="Palatino Linotype" w:cs="Palatino Linotype"/>
        </w:rPr>
        <w:t xml:space="preserve"> EMITIENDO VOTO PARTICULAR</w:t>
      </w:r>
      <w:r w:rsidRPr="00606199">
        <w:rPr>
          <w:rFonts w:ascii="Palatino Linotype" w:hAnsi="Palatino Linotype" w:cs="Palatino Linotype"/>
        </w:rPr>
        <w:t xml:space="preserve">; EN LA DÉCIMA TERCERA SESIÓN ORDINARIA, CELEBRADA EL </w:t>
      </w:r>
      <w:r w:rsidRPr="00606199">
        <w:rPr>
          <w:rFonts w:ascii="Palatino Linotype" w:hAnsi="Palatino Linotype" w:cs="Palatino Linotype"/>
        </w:rPr>
        <w:lastRenderedPageBreak/>
        <w:t xml:space="preserve">QUINCE (15) DE ABRIL DE DOS MIL VEINTISÉIS, ANTE EL SECRETARIO TÉCNICO DEL PLENO </w:t>
      </w:r>
      <w:r w:rsidRPr="00606199">
        <w:rPr>
          <w:rFonts w:ascii="Palatino Linotype" w:hAnsi="Palatino Linotype" w:cs="Palatino Linotype"/>
          <w:color w:val="000000" w:themeColor="text1"/>
        </w:rPr>
        <w:t>ALEXIS TAPIA RAMÍREZ.</w:t>
      </w:r>
    </w:p>
    <w:bookmarkEnd w:id="11"/>
    <w:p w:rsidR="00B50F3B" w:rsidRPr="00606199" w:rsidRDefault="00B50F3B" w:rsidP="00B50F3B">
      <w:pPr>
        <w:spacing w:line="360" w:lineRule="auto"/>
        <w:rPr>
          <w:rFonts w:ascii="Palatino Linotype" w:eastAsia="Palatino Linotype" w:hAnsi="Palatino Linotype" w:cs="Palatino Linotype"/>
        </w:rPr>
      </w:pPr>
    </w:p>
    <w:p w:rsidR="00B50F3B" w:rsidRPr="00606199" w:rsidRDefault="00B50F3B" w:rsidP="00B50F3B">
      <w:pPr>
        <w:tabs>
          <w:tab w:val="left" w:pos="3374"/>
        </w:tabs>
        <w:spacing w:line="360" w:lineRule="auto"/>
        <w:rPr>
          <w:rFonts w:ascii="Palatino Linotype" w:eastAsia="Palatino Linotype" w:hAnsi="Palatino Linotype" w:cs="Palatino Linotype"/>
        </w:rPr>
      </w:pPr>
      <w:r w:rsidRPr="00606199">
        <w:rPr>
          <w:rFonts w:ascii="Palatino Linotype" w:eastAsia="Palatino Linotype" w:hAnsi="Palatino Linotype" w:cs="Palatino Linotype"/>
        </w:rPr>
        <w:tab/>
      </w:r>
    </w:p>
    <w:p w:rsidR="00B50F3B" w:rsidRPr="00606199" w:rsidRDefault="00B50F3B" w:rsidP="00B50F3B">
      <w:pPr>
        <w:tabs>
          <w:tab w:val="left" w:pos="3374"/>
        </w:tabs>
        <w:spacing w:line="360" w:lineRule="auto"/>
        <w:rPr>
          <w:rFonts w:ascii="Palatino Linotype" w:eastAsia="Palatino Linotype" w:hAnsi="Palatino Linotype" w:cs="Palatino Linotype"/>
        </w:rPr>
      </w:pPr>
    </w:p>
    <w:p w:rsidR="00B50F3B" w:rsidRPr="00606199" w:rsidRDefault="00B50F3B" w:rsidP="00B50F3B">
      <w:pPr>
        <w:tabs>
          <w:tab w:val="left" w:pos="3374"/>
        </w:tabs>
        <w:spacing w:line="360" w:lineRule="auto"/>
        <w:rPr>
          <w:rFonts w:ascii="Palatino Linotype" w:eastAsia="Palatino Linotype" w:hAnsi="Palatino Linotype" w:cs="Palatino Linotype"/>
        </w:rPr>
      </w:pPr>
    </w:p>
    <w:p w:rsidR="00B50F3B" w:rsidRPr="00606199" w:rsidRDefault="00B50F3B" w:rsidP="00B50F3B">
      <w:pPr>
        <w:tabs>
          <w:tab w:val="left" w:pos="3374"/>
        </w:tabs>
        <w:spacing w:line="360" w:lineRule="auto"/>
        <w:rPr>
          <w:rFonts w:ascii="Palatino Linotype" w:eastAsia="Palatino Linotype" w:hAnsi="Palatino Linotype" w:cs="Palatino Linotype"/>
        </w:rPr>
      </w:pPr>
    </w:p>
    <w:p w:rsidR="00B50F3B" w:rsidRPr="00606199" w:rsidRDefault="00B50F3B" w:rsidP="00B50F3B">
      <w:r w:rsidRPr="00606199">
        <w:rPr>
          <w:rFonts w:ascii="Palatino Linotype" w:eastAsia="Palatino Linotype" w:hAnsi="Palatino Linotype" w:cs="Palatino Linotype"/>
        </w:rPr>
        <w:t xml:space="preserve"> </w:t>
      </w:r>
    </w:p>
    <w:p w:rsidR="00B50F3B" w:rsidRPr="00606199" w:rsidRDefault="00B50F3B" w:rsidP="00B50F3B"/>
    <w:p w:rsidR="00B50F3B" w:rsidRPr="00606199" w:rsidRDefault="00B50F3B" w:rsidP="00B50F3B"/>
    <w:p w:rsidR="00B50F3B" w:rsidRPr="00606199" w:rsidRDefault="00B50F3B" w:rsidP="00B50F3B"/>
    <w:p w:rsidR="00B50F3B" w:rsidRPr="00606199" w:rsidRDefault="00B50F3B" w:rsidP="00B50F3B"/>
    <w:p w:rsidR="00B50F3B" w:rsidRPr="00606199" w:rsidRDefault="00B50F3B" w:rsidP="00B50F3B"/>
    <w:p w:rsidR="00B50F3B" w:rsidRPr="00606199" w:rsidRDefault="00B50F3B" w:rsidP="00B50F3B"/>
    <w:p w:rsidR="00B50F3B" w:rsidRPr="00606199" w:rsidRDefault="00B50F3B" w:rsidP="00B50F3B"/>
    <w:p w:rsidR="00B50F3B" w:rsidRPr="00606199" w:rsidRDefault="00B50F3B" w:rsidP="00B50F3B"/>
    <w:p w:rsidR="00B50F3B" w:rsidRPr="00606199" w:rsidRDefault="00B50F3B" w:rsidP="00B50F3B"/>
    <w:p w:rsidR="00B50F3B" w:rsidRPr="00606199" w:rsidRDefault="00B50F3B" w:rsidP="00B50F3B"/>
    <w:p w:rsidR="00731C20" w:rsidRDefault="00731C20"/>
    <w:p w:rsidR="00606199" w:rsidRDefault="00606199"/>
    <w:p w:rsidR="00606199" w:rsidRDefault="00606199"/>
    <w:p w:rsidR="00606199" w:rsidRDefault="00606199"/>
    <w:p w:rsidR="00606199" w:rsidRDefault="00606199"/>
    <w:p w:rsidR="00606199" w:rsidRDefault="00606199"/>
    <w:p w:rsidR="00606199" w:rsidRDefault="00606199"/>
    <w:p w:rsidR="00606199" w:rsidRDefault="00606199"/>
    <w:p w:rsidR="00606199" w:rsidRDefault="00606199"/>
    <w:p w:rsidR="00606199" w:rsidRDefault="00606199"/>
    <w:p w:rsidR="00606199" w:rsidRDefault="00606199"/>
    <w:p w:rsidR="00606199" w:rsidRDefault="00606199"/>
    <w:p w:rsidR="00606199" w:rsidRDefault="00606199"/>
    <w:p w:rsidR="00606199" w:rsidRDefault="00606199"/>
    <w:p w:rsidR="00606199" w:rsidRDefault="00606199"/>
    <w:p w:rsidR="00606199" w:rsidRDefault="00606199"/>
    <w:p w:rsidR="00606199" w:rsidRDefault="00606199"/>
    <w:p w:rsidR="00606199" w:rsidRPr="00606199" w:rsidRDefault="00606199"/>
    <w:sectPr w:rsidR="00606199" w:rsidRPr="00606199" w:rsidSect="00606199">
      <w:headerReference w:type="even" r:id="rId17"/>
      <w:headerReference w:type="default" r:id="rId18"/>
      <w:footerReference w:type="default" r:id="rId19"/>
      <w:headerReference w:type="first" r:id="rId20"/>
      <w:footerReference w:type="first" r:id="rId21"/>
      <w:pgSz w:w="12240" w:h="15840"/>
      <w:pgMar w:top="2268" w:right="616"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8F5" w:rsidRDefault="00EC08F5" w:rsidP="00B50F3B">
      <w:r>
        <w:separator/>
      </w:r>
    </w:p>
  </w:endnote>
  <w:endnote w:type="continuationSeparator" w:id="0">
    <w:p w:rsidR="00EC08F5" w:rsidRDefault="00EC08F5" w:rsidP="00B50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F73" w:rsidRDefault="00AF4F7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1161A">
      <w:rPr>
        <w:rFonts w:ascii="Palatino Linotype" w:eastAsia="Palatino Linotype" w:hAnsi="Palatino Linotype" w:cs="Palatino Linotype"/>
        <w:noProof/>
        <w:color w:val="000000"/>
        <w:sz w:val="20"/>
        <w:szCs w:val="20"/>
      </w:rPr>
      <w:t>55</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1161A">
      <w:rPr>
        <w:rFonts w:ascii="Palatino Linotype" w:eastAsia="Palatino Linotype" w:hAnsi="Palatino Linotype" w:cs="Palatino Linotype"/>
        <w:noProof/>
        <w:color w:val="000000"/>
        <w:sz w:val="20"/>
        <w:szCs w:val="20"/>
      </w:rPr>
      <w:t>55</w:t>
    </w:r>
    <w:r>
      <w:rPr>
        <w:rFonts w:ascii="Palatino Linotype" w:eastAsia="Palatino Linotype" w:hAnsi="Palatino Linotype" w:cs="Palatino Linotype"/>
        <w:color w:val="000000"/>
        <w:sz w:val="20"/>
        <w:szCs w:val="20"/>
      </w:rPr>
      <w:fldChar w:fldCharType="end"/>
    </w:r>
  </w:p>
  <w:p w:rsidR="00AF4F73" w:rsidRDefault="00AF4F73">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F73" w:rsidRDefault="00AF4F7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1161A">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1161A">
      <w:rPr>
        <w:rFonts w:ascii="Palatino Linotype" w:eastAsia="Palatino Linotype" w:hAnsi="Palatino Linotype" w:cs="Palatino Linotype"/>
        <w:noProof/>
        <w:color w:val="000000"/>
        <w:sz w:val="20"/>
        <w:szCs w:val="20"/>
      </w:rPr>
      <w:t>55</w:t>
    </w:r>
    <w:r>
      <w:rPr>
        <w:rFonts w:ascii="Palatino Linotype" w:eastAsia="Palatino Linotype" w:hAnsi="Palatino Linotype" w:cs="Palatino Linotype"/>
        <w:color w:val="000000"/>
        <w:sz w:val="20"/>
        <w:szCs w:val="20"/>
      </w:rPr>
      <w:fldChar w:fldCharType="end"/>
    </w:r>
  </w:p>
  <w:p w:rsidR="00AF4F73" w:rsidRDefault="00AF4F73">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8F5" w:rsidRDefault="00EC08F5" w:rsidP="00B50F3B">
      <w:r>
        <w:separator/>
      </w:r>
    </w:p>
  </w:footnote>
  <w:footnote w:type="continuationSeparator" w:id="0">
    <w:p w:rsidR="00EC08F5" w:rsidRDefault="00EC08F5" w:rsidP="00B50F3B">
      <w:r>
        <w:continuationSeparator/>
      </w:r>
    </w:p>
  </w:footnote>
  <w:footnote w:id="1">
    <w:p w:rsidR="00AF4F73" w:rsidRDefault="00AF4F73" w:rsidP="00B50F3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rsidR="00AF4F73" w:rsidRDefault="00AF4F73" w:rsidP="00B50F3B">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3">
    <w:p w:rsidR="00AF4F73" w:rsidRDefault="00AF4F73" w:rsidP="00B50F3B">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4">
    <w:p w:rsidR="00AF4F73" w:rsidRDefault="00AF4F73" w:rsidP="00B50F3B">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5">
    <w:p w:rsidR="00AF4F73" w:rsidRDefault="00AF4F73" w:rsidP="00B50F3B">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 w:id="6">
    <w:p w:rsidR="00AF4F73" w:rsidRDefault="00AF4F73" w:rsidP="000C75CA">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rsidR="00AF4F73" w:rsidRDefault="00AF4F73" w:rsidP="000C75CA">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7">
    <w:p w:rsidR="00AF4F73" w:rsidRDefault="00AF4F73" w:rsidP="000C75CA">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F73" w:rsidRDefault="00EC08F5">
    <w:pPr>
      <w:pBdr>
        <w:top w:val="nil"/>
        <w:left w:val="nil"/>
        <w:bottom w:val="nil"/>
        <w:right w:val="nil"/>
        <w:between w:val="nil"/>
      </w:pBdr>
      <w:tabs>
        <w:tab w:val="center" w:pos="4419"/>
        <w:tab w:val="right" w:pos="8838"/>
      </w:tabs>
      <w:rPr>
        <w:rFonts w:eastAsia="Calibri"/>
        <w:color w:val="000000"/>
      </w:rPr>
    </w:pPr>
    <w:r>
      <w:rPr>
        <w:rFonts w:eastAsia="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21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00" w:type="dxa"/>
      <w:tblInd w:w="2552" w:type="dxa"/>
      <w:tblLayout w:type="fixed"/>
      <w:tblLook w:val="0400" w:firstRow="0" w:lastRow="0" w:firstColumn="0" w:lastColumn="0" w:noHBand="0" w:noVBand="1"/>
    </w:tblPr>
    <w:tblGrid>
      <w:gridCol w:w="2976"/>
      <w:gridCol w:w="4624"/>
    </w:tblGrid>
    <w:tr w:rsidR="00AF4F73" w:rsidTr="00606199">
      <w:trPr>
        <w:trHeight w:val="227"/>
      </w:trPr>
      <w:tc>
        <w:tcPr>
          <w:tcW w:w="2976" w:type="dxa"/>
          <w:vAlign w:val="center"/>
        </w:tcPr>
        <w:p w:rsidR="00AF4F73" w:rsidRPr="00606199" w:rsidRDefault="00AF4F73">
          <w:pPr>
            <w:ind w:right="34"/>
            <w:jc w:val="right"/>
            <w:rPr>
              <w:rFonts w:ascii="Palatino Linotype" w:eastAsia="Palatino Linotype" w:hAnsi="Palatino Linotype" w:cs="Palatino Linotype"/>
              <w:b/>
              <w:szCs w:val="22"/>
            </w:rPr>
          </w:pPr>
          <w:r w:rsidRPr="00606199">
            <w:rPr>
              <w:rFonts w:ascii="Palatino Linotype" w:eastAsia="Palatino Linotype" w:hAnsi="Palatino Linotype" w:cs="Palatino Linotype"/>
              <w:b/>
              <w:szCs w:val="22"/>
            </w:rPr>
            <w:t>Recurso de Revisión:</w:t>
          </w:r>
        </w:p>
      </w:tc>
      <w:tc>
        <w:tcPr>
          <w:tcW w:w="4624" w:type="dxa"/>
          <w:vAlign w:val="center"/>
        </w:tcPr>
        <w:p w:rsidR="00AF4F73" w:rsidRPr="00606199" w:rsidRDefault="00AF4F73" w:rsidP="00C10D4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606199">
            <w:rPr>
              <w:rFonts w:ascii="Palatino Linotype" w:eastAsia="Palatino Linotype" w:hAnsi="Palatino Linotype" w:cs="Palatino Linotype"/>
              <w:color w:val="000000"/>
              <w:szCs w:val="22"/>
            </w:rPr>
            <w:t>02953/INFOEM/IP/RR/2026 y acumulado</w:t>
          </w:r>
        </w:p>
      </w:tc>
    </w:tr>
    <w:tr w:rsidR="00AF4F73" w:rsidTr="00606199">
      <w:trPr>
        <w:trHeight w:val="242"/>
      </w:trPr>
      <w:tc>
        <w:tcPr>
          <w:tcW w:w="2976" w:type="dxa"/>
          <w:vAlign w:val="center"/>
        </w:tcPr>
        <w:p w:rsidR="00AF4F73" w:rsidRPr="00606199" w:rsidRDefault="00AF4F73">
          <w:pPr>
            <w:ind w:right="34"/>
            <w:jc w:val="right"/>
            <w:rPr>
              <w:rFonts w:ascii="Palatino Linotype" w:eastAsia="Palatino Linotype" w:hAnsi="Palatino Linotype" w:cs="Palatino Linotype"/>
              <w:b/>
              <w:szCs w:val="22"/>
            </w:rPr>
          </w:pPr>
          <w:r w:rsidRPr="00606199">
            <w:rPr>
              <w:rFonts w:ascii="Palatino Linotype" w:eastAsia="Palatino Linotype" w:hAnsi="Palatino Linotype" w:cs="Palatino Linotype"/>
              <w:b/>
              <w:szCs w:val="22"/>
            </w:rPr>
            <w:t>Sujeto Obligado:</w:t>
          </w:r>
        </w:p>
      </w:tc>
      <w:tc>
        <w:tcPr>
          <w:tcW w:w="4624" w:type="dxa"/>
          <w:vAlign w:val="center"/>
        </w:tcPr>
        <w:p w:rsidR="00AF4F73" w:rsidRPr="00606199" w:rsidRDefault="00AF4F73">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606199">
            <w:rPr>
              <w:rFonts w:ascii="Palatino Linotype" w:eastAsia="Palatino Linotype" w:hAnsi="Palatino Linotype" w:cs="Palatino Linotype"/>
              <w:b/>
              <w:color w:val="000000"/>
              <w:szCs w:val="22"/>
            </w:rPr>
            <w:t>Ayuntamiento de Tepetlixpa</w:t>
          </w:r>
        </w:p>
      </w:tc>
    </w:tr>
    <w:tr w:rsidR="00AF4F73" w:rsidTr="00606199">
      <w:trPr>
        <w:trHeight w:val="342"/>
      </w:trPr>
      <w:tc>
        <w:tcPr>
          <w:tcW w:w="2976" w:type="dxa"/>
          <w:vAlign w:val="center"/>
        </w:tcPr>
        <w:p w:rsidR="00AF4F73" w:rsidRPr="00606199" w:rsidRDefault="00AF4F73">
          <w:pPr>
            <w:ind w:right="34"/>
            <w:jc w:val="right"/>
            <w:rPr>
              <w:rFonts w:ascii="Palatino Linotype" w:eastAsia="Palatino Linotype" w:hAnsi="Palatino Linotype" w:cs="Palatino Linotype"/>
              <w:b/>
              <w:szCs w:val="22"/>
            </w:rPr>
          </w:pPr>
          <w:r w:rsidRPr="00606199">
            <w:rPr>
              <w:rFonts w:ascii="Palatino Linotype" w:eastAsia="Palatino Linotype" w:hAnsi="Palatino Linotype" w:cs="Palatino Linotype"/>
              <w:b/>
              <w:szCs w:val="22"/>
            </w:rPr>
            <w:t>Comisionada Ponente:</w:t>
          </w:r>
        </w:p>
      </w:tc>
      <w:tc>
        <w:tcPr>
          <w:tcW w:w="4624" w:type="dxa"/>
          <w:vAlign w:val="center"/>
        </w:tcPr>
        <w:p w:rsidR="00AF4F73" w:rsidRPr="00606199" w:rsidRDefault="00AF4F7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606199">
            <w:rPr>
              <w:rFonts w:ascii="Palatino Linotype" w:eastAsia="Palatino Linotype" w:hAnsi="Palatino Linotype" w:cs="Palatino Linotype"/>
              <w:color w:val="000000"/>
              <w:szCs w:val="22"/>
            </w:rPr>
            <w:t>María del Rosario Mejía Ayala</w:t>
          </w:r>
        </w:p>
      </w:tc>
    </w:tr>
  </w:tbl>
  <w:p w:rsidR="00AF4F73" w:rsidRDefault="00EC08F5">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2.3pt;margin-top:-110.1pt;width:609.4pt;height:793.75pt;z-index:-251656192;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F73" w:rsidRDefault="00EC08F5">
    <w:pPr>
      <w:widowControl w:val="0"/>
      <w:pBdr>
        <w:top w:val="nil"/>
        <w:left w:val="nil"/>
        <w:bottom w:val="nil"/>
        <w:right w:val="nil"/>
        <w:between w:val="nil"/>
      </w:pBdr>
      <w:spacing w:line="276" w:lineRule="auto"/>
      <w:rPr>
        <w:rFonts w:eastAsia="Calibri"/>
        <w:color w:val="000000"/>
        <w:sz w:val="14"/>
        <w:szCs w:val="14"/>
      </w:rPr>
    </w:pPr>
    <w:r>
      <w:rPr>
        <w:rFonts w:eastAsia="Calibri"/>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4.55pt;margin-top:-124.05pt;width:609.4pt;height:793.75pt;z-index:-251655168;mso-position-horizontal-relative:margin;mso-position-vertical-relative:margin">
          <v:imagedata r:id="rId1" o:title="image1"/>
          <w10:wrap anchorx="margin" anchory="margin"/>
        </v:shape>
      </w:pict>
    </w:r>
  </w:p>
  <w:tbl>
    <w:tblPr>
      <w:tblW w:w="7654" w:type="dxa"/>
      <w:tblInd w:w="2694" w:type="dxa"/>
      <w:tblLayout w:type="fixed"/>
      <w:tblLook w:val="0400" w:firstRow="0" w:lastRow="0" w:firstColumn="0" w:lastColumn="0" w:noHBand="0" w:noVBand="1"/>
    </w:tblPr>
    <w:tblGrid>
      <w:gridCol w:w="2977"/>
      <w:gridCol w:w="4677"/>
    </w:tblGrid>
    <w:tr w:rsidR="00AF4F73" w:rsidTr="00606199">
      <w:trPr>
        <w:trHeight w:val="227"/>
      </w:trPr>
      <w:tc>
        <w:tcPr>
          <w:tcW w:w="2977" w:type="dxa"/>
          <w:vAlign w:val="center"/>
        </w:tcPr>
        <w:p w:rsidR="00AF4F73" w:rsidRPr="00606199" w:rsidRDefault="00AF4F73">
          <w:pPr>
            <w:jc w:val="right"/>
            <w:rPr>
              <w:rFonts w:ascii="Palatino Linotype" w:eastAsia="Palatino Linotype" w:hAnsi="Palatino Linotype" w:cs="Palatino Linotype"/>
              <w:b/>
              <w:szCs w:val="22"/>
            </w:rPr>
          </w:pPr>
          <w:r w:rsidRPr="00606199">
            <w:rPr>
              <w:rFonts w:ascii="Palatino Linotype" w:eastAsia="Palatino Linotype" w:hAnsi="Palatino Linotype" w:cs="Palatino Linotype"/>
              <w:b/>
              <w:szCs w:val="22"/>
            </w:rPr>
            <w:t>Recurso de Revisión:</w:t>
          </w:r>
        </w:p>
      </w:tc>
      <w:tc>
        <w:tcPr>
          <w:tcW w:w="4677" w:type="dxa"/>
          <w:vAlign w:val="center"/>
        </w:tcPr>
        <w:p w:rsidR="00AF4F73" w:rsidRPr="00606199" w:rsidRDefault="00AF4F7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606199">
            <w:rPr>
              <w:rFonts w:ascii="Palatino Linotype" w:eastAsia="Palatino Linotype" w:hAnsi="Palatino Linotype" w:cs="Palatino Linotype"/>
              <w:color w:val="000000"/>
              <w:szCs w:val="22"/>
            </w:rPr>
            <w:t>02953/INFOEM/IP/RR/2026 y acumulado</w:t>
          </w:r>
        </w:p>
      </w:tc>
    </w:tr>
    <w:tr w:rsidR="00AF4F73" w:rsidTr="00606199">
      <w:trPr>
        <w:trHeight w:val="242"/>
      </w:trPr>
      <w:tc>
        <w:tcPr>
          <w:tcW w:w="2977" w:type="dxa"/>
          <w:vAlign w:val="center"/>
        </w:tcPr>
        <w:p w:rsidR="00AF4F73" w:rsidRPr="00606199" w:rsidRDefault="00AF4F73">
          <w:pPr>
            <w:jc w:val="right"/>
            <w:rPr>
              <w:rFonts w:ascii="Palatino Linotype" w:eastAsia="Palatino Linotype" w:hAnsi="Palatino Linotype" w:cs="Palatino Linotype"/>
              <w:b/>
              <w:szCs w:val="22"/>
            </w:rPr>
          </w:pPr>
          <w:r w:rsidRPr="00606199">
            <w:rPr>
              <w:rFonts w:ascii="Palatino Linotype" w:eastAsia="Palatino Linotype" w:hAnsi="Palatino Linotype" w:cs="Palatino Linotype"/>
              <w:b/>
              <w:szCs w:val="22"/>
            </w:rPr>
            <w:t>Recurrente:</w:t>
          </w:r>
        </w:p>
      </w:tc>
      <w:tc>
        <w:tcPr>
          <w:tcW w:w="4677" w:type="dxa"/>
        </w:tcPr>
        <w:p w:rsidR="00AF4F73" w:rsidRPr="00606199" w:rsidRDefault="00AF4F73" w:rsidP="00B1161A">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Cs w:val="22"/>
              <w:highlight w:val="green"/>
            </w:rPr>
          </w:pPr>
          <w:r w:rsidRPr="00606199">
            <w:rPr>
              <w:rFonts w:ascii="Palatino Linotype" w:eastAsia="Palatino Linotype" w:hAnsi="Palatino Linotype" w:cs="Palatino Linotype"/>
              <w:b/>
              <w:bCs/>
              <w:color w:val="000000"/>
              <w:szCs w:val="22"/>
            </w:rPr>
            <w:t> </w:t>
          </w:r>
          <w:r w:rsidR="00B1161A">
            <w:rPr>
              <w:rFonts w:ascii="Palatino Linotype" w:eastAsia="Palatino Linotype" w:hAnsi="Palatino Linotype" w:cs="Palatino Linotype"/>
              <w:b/>
              <w:bCs/>
              <w:color w:val="000000"/>
              <w:szCs w:val="22"/>
            </w:rPr>
            <w:t>XXXX</w:t>
          </w:r>
        </w:p>
      </w:tc>
    </w:tr>
    <w:tr w:rsidR="00AF4F73" w:rsidTr="00606199">
      <w:trPr>
        <w:trHeight w:val="342"/>
      </w:trPr>
      <w:tc>
        <w:tcPr>
          <w:tcW w:w="2977" w:type="dxa"/>
          <w:vAlign w:val="center"/>
        </w:tcPr>
        <w:p w:rsidR="00AF4F73" w:rsidRPr="00606199" w:rsidRDefault="00AF4F73">
          <w:pPr>
            <w:jc w:val="right"/>
            <w:rPr>
              <w:rFonts w:ascii="Palatino Linotype" w:eastAsia="Palatino Linotype" w:hAnsi="Palatino Linotype" w:cs="Palatino Linotype"/>
              <w:b/>
              <w:szCs w:val="22"/>
            </w:rPr>
          </w:pPr>
          <w:r w:rsidRPr="00606199">
            <w:rPr>
              <w:rFonts w:ascii="Palatino Linotype" w:eastAsia="Palatino Linotype" w:hAnsi="Palatino Linotype" w:cs="Palatino Linotype"/>
              <w:b/>
              <w:szCs w:val="22"/>
            </w:rPr>
            <w:t>Sujeto Obligado:</w:t>
          </w:r>
        </w:p>
      </w:tc>
      <w:tc>
        <w:tcPr>
          <w:tcW w:w="4677" w:type="dxa"/>
          <w:vAlign w:val="center"/>
        </w:tcPr>
        <w:p w:rsidR="00AF4F73" w:rsidRPr="00606199" w:rsidRDefault="00AF4F73">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606199">
            <w:rPr>
              <w:rFonts w:ascii="Palatino Linotype" w:eastAsia="Palatino Linotype" w:hAnsi="Palatino Linotype" w:cs="Palatino Linotype"/>
              <w:b/>
              <w:color w:val="000000"/>
              <w:szCs w:val="22"/>
            </w:rPr>
            <w:t>Ayuntamiento de Tepetlixpa</w:t>
          </w:r>
        </w:p>
      </w:tc>
    </w:tr>
    <w:tr w:rsidR="00AF4F73" w:rsidTr="00606199">
      <w:trPr>
        <w:trHeight w:val="342"/>
      </w:trPr>
      <w:tc>
        <w:tcPr>
          <w:tcW w:w="2977" w:type="dxa"/>
          <w:vAlign w:val="center"/>
        </w:tcPr>
        <w:p w:rsidR="00AF4F73" w:rsidRPr="00606199" w:rsidRDefault="00AF4F73">
          <w:pPr>
            <w:jc w:val="right"/>
            <w:rPr>
              <w:rFonts w:ascii="Palatino Linotype" w:eastAsia="Palatino Linotype" w:hAnsi="Palatino Linotype" w:cs="Palatino Linotype"/>
              <w:b/>
              <w:szCs w:val="22"/>
            </w:rPr>
          </w:pPr>
          <w:r w:rsidRPr="00606199">
            <w:rPr>
              <w:rFonts w:ascii="Palatino Linotype" w:eastAsia="Palatino Linotype" w:hAnsi="Palatino Linotype" w:cs="Palatino Linotype"/>
              <w:b/>
              <w:szCs w:val="22"/>
            </w:rPr>
            <w:t>Comisionada Ponente:</w:t>
          </w:r>
        </w:p>
      </w:tc>
      <w:tc>
        <w:tcPr>
          <w:tcW w:w="4677" w:type="dxa"/>
          <w:vAlign w:val="center"/>
        </w:tcPr>
        <w:p w:rsidR="00AF4F73" w:rsidRPr="00606199" w:rsidRDefault="00AF4F73">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606199">
            <w:rPr>
              <w:rFonts w:ascii="Palatino Linotype" w:eastAsia="Palatino Linotype" w:hAnsi="Palatino Linotype" w:cs="Palatino Linotype"/>
              <w:color w:val="000000"/>
              <w:szCs w:val="22"/>
            </w:rPr>
            <w:t>María del Rosario Mejía Ayala</w:t>
          </w:r>
        </w:p>
      </w:tc>
    </w:tr>
  </w:tbl>
  <w:p w:rsidR="00AF4F73" w:rsidRDefault="00AF4F73">
    <w:pPr>
      <w:pBdr>
        <w:top w:val="nil"/>
        <w:left w:val="nil"/>
        <w:bottom w:val="nil"/>
        <w:right w:val="nil"/>
        <w:between w:val="nil"/>
      </w:pBdr>
      <w:tabs>
        <w:tab w:val="center" w:pos="4419"/>
        <w:tab w:val="right" w:pos="8838"/>
      </w:tabs>
      <w:rPr>
        <w:rFonts w:eastAsia="Calibri"/>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4237C"/>
    <w:multiLevelType w:val="multilevel"/>
    <w:tmpl w:val="EBD6126E"/>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06092A13"/>
    <w:multiLevelType w:val="multilevel"/>
    <w:tmpl w:val="A46C455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304E5D"/>
    <w:multiLevelType w:val="multilevel"/>
    <w:tmpl w:val="F476FF8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65484D"/>
    <w:multiLevelType w:val="multilevel"/>
    <w:tmpl w:val="E0083BC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8046A0"/>
    <w:multiLevelType w:val="multilevel"/>
    <w:tmpl w:val="7C066CA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5" w15:restartNumberingAfterBreak="0">
    <w:nsid w:val="31D73014"/>
    <w:multiLevelType w:val="multilevel"/>
    <w:tmpl w:val="57B2D00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3284339E"/>
    <w:multiLevelType w:val="multilevel"/>
    <w:tmpl w:val="F62E03B8"/>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 w15:restartNumberingAfterBreak="0">
    <w:nsid w:val="37B12E1E"/>
    <w:multiLevelType w:val="multilevel"/>
    <w:tmpl w:val="3626A2AC"/>
    <w:lvl w:ilvl="0">
      <w:start w:val="1"/>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ED57E6E"/>
    <w:multiLevelType w:val="multilevel"/>
    <w:tmpl w:val="40626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FF0A1C"/>
    <w:multiLevelType w:val="multilevel"/>
    <w:tmpl w:val="FC6671EA"/>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CE1337"/>
    <w:multiLevelType w:val="multilevel"/>
    <w:tmpl w:val="BF64D8A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15:restartNumberingAfterBreak="0">
    <w:nsid w:val="6C165093"/>
    <w:multiLevelType w:val="multilevel"/>
    <w:tmpl w:val="C37C0E4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0D32B83"/>
    <w:multiLevelType w:val="multilevel"/>
    <w:tmpl w:val="DB422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8"/>
  </w:num>
  <w:num w:numId="4">
    <w:abstractNumId w:val="12"/>
  </w:num>
  <w:num w:numId="5">
    <w:abstractNumId w:val="6"/>
  </w:num>
  <w:num w:numId="6">
    <w:abstractNumId w:val="3"/>
  </w:num>
  <w:num w:numId="7">
    <w:abstractNumId w:val="10"/>
  </w:num>
  <w:num w:numId="8">
    <w:abstractNumId w:val="7"/>
  </w:num>
  <w:num w:numId="9">
    <w:abstractNumId w:val="2"/>
  </w:num>
  <w:num w:numId="10">
    <w:abstractNumId w:val="9"/>
  </w:num>
  <w:num w:numId="11">
    <w:abstractNumId w:val="11"/>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F3B"/>
    <w:rsid w:val="00001787"/>
    <w:rsid w:val="00083465"/>
    <w:rsid w:val="000B69B7"/>
    <w:rsid w:val="000C75CA"/>
    <w:rsid w:val="000E68CB"/>
    <w:rsid w:val="001301EA"/>
    <w:rsid w:val="001531DA"/>
    <w:rsid w:val="0017043D"/>
    <w:rsid w:val="001832E9"/>
    <w:rsid w:val="001B3407"/>
    <w:rsid w:val="00202F45"/>
    <w:rsid w:val="00220494"/>
    <w:rsid w:val="002205DA"/>
    <w:rsid w:val="00327B05"/>
    <w:rsid w:val="003D359C"/>
    <w:rsid w:val="003E1D4A"/>
    <w:rsid w:val="003E474E"/>
    <w:rsid w:val="00403C36"/>
    <w:rsid w:val="00437FFC"/>
    <w:rsid w:val="004474A1"/>
    <w:rsid w:val="004A6506"/>
    <w:rsid w:val="004D6367"/>
    <w:rsid w:val="004E320C"/>
    <w:rsid w:val="00514F28"/>
    <w:rsid w:val="005228C1"/>
    <w:rsid w:val="00532EB3"/>
    <w:rsid w:val="005A3013"/>
    <w:rsid w:val="005B2053"/>
    <w:rsid w:val="00600687"/>
    <w:rsid w:val="00606199"/>
    <w:rsid w:val="0063669A"/>
    <w:rsid w:val="00651D99"/>
    <w:rsid w:val="00660B1A"/>
    <w:rsid w:val="006C2898"/>
    <w:rsid w:val="00731C20"/>
    <w:rsid w:val="007A7F35"/>
    <w:rsid w:val="007C2E8B"/>
    <w:rsid w:val="007D1786"/>
    <w:rsid w:val="008524A6"/>
    <w:rsid w:val="00884836"/>
    <w:rsid w:val="00917991"/>
    <w:rsid w:val="00936FA3"/>
    <w:rsid w:val="009426E6"/>
    <w:rsid w:val="009534F9"/>
    <w:rsid w:val="009752A2"/>
    <w:rsid w:val="009B621A"/>
    <w:rsid w:val="009D3C1C"/>
    <w:rsid w:val="00A35226"/>
    <w:rsid w:val="00A50C46"/>
    <w:rsid w:val="00A63142"/>
    <w:rsid w:val="00AF07D5"/>
    <w:rsid w:val="00AF4F73"/>
    <w:rsid w:val="00AF7A03"/>
    <w:rsid w:val="00B1161A"/>
    <w:rsid w:val="00B50F3B"/>
    <w:rsid w:val="00C0384B"/>
    <w:rsid w:val="00C10D48"/>
    <w:rsid w:val="00C22799"/>
    <w:rsid w:val="00C61C18"/>
    <w:rsid w:val="00C73DE9"/>
    <w:rsid w:val="00CB60CD"/>
    <w:rsid w:val="00D033AD"/>
    <w:rsid w:val="00D508BA"/>
    <w:rsid w:val="00DC62C6"/>
    <w:rsid w:val="00E157C0"/>
    <w:rsid w:val="00E952E8"/>
    <w:rsid w:val="00EC08F5"/>
    <w:rsid w:val="00EC7A85"/>
    <w:rsid w:val="00ED1548"/>
    <w:rsid w:val="00EF3562"/>
    <w:rsid w:val="00EF5DEE"/>
    <w:rsid w:val="00F14277"/>
    <w:rsid w:val="00F26960"/>
    <w:rsid w:val="00F34F4F"/>
    <w:rsid w:val="00FE64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B26D3C4-5DDC-498D-9070-7035BC6E3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F3B"/>
    <w:pPr>
      <w:spacing w:after="0" w:line="240" w:lineRule="auto"/>
    </w:pPr>
    <w:rPr>
      <w:rFonts w:ascii="Calibri" w:eastAsiaTheme="minorEastAsia" w:hAnsi="Calibri" w:cs="Calibri"/>
      <w:sz w:val="24"/>
      <w:szCs w:val="24"/>
      <w:lang w:val="es-ES_tradnl" w:eastAsia="es-ES"/>
    </w:rPr>
  </w:style>
  <w:style w:type="paragraph" w:styleId="Ttulo1">
    <w:name w:val="heading 1"/>
    <w:basedOn w:val="Normal"/>
    <w:next w:val="Normal"/>
    <w:link w:val="Ttulo1Car"/>
    <w:uiPriority w:val="9"/>
    <w:qFormat/>
    <w:rsid w:val="00B50F3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50F3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0F3B"/>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B50F3B"/>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50F3B"/>
    <w:pPr>
      <w:ind w:left="720"/>
      <w:contextualSpacing/>
    </w:pPr>
  </w:style>
  <w:style w:type="table" w:styleId="Tablaconcuadrcula">
    <w:name w:val="Table Grid"/>
    <w:basedOn w:val="Tablanormal"/>
    <w:uiPriority w:val="39"/>
    <w:rsid w:val="00B50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50F3B"/>
    <w:rPr>
      <w:rFonts w:ascii="Calibri" w:eastAsiaTheme="minorEastAsia" w:hAnsi="Calibri" w:cs="Calibri"/>
      <w:sz w:val="24"/>
      <w:szCs w:val="24"/>
      <w:lang w:val="es-ES_tradnl" w:eastAsia="es-ES"/>
    </w:rPr>
  </w:style>
  <w:style w:type="character" w:styleId="Hipervnculo">
    <w:name w:val="Hyperlink"/>
    <w:basedOn w:val="Fuentedeprrafopredeter"/>
    <w:uiPriority w:val="99"/>
    <w:unhideWhenUsed/>
    <w:rsid w:val="00B50F3B"/>
    <w:rPr>
      <w:color w:val="0563C1" w:themeColor="hyperlink"/>
      <w:u w:val="single"/>
    </w:rPr>
  </w:style>
  <w:style w:type="paragraph" w:styleId="Piedepgina">
    <w:name w:val="footer"/>
    <w:basedOn w:val="Normal"/>
    <w:link w:val="PiedepginaCar"/>
    <w:uiPriority w:val="99"/>
    <w:unhideWhenUsed/>
    <w:rsid w:val="00220494"/>
    <w:pPr>
      <w:tabs>
        <w:tab w:val="center" w:pos="4419"/>
        <w:tab w:val="right" w:pos="8838"/>
      </w:tabs>
    </w:pPr>
  </w:style>
  <w:style w:type="character" w:customStyle="1" w:styleId="PiedepginaCar">
    <w:name w:val="Pie de página Car"/>
    <w:basedOn w:val="Fuentedeprrafopredeter"/>
    <w:link w:val="Piedepgina"/>
    <w:uiPriority w:val="99"/>
    <w:rsid w:val="00220494"/>
    <w:rPr>
      <w:rFonts w:ascii="Calibri" w:eastAsiaTheme="minorEastAsia" w:hAnsi="Calibri" w:cs="Calibri"/>
      <w:sz w:val="24"/>
      <w:szCs w:val="24"/>
      <w:lang w:val="es-ES_tradnl" w:eastAsia="es-ES"/>
    </w:rPr>
  </w:style>
  <w:style w:type="table" w:styleId="Tabladecuadrcula5oscura">
    <w:name w:val="Grid Table 5 Dark"/>
    <w:basedOn w:val="Tablanormal"/>
    <w:uiPriority w:val="50"/>
    <w:rsid w:val="00AF07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lista4">
    <w:name w:val="List Table 4"/>
    <w:basedOn w:val="Tablanormal"/>
    <w:uiPriority w:val="49"/>
    <w:rsid w:val="00AF07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202F45"/>
    <w:rPr>
      <w:sz w:val="16"/>
      <w:szCs w:val="16"/>
    </w:rPr>
  </w:style>
  <w:style w:type="paragraph" w:styleId="Textocomentario">
    <w:name w:val="annotation text"/>
    <w:basedOn w:val="Normal"/>
    <w:link w:val="TextocomentarioCar"/>
    <w:uiPriority w:val="99"/>
    <w:semiHidden/>
    <w:unhideWhenUsed/>
    <w:rsid w:val="00202F45"/>
    <w:rPr>
      <w:sz w:val="20"/>
      <w:szCs w:val="20"/>
    </w:rPr>
  </w:style>
  <w:style w:type="character" w:customStyle="1" w:styleId="TextocomentarioCar">
    <w:name w:val="Texto comentario Car"/>
    <w:basedOn w:val="Fuentedeprrafopredeter"/>
    <w:link w:val="Textocomentario"/>
    <w:uiPriority w:val="99"/>
    <w:semiHidden/>
    <w:rsid w:val="00202F45"/>
    <w:rPr>
      <w:rFonts w:ascii="Calibri" w:eastAsiaTheme="minorEastAsia" w:hAnsi="Calibri" w:cs="Calibri"/>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202F45"/>
    <w:rPr>
      <w:b/>
      <w:bCs/>
    </w:rPr>
  </w:style>
  <w:style w:type="character" w:customStyle="1" w:styleId="AsuntodelcomentarioCar">
    <w:name w:val="Asunto del comentario Car"/>
    <w:basedOn w:val="TextocomentarioCar"/>
    <w:link w:val="Asuntodelcomentario"/>
    <w:uiPriority w:val="99"/>
    <w:semiHidden/>
    <w:rsid w:val="00202F45"/>
    <w:rPr>
      <w:rFonts w:ascii="Calibri" w:eastAsiaTheme="minorEastAsia" w:hAnsi="Calibri" w:cs="Calibri"/>
      <w:b/>
      <w:bCs/>
      <w:sz w:val="20"/>
      <w:szCs w:val="20"/>
      <w:lang w:val="es-ES_tradnl" w:eastAsia="es-ES"/>
    </w:rPr>
  </w:style>
  <w:style w:type="paragraph" w:styleId="Textodeglobo">
    <w:name w:val="Balloon Text"/>
    <w:basedOn w:val="Normal"/>
    <w:link w:val="TextodegloboCar"/>
    <w:uiPriority w:val="99"/>
    <w:semiHidden/>
    <w:unhideWhenUsed/>
    <w:rsid w:val="00202F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2F45"/>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55</Pages>
  <Words>13715</Words>
  <Characters>75436</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88974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8</cp:revision>
  <cp:lastPrinted>2026-04-17T17:17:00Z</cp:lastPrinted>
  <dcterms:created xsi:type="dcterms:W3CDTF">2026-04-09T19:08:00Z</dcterms:created>
  <dcterms:modified xsi:type="dcterms:W3CDTF">2026-04-22T20:06:00Z</dcterms:modified>
</cp:coreProperties>
</file>