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1156" w:rsidRPr="009A27DF" w:rsidRDefault="00BA1156" w:rsidP="00BA1156">
      <w:pPr>
        <w:spacing w:line="360" w:lineRule="auto"/>
        <w:jc w:val="both"/>
        <w:rPr>
          <w:rFonts w:ascii="Palatino Linotype" w:eastAsia="Palatino Linotype" w:hAnsi="Palatino Linotype" w:cs="Palatino Linotype"/>
          <w:b/>
        </w:rPr>
      </w:pPr>
      <w:bookmarkStart w:id="0" w:name="_GoBack"/>
      <w:bookmarkEnd w:id="0"/>
      <w:r w:rsidRPr="009A27DF">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w:t>
      </w:r>
      <w:r w:rsidR="00301C60" w:rsidRPr="009A27DF">
        <w:rPr>
          <w:rFonts w:ascii="Palatino Linotype" w:eastAsia="Palatino Linotype" w:hAnsi="Palatino Linotype" w:cs="Palatino Linotype"/>
        </w:rPr>
        <w:t xml:space="preserve">Estado de México; </w:t>
      </w:r>
      <w:r w:rsidR="00301C60" w:rsidRPr="009A27DF">
        <w:rPr>
          <w:rFonts w:ascii="Palatino Linotype" w:eastAsia="Palatino Linotype" w:hAnsi="Palatino Linotype" w:cs="Palatino Linotype"/>
          <w:b/>
        </w:rPr>
        <w:t>de fecha dieciocho</w:t>
      </w:r>
      <w:r w:rsidR="009A27DF" w:rsidRPr="009A27DF">
        <w:rPr>
          <w:rFonts w:ascii="Palatino Linotype" w:eastAsia="Palatino Linotype" w:hAnsi="Palatino Linotype" w:cs="Palatino Linotype"/>
          <w:b/>
        </w:rPr>
        <w:t xml:space="preserve"> (18)</w:t>
      </w:r>
      <w:r w:rsidRPr="009A27DF">
        <w:rPr>
          <w:rFonts w:ascii="Palatino Linotype" w:eastAsia="Palatino Linotype" w:hAnsi="Palatino Linotype" w:cs="Palatino Linotype"/>
          <w:b/>
        </w:rPr>
        <w:t xml:space="preserve"> de febrero de dos mil veintiséis</w:t>
      </w:r>
    </w:p>
    <w:p w:rsidR="00A62010" w:rsidRPr="009A27DF" w:rsidRDefault="00A62010" w:rsidP="00BA1156">
      <w:pPr>
        <w:spacing w:line="360" w:lineRule="auto"/>
        <w:jc w:val="both"/>
        <w:rPr>
          <w:rFonts w:ascii="Palatino Linotype" w:eastAsia="Palatino Linotype" w:hAnsi="Palatino Linotype" w:cs="Palatino Linotype"/>
        </w:rPr>
      </w:pPr>
    </w:p>
    <w:p w:rsidR="00BA1156" w:rsidRPr="009A27DF" w:rsidRDefault="00BA1156" w:rsidP="00BA1156">
      <w:pPr>
        <w:spacing w:line="360" w:lineRule="auto"/>
        <w:jc w:val="both"/>
        <w:rPr>
          <w:rFonts w:ascii="Palatino Linotype" w:eastAsia="Palatino Linotype" w:hAnsi="Palatino Linotype" w:cs="Palatino Linotype"/>
        </w:rPr>
      </w:pPr>
      <w:r w:rsidRPr="009A27DF">
        <w:rPr>
          <w:rFonts w:ascii="Palatino Linotype" w:eastAsia="Palatino Linotype" w:hAnsi="Palatino Linotype" w:cs="Palatino Linotype"/>
          <w:b/>
        </w:rPr>
        <w:t>VISTO</w:t>
      </w:r>
      <w:r w:rsidRPr="009A27DF">
        <w:rPr>
          <w:rFonts w:ascii="Palatino Linotype" w:eastAsia="Palatino Linotype" w:hAnsi="Palatino Linotype" w:cs="Palatino Linotype"/>
        </w:rPr>
        <w:t xml:space="preserve"> el expediente electrónico formado con motivo del recurso de revisión </w:t>
      </w:r>
      <w:r w:rsidR="00301C60" w:rsidRPr="009A27DF">
        <w:rPr>
          <w:rFonts w:ascii="Palatino Linotype" w:eastAsia="Palatino Linotype" w:hAnsi="Palatino Linotype" w:cs="Palatino Linotype"/>
          <w:b/>
        </w:rPr>
        <w:t>08358</w:t>
      </w:r>
      <w:r w:rsidRPr="009A27DF">
        <w:rPr>
          <w:rFonts w:ascii="Palatino Linotype" w:eastAsia="Palatino Linotype" w:hAnsi="Palatino Linotype" w:cs="Palatino Linotype"/>
          <w:b/>
        </w:rPr>
        <w:t xml:space="preserve">/INFOEM/IP/RR/2025, </w:t>
      </w:r>
      <w:r w:rsidRPr="009A27DF">
        <w:rPr>
          <w:rFonts w:ascii="Palatino Linotype" w:eastAsia="Palatino Linotype" w:hAnsi="Palatino Linotype" w:cs="Palatino Linotype"/>
        </w:rPr>
        <w:t xml:space="preserve">promovido por </w:t>
      </w:r>
      <w:r w:rsidR="008D146B">
        <w:rPr>
          <w:rFonts w:ascii="Palatino Linotype" w:eastAsia="Palatino Linotype" w:hAnsi="Palatino Linotype" w:cs="Palatino Linotype"/>
          <w:b/>
          <w:bCs/>
        </w:rPr>
        <w:t>XXXX</w:t>
      </w:r>
      <w:r w:rsidRPr="009A27DF">
        <w:rPr>
          <w:rFonts w:ascii="Palatino Linotype" w:eastAsia="Palatino Linotype" w:hAnsi="Palatino Linotype" w:cs="Palatino Linotype"/>
          <w:b/>
        </w:rPr>
        <w:t>,</w:t>
      </w:r>
      <w:r w:rsidRPr="009A27DF">
        <w:rPr>
          <w:rFonts w:ascii="Palatino Linotype" w:eastAsia="Palatino Linotype" w:hAnsi="Palatino Linotype" w:cs="Palatino Linotype"/>
        </w:rPr>
        <w:t xml:space="preserve"> a quien en lo sucesivo se identificará como </w:t>
      </w:r>
      <w:r w:rsidRPr="009A27DF">
        <w:rPr>
          <w:rFonts w:ascii="Palatino Linotype" w:eastAsia="Palatino Linotype" w:hAnsi="Palatino Linotype" w:cs="Palatino Linotype"/>
          <w:b/>
        </w:rPr>
        <w:t>EL RECURRENTE</w:t>
      </w:r>
      <w:r w:rsidRPr="009A27DF">
        <w:rPr>
          <w:rFonts w:ascii="Palatino Linotype" w:eastAsia="Palatino Linotype" w:hAnsi="Palatino Linotype" w:cs="Palatino Linotype"/>
        </w:rPr>
        <w:t xml:space="preserve">, en contra de la respuesta del </w:t>
      </w:r>
      <w:r w:rsidR="00301C60" w:rsidRPr="009A27DF">
        <w:rPr>
          <w:rFonts w:ascii="Palatino Linotype" w:eastAsia="Palatino Linotype" w:hAnsi="Palatino Linotype" w:cs="Palatino Linotype"/>
          <w:b/>
          <w:bCs/>
        </w:rPr>
        <w:t>Ayuntamiento de Chicoloapan</w:t>
      </w:r>
      <w:r w:rsidRPr="009A27DF">
        <w:rPr>
          <w:rFonts w:ascii="Palatino Linotype" w:eastAsia="Palatino Linotype" w:hAnsi="Palatino Linotype" w:cs="Palatino Linotype"/>
          <w:b/>
        </w:rPr>
        <w:t xml:space="preserve">, </w:t>
      </w:r>
      <w:r w:rsidRPr="009A27DF">
        <w:rPr>
          <w:rFonts w:ascii="Palatino Linotype" w:eastAsia="Palatino Linotype" w:hAnsi="Palatino Linotype" w:cs="Palatino Linotype"/>
        </w:rPr>
        <w:t>en adelante el</w:t>
      </w:r>
      <w:r w:rsidRPr="009A27DF">
        <w:rPr>
          <w:rFonts w:ascii="Palatino Linotype" w:eastAsia="Palatino Linotype" w:hAnsi="Palatino Linotype" w:cs="Palatino Linotype"/>
          <w:b/>
        </w:rPr>
        <w:t xml:space="preserve"> SUJETO OBLIGADO</w:t>
      </w:r>
      <w:r w:rsidRPr="009A27DF">
        <w:rPr>
          <w:rFonts w:ascii="Palatino Linotype" w:eastAsia="Palatino Linotype" w:hAnsi="Palatino Linotype" w:cs="Palatino Linotype"/>
        </w:rPr>
        <w:t xml:space="preserve">, por lo que se procede a dictar la presente resolución, con base en los siguientes: </w:t>
      </w:r>
    </w:p>
    <w:p w:rsidR="00BA1156" w:rsidRPr="009A27DF" w:rsidRDefault="00BA1156" w:rsidP="00BA1156">
      <w:pPr>
        <w:spacing w:line="360" w:lineRule="auto"/>
        <w:jc w:val="both"/>
        <w:rPr>
          <w:rFonts w:ascii="Palatino Linotype" w:eastAsia="Palatino Linotype" w:hAnsi="Palatino Linotype" w:cs="Palatino Linotype"/>
          <w:b/>
        </w:rPr>
      </w:pPr>
    </w:p>
    <w:p w:rsidR="00BA1156" w:rsidRPr="009A27DF" w:rsidRDefault="00BA1156" w:rsidP="00BA1156">
      <w:pPr>
        <w:keepNext/>
        <w:keepLines/>
        <w:spacing w:line="360" w:lineRule="auto"/>
        <w:jc w:val="center"/>
        <w:rPr>
          <w:rFonts w:ascii="Palatino Linotype" w:eastAsia="Palatino Linotype" w:hAnsi="Palatino Linotype" w:cs="Palatino Linotype"/>
          <w:b/>
        </w:rPr>
      </w:pPr>
      <w:bookmarkStart w:id="1" w:name="_heading=h.gjdgxs" w:colFirst="0" w:colLast="0"/>
      <w:bookmarkEnd w:id="1"/>
      <w:r w:rsidRPr="009A27DF">
        <w:rPr>
          <w:rFonts w:ascii="Palatino Linotype" w:eastAsia="Palatino Linotype" w:hAnsi="Palatino Linotype" w:cs="Palatino Linotype"/>
          <w:b/>
        </w:rPr>
        <w:t>A N T E C E D E N T E S</w:t>
      </w:r>
    </w:p>
    <w:p w:rsidR="00BA1156" w:rsidRPr="009A27DF" w:rsidRDefault="00BA1156" w:rsidP="00BA1156">
      <w:pPr>
        <w:spacing w:line="360" w:lineRule="auto"/>
        <w:rPr>
          <w:rFonts w:ascii="Palatino Linotype" w:eastAsia="Palatino Linotype" w:hAnsi="Palatino Linotype" w:cs="Palatino Linotype"/>
        </w:rPr>
      </w:pPr>
    </w:p>
    <w:p w:rsidR="00BA1156" w:rsidRPr="009A27DF" w:rsidRDefault="00BA1156" w:rsidP="009A3CEB">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9A27DF">
        <w:rPr>
          <w:rFonts w:ascii="Palatino Linotype" w:eastAsia="Palatino Linotype" w:hAnsi="Palatino Linotype" w:cs="Palatino Linotype"/>
          <w:color w:val="000000"/>
        </w:rPr>
        <w:t xml:space="preserve">El </w:t>
      </w:r>
      <w:r w:rsidR="00301C60" w:rsidRPr="009A27DF">
        <w:rPr>
          <w:rFonts w:ascii="Palatino Linotype" w:eastAsia="Palatino Linotype" w:hAnsi="Palatino Linotype" w:cs="Palatino Linotype"/>
          <w:b/>
          <w:color w:val="000000"/>
        </w:rPr>
        <w:t>dieciocho</w:t>
      </w:r>
      <w:r w:rsidRPr="009A27DF">
        <w:rPr>
          <w:rFonts w:ascii="Palatino Linotype" w:eastAsia="Palatino Linotype" w:hAnsi="Palatino Linotype" w:cs="Palatino Linotype"/>
          <w:b/>
          <w:color w:val="000000"/>
        </w:rPr>
        <w:t xml:space="preserve"> de junio de dos mil veinticinco</w:t>
      </w:r>
      <w:r w:rsidRPr="009A27DF">
        <w:rPr>
          <w:rFonts w:ascii="Palatino Linotype" w:eastAsia="Palatino Linotype" w:hAnsi="Palatino Linotype" w:cs="Palatino Linotype"/>
          <w:color w:val="000000"/>
        </w:rPr>
        <w:t xml:space="preserve">, </w:t>
      </w:r>
      <w:r w:rsidRPr="009A27DF">
        <w:rPr>
          <w:rFonts w:ascii="Palatino Linotype" w:eastAsia="Palatino Linotype" w:hAnsi="Palatino Linotype" w:cs="Palatino Linotype"/>
          <w:b/>
          <w:color w:val="000000"/>
        </w:rPr>
        <w:t>EL RECURRENTE,</w:t>
      </w:r>
      <w:r w:rsidRPr="009A27DF">
        <w:rPr>
          <w:rFonts w:ascii="Palatino Linotype" w:eastAsia="Palatino Linotype" w:hAnsi="Palatino Linotype" w:cs="Palatino Linotype"/>
          <w:color w:val="000000"/>
        </w:rPr>
        <w:t xml:space="preserve"> ante el </w:t>
      </w:r>
      <w:r w:rsidRPr="009A27DF">
        <w:rPr>
          <w:rFonts w:ascii="Palatino Linotype" w:eastAsia="Palatino Linotype" w:hAnsi="Palatino Linotype" w:cs="Palatino Linotype"/>
          <w:b/>
          <w:color w:val="000000"/>
        </w:rPr>
        <w:t>SUJETO OBLIGADO</w:t>
      </w:r>
      <w:r w:rsidRPr="009A27DF">
        <w:rPr>
          <w:rFonts w:ascii="Palatino Linotype" w:eastAsia="Palatino Linotype" w:hAnsi="Palatino Linotype" w:cs="Palatino Linotype"/>
          <w:color w:val="000000"/>
        </w:rPr>
        <w:t xml:space="preserve"> a través del Sistema de Acceso a la Información Mexiquense (SAIMEX), presentó una solicitud de información registrada con el número </w:t>
      </w:r>
      <w:r w:rsidR="00301C60" w:rsidRPr="009A27DF">
        <w:rPr>
          <w:rFonts w:ascii="Palatino Linotype" w:eastAsia="Palatino Linotype" w:hAnsi="Palatino Linotype" w:cs="Palatino Linotype"/>
          <w:b/>
          <w:bCs/>
          <w:color w:val="000000"/>
        </w:rPr>
        <w:t>00107/CHICOLOA/IP/2025</w:t>
      </w:r>
      <w:r w:rsidRPr="009A27DF">
        <w:rPr>
          <w:rFonts w:ascii="Palatino Linotype" w:eastAsia="Palatino Linotype" w:hAnsi="Palatino Linotype" w:cs="Palatino Linotype"/>
          <w:b/>
          <w:color w:val="000000"/>
        </w:rPr>
        <w:t xml:space="preserve">, </w:t>
      </w:r>
      <w:r w:rsidRPr="009A27DF">
        <w:rPr>
          <w:rFonts w:ascii="Palatino Linotype" w:eastAsia="Palatino Linotype" w:hAnsi="Palatino Linotype" w:cs="Palatino Linotype"/>
        </w:rPr>
        <w:t>en la que se</w:t>
      </w:r>
      <w:r w:rsidRPr="009A27DF">
        <w:rPr>
          <w:rFonts w:ascii="Palatino Linotype" w:eastAsia="Palatino Linotype" w:hAnsi="Palatino Linotype" w:cs="Palatino Linotype"/>
          <w:color w:val="000000"/>
        </w:rPr>
        <w:t xml:space="preserve"> solicitó lo siguiente:</w:t>
      </w:r>
    </w:p>
    <w:p w:rsidR="00BA1156" w:rsidRPr="009A27DF" w:rsidRDefault="00BA1156" w:rsidP="009A3CEB">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BA1156" w:rsidRPr="009A27DF" w:rsidRDefault="00BA1156" w:rsidP="00BA1156">
      <w:pPr>
        <w:pBdr>
          <w:top w:val="nil"/>
          <w:left w:val="nil"/>
          <w:bottom w:val="nil"/>
          <w:right w:val="nil"/>
          <w:between w:val="nil"/>
        </w:pBdr>
        <w:spacing w:line="360" w:lineRule="auto"/>
        <w:ind w:left="720" w:right="822"/>
        <w:jc w:val="both"/>
        <w:rPr>
          <w:rFonts w:ascii="Palatino Linotype" w:eastAsia="Palatino Linotype" w:hAnsi="Palatino Linotype" w:cs="Palatino Linotype"/>
          <w:i/>
          <w:color w:val="000000"/>
        </w:rPr>
      </w:pPr>
      <w:r w:rsidRPr="009A27DF">
        <w:rPr>
          <w:rFonts w:ascii="Palatino Linotype" w:eastAsia="Palatino Linotype" w:hAnsi="Palatino Linotype" w:cs="Palatino Linotype"/>
          <w:i/>
          <w:color w:val="000000"/>
        </w:rPr>
        <w:t>“</w:t>
      </w:r>
      <w:r w:rsidR="00301C60" w:rsidRPr="009A27DF">
        <w:rPr>
          <w:rFonts w:ascii="Palatino Linotype" w:eastAsia="Palatino Linotype" w:hAnsi="Palatino Linotype" w:cs="Palatino Linotype"/>
          <w:i/>
          <w:color w:val="000000"/>
        </w:rPr>
        <w:t xml:space="preserve">de acuerdo a las redes sociales oficiales del municipio de Chicoloapan, Estado de Mexico, las cuales son conocidas bajo el nombre de "H. Ayuntamiento de Chicoloapan 2025-2027" en Facebook, se menciono en los primeros dias del mes e mayo la intauracion del un programa de ordenamiento vial, careciendo este informacion satisfactoria y menos de una difucion en su pagina web oficial del municipio de Chicoloapan, aunado a que se carece de informacion grafica en las calles de la cabecera municipal. El Presidente municipal ha hecho mencion de un estudio realizado con antelacion a la fecha de 19 de mayo de 2025, ahi basa su proyecto de movilidad. Por </w:t>
      </w:r>
      <w:r w:rsidR="00301C60" w:rsidRPr="009A27DF">
        <w:rPr>
          <w:rFonts w:ascii="Palatino Linotype" w:eastAsia="Palatino Linotype" w:hAnsi="Palatino Linotype" w:cs="Palatino Linotype"/>
          <w:i/>
          <w:color w:val="000000"/>
        </w:rPr>
        <w:lastRenderedPageBreak/>
        <w:t>este medio pido me sea remitido via digital por este medio de saimex, el estudio que realizo la presidencia municipal de chicoloapan para basarse en la formulacion de su programa de movilidad, asi como el nombre de la empresa y responsble de la realizacion del mismo.</w:t>
      </w:r>
      <w:r w:rsidRPr="009A27DF">
        <w:rPr>
          <w:rFonts w:ascii="Palatino Linotype" w:eastAsia="Palatino Linotype" w:hAnsi="Palatino Linotype" w:cs="Palatino Linotype"/>
          <w:i/>
          <w:color w:val="000000"/>
        </w:rPr>
        <w:t xml:space="preserve">” (Sic) </w:t>
      </w:r>
    </w:p>
    <w:p w:rsidR="00BA1156" w:rsidRPr="009A27DF" w:rsidRDefault="00BA1156" w:rsidP="00BA1156">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BA1156" w:rsidRPr="009A27DF" w:rsidRDefault="00BA1156" w:rsidP="00BA1156">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9A27DF">
        <w:rPr>
          <w:rFonts w:ascii="Palatino Linotype" w:eastAsia="Palatino Linotype" w:hAnsi="Palatino Linotype" w:cs="Palatino Linotype"/>
          <w:color w:val="000000"/>
        </w:rPr>
        <w:t>Se señaló como modalidad de entrega a través de SAIMEX.</w:t>
      </w:r>
    </w:p>
    <w:p w:rsidR="00BA1156" w:rsidRPr="009A27DF" w:rsidRDefault="00BA1156" w:rsidP="00BA1156">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BA1156" w:rsidRPr="009A27DF" w:rsidRDefault="00BA1156" w:rsidP="00BA1156">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9A27DF">
        <w:rPr>
          <w:rFonts w:ascii="Palatino Linotype" w:eastAsia="Palatino Linotype" w:hAnsi="Palatino Linotype" w:cs="Palatino Linotype"/>
          <w:color w:val="000000"/>
        </w:rPr>
        <w:t xml:space="preserve">El </w:t>
      </w:r>
      <w:r w:rsidR="00301C60" w:rsidRPr="009A27DF">
        <w:rPr>
          <w:rFonts w:ascii="Palatino Linotype" w:eastAsia="Palatino Linotype" w:hAnsi="Palatino Linotype" w:cs="Palatino Linotype"/>
          <w:b/>
          <w:color w:val="000000"/>
        </w:rPr>
        <w:t>veintitrés</w:t>
      </w:r>
      <w:r w:rsidRPr="009A27DF">
        <w:rPr>
          <w:rFonts w:ascii="Palatino Linotype" w:eastAsia="Palatino Linotype" w:hAnsi="Palatino Linotype" w:cs="Palatino Linotype"/>
          <w:b/>
          <w:color w:val="000000"/>
        </w:rPr>
        <w:t xml:space="preserve"> de junio de dos mil veinticinco</w:t>
      </w:r>
      <w:r w:rsidRPr="009A27DF">
        <w:rPr>
          <w:rFonts w:ascii="Palatino Linotype" w:eastAsia="Palatino Linotype" w:hAnsi="Palatino Linotype" w:cs="Palatino Linotype"/>
          <w:color w:val="000000"/>
        </w:rPr>
        <w:t xml:space="preserve">, se realizó un requerimiento de información al servidor público habilitado. </w:t>
      </w:r>
    </w:p>
    <w:p w:rsidR="00BA1156" w:rsidRPr="009A27DF" w:rsidRDefault="00BA1156" w:rsidP="00BA1156">
      <w:pPr>
        <w:pStyle w:val="Prrafodelista"/>
        <w:rPr>
          <w:rFonts w:ascii="Palatino Linotype" w:eastAsia="Palatino Linotype" w:hAnsi="Palatino Linotype" w:cs="Palatino Linotype"/>
          <w:color w:val="000000"/>
        </w:rPr>
      </w:pPr>
    </w:p>
    <w:p w:rsidR="00BA1156" w:rsidRPr="009A27DF" w:rsidRDefault="00BA1156" w:rsidP="00BA1156">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9A27DF">
        <w:rPr>
          <w:rFonts w:ascii="Palatino Linotype" w:eastAsia="Palatino Linotype" w:hAnsi="Palatino Linotype" w:cs="Palatino Linotype"/>
          <w:color w:val="000000"/>
        </w:rPr>
        <w:t xml:space="preserve">El </w:t>
      </w:r>
      <w:r w:rsidR="00301C60" w:rsidRPr="009A27DF">
        <w:rPr>
          <w:rFonts w:ascii="Palatino Linotype" w:eastAsia="Palatino Linotype" w:hAnsi="Palatino Linotype" w:cs="Palatino Linotype"/>
          <w:b/>
          <w:color w:val="000000"/>
        </w:rPr>
        <w:t>nueve</w:t>
      </w:r>
      <w:r w:rsidRPr="009A27DF">
        <w:rPr>
          <w:rFonts w:ascii="Palatino Linotype" w:eastAsia="Palatino Linotype" w:hAnsi="Palatino Linotype" w:cs="Palatino Linotype"/>
          <w:b/>
          <w:color w:val="000000"/>
        </w:rPr>
        <w:t xml:space="preserve"> de julio de dos mil veinticinco</w:t>
      </w:r>
      <w:r w:rsidRPr="009A27DF">
        <w:rPr>
          <w:rFonts w:ascii="Palatino Linotype" w:eastAsia="Palatino Linotype" w:hAnsi="Palatino Linotype" w:cs="Palatino Linotype"/>
          <w:color w:val="000000"/>
        </w:rPr>
        <w:t>, el Sujeto Obligado dio respuesta a la solicitud de información en los siguientes términos:</w:t>
      </w:r>
    </w:p>
    <w:p w:rsidR="00BA1156" w:rsidRPr="009A27DF" w:rsidRDefault="00BA1156" w:rsidP="00BA1156">
      <w:pPr>
        <w:pBdr>
          <w:top w:val="nil"/>
          <w:left w:val="nil"/>
          <w:bottom w:val="nil"/>
          <w:right w:val="nil"/>
          <w:between w:val="nil"/>
        </w:pBdr>
        <w:spacing w:line="360" w:lineRule="auto"/>
        <w:jc w:val="both"/>
        <w:rPr>
          <w:rFonts w:ascii="Palatino Linotype" w:eastAsia="Palatino Linotype" w:hAnsi="Palatino Linotype" w:cs="Palatino Linotype"/>
          <w:color w:val="000000"/>
        </w:rPr>
      </w:pPr>
    </w:p>
    <w:tbl>
      <w:tblPr>
        <w:tblW w:w="7581" w:type="dxa"/>
        <w:jc w:val="center"/>
        <w:tblCellSpacing w:w="0" w:type="dxa"/>
        <w:tblCellMar>
          <w:left w:w="0" w:type="dxa"/>
          <w:right w:w="0" w:type="dxa"/>
        </w:tblCellMar>
        <w:tblLook w:val="04A0" w:firstRow="1" w:lastRow="0" w:firstColumn="1" w:lastColumn="0" w:noHBand="0" w:noVBand="1"/>
      </w:tblPr>
      <w:tblGrid>
        <w:gridCol w:w="7581"/>
      </w:tblGrid>
      <w:tr w:rsidR="00301C60" w:rsidRPr="009A27DF" w:rsidTr="00301C60">
        <w:trPr>
          <w:trHeight w:val="317"/>
          <w:tblCellSpacing w:w="0" w:type="dxa"/>
          <w:jc w:val="center"/>
        </w:trPr>
        <w:tc>
          <w:tcPr>
            <w:tcW w:w="0" w:type="auto"/>
            <w:vAlign w:val="center"/>
            <w:hideMark/>
          </w:tcPr>
          <w:p w:rsidR="00301C60" w:rsidRPr="009A27DF" w:rsidRDefault="00301C60" w:rsidP="00301C60">
            <w:pPr>
              <w:jc w:val="right"/>
              <w:rPr>
                <w:rFonts w:ascii="Palatino Linotype" w:hAnsi="Palatino Linotype"/>
                <w:i/>
              </w:rPr>
            </w:pPr>
            <w:r w:rsidRPr="009A27DF">
              <w:rPr>
                <w:rFonts w:ascii="Palatino Linotype" w:hAnsi="Palatino Linotype"/>
                <w:i/>
              </w:rPr>
              <w:t>“Chicoloapan, México a 09 de Julio de 2025</w:t>
            </w:r>
          </w:p>
        </w:tc>
      </w:tr>
      <w:tr w:rsidR="00301C60" w:rsidRPr="009A27DF" w:rsidTr="00301C60">
        <w:trPr>
          <w:trHeight w:val="317"/>
          <w:tblCellSpacing w:w="0" w:type="dxa"/>
          <w:jc w:val="center"/>
        </w:trPr>
        <w:tc>
          <w:tcPr>
            <w:tcW w:w="0" w:type="auto"/>
            <w:vAlign w:val="center"/>
            <w:hideMark/>
          </w:tcPr>
          <w:p w:rsidR="00301C60" w:rsidRPr="009A27DF" w:rsidRDefault="00301C60" w:rsidP="00301C60">
            <w:pPr>
              <w:jc w:val="right"/>
              <w:rPr>
                <w:rFonts w:ascii="Palatino Linotype" w:hAnsi="Palatino Linotype"/>
                <w:i/>
              </w:rPr>
            </w:pPr>
            <w:r w:rsidRPr="009A27DF">
              <w:rPr>
                <w:rFonts w:ascii="Palatino Linotype" w:hAnsi="Palatino Linotype"/>
                <w:i/>
              </w:rPr>
              <w:t>Nombre del solicitante: C. Solicitante</w:t>
            </w:r>
          </w:p>
        </w:tc>
      </w:tr>
      <w:tr w:rsidR="00301C60" w:rsidRPr="009A27DF" w:rsidTr="00301C60">
        <w:trPr>
          <w:trHeight w:val="317"/>
          <w:tblCellSpacing w:w="0" w:type="dxa"/>
          <w:jc w:val="center"/>
        </w:trPr>
        <w:tc>
          <w:tcPr>
            <w:tcW w:w="0" w:type="auto"/>
            <w:vAlign w:val="center"/>
            <w:hideMark/>
          </w:tcPr>
          <w:p w:rsidR="00301C60" w:rsidRPr="009A27DF" w:rsidRDefault="00301C60" w:rsidP="00301C60">
            <w:pPr>
              <w:jc w:val="right"/>
              <w:rPr>
                <w:rFonts w:ascii="Palatino Linotype" w:hAnsi="Palatino Linotype"/>
                <w:i/>
              </w:rPr>
            </w:pPr>
            <w:r w:rsidRPr="009A27DF">
              <w:rPr>
                <w:rFonts w:ascii="Palatino Linotype" w:hAnsi="Palatino Linotype"/>
                <w:i/>
              </w:rPr>
              <w:t>Folio de la solicitud: 00107/CHICOLOA/IP/2025</w:t>
            </w:r>
          </w:p>
        </w:tc>
      </w:tr>
      <w:tr w:rsidR="00301C60" w:rsidRPr="009A27DF" w:rsidTr="00301C60">
        <w:trPr>
          <w:trHeight w:val="475"/>
          <w:tblCellSpacing w:w="0" w:type="dxa"/>
          <w:jc w:val="center"/>
        </w:trPr>
        <w:tc>
          <w:tcPr>
            <w:tcW w:w="0" w:type="auto"/>
            <w:vAlign w:val="center"/>
            <w:hideMark/>
          </w:tcPr>
          <w:p w:rsidR="00301C60" w:rsidRPr="009A27DF" w:rsidRDefault="00301C60" w:rsidP="00301C60">
            <w:pPr>
              <w:jc w:val="right"/>
              <w:rPr>
                <w:rFonts w:ascii="Palatino Linotype" w:hAnsi="Palatino Linotype"/>
                <w:i/>
              </w:rPr>
            </w:pPr>
          </w:p>
        </w:tc>
      </w:tr>
      <w:tr w:rsidR="00301C60" w:rsidRPr="009A27DF" w:rsidTr="00301C60">
        <w:trPr>
          <w:trHeight w:val="158"/>
          <w:tblCellSpacing w:w="0" w:type="dxa"/>
          <w:jc w:val="center"/>
        </w:trPr>
        <w:tc>
          <w:tcPr>
            <w:tcW w:w="0" w:type="auto"/>
            <w:vAlign w:val="center"/>
            <w:hideMark/>
          </w:tcPr>
          <w:p w:rsidR="00301C60" w:rsidRPr="009A27DF" w:rsidRDefault="00301C60" w:rsidP="00301C60">
            <w:pPr>
              <w:rPr>
                <w:rFonts w:ascii="Palatino Linotype" w:hAnsi="Palatino Linotype"/>
                <w:i/>
              </w:rPr>
            </w:pPr>
            <w:r w:rsidRPr="009A27DF">
              <w:rPr>
                <w:rFonts w:ascii="Palatino Linotype" w:hAnsi="Palatino Linotype"/>
                <w:i/>
              </w:rPr>
              <w:t>En respuesta a la solicitud recibida, nos permitimos hacer de su conocimiento que con fundamento en el artículo 53, Fracciones: II, V y VI de la Ley de Transparencia y Acceso a la Información Pública del Estado de México y Municipios, le contestamos que:</w:t>
            </w:r>
          </w:p>
        </w:tc>
      </w:tr>
      <w:tr w:rsidR="00301C60" w:rsidRPr="009A27DF" w:rsidTr="00301C60">
        <w:trPr>
          <w:trHeight w:val="396"/>
          <w:tblCellSpacing w:w="0" w:type="dxa"/>
          <w:jc w:val="center"/>
        </w:trPr>
        <w:tc>
          <w:tcPr>
            <w:tcW w:w="0" w:type="auto"/>
            <w:vAlign w:val="center"/>
            <w:hideMark/>
          </w:tcPr>
          <w:p w:rsidR="00301C60" w:rsidRPr="009A27DF" w:rsidRDefault="00301C60" w:rsidP="00301C60">
            <w:pPr>
              <w:rPr>
                <w:rFonts w:ascii="Palatino Linotype" w:hAnsi="Palatino Linotype"/>
                <w:i/>
              </w:rPr>
            </w:pPr>
          </w:p>
        </w:tc>
      </w:tr>
      <w:tr w:rsidR="00301C60" w:rsidRPr="009A27DF" w:rsidTr="00301C60">
        <w:trPr>
          <w:trHeight w:val="158"/>
          <w:tblCellSpacing w:w="0" w:type="dxa"/>
          <w:jc w:val="center"/>
        </w:trPr>
        <w:tc>
          <w:tcPr>
            <w:tcW w:w="0" w:type="auto"/>
            <w:vAlign w:val="center"/>
            <w:hideMark/>
          </w:tcPr>
          <w:p w:rsidR="00301C60" w:rsidRPr="009A27DF" w:rsidRDefault="00301C60" w:rsidP="00301C60">
            <w:pPr>
              <w:rPr>
                <w:rFonts w:ascii="Palatino Linotype" w:hAnsi="Palatino Linotype"/>
                <w:i/>
              </w:rPr>
            </w:pPr>
            <w:r w:rsidRPr="009A27DF">
              <w:rPr>
                <w:rFonts w:ascii="Palatino Linotype" w:hAnsi="Palatino Linotype"/>
                <w:i/>
              </w:rPr>
              <w:t>Sirva este medio para enviar un cordial saludo ,al mismo tiempo le remito la información solicitada ,integrando el proyecto de movilidad realizado por la empresa TAVAPJ. Se anexa la respuesta en formato PDF</w:t>
            </w:r>
          </w:p>
        </w:tc>
      </w:tr>
      <w:tr w:rsidR="00301C60" w:rsidRPr="009A27DF" w:rsidTr="00301C60">
        <w:trPr>
          <w:trHeight w:val="396"/>
          <w:tblCellSpacing w:w="0" w:type="dxa"/>
          <w:jc w:val="center"/>
        </w:trPr>
        <w:tc>
          <w:tcPr>
            <w:tcW w:w="0" w:type="auto"/>
            <w:vAlign w:val="center"/>
            <w:hideMark/>
          </w:tcPr>
          <w:p w:rsidR="00301C60" w:rsidRPr="009A27DF" w:rsidRDefault="00301C60" w:rsidP="00301C60">
            <w:pPr>
              <w:rPr>
                <w:rFonts w:ascii="Palatino Linotype" w:hAnsi="Palatino Linotype"/>
                <w:i/>
              </w:rPr>
            </w:pPr>
          </w:p>
        </w:tc>
      </w:tr>
      <w:tr w:rsidR="00301C60" w:rsidRPr="009A27DF" w:rsidTr="00301C60">
        <w:trPr>
          <w:trHeight w:val="158"/>
          <w:tblCellSpacing w:w="0" w:type="dxa"/>
          <w:jc w:val="center"/>
        </w:trPr>
        <w:tc>
          <w:tcPr>
            <w:tcW w:w="0" w:type="auto"/>
            <w:vAlign w:val="center"/>
            <w:hideMark/>
          </w:tcPr>
          <w:p w:rsidR="00301C60" w:rsidRPr="009A27DF" w:rsidRDefault="00301C60" w:rsidP="00301C60">
            <w:pPr>
              <w:jc w:val="center"/>
              <w:rPr>
                <w:rFonts w:ascii="Palatino Linotype" w:hAnsi="Palatino Linotype"/>
                <w:i/>
              </w:rPr>
            </w:pPr>
          </w:p>
        </w:tc>
      </w:tr>
      <w:tr w:rsidR="00301C60" w:rsidRPr="009A27DF" w:rsidTr="00301C60">
        <w:trPr>
          <w:trHeight w:val="158"/>
          <w:tblCellSpacing w:w="0" w:type="dxa"/>
          <w:jc w:val="center"/>
        </w:trPr>
        <w:tc>
          <w:tcPr>
            <w:tcW w:w="0" w:type="auto"/>
            <w:vAlign w:val="center"/>
            <w:hideMark/>
          </w:tcPr>
          <w:p w:rsidR="00301C60" w:rsidRPr="009A27DF" w:rsidRDefault="00301C60" w:rsidP="00301C60">
            <w:pPr>
              <w:rPr>
                <w:rFonts w:ascii="Palatino Linotype" w:hAnsi="Palatino Linotype"/>
                <w:i/>
              </w:rPr>
            </w:pPr>
          </w:p>
        </w:tc>
      </w:tr>
      <w:tr w:rsidR="00301C60" w:rsidRPr="009A27DF" w:rsidTr="00301C60">
        <w:trPr>
          <w:trHeight w:val="158"/>
          <w:tblCellSpacing w:w="0" w:type="dxa"/>
          <w:jc w:val="center"/>
        </w:trPr>
        <w:tc>
          <w:tcPr>
            <w:tcW w:w="0" w:type="auto"/>
            <w:vAlign w:val="center"/>
            <w:hideMark/>
          </w:tcPr>
          <w:p w:rsidR="00301C60" w:rsidRPr="009A27DF" w:rsidRDefault="00301C60" w:rsidP="00301C60">
            <w:pPr>
              <w:rPr>
                <w:rFonts w:ascii="Palatino Linotype" w:hAnsi="Palatino Linotype"/>
                <w:i/>
              </w:rPr>
            </w:pPr>
            <w:r w:rsidRPr="009A27DF">
              <w:rPr>
                <w:rFonts w:ascii="Palatino Linotype" w:hAnsi="Palatino Linotype"/>
                <w:i/>
              </w:rPr>
              <w:t>ATENTAMENTE</w:t>
            </w:r>
          </w:p>
        </w:tc>
      </w:tr>
      <w:tr w:rsidR="00301C60" w:rsidRPr="009A27DF" w:rsidTr="00301C60">
        <w:trPr>
          <w:trHeight w:val="237"/>
          <w:tblCellSpacing w:w="0" w:type="dxa"/>
          <w:jc w:val="center"/>
        </w:trPr>
        <w:tc>
          <w:tcPr>
            <w:tcW w:w="0" w:type="auto"/>
            <w:vAlign w:val="center"/>
            <w:hideMark/>
          </w:tcPr>
          <w:p w:rsidR="00301C60" w:rsidRPr="009A27DF" w:rsidRDefault="00301C60" w:rsidP="00301C60">
            <w:pPr>
              <w:rPr>
                <w:rFonts w:ascii="Palatino Linotype" w:hAnsi="Palatino Linotype"/>
                <w:i/>
              </w:rPr>
            </w:pPr>
          </w:p>
        </w:tc>
      </w:tr>
      <w:tr w:rsidR="00301C60" w:rsidRPr="009A27DF" w:rsidTr="00301C60">
        <w:trPr>
          <w:trHeight w:val="158"/>
          <w:tblCellSpacing w:w="0" w:type="dxa"/>
          <w:jc w:val="center"/>
        </w:trPr>
        <w:tc>
          <w:tcPr>
            <w:tcW w:w="0" w:type="auto"/>
            <w:vAlign w:val="center"/>
            <w:hideMark/>
          </w:tcPr>
          <w:p w:rsidR="00301C60" w:rsidRPr="009A27DF" w:rsidRDefault="00301C60" w:rsidP="00301C60">
            <w:pPr>
              <w:rPr>
                <w:rFonts w:ascii="Palatino Linotype" w:hAnsi="Palatino Linotype"/>
                <w:i/>
              </w:rPr>
            </w:pPr>
            <w:r w:rsidRPr="009A27DF">
              <w:rPr>
                <w:rFonts w:ascii="Palatino Linotype" w:hAnsi="Palatino Linotype"/>
                <w:i/>
              </w:rPr>
              <w:t>JUAN CARLOS RUIZ MILLAN”</w:t>
            </w:r>
          </w:p>
        </w:tc>
      </w:tr>
    </w:tbl>
    <w:p w:rsidR="00BA1156" w:rsidRPr="009A27DF" w:rsidRDefault="00BA1156" w:rsidP="00BA1156">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9A27DF">
        <w:rPr>
          <w:rFonts w:ascii="Palatino Linotype" w:eastAsia="Palatino Linotype" w:hAnsi="Palatino Linotype" w:cs="Palatino Linotype"/>
          <w:color w:val="000000"/>
        </w:rPr>
        <w:lastRenderedPageBreak/>
        <w:t>A la respuesta el Sujeto Obligado adjuntó los archivos que se describen enseguida:</w:t>
      </w:r>
    </w:p>
    <w:p w:rsidR="00301C60" w:rsidRPr="009A27DF" w:rsidRDefault="00301C60" w:rsidP="00301C60">
      <w:pPr>
        <w:pStyle w:val="Prrafodelista"/>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b/>
          <w:color w:val="000000"/>
        </w:rPr>
      </w:pPr>
      <w:r w:rsidRPr="009A27DF">
        <w:rPr>
          <w:rFonts w:ascii="Palatino Linotype" w:eastAsia="Palatino Linotype" w:hAnsi="Palatino Linotype" w:cs="Palatino Linotype"/>
          <w:b/>
          <w:color w:val="000000"/>
        </w:rPr>
        <w:t>107.pdf</w:t>
      </w:r>
      <w:r w:rsidRPr="009A27DF">
        <w:rPr>
          <w:rFonts w:ascii="Palatino Linotype" w:eastAsia="Palatino Linotype" w:hAnsi="Palatino Linotype" w:cs="Palatino Linotype"/>
          <w:color w:val="000000"/>
        </w:rPr>
        <w:t>: oficio número CHICO/DSPM/1359/2025 de fecha ocho de julio de dos mil veinticinco, suscrito por el Director de Seguridad Pública y Movilidad de Chicoloapan, quien señaló que se hace entrega digital de un extracto del estudio que se realizó</w:t>
      </w:r>
      <w:r w:rsidR="00801179" w:rsidRPr="009A27DF">
        <w:rPr>
          <w:rFonts w:ascii="Palatino Linotype" w:eastAsia="Palatino Linotype" w:hAnsi="Palatino Linotype" w:cs="Palatino Linotype"/>
          <w:color w:val="000000"/>
        </w:rPr>
        <w:t xml:space="preserve"> para solucionar los puntos de conflicto vial en la Cabecera Municipal. Se adjuntó un documento denominado “Estudio de Movilidad- Análisis Cabecera Municipal”, en el que se advierte el objetivo y los alcances. Asimismo, se adjuntó un  documento denominado conclusiones para el primer cuadrante de la Cabecera Municipal y una gráfica. </w:t>
      </w:r>
    </w:p>
    <w:p w:rsidR="00301C60" w:rsidRPr="009A27DF" w:rsidRDefault="00301C60" w:rsidP="00301C60">
      <w:pPr>
        <w:pStyle w:val="Prrafodelista"/>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9A27DF">
        <w:rPr>
          <w:rFonts w:ascii="Palatino Linotype" w:eastAsia="Palatino Linotype" w:hAnsi="Palatino Linotype" w:cs="Palatino Linotype"/>
          <w:b/>
          <w:color w:val="000000"/>
        </w:rPr>
        <w:t>RESP. OP.pdf</w:t>
      </w:r>
      <w:r w:rsidRPr="009A27DF">
        <w:rPr>
          <w:rFonts w:ascii="Palatino Linotype" w:eastAsia="Palatino Linotype" w:hAnsi="Palatino Linotype" w:cs="Palatino Linotype"/>
          <w:color w:val="000000"/>
        </w:rPr>
        <w:t>:</w:t>
      </w:r>
      <w:r w:rsidR="00801179" w:rsidRPr="009A27DF">
        <w:rPr>
          <w:rFonts w:ascii="Palatino Linotype" w:eastAsia="Palatino Linotype" w:hAnsi="Palatino Linotype" w:cs="Palatino Linotype"/>
          <w:color w:val="000000"/>
        </w:rPr>
        <w:t xml:space="preserve"> Oficio número CHIVO/DOP/129/2025 de fecha tres de julio de dos mil veinticinco, suscrito por la Directora de Obras Públicas quien señaló que, no tiene competencia para conocer de la información solicitada. </w:t>
      </w:r>
    </w:p>
    <w:p w:rsidR="00301C60" w:rsidRPr="009A27DF" w:rsidRDefault="00301C60" w:rsidP="00301C60">
      <w:pPr>
        <w:pStyle w:val="Prrafodelista"/>
        <w:pBdr>
          <w:top w:val="nil"/>
          <w:left w:val="nil"/>
          <w:bottom w:val="nil"/>
          <w:right w:val="nil"/>
          <w:between w:val="nil"/>
        </w:pBdr>
        <w:spacing w:line="360" w:lineRule="auto"/>
        <w:ind w:left="1080"/>
        <w:jc w:val="both"/>
        <w:rPr>
          <w:rFonts w:ascii="Palatino Linotype" w:eastAsia="Palatino Linotype" w:hAnsi="Palatino Linotype" w:cs="Palatino Linotype"/>
          <w:color w:val="000000"/>
        </w:rPr>
      </w:pPr>
    </w:p>
    <w:p w:rsidR="00BA1156" w:rsidRPr="009A27DF" w:rsidRDefault="00BA1156" w:rsidP="00BA1156">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9A27DF">
        <w:rPr>
          <w:rFonts w:ascii="Palatino Linotype" w:eastAsia="Palatino Linotype" w:hAnsi="Palatino Linotype" w:cs="Palatino Linotype"/>
          <w:color w:val="000000"/>
        </w:rPr>
        <w:t xml:space="preserve">El </w:t>
      </w:r>
      <w:r w:rsidR="00801179" w:rsidRPr="009A27DF">
        <w:rPr>
          <w:rFonts w:ascii="Palatino Linotype" w:eastAsia="Palatino Linotype" w:hAnsi="Palatino Linotype" w:cs="Palatino Linotype"/>
          <w:b/>
          <w:color w:val="000000"/>
        </w:rPr>
        <w:t>nueve</w:t>
      </w:r>
      <w:r w:rsidR="000066AE" w:rsidRPr="009A27DF">
        <w:rPr>
          <w:rFonts w:ascii="Palatino Linotype" w:eastAsia="Palatino Linotype" w:hAnsi="Palatino Linotype" w:cs="Palatino Linotype"/>
          <w:b/>
          <w:color w:val="000000"/>
        </w:rPr>
        <w:t xml:space="preserve"> de julio</w:t>
      </w:r>
      <w:r w:rsidRPr="009A27DF">
        <w:rPr>
          <w:rFonts w:ascii="Palatino Linotype" w:eastAsia="Palatino Linotype" w:hAnsi="Palatino Linotype" w:cs="Palatino Linotype"/>
          <w:b/>
          <w:color w:val="000000"/>
        </w:rPr>
        <w:t xml:space="preserve"> de dos mil veinticinco</w:t>
      </w:r>
      <w:r w:rsidRPr="009A27DF">
        <w:rPr>
          <w:rFonts w:ascii="Palatino Linotype" w:eastAsia="Palatino Linotype" w:hAnsi="Palatino Linotype" w:cs="Palatino Linotype"/>
          <w:color w:val="000000"/>
        </w:rPr>
        <w:t xml:space="preserve">, </w:t>
      </w:r>
      <w:r w:rsidRPr="009A27DF">
        <w:rPr>
          <w:rFonts w:ascii="Palatino Linotype" w:eastAsia="Palatino Linotype" w:hAnsi="Palatino Linotype" w:cs="Palatino Linotype"/>
          <w:b/>
          <w:color w:val="000000"/>
        </w:rPr>
        <w:t>EL RECURRENTE</w:t>
      </w:r>
      <w:r w:rsidRPr="009A27DF">
        <w:rPr>
          <w:rFonts w:ascii="Palatino Linotype" w:eastAsia="Palatino Linotype" w:hAnsi="Palatino Linotype" w:cs="Palatino Linotype"/>
          <w:color w:val="000000"/>
        </w:rPr>
        <w:t xml:space="preserve"> interpuso el recurso de revisión, en contra de la respuesta, señalando como:</w:t>
      </w:r>
    </w:p>
    <w:p w:rsidR="00BA1156" w:rsidRPr="009A27DF" w:rsidRDefault="00BA1156" w:rsidP="00BA1156">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BA1156" w:rsidRPr="009A27DF" w:rsidRDefault="009A27DF" w:rsidP="00BA1156">
      <w:pPr>
        <w:numPr>
          <w:ilvl w:val="0"/>
          <w:numId w:val="1"/>
        </w:numPr>
        <w:spacing w:line="360" w:lineRule="auto"/>
        <w:ind w:right="822"/>
        <w:jc w:val="both"/>
      </w:pPr>
      <w:r w:rsidRPr="009A27DF">
        <w:rPr>
          <w:rFonts w:ascii="Palatino Linotype" w:eastAsia="Palatino Linotype" w:hAnsi="Palatino Linotype" w:cs="Palatino Linotype"/>
          <w:b/>
        </w:rPr>
        <w:t>ACTO IMPUGNADO</w:t>
      </w:r>
      <w:r w:rsidRPr="009A27DF">
        <w:rPr>
          <w:rFonts w:ascii="Palatino Linotype" w:eastAsia="Palatino Linotype" w:hAnsi="Palatino Linotype" w:cs="Palatino Linotype"/>
          <w:b/>
          <w:i/>
        </w:rPr>
        <w:t>:</w:t>
      </w:r>
      <w:r w:rsidRPr="009A27DF">
        <w:rPr>
          <w:rFonts w:ascii="Palatino Linotype" w:eastAsia="Palatino Linotype" w:hAnsi="Palatino Linotype" w:cs="Palatino Linotype"/>
          <w:i/>
          <w:color w:val="000000"/>
        </w:rPr>
        <w:t xml:space="preserve"> </w:t>
      </w:r>
      <w:r w:rsidR="000066AE" w:rsidRPr="009A27DF">
        <w:rPr>
          <w:rFonts w:ascii="Palatino Linotype" w:eastAsia="Palatino Linotype" w:hAnsi="Palatino Linotype" w:cs="Palatino Linotype"/>
          <w:i/>
          <w:color w:val="000000"/>
        </w:rPr>
        <w:t>“</w:t>
      </w:r>
      <w:r w:rsidR="00801179" w:rsidRPr="009A27DF">
        <w:rPr>
          <w:rFonts w:ascii="Palatino Linotype" w:eastAsia="Palatino Linotype" w:hAnsi="Palatino Linotype" w:cs="Palatino Linotype"/>
          <w:i/>
          <w:color w:val="000000"/>
        </w:rPr>
        <w:t xml:space="preserve">la negativa a dar respuesta por parte del gobierno municipal de Chicoloapan ante la solicitud de una petición formalizada por este medio; ya que area responsable de Transparencia en el municipio dirige la petición a una dependencia que dice no tener información alguna al respecto de la petición. </w:t>
      </w:r>
      <w:r w:rsidR="00BA1156" w:rsidRPr="009A27DF">
        <w:rPr>
          <w:rFonts w:ascii="Palatino Linotype" w:eastAsia="Palatino Linotype" w:hAnsi="Palatino Linotype" w:cs="Palatino Linotype"/>
          <w:i/>
          <w:color w:val="000000"/>
        </w:rPr>
        <w:t>" (Sic)</w:t>
      </w:r>
    </w:p>
    <w:p w:rsidR="00BA1156" w:rsidRPr="009A27DF" w:rsidRDefault="00BA1156" w:rsidP="00BA1156">
      <w:pPr>
        <w:spacing w:line="360" w:lineRule="auto"/>
        <w:ind w:left="720" w:right="822"/>
        <w:jc w:val="both"/>
      </w:pPr>
    </w:p>
    <w:p w:rsidR="00BA1156" w:rsidRPr="009A27DF" w:rsidRDefault="009A27DF" w:rsidP="00BA1156">
      <w:pPr>
        <w:numPr>
          <w:ilvl w:val="0"/>
          <w:numId w:val="1"/>
        </w:numPr>
        <w:spacing w:line="360" w:lineRule="auto"/>
        <w:ind w:right="822"/>
        <w:jc w:val="both"/>
        <w:rPr>
          <w:rFonts w:ascii="Palatino Linotype" w:eastAsia="Palatino Linotype" w:hAnsi="Palatino Linotype" w:cs="Palatino Linotype"/>
        </w:rPr>
      </w:pPr>
      <w:r w:rsidRPr="009A27DF">
        <w:rPr>
          <w:rFonts w:ascii="Palatino Linotype" w:eastAsia="Palatino Linotype" w:hAnsi="Palatino Linotype" w:cs="Palatino Linotype"/>
          <w:b/>
        </w:rPr>
        <w:t>RAZONES O MOTIVOS DE INCONFORMIDAD</w:t>
      </w:r>
      <w:r w:rsidR="00BA1156" w:rsidRPr="009A27DF">
        <w:rPr>
          <w:rFonts w:ascii="Palatino Linotype" w:eastAsia="Palatino Linotype" w:hAnsi="Palatino Linotype" w:cs="Palatino Linotype"/>
          <w:b/>
        </w:rPr>
        <w:t xml:space="preserve">: </w:t>
      </w:r>
      <w:r w:rsidR="00BA1156" w:rsidRPr="009A27DF">
        <w:rPr>
          <w:rFonts w:ascii="Palatino Linotype" w:eastAsia="Palatino Linotype" w:hAnsi="Palatino Linotype" w:cs="Palatino Linotype"/>
          <w:i/>
        </w:rPr>
        <w:t>"</w:t>
      </w:r>
      <w:r w:rsidR="00801179" w:rsidRPr="009A27DF">
        <w:rPr>
          <w:rFonts w:ascii="Palatino Linotype" w:eastAsia="Palatino Linotype" w:hAnsi="Palatino Linotype" w:cs="Palatino Linotype"/>
          <w:i/>
        </w:rPr>
        <w:t xml:space="preserve">el gobierno municipal de Chicoloapan se niega dar respuesta a la petición del estudio realizado para fundamentar el programa de vialidad impuesto en el mes de mayo de 2025. señalando que el Presidente Municipal ha comentado en diferentes espacios de la realización de </w:t>
      </w:r>
      <w:r w:rsidR="00801179" w:rsidRPr="009A27DF">
        <w:rPr>
          <w:rFonts w:ascii="Palatino Linotype" w:eastAsia="Palatino Linotype" w:hAnsi="Palatino Linotype" w:cs="Palatino Linotype"/>
          <w:i/>
        </w:rPr>
        <w:lastRenderedPageBreak/>
        <w:t xml:space="preserve">un estudio donde base su programa de vialidad. la respuesta de parte de la dirección de obras publicas municipales no satisface y omite la respuesta de la petición del citado estudio. </w:t>
      </w:r>
      <w:r w:rsidR="00BA1156" w:rsidRPr="009A27DF">
        <w:rPr>
          <w:rFonts w:ascii="Palatino Linotype" w:eastAsia="Palatino Linotype" w:hAnsi="Palatino Linotype" w:cs="Palatino Linotype"/>
          <w:i/>
        </w:rPr>
        <w:t>" (Sic)</w:t>
      </w:r>
    </w:p>
    <w:p w:rsidR="000066AE" w:rsidRPr="009A27DF" w:rsidRDefault="000066AE" w:rsidP="00801179">
      <w:pPr>
        <w:spacing w:line="360" w:lineRule="auto"/>
        <w:jc w:val="both"/>
        <w:rPr>
          <w:rFonts w:ascii="Palatino Linotype" w:eastAsia="Palatino Linotype" w:hAnsi="Palatino Linotype" w:cs="Palatino Linotype"/>
        </w:rPr>
      </w:pPr>
    </w:p>
    <w:p w:rsidR="00BA1156" w:rsidRPr="009A27DF" w:rsidRDefault="00BA1156" w:rsidP="00BA1156">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9A27DF">
        <w:rPr>
          <w:rFonts w:ascii="Palatino Linotype" w:eastAsia="Palatino Linotype" w:hAnsi="Palatino Linotype" w:cs="Palatino Linotype"/>
          <w:color w:val="000000"/>
        </w:rPr>
        <w:t xml:space="preserve">Se registró el recurso de revisión bajo el número de expediente al rubro indicado, asimismo con fundamento en lo dispuesto por el artículo 185 fracción I de la </w:t>
      </w:r>
      <w:r w:rsidRPr="009A27DF">
        <w:rPr>
          <w:rFonts w:ascii="Palatino Linotype" w:eastAsia="Palatino Linotype" w:hAnsi="Palatino Linotype" w:cs="Palatino Linotype"/>
          <w:b/>
          <w:color w:val="000000"/>
        </w:rPr>
        <w:t xml:space="preserve">Ley de Transparencia y Acceso a la Información Pública del Estado de México y Municipios </w:t>
      </w:r>
      <w:r w:rsidRPr="009A27DF">
        <w:rPr>
          <w:rFonts w:ascii="Palatino Linotype" w:eastAsia="Palatino Linotype" w:hAnsi="Palatino Linotype" w:cs="Palatino Linotype"/>
          <w:color w:val="000000"/>
        </w:rPr>
        <w:t xml:space="preserve">se </w:t>
      </w:r>
      <w:r w:rsidRPr="009A27DF">
        <w:rPr>
          <w:rFonts w:ascii="Palatino Linotype" w:eastAsia="Palatino Linotype" w:hAnsi="Palatino Linotype" w:cs="Palatino Linotype"/>
        </w:rPr>
        <w:t>turna</w:t>
      </w:r>
      <w:r w:rsidRPr="009A27DF">
        <w:rPr>
          <w:rFonts w:ascii="Palatino Linotype" w:eastAsia="Palatino Linotype" w:hAnsi="Palatino Linotype" w:cs="Palatino Linotype"/>
          <w:color w:val="000000"/>
        </w:rPr>
        <w:t xml:space="preserve"> a la </w:t>
      </w:r>
      <w:r w:rsidRPr="009A27DF">
        <w:rPr>
          <w:rFonts w:ascii="Palatino Linotype" w:eastAsia="Palatino Linotype" w:hAnsi="Palatino Linotype" w:cs="Palatino Linotype"/>
          <w:b/>
          <w:color w:val="000000"/>
        </w:rPr>
        <w:t xml:space="preserve">Comisionada María del Rosario Mejía Ayala, </w:t>
      </w:r>
      <w:r w:rsidRPr="009A27DF">
        <w:rPr>
          <w:rFonts w:ascii="Palatino Linotype" w:eastAsia="Palatino Linotype" w:hAnsi="Palatino Linotype" w:cs="Palatino Linotype"/>
        </w:rPr>
        <w:t xml:space="preserve">para </w:t>
      </w:r>
      <w:r w:rsidRPr="009A27DF">
        <w:rPr>
          <w:rFonts w:ascii="Palatino Linotype" w:eastAsia="Palatino Linotype" w:hAnsi="Palatino Linotype" w:cs="Palatino Linotype"/>
          <w:color w:val="000000"/>
        </w:rPr>
        <w:t xml:space="preserve">su análisis. </w:t>
      </w:r>
    </w:p>
    <w:p w:rsidR="00BA1156" w:rsidRPr="009A27DF" w:rsidRDefault="00BA1156" w:rsidP="00BA1156">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BA1156" w:rsidRPr="009A27DF" w:rsidRDefault="00BA1156" w:rsidP="00BA1156">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9A27DF">
        <w:rPr>
          <w:rFonts w:ascii="Palatino Linotype" w:eastAsia="Palatino Linotype" w:hAnsi="Palatino Linotype" w:cs="Palatino Linotype"/>
        </w:rPr>
        <w:t>La</w:t>
      </w:r>
      <w:r w:rsidRPr="009A27DF">
        <w:rPr>
          <w:rFonts w:ascii="Palatino Linotype" w:eastAsia="Palatino Linotype" w:hAnsi="Palatino Linotype" w:cs="Palatino Linotype"/>
          <w:color w:val="000000"/>
        </w:rPr>
        <w:t xml:space="preserve"> Comisionad</w:t>
      </w:r>
      <w:r w:rsidRPr="009A27DF">
        <w:rPr>
          <w:rFonts w:ascii="Palatino Linotype" w:eastAsia="Palatino Linotype" w:hAnsi="Palatino Linotype" w:cs="Palatino Linotype"/>
        </w:rPr>
        <w:t>a</w:t>
      </w:r>
      <w:r w:rsidR="009A27DF">
        <w:rPr>
          <w:rFonts w:ascii="Palatino Linotype" w:eastAsia="Palatino Linotype" w:hAnsi="Palatino Linotype" w:cs="Palatino Linotype"/>
          <w:color w:val="000000"/>
        </w:rPr>
        <w:t xml:space="preserve"> p</w:t>
      </w:r>
      <w:r w:rsidRPr="009A27DF">
        <w:rPr>
          <w:rFonts w:ascii="Palatino Linotype" w:eastAsia="Palatino Linotype" w:hAnsi="Palatino Linotype" w:cs="Palatino Linotype"/>
          <w:color w:val="000000"/>
        </w:rPr>
        <w:t xml:space="preserve">onente con fundamento en lo dispuesto por el artículo 185 fracción II de la ley de la materia, a través del acuerdo de admisión del </w:t>
      </w:r>
      <w:r w:rsidR="00801179" w:rsidRPr="009A27DF">
        <w:rPr>
          <w:rFonts w:ascii="Palatino Linotype" w:eastAsia="Palatino Linotype" w:hAnsi="Palatino Linotype" w:cs="Palatino Linotype"/>
          <w:b/>
          <w:color w:val="000000"/>
        </w:rPr>
        <w:t>once</w:t>
      </w:r>
      <w:r w:rsidR="00CF3E3A" w:rsidRPr="009A27DF">
        <w:rPr>
          <w:rFonts w:ascii="Palatino Linotype" w:eastAsia="Palatino Linotype" w:hAnsi="Palatino Linotype" w:cs="Palatino Linotype"/>
          <w:b/>
          <w:color w:val="000000"/>
        </w:rPr>
        <w:t xml:space="preserve"> de julio</w:t>
      </w:r>
      <w:r w:rsidRPr="009A27DF">
        <w:rPr>
          <w:rFonts w:ascii="Palatino Linotype" w:eastAsia="Palatino Linotype" w:hAnsi="Palatino Linotype" w:cs="Palatino Linotype"/>
          <w:b/>
          <w:color w:val="000000"/>
        </w:rPr>
        <w:t xml:space="preserve"> de dos mil veinticinco</w:t>
      </w:r>
      <w:r w:rsidRPr="009A27DF">
        <w:rPr>
          <w:rFonts w:ascii="Palatino Linotype" w:eastAsia="Palatino Linotype" w:hAnsi="Palatino Linotype" w:cs="Palatino Linotype"/>
          <w:color w:val="000000"/>
        </w:rPr>
        <w:t xml:space="preserve">, puso a disposición de las partes el expediente electrónico vía </w:t>
      </w:r>
      <w:r w:rsidRPr="009A27DF">
        <w:rPr>
          <w:rFonts w:ascii="Palatino Linotype" w:eastAsia="Palatino Linotype" w:hAnsi="Palatino Linotype" w:cs="Palatino Linotype"/>
          <w:b/>
          <w:color w:val="000000"/>
        </w:rPr>
        <w:t xml:space="preserve">SAIMEX </w:t>
      </w:r>
      <w:r w:rsidRPr="009A27DF">
        <w:rPr>
          <w:rFonts w:ascii="Palatino Linotype" w:eastAsia="Palatino Linotype" w:hAnsi="Palatino Linotype" w:cs="Palatino Linotype"/>
          <w:color w:val="000000"/>
        </w:rPr>
        <w:t xml:space="preserve">a efecto de que en un plazo máximo de siete días </w:t>
      </w:r>
      <w:r w:rsidRPr="009A27DF">
        <w:rPr>
          <w:rFonts w:ascii="Palatino Linotype" w:eastAsia="Palatino Linotype" w:hAnsi="Palatino Linotype" w:cs="Palatino Linotype"/>
        </w:rPr>
        <w:t>manifestara</w:t>
      </w:r>
      <w:r w:rsidRPr="009A27DF">
        <w:rPr>
          <w:rFonts w:ascii="Palatino Linotype" w:eastAsia="Palatino Linotype" w:hAnsi="Palatino Linotype" w:cs="Palatino Linotype"/>
          <w:color w:val="000000"/>
        </w:rPr>
        <w:t xml:space="preserve"> lo que a derecho </w:t>
      </w:r>
      <w:r w:rsidRPr="009A27DF">
        <w:rPr>
          <w:rFonts w:ascii="Palatino Linotype" w:eastAsia="Palatino Linotype" w:hAnsi="Palatino Linotype" w:cs="Palatino Linotype"/>
        </w:rPr>
        <w:t>conviniera</w:t>
      </w:r>
      <w:r w:rsidRPr="009A27DF">
        <w:rPr>
          <w:rFonts w:ascii="Palatino Linotype" w:eastAsia="Palatino Linotype" w:hAnsi="Palatino Linotype" w:cs="Palatino Linotype"/>
          <w:color w:val="000000"/>
        </w:rPr>
        <w:t xml:space="preserve">, </w:t>
      </w:r>
      <w:r w:rsidRPr="009A27DF">
        <w:rPr>
          <w:rFonts w:ascii="Palatino Linotype" w:eastAsia="Palatino Linotype" w:hAnsi="Palatino Linotype" w:cs="Palatino Linotype"/>
        </w:rPr>
        <w:t>ofreciera</w:t>
      </w:r>
      <w:r w:rsidRPr="009A27DF">
        <w:rPr>
          <w:rFonts w:ascii="Palatino Linotype" w:eastAsia="Palatino Linotype" w:hAnsi="Palatino Linotype" w:cs="Palatino Linotype"/>
          <w:color w:val="000000"/>
        </w:rPr>
        <w:t xml:space="preserve"> pruebas y alegatos según corresponda al caso concreto, de esta forma para que el </w:t>
      </w:r>
      <w:r w:rsidRPr="009A27DF">
        <w:rPr>
          <w:rFonts w:ascii="Palatino Linotype" w:eastAsia="Palatino Linotype" w:hAnsi="Palatino Linotype" w:cs="Palatino Linotype"/>
          <w:b/>
          <w:color w:val="000000"/>
        </w:rPr>
        <w:t>SUJETO OBLIGADO</w:t>
      </w:r>
      <w:r w:rsidRPr="009A27DF">
        <w:rPr>
          <w:rFonts w:ascii="Palatino Linotype" w:eastAsia="Palatino Linotype" w:hAnsi="Palatino Linotype" w:cs="Palatino Linotype"/>
          <w:color w:val="000000"/>
        </w:rPr>
        <w:t xml:space="preserve"> </w:t>
      </w:r>
      <w:r w:rsidRPr="009A27DF">
        <w:rPr>
          <w:rFonts w:ascii="Palatino Linotype" w:eastAsia="Palatino Linotype" w:hAnsi="Palatino Linotype" w:cs="Palatino Linotype"/>
        </w:rPr>
        <w:t>presentará</w:t>
      </w:r>
      <w:r w:rsidRPr="009A27DF">
        <w:rPr>
          <w:rFonts w:ascii="Palatino Linotype" w:eastAsia="Palatino Linotype" w:hAnsi="Palatino Linotype" w:cs="Palatino Linotype"/>
          <w:color w:val="000000"/>
        </w:rPr>
        <w:t xml:space="preserve"> el informe justificado procedente. </w:t>
      </w:r>
    </w:p>
    <w:p w:rsidR="00BA1156" w:rsidRPr="009A27DF" w:rsidRDefault="00BA1156" w:rsidP="00BA1156">
      <w:pPr>
        <w:pBdr>
          <w:top w:val="nil"/>
          <w:left w:val="nil"/>
          <w:bottom w:val="nil"/>
          <w:right w:val="nil"/>
          <w:between w:val="nil"/>
        </w:pBdr>
        <w:ind w:left="720"/>
        <w:rPr>
          <w:rFonts w:ascii="Palatino Linotype" w:eastAsia="Palatino Linotype" w:hAnsi="Palatino Linotype" w:cs="Palatino Linotype"/>
          <w:color w:val="000000"/>
        </w:rPr>
      </w:pPr>
    </w:p>
    <w:p w:rsidR="00BA1156" w:rsidRPr="009A27DF" w:rsidRDefault="00BA1156" w:rsidP="0032098D">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9A27DF">
        <w:rPr>
          <w:rFonts w:ascii="Palatino Linotype" w:eastAsia="Palatino Linotype" w:hAnsi="Palatino Linotype" w:cs="Palatino Linotype"/>
          <w:color w:val="000000"/>
        </w:rPr>
        <w:t xml:space="preserve">De las constancias del expediente electrónico SAIMEX se advierte que el Recurrente no realizó manifestaciones; por su parte, el Sujeto Obligado entregó informe justificado el </w:t>
      </w:r>
      <w:r w:rsidR="00801179" w:rsidRPr="009A27DF">
        <w:rPr>
          <w:rFonts w:ascii="Palatino Linotype" w:eastAsia="Palatino Linotype" w:hAnsi="Palatino Linotype" w:cs="Palatino Linotype"/>
          <w:b/>
          <w:color w:val="000000"/>
        </w:rPr>
        <w:t>veintiséis de agosto</w:t>
      </w:r>
      <w:r w:rsidRPr="009A27DF">
        <w:rPr>
          <w:rFonts w:ascii="Palatino Linotype" w:eastAsia="Palatino Linotype" w:hAnsi="Palatino Linotype" w:cs="Palatino Linotype"/>
          <w:b/>
          <w:color w:val="000000"/>
        </w:rPr>
        <w:t xml:space="preserve"> de dos mil veinticinco</w:t>
      </w:r>
      <w:r w:rsidRPr="009A27DF">
        <w:rPr>
          <w:rFonts w:ascii="Palatino Linotype" w:eastAsia="Palatino Linotype" w:hAnsi="Palatino Linotype" w:cs="Palatino Linotype"/>
          <w:color w:val="000000"/>
        </w:rPr>
        <w:t xml:space="preserve">, mismo que fue puesto a la vista del Recurrente el </w:t>
      </w:r>
      <w:r w:rsidR="002526B3" w:rsidRPr="009A27DF">
        <w:rPr>
          <w:rFonts w:ascii="Palatino Linotype" w:eastAsia="Palatino Linotype" w:hAnsi="Palatino Linotype" w:cs="Palatino Linotype"/>
          <w:b/>
          <w:color w:val="000000"/>
        </w:rPr>
        <w:t>diez</w:t>
      </w:r>
      <w:r w:rsidR="00316E1F" w:rsidRPr="009A27DF">
        <w:rPr>
          <w:rFonts w:ascii="Palatino Linotype" w:eastAsia="Palatino Linotype" w:hAnsi="Palatino Linotype" w:cs="Palatino Linotype"/>
          <w:b/>
          <w:color w:val="000000"/>
        </w:rPr>
        <w:t xml:space="preserve"> de febrero</w:t>
      </w:r>
      <w:r w:rsidRPr="009A27DF">
        <w:rPr>
          <w:rFonts w:ascii="Palatino Linotype" w:eastAsia="Palatino Linotype" w:hAnsi="Palatino Linotype" w:cs="Palatino Linotype"/>
          <w:b/>
          <w:color w:val="000000"/>
        </w:rPr>
        <w:t xml:space="preserve"> de dos mil veintiséis</w:t>
      </w:r>
      <w:r w:rsidR="00801179" w:rsidRPr="009A27DF">
        <w:rPr>
          <w:rFonts w:ascii="Palatino Linotype" w:eastAsia="Palatino Linotype" w:hAnsi="Palatino Linotype" w:cs="Palatino Linotype"/>
          <w:color w:val="000000"/>
        </w:rPr>
        <w:t xml:space="preserve">, en el que ratificó respuesta. </w:t>
      </w:r>
    </w:p>
    <w:p w:rsidR="00BA1156" w:rsidRPr="009A27DF" w:rsidRDefault="00BA1156" w:rsidP="00801179">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BA1156" w:rsidRPr="009A27DF" w:rsidRDefault="00D31456" w:rsidP="00BA1156">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9A27DF">
        <w:rPr>
          <w:rFonts w:ascii="Palatino Linotype" w:eastAsia="Palatino Linotype" w:hAnsi="Palatino Linotype" w:cs="Palatino Linotype"/>
          <w:color w:val="000000"/>
        </w:rPr>
        <w:t xml:space="preserve">El </w:t>
      </w:r>
      <w:r w:rsidR="00327A40" w:rsidRPr="009A27DF">
        <w:rPr>
          <w:rFonts w:ascii="Palatino Linotype" w:eastAsia="Palatino Linotype" w:hAnsi="Palatino Linotype" w:cs="Palatino Linotype"/>
          <w:b/>
          <w:color w:val="000000"/>
        </w:rPr>
        <w:t>nueve de febrero</w:t>
      </w:r>
      <w:r w:rsidR="00BA1156" w:rsidRPr="009A27DF">
        <w:rPr>
          <w:rFonts w:ascii="Palatino Linotype" w:eastAsia="Palatino Linotype" w:hAnsi="Palatino Linotype" w:cs="Palatino Linotype"/>
          <w:b/>
          <w:color w:val="000000"/>
        </w:rPr>
        <w:t xml:space="preserve"> de dos mil veintiséis,</w:t>
      </w:r>
      <w:r w:rsidR="00BA1156" w:rsidRPr="009A27DF">
        <w:rPr>
          <w:rFonts w:ascii="Palatino Linotype" w:eastAsia="Palatino Linotype" w:hAnsi="Palatino Linotype" w:cs="Palatino Linotype"/>
          <w:color w:val="000000"/>
        </w:rPr>
        <w:t xml:space="preserve"> se notificó el acuerdo mediante el cual se aprobó la ampliación de plazo para emitir resolución. </w:t>
      </w:r>
    </w:p>
    <w:p w:rsidR="00BA1156" w:rsidRPr="009A27DF" w:rsidRDefault="00BA1156" w:rsidP="00BA1156">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BA1156" w:rsidRPr="009A27DF" w:rsidRDefault="00BA1156" w:rsidP="00BA1156">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9A27DF">
        <w:rPr>
          <w:rFonts w:ascii="Palatino Linotype" w:eastAsia="Palatino Linotype" w:hAnsi="Palatino Linotype" w:cs="Palatino Linotype"/>
          <w:color w:val="000000"/>
        </w:rPr>
        <w:lastRenderedPageBreak/>
        <w:t xml:space="preserve">La Comisionada Ponente decretó el cierre de instrucción mediante el acuerdo del </w:t>
      </w:r>
      <w:r w:rsidR="0064647C" w:rsidRPr="009A27DF">
        <w:rPr>
          <w:rFonts w:ascii="Palatino Linotype" w:eastAsia="Palatino Linotype" w:hAnsi="Palatino Linotype" w:cs="Palatino Linotype"/>
          <w:b/>
          <w:color w:val="000000"/>
        </w:rPr>
        <w:t>dieciséis</w:t>
      </w:r>
      <w:r w:rsidR="0032098D" w:rsidRPr="009A27DF">
        <w:rPr>
          <w:rFonts w:ascii="Palatino Linotype" w:eastAsia="Palatino Linotype" w:hAnsi="Palatino Linotype" w:cs="Palatino Linotype"/>
          <w:b/>
          <w:color w:val="000000"/>
        </w:rPr>
        <w:t xml:space="preserve"> de febrero</w:t>
      </w:r>
      <w:r w:rsidRPr="009A27DF">
        <w:rPr>
          <w:rFonts w:ascii="Palatino Linotype" w:eastAsia="Palatino Linotype" w:hAnsi="Palatino Linotype" w:cs="Palatino Linotype"/>
          <w:b/>
          <w:color w:val="000000"/>
        </w:rPr>
        <w:t xml:space="preserve"> de dos mil veintiséis.</w:t>
      </w:r>
    </w:p>
    <w:p w:rsidR="00BA1156" w:rsidRPr="009A27DF" w:rsidRDefault="00BA1156" w:rsidP="00BA1156">
      <w:pPr>
        <w:spacing w:line="360" w:lineRule="auto"/>
        <w:rPr>
          <w:rFonts w:ascii="Palatino Linotype" w:eastAsia="Palatino Linotype" w:hAnsi="Palatino Linotype" w:cs="Palatino Linotype"/>
        </w:rPr>
      </w:pPr>
    </w:p>
    <w:p w:rsidR="00BA1156" w:rsidRPr="009A27DF" w:rsidRDefault="00BA1156" w:rsidP="00BA1156">
      <w:pPr>
        <w:spacing w:line="360" w:lineRule="auto"/>
        <w:jc w:val="center"/>
        <w:rPr>
          <w:rFonts w:ascii="Palatino Linotype" w:eastAsia="Palatino Linotype" w:hAnsi="Palatino Linotype" w:cs="Palatino Linotype"/>
        </w:rPr>
      </w:pPr>
      <w:bookmarkStart w:id="2" w:name="_heading=h.1fob9te" w:colFirst="0" w:colLast="0"/>
      <w:bookmarkEnd w:id="2"/>
      <w:r w:rsidRPr="009A27DF">
        <w:rPr>
          <w:rFonts w:ascii="Palatino Linotype" w:eastAsia="Palatino Linotype" w:hAnsi="Palatino Linotype" w:cs="Palatino Linotype"/>
          <w:b/>
        </w:rPr>
        <w:t>C O N S I D E R A N D O</w:t>
      </w:r>
    </w:p>
    <w:p w:rsidR="00BA1156" w:rsidRPr="009A27DF" w:rsidRDefault="00BA1156" w:rsidP="00BA1156">
      <w:pPr>
        <w:spacing w:line="360" w:lineRule="auto"/>
        <w:jc w:val="center"/>
        <w:rPr>
          <w:rFonts w:ascii="Palatino Linotype" w:eastAsia="Palatino Linotype" w:hAnsi="Palatino Linotype" w:cs="Palatino Linotype"/>
        </w:rPr>
      </w:pPr>
    </w:p>
    <w:p w:rsidR="00BA1156" w:rsidRPr="009A27DF" w:rsidRDefault="00BA1156" w:rsidP="00BA1156">
      <w:pPr>
        <w:spacing w:line="360" w:lineRule="auto"/>
        <w:jc w:val="both"/>
        <w:rPr>
          <w:rFonts w:ascii="Palatino Linotype" w:eastAsia="Palatino Linotype" w:hAnsi="Palatino Linotype" w:cs="Palatino Linotype"/>
          <w:b/>
        </w:rPr>
      </w:pPr>
      <w:bookmarkStart w:id="3" w:name="_heading=h.3znysh7" w:colFirst="0" w:colLast="0"/>
      <w:bookmarkEnd w:id="3"/>
      <w:r w:rsidRPr="009A27DF">
        <w:rPr>
          <w:rFonts w:ascii="Palatino Linotype" w:eastAsia="Palatino Linotype" w:hAnsi="Palatino Linotype" w:cs="Palatino Linotype"/>
          <w:b/>
        </w:rPr>
        <w:t>PRIMERO. De la competencia</w:t>
      </w:r>
    </w:p>
    <w:p w:rsidR="00327A40" w:rsidRPr="009A27DF" w:rsidRDefault="00BA1156" w:rsidP="00327A40">
      <w:pPr>
        <w:numPr>
          <w:ilvl w:val="0"/>
          <w:numId w:val="2"/>
        </w:numPr>
        <w:pBdr>
          <w:top w:val="nil"/>
          <w:left w:val="nil"/>
          <w:bottom w:val="nil"/>
          <w:right w:val="nil"/>
          <w:between w:val="nil"/>
        </w:pBdr>
        <w:spacing w:before="240" w:line="360" w:lineRule="auto"/>
        <w:ind w:left="0" w:firstLine="0"/>
        <w:jc w:val="both"/>
        <w:rPr>
          <w:rFonts w:ascii="Palatino Linotype" w:eastAsia="Palatino Linotype" w:hAnsi="Palatino Linotype" w:cs="Palatino Linotype"/>
          <w:color w:val="000000"/>
        </w:rPr>
      </w:pPr>
      <w:r w:rsidRPr="009A27DF">
        <w:rPr>
          <w:rFonts w:ascii="Palatino Linotype" w:eastAsia="Palatino Linotype" w:hAnsi="Palatino Linotype" w:cs="Palatino Linotype"/>
          <w:color w:val="000000"/>
        </w:rPr>
        <w:t>Este Instituto de Transparencia, Acceso a la Información Pública y Protección de Datos Personales del Estado de México y Municipios, es competente para conocer y resolver del presente recurso de conformidad con el artículo: 6, apartado A, fracción IV de la Constitución Política de los Estados Unidos Mexicanos; 5, párrafos trigésimo noveno, cuadragésimo y cuadragésimo primero fracciones IV y V, de la Constitución Política del Estado Libre y Soberano de México; artículos 1, 2 fracción II, 13, 29, 36 fracciones I y II, 176, 178, 179, 181 párrafo tercero y 185 de la Ley de Transparencia y Acceso a la Información Pública del Estado de México</w:t>
      </w:r>
      <w:r w:rsidR="0032098D" w:rsidRPr="009A27DF">
        <w:rPr>
          <w:rFonts w:ascii="Palatino Linotype" w:eastAsia="Palatino Linotype" w:hAnsi="Palatino Linotype" w:cs="Palatino Linotype"/>
          <w:color w:val="000000"/>
        </w:rPr>
        <w:t xml:space="preserve"> y Municipios; y 7, 9 fraccio</w:t>
      </w:r>
      <w:r w:rsidRPr="009A27DF">
        <w:rPr>
          <w:rFonts w:ascii="Palatino Linotype" w:eastAsia="Palatino Linotype" w:hAnsi="Palatino Linotype" w:cs="Palatino Linotype"/>
          <w:color w:val="000000"/>
        </w:rPr>
        <w:t xml:space="preserve">nes I y XXIII, y 11 del Reglamento Interior del Instituto de Transparencia, Acceso a la Información Pública y Protección de Datos Personales del Estado de México y Municipios. </w:t>
      </w:r>
    </w:p>
    <w:p w:rsidR="00327A40" w:rsidRPr="009A27DF" w:rsidRDefault="00327A40" w:rsidP="00327A40">
      <w:pPr>
        <w:pBdr>
          <w:top w:val="nil"/>
          <w:left w:val="nil"/>
          <w:bottom w:val="nil"/>
          <w:right w:val="nil"/>
          <w:between w:val="nil"/>
        </w:pBdr>
        <w:spacing w:before="240" w:line="360" w:lineRule="auto"/>
        <w:jc w:val="both"/>
        <w:rPr>
          <w:rFonts w:ascii="Palatino Linotype" w:eastAsia="Palatino Linotype" w:hAnsi="Palatino Linotype" w:cs="Palatino Linotype"/>
          <w:color w:val="000000"/>
        </w:rPr>
      </w:pPr>
    </w:p>
    <w:p w:rsidR="00BA1156" w:rsidRPr="009A27DF" w:rsidRDefault="00BA1156" w:rsidP="00BA1156">
      <w:pPr>
        <w:keepNext/>
        <w:keepLines/>
        <w:spacing w:line="360" w:lineRule="auto"/>
        <w:rPr>
          <w:rFonts w:ascii="Palatino Linotype" w:eastAsia="Palatino Linotype" w:hAnsi="Palatino Linotype" w:cs="Palatino Linotype"/>
          <w:b/>
        </w:rPr>
      </w:pPr>
      <w:bookmarkStart w:id="4" w:name="_heading=h.2et92p0" w:colFirst="0" w:colLast="0"/>
      <w:bookmarkEnd w:id="4"/>
      <w:r w:rsidRPr="009A27DF">
        <w:rPr>
          <w:rFonts w:ascii="Palatino Linotype" w:eastAsia="Palatino Linotype" w:hAnsi="Palatino Linotype" w:cs="Palatino Linotype"/>
          <w:b/>
        </w:rPr>
        <w:t>SEGUNDO. De la oportunidad y procedencia.</w:t>
      </w:r>
    </w:p>
    <w:p w:rsidR="00BA1156" w:rsidRPr="009A27DF" w:rsidRDefault="00BA1156" w:rsidP="00BA1156">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9A27DF">
        <w:rPr>
          <w:rFonts w:ascii="Palatino Linotype" w:eastAsia="Palatino Linotype" w:hAnsi="Palatino Linotype" w:cs="Palatino Linotype"/>
          <w:color w:val="000000"/>
        </w:rPr>
        <w:t xml:space="preserve">El medio de impugnación fue presentado a través del </w:t>
      </w:r>
      <w:r w:rsidRPr="009A27DF">
        <w:rPr>
          <w:rFonts w:ascii="Palatino Linotype" w:eastAsia="Palatino Linotype" w:hAnsi="Palatino Linotype" w:cs="Palatino Linotype"/>
          <w:b/>
          <w:color w:val="000000"/>
        </w:rPr>
        <w:t>SAIMEX,</w:t>
      </w:r>
      <w:r w:rsidRPr="009A27DF">
        <w:rPr>
          <w:rFonts w:ascii="Palatino Linotype" w:eastAsia="Palatino Linotype" w:hAnsi="Palatino Linotype" w:cs="Palatino Linotype"/>
          <w:color w:val="000000"/>
        </w:rPr>
        <w:t xml:space="preserve"> en el formato previamente aprobado para tal efecto y dentro del plazo legal de quince días hábiles otorgados; siendo así que el </w:t>
      </w:r>
      <w:r w:rsidRPr="009A27DF">
        <w:rPr>
          <w:rFonts w:ascii="Palatino Linotype" w:eastAsia="Palatino Linotype" w:hAnsi="Palatino Linotype" w:cs="Palatino Linotype"/>
          <w:b/>
          <w:color w:val="000000"/>
        </w:rPr>
        <w:t>SUJETO OBLIGADO</w:t>
      </w:r>
      <w:r w:rsidRPr="009A27DF">
        <w:rPr>
          <w:rFonts w:ascii="Palatino Linotype" w:eastAsia="Palatino Linotype" w:hAnsi="Palatino Linotype" w:cs="Palatino Linotype"/>
          <w:color w:val="000000"/>
        </w:rPr>
        <w:t xml:space="preserve"> entregó respuesta a la solicitud el día </w:t>
      </w:r>
      <w:r w:rsidR="0078610F" w:rsidRPr="009A27DF">
        <w:rPr>
          <w:rFonts w:ascii="Palatino Linotype" w:eastAsia="Palatino Linotype" w:hAnsi="Palatino Linotype" w:cs="Palatino Linotype"/>
          <w:b/>
          <w:color w:val="000000"/>
        </w:rPr>
        <w:t>nueve</w:t>
      </w:r>
      <w:r w:rsidR="0032098D" w:rsidRPr="009A27DF">
        <w:rPr>
          <w:rFonts w:ascii="Palatino Linotype" w:eastAsia="Palatino Linotype" w:hAnsi="Palatino Linotype" w:cs="Palatino Linotype"/>
          <w:b/>
          <w:color w:val="000000"/>
        </w:rPr>
        <w:t xml:space="preserve"> de julio</w:t>
      </w:r>
      <w:r w:rsidRPr="009A27DF">
        <w:rPr>
          <w:rFonts w:ascii="Palatino Linotype" w:eastAsia="Palatino Linotype" w:hAnsi="Palatino Linotype" w:cs="Palatino Linotype"/>
          <w:b/>
          <w:color w:val="000000"/>
        </w:rPr>
        <w:t xml:space="preserve"> de dos mil veinticinco</w:t>
      </w:r>
      <w:r w:rsidRPr="009A27DF">
        <w:rPr>
          <w:rFonts w:ascii="Palatino Linotype" w:eastAsia="Palatino Linotype" w:hAnsi="Palatino Linotype" w:cs="Palatino Linotype"/>
          <w:color w:val="000000"/>
        </w:rPr>
        <w:t>, de tal forma que el plazo para interponer el recurso de revisión transcurrió del</w:t>
      </w:r>
      <w:r w:rsidRPr="009A27DF">
        <w:rPr>
          <w:rFonts w:ascii="Palatino Linotype" w:eastAsia="Palatino Linotype" w:hAnsi="Palatino Linotype" w:cs="Palatino Linotype"/>
          <w:b/>
          <w:color w:val="000000"/>
        </w:rPr>
        <w:t xml:space="preserve"> </w:t>
      </w:r>
      <w:r w:rsidR="0078610F" w:rsidRPr="009A27DF">
        <w:rPr>
          <w:rFonts w:ascii="Palatino Linotype" w:eastAsia="Palatino Linotype" w:hAnsi="Palatino Linotype" w:cs="Palatino Linotype"/>
          <w:b/>
          <w:color w:val="000000"/>
        </w:rPr>
        <w:t>diez de julio al trece de agosto</w:t>
      </w:r>
      <w:r w:rsidRPr="009A27DF">
        <w:rPr>
          <w:rFonts w:ascii="Palatino Linotype" w:eastAsia="Palatino Linotype" w:hAnsi="Palatino Linotype" w:cs="Palatino Linotype"/>
          <w:b/>
          <w:color w:val="000000"/>
        </w:rPr>
        <w:t xml:space="preserve"> de dos mil veinticinco</w:t>
      </w:r>
      <w:r w:rsidRPr="009A27DF">
        <w:rPr>
          <w:rFonts w:ascii="Palatino Linotype" w:eastAsia="Palatino Linotype" w:hAnsi="Palatino Linotype" w:cs="Palatino Linotype"/>
          <w:color w:val="000000"/>
        </w:rPr>
        <w:t xml:space="preserve">; en consecuencia, presentó su inconformidad el día </w:t>
      </w:r>
      <w:r w:rsidR="0078610F" w:rsidRPr="009A27DF">
        <w:rPr>
          <w:rFonts w:ascii="Palatino Linotype" w:eastAsia="Palatino Linotype" w:hAnsi="Palatino Linotype" w:cs="Palatino Linotype"/>
          <w:b/>
          <w:color w:val="000000"/>
        </w:rPr>
        <w:t>nueve</w:t>
      </w:r>
      <w:r w:rsidR="0032098D" w:rsidRPr="009A27DF">
        <w:rPr>
          <w:rFonts w:ascii="Palatino Linotype" w:eastAsia="Palatino Linotype" w:hAnsi="Palatino Linotype" w:cs="Palatino Linotype"/>
          <w:b/>
          <w:color w:val="000000"/>
        </w:rPr>
        <w:t xml:space="preserve"> de julio</w:t>
      </w:r>
      <w:r w:rsidRPr="009A27DF">
        <w:rPr>
          <w:rFonts w:ascii="Palatino Linotype" w:eastAsia="Palatino Linotype" w:hAnsi="Palatino Linotype" w:cs="Palatino Linotype"/>
          <w:b/>
          <w:color w:val="000000"/>
        </w:rPr>
        <w:t xml:space="preserve"> de dos mil veinticinco</w:t>
      </w:r>
      <w:r w:rsidRPr="009A27DF">
        <w:rPr>
          <w:rFonts w:ascii="Palatino Linotype" w:eastAsia="Palatino Linotype" w:hAnsi="Palatino Linotype" w:cs="Palatino Linotype"/>
          <w:color w:val="000000"/>
        </w:rPr>
        <w:t xml:space="preserve">, por </w:t>
      </w:r>
      <w:r w:rsidRPr="009A27DF">
        <w:rPr>
          <w:rFonts w:ascii="Palatino Linotype" w:eastAsia="Palatino Linotype" w:hAnsi="Palatino Linotype" w:cs="Palatino Linotype"/>
          <w:color w:val="000000"/>
        </w:rPr>
        <w:lastRenderedPageBreak/>
        <w:t xml:space="preserve">lo que se encuentra dentro de los márgenes temporales previstos en el artículo 178 de la </w:t>
      </w:r>
      <w:r w:rsidRPr="009A27DF">
        <w:rPr>
          <w:rFonts w:ascii="Palatino Linotype" w:eastAsia="Palatino Linotype" w:hAnsi="Palatino Linotype" w:cs="Palatino Linotype"/>
          <w:b/>
          <w:color w:val="000000"/>
        </w:rPr>
        <w:t xml:space="preserve">Ley de Transparencia y Acceso a la Información Pública del Estado de México y Municipios </w:t>
      </w:r>
      <w:r w:rsidRPr="009A27DF">
        <w:rPr>
          <w:rFonts w:ascii="Palatino Linotype" w:eastAsia="Palatino Linotype" w:hAnsi="Palatino Linotype" w:cs="Palatino Linotype"/>
          <w:color w:val="000000"/>
        </w:rPr>
        <w:t>vigente.</w:t>
      </w:r>
    </w:p>
    <w:p w:rsidR="00BA1156" w:rsidRPr="009A27DF" w:rsidRDefault="00BA1156" w:rsidP="0032098D">
      <w:pPr>
        <w:rPr>
          <w:rFonts w:ascii="Palatino Linotype" w:eastAsia="Palatino Linotype" w:hAnsi="Palatino Linotype" w:cs="Palatino Linotype"/>
          <w:color w:val="000000"/>
        </w:rPr>
      </w:pPr>
    </w:p>
    <w:p w:rsidR="00BA1156" w:rsidRPr="009A27DF" w:rsidRDefault="00BA1156" w:rsidP="00BA1156">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9A27DF">
        <w:rPr>
          <w:rFonts w:ascii="Palatino Linotype" w:eastAsia="Palatino Linotype" w:hAnsi="Palatino Linotype" w:cs="Palatino Linotype"/>
          <w:color w:val="000000"/>
        </w:rPr>
        <w:t>Por otro lado,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BA1156" w:rsidRPr="009A27DF" w:rsidRDefault="00BA1156" w:rsidP="00BA1156">
      <w:pPr>
        <w:pStyle w:val="Ttulo1"/>
        <w:spacing w:line="360" w:lineRule="auto"/>
        <w:rPr>
          <w:rFonts w:ascii="Palatino Linotype" w:eastAsia="Palatino Linotype" w:hAnsi="Palatino Linotype" w:cs="Palatino Linotype"/>
          <w:b/>
          <w:i/>
          <w:color w:val="000000"/>
          <w:sz w:val="24"/>
          <w:szCs w:val="24"/>
        </w:rPr>
      </w:pPr>
      <w:r w:rsidRPr="009A27DF">
        <w:rPr>
          <w:rFonts w:ascii="Palatino Linotype" w:eastAsia="Palatino Linotype" w:hAnsi="Palatino Linotype" w:cs="Palatino Linotype"/>
          <w:b/>
          <w:color w:val="000000"/>
          <w:sz w:val="24"/>
          <w:szCs w:val="24"/>
        </w:rPr>
        <w:t>TERCERO. Del planteamiento de la Litis</w:t>
      </w:r>
    </w:p>
    <w:p w:rsidR="00BA1156" w:rsidRPr="009A27DF" w:rsidRDefault="00BA1156" w:rsidP="00BA1156">
      <w:pPr>
        <w:pStyle w:val="Prrafodelista"/>
        <w:numPr>
          <w:ilvl w:val="0"/>
          <w:numId w:val="2"/>
        </w:numPr>
        <w:spacing w:line="360" w:lineRule="auto"/>
        <w:ind w:left="0" w:firstLine="0"/>
        <w:jc w:val="both"/>
        <w:rPr>
          <w:rFonts w:ascii="Palatino Linotype" w:eastAsia="Palatino Linotype" w:hAnsi="Palatino Linotype" w:cs="Palatino Linotype"/>
          <w:i/>
        </w:rPr>
      </w:pPr>
      <w:r w:rsidRPr="009A27DF">
        <w:rPr>
          <w:rFonts w:ascii="Palatino Linotype" w:eastAsia="Palatino Linotype" w:hAnsi="Palatino Linotype" w:cs="Palatino Linotype"/>
        </w:rPr>
        <w:t xml:space="preserve">El particular solicitó </w:t>
      </w:r>
      <w:r w:rsidR="00F269A3" w:rsidRPr="009A27DF">
        <w:rPr>
          <w:rFonts w:ascii="Palatino Linotype" w:eastAsia="Palatino Linotype" w:hAnsi="Palatino Linotype" w:cs="Palatino Linotype"/>
        </w:rPr>
        <w:t xml:space="preserve">el estudio que se realizó para la formulación del programa de movilidad del Municipio de Chicoloapan, así como el nombre de la empresa y del responsable que lo realizó. </w:t>
      </w:r>
      <w:r w:rsidR="0032098D" w:rsidRPr="009A27DF">
        <w:rPr>
          <w:rFonts w:ascii="Palatino Linotype" w:eastAsia="Palatino Linotype" w:hAnsi="Palatino Linotype" w:cs="Palatino Linotype"/>
        </w:rPr>
        <w:t xml:space="preserve"> </w:t>
      </w:r>
    </w:p>
    <w:p w:rsidR="00BA1156" w:rsidRPr="009A27DF" w:rsidRDefault="00BA1156" w:rsidP="00BA1156">
      <w:pPr>
        <w:pStyle w:val="Prrafodelista"/>
        <w:spacing w:line="360" w:lineRule="auto"/>
        <w:ind w:left="0"/>
        <w:jc w:val="both"/>
        <w:rPr>
          <w:rFonts w:ascii="Palatino Linotype" w:eastAsia="Palatino Linotype" w:hAnsi="Palatino Linotype" w:cs="Palatino Linotype"/>
          <w:i/>
        </w:rPr>
      </w:pPr>
    </w:p>
    <w:p w:rsidR="00BA1156" w:rsidRPr="009A27DF" w:rsidRDefault="00BA1156" w:rsidP="00BA1156">
      <w:pPr>
        <w:numPr>
          <w:ilvl w:val="0"/>
          <w:numId w:val="2"/>
        </w:numPr>
        <w:spacing w:line="360" w:lineRule="auto"/>
        <w:ind w:left="0" w:firstLine="0"/>
        <w:jc w:val="both"/>
        <w:rPr>
          <w:rFonts w:ascii="Palatino Linotype" w:hAnsi="Palatino Linotype"/>
        </w:rPr>
      </w:pPr>
      <w:r w:rsidRPr="009A27DF">
        <w:rPr>
          <w:rFonts w:ascii="Palatino Linotype" w:eastAsia="Palatino Linotype" w:hAnsi="Palatino Linotype" w:cs="Palatino Linotype"/>
        </w:rPr>
        <w:t xml:space="preserve">En respuesta, el </w:t>
      </w:r>
      <w:r w:rsidR="00F269A3" w:rsidRPr="009A27DF">
        <w:rPr>
          <w:rFonts w:ascii="Palatino Linotype" w:eastAsia="Palatino Linotype" w:hAnsi="Palatino Linotype" w:cs="Palatino Linotype"/>
        </w:rPr>
        <w:t xml:space="preserve">Sujeto Obligado remitió un extracto del estudio referido; posteriormente, el Recurrente se inconformó por la negativa de la información. </w:t>
      </w:r>
    </w:p>
    <w:p w:rsidR="00BA1156" w:rsidRPr="009A27DF" w:rsidRDefault="00BA1156" w:rsidP="00BA1156">
      <w:pPr>
        <w:spacing w:line="360" w:lineRule="auto"/>
        <w:jc w:val="both"/>
        <w:rPr>
          <w:rFonts w:ascii="Palatino Linotype" w:eastAsia="Palatino Linotype" w:hAnsi="Palatino Linotype" w:cs="Palatino Linotype"/>
        </w:rPr>
      </w:pPr>
    </w:p>
    <w:p w:rsidR="00BA1156" w:rsidRPr="009A27DF" w:rsidRDefault="00BA1156" w:rsidP="00BA1156">
      <w:pPr>
        <w:numPr>
          <w:ilvl w:val="0"/>
          <w:numId w:val="2"/>
        </w:numPr>
        <w:spacing w:line="360" w:lineRule="auto"/>
        <w:ind w:left="0" w:firstLine="0"/>
        <w:jc w:val="both"/>
        <w:rPr>
          <w:rFonts w:ascii="Palatino Linotype" w:hAnsi="Palatino Linotype"/>
        </w:rPr>
      </w:pPr>
      <w:r w:rsidRPr="009A27DF">
        <w:rPr>
          <w:rFonts w:ascii="Palatino Linotype" w:eastAsia="Palatino Linotype" w:hAnsi="Palatino Linotype" w:cs="Palatino Linotype"/>
        </w:rPr>
        <w:t>En consecuencia, la Litis a resolver en este recurso, se circunscribe a determinar si la respuesta colma con lo solicitado o si se actualiza la causal de procedencia prevista</w:t>
      </w:r>
      <w:r w:rsidR="0032098D" w:rsidRPr="009A27DF">
        <w:rPr>
          <w:rFonts w:ascii="Palatino Linotype" w:eastAsia="Palatino Linotype" w:hAnsi="Palatino Linotype" w:cs="Palatino Linotype"/>
        </w:rPr>
        <w:t xml:space="preserve"> en el artículo 179,</w:t>
      </w:r>
      <w:r w:rsidR="00F269A3" w:rsidRPr="009A27DF">
        <w:rPr>
          <w:rFonts w:ascii="Palatino Linotype" w:eastAsia="Palatino Linotype" w:hAnsi="Palatino Linotype" w:cs="Palatino Linotype"/>
        </w:rPr>
        <w:t xml:space="preserve"> fracción I</w:t>
      </w:r>
      <w:r w:rsidRPr="009A27DF">
        <w:rPr>
          <w:rFonts w:ascii="Palatino Linotype" w:eastAsia="Palatino Linotype" w:hAnsi="Palatino Linotype" w:cs="Palatino Linotype"/>
        </w:rPr>
        <w:t xml:space="preserve"> de la Ley de Transparencia y Acceso a la Información Pública del Estado de México y Municipios; que establece la </w:t>
      </w:r>
      <w:r w:rsidR="00F269A3" w:rsidRPr="009A27DF">
        <w:rPr>
          <w:rFonts w:ascii="Palatino Linotype" w:eastAsia="Palatino Linotype" w:hAnsi="Palatino Linotype" w:cs="Palatino Linotype"/>
        </w:rPr>
        <w:t xml:space="preserve">negativa de la información. </w:t>
      </w:r>
      <w:r w:rsidR="0032098D" w:rsidRPr="009A27DF">
        <w:rPr>
          <w:rFonts w:ascii="Palatino Linotype" w:eastAsia="Palatino Linotype" w:hAnsi="Palatino Linotype" w:cs="Palatino Linotype"/>
        </w:rPr>
        <w:t xml:space="preserve"> </w:t>
      </w:r>
      <w:r w:rsidRPr="009A27DF">
        <w:rPr>
          <w:rFonts w:ascii="Palatino Linotype" w:eastAsia="Palatino Linotype" w:hAnsi="Palatino Linotype" w:cs="Palatino Linotype"/>
        </w:rPr>
        <w:t xml:space="preserve">  </w:t>
      </w:r>
    </w:p>
    <w:p w:rsidR="00BA1156" w:rsidRPr="009A27DF" w:rsidRDefault="00BA1156" w:rsidP="00BA1156">
      <w:pPr>
        <w:pStyle w:val="Ttulo1"/>
        <w:spacing w:line="360" w:lineRule="auto"/>
        <w:rPr>
          <w:rFonts w:ascii="Palatino Linotype" w:eastAsia="Palatino Linotype" w:hAnsi="Palatino Linotype" w:cs="Palatino Linotype"/>
          <w:b/>
          <w:color w:val="000000"/>
          <w:sz w:val="24"/>
          <w:szCs w:val="24"/>
        </w:rPr>
      </w:pPr>
      <w:bookmarkStart w:id="5" w:name="_heading=h.3dy6vkm" w:colFirst="0" w:colLast="0"/>
      <w:bookmarkEnd w:id="5"/>
      <w:r w:rsidRPr="009A27DF">
        <w:rPr>
          <w:rFonts w:ascii="Palatino Linotype" w:eastAsia="Palatino Linotype" w:hAnsi="Palatino Linotype" w:cs="Palatino Linotype"/>
          <w:b/>
          <w:color w:val="000000"/>
          <w:sz w:val="24"/>
          <w:szCs w:val="24"/>
        </w:rPr>
        <w:t xml:space="preserve">CUARTO. Estudio y resolución del recurso de revisión. </w:t>
      </w:r>
    </w:p>
    <w:p w:rsidR="00BA1156" w:rsidRPr="009A27DF" w:rsidRDefault="00BA1156" w:rsidP="00BA1156">
      <w:pPr>
        <w:numPr>
          <w:ilvl w:val="0"/>
          <w:numId w:val="2"/>
        </w:numPr>
        <w:pBdr>
          <w:top w:val="nil"/>
          <w:left w:val="nil"/>
          <w:bottom w:val="nil"/>
          <w:right w:val="nil"/>
          <w:between w:val="nil"/>
        </w:pBdr>
        <w:tabs>
          <w:tab w:val="left" w:pos="567"/>
        </w:tabs>
        <w:spacing w:line="360" w:lineRule="auto"/>
        <w:ind w:left="0" w:firstLine="0"/>
        <w:jc w:val="both"/>
        <w:rPr>
          <w:rFonts w:ascii="Palatino Linotype" w:hAnsi="Palatino Linotype"/>
          <w:color w:val="000000"/>
        </w:rPr>
      </w:pPr>
      <w:r w:rsidRPr="009A27DF">
        <w:rPr>
          <w:rFonts w:ascii="Palatino Linotype" w:eastAsia="Palatino Linotype" w:hAnsi="Palatino Linotype" w:cs="Palatino Linotype"/>
          <w:color w:val="000000"/>
        </w:rPr>
        <w:t xml:space="preserve">Consecuentemente y derivado del Planteamiento de la Litis, se procede analizar el contenido íntegro de las actuaciones que obran en el expediente electrónico, y así este Órgano Garante dicte la resolución correspondiente, tomando en consideración los elementos </w:t>
      </w:r>
      <w:r w:rsidRPr="009A27DF">
        <w:rPr>
          <w:rFonts w:ascii="Palatino Linotype" w:eastAsia="Palatino Linotype" w:hAnsi="Palatino Linotype" w:cs="Palatino Linotype"/>
          <w:color w:val="000000"/>
        </w:rPr>
        <w:lastRenderedPageBreak/>
        <w:t xml:space="preserve">aportados por las partes y apegándose en todo momento al principio de máxima publicidad de acuerdo con lo establecido en el artículo 8 de la </w:t>
      </w:r>
      <w:r w:rsidRPr="009A27DF">
        <w:rPr>
          <w:rFonts w:ascii="Palatino Linotype" w:eastAsia="Palatino Linotype" w:hAnsi="Palatino Linotype" w:cs="Palatino Linotype"/>
          <w:b/>
          <w:color w:val="000000"/>
        </w:rPr>
        <w:t>Ley de Transparencia y Acceso a la Información Pública del Estado de México y Municipios</w:t>
      </w:r>
      <w:r w:rsidRPr="009A27DF">
        <w:rPr>
          <w:rFonts w:ascii="Palatino Linotype" w:eastAsia="Palatino Linotype" w:hAnsi="Palatino Linotype" w:cs="Palatino Linotype"/>
          <w:color w:val="000000"/>
        </w:rPr>
        <w:t>.</w:t>
      </w:r>
      <w:bookmarkStart w:id="6" w:name="_heading=h.4d34og8" w:colFirst="0" w:colLast="0"/>
      <w:bookmarkEnd w:id="6"/>
    </w:p>
    <w:p w:rsidR="009A27DF" w:rsidRPr="009A27DF" w:rsidRDefault="009A27DF" w:rsidP="009A27DF">
      <w:pPr>
        <w:pBdr>
          <w:top w:val="nil"/>
          <w:left w:val="nil"/>
          <w:bottom w:val="nil"/>
          <w:right w:val="nil"/>
          <w:between w:val="nil"/>
        </w:pBdr>
        <w:tabs>
          <w:tab w:val="left" w:pos="567"/>
        </w:tabs>
        <w:spacing w:line="360" w:lineRule="auto"/>
        <w:jc w:val="both"/>
        <w:rPr>
          <w:rFonts w:ascii="Palatino Linotype" w:hAnsi="Palatino Linotype"/>
          <w:color w:val="000000"/>
        </w:rPr>
      </w:pPr>
    </w:p>
    <w:p w:rsidR="00BA1156" w:rsidRPr="009A27DF" w:rsidRDefault="00A11606" w:rsidP="00BA1156">
      <w:pPr>
        <w:numPr>
          <w:ilvl w:val="0"/>
          <w:numId w:val="2"/>
        </w:numPr>
        <w:tabs>
          <w:tab w:val="left" w:pos="0"/>
          <w:tab w:val="left" w:pos="567"/>
        </w:tabs>
        <w:spacing w:after="240" w:line="360" w:lineRule="auto"/>
        <w:ind w:left="0" w:firstLine="0"/>
        <w:jc w:val="both"/>
        <w:rPr>
          <w:rFonts w:ascii="Palatino Linotype" w:hAnsi="Palatino Linotype"/>
        </w:rPr>
      </w:pPr>
      <w:r w:rsidRPr="009A27DF">
        <w:rPr>
          <w:rFonts w:ascii="Palatino Linotype" w:eastAsia="Palatino Linotype" w:hAnsi="Palatino Linotype" w:cs="Palatino Linotype"/>
          <w:color w:val="000000"/>
        </w:rPr>
        <w:t>Así</w:t>
      </w:r>
      <w:r w:rsidR="00BA1156" w:rsidRPr="009A27DF">
        <w:rPr>
          <w:rFonts w:ascii="Palatino Linotype" w:eastAsia="Palatino Linotype" w:hAnsi="Palatino Linotype" w:cs="Palatino Linotype"/>
          <w:color w:val="000000"/>
        </w:rPr>
        <w:t xml:space="preserve">, este Instituto de Transparencia, de conformidad con los principios de eficacia y profesionalismo, procederá a verificar la información remitida por el </w:t>
      </w:r>
      <w:r w:rsidR="00BA1156" w:rsidRPr="009A27DF">
        <w:rPr>
          <w:rFonts w:ascii="Palatino Linotype" w:eastAsia="Palatino Linotype" w:hAnsi="Palatino Linotype" w:cs="Palatino Linotype"/>
          <w:b/>
          <w:color w:val="000000"/>
        </w:rPr>
        <w:t>SUJETO OBLIGADO y</w:t>
      </w:r>
      <w:r w:rsidR="00BA1156" w:rsidRPr="009A27DF">
        <w:rPr>
          <w:rFonts w:ascii="Palatino Linotype" w:eastAsia="Palatino Linotype" w:hAnsi="Palatino Linotype" w:cs="Palatino Linotype"/>
          <w:color w:val="000000"/>
        </w:rPr>
        <w:t xml:space="preserve"> las manifestaciones realizadas por el </w:t>
      </w:r>
      <w:r w:rsidR="00BA1156" w:rsidRPr="009A27DF">
        <w:rPr>
          <w:rFonts w:ascii="Palatino Linotype" w:eastAsia="Palatino Linotype" w:hAnsi="Palatino Linotype" w:cs="Palatino Linotype"/>
          <w:b/>
        </w:rPr>
        <w:t>SOLICITANTE</w:t>
      </w:r>
      <w:r w:rsidR="00BA1156" w:rsidRPr="009A27DF">
        <w:rPr>
          <w:rFonts w:ascii="Palatino Linotype" w:eastAsia="Palatino Linotype" w:hAnsi="Palatino Linotype" w:cs="Palatino Linotype"/>
          <w:b/>
          <w:color w:val="000000"/>
        </w:rPr>
        <w:t xml:space="preserve"> </w:t>
      </w:r>
      <w:r w:rsidR="00BA1156" w:rsidRPr="009A27DF">
        <w:rPr>
          <w:rFonts w:ascii="Palatino Linotype" w:eastAsia="Palatino Linotype" w:hAnsi="Palatino Linotype" w:cs="Palatino Linotype"/>
          <w:color w:val="000000"/>
        </w:rPr>
        <w:t xml:space="preserve">a efecto de determinar si la información remitida se encuentra apegada a lo que establece la Ley en materia de Transparencia. </w:t>
      </w:r>
    </w:p>
    <w:p w:rsidR="00A62010" w:rsidRPr="009A27DF" w:rsidRDefault="00BA1156" w:rsidP="00A62010">
      <w:pPr>
        <w:pStyle w:val="Prrafodelista"/>
        <w:numPr>
          <w:ilvl w:val="0"/>
          <w:numId w:val="2"/>
        </w:numPr>
        <w:spacing w:line="360" w:lineRule="auto"/>
        <w:ind w:left="0" w:firstLine="0"/>
        <w:jc w:val="both"/>
        <w:rPr>
          <w:rFonts w:ascii="Palatino Linotype" w:eastAsia="Palatino Linotype" w:hAnsi="Palatino Linotype" w:cs="Palatino Linotype"/>
          <w:i/>
        </w:rPr>
      </w:pPr>
      <w:r w:rsidRPr="009A27DF">
        <w:rPr>
          <w:rFonts w:ascii="Palatino Linotype" w:hAnsi="Palatino Linotype"/>
        </w:rPr>
        <w:t>En ese sentido, conviene recapitular que el Recurrente solicitó</w:t>
      </w:r>
      <w:r w:rsidR="00A11606" w:rsidRPr="009A27DF">
        <w:rPr>
          <w:rFonts w:ascii="Palatino Linotype" w:hAnsi="Palatino Linotype"/>
        </w:rPr>
        <w:t xml:space="preserve"> </w:t>
      </w:r>
      <w:r w:rsidR="00177928" w:rsidRPr="009A27DF">
        <w:rPr>
          <w:rFonts w:ascii="Palatino Linotype" w:eastAsia="Palatino Linotype" w:hAnsi="Palatino Linotype" w:cs="Palatino Linotype"/>
        </w:rPr>
        <w:t>el estudio que se realizó para la formulación del programa de movilidad del Municipio de Chicoloapan, así como el nombre de la empresa y del responsable que lo realizó.  En respuesta, el Sujeto Obligado no negó contar con la información solicitada, por el contrario, el Sujeto Obligado señaló que se remite un extracto del estudio, es decir, que acepto que cuenta</w:t>
      </w:r>
      <w:r w:rsidR="00A62010" w:rsidRPr="009A27DF">
        <w:rPr>
          <w:rFonts w:ascii="Palatino Linotype" w:eastAsia="Palatino Linotype" w:hAnsi="Palatino Linotype" w:cs="Palatino Linotype"/>
        </w:rPr>
        <w:t xml:space="preserve"> con la información solicitada.</w:t>
      </w:r>
    </w:p>
    <w:p w:rsidR="00A62010" w:rsidRPr="009A27DF" w:rsidRDefault="00A62010" w:rsidP="00A62010">
      <w:pPr>
        <w:pStyle w:val="Prrafodelista"/>
        <w:spacing w:line="360" w:lineRule="auto"/>
        <w:ind w:left="0"/>
        <w:jc w:val="both"/>
        <w:rPr>
          <w:rFonts w:ascii="Palatino Linotype" w:eastAsia="Palatino Linotype" w:hAnsi="Palatino Linotype" w:cs="Palatino Linotype"/>
          <w:i/>
        </w:rPr>
      </w:pPr>
    </w:p>
    <w:p w:rsidR="00A62010" w:rsidRPr="009A27DF" w:rsidRDefault="00A62010" w:rsidP="00A62010">
      <w:pPr>
        <w:pStyle w:val="Prrafodelista"/>
        <w:numPr>
          <w:ilvl w:val="0"/>
          <w:numId w:val="2"/>
        </w:numPr>
        <w:spacing w:line="360" w:lineRule="auto"/>
        <w:ind w:left="0" w:firstLine="0"/>
        <w:jc w:val="both"/>
        <w:rPr>
          <w:rFonts w:ascii="Palatino Linotype" w:eastAsia="Palatino Linotype" w:hAnsi="Palatino Linotype" w:cs="Palatino Linotype"/>
          <w:i/>
        </w:rPr>
      </w:pPr>
      <w:r w:rsidRPr="009A27DF">
        <w:rPr>
          <w:rFonts w:ascii="Palatino Linotype" w:hAnsi="Palatino Linotype"/>
        </w:rPr>
        <w:t xml:space="preserve">En consecuencia, se precisa que se obvia el análisis de la competencia por parte del </w:t>
      </w:r>
      <w:r w:rsidRPr="009A27DF">
        <w:rPr>
          <w:rFonts w:ascii="Palatino Linotype" w:hAnsi="Palatino Linotype"/>
          <w:b/>
          <w:bCs/>
        </w:rPr>
        <w:t>SUJETO OBLIGADO</w:t>
      </w:r>
      <w:r w:rsidRPr="009A27DF">
        <w:rPr>
          <w:rFonts w:ascii="Palatino Linotype" w:hAnsi="Palatino Linotype"/>
        </w:rPr>
        <w:t>, para generar, administrar o poseer la información solicitada, dado que éste ha asumido la misma, en razón de que en su respuesta admitió contar con dicha información.</w:t>
      </w:r>
    </w:p>
    <w:p w:rsidR="00A62010" w:rsidRPr="009A27DF" w:rsidRDefault="00A62010" w:rsidP="00A62010">
      <w:pPr>
        <w:pStyle w:val="Prrafodelista"/>
        <w:spacing w:line="360" w:lineRule="auto"/>
        <w:ind w:left="360"/>
        <w:jc w:val="both"/>
        <w:rPr>
          <w:rFonts w:ascii="Palatino Linotype" w:hAnsi="Palatino Linotype"/>
        </w:rPr>
      </w:pPr>
    </w:p>
    <w:p w:rsidR="00A62010" w:rsidRPr="009A27DF" w:rsidRDefault="00A62010" w:rsidP="00A62010">
      <w:pPr>
        <w:pStyle w:val="Prrafodelista"/>
        <w:numPr>
          <w:ilvl w:val="0"/>
          <w:numId w:val="2"/>
        </w:numPr>
        <w:spacing w:line="360" w:lineRule="auto"/>
        <w:ind w:left="0" w:firstLine="0"/>
        <w:jc w:val="both"/>
        <w:rPr>
          <w:rFonts w:ascii="Palatino Linotype" w:hAnsi="Palatino Linotype"/>
        </w:rPr>
      </w:pPr>
      <w:r w:rsidRPr="009A27DF">
        <w:rPr>
          <w:rFonts w:ascii="Palatino Linotype" w:hAnsi="Palatino Linotype"/>
        </w:rPr>
        <w:t xml:space="preserve">En efecto, el hecho de que </w:t>
      </w:r>
      <w:r w:rsidRPr="009A27DF">
        <w:rPr>
          <w:rFonts w:ascii="Palatino Linotype" w:hAnsi="Palatino Linotype"/>
          <w:b/>
          <w:bCs/>
        </w:rPr>
        <w:t>EL SUJETO OBLIGADO</w:t>
      </w:r>
      <w:r w:rsidRPr="009A27DF">
        <w:rPr>
          <w:rFonts w:ascii="Palatino Linotype" w:hAnsi="Palatino Linotype"/>
        </w:rPr>
        <w:t xml:space="preserve"> haya admitido contar con la información pública solicitada, acepta que l</w:t>
      </w:r>
      <w:bookmarkStart w:id="7" w:name="_Hlk94787977"/>
      <w:r w:rsidRPr="009A27DF">
        <w:rPr>
          <w:rFonts w:ascii="Palatino Linotype" w:hAnsi="Palatino Linotype"/>
        </w:rPr>
        <w:t>a genera, posee y administra, en ejercicio de sus funciones</w:t>
      </w:r>
      <w:bookmarkEnd w:id="7"/>
      <w:r w:rsidRPr="009A27DF">
        <w:rPr>
          <w:rFonts w:ascii="Palatino Linotype" w:hAnsi="Palatino Linotype"/>
        </w:rPr>
        <w:t xml:space="preserve"> de derecho público, motivo por el cual se actualiza el supuesto jurídico, previsto </w:t>
      </w:r>
      <w:r w:rsidRPr="009A27DF">
        <w:rPr>
          <w:rFonts w:ascii="Palatino Linotype" w:hAnsi="Palatino Linotype"/>
        </w:rPr>
        <w:lastRenderedPageBreak/>
        <w:t>en el artículo 12 de la Ley de Transparencia y Acceso a la Información Pública del Estado de México y Municipios:</w:t>
      </w:r>
    </w:p>
    <w:p w:rsidR="00A62010" w:rsidRPr="009A27DF" w:rsidRDefault="00A62010" w:rsidP="00A62010">
      <w:pPr>
        <w:pStyle w:val="Prrafodelista"/>
        <w:ind w:left="851" w:right="902"/>
        <w:jc w:val="both"/>
        <w:rPr>
          <w:rFonts w:ascii="Palatino Linotype" w:hAnsi="Palatino Linotype"/>
          <w:i/>
          <w:iCs/>
        </w:rPr>
      </w:pPr>
      <w:r w:rsidRPr="009A27DF">
        <w:rPr>
          <w:rFonts w:ascii="Palatino Linotype" w:hAnsi="Palatino Linotype"/>
          <w:i/>
          <w:iCs/>
        </w:rPr>
        <w:t>“</w:t>
      </w:r>
      <w:r w:rsidRPr="009A27DF">
        <w:rPr>
          <w:rFonts w:ascii="Palatino Linotype" w:hAnsi="Palatino Linotype"/>
          <w:b/>
          <w:bCs/>
          <w:i/>
          <w:iCs/>
        </w:rPr>
        <w:t>Artículo 12.</w:t>
      </w:r>
      <w:r w:rsidRPr="009A27DF">
        <w:rPr>
          <w:rFonts w:ascii="Palatino Linotype" w:hAnsi="Palatino Linotype"/>
          <w:i/>
          <w:iCs/>
        </w:rPr>
        <w:t> Quienes generen, recopilen, administren, manejen, procesen, archiven o conserven información pública serán responsables de la misma en los términos de las disposiciones jurídicas aplicables.</w:t>
      </w:r>
    </w:p>
    <w:p w:rsidR="00A62010" w:rsidRPr="009A27DF" w:rsidRDefault="00A62010" w:rsidP="00A62010">
      <w:pPr>
        <w:pStyle w:val="Prrafodelista"/>
        <w:ind w:left="851" w:right="902"/>
        <w:jc w:val="both"/>
        <w:rPr>
          <w:rFonts w:ascii="Palatino Linotype" w:hAnsi="Palatino Linotype"/>
          <w:i/>
          <w:iCs/>
        </w:rPr>
      </w:pPr>
    </w:p>
    <w:p w:rsidR="00A62010" w:rsidRPr="009A27DF" w:rsidRDefault="00A62010" w:rsidP="00A62010">
      <w:pPr>
        <w:pStyle w:val="Prrafodelista"/>
        <w:ind w:left="851" w:right="902"/>
        <w:jc w:val="both"/>
        <w:rPr>
          <w:rFonts w:ascii="Palatino Linotype" w:hAnsi="Palatino Linotype"/>
          <w:i/>
          <w:iCs/>
        </w:rPr>
      </w:pPr>
      <w:r w:rsidRPr="009A27DF">
        <w:rPr>
          <w:rFonts w:ascii="Palatino Linotype" w:hAnsi="Palatino Linotype"/>
          <w:i/>
          <w:iCs/>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A62010" w:rsidRPr="009A27DF" w:rsidRDefault="00A62010" w:rsidP="00A62010">
      <w:pPr>
        <w:pStyle w:val="Prrafodelista"/>
        <w:ind w:left="360" w:right="902"/>
        <w:jc w:val="both"/>
        <w:rPr>
          <w:rFonts w:ascii="Palatino Linotype" w:hAnsi="Palatino Linotype"/>
          <w:i/>
          <w:iCs/>
        </w:rPr>
      </w:pPr>
    </w:p>
    <w:p w:rsidR="00A62010" w:rsidRPr="009A27DF" w:rsidRDefault="00A62010" w:rsidP="00A62010">
      <w:pPr>
        <w:pStyle w:val="Prrafodelista"/>
        <w:ind w:left="360" w:right="902"/>
        <w:jc w:val="both"/>
        <w:rPr>
          <w:rFonts w:ascii="Palatino Linotype" w:hAnsi="Palatino Linotype"/>
        </w:rPr>
      </w:pPr>
    </w:p>
    <w:p w:rsidR="00A62010" w:rsidRPr="009A27DF" w:rsidRDefault="00A62010" w:rsidP="00A62010">
      <w:pPr>
        <w:pStyle w:val="Prrafodelista"/>
        <w:numPr>
          <w:ilvl w:val="0"/>
          <w:numId w:val="2"/>
        </w:numPr>
        <w:spacing w:line="360" w:lineRule="auto"/>
        <w:ind w:left="0" w:firstLine="0"/>
        <w:jc w:val="both"/>
        <w:rPr>
          <w:rFonts w:ascii="Palatino Linotype" w:hAnsi="Palatino Linotype"/>
        </w:rPr>
      </w:pPr>
      <w:r w:rsidRPr="009A27DF">
        <w:rPr>
          <w:rFonts w:ascii="Palatino Linotype" w:hAnsi="Palatino Linotype"/>
        </w:rPr>
        <w:t>Así, el estudio de la naturaleza jurídica de la información pública solicitada, tiene por objeto determinar si ésta la genera, posee o administra </w:t>
      </w:r>
      <w:r w:rsidRPr="009A27DF">
        <w:rPr>
          <w:rFonts w:ascii="Palatino Linotype" w:hAnsi="Palatino Linotype"/>
          <w:b/>
          <w:bCs/>
        </w:rPr>
        <w:t>EL SUJETO OBLIGADO</w:t>
      </w:r>
      <w:r w:rsidRPr="009A27DF">
        <w:rPr>
          <w:rFonts w:ascii="Palatino Linotype" w:hAnsi="Palatino Linotype"/>
        </w:rPr>
        <w:t>; sin embargo, en aquellos casos en que éste la asume, a nada práctico nos conduciría su estudio, ya que se insiste, dicha información, fue admitida por el mismo; por lo que, la genera, posee y administra, en ejercicio de sus funciones de derecho público, motivo por el cual, se actualiza el supuesto jurídico, previsto en el artículo 12 de la Ley de la materia, anteriormente referido.</w:t>
      </w:r>
    </w:p>
    <w:p w:rsidR="00F269A3" w:rsidRPr="009A27DF" w:rsidRDefault="00F269A3" w:rsidP="000F6E54">
      <w:pPr>
        <w:pStyle w:val="Prrafodelista"/>
        <w:tabs>
          <w:tab w:val="left" w:pos="426"/>
        </w:tabs>
        <w:spacing w:before="240" w:after="360" w:line="360" w:lineRule="auto"/>
        <w:ind w:left="0"/>
        <w:jc w:val="both"/>
        <w:rPr>
          <w:rFonts w:ascii="Palatino Linotype" w:hAnsi="Palatino Linotype" w:cs="Arial"/>
          <w:i/>
          <w:color w:val="000000" w:themeColor="text1"/>
        </w:rPr>
      </w:pPr>
    </w:p>
    <w:p w:rsidR="000F6E54" w:rsidRPr="009A27DF" w:rsidRDefault="000F6E54" w:rsidP="000F6E54">
      <w:pPr>
        <w:pStyle w:val="Prrafodelista"/>
        <w:numPr>
          <w:ilvl w:val="0"/>
          <w:numId w:val="2"/>
        </w:numPr>
        <w:spacing w:line="360" w:lineRule="auto"/>
        <w:ind w:left="0" w:firstLine="0"/>
        <w:jc w:val="both"/>
        <w:rPr>
          <w:rFonts w:ascii="Palatino Linotype" w:eastAsia="MS Mincho" w:hAnsi="Palatino Linotype"/>
        </w:rPr>
      </w:pPr>
      <w:r w:rsidRPr="009A27DF">
        <w:rPr>
          <w:rFonts w:ascii="Palatino Linotype" w:eastAsia="MS Mincho" w:hAnsi="Palatino Linotype"/>
        </w:rPr>
        <w:t xml:space="preserve">Por otro lado, debemos mencionar que el acceso a la información es un derecho humano constitucional y convencionalmente reconocido y para tal efecto </w:t>
      </w:r>
      <w:r w:rsidRPr="009A27DF">
        <w:rPr>
          <w:rFonts w:ascii="Palatino Linotype" w:eastAsia="Calibri" w:hAnsi="Palatino Linotype"/>
          <w:lang w:val="es-ES"/>
        </w:rPr>
        <w:t xml:space="preserve">el párrafo tercero del artículo primero de la Constitución Política de los Estados Unidos Mexicanos establece que el deber de todas las autoridades, </w:t>
      </w:r>
      <w:r w:rsidRPr="009A27DF">
        <w:rPr>
          <w:rFonts w:ascii="Palatino Linotype" w:eastAsia="Calibri" w:hAnsi="Palatino Linotype"/>
          <w:i/>
          <w:lang w:val="es-ES"/>
        </w:rPr>
        <w:t xml:space="preserve">en el ámbito de sus atribuciones, de promover, respetar, proteger y </w:t>
      </w:r>
      <w:r w:rsidRPr="009A27DF">
        <w:rPr>
          <w:rFonts w:ascii="Palatino Linotype" w:eastAsia="Calibri" w:hAnsi="Palatino Linotype"/>
          <w:b/>
          <w:i/>
          <w:lang w:val="es-ES"/>
        </w:rPr>
        <w:t>garantizar</w:t>
      </w:r>
      <w:r w:rsidRPr="009A27DF">
        <w:rPr>
          <w:rFonts w:ascii="Palatino Linotype" w:eastAsia="Calibri" w:hAnsi="Palatino Linotype"/>
          <w:i/>
          <w:lang w:val="es-ES"/>
        </w:rPr>
        <w:t xml:space="preserve"> los derechos humanos. </w:t>
      </w:r>
      <w:r w:rsidRPr="009A27DF">
        <w:rPr>
          <w:rFonts w:ascii="Palatino Linotype" w:eastAsia="Calibri" w:hAnsi="Palatino Linotype"/>
          <w:b/>
          <w:i/>
          <w:lang w:val="es-ES"/>
        </w:rPr>
        <w:t>En cuanto al derecho de acceso a la información, la Ley de Transparencia y Acceso a la Información Pública del Estado de México y Municipios prevé establece que e</w:t>
      </w:r>
      <w:r w:rsidRPr="009A27DF">
        <w:rPr>
          <w:rFonts w:ascii="Palatino Linotype" w:hAnsi="Palatino Linotype"/>
          <w:i/>
        </w:rPr>
        <w:t xml:space="preserve">l procedimiento de acceso a la información es la garantía primaria del derecho en cuestión y se rige por los principios de simplicidad, rapidez y gratuidad del </w:t>
      </w:r>
      <w:r w:rsidRPr="009A27DF">
        <w:rPr>
          <w:rFonts w:ascii="Palatino Linotype" w:hAnsi="Palatino Linotype"/>
          <w:i/>
        </w:rPr>
        <w:lastRenderedPageBreak/>
        <w:t>procedimiento, auxilio y orientación a los particulares</w:t>
      </w:r>
      <w:r w:rsidRPr="009A27DF">
        <w:rPr>
          <w:rStyle w:val="Refdenotaalpie"/>
          <w:i/>
        </w:rPr>
        <w:footnoteReference w:id="1"/>
      </w:r>
      <w:r w:rsidRPr="009A27DF">
        <w:rPr>
          <w:rFonts w:ascii="Palatino Linotype" w:hAnsi="Palatino Linotype"/>
          <w:i/>
        </w:rPr>
        <w:t xml:space="preserve">, </w:t>
      </w:r>
      <w:r w:rsidRPr="009A27DF">
        <w:rPr>
          <w:rFonts w:ascii="Palatino Linotype" w:hAnsi="Palatino Linotype"/>
        </w:rPr>
        <w:t>asimismo establece</w:t>
      </w:r>
      <w:r w:rsidRPr="009A27DF">
        <w:rPr>
          <w:rFonts w:ascii="Palatino Linotype" w:hAnsi="Palatino Linotype"/>
          <w:i/>
        </w:rPr>
        <w:t xml:space="preserve"> que las unidades de transparencia de los Sujetos Obligados deberán garantizar las medidas y condiciones de accesibilidad para que toda persona pueda ejercer el derecho de acceso a la información, mediante solicitudes de información y deberá apoyar al solicitante en la elaboración de las mismas.</w:t>
      </w:r>
    </w:p>
    <w:p w:rsidR="000F6E54" w:rsidRPr="009A27DF" w:rsidRDefault="000F6E54" w:rsidP="000F6E54">
      <w:pPr>
        <w:pStyle w:val="Prrafodelista"/>
        <w:ind w:left="0"/>
        <w:rPr>
          <w:rFonts w:ascii="Palatino Linotype" w:eastAsia="Calibri" w:hAnsi="Palatino Linotype" w:cs="Arial"/>
        </w:rPr>
      </w:pPr>
    </w:p>
    <w:p w:rsidR="000F6E54" w:rsidRPr="009A27DF" w:rsidRDefault="000F6E54" w:rsidP="000F6E54">
      <w:pPr>
        <w:pStyle w:val="Prrafodelista"/>
        <w:numPr>
          <w:ilvl w:val="0"/>
          <w:numId w:val="2"/>
        </w:numPr>
        <w:spacing w:line="360" w:lineRule="auto"/>
        <w:ind w:left="0" w:firstLine="0"/>
        <w:jc w:val="both"/>
        <w:rPr>
          <w:rFonts w:ascii="Palatino Linotype" w:eastAsia="Calibri" w:hAnsi="Palatino Linotype" w:cs="Arial"/>
        </w:rPr>
      </w:pPr>
      <w:r w:rsidRPr="009A27DF">
        <w:rPr>
          <w:rFonts w:ascii="Palatino Linotype" w:hAnsi="Palatino Linotype"/>
        </w:rPr>
        <w:t>Por lo que, las actuaciones diligentes que lleven a cabo en un primer momento las Unidades de Transparencia y posteriormente  cada servidor público en su área es fundamental para la correcta tutela y el eficaz cumplimiento al derecho de acceso a la información, pues los primeros son el vínculo entre los particulares y los servidores públicos que generan, administra o poseen la información, mientras que los segundos tienen la responsabilidad de realizar una correcta gestión documental que permita localizar de manera rápida los documentos que se soliciten o bien, simplemente para el desarrollo de sus facultades, competencias y atribuciones que a diario desempeñan.</w:t>
      </w:r>
    </w:p>
    <w:p w:rsidR="000F6E54" w:rsidRPr="009A27DF" w:rsidRDefault="000F6E54" w:rsidP="000F6E54">
      <w:pPr>
        <w:pStyle w:val="Prrafodelista"/>
        <w:ind w:left="0"/>
        <w:rPr>
          <w:rFonts w:ascii="Palatino Linotype" w:hAnsi="Palatino Linotype"/>
        </w:rPr>
      </w:pPr>
    </w:p>
    <w:p w:rsidR="000F6E54" w:rsidRPr="009A27DF" w:rsidRDefault="000F6E54" w:rsidP="000F6E54">
      <w:pPr>
        <w:pStyle w:val="Prrafodelista"/>
        <w:numPr>
          <w:ilvl w:val="0"/>
          <w:numId w:val="2"/>
        </w:numPr>
        <w:spacing w:line="360" w:lineRule="auto"/>
        <w:ind w:left="0" w:firstLine="0"/>
        <w:jc w:val="both"/>
        <w:rPr>
          <w:rFonts w:ascii="Palatino Linotype" w:eastAsia="Calibri" w:hAnsi="Palatino Linotype" w:cs="Arial"/>
        </w:rPr>
      </w:pPr>
      <w:r w:rsidRPr="009A27DF">
        <w:rPr>
          <w:rFonts w:ascii="Palatino Linotype" w:hAnsi="Palatino Linotype"/>
        </w:rPr>
        <w:t xml:space="preserve">Es así que, su obligación es </w:t>
      </w:r>
      <w:r w:rsidRPr="009A27DF">
        <w:rPr>
          <w:rFonts w:ascii="Palatino Linotype" w:hAnsi="Palatino Linotype"/>
          <w:i/>
        </w:rPr>
        <w:t>realizar, con efectividad, los trámites internos necesarios para la atención de las solicitudes de información</w:t>
      </w:r>
      <w:r w:rsidRPr="009A27DF">
        <w:rPr>
          <w:rStyle w:val="Refdenotaalpie"/>
        </w:rPr>
        <w:footnoteReference w:id="2"/>
      </w:r>
      <w:r w:rsidRPr="009A27DF">
        <w:rPr>
          <w:rFonts w:ascii="Palatino Linotype" w:hAnsi="Palatino Linotype"/>
        </w:rPr>
        <w:t>, es decir, deben otorgar respuestas concisas, contundentes y sobre todo que den la certeza de los actos que realizan.</w:t>
      </w:r>
    </w:p>
    <w:p w:rsidR="000F6E54" w:rsidRPr="009A27DF" w:rsidRDefault="000F6E54" w:rsidP="000F6E54">
      <w:pPr>
        <w:pStyle w:val="Prrafodelista"/>
        <w:ind w:left="0"/>
        <w:rPr>
          <w:rFonts w:ascii="Palatino Linotype" w:eastAsia="Calibri" w:hAnsi="Palatino Linotype" w:cs="Arial"/>
        </w:rPr>
      </w:pPr>
    </w:p>
    <w:p w:rsidR="000F6E54" w:rsidRPr="009A27DF" w:rsidRDefault="000F6E54" w:rsidP="000F6E54">
      <w:pPr>
        <w:pStyle w:val="Prrafodelista"/>
        <w:numPr>
          <w:ilvl w:val="0"/>
          <w:numId w:val="2"/>
        </w:numPr>
        <w:spacing w:line="360" w:lineRule="auto"/>
        <w:ind w:left="0" w:firstLine="0"/>
        <w:jc w:val="both"/>
        <w:rPr>
          <w:rFonts w:ascii="Palatino Linotype" w:eastAsia="MS Mincho" w:hAnsi="Palatino Linotype"/>
        </w:rPr>
      </w:pPr>
      <w:r w:rsidRPr="009A27DF">
        <w:rPr>
          <w:rFonts w:ascii="Palatino Linotype" w:eastAsia="Palatino Linotype" w:hAnsi="Palatino Linotype" w:cs="Palatino Linotype"/>
        </w:rPr>
        <w:t xml:space="preserve">Al respecto, es menester hacer referencia a lo establecido en los artículos 50, 53 fracciones II, IV y V, 58, 59 fracciones I y II, y 162 </w:t>
      </w:r>
      <w:r w:rsidRPr="009A27DF">
        <w:rPr>
          <w:rFonts w:ascii="Palatino Linotype" w:eastAsia="Arial Unicode MS" w:hAnsi="Palatino Linotype" w:cs="Arial"/>
          <w:lang w:eastAsia="en-US"/>
        </w:rPr>
        <w:t>de la Ley de Transparencia y Acceso a la Información del Estado de México y Municipios, que a la letra estipulan lo siguiente:</w:t>
      </w:r>
    </w:p>
    <w:p w:rsidR="000F6E54" w:rsidRPr="009A27DF" w:rsidRDefault="000F6E54" w:rsidP="000F6E54">
      <w:pPr>
        <w:ind w:left="851" w:right="822"/>
        <w:jc w:val="both"/>
        <w:rPr>
          <w:rFonts w:ascii="Palatino Linotype" w:eastAsia="Palatino Linotype" w:hAnsi="Palatino Linotype" w:cs="Palatino Linotype"/>
          <w:i/>
          <w:iCs/>
        </w:rPr>
      </w:pPr>
      <w:r w:rsidRPr="009A27DF">
        <w:rPr>
          <w:rFonts w:ascii="Palatino Linotype" w:eastAsia="Palatino Linotype" w:hAnsi="Palatino Linotype" w:cs="Palatino Linotype"/>
          <w:b/>
          <w:i/>
          <w:iCs/>
        </w:rPr>
        <w:t xml:space="preserve">Artículo 50. </w:t>
      </w:r>
      <w:r w:rsidRPr="009A27DF">
        <w:rPr>
          <w:rFonts w:ascii="Palatino Linotype" w:eastAsia="Palatino Linotype" w:hAnsi="Palatino Linotype" w:cs="Palatino Linotype"/>
          <w:i/>
          <w:iCs/>
        </w:rPr>
        <w:t>Los sujetos obligados contarán con un área responsable para la atención de las solicitudes de información, a la que se le denominará Unidad de Transparencia.</w:t>
      </w:r>
    </w:p>
    <w:p w:rsidR="000F6E54" w:rsidRPr="009A27DF" w:rsidRDefault="000F6E54" w:rsidP="000F6E54">
      <w:pPr>
        <w:ind w:left="851" w:right="822"/>
        <w:jc w:val="both"/>
        <w:rPr>
          <w:rFonts w:ascii="Palatino Linotype" w:eastAsia="Palatino Linotype" w:hAnsi="Palatino Linotype" w:cs="Palatino Linotype"/>
          <w:i/>
          <w:iCs/>
        </w:rPr>
      </w:pPr>
    </w:p>
    <w:p w:rsidR="000F6E54" w:rsidRPr="009A27DF" w:rsidRDefault="000F6E54" w:rsidP="000F6E54">
      <w:pPr>
        <w:ind w:left="851" w:right="822"/>
        <w:jc w:val="both"/>
        <w:rPr>
          <w:rFonts w:ascii="Palatino Linotype" w:eastAsia="Palatino Linotype" w:hAnsi="Palatino Linotype" w:cs="Palatino Linotype"/>
          <w:i/>
          <w:iCs/>
        </w:rPr>
      </w:pPr>
      <w:r w:rsidRPr="009A27DF">
        <w:rPr>
          <w:rFonts w:ascii="Palatino Linotype" w:eastAsia="Palatino Linotype" w:hAnsi="Palatino Linotype" w:cs="Palatino Linotype"/>
          <w:b/>
          <w:i/>
          <w:iCs/>
        </w:rPr>
        <w:t xml:space="preserve">Artículo 53. </w:t>
      </w:r>
      <w:r w:rsidRPr="009A27DF">
        <w:rPr>
          <w:rFonts w:ascii="Palatino Linotype" w:eastAsia="Palatino Linotype" w:hAnsi="Palatino Linotype" w:cs="Palatino Linotype"/>
          <w:i/>
          <w:iCs/>
        </w:rPr>
        <w:t>Las Unidades de Transparencia tendrán las siguientes funciones:</w:t>
      </w:r>
    </w:p>
    <w:p w:rsidR="000F6E54" w:rsidRPr="009A27DF" w:rsidRDefault="000F6E54" w:rsidP="000F6E54">
      <w:pPr>
        <w:ind w:left="851" w:right="822"/>
        <w:jc w:val="both"/>
        <w:rPr>
          <w:rFonts w:ascii="Palatino Linotype" w:eastAsia="Palatino Linotype" w:hAnsi="Palatino Linotype" w:cs="Palatino Linotype"/>
          <w:i/>
          <w:iCs/>
        </w:rPr>
      </w:pPr>
      <w:r w:rsidRPr="009A27DF">
        <w:rPr>
          <w:rFonts w:ascii="Palatino Linotype" w:eastAsia="Palatino Linotype" w:hAnsi="Palatino Linotype" w:cs="Palatino Linotype"/>
          <w:i/>
          <w:iCs/>
        </w:rPr>
        <w:lastRenderedPageBreak/>
        <w:t>(…)</w:t>
      </w:r>
    </w:p>
    <w:p w:rsidR="000F6E54" w:rsidRPr="009A27DF" w:rsidRDefault="000F6E54" w:rsidP="000F6E54">
      <w:pPr>
        <w:ind w:left="851" w:right="822"/>
        <w:jc w:val="both"/>
        <w:rPr>
          <w:rFonts w:ascii="Palatino Linotype" w:eastAsia="Palatino Linotype" w:hAnsi="Palatino Linotype" w:cs="Palatino Linotype"/>
          <w:i/>
          <w:iCs/>
        </w:rPr>
      </w:pPr>
      <w:r w:rsidRPr="009A27DF">
        <w:rPr>
          <w:rFonts w:ascii="Palatino Linotype" w:eastAsia="Palatino Linotype" w:hAnsi="Palatino Linotype" w:cs="Palatino Linotype"/>
          <w:b/>
          <w:bCs/>
          <w:i/>
          <w:iCs/>
        </w:rPr>
        <w:t>II.</w:t>
      </w:r>
      <w:r w:rsidRPr="009A27DF">
        <w:rPr>
          <w:rFonts w:ascii="Palatino Linotype" w:eastAsia="Palatino Linotype" w:hAnsi="Palatino Linotype" w:cs="Palatino Linotype"/>
          <w:i/>
          <w:iCs/>
        </w:rPr>
        <w:t xml:space="preserve"> Recibir, tramitar y dar respuesta a las solicitudes de acceso a la información;</w:t>
      </w:r>
    </w:p>
    <w:p w:rsidR="000F6E54" w:rsidRPr="009A27DF" w:rsidRDefault="000F6E54" w:rsidP="000F6E54">
      <w:pPr>
        <w:ind w:left="851" w:right="822"/>
        <w:jc w:val="both"/>
        <w:rPr>
          <w:rFonts w:ascii="Palatino Linotype" w:eastAsia="Palatino Linotype" w:hAnsi="Palatino Linotype" w:cs="Palatino Linotype"/>
          <w:i/>
          <w:iCs/>
        </w:rPr>
      </w:pPr>
      <w:r w:rsidRPr="009A27DF">
        <w:rPr>
          <w:rFonts w:ascii="Palatino Linotype" w:eastAsia="Palatino Linotype" w:hAnsi="Palatino Linotype" w:cs="Palatino Linotype"/>
          <w:i/>
          <w:iCs/>
        </w:rPr>
        <w:t>(…)</w:t>
      </w:r>
    </w:p>
    <w:p w:rsidR="000F6E54" w:rsidRPr="009A27DF" w:rsidRDefault="000F6E54" w:rsidP="000F6E54">
      <w:pPr>
        <w:ind w:left="851" w:right="822"/>
        <w:jc w:val="both"/>
        <w:rPr>
          <w:rFonts w:ascii="Palatino Linotype" w:eastAsia="Palatino Linotype" w:hAnsi="Palatino Linotype" w:cs="Palatino Linotype"/>
          <w:i/>
          <w:iCs/>
        </w:rPr>
      </w:pPr>
      <w:r w:rsidRPr="009A27DF">
        <w:rPr>
          <w:rFonts w:ascii="Palatino Linotype" w:eastAsia="Palatino Linotype" w:hAnsi="Palatino Linotype" w:cs="Palatino Linotype"/>
          <w:b/>
          <w:bCs/>
          <w:i/>
          <w:iCs/>
        </w:rPr>
        <w:t>IV.</w:t>
      </w:r>
      <w:r w:rsidRPr="009A27DF">
        <w:rPr>
          <w:rFonts w:ascii="Palatino Linotype" w:eastAsia="Palatino Linotype" w:hAnsi="Palatino Linotype" w:cs="Palatino Linotype"/>
          <w:i/>
          <w:iCs/>
        </w:rPr>
        <w:t xml:space="preserve"> Realizar, con efectividad, los trámites internos necesarios para la atención de las solicitudes de acceso a la información;</w:t>
      </w:r>
    </w:p>
    <w:p w:rsidR="000F6E54" w:rsidRPr="009A27DF" w:rsidRDefault="000F6E54" w:rsidP="000F6E54">
      <w:pPr>
        <w:ind w:left="851" w:right="822"/>
        <w:jc w:val="both"/>
        <w:rPr>
          <w:rFonts w:ascii="Palatino Linotype" w:eastAsia="Palatino Linotype" w:hAnsi="Palatino Linotype" w:cs="Palatino Linotype"/>
          <w:i/>
          <w:iCs/>
        </w:rPr>
      </w:pPr>
      <w:r w:rsidRPr="009A27DF">
        <w:rPr>
          <w:rFonts w:ascii="Palatino Linotype" w:eastAsia="Palatino Linotype" w:hAnsi="Palatino Linotype" w:cs="Palatino Linotype"/>
          <w:b/>
          <w:bCs/>
          <w:i/>
          <w:iCs/>
        </w:rPr>
        <w:t>V.</w:t>
      </w:r>
      <w:r w:rsidRPr="009A27DF">
        <w:rPr>
          <w:rFonts w:ascii="Palatino Linotype" w:eastAsia="Palatino Linotype" w:hAnsi="Palatino Linotype" w:cs="Palatino Linotype"/>
          <w:i/>
          <w:iCs/>
        </w:rPr>
        <w:t xml:space="preserve"> Entregar, en su caso, a los particulares la información solicitada;</w:t>
      </w:r>
    </w:p>
    <w:p w:rsidR="000F6E54" w:rsidRPr="009A27DF" w:rsidRDefault="000F6E54" w:rsidP="000F6E54">
      <w:pPr>
        <w:ind w:left="851" w:right="822"/>
        <w:jc w:val="both"/>
        <w:rPr>
          <w:rFonts w:ascii="Palatino Linotype" w:eastAsia="Palatino Linotype" w:hAnsi="Palatino Linotype" w:cs="Palatino Linotype"/>
          <w:i/>
          <w:iCs/>
        </w:rPr>
      </w:pPr>
      <w:r w:rsidRPr="009A27DF">
        <w:rPr>
          <w:rFonts w:ascii="Palatino Linotype" w:eastAsia="Palatino Linotype" w:hAnsi="Palatino Linotype" w:cs="Palatino Linotype"/>
          <w:i/>
          <w:iCs/>
        </w:rPr>
        <w:t>(…)</w:t>
      </w:r>
    </w:p>
    <w:p w:rsidR="000F6E54" w:rsidRPr="009A27DF" w:rsidRDefault="000F6E54" w:rsidP="000F6E54">
      <w:pPr>
        <w:ind w:left="851" w:right="822"/>
        <w:jc w:val="both"/>
        <w:rPr>
          <w:rFonts w:ascii="Palatino Linotype" w:eastAsia="Palatino Linotype" w:hAnsi="Palatino Linotype" w:cs="Palatino Linotype"/>
          <w:i/>
          <w:iCs/>
        </w:rPr>
      </w:pPr>
    </w:p>
    <w:p w:rsidR="000F6E54" w:rsidRPr="009A27DF" w:rsidRDefault="000F6E54" w:rsidP="000F6E54">
      <w:pPr>
        <w:ind w:left="851" w:right="822"/>
        <w:jc w:val="both"/>
        <w:rPr>
          <w:rFonts w:ascii="Palatino Linotype" w:eastAsia="Palatino Linotype" w:hAnsi="Palatino Linotype" w:cs="Palatino Linotype"/>
          <w:i/>
          <w:iCs/>
        </w:rPr>
      </w:pPr>
      <w:r w:rsidRPr="009A27DF">
        <w:rPr>
          <w:rFonts w:ascii="Palatino Linotype" w:eastAsia="Palatino Linotype" w:hAnsi="Palatino Linotype" w:cs="Palatino Linotype"/>
          <w:b/>
          <w:i/>
          <w:iCs/>
        </w:rPr>
        <w:t xml:space="preserve">Artículo 58. </w:t>
      </w:r>
      <w:r w:rsidRPr="009A27DF">
        <w:rPr>
          <w:rFonts w:ascii="Palatino Linotype" w:eastAsia="Palatino Linotype" w:hAnsi="Palatino Linotype" w:cs="Palatino Linotype"/>
          <w:i/>
          <w:iCs/>
        </w:rPr>
        <w:t>Los servidores públicos habilitados serán designados por el titular del sujeto obligado a propuesta del responsable de la Unidad de Transparencia.</w:t>
      </w:r>
    </w:p>
    <w:p w:rsidR="000F6E54" w:rsidRPr="009A27DF" w:rsidRDefault="000F6E54" w:rsidP="000F6E54">
      <w:pPr>
        <w:ind w:left="851" w:right="822"/>
        <w:jc w:val="both"/>
        <w:rPr>
          <w:rFonts w:ascii="Palatino Linotype" w:eastAsia="Palatino Linotype" w:hAnsi="Palatino Linotype" w:cs="Palatino Linotype"/>
          <w:i/>
          <w:iCs/>
        </w:rPr>
      </w:pPr>
    </w:p>
    <w:p w:rsidR="000F6E54" w:rsidRPr="009A27DF" w:rsidRDefault="000F6E54" w:rsidP="000F6E54">
      <w:pPr>
        <w:ind w:left="851" w:right="822"/>
        <w:jc w:val="both"/>
        <w:rPr>
          <w:rFonts w:ascii="Palatino Linotype" w:eastAsia="Palatino Linotype" w:hAnsi="Palatino Linotype" w:cs="Palatino Linotype"/>
          <w:i/>
          <w:iCs/>
        </w:rPr>
      </w:pPr>
      <w:r w:rsidRPr="009A27DF">
        <w:rPr>
          <w:rFonts w:ascii="Palatino Linotype" w:eastAsia="Palatino Linotype" w:hAnsi="Palatino Linotype" w:cs="Palatino Linotype"/>
          <w:b/>
          <w:i/>
          <w:iCs/>
        </w:rPr>
        <w:t xml:space="preserve">Artículo 59. </w:t>
      </w:r>
      <w:r w:rsidRPr="009A27DF">
        <w:rPr>
          <w:rFonts w:ascii="Palatino Linotype" w:eastAsia="Palatino Linotype" w:hAnsi="Palatino Linotype" w:cs="Palatino Linotype"/>
          <w:i/>
          <w:iCs/>
        </w:rPr>
        <w:t>Los servidores públicos habilitados tendrán las funciones siguientes:</w:t>
      </w:r>
    </w:p>
    <w:p w:rsidR="000F6E54" w:rsidRPr="009A27DF" w:rsidRDefault="000F6E54" w:rsidP="000F6E54">
      <w:pPr>
        <w:ind w:left="851" w:right="822"/>
        <w:jc w:val="both"/>
        <w:rPr>
          <w:rFonts w:ascii="Palatino Linotype" w:eastAsia="Palatino Linotype" w:hAnsi="Palatino Linotype" w:cs="Palatino Linotype"/>
          <w:i/>
          <w:iCs/>
        </w:rPr>
      </w:pPr>
    </w:p>
    <w:p w:rsidR="000F6E54" w:rsidRPr="009A27DF" w:rsidRDefault="000F6E54" w:rsidP="000F6E54">
      <w:pPr>
        <w:ind w:left="851" w:right="822"/>
        <w:jc w:val="both"/>
        <w:rPr>
          <w:rFonts w:ascii="Palatino Linotype" w:eastAsia="Palatino Linotype" w:hAnsi="Palatino Linotype" w:cs="Palatino Linotype"/>
          <w:i/>
          <w:iCs/>
        </w:rPr>
      </w:pPr>
      <w:r w:rsidRPr="009A27DF">
        <w:rPr>
          <w:rFonts w:ascii="Palatino Linotype" w:eastAsia="Palatino Linotype" w:hAnsi="Palatino Linotype" w:cs="Palatino Linotype"/>
          <w:b/>
          <w:bCs/>
          <w:i/>
          <w:iCs/>
        </w:rPr>
        <w:t>I.</w:t>
      </w:r>
      <w:r w:rsidRPr="009A27DF">
        <w:rPr>
          <w:rFonts w:ascii="Palatino Linotype" w:eastAsia="Palatino Linotype" w:hAnsi="Palatino Linotype" w:cs="Palatino Linotype"/>
          <w:i/>
          <w:iCs/>
        </w:rPr>
        <w:t xml:space="preserve"> Localizar la información que le solicite la Unidad de Transparencia;</w:t>
      </w:r>
    </w:p>
    <w:p w:rsidR="000F6E54" w:rsidRPr="009A27DF" w:rsidRDefault="000F6E54" w:rsidP="000F6E54">
      <w:pPr>
        <w:ind w:left="851" w:right="822"/>
        <w:jc w:val="both"/>
        <w:rPr>
          <w:rFonts w:ascii="Palatino Linotype" w:eastAsia="Palatino Linotype" w:hAnsi="Palatino Linotype" w:cs="Palatino Linotype"/>
          <w:i/>
          <w:iCs/>
        </w:rPr>
      </w:pPr>
      <w:r w:rsidRPr="009A27DF">
        <w:rPr>
          <w:rFonts w:ascii="Palatino Linotype" w:eastAsia="Palatino Linotype" w:hAnsi="Palatino Linotype" w:cs="Palatino Linotype"/>
          <w:b/>
          <w:bCs/>
          <w:i/>
          <w:iCs/>
        </w:rPr>
        <w:t>II.</w:t>
      </w:r>
      <w:r w:rsidRPr="009A27DF">
        <w:rPr>
          <w:rFonts w:ascii="Palatino Linotype" w:eastAsia="Palatino Linotype" w:hAnsi="Palatino Linotype" w:cs="Palatino Linotype"/>
          <w:i/>
          <w:iCs/>
        </w:rPr>
        <w:t xml:space="preserve"> Proporcionar la información que obre en los archivos y que le sea solicitada por la Unidad de Transparencia;</w:t>
      </w:r>
    </w:p>
    <w:p w:rsidR="000F6E54" w:rsidRPr="009A27DF" w:rsidRDefault="000F6E54" w:rsidP="000F6E54">
      <w:pPr>
        <w:ind w:left="851" w:right="822"/>
        <w:jc w:val="both"/>
        <w:rPr>
          <w:rFonts w:ascii="Palatino Linotype" w:eastAsia="Palatino Linotype" w:hAnsi="Palatino Linotype" w:cs="Palatino Linotype"/>
          <w:i/>
          <w:iCs/>
        </w:rPr>
      </w:pPr>
      <w:r w:rsidRPr="009A27DF">
        <w:rPr>
          <w:rFonts w:ascii="Palatino Linotype" w:eastAsia="Palatino Linotype" w:hAnsi="Palatino Linotype" w:cs="Palatino Linotype"/>
          <w:i/>
          <w:iCs/>
        </w:rPr>
        <w:t>(...)</w:t>
      </w:r>
    </w:p>
    <w:p w:rsidR="000F6E54" w:rsidRPr="009A27DF" w:rsidRDefault="000F6E54" w:rsidP="000F6E54">
      <w:pPr>
        <w:ind w:left="851" w:right="822"/>
        <w:jc w:val="both"/>
        <w:rPr>
          <w:rFonts w:ascii="Palatino Linotype" w:eastAsia="Palatino Linotype" w:hAnsi="Palatino Linotype" w:cs="Palatino Linotype"/>
          <w:i/>
          <w:iCs/>
        </w:rPr>
      </w:pPr>
    </w:p>
    <w:p w:rsidR="000F6E54" w:rsidRPr="009A27DF" w:rsidRDefault="000F6E54" w:rsidP="000F6E54">
      <w:pPr>
        <w:ind w:left="851" w:right="822"/>
        <w:jc w:val="both"/>
        <w:rPr>
          <w:rFonts w:ascii="Palatino Linotype" w:eastAsia="Palatino Linotype" w:hAnsi="Palatino Linotype" w:cs="Palatino Linotype"/>
          <w:i/>
          <w:iCs/>
        </w:rPr>
      </w:pPr>
      <w:r w:rsidRPr="009A27DF">
        <w:rPr>
          <w:rFonts w:ascii="Palatino Linotype" w:eastAsia="Palatino Linotype" w:hAnsi="Palatino Linotype" w:cs="Palatino Linotype"/>
          <w:b/>
          <w:i/>
          <w:iCs/>
        </w:rPr>
        <w:t xml:space="preserve">Artículo 162. </w:t>
      </w:r>
      <w:r w:rsidRPr="009A27DF">
        <w:rPr>
          <w:rFonts w:ascii="Palatino Linotype" w:eastAsia="Palatino Linotype" w:hAnsi="Palatino Linotype" w:cs="Palatino Linotype"/>
          <w:i/>
          <w:iCs/>
        </w:rPr>
        <w:t>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w:t>
      </w:r>
    </w:p>
    <w:p w:rsidR="000F6E54" w:rsidRPr="009A27DF" w:rsidRDefault="000F6E54" w:rsidP="000F6E54">
      <w:pPr>
        <w:spacing w:line="360" w:lineRule="auto"/>
        <w:jc w:val="both"/>
        <w:rPr>
          <w:rFonts w:ascii="Palatino Linotype" w:eastAsia="Palatino Linotype" w:hAnsi="Palatino Linotype" w:cs="Palatino Linotype"/>
        </w:rPr>
      </w:pPr>
    </w:p>
    <w:p w:rsidR="000F6E54" w:rsidRPr="009A27DF" w:rsidRDefault="000F6E54" w:rsidP="000F6E54">
      <w:pPr>
        <w:pStyle w:val="Prrafodelista"/>
        <w:numPr>
          <w:ilvl w:val="0"/>
          <w:numId w:val="2"/>
        </w:numPr>
        <w:spacing w:line="360" w:lineRule="auto"/>
        <w:ind w:left="0" w:firstLine="0"/>
        <w:jc w:val="both"/>
        <w:rPr>
          <w:rFonts w:ascii="Palatino Linotype" w:eastAsia="Arial Unicode MS" w:hAnsi="Palatino Linotype" w:cs="Arial"/>
          <w:lang w:eastAsia="en-US"/>
        </w:rPr>
      </w:pPr>
      <w:r w:rsidRPr="009A27DF">
        <w:rPr>
          <w:rFonts w:ascii="Palatino Linotype" w:eastAsia="Palatino Linotype" w:hAnsi="Palatino Linotype" w:cs="Palatino Linotype"/>
        </w:rPr>
        <w:t xml:space="preserve">De los artículos citados se desprende que las Unidades de Transparencia de los sujetos obligados son las encargadas de tramitar internamente </w:t>
      </w:r>
      <w:r w:rsidRPr="009A27DF">
        <w:rPr>
          <w:rFonts w:ascii="Palatino Linotype" w:eastAsia="Arial Unicode MS" w:hAnsi="Palatino Linotype" w:cs="Arial"/>
          <w:lang w:eastAsia="en-US"/>
        </w:rPr>
        <w:t xml:space="preserve">las solicitudes de información y tienen, entre otras funciones, las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 Por su parte, los servidores públicos habilitados auxiliarán a las Unidades de Transparencia localizando la información solicitada y proporcionando la misma que obre en sus archivos. Asimismo, es una obligación de las Unidades de Transparencia turnar a todas las áreas que se consideren competentes para que realicen una búsqueda </w:t>
      </w:r>
      <w:r w:rsidRPr="009A27DF">
        <w:rPr>
          <w:rFonts w:ascii="Palatino Linotype" w:eastAsia="Arial Unicode MS" w:hAnsi="Palatino Linotype" w:cs="Arial"/>
          <w:lang w:eastAsia="en-US"/>
        </w:rPr>
        <w:lastRenderedPageBreak/>
        <w:t>exhaustiva y razonable de la información solicitada a fin de que ésta sea entregada a los solicitantes.</w:t>
      </w:r>
    </w:p>
    <w:p w:rsidR="000F6E54" w:rsidRPr="009A27DF" w:rsidRDefault="000F6E54" w:rsidP="000F6E54">
      <w:pPr>
        <w:pStyle w:val="Prrafodelista"/>
        <w:spacing w:line="360" w:lineRule="auto"/>
        <w:ind w:left="0"/>
        <w:jc w:val="both"/>
        <w:rPr>
          <w:rFonts w:ascii="Palatino Linotype" w:eastAsia="Arial Unicode MS" w:hAnsi="Palatino Linotype" w:cs="Arial"/>
          <w:lang w:eastAsia="en-US"/>
        </w:rPr>
      </w:pPr>
    </w:p>
    <w:p w:rsidR="000F6E54" w:rsidRPr="009A27DF" w:rsidRDefault="000F6E54" w:rsidP="000F6E54">
      <w:pPr>
        <w:pStyle w:val="Prrafodelista"/>
        <w:numPr>
          <w:ilvl w:val="0"/>
          <w:numId w:val="2"/>
        </w:numPr>
        <w:spacing w:line="360" w:lineRule="auto"/>
        <w:ind w:left="0" w:firstLine="0"/>
        <w:jc w:val="both"/>
        <w:rPr>
          <w:rFonts w:ascii="Palatino Linotype" w:eastAsia="Arial Unicode MS" w:hAnsi="Palatino Linotype" w:cs="Arial"/>
          <w:lang w:eastAsia="en-US"/>
        </w:rPr>
      </w:pPr>
      <w:r w:rsidRPr="009A27DF">
        <w:rPr>
          <w:rFonts w:ascii="Palatino Linotype" w:eastAsia="Arial Unicode MS" w:hAnsi="Palatino Linotype" w:cs="Arial"/>
          <w:lang w:eastAsia="en-US"/>
        </w:rPr>
        <w:t>Así, se debe entender que el trámite interno que se realice a las solicitudes de acceso a la información, es con el propósito de que se realice una búsqueda exhaustiva y razonable de la información entre sus archivos y, en su caso, se entregue la información de interés para el particular.</w:t>
      </w:r>
    </w:p>
    <w:p w:rsidR="000F6E54" w:rsidRPr="009A27DF" w:rsidRDefault="000F6E54" w:rsidP="000F6E54">
      <w:pPr>
        <w:pStyle w:val="Prrafodelista"/>
        <w:ind w:left="0"/>
        <w:rPr>
          <w:rFonts w:ascii="Palatino Linotype" w:eastAsia="Arial Unicode MS" w:hAnsi="Palatino Linotype" w:cs="Arial"/>
          <w:lang w:eastAsia="en-US"/>
        </w:rPr>
      </w:pPr>
    </w:p>
    <w:p w:rsidR="000F6E54" w:rsidRPr="009A27DF" w:rsidRDefault="000F6E54" w:rsidP="000F6E54">
      <w:pPr>
        <w:pStyle w:val="Prrafodelista"/>
        <w:numPr>
          <w:ilvl w:val="0"/>
          <w:numId w:val="2"/>
        </w:numPr>
        <w:spacing w:line="360" w:lineRule="auto"/>
        <w:ind w:left="0" w:firstLine="0"/>
        <w:jc w:val="both"/>
        <w:rPr>
          <w:rFonts w:ascii="Palatino Linotype" w:eastAsia="Arial Unicode MS" w:hAnsi="Palatino Linotype" w:cs="Arial"/>
          <w:lang w:eastAsia="en-US"/>
        </w:rPr>
      </w:pPr>
      <w:r w:rsidRPr="009A27DF">
        <w:rPr>
          <w:rFonts w:ascii="Palatino Linotype" w:eastAsia="Arial Unicode MS" w:hAnsi="Palatino Linotype" w:cs="Arial"/>
          <w:lang w:eastAsia="en-US"/>
        </w:rPr>
        <w:t>En el caso que se resuelve, quien da respuesta a la solicitud es el Director de Seguridad Pública y Movilidad, quien de acuerdo a la fracción II, artículo 120 del Bando Municipal de Chicoloapan 2025, tiene entre otras facultades hacer los estudios necesarios para conservar y mejorar los servicios de vialidad y tránsito, conforme a las necesidades y propuestas de la sociedad</w:t>
      </w:r>
      <w:r w:rsidR="00534DD9" w:rsidRPr="009A27DF">
        <w:rPr>
          <w:rFonts w:ascii="Palatino Linotype" w:eastAsia="Arial Unicode MS" w:hAnsi="Palatino Linotype" w:cs="Arial"/>
          <w:lang w:eastAsia="en-US"/>
        </w:rPr>
        <w:t xml:space="preserve">, es decir, que la respuesta fue emitida por el servidor público con facultades para generar, poseer o administrar la información solicitada, por lo que se concluye que se dio cumplimiento al proceso de búsqueda señalado. </w:t>
      </w:r>
    </w:p>
    <w:p w:rsidR="004849E7" w:rsidRPr="009A27DF" w:rsidRDefault="004849E7" w:rsidP="00B54338">
      <w:pPr>
        <w:pStyle w:val="Prrafodelista"/>
        <w:tabs>
          <w:tab w:val="left" w:pos="426"/>
        </w:tabs>
        <w:spacing w:before="240" w:after="360" w:line="360" w:lineRule="auto"/>
        <w:ind w:left="0"/>
        <w:jc w:val="both"/>
        <w:rPr>
          <w:rFonts w:ascii="Palatino Linotype" w:hAnsi="Palatino Linotype" w:cs="Arial"/>
          <w:i/>
          <w:color w:val="000000" w:themeColor="text1"/>
        </w:rPr>
      </w:pPr>
    </w:p>
    <w:p w:rsidR="00031ED9" w:rsidRPr="009A27DF" w:rsidRDefault="004849E7" w:rsidP="00031ED9">
      <w:pPr>
        <w:pStyle w:val="Prrafodelista"/>
        <w:numPr>
          <w:ilvl w:val="0"/>
          <w:numId w:val="2"/>
        </w:numPr>
        <w:tabs>
          <w:tab w:val="left" w:pos="426"/>
        </w:tabs>
        <w:spacing w:before="240" w:after="360" w:line="360" w:lineRule="auto"/>
        <w:ind w:left="0" w:firstLine="0"/>
        <w:jc w:val="both"/>
        <w:rPr>
          <w:rFonts w:ascii="Palatino Linotype" w:hAnsi="Palatino Linotype" w:cs="Arial"/>
          <w:i/>
          <w:color w:val="000000" w:themeColor="text1"/>
        </w:rPr>
      </w:pPr>
      <w:r w:rsidRPr="009A27DF">
        <w:rPr>
          <w:rFonts w:ascii="Palatino Linotype" w:hAnsi="Palatino Linotype"/>
          <w:color w:val="000000" w:themeColor="text1"/>
        </w:rPr>
        <w:t xml:space="preserve"> </w:t>
      </w:r>
      <w:r w:rsidR="00031ED9" w:rsidRPr="009A27DF">
        <w:rPr>
          <w:rFonts w:ascii="Palatino Linotype" w:hAnsi="Palatino Linotype"/>
          <w:color w:val="000000" w:themeColor="text1"/>
        </w:rPr>
        <w:t xml:space="preserve">Resulta necesario referir que, el </w:t>
      </w:r>
      <w:r w:rsidR="00031ED9" w:rsidRPr="009A27DF">
        <w:rPr>
          <w:rFonts w:ascii="Palatino Linotype" w:eastAsia="Calibri" w:hAnsi="Palatino Linotype" w:cs="Arial"/>
        </w:rPr>
        <w:t xml:space="preserve">artículo 6° apartado A fracción I, de la Constitución Política de los Estados Unidos Mexicanos, artículo 5 fracción I de la Constitución Política del Estado Libre y Soberano de México y el artículo 18 de la Ley de Transparencia y Acceso a la Información Pública del Estado de México y Municipios, guardan una estrecha relación, puesto que los ordenamientos citados concurren refiriendo que </w:t>
      </w:r>
      <w:r w:rsidR="00031ED9" w:rsidRPr="009A27DF">
        <w:rPr>
          <w:rFonts w:ascii="Palatino Linotype" w:eastAsia="Calibri" w:hAnsi="Palatino Linotype" w:cs="Arial"/>
          <w:b/>
        </w:rPr>
        <w:t>los Sujetos Obligados deberán documentar todo acto que se derive del ejercicio de sus facultades, competencias o funciones,</w:t>
      </w:r>
      <w:r w:rsidR="00031ED9" w:rsidRPr="009A27DF">
        <w:rPr>
          <w:rFonts w:ascii="Palatino Linotype" w:eastAsia="Calibri" w:hAnsi="Palatino Linotype" w:cs="Arial"/>
        </w:rPr>
        <w:t xml:space="preserve"> considerando desde su origen la eventual publicidad y reutilización de la información que generen, posean o administren.</w:t>
      </w:r>
    </w:p>
    <w:p w:rsidR="00031ED9" w:rsidRPr="009A27DF" w:rsidRDefault="00031ED9" w:rsidP="00031ED9">
      <w:pPr>
        <w:pStyle w:val="Prrafodelista"/>
        <w:spacing w:line="360" w:lineRule="auto"/>
        <w:ind w:left="0"/>
        <w:rPr>
          <w:rFonts w:ascii="Palatino Linotype" w:hAnsi="Palatino Linotype" w:cs="Arial"/>
          <w:i/>
          <w:color w:val="000000" w:themeColor="text1"/>
        </w:rPr>
      </w:pPr>
    </w:p>
    <w:p w:rsidR="00031ED9" w:rsidRPr="009A27DF" w:rsidRDefault="00031ED9" w:rsidP="00031ED9">
      <w:pPr>
        <w:pStyle w:val="Prrafodelista"/>
        <w:numPr>
          <w:ilvl w:val="0"/>
          <w:numId w:val="2"/>
        </w:numPr>
        <w:spacing w:line="360" w:lineRule="auto"/>
        <w:ind w:left="0" w:right="49" w:firstLine="0"/>
        <w:jc w:val="both"/>
        <w:rPr>
          <w:rFonts w:ascii="Palatino Linotype" w:hAnsi="Palatino Linotype" w:cs="Arial"/>
          <w:color w:val="000000"/>
        </w:rPr>
      </w:pPr>
      <w:r w:rsidRPr="009A27DF">
        <w:rPr>
          <w:rFonts w:ascii="Palatino Linotype" w:hAnsi="Palatino Linotype" w:cs="Arial"/>
          <w:color w:val="000000"/>
        </w:rPr>
        <w:lastRenderedPageBreak/>
        <w:t>Además, debemos tomar en cuenta los artículos 4 y 12, de la Ley de Transparencia y Acceso a la Información Pública del Estado de México y Municipios, los cuales establecen lo siguiente:</w:t>
      </w:r>
    </w:p>
    <w:p w:rsidR="00031ED9" w:rsidRPr="009A27DF" w:rsidRDefault="00031ED9" w:rsidP="00031ED9">
      <w:pPr>
        <w:autoSpaceDE w:val="0"/>
        <w:autoSpaceDN w:val="0"/>
        <w:adjustRightInd w:val="0"/>
        <w:spacing w:line="360" w:lineRule="auto"/>
        <w:ind w:left="567" w:right="567"/>
        <w:jc w:val="both"/>
        <w:rPr>
          <w:rFonts w:ascii="Palatino Linotype" w:hAnsi="Palatino Linotype" w:cs="Bookman Old Style"/>
          <w:i/>
        </w:rPr>
      </w:pPr>
      <w:r w:rsidRPr="009A27DF">
        <w:rPr>
          <w:rFonts w:ascii="Palatino Linotype" w:hAnsi="Palatino Linotype" w:cs="Bookman Old Style,Bold"/>
          <w:b/>
          <w:bCs/>
          <w:i/>
        </w:rPr>
        <w:t xml:space="preserve">Artículo 4. </w:t>
      </w:r>
      <w:r w:rsidRPr="009A27DF">
        <w:rPr>
          <w:rFonts w:ascii="Palatino Linotype" w:hAnsi="Palatino Linotype" w:cs="Bookman Old Style"/>
          <w:i/>
        </w:rPr>
        <w:t>El derecho humano de acceso a la información pública es la prerrogativa de las personas para buscar, difundir, investigar, recabar, recibir y solicitar información pública, sin necesidad de acreditar personalidad ni interés jurídico.</w:t>
      </w:r>
    </w:p>
    <w:p w:rsidR="00031ED9" w:rsidRPr="009A27DF" w:rsidRDefault="00031ED9" w:rsidP="00031ED9">
      <w:pPr>
        <w:autoSpaceDE w:val="0"/>
        <w:autoSpaceDN w:val="0"/>
        <w:adjustRightInd w:val="0"/>
        <w:spacing w:line="360" w:lineRule="auto"/>
        <w:ind w:left="567" w:right="567"/>
        <w:jc w:val="both"/>
        <w:rPr>
          <w:rFonts w:ascii="Palatino Linotype" w:hAnsi="Palatino Linotype" w:cs="Bookman Old Style"/>
          <w:i/>
        </w:rPr>
      </w:pPr>
    </w:p>
    <w:p w:rsidR="00031ED9" w:rsidRPr="009A27DF" w:rsidRDefault="00031ED9" w:rsidP="00031ED9">
      <w:pPr>
        <w:autoSpaceDE w:val="0"/>
        <w:autoSpaceDN w:val="0"/>
        <w:adjustRightInd w:val="0"/>
        <w:spacing w:line="360" w:lineRule="auto"/>
        <w:ind w:left="567" w:right="567"/>
        <w:jc w:val="both"/>
        <w:rPr>
          <w:rFonts w:ascii="Palatino Linotype" w:hAnsi="Palatino Linotype" w:cs="Bookman Old Style"/>
          <w:i/>
        </w:rPr>
      </w:pPr>
      <w:r w:rsidRPr="009A27DF">
        <w:rPr>
          <w:rFonts w:ascii="Palatino Linotype" w:hAnsi="Palatino Linotype" w:cs="Bookman Old Style"/>
          <w:i/>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031ED9" w:rsidRPr="009A27DF" w:rsidRDefault="00031ED9" w:rsidP="00031ED9">
      <w:pPr>
        <w:autoSpaceDE w:val="0"/>
        <w:autoSpaceDN w:val="0"/>
        <w:adjustRightInd w:val="0"/>
        <w:spacing w:line="360" w:lineRule="auto"/>
        <w:ind w:left="567" w:right="567"/>
        <w:jc w:val="both"/>
        <w:rPr>
          <w:rFonts w:ascii="Palatino Linotype" w:hAnsi="Palatino Linotype" w:cs="Bookman Old Style"/>
          <w:i/>
        </w:rPr>
      </w:pPr>
    </w:p>
    <w:p w:rsidR="00031ED9" w:rsidRPr="009A27DF" w:rsidRDefault="00031ED9" w:rsidP="00031ED9">
      <w:pPr>
        <w:autoSpaceDE w:val="0"/>
        <w:autoSpaceDN w:val="0"/>
        <w:adjustRightInd w:val="0"/>
        <w:spacing w:line="360" w:lineRule="auto"/>
        <w:ind w:left="567" w:right="567"/>
        <w:jc w:val="both"/>
        <w:rPr>
          <w:rFonts w:ascii="Palatino Linotype" w:hAnsi="Palatino Linotype" w:cs="Bookman Old Style"/>
          <w:i/>
        </w:rPr>
      </w:pPr>
      <w:r w:rsidRPr="009A27DF">
        <w:rPr>
          <w:rFonts w:ascii="Palatino Linotype" w:hAnsi="Palatino Linotype" w:cs="Bookman Old Style"/>
          <w:i/>
        </w:rPr>
        <w:t>Los sujetos obligados deben poner en práctica, políticas y programas de acceso a la información que se apeguen a criterios de publicidad, veracidad, oportunidad, precisión y suficiencia en beneficio de los solicitantes.</w:t>
      </w:r>
    </w:p>
    <w:p w:rsidR="00031ED9" w:rsidRPr="009A27DF" w:rsidRDefault="00031ED9" w:rsidP="00031ED9">
      <w:pPr>
        <w:autoSpaceDE w:val="0"/>
        <w:autoSpaceDN w:val="0"/>
        <w:adjustRightInd w:val="0"/>
        <w:spacing w:line="360" w:lineRule="auto"/>
        <w:ind w:right="567"/>
        <w:jc w:val="both"/>
        <w:rPr>
          <w:rFonts w:ascii="Palatino Linotype" w:hAnsi="Palatino Linotype" w:cs="Arial"/>
          <w:i/>
          <w:color w:val="000000"/>
        </w:rPr>
      </w:pPr>
    </w:p>
    <w:p w:rsidR="00031ED9" w:rsidRPr="009A27DF" w:rsidRDefault="00031ED9" w:rsidP="00031ED9">
      <w:pPr>
        <w:autoSpaceDE w:val="0"/>
        <w:autoSpaceDN w:val="0"/>
        <w:adjustRightInd w:val="0"/>
        <w:spacing w:line="360" w:lineRule="auto"/>
        <w:ind w:left="567" w:right="567"/>
        <w:jc w:val="both"/>
        <w:rPr>
          <w:rFonts w:ascii="Palatino Linotype" w:hAnsi="Palatino Linotype" w:cs="Bookman Old Style"/>
          <w:i/>
        </w:rPr>
      </w:pPr>
      <w:r w:rsidRPr="009A27DF">
        <w:rPr>
          <w:rFonts w:ascii="Palatino Linotype" w:hAnsi="Palatino Linotype" w:cs="Bookman Old Style,Bold"/>
          <w:b/>
          <w:bCs/>
          <w:i/>
        </w:rPr>
        <w:t xml:space="preserve">Artículo 12. </w:t>
      </w:r>
      <w:r w:rsidRPr="009A27DF">
        <w:rPr>
          <w:rFonts w:ascii="Palatino Linotype" w:hAnsi="Palatino Linotype" w:cs="Bookman Old Style"/>
          <w:i/>
        </w:rPr>
        <w:t xml:space="preserve">Quienes generen, recopilen, administren, manejen, procesen, archiven o conserven información pública serán responsables de la misma en los términos de las disposiciones jurídicas aplicables. </w:t>
      </w:r>
    </w:p>
    <w:p w:rsidR="00031ED9" w:rsidRPr="009A27DF" w:rsidRDefault="00031ED9" w:rsidP="00031ED9">
      <w:pPr>
        <w:autoSpaceDE w:val="0"/>
        <w:autoSpaceDN w:val="0"/>
        <w:adjustRightInd w:val="0"/>
        <w:spacing w:line="360" w:lineRule="auto"/>
        <w:ind w:left="567" w:right="567"/>
        <w:jc w:val="both"/>
        <w:rPr>
          <w:rFonts w:ascii="Palatino Linotype" w:hAnsi="Palatino Linotype" w:cs="Bookman Old Style"/>
          <w:i/>
        </w:rPr>
      </w:pPr>
    </w:p>
    <w:p w:rsidR="00031ED9" w:rsidRPr="009A27DF" w:rsidRDefault="00031ED9" w:rsidP="00031ED9">
      <w:pPr>
        <w:autoSpaceDE w:val="0"/>
        <w:autoSpaceDN w:val="0"/>
        <w:adjustRightInd w:val="0"/>
        <w:spacing w:line="360" w:lineRule="auto"/>
        <w:ind w:left="567" w:right="567"/>
        <w:jc w:val="both"/>
        <w:rPr>
          <w:rFonts w:ascii="Palatino Linotype" w:hAnsi="Palatino Linotype" w:cs="Bookman Old Style"/>
          <w:i/>
        </w:rPr>
      </w:pPr>
      <w:r w:rsidRPr="009A27DF">
        <w:rPr>
          <w:rFonts w:ascii="Palatino Linotype" w:hAnsi="Palatino Linotype" w:cs="Bookman Old Style"/>
          <w:i/>
        </w:rPr>
        <w:lastRenderedPageBreak/>
        <w:t xml:space="preserve">Los sujetos obligados sólo proporcionarán la información pública que se les requiera y que obre en sus archivos y en el estado en que ésta se encuentre. </w:t>
      </w:r>
      <w:r w:rsidRPr="009A27DF">
        <w:rPr>
          <w:rFonts w:ascii="Palatino Linotype" w:hAnsi="Palatino Linotype" w:cs="Bookman Old Style"/>
          <w:b/>
          <w:i/>
        </w:rPr>
        <w:t>La obligación de proporcionar información no comprende el procesamiento de la misma, ni el presentarla conforme al interés del solicitante; no estarán obligados a generarla, resumirla, efectuar cálculos o practicar investigaciones.</w:t>
      </w:r>
    </w:p>
    <w:p w:rsidR="00031ED9" w:rsidRPr="009A27DF" w:rsidRDefault="00031ED9" w:rsidP="00031ED9">
      <w:pPr>
        <w:autoSpaceDE w:val="0"/>
        <w:autoSpaceDN w:val="0"/>
        <w:adjustRightInd w:val="0"/>
        <w:spacing w:line="360" w:lineRule="auto"/>
        <w:ind w:left="567" w:right="567"/>
        <w:jc w:val="both"/>
        <w:rPr>
          <w:rFonts w:ascii="Palatino Linotype" w:hAnsi="Palatino Linotype" w:cs="Arial"/>
          <w:i/>
          <w:color w:val="000000"/>
        </w:rPr>
      </w:pPr>
    </w:p>
    <w:p w:rsidR="00031ED9" w:rsidRPr="009A27DF" w:rsidRDefault="00031ED9" w:rsidP="00031ED9">
      <w:pPr>
        <w:pStyle w:val="Prrafodelista"/>
        <w:numPr>
          <w:ilvl w:val="0"/>
          <w:numId w:val="2"/>
        </w:numPr>
        <w:tabs>
          <w:tab w:val="left" w:pos="851"/>
        </w:tabs>
        <w:spacing w:line="360" w:lineRule="auto"/>
        <w:ind w:left="0" w:right="49" w:firstLine="0"/>
        <w:jc w:val="both"/>
        <w:rPr>
          <w:rFonts w:ascii="Palatino Linotype" w:hAnsi="Palatino Linotype"/>
          <w:lang w:val="es-ES"/>
        </w:rPr>
      </w:pPr>
      <w:r w:rsidRPr="009A27DF">
        <w:rPr>
          <w:rFonts w:ascii="Palatino Linotype" w:hAnsi="Palatino Linotype"/>
          <w:lang w:val="es-ES"/>
        </w:rPr>
        <w:t>Es así que, por un lado se tiene la obligación de documentar todos los actos que se lleven a cabo en el ejercicio de sus funciones, atribuciones y competencias, mientras que por otro, se ven impuestos por la obligación de hacer pública toda aquella información que se encuentre en su posesión en estricto apego a los principios de eficacia</w:t>
      </w:r>
      <w:r w:rsidRPr="009A27DF">
        <w:rPr>
          <w:rStyle w:val="Refdenotaalpie"/>
          <w:rFonts w:ascii="Palatino Linotype" w:hAnsi="Palatino Linotype"/>
          <w:lang w:val="es-ES"/>
        </w:rPr>
        <w:footnoteReference w:id="3"/>
      </w:r>
      <w:r w:rsidRPr="009A27DF">
        <w:rPr>
          <w:rFonts w:ascii="Palatino Linotype" w:hAnsi="Palatino Linotype"/>
          <w:lang w:val="es-ES"/>
        </w:rPr>
        <w:t xml:space="preserve"> y máxima publicidad, sobre éste último se debe poner mayor énfasis, puesto que establece que toda la información en posesión de los Sujetos Obligados será pública, completa, oportuna y accesible, lo que permite que la ciudadanía tenga un amplio acceso sobre lo que es el actuar de las autoridades.</w:t>
      </w:r>
    </w:p>
    <w:p w:rsidR="00031ED9" w:rsidRPr="009A27DF" w:rsidRDefault="00031ED9" w:rsidP="00031ED9">
      <w:pPr>
        <w:pStyle w:val="Prrafodelista"/>
        <w:tabs>
          <w:tab w:val="left" w:pos="851"/>
        </w:tabs>
        <w:spacing w:line="360" w:lineRule="auto"/>
        <w:ind w:left="0" w:right="49"/>
        <w:jc w:val="both"/>
        <w:rPr>
          <w:rFonts w:ascii="Palatino Linotype" w:hAnsi="Palatino Linotype"/>
          <w:lang w:val="es-ES"/>
        </w:rPr>
      </w:pPr>
    </w:p>
    <w:p w:rsidR="00031ED9" w:rsidRPr="009A27DF" w:rsidRDefault="00031ED9" w:rsidP="00031ED9">
      <w:pPr>
        <w:pStyle w:val="Prrafodelista"/>
        <w:numPr>
          <w:ilvl w:val="0"/>
          <w:numId w:val="2"/>
        </w:numPr>
        <w:tabs>
          <w:tab w:val="left" w:pos="851"/>
        </w:tabs>
        <w:spacing w:line="360" w:lineRule="auto"/>
        <w:ind w:left="0" w:right="49" w:firstLine="0"/>
        <w:jc w:val="both"/>
        <w:rPr>
          <w:rFonts w:ascii="Palatino Linotype" w:hAnsi="Palatino Linotype"/>
          <w:lang w:val="es-ES"/>
        </w:rPr>
      </w:pPr>
      <w:r w:rsidRPr="009A27DF">
        <w:rPr>
          <w:rFonts w:ascii="Palatino Linotype" w:hAnsi="Palatino Linotype"/>
          <w:lang w:val="es-ES"/>
        </w:rPr>
        <w:t>Robustece lo anterior la Tesis aislada identificada con la clave I.4º.A.40 A del Cuarto Tribunal colegiado en Materia Administrativa del Primer Circuito, publicada en el Seminario Judicial de la Federación y su Gaceta en el libro XVIII, Marzo 2013, Página 1899.</w:t>
      </w:r>
    </w:p>
    <w:p w:rsidR="00031ED9" w:rsidRPr="009A27DF" w:rsidRDefault="00031ED9" w:rsidP="00031ED9">
      <w:pPr>
        <w:pStyle w:val="Prrafodelista"/>
        <w:tabs>
          <w:tab w:val="left" w:pos="851"/>
        </w:tabs>
        <w:spacing w:line="360" w:lineRule="auto"/>
        <w:ind w:left="567" w:right="567"/>
        <w:jc w:val="both"/>
        <w:rPr>
          <w:rFonts w:ascii="Palatino Linotype" w:hAnsi="Palatino Linotype"/>
          <w:i/>
        </w:rPr>
      </w:pPr>
      <w:r w:rsidRPr="009A27DF">
        <w:rPr>
          <w:rFonts w:ascii="Palatino Linotype" w:hAnsi="Palatino Linotype"/>
          <w:b/>
          <w:i/>
        </w:rPr>
        <w:t>ACCESO A LA INFORMACIÓN. IMPLICACIÓN DEL PRINCIPIO DE MÁXIMA PUBLICIDAD EN EL DERECHO FUNDAMENTAL RELATIVO.</w:t>
      </w:r>
      <w:r w:rsidRPr="009A27DF">
        <w:rPr>
          <w:rFonts w:ascii="Palatino Linotype" w:hAnsi="Palatino Linotype"/>
          <w:i/>
        </w:rPr>
        <w:t xml:space="preserve"> Del artículo 6o. de la Constitución Política de los Estados Unidos Mexicanos se advierte que el Estado Mexicano está constreñido a publicitar sus actos, pues se reconoce el derecho </w:t>
      </w:r>
      <w:r w:rsidRPr="009A27DF">
        <w:rPr>
          <w:rFonts w:ascii="Palatino Linotype" w:hAnsi="Palatino Linotype"/>
          <w:i/>
        </w:rPr>
        <w:lastRenderedPageBreak/>
        <w:t xml:space="preserve">fundamental de los ciudadanos a acceder a la información que obra en poder de la autoridad, que como lo ha expuesto el Pleno de la Suprema Corte de Justicia de la Nación en la tesis P./J. 54/2008, publicada en el Semanario Judicial de la Federación y su Gaceta, Novena Época, Tomo XXVII, junio de 2008, página 743, de rubro: "ACCESO A LA INFORMACIÓN. SU NATURALEZA COMO GARANTÍAS INDIVIDUAL Y SOCIAL.", contiene una doble dimensión: individual y social. En su primer aspecto, cumple con la función de maximizar el campo de la autonomía personal, posibilitando el ejercicio de la libertad de expresión en un contexto de mayor diversidad de datos, voces y opiniones, mientras que en el segundo, brinda un derecho colectivo o social que tiende a revelar el empleo instrumental de la información no sólo como factor de autorrealización personal, sino como un mecanismo de control institucional, pues se trata de un derecho fundado en una de las características principales del gobierno republicano, que es la publicidad de los actos de gobierno y la transparencia en el actuar de la administración, conducente y necesaria para la rendición de cuentas. Por ello, el principio de máxima publicidad incorporado en el texto constitucional, implica para cualquier autoridad, realizar un manejo de la información bajo la premisa inicial que toda ella es pública y sólo por excepción, en los casos expresamente previstos en la legislación secundaria y justificados bajo determinadas circunstancias, se podrá clasificar como confidencial o reservada, esto es, considerarla con una calidad diversa. </w:t>
      </w:r>
    </w:p>
    <w:p w:rsidR="00031ED9" w:rsidRPr="009A27DF" w:rsidRDefault="00031ED9" w:rsidP="00031ED9">
      <w:pPr>
        <w:pStyle w:val="Prrafodelista"/>
        <w:tabs>
          <w:tab w:val="left" w:pos="851"/>
        </w:tabs>
        <w:spacing w:line="360" w:lineRule="auto"/>
        <w:ind w:left="567" w:right="567"/>
        <w:jc w:val="both"/>
        <w:rPr>
          <w:rFonts w:ascii="Palatino Linotype" w:hAnsi="Palatino Linotype"/>
          <w:i/>
        </w:rPr>
      </w:pPr>
    </w:p>
    <w:p w:rsidR="00031ED9" w:rsidRPr="009A27DF" w:rsidRDefault="00031ED9" w:rsidP="00031ED9">
      <w:pPr>
        <w:pStyle w:val="Prrafodelista"/>
        <w:tabs>
          <w:tab w:val="left" w:pos="851"/>
        </w:tabs>
        <w:spacing w:line="360" w:lineRule="auto"/>
        <w:ind w:left="567" w:right="567"/>
        <w:jc w:val="both"/>
        <w:rPr>
          <w:rFonts w:ascii="Palatino Linotype" w:hAnsi="Palatino Linotype"/>
          <w:i/>
        </w:rPr>
      </w:pPr>
      <w:r w:rsidRPr="009A27DF">
        <w:rPr>
          <w:rFonts w:ascii="Palatino Linotype" w:hAnsi="Palatino Linotype"/>
          <w:i/>
        </w:rPr>
        <w:t xml:space="preserve">CUARTO TRIBUNAL COLEGIADO EN MATERIA ADMINISTRATIVA DEL PRIMER CIRCUITO. </w:t>
      </w:r>
    </w:p>
    <w:p w:rsidR="00031ED9" w:rsidRPr="009A27DF" w:rsidRDefault="00031ED9" w:rsidP="00031ED9">
      <w:pPr>
        <w:pStyle w:val="Prrafodelista"/>
        <w:tabs>
          <w:tab w:val="left" w:pos="851"/>
        </w:tabs>
        <w:spacing w:line="360" w:lineRule="auto"/>
        <w:ind w:left="567" w:right="567"/>
        <w:jc w:val="both"/>
        <w:rPr>
          <w:rFonts w:ascii="Palatino Linotype" w:hAnsi="Palatino Linotype"/>
          <w:i/>
        </w:rPr>
      </w:pPr>
    </w:p>
    <w:p w:rsidR="00031ED9" w:rsidRPr="009A27DF" w:rsidRDefault="00031ED9" w:rsidP="00031ED9">
      <w:pPr>
        <w:pStyle w:val="Prrafodelista"/>
        <w:tabs>
          <w:tab w:val="left" w:pos="851"/>
        </w:tabs>
        <w:spacing w:line="360" w:lineRule="auto"/>
        <w:ind w:left="567" w:right="567"/>
        <w:jc w:val="both"/>
        <w:rPr>
          <w:rFonts w:ascii="Palatino Linotype" w:hAnsi="Palatino Linotype"/>
          <w:i/>
          <w:lang w:val="es-ES"/>
        </w:rPr>
      </w:pPr>
      <w:r w:rsidRPr="009A27DF">
        <w:rPr>
          <w:rFonts w:ascii="Palatino Linotype" w:hAnsi="Palatino Linotype"/>
          <w:i/>
        </w:rPr>
        <w:t>Amparo en revisión 257/2012. Ruth Corona Muñoz. 6 de diciembre de 2012. Unanimidad de votos. Ponente: Jean Claude Tron Petit. Secretaria: Mayra Susana Martínez López.</w:t>
      </w:r>
    </w:p>
    <w:p w:rsidR="00031ED9" w:rsidRPr="009A27DF" w:rsidRDefault="00031ED9" w:rsidP="00031ED9">
      <w:pPr>
        <w:pStyle w:val="Prrafodelista"/>
        <w:numPr>
          <w:ilvl w:val="0"/>
          <w:numId w:val="2"/>
        </w:numPr>
        <w:tabs>
          <w:tab w:val="left" w:pos="851"/>
        </w:tabs>
        <w:spacing w:before="240" w:after="240" w:line="360" w:lineRule="auto"/>
        <w:ind w:left="0" w:right="49" w:firstLine="0"/>
        <w:jc w:val="both"/>
        <w:rPr>
          <w:rFonts w:ascii="Palatino Linotype" w:hAnsi="Palatino Linotype" w:cs="Arial"/>
          <w:lang w:val="es-ES"/>
        </w:rPr>
      </w:pPr>
      <w:r w:rsidRPr="009A27DF">
        <w:rPr>
          <w:rFonts w:ascii="Palatino Linotype" w:hAnsi="Palatino Linotype"/>
          <w:lang w:val="es-ES"/>
        </w:rPr>
        <w:lastRenderedPageBreak/>
        <w:t>El derecho de acceso a la información encuentra su materia elemental en los documentos, y la Ley de Transparencia local  nos brinda el siguiente concepto, para darnos un mejor panorama:</w:t>
      </w:r>
    </w:p>
    <w:p w:rsidR="00031ED9" w:rsidRPr="009A27DF" w:rsidRDefault="00031ED9" w:rsidP="00031ED9">
      <w:pPr>
        <w:autoSpaceDE w:val="0"/>
        <w:autoSpaceDN w:val="0"/>
        <w:adjustRightInd w:val="0"/>
        <w:spacing w:line="360" w:lineRule="auto"/>
        <w:ind w:left="567" w:right="567"/>
        <w:jc w:val="both"/>
        <w:rPr>
          <w:rFonts w:ascii="Palatino Linotype" w:hAnsi="Palatino Linotype"/>
          <w:i/>
          <w:lang w:val="es-ES"/>
        </w:rPr>
      </w:pPr>
      <w:r w:rsidRPr="009A27DF">
        <w:rPr>
          <w:rFonts w:ascii="Palatino Linotype" w:eastAsiaTheme="minorHAnsi" w:hAnsi="Palatino Linotype" w:cs="Bookman Old Style,Bold"/>
          <w:b/>
          <w:bCs/>
          <w:i/>
          <w:lang w:eastAsia="en-US"/>
        </w:rPr>
        <w:t xml:space="preserve">XI. Documento: </w:t>
      </w:r>
      <w:r w:rsidRPr="009A27DF">
        <w:rPr>
          <w:rFonts w:ascii="Palatino Linotype" w:eastAsiaTheme="minorHAnsi" w:hAnsi="Palatino Linotype" w:cs="Bookman Old Style"/>
          <w:i/>
          <w:lang w:eastAsia="en-US"/>
        </w:rPr>
        <w:t xml:space="preserve">Los expedientes, reportes, estudios, actas, resoluciones, oficios, correspondencia, acuerdos, directivas, directrices, circulares, contratos, convenios, instructivos, notas, memorandos, estadísticas o bien, </w:t>
      </w:r>
      <w:r w:rsidRPr="009A27DF">
        <w:rPr>
          <w:rFonts w:ascii="Palatino Linotype" w:eastAsiaTheme="minorHAnsi" w:hAnsi="Palatino Linotype" w:cs="Bookman Old Style"/>
          <w:b/>
          <w:i/>
          <w:lang w:eastAsia="en-US"/>
        </w:rPr>
        <w:t>cualquier otro registro</w:t>
      </w:r>
      <w:r w:rsidRPr="009A27DF">
        <w:rPr>
          <w:rFonts w:ascii="Palatino Linotype" w:eastAsiaTheme="minorHAnsi" w:hAnsi="Palatino Linotype" w:cs="Bookman Old Style"/>
          <w:i/>
          <w:lang w:eastAsia="en-US"/>
        </w:rPr>
        <w:t xml:space="preserve">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031ED9" w:rsidRPr="009A27DF" w:rsidRDefault="00031ED9" w:rsidP="00031ED9">
      <w:pPr>
        <w:pStyle w:val="Prrafodelista"/>
        <w:tabs>
          <w:tab w:val="left" w:pos="851"/>
        </w:tabs>
        <w:spacing w:line="360" w:lineRule="auto"/>
        <w:ind w:left="0" w:right="49"/>
        <w:jc w:val="both"/>
        <w:rPr>
          <w:rFonts w:ascii="Palatino Linotype" w:hAnsi="Palatino Linotype"/>
          <w:lang w:val="es-ES"/>
        </w:rPr>
      </w:pPr>
    </w:p>
    <w:p w:rsidR="00A11606" w:rsidRPr="009A27DF" w:rsidRDefault="00031ED9" w:rsidP="00031ED9">
      <w:pPr>
        <w:pStyle w:val="Prrafodelista"/>
        <w:numPr>
          <w:ilvl w:val="0"/>
          <w:numId w:val="2"/>
        </w:numPr>
        <w:tabs>
          <w:tab w:val="left" w:pos="851"/>
        </w:tabs>
        <w:spacing w:line="360" w:lineRule="auto"/>
        <w:ind w:left="0" w:right="49" w:firstLine="0"/>
        <w:jc w:val="both"/>
        <w:rPr>
          <w:rFonts w:ascii="Palatino Linotype" w:hAnsi="Palatino Linotype"/>
          <w:lang w:val="es-ES"/>
        </w:rPr>
      </w:pPr>
      <w:r w:rsidRPr="009A27DF">
        <w:rPr>
          <w:rFonts w:ascii="Palatino Linotype" w:hAnsi="Palatino Linotype"/>
          <w:lang w:val="es-ES"/>
        </w:rPr>
        <w:t>Es así que, todos los actos de autoridad que realicen los Sujetos Obligados deben estar documentados y, bajo el más alto estándar de transparencia deberán poner toda la información que se encuentre en su posesión, a disposición de los particulares que la soliciten.</w:t>
      </w:r>
    </w:p>
    <w:p w:rsidR="00031ED9" w:rsidRPr="009A27DF" w:rsidRDefault="00031ED9" w:rsidP="00031ED9">
      <w:pPr>
        <w:pStyle w:val="Prrafodelista"/>
        <w:tabs>
          <w:tab w:val="left" w:pos="851"/>
        </w:tabs>
        <w:spacing w:line="360" w:lineRule="auto"/>
        <w:ind w:left="0" w:right="49"/>
        <w:jc w:val="both"/>
        <w:rPr>
          <w:rFonts w:ascii="Palatino Linotype" w:hAnsi="Palatino Linotype"/>
          <w:lang w:val="es-ES"/>
        </w:rPr>
      </w:pPr>
    </w:p>
    <w:p w:rsidR="00BA1156" w:rsidRPr="009A27DF" w:rsidRDefault="00BA1156" w:rsidP="00BA1156">
      <w:pPr>
        <w:numPr>
          <w:ilvl w:val="0"/>
          <w:numId w:val="2"/>
        </w:numPr>
        <w:pBdr>
          <w:top w:val="nil"/>
          <w:left w:val="nil"/>
          <w:bottom w:val="nil"/>
          <w:right w:val="nil"/>
          <w:between w:val="nil"/>
        </w:pBdr>
        <w:tabs>
          <w:tab w:val="left" w:pos="567"/>
        </w:tabs>
        <w:spacing w:line="360" w:lineRule="auto"/>
        <w:ind w:left="0" w:firstLine="0"/>
        <w:jc w:val="both"/>
        <w:rPr>
          <w:rFonts w:ascii="Palatino Linotype" w:hAnsi="Palatino Linotype"/>
        </w:rPr>
      </w:pPr>
      <w:r w:rsidRPr="009A27DF">
        <w:rPr>
          <w:rFonts w:ascii="Palatino Linotype" w:eastAsia="Palatino Linotype" w:hAnsi="Palatino Linotype" w:cs="Palatino Linotype"/>
          <w:color w:val="000000"/>
        </w:rPr>
        <w:t xml:space="preserve">Por lo tanto, en consecuencia y en mérito de lo expuesto en líneas anteriores, resultan parcialmente las razones o motivos de inconformidad hechos valer por el </w:t>
      </w:r>
      <w:r w:rsidRPr="009A27DF">
        <w:rPr>
          <w:rFonts w:ascii="Palatino Linotype" w:eastAsia="Palatino Linotype" w:hAnsi="Palatino Linotype" w:cs="Palatino Linotype"/>
          <w:b/>
          <w:color w:val="000000"/>
        </w:rPr>
        <w:t>RECURRENTE</w:t>
      </w:r>
      <w:r w:rsidRPr="009A27DF">
        <w:rPr>
          <w:rFonts w:ascii="Palatino Linotype" w:eastAsia="Palatino Linotype" w:hAnsi="Palatino Linotype" w:cs="Palatino Linotype"/>
          <w:color w:val="000000"/>
        </w:rPr>
        <w:t xml:space="preserve"> dentro del recurso de revisión </w:t>
      </w:r>
      <w:r w:rsidR="00B54338" w:rsidRPr="009A27DF">
        <w:rPr>
          <w:rFonts w:ascii="Palatino Linotype" w:eastAsia="Palatino Linotype" w:hAnsi="Palatino Linotype" w:cs="Palatino Linotype"/>
          <w:b/>
          <w:color w:val="000000"/>
        </w:rPr>
        <w:t>08358</w:t>
      </w:r>
      <w:r w:rsidRPr="009A27DF">
        <w:rPr>
          <w:rFonts w:ascii="Palatino Linotype" w:eastAsia="Palatino Linotype" w:hAnsi="Palatino Linotype" w:cs="Palatino Linotype"/>
          <w:b/>
          <w:color w:val="000000"/>
        </w:rPr>
        <w:t>/INFOEM/IP/RR/2025</w:t>
      </w:r>
      <w:r w:rsidRPr="009A27DF">
        <w:rPr>
          <w:rFonts w:ascii="Palatino Linotype" w:eastAsia="Palatino Linotype" w:hAnsi="Palatino Linotype" w:cs="Palatino Linotype"/>
          <w:color w:val="000000"/>
        </w:rPr>
        <w:t xml:space="preserve">; por ello, y con fundamento en la fracción III del numeral 186 de la Ley de Transparencia y Acceso a la Información Pública del Estado de México y Municipios, se </w:t>
      </w:r>
      <w:r w:rsidRPr="009A27DF">
        <w:rPr>
          <w:rFonts w:ascii="Palatino Linotype" w:eastAsia="Palatino Linotype" w:hAnsi="Palatino Linotype" w:cs="Palatino Linotype"/>
          <w:b/>
          <w:color w:val="000000"/>
        </w:rPr>
        <w:t>MODIFICA</w:t>
      </w:r>
      <w:r w:rsidRPr="009A27DF">
        <w:rPr>
          <w:rFonts w:ascii="Palatino Linotype" w:eastAsia="Palatino Linotype" w:hAnsi="Palatino Linotype" w:cs="Palatino Linotype"/>
          <w:color w:val="000000"/>
        </w:rPr>
        <w:t xml:space="preserve"> la respuesta a la solicitud de información número </w:t>
      </w:r>
      <w:bookmarkStart w:id="8" w:name="_heading=h.2s8eyo1" w:colFirst="0" w:colLast="0"/>
      <w:bookmarkEnd w:id="8"/>
      <w:r w:rsidR="00B54338" w:rsidRPr="009A27DF">
        <w:rPr>
          <w:rFonts w:ascii="Palatino Linotype" w:eastAsia="Palatino Linotype" w:hAnsi="Palatino Linotype" w:cs="Palatino Linotype"/>
          <w:b/>
          <w:bCs/>
          <w:color w:val="000000"/>
        </w:rPr>
        <w:t>00107/CHICOLOA/IP/2025</w:t>
      </w:r>
      <w:r w:rsidRPr="009A27DF">
        <w:rPr>
          <w:rFonts w:ascii="Palatino Linotype" w:eastAsia="Palatino Linotype" w:hAnsi="Palatino Linotype" w:cs="Palatino Linotype"/>
          <w:b/>
          <w:bCs/>
          <w:color w:val="000000"/>
        </w:rPr>
        <w:t xml:space="preserve"> </w:t>
      </w:r>
      <w:r w:rsidRPr="009A27DF">
        <w:rPr>
          <w:rFonts w:ascii="Palatino Linotype" w:eastAsia="Palatino Linotype" w:hAnsi="Palatino Linotype" w:cs="Palatino Linotype"/>
          <w:bCs/>
          <w:color w:val="000000"/>
        </w:rPr>
        <w:t xml:space="preserve">y se </w:t>
      </w:r>
      <w:r w:rsidRPr="009A27DF">
        <w:rPr>
          <w:rFonts w:ascii="Palatino Linotype" w:eastAsia="Palatino Linotype" w:hAnsi="Palatino Linotype" w:cs="Palatino Linotype"/>
          <w:b/>
          <w:bCs/>
          <w:color w:val="000000"/>
        </w:rPr>
        <w:t xml:space="preserve">ORDENA </w:t>
      </w:r>
      <w:r w:rsidRPr="009A27DF">
        <w:rPr>
          <w:rFonts w:ascii="Palatino Linotype" w:eastAsia="Palatino Linotype" w:hAnsi="Palatino Linotype" w:cs="Palatino Linotype"/>
          <w:bCs/>
          <w:color w:val="000000"/>
        </w:rPr>
        <w:t>entregar, de ser procedente en versión pública, la siguiente información:</w:t>
      </w:r>
    </w:p>
    <w:p w:rsidR="00BA1156" w:rsidRPr="009A27DF" w:rsidRDefault="00BA1156" w:rsidP="0090493A">
      <w:pPr>
        <w:pStyle w:val="Prrafodelista"/>
        <w:numPr>
          <w:ilvl w:val="0"/>
          <w:numId w:val="6"/>
        </w:numPr>
        <w:pBdr>
          <w:top w:val="nil"/>
          <w:left w:val="nil"/>
          <w:bottom w:val="nil"/>
          <w:right w:val="nil"/>
          <w:between w:val="nil"/>
        </w:pBdr>
        <w:tabs>
          <w:tab w:val="left" w:pos="567"/>
        </w:tabs>
        <w:spacing w:line="360" w:lineRule="auto"/>
        <w:ind w:right="822"/>
        <w:jc w:val="both"/>
        <w:rPr>
          <w:rFonts w:ascii="Palatino Linotype" w:hAnsi="Palatino Linotype"/>
          <w:b/>
        </w:rPr>
      </w:pPr>
      <w:r w:rsidRPr="009A27DF">
        <w:rPr>
          <w:rFonts w:ascii="Palatino Linotype" w:hAnsi="Palatino Linotype"/>
          <w:b/>
        </w:rPr>
        <w:lastRenderedPageBreak/>
        <w:t>S</w:t>
      </w:r>
      <w:r w:rsidR="00B54338" w:rsidRPr="009A27DF">
        <w:rPr>
          <w:rFonts w:ascii="Palatino Linotype" w:hAnsi="Palatino Linotype"/>
          <w:b/>
        </w:rPr>
        <w:t>oporte documental donde consten los estudios realizados para la instauración del programa de ordenamiento vial señalado en respuesta,</w:t>
      </w:r>
      <w:r w:rsidR="00BE1176" w:rsidRPr="009A27DF">
        <w:rPr>
          <w:rFonts w:ascii="Palatino Linotype" w:hAnsi="Palatino Linotype"/>
          <w:b/>
        </w:rPr>
        <w:t xml:space="preserve"> </w:t>
      </w:r>
      <w:r w:rsidR="00B54338" w:rsidRPr="009A27DF">
        <w:rPr>
          <w:rFonts w:ascii="Palatino Linotype" w:hAnsi="Palatino Linotype"/>
          <w:b/>
        </w:rPr>
        <w:t xml:space="preserve">a la fecha de la solicitud. </w:t>
      </w:r>
    </w:p>
    <w:p w:rsidR="00BA1156" w:rsidRPr="009A27DF" w:rsidRDefault="00BA1156" w:rsidP="00BA1156">
      <w:pPr>
        <w:pStyle w:val="Prrafodelista"/>
        <w:rPr>
          <w:rFonts w:ascii="Palatino Linotype" w:eastAsia="Palatino Linotype" w:hAnsi="Palatino Linotype" w:cs="Palatino Linotype"/>
          <w:b/>
          <w:color w:val="000000"/>
        </w:rPr>
      </w:pPr>
    </w:p>
    <w:p w:rsidR="00BA1156" w:rsidRPr="009A27DF" w:rsidRDefault="00BA1156" w:rsidP="00BA1156">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b/>
          <w:color w:val="000000"/>
        </w:rPr>
      </w:pPr>
      <w:bookmarkStart w:id="9" w:name="_heading=h.17dp8vu" w:colFirst="0" w:colLast="0"/>
      <w:bookmarkEnd w:id="9"/>
      <w:r w:rsidRPr="009A27DF">
        <w:rPr>
          <w:rFonts w:ascii="Palatino Linotype" w:eastAsia="Palatino Linotype" w:hAnsi="Palatino Linotype" w:cs="Palatino Linotype"/>
          <w:b/>
          <w:color w:val="000000"/>
        </w:rPr>
        <w:t>QUINTO. De la versión pública.</w:t>
      </w:r>
    </w:p>
    <w:p w:rsidR="00BA1156" w:rsidRPr="009A27DF" w:rsidRDefault="00BA1156" w:rsidP="00BA1156">
      <w:pPr>
        <w:numPr>
          <w:ilvl w:val="0"/>
          <w:numId w:val="2"/>
        </w:numPr>
        <w:pBdr>
          <w:top w:val="nil"/>
          <w:left w:val="nil"/>
          <w:bottom w:val="nil"/>
          <w:right w:val="nil"/>
          <w:between w:val="nil"/>
        </w:pBdr>
        <w:tabs>
          <w:tab w:val="left" w:pos="426"/>
        </w:tabs>
        <w:spacing w:line="360" w:lineRule="auto"/>
        <w:ind w:left="0" w:firstLine="0"/>
        <w:jc w:val="both"/>
        <w:rPr>
          <w:rFonts w:ascii="Palatino Linotype" w:hAnsi="Palatino Linotype"/>
          <w:color w:val="000000"/>
        </w:rPr>
      </w:pPr>
      <w:r w:rsidRPr="009A27DF">
        <w:rPr>
          <w:rFonts w:ascii="Palatino Linotype" w:eastAsia="Palatino Linotype" w:hAnsi="Palatino Linotype" w:cs="Palatino Linotype"/>
          <w:color w:val="000000"/>
        </w:rPr>
        <w:t>Debe destacarse que, debido a la naturaleza de la información solicitada</w:t>
      </w:r>
      <w:r w:rsidRPr="009A27DF">
        <w:rPr>
          <w:rFonts w:ascii="Palatino Linotype" w:eastAsia="Palatino Linotype" w:hAnsi="Palatino Linotype" w:cs="Palatino Linotype"/>
          <w:b/>
          <w:color w:val="000000"/>
        </w:rPr>
        <w:t xml:space="preserve"> </w:t>
      </w:r>
      <w:r w:rsidRPr="009A27DF">
        <w:rPr>
          <w:rFonts w:ascii="Palatino Linotype" w:eastAsia="Palatino Linotype" w:hAnsi="Palatino Linotype" w:cs="Palatino Linotype"/>
          <w:color w:val="000000"/>
        </w:rPr>
        <w:t>eventualmente pudieran obrar datos personales susceptibles de protegerse, y toda vez que este Instituto de Transparencia, Acceso a la Información Pública y Protección de Datos Personales del Estado de México tiene el deber de velar por la protección de los datos personales aun tratándose de servidores públicos y en su caso generar la versión pública de los documentos por las consideraciones que se estimen pertinentes.</w:t>
      </w:r>
    </w:p>
    <w:p w:rsidR="00BA1156" w:rsidRPr="009A27DF" w:rsidRDefault="00BA1156" w:rsidP="00BA1156">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color w:val="000000"/>
        </w:rPr>
      </w:pPr>
    </w:p>
    <w:p w:rsidR="00BA1156" w:rsidRPr="009A27DF" w:rsidRDefault="00BA1156" w:rsidP="00BA1156">
      <w:pPr>
        <w:numPr>
          <w:ilvl w:val="0"/>
          <w:numId w:val="2"/>
        </w:numPr>
        <w:pBdr>
          <w:top w:val="nil"/>
          <w:left w:val="nil"/>
          <w:bottom w:val="nil"/>
          <w:right w:val="nil"/>
          <w:between w:val="nil"/>
        </w:pBdr>
        <w:tabs>
          <w:tab w:val="left" w:pos="284"/>
        </w:tabs>
        <w:spacing w:line="360" w:lineRule="auto"/>
        <w:ind w:left="0" w:firstLine="0"/>
        <w:jc w:val="both"/>
        <w:rPr>
          <w:rFonts w:ascii="Palatino Linotype" w:hAnsi="Palatino Linotype"/>
          <w:color w:val="000000"/>
        </w:rPr>
      </w:pPr>
      <w:r w:rsidRPr="009A27DF">
        <w:rPr>
          <w:rFonts w:ascii="Palatino Linotype" w:eastAsia="Palatino Linotype" w:hAnsi="Palatino Linotype" w:cs="Palatino Linotype"/>
          <w:color w:val="000000"/>
        </w:rPr>
        <w:t xml:space="preserve">La clasificación total o parcial de la información requerida, mediante solicitud de acceso a la información pública, constituye una restricción al derecho humano de acceso a la información. Actualmente, el grave problema que enfrentamos son los Acuerdos de Clasificación de la Información que emiten los </w:t>
      </w:r>
      <w:r w:rsidRPr="009A27DF">
        <w:rPr>
          <w:rFonts w:ascii="Palatino Linotype" w:eastAsia="Palatino Linotype" w:hAnsi="Palatino Linotype" w:cs="Palatino Linotype"/>
          <w:b/>
          <w:color w:val="000000"/>
        </w:rPr>
        <w:t>SUJETOS OBLIGADOS</w:t>
      </w:r>
      <w:r w:rsidRPr="009A27DF">
        <w:rPr>
          <w:rFonts w:ascii="Palatino Linotype" w:eastAsia="Palatino Linotype" w:hAnsi="Palatino Linotype" w:cs="Palatino Linotype"/>
          <w:color w:val="000000"/>
        </w:rPr>
        <w:t>, ya que no observan los requisitos que deben de llevar a cabo para la realización de la clasificación de la información, tanto por la complejidad del procedimiento como por la falta de atención de los operadores jurídicos, por lo que es menester reiterar los mismos:</w:t>
      </w:r>
    </w:p>
    <w:p w:rsidR="00B54338" w:rsidRPr="009A27DF" w:rsidRDefault="00B54338" w:rsidP="00B54338">
      <w:pPr>
        <w:pStyle w:val="Prrafodelista"/>
        <w:rPr>
          <w:rFonts w:ascii="Palatino Linotype" w:hAnsi="Palatino Linotype"/>
          <w:color w:val="000000"/>
        </w:rPr>
      </w:pPr>
    </w:p>
    <w:tbl>
      <w:tblPr>
        <w:tblW w:w="9776"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2689"/>
        <w:gridCol w:w="7087"/>
      </w:tblGrid>
      <w:tr w:rsidR="00BA1156" w:rsidRPr="009A27DF" w:rsidTr="009A27DF">
        <w:trPr>
          <w:trHeight w:val="952"/>
        </w:trPr>
        <w:tc>
          <w:tcPr>
            <w:tcW w:w="2689" w:type="dxa"/>
            <w:tcBorders>
              <w:top w:val="single" w:sz="4" w:space="0" w:color="666666"/>
              <w:left w:val="single" w:sz="4" w:space="0" w:color="666666"/>
              <w:right w:val="single" w:sz="4" w:space="0" w:color="666666"/>
            </w:tcBorders>
          </w:tcPr>
          <w:p w:rsidR="00BA1156" w:rsidRPr="009A27DF" w:rsidRDefault="00BA1156" w:rsidP="000066AE">
            <w:pPr>
              <w:spacing w:line="276" w:lineRule="auto"/>
              <w:rPr>
                <w:rFonts w:ascii="Palatino Linotype" w:eastAsia="Palatino Linotype" w:hAnsi="Palatino Linotype" w:cs="Palatino Linotype"/>
              </w:rPr>
            </w:pPr>
            <w:r w:rsidRPr="009A27DF">
              <w:rPr>
                <w:rFonts w:ascii="Palatino Linotype" w:eastAsia="Palatino Linotype" w:hAnsi="Palatino Linotype" w:cs="Palatino Linotype"/>
                <w:b/>
              </w:rPr>
              <w:t>a) Requisitos previos.</w:t>
            </w:r>
          </w:p>
        </w:tc>
        <w:tc>
          <w:tcPr>
            <w:tcW w:w="7087" w:type="dxa"/>
            <w:tcBorders>
              <w:top w:val="single" w:sz="4" w:space="0" w:color="666666"/>
              <w:left w:val="single" w:sz="4" w:space="0" w:color="666666"/>
              <w:right w:val="single" w:sz="4" w:space="0" w:color="666666"/>
            </w:tcBorders>
          </w:tcPr>
          <w:p w:rsidR="00BA1156" w:rsidRPr="009A27DF" w:rsidRDefault="00BA1156" w:rsidP="000066AE">
            <w:pPr>
              <w:spacing w:line="276" w:lineRule="auto"/>
              <w:jc w:val="both"/>
              <w:rPr>
                <w:rFonts w:ascii="Palatino Linotype" w:eastAsia="Palatino Linotype" w:hAnsi="Palatino Linotype" w:cs="Palatino Linotype"/>
              </w:rPr>
            </w:pPr>
            <w:r w:rsidRPr="009A27DF">
              <w:rPr>
                <w:rFonts w:ascii="Palatino Linotype" w:eastAsia="Palatino Linotype" w:hAnsi="Palatino Linotype" w:cs="Palatino Linotype"/>
              </w:rPr>
              <w:t xml:space="preserve">Los artículos 100 y 122 de la Ley Estatal y de la Ley General, respectivamente, señalan que si los </w:t>
            </w:r>
            <w:r w:rsidRPr="009A27DF">
              <w:rPr>
                <w:rFonts w:ascii="Palatino Linotype" w:eastAsia="Palatino Linotype" w:hAnsi="Palatino Linotype" w:cs="Palatino Linotype"/>
                <w:b/>
              </w:rPr>
              <w:t>Sujetos Obligados</w:t>
            </w:r>
            <w:r w:rsidRPr="009A27DF">
              <w:rPr>
                <w:rFonts w:ascii="Palatino Linotype" w:eastAsia="Palatino Linotype" w:hAnsi="Palatino Linotype" w:cs="Palatino Linotype"/>
              </w:rPr>
              <w:t xml:space="preserve"> determinan que la información actualiza alguno de los supuestos de clasificación, es deber de los titulares de las áreas proponer su clasificación y no del Comité de Transparencia. </w:t>
            </w:r>
          </w:p>
          <w:p w:rsidR="00BA1156" w:rsidRPr="009A27DF" w:rsidRDefault="00BA1156" w:rsidP="000066AE">
            <w:pPr>
              <w:spacing w:line="276" w:lineRule="auto"/>
              <w:jc w:val="both"/>
              <w:rPr>
                <w:rFonts w:ascii="Palatino Linotype" w:eastAsia="Palatino Linotype" w:hAnsi="Palatino Linotype" w:cs="Palatino Linotype"/>
              </w:rPr>
            </w:pPr>
            <w:r w:rsidRPr="009A27DF">
              <w:rPr>
                <w:rFonts w:ascii="Palatino Linotype" w:eastAsia="Palatino Linotype" w:hAnsi="Palatino Linotype" w:cs="Palatino Linotype"/>
              </w:rPr>
              <w:lastRenderedPageBreak/>
              <w:t>Al hacerlo tienen que precisar de qué información se trata, señalando el supuesto de clasificación (confidencialidad o reserva).</w:t>
            </w:r>
          </w:p>
          <w:p w:rsidR="00BA1156" w:rsidRPr="009A27DF" w:rsidRDefault="00BA1156" w:rsidP="000066AE">
            <w:pPr>
              <w:spacing w:line="276" w:lineRule="auto"/>
              <w:jc w:val="both"/>
              <w:rPr>
                <w:rFonts w:ascii="Palatino Linotype" w:eastAsia="Palatino Linotype" w:hAnsi="Palatino Linotype" w:cs="Palatino Linotype"/>
              </w:rPr>
            </w:pPr>
            <w:r w:rsidRPr="009A27DF">
              <w:rPr>
                <w:rFonts w:ascii="Palatino Linotype" w:eastAsia="Palatino Linotype" w:hAnsi="Palatino Linotype" w:cs="Palatino Linotype"/>
              </w:rPr>
              <w:t>Además, se debe señalar el procedimiento, de los tres que establecen los artículos 132 y 106 de la Ley Estatal y General, respectivamente.</w:t>
            </w:r>
          </w:p>
          <w:p w:rsidR="0090493A" w:rsidRPr="009A27DF" w:rsidRDefault="00BA1156" w:rsidP="000066AE">
            <w:pPr>
              <w:spacing w:line="276" w:lineRule="auto"/>
              <w:jc w:val="both"/>
              <w:rPr>
                <w:rFonts w:ascii="Palatino Linotype" w:eastAsia="Palatino Linotype" w:hAnsi="Palatino Linotype" w:cs="Palatino Linotype"/>
              </w:rPr>
            </w:pPr>
            <w:r w:rsidRPr="009A27DF">
              <w:rPr>
                <w:rFonts w:ascii="Palatino Linotype" w:eastAsia="Palatino Linotype" w:hAnsi="Palatino Linotype" w:cs="Palatino Linotype"/>
              </w:rPr>
              <w:t xml:space="preserve">El último de estos requisitos previos consiste en que no se pueden emitir acuerdos de carácter general ni particular, esto es, </w:t>
            </w:r>
            <w:r w:rsidRPr="009A27DF">
              <w:rPr>
                <w:rFonts w:ascii="Palatino Linotype" w:eastAsia="Palatino Linotype" w:hAnsi="Palatino Linotype" w:cs="Palatino Linotype"/>
                <w:b/>
                <w:u w:val="single"/>
              </w:rPr>
              <w:t xml:space="preserve">no se puede hacer un acuerdo para clasificar de manera general todos los documentos de un expediente o área,  </w:t>
            </w:r>
            <w:r w:rsidRPr="009A27DF">
              <w:rPr>
                <w:rFonts w:ascii="Palatino Linotype" w:eastAsia="Palatino Linotype" w:hAnsi="Palatino Linotype" w:cs="Palatino Linotype"/>
              </w:rPr>
              <w:t>sin individualizar su análisis y tampoco se puede hacer un acuerdo por cada dato que se vaya a clasificar dentro de un documento con diez datos, por ejemplo, susceptibles de ser clasificados.</w:t>
            </w:r>
          </w:p>
        </w:tc>
      </w:tr>
      <w:tr w:rsidR="00BA1156" w:rsidRPr="009A27DF" w:rsidTr="009A27DF">
        <w:trPr>
          <w:trHeight w:val="853"/>
        </w:trPr>
        <w:tc>
          <w:tcPr>
            <w:tcW w:w="2689" w:type="dxa"/>
            <w:tcBorders>
              <w:top w:val="single" w:sz="4" w:space="0" w:color="666666"/>
              <w:left w:val="single" w:sz="4" w:space="0" w:color="666666"/>
              <w:bottom w:val="single" w:sz="4" w:space="0" w:color="666666"/>
              <w:right w:val="single" w:sz="4" w:space="0" w:color="666666"/>
            </w:tcBorders>
          </w:tcPr>
          <w:p w:rsidR="00BA1156" w:rsidRPr="009A27DF" w:rsidRDefault="00BA1156" w:rsidP="000066AE">
            <w:pPr>
              <w:spacing w:line="276" w:lineRule="auto"/>
              <w:rPr>
                <w:rFonts w:ascii="Palatino Linotype" w:eastAsia="Palatino Linotype" w:hAnsi="Palatino Linotype" w:cs="Palatino Linotype"/>
              </w:rPr>
            </w:pPr>
            <w:r w:rsidRPr="009A27DF">
              <w:rPr>
                <w:rFonts w:ascii="Palatino Linotype" w:eastAsia="Palatino Linotype" w:hAnsi="Palatino Linotype" w:cs="Palatino Linotype"/>
                <w:b/>
              </w:rPr>
              <w:lastRenderedPageBreak/>
              <w:t>b) Supuestos de clasificación.</w:t>
            </w:r>
          </w:p>
        </w:tc>
        <w:tc>
          <w:tcPr>
            <w:tcW w:w="7087" w:type="dxa"/>
            <w:tcBorders>
              <w:top w:val="single" w:sz="4" w:space="0" w:color="666666"/>
              <w:left w:val="single" w:sz="4" w:space="0" w:color="666666"/>
              <w:bottom w:val="single" w:sz="4" w:space="0" w:color="666666"/>
              <w:right w:val="single" w:sz="4" w:space="0" w:color="666666"/>
            </w:tcBorders>
          </w:tcPr>
          <w:p w:rsidR="00BA1156" w:rsidRPr="009A27DF" w:rsidRDefault="00BA1156" w:rsidP="000066AE">
            <w:pPr>
              <w:spacing w:line="276" w:lineRule="auto"/>
              <w:jc w:val="both"/>
              <w:rPr>
                <w:rFonts w:ascii="Palatino Linotype" w:eastAsia="Palatino Linotype" w:hAnsi="Palatino Linotype" w:cs="Palatino Linotype"/>
              </w:rPr>
            </w:pPr>
            <w:r w:rsidRPr="009A27DF">
              <w:rPr>
                <w:rFonts w:ascii="Palatino Linotype" w:eastAsia="Palatino Linotype" w:hAnsi="Palatino Linotype" w:cs="Palatino Linotype"/>
              </w:rPr>
              <w:t>Las disposiciones constitucionales y legales en la materia establecen los dos supuestos generales para clasificar la información: por reserva y por confidencialidad.</w:t>
            </w:r>
          </w:p>
          <w:p w:rsidR="00BA1156" w:rsidRPr="009A27DF" w:rsidRDefault="00BA1156" w:rsidP="000066AE">
            <w:pPr>
              <w:spacing w:line="276" w:lineRule="auto"/>
              <w:jc w:val="both"/>
              <w:rPr>
                <w:rFonts w:ascii="Palatino Linotype" w:eastAsia="Palatino Linotype" w:hAnsi="Palatino Linotype" w:cs="Palatino Linotype"/>
              </w:rPr>
            </w:pPr>
            <w:r w:rsidRPr="009A27DF">
              <w:rPr>
                <w:rFonts w:ascii="Palatino Linotype" w:eastAsia="Palatino Linotype" w:hAnsi="Palatino Linotype" w:cs="Palatino Linotype"/>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BA1156" w:rsidRPr="009A27DF" w:rsidRDefault="00BA1156" w:rsidP="00B54338">
            <w:pPr>
              <w:spacing w:line="276" w:lineRule="auto"/>
              <w:jc w:val="both"/>
              <w:rPr>
                <w:rFonts w:ascii="Palatino Linotype" w:eastAsia="Palatino Linotype" w:hAnsi="Palatino Linotype" w:cs="Palatino Linotype"/>
              </w:rPr>
            </w:pPr>
            <w:r w:rsidRPr="009A27DF">
              <w:rPr>
                <w:rFonts w:ascii="Palatino Linotype" w:eastAsia="Palatino Linotype" w:hAnsi="Palatino Linotype" w:cs="Palatino Linotype"/>
              </w:rPr>
              <w:t xml:space="preserve">El </w:t>
            </w:r>
            <w:r w:rsidRPr="009A27DF">
              <w:rPr>
                <w:rFonts w:ascii="Palatino Linotype" w:eastAsia="Palatino Linotype" w:hAnsi="Palatino Linotype" w:cs="Palatino Linotype"/>
                <w:b/>
              </w:rPr>
              <w:t>SUJETO OBLIGADO</w:t>
            </w:r>
            <w:r w:rsidRPr="009A27DF">
              <w:rPr>
                <w:rFonts w:ascii="Palatino Linotype" w:eastAsia="Palatino Linotype" w:hAnsi="Palatino Linotype" w:cs="Palatino Linotype"/>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BA1156" w:rsidRPr="009A27DF" w:rsidTr="009A27DF">
        <w:trPr>
          <w:trHeight w:val="3711"/>
        </w:trPr>
        <w:tc>
          <w:tcPr>
            <w:tcW w:w="2689" w:type="dxa"/>
            <w:tcBorders>
              <w:top w:val="single" w:sz="4" w:space="0" w:color="666666"/>
              <w:left w:val="single" w:sz="4" w:space="0" w:color="666666"/>
              <w:bottom w:val="single" w:sz="4" w:space="0" w:color="666666"/>
              <w:right w:val="single" w:sz="4" w:space="0" w:color="666666"/>
            </w:tcBorders>
          </w:tcPr>
          <w:p w:rsidR="00BA1156" w:rsidRPr="009A27DF" w:rsidRDefault="00BA1156" w:rsidP="000066AE">
            <w:pPr>
              <w:spacing w:line="276" w:lineRule="auto"/>
              <w:rPr>
                <w:rFonts w:ascii="Palatino Linotype" w:eastAsia="Palatino Linotype" w:hAnsi="Palatino Linotype" w:cs="Palatino Linotype"/>
              </w:rPr>
            </w:pPr>
            <w:r w:rsidRPr="009A27DF">
              <w:rPr>
                <w:rFonts w:ascii="Palatino Linotype" w:eastAsia="Palatino Linotype" w:hAnsi="Palatino Linotype" w:cs="Palatino Linotype"/>
                <w:b/>
              </w:rPr>
              <w:lastRenderedPageBreak/>
              <w:t>c) Formalidades para emitir el acuerdo de clasificación.</w:t>
            </w:r>
          </w:p>
        </w:tc>
        <w:tc>
          <w:tcPr>
            <w:tcW w:w="7087" w:type="dxa"/>
            <w:tcBorders>
              <w:top w:val="single" w:sz="4" w:space="0" w:color="666666"/>
              <w:left w:val="single" w:sz="4" w:space="0" w:color="666666"/>
              <w:bottom w:val="single" w:sz="4" w:space="0" w:color="666666"/>
              <w:right w:val="single" w:sz="4" w:space="0" w:color="666666"/>
            </w:tcBorders>
          </w:tcPr>
          <w:p w:rsidR="00BA1156" w:rsidRPr="009A27DF" w:rsidRDefault="00BA1156" w:rsidP="000066AE">
            <w:pPr>
              <w:spacing w:line="276" w:lineRule="auto"/>
              <w:jc w:val="both"/>
              <w:rPr>
                <w:rFonts w:ascii="Palatino Linotype" w:eastAsia="Palatino Linotype" w:hAnsi="Palatino Linotype" w:cs="Palatino Linotype"/>
              </w:rPr>
            </w:pPr>
            <w:r w:rsidRPr="009A27DF">
              <w:rPr>
                <w:rFonts w:ascii="Palatino Linotype" w:eastAsia="Palatino Linotype" w:hAnsi="Palatino Linotype" w:cs="Palatino Linotype"/>
              </w:rPr>
              <w:t xml:space="preserve">El Comité de Transparencia, según lo dispuesto en los artículos cuenta con las facultades para aprobar, modificar o revocar la clasificación de la información que haya propuesto. </w:t>
            </w:r>
          </w:p>
          <w:p w:rsidR="00BA1156" w:rsidRPr="009A27DF" w:rsidRDefault="00BA1156" w:rsidP="000066AE">
            <w:pPr>
              <w:spacing w:line="276" w:lineRule="auto"/>
              <w:jc w:val="both"/>
              <w:rPr>
                <w:rFonts w:ascii="Palatino Linotype" w:eastAsia="Palatino Linotype" w:hAnsi="Palatino Linotype" w:cs="Palatino Linotype"/>
              </w:rPr>
            </w:pPr>
            <w:r w:rsidRPr="009A27DF">
              <w:rPr>
                <w:rFonts w:ascii="Palatino Linotype" w:eastAsia="Palatino Linotype" w:hAnsi="Palatino Linotype" w:cs="Palatino Linotype"/>
              </w:rPr>
              <w:t xml:space="preserve">Es necesario que </w:t>
            </w:r>
            <w:r w:rsidRPr="009A27DF">
              <w:rPr>
                <w:rFonts w:ascii="Palatino Linotype" w:eastAsia="Palatino Linotype" w:hAnsi="Palatino Linotype" w:cs="Palatino Linotype"/>
                <w:b/>
                <w:u w:val="single"/>
              </w:rPr>
              <w:t>el acto reúna con los requisitos elementales</w:t>
            </w:r>
            <w:r w:rsidRPr="009A27DF">
              <w:rPr>
                <w:rFonts w:ascii="Palatino Linotype" w:eastAsia="Palatino Linotype" w:hAnsi="Palatino Linotype" w:cs="Palatino Linotype"/>
              </w:rPr>
              <w:t>, entre ellos, que la autoridad que va a emitir el acto de autoridad sea la legalmente facultada para ello.</w:t>
            </w:r>
          </w:p>
          <w:p w:rsidR="00BA1156" w:rsidRPr="009A27DF" w:rsidRDefault="00BA1156" w:rsidP="000066AE">
            <w:pPr>
              <w:spacing w:line="276" w:lineRule="auto"/>
              <w:jc w:val="both"/>
              <w:rPr>
                <w:rFonts w:ascii="Palatino Linotype" w:eastAsia="Palatino Linotype" w:hAnsi="Palatino Linotype" w:cs="Palatino Linotype"/>
              </w:rPr>
            </w:pPr>
            <w:r w:rsidRPr="009A27DF">
              <w:rPr>
                <w:rFonts w:ascii="Palatino Linotype" w:eastAsia="Palatino Linotype" w:hAnsi="Palatino Linotype" w:cs="Palatino Linotype"/>
              </w:rPr>
              <w:t>La decisión de aprobar, modificar o revocar la clasificación deberá de asentarse en un documento que registre la determinación a la que se llegue después de un análisis minucioso a partir de lo propuesto por el Titular del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BA1156" w:rsidRPr="009A27DF" w:rsidTr="009A27DF">
        <w:trPr>
          <w:trHeight w:val="4255"/>
        </w:trPr>
        <w:tc>
          <w:tcPr>
            <w:tcW w:w="2689" w:type="dxa"/>
            <w:tcBorders>
              <w:top w:val="single" w:sz="4" w:space="0" w:color="666666"/>
              <w:left w:val="single" w:sz="4" w:space="0" w:color="666666"/>
              <w:bottom w:val="single" w:sz="4" w:space="0" w:color="666666"/>
              <w:right w:val="single" w:sz="4" w:space="0" w:color="666666"/>
            </w:tcBorders>
          </w:tcPr>
          <w:p w:rsidR="00BA1156" w:rsidRPr="009A27DF" w:rsidRDefault="00BA1156" w:rsidP="000066AE">
            <w:pPr>
              <w:spacing w:line="276" w:lineRule="auto"/>
              <w:rPr>
                <w:rFonts w:ascii="Palatino Linotype" w:eastAsia="Palatino Linotype" w:hAnsi="Palatino Linotype" w:cs="Palatino Linotype"/>
              </w:rPr>
            </w:pPr>
          </w:p>
          <w:p w:rsidR="00BA1156" w:rsidRPr="009A27DF" w:rsidRDefault="00BA1156" w:rsidP="000066AE">
            <w:pPr>
              <w:spacing w:line="276" w:lineRule="auto"/>
              <w:jc w:val="both"/>
              <w:rPr>
                <w:rFonts w:ascii="Palatino Linotype" w:eastAsia="Palatino Linotype" w:hAnsi="Palatino Linotype" w:cs="Palatino Linotype"/>
              </w:rPr>
            </w:pPr>
            <w:r w:rsidRPr="009A27DF">
              <w:rPr>
                <w:rFonts w:ascii="Palatino Linotype" w:eastAsia="Palatino Linotype" w:hAnsi="Palatino Linotype" w:cs="Palatino Linotype"/>
                <w:b/>
              </w:rPr>
              <w:t xml:space="preserve">d) Requisitos de fondo del acuerdo de clasificación. </w:t>
            </w:r>
          </w:p>
        </w:tc>
        <w:tc>
          <w:tcPr>
            <w:tcW w:w="7087" w:type="dxa"/>
            <w:tcBorders>
              <w:top w:val="single" w:sz="4" w:space="0" w:color="666666"/>
              <w:left w:val="single" w:sz="4" w:space="0" w:color="666666"/>
              <w:bottom w:val="single" w:sz="4" w:space="0" w:color="666666"/>
              <w:right w:val="single" w:sz="4" w:space="0" w:color="666666"/>
            </w:tcBorders>
          </w:tcPr>
          <w:p w:rsidR="00BA1156" w:rsidRPr="009A27DF" w:rsidRDefault="00BA1156" w:rsidP="000066AE">
            <w:pPr>
              <w:spacing w:line="276" w:lineRule="auto"/>
              <w:jc w:val="both"/>
              <w:rPr>
                <w:rFonts w:ascii="Palatino Linotype" w:eastAsia="Palatino Linotype" w:hAnsi="Palatino Linotype" w:cs="Palatino Linotype"/>
              </w:rPr>
            </w:pPr>
            <w:r w:rsidRPr="009A27DF">
              <w:rPr>
                <w:rFonts w:ascii="Palatino Linotype" w:eastAsia="Palatino Linotype" w:hAnsi="Palatino Linotype" w:cs="Palatino Linotype"/>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9A27DF">
              <w:rPr>
                <w:rFonts w:ascii="Palatino Linotype" w:eastAsia="Palatino Linotype" w:hAnsi="Palatino Linotype" w:cs="Palatino Linotype"/>
                <w:b/>
              </w:rPr>
              <w:t>Sujetos Obligados</w:t>
            </w:r>
            <w:r w:rsidRPr="009A27DF">
              <w:rPr>
                <w:rFonts w:ascii="Palatino Linotype" w:eastAsia="Palatino Linotype" w:hAnsi="Palatino Linotype" w:cs="Palatino Linotype"/>
              </w:rPr>
              <w:t xml:space="preserve">, por lo que deberán fundar y motivar debidamente la clasificación. </w:t>
            </w:r>
          </w:p>
          <w:p w:rsidR="00BA1156" w:rsidRPr="009A27DF" w:rsidRDefault="00BA1156" w:rsidP="000066AE">
            <w:pPr>
              <w:spacing w:line="276" w:lineRule="auto"/>
              <w:jc w:val="both"/>
              <w:rPr>
                <w:rFonts w:ascii="Palatino Linotype" w:eastAsia="Palatino Linotype" w:hAnsi="Palatino Linotype" w:cs="Palatino Linotype"/>
              </w:rPr>
            </w:pPr>
            <w:r w:rsidRPr="009A27DF">
              <w:rPr>
                <w:rFonts w:ascii="Palatino Linotype" w:eastAsia="Palatino Linotype" w:hAnsi="Palatino Linotype" w:cs="Palatino Linotype"/>
              </w:rPr>
              <w:t xml:space="preserve">De lo anterior, se desprende que para una correcta </w:t>
            </w:r>
            <w:r w:rsidRPr="009A27DF">
              <w:rPr>
                <w:rFonts w:ascii="Palatino Linotype" w:eastAsia="Palatino Linotype" w:hAnsi="Palatino Linotype" w:cs="Palatino Linotype"/>
                <w:b/>
              </w:rPr>
              <w:t>clasificación total o parcial</w:t>
            </w:r>
            <w:r w:rsidRPr="009A27DF">
              <w:rPr>
                <w:rFonts w:ascii="Palatino Linotype" w:eastAsia="Palatino Linotype" w:hAnsi="Palatino Linotype" w:cs="Palatino Linotype"/>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BA1156" w:rsidRPr="009A27DF" w:rsidRDefault="00BA1156" w:rsidP="000066AE">
            <w:pPr>
              <w:spacing w:line="276" w:lineRule="auto"/>
              <w:jc w:val="both"/>
              <w:rPr>
                <w:rFonts w:ascii="Palatino Linotype" w:eastAsia="Palatino Linotype" w:hAnsi="Palatino Linotype" w:cs="Palatino Linotype"/>
              </w:rPr>
            </w:pPr>
            <w:r w:rsidRPr="009A27DF">
              <w:rPr>
                <w:rFonts w:ascii="Palatino Linotype" w:eastAsia="Palatino Linotype" w:hAnsi="Palatino Linotype" w:cs="Palatino Linotype"/>
              </w:rPr>
              <w:t xml:space="preserve">Así, en un acto de autoridad se cumple con la debida fundamentación cuando se cita el precepto legal aplicable al caso </w:t>
            </w:r>
            <w:r w:rsidRPr="009A27DF">
              <w:rPr>
                <w:rFonts w:ascii="Palatino Linotype" w:eastAsia="Palatino Linotype" w:hAnsi="Palatino Linotype" w:cs="Palatino Linotype"/>
              </w:rPr>
              <w:lastRenderedPageBreak/>
              <w:t>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BA1156" w:rsidRPr="009A27DF" w:rsidRDefault="00BA1156" w:rsidP="000066AE">
            <w:pPr>
              <w:spacing w:line="276" w:lineRule="auto"/>
              <w:jc w:val="both"/>
              <w:rPr>
                <w:rFonts w:ascii="Palatino Linotype" w:eastAsia="Palatino Linotype" w:hAnsi="Palatino Linotype" w:cs="Palatino Linotype"/>
              </w:rPr>
            </w:pPr>
            <w:r w:rsidRPr="009A27DF">
              <w:rPr>
                <w:rFonts w:ascii="Palatino Linotype" w:eastAsia="Palatino Linotype" w:hAnsi="Palatino Linotype" w:cs="Palatino Linotype"/>
              </w:rPr>
              <w:t>En ese mismo sentido, el numeral trigésimo tercero fracción V de los Lineamientos Generales, precisa que para motivar la clasificación se deben acreditar las circunstancias de tiempo, modo y lugar.</w:t>
            </w:r>
          </w:p>
          <w:p w:rsidR="00BA1156" w:rsidRPr="009A27DF" w:rsidRDefault="00BA1156" w:rsidP="000066AE">
            <w:pPr>
              <w:spacing w:line="276" w:lineRule="auto"/>
              <w:jc w:val="both"/>
              <w:rPr>
                <w:rFonts w:ascii="Palatino Linotype" w:eastAsia="Palatino Linotype" w:hAnsi="Palatino Linotype" w:cs="Palatino Linotype"/>
              </w:rPr>
            </w:pPr>
            <w:r w:rsidRPr="009A27DF">
              <w:rPr>
                <w:rFonts w:ascii="Palatino Linotype" w:eastAsia="Palatino Linotype" w:hAnsi="Palatino Linotype" w:cs="Palatino Linotype"/>
              </w:rPr>
              <w:t xml:space="preserve">Ahora bien, </w:t>
            </w:r>
            <w:r w:rsidRPr="009A27DF">
              <w:rPr>
                <w:rFonts w:ascii="Palatino Linotype" w:eastAsia="Palatino Linotype" w:hAnsi="Palatino Linotype" w:cs="Palatino Linotype"/>
                <w:b/>
                <w:u w:val="single"/>
              </w:rPr>
              <w:t>para cada caso además de fundar y motivar</w:t>
            </w:r>
            <w:r w:rsidRPr="009A27DF">
              <w:rPr>
                <w:rFonts w:ascii="Palatino Linotype" w:eastAsia="Palatino Linotype" w:hAnsi="Palatino Linotype" w:cs="Palatino Linotype"/>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BA1156" w:rsidRPr="009A27DF" w:rsidTr="009A27DF">
        <w:trPr>
          <w:trHeight w:val="3131"/>
        </w:trPr>
        <w:tc>
          <w:tcPr>
            <w:tcW w:w="2689" w:type="dxa"/>
            <w:tcBorders>
              <w:top w:val="single" w:sz="4" w:space="0" w:color="666666"/>
              <w:left w:val="single" w:sz="4" w:space="0" w:color="666666"/>
              <w:bottom w:val="single" w:sz="4" w:space="0" w:color="666666"/>
              <w:right w:val="single" w:sz="4" w:space="0" w:color="666666"/>
            </w:tcBorders>
          </w:tcPr>
          <w:p w:rsidR="00BA1156" w:rsidRPr="009A27DF" w:rsidRDefault="00BA1156" w:rsidP="000066AE">
            <w:pPr>
              <w:spacing w:line="276" w:lineRule="auto"/>
              <w:jc w:val="both"/>
              <w:rPr>
                <w:rFonts w:ascii="Palatino Linotype" w:eastAsia="Palatino Linotype" w:hAnsi="Palatino Linotype" w:cs="Palatino Linotype"/>
              </w:rPr>
            </w:pPr>
            <w:r w:rsidRPr="009A27DF">
              <w:rPr>
                <w:rFonts w:ascii="Palatino Linotype" w:eastAsia="Palatino Linotype" w:hAnsi="Palatino Linotype" w:cs="Palatino Linotype"/>
                <w:b/>
              </w:rPr>
              <w:lastRenderedPageBreak/>
              <w:t xml:space="preserve">e) Condiciones especiales de la clasificación de la información como confidencial. </w:t>
            </w:r>
          </w:p>
          <w:p w:rsidR="00BA1156" w:rsidRPr="009A27DF" w:rsidRDefault="00BA1156" w:rsidP="000066AE">
            <w:pPr>
              <w:spacing w:line="276" w:lineRule="auto"/>
              <w:rPr>
                <w:rFonts w:ascii="Palatino Linotype" w:eastAsia="Palatino Linotype" w:hAnsi="Palatino Linotype" w:cs="Palatino Linotype"/>
              </w:rPr>
            </w:pPr>
          </w:p>
        </w:tc>
        <w:tc>
          <w:tcPr>
            <w:tcW w:w="7087" w:type="dxa"/>
            <w:tcBorders>
              <w:top w:val="single" w:sz="4" w:space="0" w:color="666666"/>
              <w:left w:val="single" w:sz="4" w:space="0" w:color="666666"/>
              <w:bottom w:val="single" w:sz="4" w:space="0" w:color="666666"/>
              <w:right w:val="single" w:sz="4" w:space="0" w:color="666666"/>
            </w:tcBorders>
          </w:tcPr>
          <w:p w:rsidR="00BA1156" w:rsidRPr="009A27DF" w:rsidRDefault="00BA1156" w:rsidP="000066AE">
            <w:pPr>
              <w:spacing w:line="276" w:lineRule="auto"/>
              <w:jc w:val="both"/>
              <w:rPr>
                <w:rFonts w:ascii="Palatino Linotype" w:eastAsia="Palatino Linotype" w:hAnsi="Palatino Linotype" w:cs="Palatino Linotype"/>
              </w:rPr>
            </w:pPr>
            <w:r w:rsidRPr="009A27DF">
              <w:rPr>
                <w:rFonts w:ascii="Palatino Linotype" w:eastAsia="Palatino Linotype" w:hAnsi="Palatino Linotype" w:cs="Palatino Linotype"/>
              </w:rPr>
              <w:t xml:space="preserve">Los artículos 148 y 120 de la Ley Estatal y de la Ley General, respectivamente, establecen que aun tratándose de datos personales, se podrán proporcionar, incluso sin solicitar el consentimiento de su titular. </w:t>
            </w:r>
          </w:p>
          <w:p w:rsidR="00BA1156" w:rsidRPr="009A27DF" w:rsidRDefault="00BA1156" w:rsidP="000066AE">
            <w:pPr>
              <w:spacing w:line="276" w:lineRule="auto"/>
              <w:jc w:val="both"/>
              <w:rPr>
                <w:rFonts w:ascii="Palatino Linotype" w:eastAsia="Palatino Linotype" w:hAnsi="Palatino Linotype" w:cs="Palatino Linotype"/>
              </w:rPr>
            </w:pPr>
            <w:r w:rsidRPr="009A27DF">
              <w:rPr>
                <w:rFonts w:ascii="Palatino Linotype" w:eastAsia="Palatino Linotype" w:hAnsi="Palatino Linotype" w:cs="Palatino Linotype"/>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BA1156" w:rsidRPr="009A27DF" w:rsidRDefault="00BA1156" w:rsidP="000066AE">
            <w:pPr>
              <w:spacing w:line="276" w:lineRule="auto"/>
              <w:rPr>
                <w:rFonts w:ascii="Palatino Linotype" w:eastAsia="Palatino Linotype" w:hAnsi="Palatino Linotype" w:cs="Palatino Linotype"/>
              </w:rPr>
            </w:pPr>
            <w:r w:rsidRPr="009A27DF">
              <w:rPr>
                <w:rFonts w:ascii="Palatino Linotype" w:eastAsia="Palatino Linotype" w:hAnsi="Palatino Linotype" w:cs="Palatino Linotype"/>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B302FE" w:rsidRPr="009A27DF" w:rsidRDefault="00B302FE" w:rsidP="00F269A3">
      <w:pPr>
        <w:pStyle w:val="Prrafodelista"/>
        <w:spacing w:line="360" w:lineRule="auto"/>
        <w:ind w:left="0" w:right="-518"/>
        <w:jc w:val="both"/>
        <w:rPr>
          <w:rFonts w:ascii="Palatino Linotype" w:eastAsia="Palatino Linotype" w:hAnsi="Palatino Linotype" w:cs="Palatino Linotype"/>
        </w:rPr>
      </w:pPr>
      <w:r w:rsidRPr="009A27DF">
        <w:rPr>
          <w:rFonts w:ascii="Palatino Linotype" w:eastAsia="Palatino Linotype" w:hAnsi="Palatino Linotype" w:cs="Palatino Linotype"/>
        </w:rPr>
        <w:t xml:space="preserve"> </w:t>
      </w:r>
    </w:p>
    <w:p w:rsidR="00BA1156" w:rsidRPr="009A27DF" w:rsidRDefault="00BA1156" w:rsidP="00BA1156">
      <w:pPr>
        <w:numPr>
          <w:ilvl w:val="0"/>
          <w:numId w:val="2"/>
        </w:numPr>
        <w:spacing w:line="360" w:lineRule="auto"/>
        <w:ind w:left="0" w:firstLine="0"/>
        <w:jc w:val="both"/>
        <w:rPr>
          <w:rFonts w:ascii="Palatino Linotype" w:hAnsi="Palatino Linotype"/>
        </w:rPr>
      </w:pPr>
      <w:r w:rsidRPr="009A27DF">
        <w:rPr>
          <w:rFonts w:ascii="Palatino Linotype" w:eastAsia="Palatino Linotype" w:hAnsi="Palatino Linotype" w:cs="Palatino Linotype"/>
          <w:color w:val="000000"/>
        </w:rPr>
        <w:lastRenderedPageBreak/>
        <w:t xml:space="preserve">Por lo anteriormente expuesto y fundado, este </w:t>
      </w:r>
      <w:r w:rsidRPr="009A27DF">
        <w:rPr>
          <w:rFonts w:ascii="Palatino Linotype" w:eastAsia="Palatino Linotype" w:hAnsi="Palatino Linotype" w:cs="Palatino Linotype"/>
          <w:b/>
          <w:color w:val="000000"/>
        </w:rPr>
        <w:t>ÓRGANO GARANTE</w:t>
      </w:r>
      <w:r w:rsidRPr="009A27DF">
        <w:rPr>
          <w:rFonts w:ascii="Palatino Linotype" w:eastAsia="Palatino Linotype" w:hAnsi="Palatino Linotype" w:cs="Palatino Linotype"/>
          <w:color w:val="000000"/>
        </w:rPr>
        <w:t xml:space="preserve"> emite los siguientes:</w:t>
      </w:r>
    </w:p>
    <w:p w:rsidR="00BA1156" w:rsidRPr="009A27DF" w:rsidRDefault="00912B65" w:rsidP="00912B65">
      <w:pPr>
        <w:keepNext/>
        <w:keepLines/>
        <w:spacing w:before="240" w:line="360" w:lineRule="auto"/>
        <w:jc w:val="center"/>
        <w:rPr>
          <w:rFonts w:ascii="Palatino Linotype" w:eastAsia="Palatino Linotype" w:hAnsi="Palatino Linotype" w:cs="Palatino Linotype"/>
          <w:b/>
          <w:color w:val="000000"/>
        </w:rPr>
      </w:pPr>
      <w:r w:rsidRPr="009A27DF">
        <w:rPr>
          <w:rFonts w:ascii="Palatino Linotype" w:eastAsia="Palatino Linotype" w:hAnsi="Palatino Linotype" w:cs="Palatino Linotype"/>
          <w:b/>
          <w:color w:val="000000"/>
        </w:rPr>
        <w:t>R E S O L U T I V O S</w:t>
      </w:r>
    </w:p>
    <w:p w:rsidR="00912B65" w:rsidRPr="009A27DF" w:rsidRDefault="00912B65" w:rsidP="00912B65">
      <w:pPr>
        <w:keepNext/>
        <w:keepLines/>
        <w:spacing w:before="240" w:line="360" w:lineRule="auto"/>
        <w:jc w:val="center"/>
        <w:rPr>
          <w:rFonts w:ascii="Palatino Linotype" w:eastAsia="Palatino Linotype" w:hAnsi="Palatino Linotype" w:cs="Palatino Linotype"/>
          <w:b/>
          <w:color w:val="000000"/>
        </w:rPr>
      </w:pPr>
    </w:p>
    <w:p w:rsidR="00BA1156" w:rsidRPr="009A27DF" w:rsidRDefault="00BA1156" w:rsidP="00BA1156">
      <w:pPr>
        <w:spacing w:line="360" w:lineRule="auto"/>
        <w:jc w:val="both"/>
        <w:rPr>
          <w:rFonts w:ascii="Palatino Linotype" w:eastAsia="Palatino Linotype" w:hAnsi="Palatino Linotype" w:cs="Palatino Linotype"/>
        </w:rPr>
      </w:pPr>
      <w:r w:rsidRPr="009A27DF">
        <w:rPr>
          <w:rFonts w:ascii="Palatino Linotype" w:eastAsia="Palatino Linotype" w:hAnsi="Palatino Linotype" w:cs="Palatino Linotype"/>
          <w:b/>
        </w:rPr>
        <w:t xml:space="preserve">PRIMERO. </w:t>
      </w:r>
      <w:r w:rsidRPr="009A27DF">
        <w:rPr>
          <w:rFonts w:ascii="Palatino Linotype" w:eastAsia="Palatino Linotype" w:hAnsi="Palatino Linotype" w:cs="Palatino Linotype"/>
        </w:rPr>
        <w:t>Resultan fundadas las</w:t>
      </w:r>
      <w:r w:rsidRPr="009A27DF">
        <w:rPr>
          <w:rFonts w:ascii="Palatino Linotype" w:eastAsia="Palatino Linotype" w:hAnsi="Palatino Linotype" w:cs="Palatino Linotype"/>
          <w:b/>
        </w:rPr>
        <w:t xml:space="preserve"> </w:t>
      </w:r>
      <w:r w:rsidRPr="009A27DF">
        <w:rPr>
          <w:rFonts w:ascii="Palatino Linotype" w:eastAsia="Palatino Linotype" w:hAnsi="Palatino Linotype" w:cs="Palatino Linotype"/>
        </w:rPr>
        <w:t xml:space="preserve">razones o motivos de inconformidad hechos valer en el recurso de revisión </w:t>
      </w:r>
      <w:r w:rsidR="00F269A3" w:rsidRPr="009A27DF">
        <w:rPr>
          <w:rFonts w:ascii="Palatino Linotype" w:eastAsia="Palatino Linotype" w:hAnsi="Palatino Linotype" w:cs="Palatino Linotype"/>
          <w:b/>
        </w:rPr>
        <w:t>08358</w:t>
      </w:r>
      <w:r w:rsidRPr="009A27DF">
        <w:rPr>
          <w:rFonts w:ascii="Palatino Linotype" w:eastAsia="Palatino Linotype" w:hAnsi="Palatino Linotype" w:cs="Palatino Linotype"/>
          <w:b/>
        </w:rPr>
        <w:t xml:space="preserve">/INFOEM/IP/RR/2025 </w:t>
      </w:r>
      <w:r w:rsidRPr="009A27DF">
        <w:rPr>
          <w:rFonts w:ascii="Palatino Linotype" w:eastAsia="Palatino Linotype" w:hAnsi="Palatino Linotype" w:cs="Palatino Linotype"/>
        </w:rPr>
        <w:t xml:space="preserve">en términos de los </w:t>
      </w:r>
      <w:r w:rsidRPr="009A27DF">
        <w:rPr>
          <w:rFonts w:ascii="Palatino Linotype" w:eastAsia="Palatino Linotype" w:hAnsi="Palatino Linotype" w:cs="Palatino Linotype"/>
          <w:b/>
        </w:rPr>
        <w:t>Considerandos</w:t>
      </w:r>
      <w:r w:rsidRPr="009A27DF">
        <w:rPr>
          <w:rFonts w:ascii="Palatino Linotype" w:eastAsia="Palatino Linotype" w:hAnsi="Palatino Linotype" w:cs="Palatino Linotype"/>
        </w:rPr>
        <w:t xml:space="preserve"> </w:t>
      </w:r>
      <w:r w:rsidRPr="009A27DF">
        <w:rPr>
          <w:rFonts w:ascii="Palatino Linotype" w:eastAsia="Palatino Linotype" w:hAnsi="Palatino Linotype" w:cs="Palatino Linotype"/>
          <w:b/>
        </w:rPr>
        <w:t xml:space="preserve">CUARTO y QUINTO </w:t>
      </w:r>
      <w:r w:rsidRPr="009A27DF">
        <w:rPr>
          <w:rFonts w:ascii="Palatino Linotype" w:eastAsia="Palatino Linotype" w:hAnsi="Palatino Linotype" w:cs="Palatino Linotype"/>
        </w:rPr>
        <w:t>de la presente resolución.</w:t>
      </w:r>
    </w:p>
    <w:p w:rsidR="00BA1156" w:rsidRPr="009A27DF" w:rsidRDefault="00BA1156" w:rsidP="00BA1156">
      <w:pPr>
        <w:spacing w:line="360" w:lineRule="auto"/>
        <w:jc w:val="both"/>
        <w:rPr>
          <w:rFonts w:ascii="Palatino Linotype" w:eastAsia="Palatino Linotype" w:hAnsi="Palatino Linotype" w:cs="Palatino Linotype"/>
        </w:rPr>
      </w:pPr>
    </w:p>
    <w:p w:rsidR="00BA1156" w:rsidRPr="009A27DF" w:rsidRDefault="00BA1156" w:rsidP="00BA1156">
      <w:pPr>
        <w:spacing w:line="360" w:lineRule="auto"/>
        <w:jc w:val="both"/>
        <w:rPr>
          <w:rFonts w:ascii="Palatino Linotype" w:eastAsia="Palatino Linotype" w:hAnsi="Palatino Linotype" w:cs="Palatino Linotype"/>
        </w:rPr>
      </w:pPr>
      <w:bookmarkStart w:id="10" w:name="_heading=h.26in1rg" w:colFirst="0" w:colLast="0"/>
      <w:bookmarkEnd w:id="10"/>
      <w:r w:rsidRPr="009A27DF">
        <w:rPr>
          <w:rFonts w:ascii="Palatino Linotype" w:eastAsia="Palatino Linotype" w:hAnsi="Palatino Linotype" w:cs="Palatino Linotype"/>
          <w:b/>
        </w:rPr>
        <w:t>SEGUNDO.</w:t>
      </w:r>
      <w:r w:rsidRPr="009A27DF">
        <w:rPr>
          <w:rFonts w:ascii="Palatino Linotype" w:eastAsia="Palatino Linotype" w:hAnsi="Palatino Linotype" w:cs="Palatino Linotype"/>
          <w:color w:val="2F5496"/>
        </w:rPr>
        <w:t xml:space="preserve"> </w:t>
      </w:r>
      <w:r w:rsidRPr="009A27DF">
        <w:rPr>
          <w:rFonts w:ascii="Palatino Linotype" w:eastAsia="Palatino Linotype" w:hAnsi="Palatino Linotype" w:cs="Palatino Linotype"/>
        </w:rPr>
        <w:t>Se</w:t>
      </w:r>
      <w:r w:rsidR="00F269A3" w:rsidRPr="009A27DF">
        <w:rPr>
          <w:rFonts w:ascii="Palatino Linotype" w:eastAsia="Palatino Linotype" w:hAnsi="Palatino Linotype" w:cs="Palatino Linotype"/>
          <w:b/>
        </w:rPr>
        <w:t xml:space="preserve"> MODIFICA</w:t>
      </w:r>
      <w:r w:rsidRPr="009A27DF">
        <w:rPr>
          <w:rFonts w:ascii="Palatino Linotype" w:eastAsia="Palatino Linotype" w:hAnsi="Palatino Linotype" w:cs="Palatino Linotype"/>
          <w:b/>
        </w:rPr>
        <w:t xml:space="preserve"> </w:t>
      </w:r>
      <w:r w:rsidRPr="009A27DF">
        <w:rPr>
          <w:rFonts w:ascii="Palatino Linotype" w:eastAsia="Palatino Linotype" w:hAnsi="Palatino Linotype" w:cs="Palatino Linotype"/>
        </w:rPr>
        <w:t xml:space="preserve">la respuesta emitida por el </w:t>
      </w:r>
      <w:r w:rsidR="00C80AB2" w:rsidRPr="009A27DF">
        <w:rPr>
          <w:rFonts w:ascii="Palatino Linotype" w:eastAsia="Palatino Linotype" w:hAnsi="Palatino Linotype" w:cs="Palatino Linotype"/>
          <w:b/>
        </w:rPr>
        <w:t xml:space="preserve">Ayuntamiento de </w:t>
      </w:r>
      <w:r w:rsidR="00F269A3" w:rsidRPr="009A27DF">
        <w:rPr>
          <w:rFonts w:ascii="Palatino Linotype" w:eastAsia="Palatino Linotype" w:hAnsi="Palatino Linotype" w:cs="Palatino Linotype"/>
          <w:b/>
        </w:rPr>
        <w:t>Chicoloapan</w:t>
      </w:r>
      <w:r w:rsidRPr="009A27DF">
        <w:rPr>
          <w:rFonts w:ascii="Palatino Linotype" w:eastAsia="Palatino Linotype" w:hAnsi="Palatino Linotype" w:cs="Palatino Linotype"/>
          <w:b/>
        </w:rPr>
        <w:t xml:space="preserve"> </w:t>
      </w:r>
      <w:r w:rsidRPr="009A27DF">
        <w:rPr>
          <w:rFonts w:ascii="Palatino Linotype" w:eastAsia="Palatino Linotype" w:hAnsi="Palatino Linotype" w:cs="Palatino Linotype"/>
        </w:rPr>
        <w:t xml:space="preserve">a la solicitud </w:t>
      </w:r>
      <w:r w:rsidR="00F269A3" w:rsidRPr="009A27DF">
        <w:rPr>
          <w:rFonts w:ascii="Palatino Linotype" w:eastAsia="Palatino Linotype" w:hAnsi="Palatino Linotype" w:cs="Palatino Linotype"/>
          <w:b/>
          <w:bCs/>
          <w:color w:val="000000"/>
        </w:rPr>
        <w:t>00107/CHICOLOA/IP/2025</w:t>
      </w:r>
      <w:r w:rsidRPr="009A27DF">
        <w:rPr>
          <w:rFonts w:ascii="Palatino Linotype" w:eastAsia="Palatino Linotype" w:hAnsi="Palatino Linotype" w:cs="Palatino Linotype"/>
          <w:b/>
          <w:color w:val="000000"/>
        </w:rPr>
        <w:t>,</w:t>
      </w:r>
      <w:r w:rsidRPr="009A27DF">
        <w:rPr>
          <w:rFonts w:ascii="Palatino Linotype" w:eastAsia="Palatino Linotype" w:hAnsi="Palatino Linotype" w:cs="Palatino Linotype"/>
        </w:rPr>
        <w:t xml:space="preserve"> y se </w:t>
      </w:r>
      <w:r w:rsidRPr="009A27DF">
        <w:rPr>
          <w:rFonts w:ascii="Palatino Linotype" w:eastAsia="Palatino Linotype" w:hAnsi="Palatino Linotype" w:cs="Palatino Linotype"/>
          <w:b/>
        </w:rPr>
        <w:t>ORDENA</w:t>
      </w:r>
      <w:r w:rsidRPr="009A27DF">
        <w:rPr>
          <w:rFonts w:ascii="Palatino Linotype" w:eastAsia="Palatino Linotype" w:hAnsi="Palatino Linotype" w:cs="Palatino Linotype"/>
        </w:rPr>
        <w:t xml:space="preserve"> la entrega, a través del Sistema de Acceso a la Información Mexiquense, de ser procedente en versión púb</w:t>
      </w:r>
      <w:r w:rsidR="00B54338" w:rsidRPr="009A27DF">
        <w:rPr>
          <w:rFonts w:ascii="Palatino Linotype" w:eastAsia="Palatino Linotype" w:hAnsi="Palatino Linotype" w:cs="Palatino Linotype"/>
        </w:rPr>
        <w:t>lica, la siguiente información:</w:t>
      </w:r>
    </w:p>
    <w:p w:rsidR="00BE1176" w:rsidRPr="009A27DF" w:rsidRDefault="00BE1176" w:rsidP="00BA1156">
      <w:pPr>
        <w:spacing w:line="360" w:lineRule="auto"/>
        <w:jc w:val="both"/>
        <w:rPr>
          <w:rFonts w:ascii="Palatino Linotype" w:eastAsia="Palatino Linotype" w:hAnsi="Palatino Linotype" w:cs="Palatino Linotype"/>
        </w:rPr>
      </w:pPr>
    </w:p>
    <w:p w:rsidR="00B54338" w:rsidRPr="009A27DF" w:rsidRDefault="00B54338" w:rsidP="00B54338">
      <w:pPr>
        <w:pStyle w:val="Prrafodelista"/>
        <w:numPr>
          <w:ilvl w:val="0"/>
          <w:numId w:val="5"/>
        </w:numPr>
        <w:pBdr>
          <w:top w:val="nil"/>
          <w:left w:val="nil"/>
          <w:bottom w:val="nil"/>
          <w:right w:val="nil"/>
          <w:between w:val="nil"/>
        </w:pBdr>
        <w:tabs>
          <w:tab w:val="left" w:pos="567"/>
        </w:tabs>
        <w:spacing w:line="360" w:lineRule="auto"/>
        <w:ind w:right="822"/>
        <w:jc w:val="both"/>
        <w:rPr>
          <w:rFonts w:ascii="Palatino Linotype" w:hAnsi="Palatino Linotype"/>
          <w:b/>
        </w:rPr>
      </w:pPr>
      <w:r w:rsidRPr="009A27DF">
        <w:rPr>
          <w:rFonts w:ascii="Palatino Linotype" w:hAnsi="Palatino Linotype"/>
          <w:b/>
        </w:rPr>
        <w:t xml:space="preserve">Soporte documental donde consten los estudios realizados para la instauración del programa de ordenamiento vial señalado en respuesta, a la fecha de la solicitud. </w:t>
      </w:r>
    </w:p>
    <w:p w:rsidR="00BA1156" w:rsidRPr="009A27DF" w:rsidRDefault="00BA1156" w:rsidP="00BA1156">
      <w:pPr>
        <w:pBdr>
          <w:top w:val="nil"/>
          <w:left w:val="nil"/>
          <w:bottom w:val="nil"/>
          <w:right w:val="nil"/>
          <w:between w:val="nil"/>
        </w:pBdr>
        <w:spacing w:line="360" w:lineRule="auto"/>
        <w:ind w:left="1134"/>
        <w:jc w:val="both"/>
        <w:rPr>
          <w:rFonts w:ascii="Palatino Linotype" w:eastAsia="Palatino Linotype" w:hAnsi="Palatino Linotype" w:cs="Palatino Linotype"/>
          <w:b/>
          <w:color w:val="000000"/>
        </w:rPr>
      </w:pPr>
    </w:p>
    <w:p w:rsidR="00BA1156" w:rsidRPr="009A27DF" w:rsidRDefault="00BA1156" w:rsidP="00BA1156">
      <w:pPr>
        <w:tabs>
          <w:tab w:val="left" w:pos="993"/>
        </w:tabs>
        <w:spacing w:line="360" w:lineRule="auto"/>
        <w:jc w:val="both"/>
        <w:rPr>
          <w:rFonts w:ascii="Palatino Linotype" w:eastAsia="Palatino Linotype" w:hAnsi="Palatino Linotype" w:cs="Palatino Linotype"/>
        </w:rPr>
      </w:pPr>
      <w:r w:rsidRPr="009A27DF">
        <w:rPr>
          <w:rFonts w:ascii="Palatino Linotype" w:eastAsia="Palatino Linotype" w:hAnsi="Palatino Linotype" w:cs="Palatino Linotype"/>
          <w:color w:val="000000"/>
        </w:rPr>
        <w:t xml:space="preserve">Para </w:t>
      </w:r>
      <w:r w:rsidRPr="009A27DF">
        <w:rPr>
          <w:rFonts w:ascii="Palatino Linotype" w:eastAsia="Palatino Linotype" w:hAnsi="Palatino Linotype" w:cs="Palatino Linotype"/>
        </w:rPr>
        <w:t xml:space="preserve">efectos de lo anterior, se deberá emitir el Acuerdo del Comité de Transparencia, en términos de los artículos 49, fracción VIII, y 132, fracción II, de la Ley de Transparencia y Acceso a la Información Pública del Estado de México y Municipios, en el que se funden y motiven las razones sobre los datos que se supriman o eliminen dentro del soporte documental respectivo objeto de las versiones públicas que se formulen, y se ponga a disposición del </w:t>
      </w:r>
      <w:r w:rsidRPr="009A27DF">
        <w:rPr>
          <w:rFonts w:ascii="Palatino Linotype" w:eastAsia="Palatino Linotype" w:hAnsi="Palatino Linotype" w:cs="Palatino Linotype"/>
          <w:b/>
        </w:rPr>
        <w:t>RECURRENTE</w:t>
      </w:r>
      <w:r w:rsidRPr="009A27DF">
        <w:rPr>
          <w:rFonts w:ascii="Palatino Linotype" w:eastAsia="Palatino Linotype" w:hAnsi="Palatino Linotype" w:cs="Palatino Linotype"/>
        </w:rPr>
        <w:t>.</w:t>
      </w:r>
    </w:p>
    <w:p w:rsidR="00BA1156" w:rsidRPr="009A27DF" w:rsidRDefault="00BA1156" w:rsidP="00BA1156">
      <w:pPr>
        <w:tabs>
          <w:tab w:val="left" w:pos="993"/>
        </w:tabs>
        <w:spacing w:line="360" w:lineRule="auto"/>
        <w:jc w:val="both"/>
        <w:rPr>
          <w:rFonts w:ascii="Palatino Linotype" w:eastAsia="Palatino Linotype" w:hAnsi="Palatino Linotype" w:cs="Palatino Linotype"/>
        </w:rPr>
      </w:pPr>
    </w:p>
    <w:p w:rsidR="00BA1156" w:rsidRPr="009A27DF" w:rsidRDefault="00BA1156" w:rsidP="00BA1156">
      <w:pPr>
        <w:shd w:val="clear" w:color="auto" w:fill="FFFFFF"/>
        <w:spacing w:line="360" w:lineRule="auto"/>
        <w:jc w:val="both"/>
        <w:rPr>
          <w:rFonts w:ascii="Palatino Linotype" w:eastAsia="Palatino Linotype" w:hAnsi="Palatino Linotype" w:cs="Palatino Linotype"/>
          <w:color w:val="222222"/>
        </w:rPr>
      </w:pPr>
      <w:r w:rsidRPr="009A27DF">
        <w:rPr>
          <w:rFonts w:ascii="Palatino Linotype" w:eastAsia="Palatino Linotype" w:hAnsi="Palatino Linotype" w:cs="Palatino Linotype"/>
          <w:b/>
          <w:color w:val="222222"/>
        </w:rPr>
        <w:lastRenderedPageBreak/>
        <w:t xml:space="preserve">TERCERO. </w:t>
      </w:r>
      <w:r w:rsidRPr="009A27DF">
        <w:rPr>
          <w:rFonts w:ascii="Palatino Linotype" w:eastAsia="Palatino Linotype" w:hAnsi="Palatino Linotype" w:cs="Palatino Linotype"/>
          <w:color w:val="222222"/>
        </w:rPr>
        <w:t xml:space="preserve">Notifíquese vía SAIMEX la presente resolución al Titular de la Unidad de Transparencia del Sujeto Obligado, para que conforme al artículo 186 último párrafo, 189 segundo párrafo y 194 de la Ley de Transparencia y Acceso a la Información Pública del Estado de México y Municipios </w:t>
      </w:r>
      <w:r w:rsidRPr="009A27DF">
        <w:rPr>
          <w:rFonts w:ascii="Palatino Linotype" w:eastAsia="Palatino Linotype" w:hAnsi="Palatino Linotype" w:cs="Palatino Linotype"/>
          <w:b/>
          <w:color w:val="222222"/>
        </w:rPr>
        <w:t>dé cumplimiento a lo ordenado dentro del plazo de diez días hábiles,</w:t>
      </w:r>
      <w:r w:rsidRPr="009A27DF">
        <w:rPr>
          <w:rFonts w:ascii="Palatino Linotype" w:eastAsia="Palatino Linotype" w:hAnsi="Palatino Linotype" w:cs="Palatino Linotype"/>
          <w:color w:val="222222"/>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BA1156" w:rsidRPr="009A27DF" w:rsidRDefault="00BA1156" w:rsidP="00BA1156">
      <w:pPr>
        <w:shd w:val="clear" w:color="auto" w:fill="FFFFFF"/>
        <w:spacing w:line="360" w:lineRule="auto"/>
        <w:jc w:val="both"/>
        <w:rPr>
          <w:rFonts w:ascii="Palatino Linotype" w:eastAsia="Palatino Linotype" w:hAnsi="Palatino Linotype" w:cs="Palatino Linotype"/>
          <w:b/>
          <w:color w:val="222222"/>
        </w:rPr>
      </w:pPr>
    </w:p>
    <w:p w:rsidR="00BA1156" w:rsidRPr="009A27DF" w:rsidRDefault="00BA1156" w:rsidP="00BA1156">
      <w:pPr>
        <w:shd w:val="clear" w:color="auto" w:fill="FFFFFF"/>
        <w:spacing w:line="360" w:lineRule="auto"/>
        <w:jc w:val="both"/>
        <w:rPr>
          <w:rFonts w:ascii="Palatino Linotype" w:eastAsia="Palatino Linotype" w:hAnsi="Palatino Linotype" w:cs="Palatino Linotype"/>
          <w:color w:val="000000"/>
        </w:rPr>
      </w:pPr>
      <w:r w:rsidRPr="009A27DF">
        <w:rPr>
          <w:rFonts w:ascii="Palatino Linotype" w:eastAsia="Palatino Linotype" w:hAnsi="Palatino Linotype" w:cs="Palatino Linotype"/>
          <w:b/>
          <w:color w:val="000000"/>
        </w:rPr>
        <w:t>CUARTO.</w:t>
      </w:r>
      <w:r w:rsidRPr="009A27DF">
        <w:rPr>
          <w:rFonts w:ascii="Palatino Linotype" w:eastAsia="Palatino Linotype" w:hAnsi="Palatino Linotype" w:cs="Palatino Linotype"/>
          <w:color w:val="000000"/>
        </w:rPr>
        <w:t xml:space="preserve"> De conformidad con el artículo 198 de la Ley de Transparencia y Acceso a la Información Pública del Estado de México y Municipios, de considerarlo procedente, el </w:t>
      </w:r>
      <w:r w:rsidRPr="009A27DF">
        <w:rPr>
          <w:rFonts w:ascii="Palatino Linotype" w:eastAsia="Palatino Linotype" w:hAnsi="Palatino Linotype" w:cs="Palatino Linotype"/>
          <w:b/>
          <w:color w:val="000000"/>
        </w:rPr>
        <w:t>SUJETO OBLIGADO</w:t>
      </w:r>
      <w:r w:rsidRPr="009A27DF">
        <w:rPr>
          <w:rFonts w:ascii="Palatino Linotype" w:eastAsia="Palatino Linotype" w:hAnsi="Palatino Linotype" w:cs="Palatino Linotype"/>
          <w:color w:val="000000"/>
        </w:rPr>
        <w:t xml:space="preserve"> podrá, de manera fundada y motivada, solicitar una ampliación de plazo para el cumplimiento de la presente resolución.</w:t>
      </w:r>
    </w:p>
    <w:p w:rsidR="00BA1156" w:rsidRPr="009A27DF" w:rsidRDefault="00BA1156" w:rsidP="00BA1156">
      <w:pPr>
        <w:spacing w:line="360" w:lineRule="auto"/>
        <w:rPr>
          <w:rFonts w:ascii="Palatino Linotype" w:eastAsia="Palatino Linotype" w:hAnsi="Palatino Linotype" w:cs="Palatino Linotype"/>
        </w:rPr>
      </w:pPr>
    </w:p>
    <w:p w:rsidR="00E412CC" w:rsidRPr="009A27DF" w:rsidRDefault="00BA1156" w:rsidP="00BA1156">
      <w:pPr>
        <w:shd w:val="clear" w:color="auto" w:fill="FFFFFF"/>
        <w:spacing w:line="360" w:lineRule="auto"/>
        <w:jc w:val="both"/>
        <w:rPr>
          <w:rFonts w:ascii="Palatino Linotype" w:eastAsia="Palatino Linotype" w:hAnsi="Palatino Linotype" w:cs="Palatino Linotype"/>
        </w:rPr>
      </w:pPr>
      <w:r w:rsidRPr="009A27DF">
        <w:rPr>
          <w:rFonts w:ascii="Palatino Linotype" w:eastAsia="Palatino Linotype" w:hAnsi="Palatino Linotype" w:cs="Palatino Linotype"/>
          <w:b/>
        </w:rPr>
        <w:t xml:space="preserve">QUINTO. </w:t>
      </w:r>
      <w:r w:rsidRPr="009A27DF">
        <w:rPr>
          <w:rFonts w:ascii="Palatino Linotype" w:eastAsia="Palatino Linotype" w:hAnsi="Palatino Linotype" w:cs="Palatino Linotype"/>
          <w:b/>
          <w:color w:val="222222"/>
        </w:rPr>
        <w:t xml:space="preserve">Notifíquese </w:t>
      </w:r>
      <w:r w:rsidRPr="009A27DF">
        <w:rPr>
          <w:rFonts w:ascii="Palatino Linotype" w:eastAsia="Palatino Linotype" w:hAnsi="Palatino Linotype" w:cs="Palatino Linotype"/>
          <w:color w:val="222222"/>
        </w:rPr>
        <w:t xml:space="preserve">al </w:t>
      </w:r>
      <w:r w:rsidRPr="009A27DF">
        <w:rPr>
          <w:rFonts w:ascii="Palatino Linotype" w:eastAsia="Palatino Linotype" w:hAnsi="Palatino Linotype" w:cs="Palatino Linotype"/>
          <w:b/>
          <w:color w:val="222222"/>
        </w:rPr>
        <w:t>RECURRENTE</w:t>
      </w:r>
      <w:r w:rsidRPr="009A27DF">
        <w:rPr>
          <w:rFonts w:ascii="Palatino Linotype" w:eastAsia="Palatino Linotype" w:hAnsi="Palatino Linotype" w:cs="Palatino Linotype"/>
          <w:color w:val="222222"/>
        </w:rPr>
        <w:t xml:space="preserve"> </w:t>
      </w:r>
      <w:r w:rsidRPr="009A27DF">
        <w:rPr>
          <w:rFonts w:ascii="Palatino Linotype" w:eastAsia="Palatino Linotype" w:hAnsi="Palatino Linotype" w:cs="Palatino Linotype"/>
        </w:rPr>
        <w:t>la presente resolución vía Sistema de Acceso a la Información Mexiquense (SAIMEX).</w:t>
      </w:r>
    </w:p>
    <w:p w:rsidR="00BA1156" w:rsidRPr="009A27DF" w:rsidRDefault="00BA1156" w:rsidP="00BA1156">
      <w:pPr>
        <w:shd w:val="clear" w:color="auto" w:fill="FFFFFF"/>
        <w:spacing w:line="360" w:lineRule="auto"/>
        <w:jc w:val="both"/>
        <w:rPr>
          <w:rFonts w:ascii="Palatino Linotype" w:eastAsia="Palatino Linotype" w:hAnsi="Palatino Linotype" w:cs="Palatino Linotype"/>
        </w:rPr>
      </w:pPr>
    </w:p>
    <w:p w:rsidR="00BA1156" w:rsidRPr="009A27DF" w:rsidRDefault="00BA1156" w:rsidP="00BA1156">
      <w:pPr>
        <w:spacing w:line="360" w:lineRule="auto"/>
        <w:jc w:val="both"/>
        <w:rPr>
          <w:rFonts w:ascii="Palatino Linotype" w:eastAsia="Palatino Linotype" w:hAnsi="Palatino Linotype" w:cs="Palatino Linotype"/>
        </w:rPr>
      </w:pPr>
      <w:r w:rsidRPr="009A27DF">
        <w:rPr>
          <w:rFonts w:ascii="Palatino Linotype" w:eastAsia="Palatino Linotype" w:hAnsi="Palatino Linotype" w:cs="Palatino Linotype"/>
          <w:b/>
        </w:rPr>
        <w:t>SEXTO.</w:t>
      </w:r>
      <w:r w:rsidRPr="009A27DF">
        <w:rPr>
          <w:rFonts w:ascii="Palatino Linotype" w:eastAsia="Palatino Linotype" w:hAnsi="Palatino Linotype" w:cs="Palatino Linotype"/>
        </w:rPr>
        <w:t xml:space="preserve"> Se hace del conocimiento del </w:t>
      </w:r>
      <w:r w:rsidRPr="009A27DF">
        <w:rPr>
          <w:rFonts w:ascii="Palatino Linotype" w:eastAsia="Palatino Linotype" w:hAnsi="Palatino Linotype" w:cs="Palatino Linotype"/>
          <w:b/>
        </w:rPr>
        <w:t>RECURRENTE</w:t>
      </w:r>
      <w:r w:rsidRPr="009A27DF">
        <w:rPr>
          <w:rFonts w:ascii="Palatino Linotype" w:eastAsia="Palatino Linotype" w:hAnsi="Palatino Linotype" w:cs="Palatino Linotype"/>
          <w:color w:val="222222"/>
        </w:rPr>
        <w:t xml:space="preserve"> </w:t>
      </w:r>
      <w:r w:rsidRPr="009A27DF">
        <w:rPr>
          <w:rFonts w:ascii="Palatino Linotype" w:eastAsia="Palatino Linotype" w:hAnsi="Palatino Linotype" w:cs="Palatino Linotype"/>
        </w:rPr>
        <w:t>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BA1156" w:rsidRPr="009A27DF" w:rsidRDefault="00BA1156" w:rsidP="00BA1156">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8F4B60" w:rsidRPr="009A27DF" w:rsidRDefault="008F4B60" w:rsidP="008F4B60">
      <w:pPr>
        <w:spacing w:before="240" w:after="240" w:line="360" w:lineRule="auto"/>
        <w:ind w:firstLine="1"/>
        <w:jc w:val="both"/>
        <w:rPr>
          <w:rFonts w:ascii="Palatino Linotype" w:hAnsi="Palatino Linotype"/>
        </w:rPr>
      </w:pPr>
      <w:bookmarkStart w:id="11" w:name="_Hlk99014733"/>
      <w:r w:rsidRPr="009A27DF">
        <w:rPr>
          <w:rFonts w:ascii="Palatino Linotype" w:hAnsi="Palatino Linotype" w:cs="Palatino Linotype"/>
        </w:rPr>
        <w:lastRenderedPageBreak/>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SEXTA SESIÓN ORDINARIA, CELEBRADA EL DIECIOCHO (18) DE FEBRERO DE DOS MIL VEINTISÉIS, ANTE EL SECRETARIO TÉCNICO DEL PLENO </w:t>
      </w:r>
      <w:r w:rsidRPr="009A27DF">
        <w:rPr>
          <w:rFonts w:ascii="Palatino Linotype" w:hAnsi="Palatino Linotype" w:cs="Palatino Linotype"/>
          <w:color w:val="000000" w:themeColor="text1"/>
        </w:rPr>
        <w:t>ALEXIS TAPIA RAMÍREZ.</w:t>
      </w:r>
    </w:p>
    <w:bookmarkEnd w:id="11"/>
    <w:p w:rsidR="00BA1156" w:rsidRPr="009A27DF" w:rsidRDefault="00BA1156" w:rsidP="00BA1156">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rPr>
      </w:pPr>
    </w:p>
    <w:p w:rsidR="00BA1156" w:rsidRPr="009A27DF" w:rsidRDefault="00BA1156" w:rsidP="00BA1156">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BA1156" w:rsidRPr="009A27DF" w:rsidRDefault="00BA1156" w:rsidP="00BA1156">
      <w:pPr>
        <w:pBdr>
          <w:top w:val="nil"/>
          <w:left w:val="nil"/>
          <w:bottom w:val="nil"/>
          <w:right w:val="nil"/>
          <w:between w:val="nil"/>
        </w:pBdr>
        <w:ind w:left="720"/>
        <w:rPr>
          <w:rFonts w:ascii="Palatino Linotype" w:eastAsia="Palatino Linotype" w:hAnsi="Palatino Linotype" w:cs="Palatino Linotype"/>
          <w:color w:val="000000"/>
        </w:rPr>
      </w:pPr>
    </w:p>
    <w:p w:rsidR="00BA1156" w:rsidRDefault="00BA1156" w:rsidP="00BA1156">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9A27DF" w:rsidRDefault="009A27DF" w:rsidP="00BA1156">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9A27DF" w:rsidRDefault="009A27DF" w:rsidP="00BA1156">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9A27DF" w:rsidRDefault="009A27DF" w:rsidP="00BA1156">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9A27DF" w:rsidRDefault="009A27DF" w:rsidP="00BA1156">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9A27DF" w:rsidRDefault="009A27DF" w:rsidP="00BA1156">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9A27DF" w:rsidRDefault="009A27DF" w:rsidP="00BA1156">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9A27DF" w:rsidRDefault="009A27DF" w:rsidP="00BA1156">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9A27DF" w:rsidRDefault="009A27DF" w:rsidP="00BA1156">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9A27DF" w:rsidRDefault="009A27DF" w:rsidP="00BA1156">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9A27DF" w:rsidRDefault="009A27DF" w:rsidP="00BA1156">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9A27DF" w:rsidRDefault="009A27DF" w:rsidP="00BA1156">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9A27DF" w:rsidRPr="009A27DF" w:rsidRDefault="009A27DF" w:rsidP="00BA1156">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BA1156" w:rsidRPr="009A27DF" w:rsidRDefault="00BA1156" w:rsidP="00BA1156"/>
    <w:p w:rsidR="00BA1156" w:rsidRPr="009A27DF" w:rsidRDefault="00BA1156" w:rsidP="00BA1156"/>
    <w:p w:rsidR="00BA1156" w:rsidRPr="009A27DF" w:rsidRDefault="00BA1156" w:rsidP="00BA1156"/>
    <w:p w:rsidR="00BA1156" w:rsidRPr="009A27DF" w:rsidRDefault="00BA1156" w:rsidP="00BA1156"/>
    <w:p w:rsidR="00053EB3" w:rsidRPr="009A27DF" w:rsidRDefault="00053EB3"/>
    <w:sectPr w:rsidR="00053EB3" w:rsidRPr="009A27DF" w:rsidSect="009A27DF">
      <w:headerReference w:type="even" r:id="rId7"/>
      <w:headerReference w:type="default" r:id="rId8"/>
      <w:footerReference w:type="default" r:id="rId9"/>
      <w:headerReference w:type="first" r:id="rId10"/>
      <w:footerReference w:type="first" r:id="rId11"/>
      <w:pgSz w:w="12240" w:h="15840"/>
      <w:pgMar w:top="80" w:right="900"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0182" w:rsidRDefault="009C0182" w:rsidP="00BA1156">
      <w:r>
        <w:separator/>
      </w:r>
    </w:p>
  </w:endnote>
  <w:endnote w:type="continuationSeparator" w:id="0">
    <w:p w:rsidR="009C0182" w:rsidRDefault="009C0182" w:rsidP="00BA1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Bookman Old Style,Bold">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4DD9" w:rsidRPr="009A27DF" w:rsidRDefault="00534DD9">
    <w:pPr>
      <w:pBdr>
        <w:top w:val="nil"/>
        <w:left w:val="nil"/>
        <w:bottom w:val="nil"/>
        <w:right w:val="nil"/>
        <w:between w:val="nil"/>
      </w:pBdr>
      <w:tabs>
        <w:tab w:val="center" w:pos="4419"/>
        <w:tab w:val="right" w:pos="8838"/>
      </w:tabs>
      <w:jc w:val="right"/>
      <w:rPr>
        <w:rFonts w:ascii="Palatino Linotype" w:hAnsi="Palatino Linotype"/>
        <w:b/>
        <w:color w:val="000000"/>
        <w:sz w:val="22"/>
      </w:rPr>
    </w:pPr>
    <w:r w:rsidRPr="009A27DF">
      <w:rPr>
        <w:rFonts w:ascii="Palatino Linotype" w:hAnsi="Palatino Linotype"/>
        <w:b/>
        <w:color w:val="000000"/>
        <w:sz w:val="22"/>
      </w:rPr>
      <w:t xml:space="preserve">Página </w:t>
    </w:r>
    <w:r w:rsidRPr="009A27DF">
      <w:rPr>
        <w:rFonts w:ascii="Palatino Linotype" w:hAnsi="Palatino Linotype"/>
        <w:b/>
        <w:color w:val="000000"/>
        <w:sz w:val="22"/>
      </w:rPr>
      <w:fldChar w:fldCharType="begin"/>
    </w:r>
    <w:r w:rsidRPr="009A27DF">
      <w:rPr>
        <w:rFonts w:ascii="Palatino Linotype" w:hAnsi="Palatino Linotype"/>
        <w:b/>
        <w:color w:val="000000"/>
        <w:sz w:val="22"/>
      </w:rPr>
      <w:instrText>PAGE</w:instrText>
    </w:r>
    <w:r w:rsidRPr="009A27DF">
      <w:rPr>
        <w:rFonts w:ascii="Palatino Linotype" w:hAnsi="Palatino Linotype"/>
        <w:b/>
        <w:color w:val="000000"/>
        <w:sz w:val="22"/>
      </w:rPr>
      <w:fldChar w:fldCharType="separate"/>
    </w:r>
    <w:r w:rsidR="008D146B">
      <w:rPr>
        <w:rFonts w:ascii="Palatino Linotype" w:hAnsi="Palatino Linotype"/>
        <w:b/>
        <w:noProof/>
        <w:color w:val="000000"/>
        <w:sz w:val="22"/>
      </w:rPr>
      <w:t>21</w:t>
    </w:r>
    <w:r w:rsidRPr="009A27DF">
      <w:rPr>
        <w:rFonts w:ascii="Palatino Linotype" w:hAnsi="Palatino Linotype"/>
        <w:b/>
        <w:color w:val="000000"/>
        <w:sz w:val="22"/>
      </w:rPr>
      <w:fldChar w:fldCharType="end"/>
    </w:r>
    <w:r w:rsidRPr="009A27DF">
      <w:rPr>
        <w:rFonts w:ascii="Palatino Linotype" w:hAnsi="Palatino Linotype"/>
        <w:b/>
        <w:color w:val="000000"/>
        <w:sz w:val="22"/>
      </w:rPr>
      <w:t xml:space="preserve"> de </w:t>
    </w:r>
    <w:r w:rsidRPr="009A27DF">
      <w:rPr>
        <w:rFonts w:ascii="Palatino Linotype" w:hAnsi="Palatino Linotype"/>
        <w:b/>
        <w:color w:val="000000"/>
        <w:sz w:val="22"/>
      </w:rPr>
      <w:fldChar w:fldCharType="begin"/>
    </w:r>
    <w:r w:rsidRPr="009A27DF">
      <w:rPr>
        <w:rFonts w:ascii="Palatino Linotype" w:hAnsi="Palatino Linotype"/>
        <w:b/>
        <w:color w:val="000000"/>
        <w:sz w:val="22"/>
      </w:rPr>
      <w:instrText>NUMPAGES</w:instrText>
    </w:r>
    <w:r w:rsidRPr="009A27DF">
      <w:rPr>
        <w:rFonts w:ascii="Palatino Linotype" w:hAnsi="Palatino Linotype"/>
        <w:b/>
        <w:color w:val="000000"/>
        <w:sz w:val="22"/>
      </w:rPr>
      <w:fldChar w:fldCharType="separate"/>
    </w:r>
    <w:r w:rsidR="008D146B">
      <w:rPr>
        <w:rFonts w:ascii="Palatino Linotype" w:hAnsi="Palatino Linotype"/>
        <w:b/>
        <w:noProof/>
        <w:color w:val="000000"/>
        <w:sz w:val="22"/>
      </w:rPr>
      <w:t>23</w:t>
    </w:r>
    <w:r w:rsidRPr="009A27DF">
      <w:rPr>
        <w:rFonts w:ascii="Palatino Linotype" w:hAnsi="Palatino Linotype"/>
        <w:b/>
        <w:color w:val="000000"/>
        <w:sz w:val="22"/>
      </w:rPr>
      <w:fldChar w:fldCharType="end"/>
    </w:r>
  </w:p>
  <w:p w:rsidR="00534DD9" w:rsidRDefault="00534DD9">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4DD9" w:rsidRPr="009A27DF" w:rsidRDefault="00534DD9">
    <w:pPr>
      <w:pBdr>
        <w:top w:val="nil"/>
        <w:left w:val="nil"/>
        <w:bottom w:val="nil"/>
        <w:right w:val="nil"/>
        <w:between w:val="nil"/>
      </w:pBdr>
      <w:tabs>
        <w:tab w:val="center" w:pos="4419"/>
        <w:tab w:val="right" w:pos="8838"/>
      </w:tabs>
      <w:jc w:val="right"/>
      <w:rPr>
        <w:rFonts w:ascii="Palatino Linotype" w:hAnsi="Palatino Linotype"/>
        <w:b/>
        <w:color w:val="000000"/>
        <w:sz w:val="22"/>
      </w:rPr>
    </w:pPr>
    <w:r w:rsidRPr="009A27DF">
      <w:rPr>
        <w:rFonts w:ascii="Palatino Linotype" w:hAnsi="Palatino Linotype"/>
        <w:b/>
        <w:color w:val="000000"/>
        <w:sz w:val="22"/>
      </w:rPr>
      <w:t xml:space="preserve">Página </w:t>
    </w:r>
    <w:r w:rsidRPr="009A27DF">
      <w:rPr>
        <w:rFonts w:ascii="Palatino Linotype" w:hAnsi="Palatino Linotype"/>
        <w:b/>
        <w:color w:val="000000"/>
        <w:sz w:val="22"/>
      </w:rPr>
      <w:fldChar w:fldCharType="begin"/>
    </w:r>
    <w:r w:rsidRPr="009A27DF">
      <w:rPr>
        <w:rFonts w:ascii="Palatino Linotype" w:hAnsi="Palatino Linotype"/>
        <w:b/>
        <w:color w:val="000000"/>
        <w:sz w:val="22"/>
      </w:rPr>
      <w:instrText>PAGE</w:instrText>
    </w:r>
    <w:r w:rsidRPr="009A27DF">
      <w:rPr>
        <w:rFonts w:ascii="Palatino Linotype" w:hAnsi="Palatino Linotype"/>
        <w:b/>
        <w:color w:val="000000"/>
        <w:sz w:val="22"/>
      </w:rPr>
      <w:fldChar w:fldCharType="separate"/>
    </w:r>
    <w:r w:rsidR="008D146B">
      <w:rPr>
        <w:rFonts w:ascii="Palatino Linotype" w:hAnsi="Palatino Linotype"/>
        <w:b/>
        <w:noProof/>
        <w:color w:val="000000"/>
        <w:sz w:val="22"/>
      </w:rPr>
      <w:t>1</w:t>
    </w:r>
    <w:r w:rsidRPr="009A27DF">
      <w:rPr>
        <w:rFonts w:ascii="Palatino Linotype" w:hAnsi="Palatino Linotype"/>
        <w:b/>
        <w:color w:val="000000"/>
        <w:sz w:val="22"/>
      </w:rPr>
      <w:fldChar w:fldCharType="end"/>
    </w:r>
    <w:r w:rsidRPr="009A27DF">
      <w:rPr>
        <w:rFonts w:ascii="Palatino Linotype" w:hAnsi="Palatino Linotype"/>
        <w:b/>
        <w:color w:val="000000"/>
        <w:sz w:val="22"/>
      </w:rPr>
      <w:t xml:space="preserve"> de </w:t>
    </w:r>
    <w:r w:rsidRPr="009A27DF">
      <w:rPr>
        <w:rFonts w:ascii="Palatino Linotype" w:hAnsi="Palatino Linotype"/>
        <w:b/>
        <w:color w:val="000000"/>
        <w:sz w:val="22"/>
      </w:rPr>
      <w:fldChar w:fldCharType="begin"/>
    </w:r>
    <w:r w:rsidRPr="009A27DF">
      <w:rPr>
        <w:rFonts w:ascii="Palatino Linotype" w:hAnsi="Palatino Linotype"/>
        <w:b/>
        <w:color w:val="000000"/>
        <w:sz w:val="22"/>
      </w:rPr>
      <w:instrText>NUMPAGES</w:instrText>
    </w:r>
    <w:r w:rsidRPr="009A27DF">
      <w:rPr>
        <w:rFonts w:ascii="Palatino Linotype" w:hAnsi="Palatino Linotype"/>
        <w:b/>
        <w:color w:val="000000"/>
        <w:sz w:val="22"/>
      </w:rPr>
      <w:fldChar w:fldCharType="separate"/>
    </w:r>
    <w:r w:rsidR="008D146B">
      <w:rPr>
        <w:rFonts w:ascii="Palatino Linotype" w:hAnsi="Palatino Linotype"/>
        <w:b/>
        <w:noProof/>
        <w:color w:val="000000"/>
        <w:sz w:val="22"/>
      </w:rPr>
      <w:t>23</w:t>
    </w:r>
    <w:r w:rsidRPr="009A27DF">
      <w:rPr>
        <w:rFonts w:ascii="Palatino Linotype" w:hAnsi="Palatino Linotype"/>
        <w:b/>
        <w:color w:val="000000"/>
        <w:sz w:val="22"/>
      </w:rPr>
      <w:fldChar w:fldCharType="end"/>
    </w:r>
  </w:p>
  <w:p w:rsidR="00534DD9" w:rsidRDefault="00534DD9">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0182" w:rsidRDefault="009C0182" w:rsidP="00BA1156">
      <w:r>
        <w:separator/>
      </w:r>
    </w:p>
  </w:footnote>
  <w:footnote w:type="continuationSeparator" w:id="0">
    <w:p w:rsidR="009C0182" w:rsidRDefault="009C0182" w:rsidP="00BA1156">
      <w:r>
        <w:continuationSeparator/>
      </w:r>
    </w:p>
  </w:footnote>
  <w:footnote w:id="1">
    <w:p w:rsidR="00534DD9" w:rsidRDefault="00534DD9" w:rsidP="000F6E54">
      <w:pPr>
        <w:pStyle w:val="Textonotapie"/>
      </w:pPr>
      <w:r>
        <w:rPr>
          <w:rStyle w:val="Refdenotaalpie"/>
        </w:rPr>
        <w:footnoteRef/>
      </w:r>
      <w:r>
        <w:t xml:space="preserve"> Artículo 150. Ley de Transparencia y Acceso a la Información Pública del Estado de México y Municipios.</w:t>
      </w:r>
    </w:p>
    <w:p w:rsidR="00534DD9" w:rsidRDefault="00534DD9" w:rsidP="000F6E54">
      <w:pPr>
        <w:pStyle w:val="Textonotapie"/>
      </w:pPr>
      <w:r>
        <w:t>Artículo 151. Ibídem.</w:t>
      </w:r>
    </w:p>
  </w:footnote>
  <w:footnote w:id="2">
    <w:p w:rsidR="00534DD9" w:rsidRDefault="00534DD9" w:rsidP="000F6E54">
      <w:pPr>
        <w:pStyle w:val="Textonotapie"/>
      </w:pPr>
      <w:r>
        <w:rPr>
          <w:rStyle w:val="Refdenotaalpie"/>
        </w:rPr>
        <w:footnoteRef/>
      </w:r>
      <w:r>
        <w:t xml:space="preserve"> Fracción IV. Artículo 53. Ibídem.</w:t>
      </w:r>
    </w:p>
  </w:footnote>
  <w:footnote w:id="3">
    <w:p w:rsidR="00534DD9" w:rsidRDefault="00534DD9" w:rsidP="00031ED9">
      <w:pPr>
        <w:pStyle w:val="Textonotapie"/>
      </w:pPr>
      <w:r>
        <w:rPr>
          <w:rStyle w:val="Refdenotaalpie"/>
        </w:rPr>
        <w:footnoteRef/>
      </w:r>
      <w:r>
        <w:t xml:space="preserve"> Ley de Transparencia y Acceso a la Información Pública del Estado de México y Municipios. Artículo 9. …</w:t>
      </w:r>
    </w:p>
    <w:p w:rsidR="00534DD9" w:rsidRDefault="00534DD9" w:rsidP="00031ED9">
      <w:pPr>
        <w:pStyle w:val="Textonotapie"/>
      </w:pPr>
      <w:r>
        <w:t>II. Eficacia: Obligación del Instituto para tutelar, de manera efectiva, el derecho de acceso a la información;</w:t>
      </w:r>
    </w:p>
    <w:p w:rsidR="00534DD9" w:rsidRDefault="00534DD9" w:rsidP="00031ED9">
      <w:pPr>
        <w:pStyle w:val="Textonotapie"/>
      </w:pP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4DD9" w:rsidRDefault="009C0182">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589.8pt;height:768pt;z-index:-251659776;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206" w:type="dxa"/>
      <w:tblLayout w:type="fixed"/>
      <w:tblLook w:val="0400" w:firstRow="0" w:lastRow="0" w:firstColumn="0" w:lastColumn="0" w:noHBand="0" w:noVBand="1"/>
    </w:tblPr>
    <w:tblGrid>
      <w:gridCol w:w="2268"/>
      <w:gridCol w:w="7938"/>
    </w:tblGrid>
    <w:tr w:rsidR="00534DD9" w:rsidTr="009A27DF">
      <w:trPr>
        <w:trHeight w:val="1435"/>
      </w:trPr>
      <w:tc>
        <w:tcPr>
          <w:tcW w:w="2268" w:type="dxa"/>
          <w:shd w:val="clear" w:color="auto" w:fill="auto"/>
        </w:tcPr>
        <w:p w:rsidR="00534DD9" w:rsidRDefault="00534DD9">
          <w:pPr>
            <w:tabs>
              <w:tab w:val="right" w:pos="4273"/>
            </w:tabs>
            <w:rPr>
              <w:rFonts w:ascii="Garamond" w:eastAsia="Garamond" w:hAnsi="Garamond" w:cs="Garamond"/>
              <w:sz w:val="16"/>
              <w:szCs w:val="16"/>
            </w:rPr>
          </w:pPr>
        </w:p>
      </w:tc>
      <w:tc>
        <w:tcPr>
          <w:tcW w:w="7938" w:type="dxa"/>
          <w:shd w:val="clear" w:color="auto" w:fill="auto"/>
        </w:tcPr>
        <w:tbl>
          <w:tblPr>
            <w:tblW w:w="6946" w:type="dxa"/>
            <w:tblInd w:w="1168" w:type="dxa"/>
            <w:tblLayout w:type="fixed"/>
            <w:tblLook w:val="0400" w:firstRow="0" w:lastRow="0" w:firstColumn="0" w:lastColumn="0" w:noHBand="0" w:noVBand="1"/>
          </w:tblPr>
          <w:tblGrid>
            <w:gridCol w:w="2835"/>
            <w:gridCol w:w="4111"/>
          </w:tblGrid>
          <w:tr w:rsidR="00534DD9" w:rsidTr="009A27DF">
            <w:trPr>
              <w:trHeight w:val="150"/>
            </w:trPr>
            <w:tc>
              <w:tcPr>
                <w:tcW w:w="2835" w:type="dxa"/>
                <w:shd w:val="clear" w:color="auto" w:fill="auto"/>
              </w:tcPr>
              <w:p w:rsidR="00534DD9" w:rsidRPr="009A27DF" w:rsidRDefault="00534DD9">
                <w:pPr>
                  <w:tabs>
                    <w:tab w:val="right" w:pos="8838"/>
                  </w:tabs>
                  <w:ind w:right="-105"/>
                  <w:rPr>
                    <w:rFonts w:ascii="Palatino Linotype" w:eastAsia="Palatino Linotype" w:hAnsi="Palatino Linotype" w:cs="Palatino Linotype"/>
                    <w:b/>
                    <w:szCs w:val="22"/>
                  </w:rPr>
                </w:pPr>
                <w:r w:rsidRPr="009A27DF">
                  <w:rPr>
                    <w:rFonts w:ascii="Palatino Linotype" w:eastAsia="Palatino Linotype" w:hAnsi="Palatino Linotype" w:cs="Palatino Linotype"/>
                    <w:b/>
                    <w:szCs w:val="22"/>
                  </w:rPr>
                  <w:t>Recurso de Revisión:</w:t>
                </w:r>
              </w:p>
            </w:tc>
            <w:tc>
              <w:tcPr>
                <w:tcW w:w="4111" w:type="dxa"/>
                <w:shd w:val="clear" w:color="auto" w:fill="auto"/>
              </w:tcPr>
              <w:p w:rsidR="00534DD9" w:rsidRPr="009A27DF" w:rsidRDefault="00534DD9">
                <w:pPr>
                  <w:tabs>
                    <w:tab w:val="right" w:pos="8838"/>
                  </w:tabs>
                  <w:ind w:left="-108" w:right="-1090"/>
                  <w:jc w:val="both"/>
                  <w:rPr>
                    <w:rFonts w:ascii="Palatino Linotype" w:eastAsia="Palatino Linotype" w:hAnsi="Palatino Linotype" w:cs="Palatino Linotype"/>
                    <w:szCs w:val="22"/>
                  </w:rPr>
                </w:pPr>
                <w:r w:rsidRPr="009A27DF">
                  <w:rPr>
                    <w:rFonts w:ascii="Palatino Linotype" w:eastAsia="Palatino Linotype" w:hAnsi="Palatino Linotype" w:cs="Palatino Linotype"/>
                    <w:szCs w:val="22"/>
                  </w:rPr>
                  <w:t>08358/INFOEM/IP/RR/2025</w:t>
                </w:r>
                <w:r w:rsidRPr="009A27DF">
                  <w:rPr>
                    <w:rFonts w:ascii="Palatino Linotype" w:eastAsia="Palatino Linotype" w:hAnsi="Palatino Linotype" w:cs="Palatino Linotype"/>
                    <w:b/>
                    <w:szCs w:val="22"/>
                  </w:rPr>
                  <w:t xml:space="preserve"> </w:t>
                </w:r>
              </w:p>
            </w:tc>
          </w:tr>
          <w:tr w:rsidR="00534DD9" w:rsidTr="009A27DF">
            <w:trPr>
              <w:trHeight w:val="295"/>
            </w:trPr>
            <w:tc>
              <w:tcPr>
                <w:tcW w:w="2835" w:type="dxa"/>
                <w:shd w:val="clear" w:color="auto" w:fill="auto"/>
              </w:tcPr>
              <w:p w:rsidR="00534DD9" w:rsidRPr="009A27DF" w:rsidRDefault="00534DD9">
                <w:pPr>
                  <w:tabs>
                    <w:tab w:val="right" w:pos="8838"/>
                  </w:tabs>
                  <w:ind w:right="-105"/>
                  <w:rPr>
                    <w:rFonts w:ascii="Palatino Linotype" w:eastAsia="Palatino Linotype" w:hAnsi="Palatino Linotype" w:cs="Palatino Linotype"/>
                    <w:b/>
                    <w:szCs w:val="22"/>
                  </w:rPr>
                </w:pPr>
                <w:r w:rsidRPr="009A27DF">
                  <w:rPr>
                    <w:rFonts w:ascii="Palatino Linotype" w:eastAsia="Palatino Linotype" w:hAnsi="Palatino Linotype" w:cs="Palatino Linotype"/>
                    <w:b/>
                    <w:szCs w:val="22"/>
                  </w:rPr>
                  <w:t>Sujeto Obligado:</w:t>
                </w:r>
              </w:p>
            </w:tc>
            <w:tc>
              <w:tcPr>
                <w:tcW w:w="4111" w:type="dxa"/>
                <w:shd w:val="clear" w:color="auto" w:fill="auto"/>
              </w:tcPr>
              <w:p w:rsidR="00534DD9" w:rsidRPr="009A27DF" w:rsidRDefault="00534DD9">
                <w:pPr>
                  <w:tabs>
                    <w:tab w:val="left" w:pos="2834"/>
                    <w:tab w:val="right" w:pos="8838"/>
                  </w:tabs>
                  <w:ind w:left="-108" w:right="-1090"/>
                  <w:jc w:val="both"/>
                  <w:rPr>
                    <w:rFonts w:ascii="Palatino Linotype" w:eastAsia="Palatino Linotype" w:hAnsi="Palatino Linotype" w:cs="Palatino Linotype"/>
                    <w:szCs w:val="22"/>
                  </w:rPr>
                </w:pPr>
                <w:r w:rsidRPr="009A27DF">
                  <w:rPr>
                    <w:rFonts w:ascii="Palatino Linotype" w:eastAsia="Palatino Linotype" w:hAnsi="Palatino Linotype" w:cs="Palatino Linotype"/>
                    <w:bCs/>
                    <w:szCs w:val="22"/>
                  </w:rPr>
                  <w:t>Ayuntamiento de Chicoloapan</w:t>
                </w:r>
              </w:p>
            </w:tc>
          </w:tr>
          <w:tr w:rsidR="00534DD9" w:rsidTr="009A27DF">
            <w:trPr>
              <w:trHeight w:val="295"/>
            </w:trPr>
            <w:tc>
              <w:tcPr>
                <w:tcW w:w="2835" w:type="dxa"/>
                <w:shd w:val="clear" w:color="auto" w:fill="auto"/>
              </w:tcPr>
              <w:p w:rsidR="00534DD9" w:rsidRPr="009A27DF" w:rsidRDefault="00534DD9">
                <w:pPr>
                  <w:tabs>
                    <w:tab w:val="right" w:pos="8838"/>
                  </w:tabs>
                  <w:ind w:right="-105"/>
                  <w:rPr>
                    <w:rFonts w:ascii="Palatino Linotype" w:eastAsia="Palatino Linotype" w:hAnsi="Palatino Linotype" w:cs="Palatino Linotype"/>
                    <w:b/>
                    <w:szCs w:val="22"/>
                  </w:rPr>
                </w:pPr>
                <w:r w:rsidRPr="009A27DF">
                  <w:rPr>
                    <w:rFonts w:ascii="Palatino Linotype" w:eastAsia="Palatino Linotype" w:hAnsi="Palatino Linotype" w:cs="Palatino Linotype"/>
                    <w:b/>
                    <w:szCs w:val="22"/>
                  </w:rPr>
                  <w:t>Comisionado ponente:</w:t>
                </w:r>
              </w:p>
            </w:tc>
            <w:tc>
              <w:tcPr>
                <w:tcW w:w="4111" w:type="dxa"/>
                <w:shd w:val="clear" w:color="auto" w:fill="auto"/>
              </w:tcPr>
              <w:p w:rsidR="00534DD9" w:rsidRPr="009A27DF" w:rsidRDefault="00534DD9">
                <w:pPr>
                  <w:tabs>
                    <w:tab w:val="right" w:pos="8838"/>
                  </w:tabs>
                  <w:ind w:left="-108" w:right="-1090"/>
                  <w:jc w:val="both"/>
                  <w:rPr>
                    <w:rFonts w:ascii="Palatino Linotype" w:eastAsia="Palatino Linotype" w:hAnsi="Palatino Linotype" w:cs="Palatino Linotype"/>
                    <w:szCs w:val="22"/>
                  </w:rPr>
                </w:pPr>
                <w:r w:rsidRPr="009A27DF">
                  <w:rPr>
                    <w:rFonts w:ascii="Palatino Linotype" w:eastAsia="Palatino Linotype" w:hAnsi="Palatino Linotype" w:cs="Palatino Linotype"/>
                    <w:szCs w:val="22"/>
                  </w:rPr>
                  <w:t>María del Rosario Mejía Ayala</w:t>
                </w:r>
              </w:p>
              <w:p w:rsidR="00534DD9" w:rsidRPr="009A27DF" w:rsidRDefault="00534DD9">
                <w:pPr>
                  <w:tabs>
                    <w:tab w:val="right" w:pos="8838"/>
                  </w:tabs>
                  <w:ind w:left="-108" w:right="-1090"/>
                  <w:jc w:val="both"/>
                  <w:rPr>
                    <w:rFonts w:ascii="Palatino Linotype" w:eastAsia="Palatino Linotype" w:hAnsi="Palatino Linotype" w:cs="Palatino Linotype"/>
                    <w:b/>
                    <w:szCs w:val="22"/>
                  </w:rPr>
                </w:pPr>
              </w:p>
            </w:tc>
          </w:tr>
        </w:tbl>
        <w:p w:rsidR="00534DD9" w:rsidRDefault="00534DD9">
          <w:pPr>
            <w:tabs>
              <w:tab w:val="right" w:pos="8838"/>
            </w:tabs>
            <w:ind w:left="-28"/>
            <w:jc w:val="both"/>
            <w:rPr>
              <w:rFonts w:ascii="Arial" w:eastAsia="Arial" w:hAnsi="Arial" w:cs="Arial"/>
              <w:b/>
              <w:sz w:val="22"/>
              <w:szCs w:val="22"/>
            </w:rPr>
          </w:pPr>
        </w:p>
      </w:tc>
    </w:tr>
  </w:tbl>
  <w:p w:rsidR="00534DD9" w:rsidRDefault="009C0182">
    <w:pPr>
      <w:pBdr>
        <w:top w:val="nil"/>
        <w:left w:val="nil"/>
        <w:bottom w:val="nil"/>
        <w:right w:val="nil"/>
        <w:between w:val="nil"/>
      </w:pBdr>
      <w:tabs>
        <w:tab w:val="center" w:pos="4419"/>
        <w:tab w:val="right" w:pos="8838"/>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68.8pt;margin-top:-120.5pt;width:589.8pt;height:768pt;z-index:-251658752;mso-position-horizontal:absolute;mso-position-horizontal-relative:margin;mso-position-vertical:absolute;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20" w:type="dxa"/>
      <w:tblLayout w:type="fixed"/>
      <w:tblLook w:val="0400" w:firstRow="0" w:lastRow="0" w:firstColumn="0" w:lastColumn="0" w:noHBand="0" w:noVBand="1"/>
    </w:tblPr>
    <w:tblGrid>
      <w:gridCol w:w="2265"/>
      <w:gridCol w:w="7755"/>
    </w:tblGrid>
    <w:tr w:rsidR="00534DD9">
      <w:trPr>
        <w:trHeight w:val="1435"/>
      </w:trPr>
      <w:tc>
        <w:tcPr>
          <w:tcW w:w="2265" w:type="dxa"/>
          <w:shd w:val="clear" w:color="auto" w:fill="auto"/>
        </w:tcPr>
        <w:p w:rsidR="00534DD9" w:rsidRDefault="00534DD9">
          <w:pPr>
            <w:tabs>
              <w:tab w:val="right" w:pos="4273"/>
            </w:tabs>
            <w:rPr>
              <w:rFonts w:ascii="Garamond" w:eastAsia="Garamond" w:hAnsi="Garamond" w:cs="Garamond"/>
              <w:sz w:val="22"/>
              <w:szCs w:val="22"/>
            </w:rPr>
          </w:pPr>
        </w:p>
      </w:tc>
      <w:tc>
        <w:tcPr>
          <w:tcW w:w="7755" w:type="dxa"/>
          <w:shd w:val="clear" w:color="auto" w:fill="auto"/>
        </w:tcPr>
        <w:tbl>
          <w:tblPr>
            <w:tblW w:w="7797" w:type="dxa"/>
            <w:tblInd w:w="1029" w:type="dxa"/>
            <w:tblLayout w:type="fixed"/>
            <w:tblLook w:val="0400" w:firstRow="0" w:lastRow="0" w:firstColumn="0" w:lastColumn="0" w:noHBand="0" w:noVBand="1"/>
          </w:tblPr>
          <w:tblGrid>
            <w:gridCol w:w="2832"/>
            <w:gridCol w:w="4965"/>
          </w:tblGrid>
          <w:tr w:rsidR="00534DD9" w:rsidTr="009A27DF">
            <w:trPr>
              <w:trHeight w:val="144"/>
            </w:trPr>
            <w:tc>
              <w:tcPr>
                <w:tcW w:w="2832" w:type="dxa"/>
                <w:shd w:val="clear" w:color="auto" w:fill="auto"/>
              </w:tcPr>
              <w:p w:rsidR="00534DD9" w:rsidRPr="009A27DF" w:rsidRDefault="00534DD9">
                <w:pPr>
                  <w:tabs>
                    <w:tab w:val="right" w:pos="8838"/>
                  </w:tabs>
                  <w:ind w:left="-264" w:right="-105" w:firstLine="195"/>
                  <w:rPr>
                    <w:rFonts w:ascii="Palatino Linotype" w:eastAsia="Palatino Linotype" w:hAnsi="Palatino Linotype" w:cs="Palatino Linotype"/>
                    <w:b/>
                    <w:szCs w:val="22"/>
                  </w:rPr>
                </w:pPr>
                <w:r w:rsidRPr="009A27DF">
                  <w:rPr>
                    <w:rFonts w:ascii="Palatino Linotype" w:eastAsia="Palatino Linotype" w:hAnsi="Palatino Linotype" w:cs="Palatino Linotype"/>
                    <w:b/>
                    <w:szCs w:val="22"/>
                  </w:rPr>
                  <w:t>Recurso de Revisión:</w:t>
                </w:r>
              </w:p>
            </w:tc>
            <w:tc>
              <w:tcPr>
                <w:tcW w:w="4965" w:type="dxa"/>
                <w:shd w:val="clear" w:color="auto" w:fill="auto"/>
              </w:tcPr>
              <w:p w:rsidR="00534DD9" w:rsidRPr="009A27DF" w:rsidRDefault="00534DD9">
                <w:pPr>
                  <w:tabs>
                    <w:tab w:val="right" w:pos="8838"/>
                  </w:tabs>
                  <w:ind w:left="-74" w:right="-1269"/>
                  <w:rPr>
                    <w:rFonts w:ascii="Palatino Linotype" w:eastAsia="Palatino Linotype" w:hAnsi="Palatino Linotype" w:cs="Palatino Linotype"/>
                    <w:szCs w:val="22"/>
                  </w:rPr>
                </w:pPr>
                <w:r w:rsidRPr="009A27DF">
                  <w:rPr>
                    <w:rFonts w:ascii="Palatino Linotype" w:eastAsia="Palatino Linotype" w:hAnsi="Palatino Linotype" w:cs="Palatino Linotype"/>
                    <w:szCs w:val="22"/>
                  </w:rPr>
                  <w:t>08358/INFOEM/IP/RR/2025</w:t>
                </w:r>
              </w:p>
            </w:tc>
          </w:tr>
          <w:tr w:rsidR="00534DD9" w:rsidTr="009A27DF">
            <w:trPr>
              <w:trHeight w:val="144"/>
            </w:trPr>
            <w:tc>
              <w:tcPr>
                <w:tcW w:w="2832" w:type="dxa"/>
                <w:shd w:val="clear" w:color="auto" w:fill="auto"/>
              </w:tcPr>
              <w:p w:rsidR="00534DD9" w:rsidRPr="009A27DF" w:rsidRDefault="00534DD9">
                <w:pPr>
                  <w:tabs>
                    <w:tab w:val="right" w:pos="8838"/>
                  </w:tabs>
                  <w:ind w:left="-74" w:right="-105"/>
                  <w:rPr>
                    <w:rFonts w:ascii="Palatino Linotype" w:eastAsia="Palatino Linotype" w:hAnsi="Palatino Linotype" w:cs="Palatino Linotype"/>
                    <w:b/>
                    <w:szCs w:val="22"/>
                  </w:rPr>
                </w:pPr>
                <w:r w:rsidRPr="009A27DF">
                  <w:rPr>
                    <w:rFonts w:ascii="Palatino Linotype" w:eastAsia="Palatino Linotype" w:hAnsi="Palatino Linotype" w:cs="Palatino Linotype"/>
                    <w:b/>
                    <w:szCs w:val="22"/>
                  </w:rPr>
                  <w:t>Recurrente:</w:t>
                </w:r>
              </w:p>
            </w:tc>
            <w:tc>
              <w:tcPr>
                <w:tcW w:w="4965" w:type="dxa"/>
                <w:shd w:val="clear" w:color="auto" w:fill="auto"/>
              </w:tcPr>
              <w:p w:rsidR="00534DD9" w:rsidRPr="009A27DF" w:rsidRDefault="00534DD9" w:rsidP="008D146B">
                <w:pPr>
                  <w:tabs>
                    <w:tab w:val="left" w:pos="3122"/>
                    <w:tab w:val="right" w:pos="8838"/>
                  </w:tabs>
                  <w:ind w:left="-74" w:right="-1269"/>
                  <w:rPr>
                    <w:rFonts w:ascii="Palatino Linotype" w:eastAsia="Palatino Linotype" w:hAnsi="Palatino Linotype" w:cs="Palatino Linotype"/>
                    <w:szCs w:val="22"/>
                  </w:rPr>
                </w:pPr>
                <w:r w:rsidRPr="009A27DF">
                  <w:rPr>
                    <w:rFonts w:ascii="Palatino Linotype" w:eastAsia="Palatino Linotype" w:hAnsi="Palatino Linotype" w:cs="Palatino Linotype"/>
                    <w:bCs/>
                    <w:szCs w:val="22"/>
                  </w:rPr>
                  <w:t> </w:t>
                </w:r>
                <w:r w:rsidR="008D146B">
                  <w:rPr>
                    <w:rFonts w:ascii="Palatino Linotype" w:eastAsia="Palatino Linotype" w:hAnsi="Palatino Linotype" w:cs="Palatino Linotype"/>
                    <w:bCs/>
                    <w:szCs w:val="22"/>
                  </w:rPr>
                  <w:t>XXXX</w:t>
                </w:r>
              </w:p>
            </w:tc>
          </w:tr>
          <w:tr w:rsidR="00534DD9" w:rsidTr="009A27DF">
            <w:trPr>
              <w:trHeight w:val="283"/>
            </w:trPr>
            <w:tc>
              <w:tcPr>
                <w:tcW w:w="2832" w:type="dxa"/>
                <w:shd w:val="clear" w:color="auto" w:fill="auto"/>
              </w:tcPr>
              <w:p w:rsidR="00534DD9" w:rsidRPr="009A27DF" w:rsidRDefault="00534DD9">
                <w:pPr>
                  <w:tabs>
                    <w:tab w:val="right" w:pos="8838"/>
                  </w:tabs>
                  <w:ind w:left="-74" w:right="-105"/>
                  <w:rPr>
                    <w:rFonts w:ascii="Palatino Linotype" w:eastAsia="Palatino Linotype" w:hAnsi="Palatino Linotype" w:cs="Palatino Linotype"/>
                    <w:b/>
                    <w:szCs w:val="22"/>
                  </w:rPr>
                </w:pPr>
                <w:r w:rsidRPr="009A27DF">
                  <w:rPr>
                    <w:rFonts w:ascii="Palatino Linotype" w:eastAsia="Palatino Linotype" w:hAnsi="Palatino Linotype" w:cs="Palatino Linotype"/>
                    <w:b/>
                    <w:szCs w:val="22"/>
                  </w:rPr>
                  <w:t>Sujeto Obligado:</w:t>
                </w:r>
              </w:p>
            </w:tc>
            <w:tc>
              <w:tcPr>
                <w:tcW w:w="4965" w:type="dxa"/>
                <w:shd w:val="clear" w:color="auto" w:fill="auto"/>
              </w:tcPr>
              <w:p w:rsidR="00534DD9" w:rsidRPr="009A27DF" w:rsidRDefault="00534DD9">
                <w:pPr>
                  <w:tabs>
                    <w:tab w:val="left" w:pos="2834"/>
                    <w:tab w:val="right" w:pos="8838"/>
                  </w:tabs>
                  <w:ind w:left="-74" w:right="-1269"/>
                  <w:rPr>
                    <w:rFonts w:ascii="Palatino Linotype" w:eastAsia="Palatino Linotype" w:hAnsi="Palatino Linotype" w:cs="Palatino Linotype"/>
                    <w:szCs w:val="22"/>
                  </w:rPr>
                </w:pPr>
                <w:r w:rsidRPr="009A27DF">
                  <w:rPr>
                    <w:rFonts w:ascii="Palatino Linotype" w:eastAsia="Palatino Linotype" w:hAnsi="Palatino Linotype" w:cs="Palatino Linotype"/>
                    <w:bCs/>
                    <w:szCs w:val="22"/>
                  </w:rPr>
                  <w:t>Ayuntamiento de Chicoloapan</w:t>
                </w:r>
              </w:p>
            </w:tc>
          </w:tr>
          <w:tr w:rsidR="00534DD9" w:rsidTr="009A27DF">
            <w:trPr>
              <w:trHeight w:val="283"/>
            </w:trPr>
            <w:tc>
              <w:tcPr>
                <w:tcW w:w="2832" w:type="dxa"/>
                <w:shd w:val="clear" w:color="auto" w:fill="auto"/>
              </w:tcPr>
              <w:p w:rsidR="00534DD9" w:rsidRPr="009A27DF" w:rsidRDefault="00534DD9">
                <w:pPr>
                  <w:tabs>
                    <w:tab w:val="right" w:pos="8838"/>
                  </w:tabs>
                  <w:ind w:left="-74" w:right="-105"/>
                  <w:rPr>
                    <w:rFonts w:ascii="Palatino Linotype" w:eastAsia="Palatino Linotype" w:hAnsi="Palatino Linotype" w:cs="Palatino Linotype"/>
                    <w:b/>
                    <w:szCs w:val="22"/>
                  </w:rPr>
                </w:pPr>
                <w:r w:rsidRPr="009A27DF">
                  <w:rPr>
                    <w:rFonts w:ascii="Palatino Linotype" w:eastAsia="Palatino Linotype" w:hAnsi="Palatino Linotype" w:cs="Palatino Linotype"/>
                    <w:b/>
                    <w:szCs w:val="22"/>
                  </w:rPr>
                  <w:t>Comisionado ponente:</w:t>
                </w:r>
              </w:p>
            </w:tc>
            <w:tc>
              <w:tcPr>
                <w:tcW w:w="4965" w:type="dxa"/>
                <w:shd w:val="clear" w:color="auto" w:fill="auto"/>
              </w:tcPr>
              <w:p w:rsidR="00534DD9" w:rsidRPr="009A27DF" w:rsidRDefault="00534DD9">
                <w:pPr>
                  <w:tabs>
                    <w:tab w:val="right" w:pos="8838"/>
                  </w:tabs>
                  <w:ind w:left="-74" w:right="-1269"/>
                  <w:rPr>
                    <w:rFonts w:ascii="Palatino Linotype" w:eastAsia="Palatino Linotype" w:hAnsi="Palatino Linotype" w:cs="Palatino Linotype"/>
                    <w:szCs w:val="22"/>
                  </w:rPr>
                </w:pPr>
                <w:r w:rsidRPr="009A27DF">
                  <w:rPr>
                    <w:rFonts w:ascii="Palatino Linotype" w:eastAsia="Palatino Linotype" w:hAnsi="Palatino Linotype" w:cs="Palatino Linotype"/>
                    <w:szCs w:val="22"/>
                  </w:rPr>
                  <w:t>María del Rosario Mejía Ayala</w:t>
                </w:r>
              </w:p>
              <w:p w:rsidR="00534DD9" w:rsidRPr="009A27DF" w:rsidRDefault="00534DD9">
                <w:pPr>
                  <w:tabs>
                    <w:tab w:val="right" w:pos="8838"/>
                  </w:tabs>
                  <w:ind w:left="-74" w:right="-1269"/>
                  <w:rPr>
                    <w:rFonts w:ascii="Palatino Linotype" w:eastAsia="Palatino Linotype" w:hAnsi="Palatino Linotype" w:cs="Palatino Linotype"/>
                    <w:b/>
                    <w:szCs w:val="22"/>
                  </w:rPr>
                </w:pPr>
              </w:p>
            </w:tc>
          </w:tr>
        </w:tbl>
        <w:p w:rsidR="00534DD9" w:rsidRDefault="00534DD9">
          <w:pPr>
            <w:tabs>
              <w:tab w:val="right" w:pos="8838"/>
            </w:tabs>
            <w:ind w:left="-28"/>
            <w:jc w:val="both"/>
            <w:rPr>
              <w:rFonts w:ascii="Arial" w:eastAsia="Arial" w:hAnsi="Arial" w:cs="Arial"/>
              <w:b/>
              <w:sz w:val="22"/>
              <w:szCs w:val="22"/>
            </w:rPr>
          </w:pPr>
        </w:p>
      </w:tc>
    </w:tr>
  </w:tbl>
  <w:p w:rsidR="00534DD9" w:rsidRDefault="009C0182">
    <w:pPr>
      <w:pBdr>
        <w:top w:val="nil"/>
        <w:left w:val="nil"/>
        <w:bottom w:val="nil"/>
        <w:right w:val="nil"/>
        <w:between w:val="nil"/>
      </w:pBdr>
      <w:tabs>
        <w:tab w:val="center" w:pos="4419"/>
        <w:tab w:val="right" w:pos="8838"/>
      </w:tabs>
      <w:rPr>
        <w:color w:val="000000"/>
        <w:sz w:val="2"/>
        <w:szCs w:val="2"/>
      </w:rPr>
    </w:pPr>
    <w:r>
      <w:rPr>
        <w:color w:val="000000"/>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61.85pt;margin-top:-125.9pt;width:589.8pt;height:768pt;z-index:-251657728;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E33338"/>
    <w:multiLevelType w:val="multilevel"/>
    <w:tmpl w:val="4B4CEFA2"/>
    <w:lvl w:ilvl="0">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22E2842"/>
    <w:multiLevelType w:val="hybridMultilevel"/>
    <w:tmpl w:val="585418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58F3D5F"/>
    <w:multiLevelType w:val="hybridMultilevel"/>
    <w:tmpl w:val="63DEB300"/>
    <w:lvl w:ilvl="0" w:tplc="3A0EA5C0">
      <w:numFmt w:val="bullet"/>
      <w:lvlText w:val="-"/>
      <w:lvlJc w:val="left"/>
      <w:pPr>
        <w:ind w:left="1080" w:hanging="360"/>
      </w:pPr>
      <w:rPr>
        <w:rFonts w:ascii="Palatino Linotype" w:eastAsia="Palatino Linotype" w:hAnsi="Palatino Linotype" w:cs="Palatino Linotype"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 w15:restartNumberingAfterBreak="0">
    <w:nsid w:val="220130EE"/>
    <w:multiLevelType w:val="multilevel"/>
    <w:tmpl w:val="D2ACB9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82A10FF"/>
    <w:multiLevelType w:val="hybridMultilevel"/>
    <w:tmpl w:val="98D487AA"/>
    <w:lvl w:ilvl="0" w:tplc="3A0EA5C0">
      <w:numFmt w:val="bullet"/>
      <w:lvlText w:val="-"/>
      <w:lvlJc w:val="left"/>
      <w:pPr>
        <w:ind w:left="1080" w:hanging="36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4317490"/>
    <w:multiLevelType w:val="hybridMultilevel"/>
    <w:tmpl w:val="5ECC0B94"/>
    <w:lvl w:ilvl="0" w:tplc="7EE0C6EC">
      <w:start w:val="1"/>
      <w:numFmt w:val="decimal"/>
      <w:lvlText w:val="%1."/>
      <w:lvlJc w:val="left"/>
      <w:pPr>
        <w:ind w:left="0" w:firstLine="0"/>
      </w:pPr>
      <w:rPr>
        <w:rFonts w:ascii="Palatino Linotype" w:hAnsi="Palatino Linotype" w:hint="default"/>
        <w:b/>
        <w:i w:val="0"/>
        <w:sz w:val="24"/>
      </w:rPr>
    </w:lvl>
    <w:lvl w:ilvl="1" w:tplc="080A0017">
      <w:start w:val="1"/>
      <w:numFmt w:val="lowerLetter"/>
      <w:lvlText w:val="%2)"/>
      <w:lvlJc w:val="left"/>
      <w:pPr>
        <w:ind w:left="1440" w:hanging="360"/>
      </w:pPr>
      <w:rPr>
        <w:rFonts w:hint="default"/>
        <w:b/>
        <w:bCs/>
        <w:i w:val="0"/>
        <w:iCs w:val="0"/>
      </w:rPr>
    </w:lvl>
    <w:lvl w:ilvl="2" w:tplc="080A000B">
      <w:start w:val="1"/>
      <w:numFmt w:val="bullet"/>
      <w:lvlText w:val=""/>
      <w:lvlJc w:val="left"/>
      <w:pPr>
        <w:ind w:left="2340" w:hanging="360"/>
      </w:pPr>
      <w:rPr>
        <w:rFonts w:ascii="Wingdings" w:hAnsi="Wingdings" w:cs="Wingdings" w:hint="default"/>
        <w:strike w:val="0"/>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7AF7097"/>
    <w:multiLevelType w:val="multilevel"/>
    <w:tmpl w:val="4E5EC0A8"/>
    <w:lvl w:ilvl="0">
      <w:start w:val="1"/>
      <w:numFmt w:val="decimal"/>
      <w:lvlText w:val="%1."/>
      <w:lvlJc w:val="left"/>
      <w:pPr>
        <w:ind w:left="3479" w:hanging="36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3B81B80"/>
    <w:multiLevelType w:val="multilevel"/>
    <w:tmpl w:val="87D0A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AF248B4"/>
    <w:multiLevelType w:val="hybridMultilevel"/>
    <w:tmpl w:val="DA9291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602B190D"/>
    <w:multiLevelType w:val="hybridMultilevel"/>
    <w:tmpl w:val="88B4C39A"/>
    <w:lvl w:ilvl="0" w:tplc="3EF48730">
      <w:start w:val="1"/>
      <w:numFmt w:val="decimal"/>
      <w:lvlText w:val="%1."/>
      <w:lvlJc w:val="left"/>
      <w:pPr>
        <w:ind w:left="360" w:hanging="360"/>
      </w:pPr>
      <w:rPr>
        <w:rFonts w:ascii="Palatino Linotype" w:hAnsi="Palatino Linotype" w:hint="default"/>
        <w:b/>
        <w:i w:val="0"/>
        <w:color w:val="auto"/>
        <w:sz w:val="24"/>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0" w15:restartNumberingAfterBreak="0">
    <w:nsid w:val="6B9F0C8D"/>
    <w:multiLevelType w:val="multilevel"/>
    <w:tmpl w:val="4E8E0B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DD95CB9"/>
    <w:multiLevelType w:val="multilevel"/>
    <w:tmpl w:val="DD72E26C"/>
    <w:lvl w:ilvl="0">
      <w:start w:val="1"/>
      <w:numFmt w:val="decimal"/>
      <w:lvlText w:val="%1."/>
      <w:lvlJc w:val="left"/>
      <w:pPr>
        <w:ind w:left="360" w:hanging="360"/>
      </w:pPr>
      <w:rPr>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DC963E5"/>
    <w:multiLevelType w:val="hybridMultilevel"/>
    <w:tmpl w:val="81FAE0AE"/>
    <w:lvl w:ilvl="0" w:tplc="711A4D44">
      <w:start w:val="1"/>
      <w:numFmt w:val="lowerLetter"/>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num w:numId="1">
    <w:abstractNumId w:val="3"/>
  </w:num>
  <w:num w:numId="2">
    <w:abstractNumId w:val="11"/>
  </w:num>
  <w:num w:numId="3">
    <w:abstractNumId w:val="10"/>
  </w:num>
  <w:num w:numId="4">
    <w:abstractNumId w:val="2"/>
  </w:num>
  <w:num w:numId="5">
    <w:abstractNumId w:val="12"/>
  </w:num>
  <w:num w:numId="6">
    <w:abstractNumId w:val="4"/>
  </w:num>
  <w:num w:numId="7">
    <w:abstractNumId w:val="7"/>
  </w:num>
  <w:num w:numId="8">
    <w:abstractNumId w:val="8"/>
  </w:num>
  <w:num w:numId="9">
    <w:abstractNumId w:val="9"/>
  </w:num>
  <w:num w:numId="10">
    <w:abstractNumId w:val="5"/>
  </w:num>
  <w:num w:numId="11">
    <w:abstractNumId w:val="6"/>
  </w:num>
  <w:num w:numId="12">
    <w:abstractNumId w:val="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1156"/>
    <w:rsid w:val="000066AE"/>
    <w:rsid w:val="00031ED9"/>
    <w:rsid w:val="00053EB3"/>
    <w:rsid w:val="000E24FF"/>
    <w:rsid w:val="000F6E54"/>
    <w:rsid w:val="0012558C"/>
    <w:rsid w:val="001638CB"/>
    <w:rsid w:val="00164036"/>
    <w:rsid w:val="00177928"/>
    <w:rsid w:val="002526B3"/>
    <w:rsid w:val="00301C60"/>
    <w:rsid w:val="00303693"/>
    <w:rsid w:val="0031532B"/>
    <w:rsid w:val="00316E1F"/>
    <w:rsid w:val="0032098D"/>
    <w:rsid w:val="00327A40"/>
    <w:rsid w:val="003B703E"/>
    <w:rsid w:val="004849E7"/>
    <w:rsid w:val="004A6A87"/>
    <w:rsid w:val="00534DD9"/>
    <w:rsid w:val="00584FE1"/>
    <w:rsid w:val="0064647C"/>
    <w:rsid w:val="006F3533"/>
    <w:rsid w:val="00704AD6"/>
    <w:rsid w:val="0078610F"/>
    <w:rsid w:val="00801179"/>
    <w:rsid w:val="008205DC"/>
    <w:rsid w:val="008B2702"/>
    <w:rsid w:val="008D146B"/>
    <w:rsid w:val="008F4B60"/>
    <w:rsid w:val="0090493A"/>
    <w:rsid w:val="00912B65"/>
    <w:rsid w:val="00937EC2"/>
    <w:rsid w:val="009A27DF"/>
    <w:rsid w:val="009A3CEB"/>
    <w:rsid w:val="009C0182"/>
    <w:rsid w:val="009D5950"/>
    <w:rsid w:val="00A052FA"/>
    <w:rsid w:val="00A11606"/>
    <w:rsid w:val="00A60532"/>
    <w:rsid w:val="00A62010"/>
    <w:rsid w:val="00B302FE"/>
    <w:rsid w:val="00B54338"/>
    <w:rsid w:val="00BA1156"/>
    <w:rsid w:val="00BE1176"/>
    <w:rsid w:val="00C80AB2"/>
    <w:rsid w:val="00CA2391"/>
    <w:rsid w:val="00CD2A8B"/>
    <w:rsid w:val="00CF3E3A"/>
    <w:rsid w:val="00D12AE6"/>
    <w:rsid w:val="00D31456"/>
    <w:rsid w:val="00E412CC"/>
    <w:rsid w:val="00EB618F"/>
    <w:rsid w:val="00F269A3"/>
    <w:rsid w:val="00FB4E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ACBF3EFE-D191-40F9-82DC-381F66450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1156"/>
    <w:pPr>
      <w:spacing w:after="0" w:line="240" w:lineRule="auto"/>
    </w:pPr>
    <w:rPr>
      <w:rFonts w:ascii="Times New Roman" w:eastAsia="Times New Roman" w:hAnsi="Times New Roman" w:cs="Times New Roman"/>
      <w:sz w:val="24"/>
      <w:szCs w:val="24"/>
      <w:lang w:eastAsia="es-MX"/>
    </w:rPr>
  </w:style>
  <w:style w:type="paragraph" w:styleId="Ttulo1">
    <w:name w:val="heading 1"/>
    <w:basedOn w:val="Normal"/>
    <w:next w:val="Normal"/>
    <w:link w:val="Ttulo1Car"/>
    <w:uiPriority w:val="9"/>
    <w:qFormat/>
    <w:rsid w:val="00BA1156"/>
    <w:pPr>
      <w:keepNext/>
      <w:keepLines/>
      <w:spacing w:before="240"/>
      <w:outlineLvl w:val="0"/>
    </w:pPr>
    <w:rPr>
      <w:rFonts w:asciiTheme="majorHAnsi" w:eastAsiaTheme="majorEastAsia" w:hAnsiTheme="majorHAnsi" w:cstheme="majorBidi"/>
      <w:color w:val="2E74B5" w:themeColor="accent1" w:themeShade="BF"/>
      <w:sz w:val="32"/>
      <w:szCs w:val="32"/>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A1156"/>
    <w:rPr>
      <w:rFonts w:asciiTheme="majorHAnsi" w:eastAsiaTheme="majorEastAsia" w:hAnsiTheme="majorHAnsi" w:cstheme="majorBidi"/>
      <w:color w:val="2E74B5" w:themeColor="accent1" w:themeShade="BF"/>
      <w:sz w:val="32"/>
      <w:szCs w:val="32"/>
      <w:lang w:val="es-ES" w:eastAsia="es-ES"/>
    </w:rPr>
  </w:style>
  <w:style w:type="character" w:styleId="Hipervnculo">
    <w:name w:val="Hyperlink"/>
    <w:basedOn w:val="Fuentedeprrafopredeter"/>
    <w:uiPriority w:val="99"/>
    <w:unhideWhenUsed/>
    <w:rsid w:val="00BA1156"/>
    <w:rPr>
      <w:color w:val="0000FF"/>
      <w:u w:val="single"/>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BA1156"/>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BA1156"/>
    <w:rPr>
      <w:rFonts w:ascii="Times New Roman" w:eastAsia="Times New Roman" w:hAnsi="Times New Roman" w:cs="Times New Roman"/>
      <w:sz w:val="24"/>
      <w:szCs w:val="24"/>
      <w:lang w:eastAsia="es-MX"/>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BA1156"/>
    <w:rPr>
      <w:rFonts w:asciiTheme="minorHAnsi" w:eastAsiaTheme="minorHAnsi" w:hAnsiTheme="minorHAnsi" w:cstheme="minorBidi"/>
      <w:sz w:val="20"/>
      <w:szCs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BA1156"/>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iPriority w:val="99"/>
    <w:unhideWhenUsed/>
    <w:qFormat/>
    <w:rsid w:val="00BA1156"/>
    <w:rPr>
      <w:vertAlign w:val="superscript"/>
    </w:rPr>
  </w:style>
  <w:style w:type="paragraph" w:styleId="Piedepgina">
    <w:name w:val="footer"/>
    <w:basedOn w:val="Normal"/>
    <w:link w:val="PiedepginaCar"/>
    <w:uiPriority w:val="99"/>
    <w:unhideWhenUsed/>
    <w:rsid w:val="00BA1156"/>
    <w:pPr>
      <w:tabs>
        <w:tab w:val="center" w:pos="4419"/>
        <w:tab w:val="right" w:pos="8838"/>
      </w:tabs>
    </w:pPr>
  </w:style>
  <w:style w:type="character" w:customStyle="1" w:styleId="PiedepginaCar">
    <w:name w:val="Pie de página Car"/>
    <w:basedOn w:val="Fuentedeprrafopredeter"/>
    <w:link w:val="Piedepgina"/>
    <w:uiPriority w:val="99"/>
    <w:rsid w:val="00BA1156"/>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623070">
      <w:bodyDiv w:val="1"/>
      <w:marLeft w:val="0"/>
      <w:marRight w:val="0"/>
      <w:marTop w:val="0"/>
      <w:marBottom w:val="0"/>
      <w:divBdr>
        <w:top w:val="none" w:sz="0" w:space="0" w:color="auto"/>
        <w:left w:val="none" w:sz="0" w:space="0" w:color="auto"/>
        <w:bottom w:val="none" w:sz="0" w:space="0" w:color="auto"/>
        <w:right w:val="none" w:sz="0" w:space="0" w:color="auto"/>
      </w:divBdr>
    </w:div>
    <w:div w:id="317150668">
      <w:bodyDiv w:val="1"/>
      <w:marLeft w:val="0"/>
      <w:marRight w:val="0"/>
      <w:marTop w:val="0"/>
      <w:marBottom w:val="0"/>
      <w:divBdr>
        <w:top w:val="none" w:sz="0" w:space="0" w:color="auto"/>
        <w:left w:val="none" w:sz="0" w:space="0" w:color="auto"/>
        <w:bottom w:val="none" w:sz="0" w:space="0" w:color="auto"/>
        <w:right w:val="none" w:sz="0" w:space="0" w:color="auto"/>
      </w:divBdr>
    </w:div>
    <w:div w:id="1073701074">
      <w:bodyDiv w:val="1"/>
      <w:marLeft w:val="0"/>
      <w:marRight w:val="0"/>
      <w:marTop w:val="0"/>
      <w:marBottom w:val="0"/>
      <w:divBdr>
        <w:top w:val="none" w:sz="0" w:space="0" w:color="auto"/>
        <w:left w:val="none" w:sz="0" w:space="0" w:color="auto"/>
        <w:bottom w:val="none" w:sz="0" w:space="0" w:color="auto"/>
        <w:right w:val="none" w:sz="0" w:space="0" w:color="auto"/>
      </w:divBdr>
    </w:div>
    <w:div w:id="1815834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TotalTime>
  <Pages>23</Pages>
  <Words>5385</Words>
  <Characters>29623</Characters>
  <Application>Microsoft Office Word</Application>
  <DocSecurity>0</DocSecurity>
  <Lines>246</Lines>
  <Paragraphs>69</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34939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INFOEM549</dc:creator>
  <cp:keywords/>
  <dc:description/>
  <cp:lastModifiedBy>Cuenta Microsoft</cp:lastModifiedBy>
  <cp:revision>12</cp:revision>
  <cp:lastPrinted>2026-02-20T15:58:00Z</cp:lastPrinted>
  <dcterms:created xsi:type="dcterms:W3CDTF">2026-02-10T00:36:00Z</dcterms:created>
  <dcterms:modified xsi:type="dcterms:W3CDTF">2026-02-26T23:27:00Z</dcterms:modified>
</cp:coreProperties>
</file>