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BD" w:rsidRDefault="00DD4F7A">
      <w:pPr>
        <w:tabs>
          <w:tab w:val="left" w:pos="3465"/>
        </w:tabs>
        <w:spacing w:line="360" w:lineRule="auto"/>
        <w:ind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sz w:val="24"/>
          <w:szCs w:val="24"/>
        </w:rPr>
        <w:t>veinte (20) de mayo de dos mil veintiséis</w:t>
      </w:r>
      <w:r>
        <w:rPr>
          <w:rFonts w:ascii="Palatino Linotype" w:eastAsia="Palatino Linotype" w:hAnsi="Palatino Linotype" w:cs="Palatino Linotype"/>
          <w:sz w:val="24"/>
          <w:szCs w:val="24"/>
        </w:rPr>
        <w:t>.</w:t>
      </w:r>
    </w:p>
    <w:p w:rsidR="00C947BD" w:rsidRDefault="00C947BD">
      <w:pPr>
        <w:tabs>
          <w:tab w:val="left" w:pos="3465"/>
        </w:tabs>
        <w:spacing w:line="360" w:lineRule="auto"/>
        <w:ind w:right="-929"/>
        <w:jc w:val="both"/>
        <w:rPr>
          <w:rFonts w:ascii="Palatino Linotype" w:eastAsia="Palatino Linotype" w:hAnsi="Palatino Linotype" w:cs="Palatino Linotype"/>
          <w:sz w:val="24"/>
          <w:szCs w:val="24"/>
        </w:rPr>
      </w:pPr>
    </w:p>
    <w:p w:rsidR="00C947BD" w:rsidRDefault="00DD4F7A">
      <w:pPr>
        <w:tabs>
          <w:tab w:val="left" w:pos="3969"/>
        </w:tabs>
        <w:spacing w:line="360" w:lineRule="auto"/>
        <w:ind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 </w:t>
      </w:r>
      <w:r>
        <w:rPr>
          <w:rFonts w:ascii="Palatino Linotype" w:eastAsia="Palatino Linotype" w:hAnsi="Palatino Linotype" w:cs="Palatino Linotype"/>
          <w:b/>
          <w:bCs/>
          <w:sz w:val="24"/>
          <w:szCs w:val="24"/>
        </w:rPr>
        <w:t>12613/INFOEM/IP/RR/2025</w:t>
      </w:r>
      <w:r>
        <w:rPr>
          <w:rFonts w:ascii="Palatino Linotype" w:eastAsia="Palatino Linotype" w:hAnsi="Palatino Linotype" w:cs="Palatino Linotype"/>
          <w:sz w:val="24"/>
          <w:szCs w:val="24"/>
        </w:rPr>
        <w:t>,</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promovido por </w:t>
      </w:r>
      <w:r w:rsidR="008F0BE7">
        <w:rPr>
          <w:rFonts w:ascii="Palatino Linotype" w:eastAsia="Palatino Linotype" w:hAnsi="Palatino Linotype" w:cs="Palatino Linotype"/>
          <w:b/>
          <w:bCs/>
          <w:sz w:val="24"/>
          <w:szCs w:val="24"/>
        </w:rPr>
        <w:t>XXXX</w:t>
      </w:r>
      <w:r>
        <w:rPr>
          <w:rFonts w:ascii="Palatino Linotype" w:eastAsia="Palatino Linotype" w:hAnsi="Palatino Linotype" w:cs="Palatino Linotype"/>
          <w:sz w:val="24"/>
          <w:szCs w:val="24"/>
        </w:rPr>
        <w:t xml:space="preserve">, a quien en lo sucesivo se le identificará como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Secretaría Ejecutiva del Sistema Estatal Anticorrupción, </w:t>
      </w:r>
      <w:r>
        <w:rPr>
          <w:rFonts w:ascii="Palatino Linotype" w:eastAsia="Palatino Linotype" w:hAnsi="Palatino Linotype" w:cs="Palatino Linotype"/>
          <w:sz w:val="24"/>
          <w:szCs w:val="24"/>
        </w:rPr>
        <w:t>en adelante el</w:t>
      </w:r>
      <w:r>
        <w:rPr>
          <w:rFonts w:ascii="Palatino Linotype" w:eastAsia="Palatino Linotype" w:hAnsi="Palatino Linotype" w:cs="Palatino Linotype"/>
          <w:b/>
          <w:bCs/>
          <w:sz w:val="24"/>
          <w:szCs w:val="24"/>
        </w:rPr>
        <w:t xml:space="preserve"> SUJE</w:t>
      </w:r>
      <w:bookmarkStart w:id="0" w:name="_GoBack"/>
      <w:bookmarkEnd w:id="0"/>
      <w:r>
        <w:rPr>
          <w:rFonts w:ascii="Palatino Linotype" w:eastAsia="Palatino Linotype" w:hAnsi="Palatino Linotype" w:cs="Palatino Linotype"/>
          <w:b/>
          <w:bCs/>
          <w:sz w:val="24"/>
          <w:szCs w:val="24"/>
        </w:rPr>
        <w:t>TO OBLIGADO</w:t>
      </w:r>
      <w:r>
        <w:rPr>
          <w:rFonts w:ascii="Palatino Linotype" w:eastAsia="Palatino Linotype" w:hAnsi="Palatino Linotype" w:cs="Palatino Linotype"/>
          <w:sz w:val="24"/>
          <w:szCs w:val="24"/>
        </w:rPr>
        <w:t>, se procede a dictar la presente resolución, con base en los siguientes:</w:t>
      </w:r>
    </w:p>
    <w:p w:rsidR="00C947BD" w:rsidRDefault="00C947BD">
      <w:pPr>
        <w:tabs>
          <w:tab w:val="left" w:pos="3969"/>
        </w:tabs>
        <w:spacing w:line="360" w:lineRule="auto"/>
        <w:ind w:right="-929"/>
        <w:jc w:val="both"/>
        <w:rPr>
          <w:rFonts w:ascii="Palatino Linotype" w:eastAsia="Palatino Linotype" w:hAnsi="Palatino Linotype" w:cs="Palatino Linotype"/>
          <w:sz w:val="24"/>
          <w:szCs w:val="24"/>
        </w:rPr>
      </w:pPr>
    </w:p>
    <w:p w:rsidR="00C947BD" w:rsidRDefault="00DD4F7A">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1" w:name="_heading=h.z5ztsete6jhy" w:colFirst="0" w:colLast="0"/>
      <w:bookmarkEnd w:id="1"/>
      <w:r>
        <w:rPr>
          <w:rFonts w:ascii="Palatino Linotype" w:eastAsia="Palatino Linotype" w:hAnsi="Palatino Linotype" w:cs="Palatino Linotype"/>
          <w:b/>
          <w:bCs/>
          <w:color w:val="000000"/>
          <w:sz w:val="24"/>
          <w:szCs w:val="24"/>
        </w:rPr>
        <w:t>A N T E C E D E N T E S</w:t>
      </w:r>
    </w:p>
    <w:p w:rsidR="00C947BD" w:rsidRDefault="00C947BD">
      <w:pPr>
        <w:ind w:right="-929"/>
        <w:rPr>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El día </w:t>
      </w:r>
      <w:r>
        <w:rPr>
          <w:rFonts w:ascii="Palatino Linotype" w:eastAsia="Palatino Linotype" w:hAnsi="Palatino Linotype" w:cs="Palatino Linotype"/>
          <w:b/>
          <w:bCs/>
          <w:color w:val="000000"/>
          <w:sz w:val="24"/>
          <w:szCs w:val="24"/>
        </w:rPr>
        <w:t xml:space="preserve">veintiuno de octubre de dos mil veinticinco, </w:t>
      </w:r>
      <w:r>
        <w:rPr>
          <w:rFonts w:ascii="Palatino Linotype" w:eastAsia="Palatino Linotype" w:hAnsi="Palatino Linotype" w:cs="Palatino Linotype"/>
          <w:color w:val="000000"/>
          <w:sz w:val="24"/>
          <w:szCs w:val="24"/>
        </w:rPr>
        <w:t xml:space="preserve">se presentó 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vía Plataforma Nacional de Transparencia vinculada al Sistema de Acceso a la Información, la solicitud de información pública registrada con el número</w:t>
      </w:r>
      <w:r>
        <w:rPr>
          <w:rFonts w:ascii="Palatino Linotype" w:eastAsia="Palatino Linotype" w:hAnsi="Palatino Linotype" w:cs="Palatino Linotype"/>
          <w:b/>
          <w:bCs/>
          <w:color w:val="000000"/>
          <w:sz w:val="24"/>
          <w:szCs w:val="24"/>
        </w:rPr>
        <w:t xml:space="preserve"> 00076/SESEA/IP/2025; </w:t>
      </w:r>
      <w:r>
        <w:rPr>
          <w:rFonts w:ascii="Palatino Linotype" w:eastAsia="Palatino Linotype" w:hAnsi="Palatino Linotype" w:cs="Palatino Linotype"/>
          <w:sz w:val="24"/>
          <w:szCs w:val="24"/>
        </w:rPr>
        <w:t xml:space="preserve">en la que </w:t>
      </w:r>
      <w:r>
        <w:rPr>
          <w:rFonts w:ascii="Palatino Linotype" w:eastAsia="Palatino Linotype" w:hAnsi="Palatino Linotype" w:cs="Palatino Linotype"/>
          <w:color w:val="000000"/>
          <w:sz w:val="24"/>
          <w:szCs w:val="24"/>
        </w:rPr>
        <w:t>se solicitó la siguiente información:</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i/>
          <w:iCs/>
          <w:color w:val="000000"/>
          <w:sz w:val="24"/>
          <w:szCs w:val="24"/>
        </w:rPr>
        <w:t>“Solicito información referente a los 2 periodos consecutivos del gobierno (2019-2021) y (2022-2024) del municipio de Tlalnepantla de Baz, anexando los siguientes informes del Sistema Nacional Anticorrupción: 1. Los informes de evaluación, donde se ve el seguimiento y valoración del cumplimiento de políticas, controles internos, normas de transparencia y su rendición de cuentas. 2. Las notas informativas de seguimiento, de observación y prevención. 3. Cuantos y quienes son los servidores públicos en contratación 4. Descrpcion de los canales oficiales disponibles para presentar denuncias quien es e área administrativa responsable de la operación del sistema de denuncias municipales v cuál es el vinculo con el sistema nacional anticorrupción.,”</w:t>
      </w:r>
    </w:p>
    <w:p w:rsidR="00C947BD" w:rsidRDefault="00C947BD">
      <w:pPr>
        <w:pBdr>
          <w:top w:val="nil"/>
          <w:left w:val="nil"/>
          <w:bottom w:val="nil"/>
          <w:right w:val="nil"/>
          <w:between w:val="nil"/>
        </w:pBdr>
        <w:spacing w:after="0" w:line="360" w:lineRule="auto"/>
        <w:ind w:left="851" w:right="-929"/>
        <w:jc w:val="both"/>
        <w:rPr>
          <w:rFonts w:ascii="Palatino Linotype" w:eastAsia="Palatino Linotype" w:hAnsi="Palatino Linotype" w:cs="Palatino Linotype"/>
          <w:color w:val="000000"/>
          <w:sz w:val="24"/>
          <w:szCs w:val="24"/>
        </w:rPr>
      </w:pPr>
    </w:p>
    <w:p w:rsidR="00C947BD" w:rsidRDefault="00DD4F7A">
      <w:pPr>
        <w:numPr>
          <w:ilvl w:val="0"/>
          <w:numId w:val="2"/>
        </w:numPr>
        <w:pBdr>
          <w:top w:val="nil"/>
          <w:left w:val="nil"/>
          <w:bottom w:val="nil"/>
          <w:right w:val="nil"/>
          <w:between w:val="nil"/>
        </w:pBdr>
        <w:spacing w:after="0" w:line="360" w:lineRule="auto"/>
        <w:ind w:left="851" w:right="-92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Se eligió como modalidad de entrega de la información: A través correo electrónico o cualquier otro medio electrónico </w:t>
      </w:r>
    </w:p>
    <w:p w:rsidR="00C947BD" w:rsidRDefault="00C947BD">
      <w:pPr>
        <w:pBdr>
          <w:top w:val="nil"/>
          <w:left w:val="nil"/>
          <w:bottom w:val="nil"/>
          <w:right w:val="nil"/>
          <w:between w:val="nil"/>
        </w:pBdr>
        <w:spacing w:after="0" w:line="240" w:lineRule="auto"/>
        <w:ind w:right="-929"/>
        <w:jc w:val="both"/>
        <w:rPr>
          <w:rFonts w:ascii="Palatino Linotype" w:eastAsia="Palatino Linotype" w:hAnsi="Palatino Linotype" w:cs="Palatino Linotype"/>
          <w:i/>
          <w:iCs/>
          <w:color w:val="000000"/>
          <w:sz w:val="24"/>
          <w:szCs w:val="24"/>
        </w:rPr>
      </w:pPr>
    </w:p>
    <w:p w:rsidR="00C947BD" w:rsidRDefault="00DD4F7A">
      <w:pPr>
        <w:numPr>
          <w:ilvl w:val="0"/>
          <w:numId w:val="1"/>
        </w:numPr>
        <w:pBdr>
          <w:top w:val="nil"/>
          <w:left w:val="nil"/>
          <w:bottom w:val="nil"/>
          <w:right w:val="nil"/>
          <w:between w:val="nil"/>
        </w:pBdr>
        <w:spacing w:after="0" w:line="240" w:lineRule="auto"/>
        <w:ind w:left="0" w:right="-929"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veinticuatro de octubre de dos mil veinticinco</w:t>
      </w:r>
      <w:r>
        <w:rPr>
          <w:rFonts w:ascii="Palatino Linotype" w:eastAsia="Palatino Linotype" w:hAnsi="Palatino Linotype" w:cs="Palatino Linotype"/>
          <w:color w:val="000000"/>
          <w:sz w:val="24"/>
          <w:szCs w:val="24"/>
        </w:rPr>
        <w:t xml:space="preserv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dio respuesta mediante dos archivos electrónicos, cuyo contenido toral es el siguiente:</w:t>
      </w:r>
    </w:p>
    <w:p w:rsidR="00C947BD" w:rsidRDefault="00C947BD">
      <w:pPr>
        <w:pBdr>
          <w:top w:val="nil"/>
          <w:left w:val="nil"/>
          <w:bottom w:val="nil"/>
          <w:right w:val="nil"/>
          <w:between w:val="nil"/>
        </w:pBdr>
        <w:spacing w:after="0" w:line="240" w:lineRule="auto"/>
        <w:ind w:right="-929"/>
        <w:jc w:val="both"/>
        <w:rPr>
          <w:rFonts w:ascii="Palatino Linotype" w:eastAsia="Palatino Linotype" w:hAnsi="Palatino Linotype" w:cs="Palatino Linotype"/>
          <w:color w:val="000000"/>
          <w:sz w:val="24"/>
          <w:szCs w:val="24"/>
        </w:rPr>
      </w:pP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Solicitud 00076.pdf: </w:t>
      </w:r>
      <w:r>
        <w:rPr>
          <w:rFonts w:ascii="Palatino Linotype" w:eastAsia="Palatino Linotype" w:hAnsi="Palatino Linotype" w:cs="Palatino Linotype"/>
          <w:i/>
          <w:iCs/>
          <w:color w:val="000000"/>
          <w:sz w:val="24"/>
          <w:szCs w:val="24"/>
        </w:rPr>
        <w:t xml:space="preserve">oficio del Jefe de la Unidad de Planeación y Transparencia, mediante el cual informa su incompetencia y orienta al solicitante a ingresar su solicitud de información al Sistema Nacional Anticorrupción y al Ayuntamiento de Tlalnepantla de Baz. </w:t>
      </w:r>
      <w:r>
        <w:rPr>
          <w:rFonts w:ascii="Palatino Linotype" w:eastAsia="Palatino Linotype" w:hAnsi="Palatino Linotype" w:cs="Palatino Linotype"/>
          <w:b/>
          <w:bCs/>
          <w:i/>
          <w:iCs/>
          <w:color w:val="000000"/>
          <w:sz w:val="24"/>
          <w:szCs w:val="24"/>
        </w:rPr>
        <w:t xml:space="preserve">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Orientación 076-2025.docx: </w:t>
      </w:r>
      <w:r>
        <w:rPr>
          <w:rFonts w:ascii="Palatino Linotype" w:eastAsia="Palatino Linotype" w:hAnsi="Palatino Linotype" w:cs="Palatino Linotype"/>
          <w:i/>
          <w:iCs/>
          <w:color w:val="000000"/>
          <w:sz w:val="24"/>
          <w:szCs w:val="24"/>
        </w:rPr>
        <w:t xml:space="preserve">oficio del Jefe de la Unidad de Planeación y Transparencia, mediante el cual informa su incompetencia y orienta al solicitante a ingresar su solicitud de información al Sistema Nacional Anticorrupción y al Ayuntamiento de Tlalnepantla de Baz. </w:t>
      </w:r>
      <w:r>
        <w:rPr>
          <w:rFonts w:ascii="Palatino Linotype" w:eastAsia="Palatino Linotype" w:hAnsi="Palatino Linotype" w:cs="Palatino Linotype"/>
          <w:b/>
          <w:bCs/>
          <w:i/>
          <w:iCs/>
          <w:color w:val="000000"/>
          <w:sz w:val="24"/>
          <w:szCs w:val="24"/>
        </w:rPr>
        <w:t xml:space="preserve"> </w:t>
      </w:r>
    </w:p>
    <w:p w:rsidR="00C947BD" w:rsidRDefault="00C947BD">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p>
    <w:p w:rsidR="00C947BD" w:rsidRDefault="00DD4F7A">
      <w:pPr>
        <w:numPr>
          <w:ilvl w:val="0"/>
          <w:numId w:val="1"/>
        </w:numPr>
        <w:pBdr>
          <w:top w:val="nil"/>
          <w:left w:val="nil"/>
          <w:bottom w:val="nil"/>
          <w:right w:val="nil"/>
          <w:between w:val="nil"/>
        </w:pBdr>
        <w:tabs>
          <w:tab w:val="left" w:pos="0"/>
        </w:tabs>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De la respuesta emitida por el </w:t>
      </w:r>
      <w:r>
        <w:rPr>
          <w:rFonts w:ascii="Palatino Linotype" w:eastAsia="Palatino Linotype" w:hAnsi="Palatino Linotype" w:cs="Palatino Linotype"/>
          <w:b/>
          <w:bCs/>
          <w:color w:val="000000"/>
          <w:sz w:val="24"/>
          <w:szCs w:val="24"/>
        </w:rPr>
        <w:t xml:space="preserve"> SUJETO OBLIGADO, </w:t>
      </w: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tres de noviembre de dos mil veinticinco</w:t>
      </w:r>
      <w:r>
        <w:rPr>
          <w:rFonts w:ascii="Palatino Linotype" w:eastAsia="Palatino Linotype" w:hAnsi="Palatino Linotype" w:cs="Palatino Linotype"/>
          <w:color w:val="000000"/>
          <w:sz w:val="24"/>
          <w:szCs w:val="24"/>
        </w:rPr>
        <w:t>, el particular interpuso el recurso de revisión en contra de la respuesta, manifestando las siguientes razones o motivos de inconformidad:</w:t>
      </w:r>
    </w:p>
    <w:p w:rsidR="00C947BD" w:rsidRDefault="00C947BD">
      <w:pPr>
        <w:pBdr>
          <w:top w:val="nil"/>
          <w:left w:val="nil"/>
          <w:bottom w:val="nil"/>
          <w:right w:val="nil"/>
          <w:between w:val="nil"/>
        </w:pBdr>
        <w:tabs>
          <w:tab w:val="left" w:pos="1134"/>
        </w:tabs>
        <w:spacing w:after="0" w:line="240" w:lineRule="auto"/>
        <w:ind w:left="1134" w:right="-929"/>
        <w:jc w:val="both"/>
        <w:rPr>
          <w:rFonts w:ascii="Palatino Linotype" w:eastAsia="Palatino Linotype" w:hAnsi="Palatino Linotype" w:cs="Palatino Linotype"/>
          <w:i/>
          <w:iCs/>
          <w:color w:val="000000"/>
          <w:sz w:val="24"/>
          <w:szCs w:val="24"/>
        </w:rPr>
      </w:pPr>
    </w:p>
    <w:p w:rsidR="00C947BD" w:rsidRDefault="00DD4F7A">
      <w:pPr>
        <w:numPr>
          <w:ilvl w:val="0"/>
          <w:numId w:val="6"/>
        </w:numPr>
        <w:pBdr>
          <w:top w:val="nil"/>
          <w:left w:val="nil"/>
          <w:bottom w:val="nil"/>
          <w:right w:val="nil"/>
          <w:between w:val="nil"/>
        </w:pBdr>
        <w:tabs>
          <w:tab w:val="left" w:pos="1134"/>
        </w:tabs>
        <w:spacing w:after="0" w:line="240" w:lineRule="auto"/>
        <w:ind w:left="850" w:right="-79"/>
        <w:jc w:val="both"/>
        <w:rPr>
          <w:rFonts w:ascii="Palatino Linotype" w:eastAsia="Palatino Linotype" w:hAnsi="Palatino Linotype" w:cs="Palatino Linotype"/>
          <w:color w:val="000000"/>
          <w:sz w:val="24"/>
          <w:szCs w:val="24"/>
        </w:rPr>
      </w:pPr>
      <w:bookmarkStart w:id="2" w:name="_heading=h.q1l3sjhs14x9" w:colFirst="0" w:colLast="0"/>
      <w:bookmarkEnd w:id="2"/>
      <w:r>
        <w:rPr>
          <w:rFonts w:ascii="Palatino Linotype" w:eastAsia="Palatino Linotype" w:hAnsi="Palatino Linotype" w:cs="Palatino Linotype"/>
          <w:b/>
          <w:bCs/>
          <w:color w:val="000000"/>
          <w:sz w:val="24"/>
          <w:szCs w:val="24"/>
        </w:rPr>
        <w:t xml:space="preserve">Acto impugnado: </w:t>
      </w:r>
      <w:r>
        <w:rPr>
          <w:rFonts w:ascii="Palatino Linotype" w:eastAsia="Palatino Linotype" w:hAnsi="Palatino Linotype" w:cs="Palatino Linotype"/>
          <w:i/>
          <w:iCs/>
          <w:color w:val="000000"/>
          <w:sz w:val="24"/>
          <w:szCs w:val="24"/>
        </w:rPr>
        <w:t>“La omisión de respuesta/o la respuesta incompleta a la solicitud de información pública con número de folio 00076/SESEA/IP/2025, relativa a la información que compete a la Secretaría Estatal Anticorrupción, respecto al municipio de Tlalnepantla de Baz.”</w:t>
      </w:r>
    </w:p>
    <w:p w:rsidR="00C947BD" w:rsidRDefault="00C947BD">
      <w:pPr>
        <w:pBdr>
          <w:top w:val="nil"/>
          <w:left w:val="nil"/>
          <w:bottom w:val="nil"/>
          <w:right w:val="nil"/>
          <w:between w:val="nil"/>
        </w:pBdr>
        <w:tabs>
          <w:tab w:val="left" w:pos="1134"/>
        </w:tabs>
        <w:spacing w:after="0" w:line="240" w:lineRule="auto"/>
        <w:ind w:left="850" w:right="-79" w:hanging="360"/>
        <w:jc w:val="both"/>
        <w:rPr>
          <w:rFonts w:ascii="Palatino Linotype" w:eastAsia="Palatino Linotype" w:hAnsi="Palatino Linotype" w:cs="Palatino Linotype"/>
          <w:i/>
          <w:iCs/>
          <w:color w:val="000000"/>
          <w:sz w:val="24"/>
          <w:szCs w:val="24"/>
        </w:rPr>
      </w:pPr>
    </w:p>
    <w:p w:rsidR="00C947BD" w:rsidRDefault="00DD4F7A">
      <w:pPr>
        <w:numPr>
          <w:ilvl w:val="0"/>
          <w:numId w:val="6"/>
        </w:numPr>
        <w:pBdr>
          <w:top w:val="nil"/>
          <w:left w:val="nil"/>
          <w:bottom w:val="nil"/>
          <w:right w:val="nil"/>
          <w:between w:val="nil"/>
        </w:pBdr>
        <w:tabs>
          <w:tab w:val="left" w:pos="1134"/>
        </w:tabs>
        <w:spacing w:after="0" w:line="240" w:lineRule="auto"/>
        <w:ind w:left="850" w:right="-79"/>
        <w:jc w:val="both"/>
        <w:rPr>
          <w:rFonts w:ascii="Palatino Linotype" w:eastAsia="Palatino Linotype" w:hAnsi="Palatino Linotype" w:cs="Palatino Linotype"/>
          <w:color w:val="000000"/>
          <w:sz w:val="24"/>
          <w:szCs w:val="24"/>
        </w:rPr>
      </w:pPr>
      <w:bookmarkStart w:id="3" w:name="_heading=h.jkv7e5w5jyr" w:colFirst="0" w:colLast="0"/>
      <w:bookmarkEnd w:id="3"/>
      <w:r>
        <w:rPr>
          <w:rFonts w:ascii="Palatino Linotype" w:eastAsia="Palatino Linotype" w:hAnsi="Palatino Linotype" w:cs="Palatino Linotype"/>
          <w:b/>
          <w:bCs/>
          <w:color w:val="000000"/>
          <w:sz w:val="24"/>
          <w:szCs w:val="24"/>
        </w:rPr>
        <w:t>Razones o Motivos de inconformidad: “</w:t>
      </w:r>
      <w:r>
        <w:rPr>
          <w:rFonts w:ascii="Palatino Linotype" w:eastAsia="Palatino Linotype" w:hAnsi="Palatino Linotype" w:cs="Palatino Linotype"/>
          <w:i/>
          <w:iCs/>
          <w:color w:val="000000"/>
          <w:sz w:val="24"/>
          <w:szCs w:val="24"/>
        </w:rPr>
        <w:t>Debido a la falta de información a la solicitud presentada el día 21/10/2025 con folio: 00076/SESEA/IP/2025 Solicito: Admita el presente recurso de revisión. La Secretaría Ejecutiva del Sistema Estatal Anticorrupción rinda un informe justificado explicando el porque no me brindó la información. Se realice la entrega completa de la información solicitada.”</w:t>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i/>
          <w:iCs/>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lastRenderedPageBreak/>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sz w:val="24"/>
          <w:szCs w:val="24"/>
        </w:rPr>
        <w:t>cinco de noviembre de dos mil veinticinco</w:t>
      </w:r>
      <w:r>
        <w:rPr>
          <w:rFonts w:ascii="Palatino Linotype" w:eastAsia="Palatino Linotype" w:hAnsi="Palatino Linotype" w:cs="Palatino Linotype"/>
          <w:color w:val="000000"/>
          <w:sz w:val="24"/>
          <w:szCs w:val="24"/>
        </w:rPr>
        <w:t xml:space="preserve">, puso a disposición de las partes el expediente electrónico vía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a efecto de que en un plazo máximo de siete días </w:t>
      </w:r>
      <w:r>
        <w:rPr>
          <w:rFonts w:ascii="Palatino Linotype" w:eastAsia="Palatino Linotype" w:hAnsi="Palatino Linotype" w:cs="Palatino Linotype"/>
          <w:sz w:val="24"/>
          <w:szCs w:val="24"/>
        </w:rPr>
        <w:t>manifestara</w:t>
      </w:r>
      <w:r>
        <w:rPr>
          <w:rFonts w:ascii="Palatino Linotype" w:eastAsia="Palatino Linotype" w:hAnsi="Palatino Linotype" w:cs="Palatino Linotype"/>
          <w:color w:val="000000"/>
          <w:sz w:val="24"/>
          <w:szCs w:val="24"/>
        </w:rPr>
        <w:t xml:space="preserve"> lo que a su derecho conviniera, </w:t>
      </w:r>
      <w:r>
        <w:rPr>
          <w:rFonts w:ascii="Palatino Linotype" w:eastAsia="Palatino Linotype" w:hAnsi="Palatino Linotype" w:cs="Palatino Linotype"/>
          <w:sz w:val="24"/>
          <w:szCs w:val="24"/>
        </w:rPr>
        <w:t>ofreciera</w:t>
      </w:r>
      <w:r>
        <w:rPr>
          <w:rFonts w:ascii="Palatino Linotype" w:eastAsia="Palatino Linotype" w:hAnsi="Palatino Linotype" w:cs="Palatino Linotype"/>
          <w:color w:val="000000"/>
          <w:sz w:val="24"/>
          <w:szCs w:val="24"/>
        </w:rPr>
        <w:t xml:space="preserve"> pruebas y alegatos según corresponda a los casos concretos, y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presentará el Informe Justificado procedente.</w:t>
      </w:r>
    </w:p>
    <w:p w:rsidR="00C947BD" w:rsidRDefault="00C947BD">
      <w:pPr>
        <w:pBdr>
          <w:top w:val="nil"/>
          <w:left w:val="nil"/>
          <w:bottom w:val="nil"/>
          <w:right w:val="nil"/>
          <w:between w:val="nil"/>
        </w:pBdr>
        <w:spacing w:after="0" w:line="360" w:lineRule="auto"/>
        <w:ind w:right="-929"/>
        <w:jc w:val="both"/>
        <w:rPr>
          <w:rFonts w:ascii="Palatino Linotype" w:eastAsia="Palatino Linotype" w:hAnsi="Palatino Linotype" w:cs="Palatino Linotype"/>
          <w:i/>
          <w:iCs/>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De lo anterior, el </w:t>
      </w:r>
      <w:r>
        <w:rPr>
          <w:rFonts w:ascii="Palatino Linotype" w:eastAsia="Palatino Linotype" w:hAnsi="Palatino Linotype" w:cs="Palatino Linotype"/>
          <w:b/>
          <w:bCs/>
          <w:color w:val="000000"/>
          <w:sz w:val="24"/>
          <w:szCs w:val="24"/>
        </w:rPr>
        <w:t xml:space="preserve">trece de noviembre de dos mil veinticinco, </w:t>
      </w: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sz w:val="24"/>
          <w:szCs w:val="24"/>
        </w:rPr>
        <w:t>anexó</w:t>
      </w:r>
      <w:r>
        <w:rPr>
          <w:rFonts w:ascii="Palatino Linotype" w:eastAsia="Palatino Linotype" w:hAnsi="Palatino Linotype" w:cs="Palatino Linotype"/>
          <w:color w:val="000000"/>
          <w:sz w:val="24"/>
          <w:szCs w:val="24"/>
        </w:rPr>
        <w:t xml:space="preserve"> dos archivos electrónicos Informe justificado </w:t>
      </w:r>
      <w:r>
        <w:rPr>
          <w:rFonts w:ascii="Palatino Linotype" w:eastAsia="Palatino Linotype" w:hAnsi="Palatino Linotype" w:cs="Palatino Linotype"/>
          <w:b/>
          <w:bCs/>
          <w:i/>
          <w:iCs/>
          <w:color w:val="000000"/>
          <w:sz w:val="24"/>
          <w:szCs w:val="24"/>
        </w:rPr>
        <w:t xml:space="preserve">RR.12613-Sol. 076-2025.pdf y Informe justificado RR.12613-Sol. 076-2025-1.docx, </w:t>
      </w:r>
      <w:r>
        <w:rPr>
          <w:rFonts w:ascii="Palatino Linotype" w:eastAsia="Palatino Linotype" w:hAnsi="Palatino Linotype" w:cs="Palatino Linotype"/>
          <w:color w:val="000000"/>
          <w:sz w:val="24"/>
          <w:szCs w:val="24"/>
        </w:rPr>
        <w:t xml:space="preserve">mediante los cuales ratifica su respuesta inicial. </w:t>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Por su parte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fue omiso en manifestar lo que a su derecho conviniera y asistiera. </w:t>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bookmarkStart w:id="4" w:name="_heading=h.3zpej4b8ni6e" w:colFirst="0" w:colLast="0"/>
      <w:bookmarkEnd w:id="4"/>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doce de mayo de dos mil veintiséis</w:t>
      </w:r>
      <w:r>
        <w:rPr>
          <w:rFonts w:ascii="Palatino Linotype" w:eastAsia="Palatino Linotype" w:hAnsi="Palatino Linotype" w:cs="Palatino Linotype"/>
          <w:color w:val="000000"/>
          <w:sz w:val="24"/>
          <w:szCs w:val="24"/>
        </w:rPr>
        <w:t>, la Comisionada Ponente notificó el acuerdo de ampliación para emitir resolución, en términos del artículo 181 párrafo tercero de la Ley de Transparencia y Acceso a la Información Pública del Estado de México y Municipios</w:t>
      </w:r>
    </w:p>
    <w:p w:rsidR="00C947BD" w:rsidRDefault="00C947BD">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sz w:val="24"/>
          <w:szCs w:val="24"/>
        </w:rPr>
      </w:pPr>
    </w:p>
    <w:p w:rsidR="00C947BD" w:rsidRPr="00E44832" w:rsidRDefault="00DD4F7A">
      <w:pPr>
        <w:numPr>
          <w:ilvl w:val="0"/>
          <w:numId w:val="1"/>
        </w:numPr>
        <w:pBdr>
          <w:top w:val="nil"/>
          <w:left w:val="nil"/>
          <w:bottom w:val="nil"/>
          <w:right w:val="nil"/>
          <w:between w:val="nil"/>
        </w:pBdr>
        <w:spacing w:after="0"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t>Finalmente, la Comisionada Ponente mediante acuerdo de fecha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highlight w:val="white"/>
        </w:rPr>
        <w:t>veinte de mayo de dos mil veintiséis</w:t>
      </w:r>
      <w:r>
        <w:rPr>
          <w:rFonts w:ascii="Palatino Linotype" w:eastAsia="Palatino Linotype" w:hAnsi="Palatino Linotype" w:cs="Palatino Linotype"/>
          <w:color w:val="000000"/>
          <w:sz w:val="24"/>
          <w:szCs w:val="24"/>
          <w:highlight w:val="white"/>
        </w:rPr>
        <w:t>, decretó el cierre de instrucción d</w:t>
      </w:r>
      <w:r>
        <w:rPr>
          <w:rFonts w:ascii="Palatino Linotype" w:eastAsia="Palatino Linotype" w:hAnsi="Palatino Linotype" w:cs="Palatino Linotype"/>
          <w:color w:val="000000"/>
          <w:sz w:val="24"/>
          <w:szCs w:val="24"/>
        </w:rPr>
        <w:t>e los expedientes, por lo que no habiendo más que hacer constar, y</w:t>
      </w:r>
      <w:r>
        <w:rPr>
          <w:rFonts w:ascii="Palatino Linotype" w:eastAsia="Palatino Linotype" w:hAnsi="Palatino Linotype" w:cs="Palatino Linotype"/>
          <w:sz w:val="24"/>
          <w:szCs w:val="24"/>
        </w:rPr>
        <w:t xml:space="preserve"> </w:t>
      </w:r>
      <w:r w:rsidR="00E44832">
        <w:rPr>
          <w:rFonts w:ascii="Palatino Linotype" w:eastAsia="Palatino Linotype" w:hAnsi="Palatino Linotype" w:cs="Palatino Linotype"/>
          <w:sz w:val="24"/>
          <w:szCs w:val="24"/>
        </w:rPr>
        <w:t>-----------------------------------------------------------------------------------------</w:t>
      </w:r>
    </w:p>
    <w:p w:rsidR="00E44832" w:rsidRDefault="00E44832" w:rsidP="00E44832">
      <w:pPr>
        <w:pStyle w:val="Prrafodelista"/>
        <w:rPr>
          <w:rFonts w:ascii="Palatino Linotype" w:eastAsia="Palatino Linotype" w:hAnsi="Palatino Linotype" w:cs="Palatino Linotype"/>
          <w:b/>
          <w:bCs/>
          <w:color w:val="000000"/>
        </w:rPr>
      </w:pPr>
    </w:p>
    <w:p w:rsidR="00E44832" w:rsidRDefault="00E44832" w:rsidP="00E44832">
      <w:pPr>
        <w:pBdr>
          <w:top w:val="nil"/>
          <w:left w:val="nil"/>
          <w:bottom w:val="nil"/>
          <w:right w:val="nil"/>
          <w:between w:val="nil"/>
        </w:pBdr>
        <w:spacing w:after="0" w:line="360" w:lineRule="auto"/>
        <w:ind w:right="-929"/>
        <w:jc w:val="both"/>
        <w:rPr>
          <w:rFonts w:ascii="Palatino Linotype" w:eastAsia="Palatino Linotype" w:hAnsi="Palatino Linotype" w:cs="Palatino Linotype"/>
          <w:b/>
          <w:bCs/>
          <w:color w:val="000000"/>
        </w:rPr>
      </w:pPr>
    </w:p>
    <w:p w:rsidR="00E44832" w:rsidRDefault="00E44832" w:rsidP="00E44832">
      <w:pPr>
        <w:pBdr>
          <w:top w:val="nil"/>
          <w:left w:val="nil"/>
          <w:bottom w:val="nil"/>
          <w:right w:val="nil"/>
          <w:between w:val="nil"/>
        </w:pBdr>
        <w:spacing w:after="0" w:line="360" w:lineRule="auto"/>
        <w:ind w:right="-929"/>
        <w:jc w:val="both"/>
        <w:rPr>
          <w:rFonts w:ascii="Palatino Linotype" w:eastAsia="Palatino Linotype" w:hAnsi="Palatino Linotype" w:cs="Palatino Linotype"/>
          <w:b/>
          <w:bCs/>
          <w:color w:val="000000"/>
        </w:rPr>
      </w:pPr>
    </w:p>
    <w:p w:rsidR="00C947BD" w:rsidRDefault="00C947BD">
      <w:pPr>
        <w:pBdr>
          <w:top w:val="nil"/>
          <w:left w:val="nil"/>
          <w:bottom w:val="nil"/>
          <w:right w:val="nil"/>
          <w:between w:val="nil"/>
        </w:pBdr>
        <w:spacing w:after="0" w:line="360" w:lineRule="auto"/>
        <w:ind w:right="-929"/>
        <w:jc w:val="center"/>
        <w:rPr>
          <w:rFonts w:ascii="Palatino Linotype" w:eastAsia="Palatino Linotype" w:hAnsi="Palatino Linotype" w:cs="Palatino Linotype"/>
          <w:b/>
          <w:bCs/>
          <w:color w:val="000000"/>
          <w:sz w:val="24"/>
          <w:szCs w:val="24"/>
        </w:rPr>
      </w:pPr>
    </w:p>
    <w:p w:rsidR="00C947BD" w:rsidRDefault="00DD4F7A">
      <w:pPr>
        <w:pBdr>
          <w:top w:val="nil"/>
          <w:left w:val="nil"/>
          <w:bottom w:val="nil"/>
          <w:right w:val="nil"/>
          <w:between w:val="nil"/>
        </w:pBdr>
        <w:spacing w:after="0" w:line="360" w:lineRule="auto"/>
        <w:ind w:right="-929"/>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C O N S I D E R A N D O</w:t>
      </w:r>
    </w:p>
    <w:p w:rsidR="00C947BD" w:rsidRDefault="00C947BD">
      <w:pPr>
        <w:pBdr>
          <w:top w:val="nil"/>
          <w:left w:val="nil"/>
          <w:bottom w:val="nil"/>
          <w:right w:val="nil"/>
          <w:between w:val="nil"/>
        </w:pBdr>
        <w:spacing w:after="0" w:line="360" w:lineRule="auto"/>
        <w:ind w:right="-929"/>
        <w:jc w:val="center"/>
        <w:rPr>
          <w:rFonts w:ascii="Palatino Linotype" w:eastAsia="Palatino Linotype" w:hAnsi="Palatino Linotype" w:cs="Palatino Linotype"/>
          <w:b/>
          <w:bCs/>
          <w:color w:val="000000"/>
          <w:sz w:val="24"/>
          <w:szCs w:val="24"/>
        </w:rPr>
      </w:pPr>
    </w:p>
    <w:p w:rsidR="00C947BD" w:rsidRDefault="00DD4F7A">
      <w:pPr>
        <w:pStyle w:val="Ttulo2"/>
        <w:spacing w:before="0" w:line="360" w:lineRule="auto"/>
        <w:ind w:right="-929"/>
        <w:rPr>
          <w:rFonts w:ascii="Palatino Linotype" w:eastAsia="Palatino Linotype" w:hAnsi="Palatino Linotype" w:cs="Palatino Linotype"/>
          <w:b/>
          <w:bCs/>
          <w:color w:val="000000"/>
          <w:sz w:val="24"/>
          <w:szCs w:val="24"/>
        </w:rPr>
      </w:pPr>
      <w:bookmarkStart w:id="5" w:name="_heading=h.vvidswtx6g8u" w:colFirst="0" w:colLast="0"/>
      <w:bookmarkEnd w:id="5"/>
      <w:r>
        <w:rPr>
          <w:rFonts w:ascii="Palatino Linotype" w:eastAsia="Palatino Linotype" w:hAnsi="Palatino Linotype" w:cs="Palatino Linotype"/>
          <w:b/>
          <w:bCs/>
          <w:color w:val="000000"/>
          <w:sz w:val="24"/>
          <w:szCs w:val="24"/>
        </w:rPr>
        <w:t>PRIMERO. De la competencia</w:t>
      </w: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947BD" w:rsidRDefault="00C947BD">
      <w:pPr>
        <w:pBdr>
          <w:top w:val="nil"/>
          <w:left w:val="nil"/>
          <w:bottom w:val="nil"/>
          <w:right w:val="nil"/>
          <w:between w:val="nil"/>
        </w:pBd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pStyle w:val="Ttulo2"/>
        <w:spacing w:before="0" w:line="360" w:lineRule="auto"/>
        <w:ind w:right="-929"/>
        <w:rPr>
          <w:rFonts w:ascii="Palatino Linotype" w:eastAsia="Palatino Linotype" w:hAnsi="Palatino Linotype" w:cs="Palatino Linotype"/>
          <w:b/>
          <w:bCs/>
          <w:color w:val="000000"/>
          <w:sz w:val="24"/>
          <w:szCs w:val="24"/>
        </w:rPr>
      </w:pPr>
      <w:bookmarkStart w:id="6" w:name="_heading=h.ppbhhh7dvtuy" w:colFirst="0" w:colLast="0"/>
      <w:bookmarkEnd w:id="6"/>
      <w:r>
        <w:rPr>
          <w:rFonts w:ascii="Palatino Linotype" w:eastAsia="Palatino Linotype" w:hAnsi="Palatino Linotype" w:cs="Palatino Linotype"/>
          <w:b/>
          <w:bCs/>
          <w:color w:val="000000"/>
          <w:sz w:val="24"/>
          <w:szCs w:val="24"/>
        </w:rPr>
        <w:t>SEGUNDO. De la oportunidad y procedencia.</w:t>
      </w: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El medio de impugnación fue presentado a través del </w:t>
      </w:r>
      <w:r>
        <w:rPr>
          <w:rFonts w:ascii="Palatino Linotype" w:eastAsia="Palatino Linotype" w:hAnsi="Palatino Linotype" w:cs="Palatino Linotype"/>
          <w:b/>
          <w:bCs/>
          <w:color w:val="000000"/>
          <w:sz w:val="24"/>
          <w:szCs w:val="24"/>
        </w:rPr>
        <w:t>Sistema de Acceso a la Información,</w:t>
      </w:r>
      <w:r>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entregó su respuesta el </w:t>
      </w:r>
      <w:r>
        <w:rPr>
          <w:rFonts w:ascii="Palatino Linotype" w:eastAsia="Palatino Linotype" w:hAnsi="Palatino Linotype" w:cs="Palatino Linotype"/>
          <w:b/>
          <w:bCs/>
          <w:color w:val="000000"/>
          <w:sz w:val="24"/>
          <w:szCs w:val="24"/>
        </w:rPr>
        <w:t>veinticuatro de octubre de dos mil veinticinco</w:t>
      </w:r>
      <w:r>
        <w:rPr>
          <w:rFonts w:ascii="Palatino Linotype" w:eastAsia="Palatino Linotype" w:hAnsi="Palatino Linotype" w:cs="Palatino Linotype"/>
          <w:color w:val="000000"/>
          <w:sz w:val="24"/>
          <w:szCs w:val="24"/>
        </w:rPr>
        <w:t xml:space="preserve">, de tal forma que el plazo para interponer el recurso de revisión transcurrió del día </w:t>
      </w:r>
      <w:r>
        <w:rPr>
          <w:rFonts w:ascii="Palatino Linotype" w:eastAsia="Palatino Linotype" w:hAnsi="Palatino Linotype" w:cs="Palatino Linotype"/>
          <w:b/>
          <w:bCs/>
          <w:color w:val="000000"/>
          <w:sz w:val="24"/>
          <w:szCs w:val="24"/>
        </w:rPr>
        <w:t>veintisiete de octubre al catorce de noviembre de dos mil veinticinco</w:t>
      </w:r>
      <w:r>
        <w:rPr>
          <w:rFonts w:ascii="Palatino Linotype" w:eastAsia="Palatino Linotype" w:hAnsi="Palatino Linotype" w:cs="Palatino Linotype"/>
          <w:color w:val="000000"/>
          <w:sz w:val="24"/>
          <w:szCs w:val="24"/>
        </w:rPr>
        <w:t xml:space="preserve">; en consecuencia, el ahora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presentó su inconformidad el día </w:t>
      </w:r>
      <w:r>
        <w:rPr>
          <w:rFonts w:ascii="Palatino Linotype" w:eastAsia="Palatino Linotype" w:hAnsi="Palatino Linotype" w:cs="Palatino Linotype"/>
          <w:b/>
          <w:bCs/>
          <w:color w:val="000000"/>
          <w:sz w:val="24"/>
          <w:szCs w:val="24"/>
        </w:rPr>
        <w:t>tres de noviembre de dos mil veinticinco</w:t>
      </w:r>
      <w:r>
        <w:rPr>
          <w:rFonts w:ascii="Palatino Linotype" w:eastAsia="Palatino Linotype" w:hAnsi="Palatino Linotype" w:cs="Palatino Linotype"/>
          <w:color w:val="000000"/>
          <w:sz w:val="24"/>
          <w:szCs w:val="24"/>
        </w:rPr>
        <w:t>, por lo que, se estima que la inconformidad se presentó dentro del lapso legalmente establecido para tal efecto.</w:t>
      </w:r>
    </w:p>
    <w:p w:rsidR="00C947BD" w:rsidRDefault="00C947BD">
      <w:pPr>
        <w:pBdr>
          <w:top w:val="nil"/>
          <w:left w:val="nil"/>
          <w:bottom w:val="nil"/>
          <w:right w:val="nil"/>
          <w:between w:val="nil"/>
        </w:pBdr>
        <w:ind w:right="-929"/>
        <w:rPr>
          <w:rFonts w:ascii="Palatino Linotype" w:eastAsia="Palatino Linotype" w:hAnsi="Palatino Linotype" w:cs="Palatino Linotype"/>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947BD" w:rsidRDefault="00C947BD">
      <w:pPr>
        <w:pBdr>
          <w:top w:val="nil"/>
          <w:left w:val="nil"/>
          <w:bottom w:val="nil"/>
          <w:right w:val="nil"/>
          <w:between w:val="nil"/>
        </w:pBdr>
        <w:spacing w:after="0" w:line="360" w:lineRule="auto"/>
        <w:ind w:right="-929"/>
        <w:rPr>
          <w:rFonts w:ascii="Palatino Linotype" w:eastAsia="Palatino Linotype" w:hAnsi="Palatino Linotype" w:cs="Palatino Linotype"/>
          <w:color w:val="000000"/>
          <w:sz w:val="24"/>
          <w:szCs w:val="24"/>
        </w:rPr>
      </w:pPr>
    </w:p>
    <w:p w:rsidR="00C947BD" w:rsidRDefault="00DD4F7A">
      <w:pPr>
        <w:pStyle w:val="Ttulo1"/>
        <w:spacing w:before="0" w:line="360" w:lineRule="auto"/>
        <w:ind w:right="-929"/>
        <w:rPr>
          <w:rFonts w:ascii="Palatino Linotype" w:eastAsia="Palatino Linotype" w:hAnsi="Palatino Linotype" w:cs="Palatino Linotype"/>
          <w:b/>
          <w:bCs/>
          <w:color w:val="000000"/>
          <w:sz w:val="24"/>
          <w:szCs w:val="24"/>
        </w:rPr>
      </w:pPr>
      <w:bookmarkStart w:id="7" w:name="_heading=h.6xrp07ij2pnx" w:colFirst="0" w:colLast="0"/>
      <w:bookmarkEnd w:id="7"/>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C947BD" w:rsidRDefault="00DD4F7A">
      <w:pPr>
        <w:numPr>
          <w:ilvl w:val="0"/>
          <w:numId w:val="1"/>
        </w:numPr>
        <w:pBdr>
          <w:top w:val="nil"/>
          <w:left w:val="nil"/>
          <w:bottom w:val="nil"/>
          <w:right w:val="nil"/>
          <w:between w:val="nil"/>
        </w:pBd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Se solicitó tener acceso, a la información que a continuación se desagrega:</w:t>
      </w:r>
    </w:p>
    <w:p w:rsidR="00C947BD" w:rsidRDefault="00DD4F7A">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Referente a los dos periodos consecutivos del gobierno (2019-2021) y (2022-2024) del municipio de Tlalnepantla de Baz, anexando los siguientes informes del Sistema Nacional Anticorrupción: </w:t>
      </w:r>
    </w:p>
    <w:p w:rsidR="00C947BD" w:rsidRDefault="00C947BD">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p>
    <w:p w:rsidR="00C947BD" w:rsidRDefault="00DD4F7A">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1. Los informes de evaluación, donde se ve el seguimiento y valoración del cumplimiento de políticas, controles internos, normas de transparencia y su rendición de cuentas.</w:t>
      </w:r>
    </w:p>
    <w:p w:rsidR="00C947BD" w:rsidRDefault="00C947BD">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p>
    <w:p w:rsidR="00C947BD" w:rsidRDefault="00DD4F7A">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2. Las notas informativas de seguimiento, de observación y prevención. </w:t>
      </w:r>
    </w:p>
    <w:p w:rsidR="00C947BD" w:rsidRDefault="00C947BD">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p>
    <w:p w:rsidR="00C947BD" w:rsidRDefault="00DD4F7A">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3. Cuántos y quiénes son los servidores públicos en contratación </w:t>
      </w:r>
    </w:p>
    <w:p w:rsidR="00C947BD" w:rsidRDefault="00C947BD">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p>
    <w:p w:rsidR="00C947BD" w:rsidRDefault="00DD4F7A">
      <w:pPr>
        <w:pBdr>
          <w:top w:val="nil"/>
          <w:left w:val="nil"/>
          <w:bottom w:val="nil"/>
          <w:right w:val="nil"/>
          <w:between w:val="nil"/>
        </w:pBdr>
        <w:spacing w:after="0" w:line="36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4. Descripción de los canales oficiales disponibles para presentar denuncias,  quién es el área administrativa responsable de la operación del sistema de denuncias municipales y cuál es el vínculo con el sistema nacional anticorrupción.</w:t>
      </w:r>
    </w:p>
    <w:p w:rsidR="00C947BD" w:rsidRDefault="00C947BD">
      <w:pPr>
        <w:pBdr>
          <w:top w:val="nil"/>
          <w:left w:val="nil"/>
          <w:bottom w:val="nil"/>
          <w:right w:val="nil"/>
          <w:between w:val="nil"/>
        </w:pBdr>
        <w:spacing w:after="0" w:line="360" w:lineRule="auto"/>
        <w:ind w:left="778" w:right="-929"/>
        <w:jc w:val="both"/>
        <w:rPr>
          <w:rFonts w:ascii="Palatino Linotype" w:eastAsia="Palatino Linotype" w:hAnsi="Palatino Linotype" w:cs="Palatino Linotype"/>
          <w:color w:val="000000"/>
          <w:sz w:val="24"/>
          <w:szCs w:val="24"/>
        </w:rPr>
      </w:pPr>
    </w:p>
    <w:p w:rsidR="00C947BD" w:rsidRDefault="00DD4F7A">
      <w:pPr>
        <w:numPr>
          <w:ilvl w:val="0"/>
          <w:numId w:val="1"/>
        </w:numPr>
        <w:pBdr>
          <w:top w:val="nil"/>
          <w:left w:val="nil"/>
          <w:bottom w:val="nil"/>
          <w:right w:val="nil"/>
          <w:between w:val="nil"/>
        </w:pBdr>
        <w:spacing w:after="0"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sz w:val="24"/>
          <w:szCs w:val="24"/>
        </w:rPr>
        <w:lastRenderedPageBreak/>
        <w:t xml:space="preserve">En respuesta,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informó</w:t>
      </w:r>
      <w:r>
        <w:rPr>
          <w:rFonts w:ascii="Palatino Linotype" w:eastAsia="Palatino Linotype" w:hAnsi="Palatino Linotype" w:cs="Palatino Linotype"/>
          <w:color w:val="000000"/>
          <w:sz w:val="24"/>
          <w:szCs w:val="24"/>
        </w:rPr>
        <w:t xml:space="preserve"> que no es competente para atender las solicitudes de información. </w:t>
      </w:r>
    </w:p>
    <w:p w:rsidR="00C947BD" w:rsidRDefault="00C947BD">
      <w:pPr>
        <w:ind w:right="-929"/>
        <w:rPr>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 xml:space="preserve">En dichas condiciones, la </w:t>
      </w:r>
      <w:r>
        <w:rPr>
          <w:rFonts w:ascii="Palatino Linotype" w:eastAsia="Palatino Linotype" w:hAnsi="Palatino Linotype" w:cs="Palatino Linotype"/>
          <w:i/>
          <w:iCs/>
          <w:sz w:val="24"/>
          <w:szCs w:val="24"/>
        </w:rPr>
        <w:t>Litis</w:t>
      </w:r>
      <w:r>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w:t>
      </w:r>
      <w:r>
        <w:rPr>
          <w:rFonts w:ascii="Palatino Linotype" w:eastAsia="Palatino Linotype" w:hAnsi="Palatino Linotype" w:cs="Palatino Linotype"/>
          <w:b/>
          <w:bCs/>
          <w:sz w:val="24"/>
          <w:szCs w:val="24"/>
        </w:rPr>
        <w:t xml:space="preserve">fracción I </w:t>
      </w:r>
      <w:r>
        <w:rPr>
          <w:rFonts w:ascii="Palatino Linotype" w:eastAsia="Palatino Linotype" w:hAnsi="Palatino Linotype" w:cs="Palatino Linotype"/>
          <w:sz w:val="24"/>
          <w:szCs w:val="24"/>
        </w:rPr>
        <w:t xml:space="preserve">de la </w:t>
      </w:r>
      <w:r>
        <w:rPr>
          <w:rFonts w:ascii="Palatino Linotype" w:eastAsia="Palatino Linotype" w:hAnsi="Palatino Linotype" w:cs="Palatino Linotype"/>
          <w:b/>
          <w:bCs/>
          <w:sz w:val="24"/>
          <w:szCs w:val="24"/>
        </w:rPr>
        <w:t xml:space="preserve">Ley de Transparencia y Acceso a la Información Pública del Estado de </w:t>
      </w:r>
      <w:r>
        <w:rPr>
          <w:rFonts w:ascii="Palatino Linotype" w:eastAsia="Palatino Linotype" w:hAnsi="Palatino Linotype" w:cs="Palatino Linotype"/>
          <w:sz w:val="24"/>
          <w:szCs w:val="24"/>
        </w:rPr>
        <w:t>México</w:t>
      </w:r>
      <w:r>
        <w:rPr>
          <w:rFonts w:ascii="Palatino Linotype" w:eastAsia="Palatino Linotype" w:hAnsi="Palatino Linotype" w:cs="Palatino Linotype"/>
          <w:b/>
          <w:bCs/>
          <w:sz w:val="24"/>
          <w:szCs w:val="24"/>
        </w:rPr>
        <w:t xml:space="preserve"> y </w:t>
      </w:r>
      <w:r>
        <w:rPr>
          <w:rFonts w:ascii="Palatino Linotype" w:eastAsia="Palatino Linotype" w:hAnsi="Palatino Linotype" w:cs="Palatino Linotype"/>
          <w:sz w:val="24"/>
          <w:szCs w:val="24"/>
        </w:rPr>
        <w:t xml:space="preserve">Municipios; </w:t>
      </w:r>
      <w:r>
        <w:rPr>
          <w:rFonts w:ascii="Palatino Linotype" w:eastAsia="Palatino Linotype" w:hAnsi="Palatino Linotype" w:cs="Palatino Linotype"/>
          <w:color w:val="000000"/>
          <w:sz w:val="24"/>
          <w:szCs w:val="24"/>
        </w:rPr>
        <w:t xml:space="preserve">fracción que determina la hipótesis jurídica relativa a la falta, la negativa a la información solicitada; </w:t>
      </w:r>
      <w:r>
        <w:rPr>
          <w:rFonts w:ascii="Palatino Linotype" w:eastAsia="Palatino Linotype" w:hAnsi="Palatino Linotype" w:cs="Palatino Linotype"/>
          <w:sz w:val="24"/>
          <w:szCs w:val="24"/>
        </w:rPr>
        <w:t xml:space="preserve">contexto del cual se dolió </w:t>
      </w:r>
      <w:r>
        <w:rPr>
          <w:rFonts w:ascii="Palatino Linotype" w:eastAsia="Palatino Linotype" w:hAnsi="Palatino Linotype" w:cs="Palatino Linotype"/>
          <w:b/>
          <w:bCs/>
          <w:sz w:val="24"/>
          <w:szCs w:val="24"/>
        </w:rPr>
        <w:t xml:space="preserve">EL RECURRENTE </w:t>
      </w:r>
      <w:r>
        <w:rPr>
          <w:rFonts w:ascii="Palatino Linotype" w:eastAsia="Palatino Linotype" w:hAnsi="Palatino Linotype" w:cs="Palatino Linotype"/>
          <w:sz w:val="24"/>
          <w:szCs w:val="24"/>
        </w:rPr>
        <w:t>al momento de interponer su inconformidad.</w:t>
      </w:r>
      <w:r>
        <w:rPr>
          <w:rFonts w:ascii="Palatino Linotype" w:eastAsia="Palatino Linotype" w:hAnsi="Palatino Linotype" w:cs="Palatino Linotype"/>
          <w:color w:val="000000"/>
          <w:sz w:val="24"/>
          <w:szCs w:val="24"/>
        </w:rPr>
        <w:t xml:space="preserve"> De modo tal que el presente recurso de revisión se </w:t>
      </w:r>
      <w:r>
        <w:rPr>
          <w:rFonts w:ascii="Palatino Linotype" w:eastAsia="Palatino Linotype" w:hAnsi="Palatino Linotype" w:cs="Palatino Linotype"/>
          <w:sz w:val="24"/>
          <w:szCs w:val="24"/>
        </w:rPr>
        <w:t>abocará</w:t>
      </w:r>
      <w:r>
        <w:rPr>
          <w:rFonts w:ascii="Palatino Linotype" w:eastAsia="Palatino Linotype" w:hAnsi="Palatino Linotype" w:cs="Palatino Linotype"/>
          <w:color w:val="000000"/>
          <w:sz w:val="24"/>
          <w:szCs w:val="24"/>
        </w:rPr>
        <w:t xml:space="preserve"> en determinar si el </w:t>
      </w:r>
      <w:r>
        <w:rPr>
          <w:rFonts w:ascii="Palatino Linotype" w:eastAsia="Palatino Linotype" w:hAnsi="Palatino Linotype" w:cs="Palatino Linotype"/>
          <w:b/>
          <w:bCs/>
          <w:color w:val="000000"/>
          <w:sz w:val="24"/>
          <w:szCs w:val="24"/>
        </w:rPr>
        <w:t>SUJETO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OBLIGADO</w:t>
      </w:r>
      <w:r>
        <w:rPr>
          <w:rFonts w:ascii="Palatino Linotype" w:eastAsia="Palatino Linotype" w:hAnsi="Palatino Linotype" w:cs="Palatino Linotype"/>
          <w:color w:val="000000"/>
          <w:sz w:val="24"/>
          <w:szCs w:val="24"/>
        </w:rPr>
        <w:t xml:space="preserve"> con su respuesta ciertamente actualiza la causal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antes señalada. </w:t>
      </w:r>
    </w:p>
    <w:p w:rsidR="00C947BD" w:rsidRDefault="00C947BD">
      <w:pPr>
        <w:spacing w:after="0" w:line="360" w:lineRule="auto"/>
        <w:ind w:right="-929"/>
        <w:jc w:val="both"/>
        <w:rPr>
          <w:rFonts w:ascii="Palatino Linotype" w:eastAsia="Palatino Linotype" w:hAnsi="Palatino Linotype" w:cs="Palatino Linotype"/>
          <w:sz w:val="24"/>
          <w:szCs w:val="24"/>
        </w:rPr>
      </w:pPr>
    </w:p>
    <w:p w:rsidR="00C947BD" w:rsidRDefault="00DD4F7A">
      <w:pPr>
        <w:pStyle w:val="Ttulo2"/>
        <w:spacing w:before="0" w:line="360" w:lineRule="auto"/>
        <w:ind w:right="-929"/>
        <w:rPr>
          <w:rFonts w:ascii="Palatino Linotype" w:eastAsia="Palatino Linotype" w:hAnsi="Palatino Linotype" w:cs="Palatino Linotype"/>
          <w:b/>
          <w:bCs/>
          <w:color w:val="000000"/>
          <w:sz w:val="24"/>
          <w:szCs w:val="24"/>
        </w:rPr>
      </w:pPr>
      <w:bookmarkStart w:id="8" w:name="_heading=h.u20lr22vzv61" w:colFirst="0" w:colLast="0"/>
      <w:bookmarkEnd w:id="8"/>
      <w:r>
        <w:rPr>
          <w:rFonts w:ascii="Palatino Linotype" w:eastAsia="Palatino Linotype" w:hAnsi="Palatino Linotype" w:cs="Palatino Linotype"/>
          <w:b/>
          <w:bCs/>
          <w:color w:val="000000"/>
          <w:sz w:val="24"/>
          <w:szCs w:val="24"/>
        </w:rPr>
        <w:t>CUARTO. Del estudio y resolución del asunto.</w:t>
      </w:r>
    </w:p>
    <w:p w:rsidR="00C947BD" w:rsidRDefault="00DD4F7A">
      <w:pPr>
        <w:keepNext/>
        <w:keepLines/>
        <w:numPr>
          <w:ilvl w:val="0"/>
          <w:numId w:val="3"/>
        </w:numPr>
        <w:spacing w:after="240" w:line="360" w:lineRule="auto"/>
        <w:ind w:left="786" w:right="-929"/>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Del derecho de acceso a la información.</w:t>
      </w: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w:t>
      </w:r>
      <w:r>
        <w:rPr>
          <w:rFonts w:ascii="Palatino Linotype" w:eastAsia="Palatino Linotype" w:hAnsi="Palatino Linotype" w:cs="Palatino Linotype"/>
          <w:sz w:val="24"/>
          <w:szCs w:val="24"/>
        </w:rPr>
        <w:t>Civiles</w:t>
      </w:r>
      <w:r>
        <w:rPr>
          <w:rFonts w:ascii="Palatino Linotype" w:eastAsia="Palatino Linotype" w:hAnsi="Palatino Linotype" w:cs="Palatino Linotype"/>
          <w:color w:val="000000"/>
          <w:sz w:val="24"/>
          <w:szCs w:val="24"/>
        </w:rPr>
        <w:t xml:space="preserve"> y Políticos en su artículo 19.2; en la Convención Americana sobre Derechos Humanos en su artículo 13.1; en el artículo sexto de la Constitución Política de los Estados Unidos Mexicanos y en el artículo quinto de la Particular del Estado de México. </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 xml:space="preserve">Definiendo el Derecho de Acceso a la Información Pública como: </w:t>
      </w:r>
      <w:r>
        <w:rPr>
          <w:rFonts w:ascii="Palatino Linotype" w:eastAsia="Palatino Linotype" w:hAnsi="Palatino Linotype" w:cs="Palatino Linotype"/>
          <w:i/>
          <w:iCs/>
          <w:color w:val="000000"/>
          <w:sz w:val="24"/>
          <w:szCs w:val="24"/>
        </w:rPr>
        <w:t>La igualdad de oportunidades para recibir, buscar e impartir información</w:t>
      </w:r>
      <w:r>
        <w:rPr>
          <w:rFonts w:ascii="Palatino Linotype" w:eastAsia="Palatino Linotype" w:hAnsi="Palatino Linotype" w:cs="Palatino Linotype"/>
          <w:i/>
          <w:iCs/>
          <w:sz w:val="24"/>
          <w:szCs w:val="24"/>
          <w:vertAlign w:val="superscript"/>
        </w:rPr>
        <w:footnoteReference w:id="1"/>
      </w:r>
      <w:r>
        <w:rPr>
          <w:rFonts w:ascii="Palatino Linotype" w:eastAsia="Palatino Linotype" w:hAnsi="Palatino Linotype" w:cs="Palatino Linotype"/>
          <w:i/>
          <w:iCs/>
          <w:color w:val="000000"/>
          <w:sz w:val="24"/>
          <w:szCs w:val="24"/>
        </w:rPr>
        <w:t xml:space="preserve">en posesión de cualquier autoridad, entidad, órgano y organismo de los poderes Ejecutivo, Legislativo y Judicial, órganos autónomos, partidos </w:t>
      </w:r>
      <w:r>
        <w:rPr>
          <w:rFonts w:ascii="Palatino Linotype" w:eastAsia="Palatino Linotype" w:hAnsi="Palatino Linotype" w:cs="Palatino Linotype"/>
          <w:i/>
          <w:iCs/>
          <w:color w:val="000000"/>
          <w:sz w:val="24"/>
          <w:szCs w:val="24"/>
        </w:rPr>
        <w:lastRenderedPageBreak/>
        <w:t>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sz w:val="24"/>
          <w:szCs w:val="24"/>
          <w:vertAlign w:val="superscript"/>
        </w:rPr>
        <w:footnoteReference w:id="2"/>
      </w:r>
      <w:r>
        <w:rPr>
          <w:rFonts w:ascii="Palatino Linotype" w:eastAsia="Palatino Linotype" w:hAnsi="Palatino Linotype" w:cs="Palatino Linotype"/>
          <w:color w:val="000000"/>
          <w:sz w:val="24"/>
          <w:szCs w:val="24"/>
        </w:rPr>
        <w:t>que se constituye como una herramienta fundamental para ejercer</w:t>
      </w:r>
      <w:r>
        <w:rPr>
          <w:rFonts w:ascii="Palatino Linotype" w:eastAsia="Palatino Linotype" w:hAnsi="Palatino Linotype" w:cs="Palatino Linotype"/>
          <w:i/>
          <w:iCs/>
          <w:color w:val="000000"/>
          <w:sz w:val="24"/>
          <w:szCs w:val="24"/>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sz w:val="24"/>
          <w:szCs w:val="24"/>
          <w:vertAlign w:val="superscript"/>
        </w:rPr>
        <w:footnoteReference w:id="3"/>
      </w:r>
      <w:r>
        <w:rPr>
          <w:rFonts w:ascii="Palatino Linotype" w:eastAsia="Palatino Linotype" w:hAnsi="Palatino Linotype" w:cs="Palatino Linotype"/>
          <w:color w:val="000000"/>
          <w:sz w:val="24"/>
          <w:szCs w:val="24"/>
        </w:rPr>
        <w:t>fomentando</w:t>
      </w:r>
      <w:r>
        <w:rPr>
          <w:rFonts w:ascii="Palatino Linotype" w:eastAsia="Palatino Linotype" w:hAnsi="Palatino Linotype" w:cs="Palatino Linotype"/>
          <w:i/>
          <w:iCs/>
          <w:color w:val="000000"/>
          <w:sz w:val="24"/>
          <w:szCs w:val="24"/>
        </w:rPr>
        <w:t xml:space="preserve"> la transparencia de las actividades estatales y </w:t>
      </w:r>
      <w:r>
        <w:rPr>
          <w:rFonts w:ascii="Palatino Linotype" w:eastAsia="Palatino Linotype" w:hAnsi="Palatino Linotype" w:cs="Palatino Linotype"/>
          <w:color w:val="000000"/>
          <w:sz w:val="24"/>
          <w:szCs w:val="24"/>
        </w:rPr>
        <w:t>promoviendo</w:t>
      </w:r>
      <w:r>
        <w:rPr>
          <w:rFonts w:ascii="Palatino Linotype" w:eastAsia="Palatino Linotype" w:hAnsi="Palatino Linotype" w:cs="Palatino Linotype"/>
          <w:i/>
          <w:iCs/>
          <w:color w:val="000000"/>
          <w:sz w:val="24"/>
          <w:szCs w:val="24"/>
        </w:rPr>
        <w:t xml:space="preserve"> la responsabilidad de los funcionarios sobre su gestión pública,</w:t>
      </w:r>
      <w:r>
        <w:rPr>
          <w:rFonts w:ascii="Palatino Linotype" w:eastAsia="Palatino Linotype" w:hAnsi="Palatino Linotype" w:cs="Palatino Linotype"/>
          <w:i/>
          <w:iCs/>
          <w:sz w:val="24"/>
          <w:szCs w:val="24"/>
          <w:vertAlign w:val="superscript"/>
        </w:rPr>
        <w:footnoteReference w:id="4"/>
      </w:r>
      <w:r>
        <w:rPr>
          <w:rFonts w:ascii="Palatino Linotype" w:eastAsia="Palatino Linotype" w:hAnsi="Palatino Linotype" w:cs="Palatino Linotype"/>
          <w:color w:val="000000"/>
          <w:sz w:val="24"/>
          <w:szCs w:val="24"/>
        </w:rPr>
        <w:t>que permite</w:t>
      </w:r>
      <w:r>
        <w:rPr>
          <w:rFonts w:ascii="Palatino Linotype" w:eastAsia="Palatino Linotype" w:hAnsi="Palatino Linotype" w:cs="Palatino Linotype"/>
          <w:i/>
          <w:iCs/>
          <w:color w:val="000000"/>
          <w:sz w:val="24"/>
          <w:szCs w:val="24"/>
        </w:rPr>
        <w:t xml:space="preserve"> saber qué están haciendo los gobiernos por sus pueblos, sin lo cual la verdad languidecería y la participación en el gobierno permanecería fragmentada.</w:t>
      </w: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En México, además de los derechos, están reconocidas las garantías para su protección, en ese sentido el párrafo tercero de artículo primero de la Constitución Política de los Estados Unidos Mexicanos dispone lo siguiente:</w:t>
      </w:r>
    </w:p>
    <w:p w:rsidR="00C947BD" w:rsidRDefault="00DD4F7A">
      <w:pPr>
        <w:spacing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b/>
          <w:bCs/>
          <w:i/>
          <w:iCs/>
          <w:sz w:val="24"/>
          <w:szCs w:val="24"/>
        </w:rPr>
        <w:t>Artículo 1.-</w:t>
      </w:r>
      <w:r>
        <w:rPr>
          <w:rFonts w:ascii="Palatino Linotype" w:eastAsia="Palatino Linotype" w:hAnsi="Palatino Linotype" w:cs="Palatino Linotype"/>
          <w:i/>
          <w:iCs/>
          <w:sz w:val="24"/>
          <w:szCs w:val="24"/>
        </w:rPr>
        <w:t xml:space="preserve"> </w:t>
      </w:r>
    </w:p>
    <w:p w:rsidR="00C947BD" w:rsidRDefault="00DD4F7A">
      <w:pPr>
        <w:spacing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C947BD" w:rsidRDefault="00DD4F7A">
      <w:pPr>
        <w:spacing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Todas las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i/>
          <w:iCs/>
          <w:sz w:val="24"/>
          <w:szCs w:val="24"/>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C947BD" w:rsidRDefault="00DD4F7A">
      <w:pPr>
        <w:spacing w:line="240" w:lineRule="auto"/>
        <w:ind w:left="1134"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i/>
          <w:iCs/>
          <w:sz w:val="24"/>
          <w:szCs w:val="24"/>
        </w:rPr>
        <w:t>(…)</w:t>
      </w:r>
      <w:r>
        <w:rPr>
          <w:rFonts w:ascii="Palatino Linotype" w:eastAsia="Palatino Linotype" w:hAnsi="Palatino Linotype" w:cs="Palatino Linotype"/>
          <w:sz w:val="24"/>
          <w:szCs w:val="24"/>
        </w:rPr>
        <w:t>”.</w:t>
      </w:r>
    </w:p>
    <w:p w:rsidR="00C947BD" w:rsidRDefault="00C947BD">
      <w:pPr>
        <w:ind w:right="-929"/>
        <w:jc w:val="both"/>
        <w:rPr>
          <w:rFonts w:ascii="Palatino Linotype" w:eastAsia="Palatino Linotype" w:hAnsi="Palatino Linotype" w:cs="Palatino Linotype"/>
          <w:b/>
          <w:bCs/>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C947BD" w:rsidRDefault="00DD4F7A">
      <w:pPr>
        <w:spacing w:after="240" w:line="240" w:lineRule="auto"/>
        <w:ind w:left="1134" w:right="-929"/>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Constitución Política de los Estados Unidos Mexicanos</w:t>
      </w:r>
    </w:p>
    <w:p w:rsidR="00C947BD" w:rsidRDefault="00DD4F7A">
      <w:pPr>
        <w:spacing w:before="240" w:after="240" w:line="240" w:lineRule="auto"/>
        <w:ind w:left="1134" w:right="-929"/>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“Artículo 6.</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Para efectos de lo dispuesto en el presente artículo se observará lo siguiente:</w:t>
      </w:r>
    </w:p>
    <w:p w:rsidR="00C947BD" w:rsidRDefault="00DD4F7A">
      <w:pPr>
        <w:spacing w:before="240" w:after="240" w:line="240" w:lineRule="auto"/>
        <w:ind w:left="1134" w:right="-929"/>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Para el ejercicio del derecho de acceso a la información</w:t>
      </w:r>
      <w:r>
        <w:rPr>
          <w:rFonts w:ascii="Palatino Linotype" w:eastAsia="Palatino Linotype" w:hAnsi="Palatino Linotype" w:cs="Palatino Linotype"/>
          <w:i/>
          <w:iCs/>
          <w:sz w:val="24"/>
          <w:szCs w:val="24"/>
        </w:rPr>
        <w:t xml:space="preserve">, la Federación y </w:t>
      </w:r>
      <w:r>
        <w:rPr>
          <w:rFonts w:ascii="Palatino Linotype" w:eastAsia="Palatino Linotype" w:hAnsi="Palatino Linotype" w:cs="Palatino Linotype"/>
          <w:b/>
          <w:bCs/>
          <w:i/>
          <w:iCs/>
          <w:sz w:val="24"/>
          <w:szCs w:val="24"/>
        </w:rPr>
        <w:t>las entidades federativas, en el ámbito de sus respectivas competencias, se regirán por los siguientes principios y bases:</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I. </w:t>
      </w:r>
      <w:r>
        <w:rPr>
          <w:rFonts w:ascii="Palatino Linotype" w:eastAsia="Palatino Linotype" w:hAnsi="Palatino Linotype" w:cs="Palatino Linotype"/>
          <w:b/>
          <w:bCs/>
          <w:i/>
          <w:iCs/>
          <w:sz w:val="24"/>
          <w:szCs w:val="24"/>
        </w:rPr>
        <w:tab/>
        <w:t>Toda la información en posesión de cualquier</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autoridad</w:t>
      </w:r>
      <w:r>
        <w:rPr>
          <w:rFonts w:ascii="Palatino Linotype" w:eastAsia="Palatino Linotype" w:hAnsi="Palatino Linotype" w:cs="Palatino Linotype"/>
          <w:i/>
          <w:iCs/>
          <w:sz w:val="24"/>
          <w:szCs w:val="24"/>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sz w:val="24"/>
          <w:szCs w:val="24"/>
        </w:rPr>
        <w:t>municipal</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es pública</w:t>
      </w:r>
      <w:r>
        <w:rPr>
          <w:rFonts w:ascii="Palatino Linotype" w:eastAsia="Palatino Linotype" w:hAnsi="Palatino Linotype" w:cs="Palatino Linotype"/>
          <w:i/>
          <w:iCs/>
          <w:sz w:val="24"/>
          <w:szCs w:val="24"/>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sz w:val="24"/>
          <w:szCs w:val="24"/>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sz w:val="24"/>
          <w:szCs w:val="24"/>
        </w:rPr>
        <w:t>, la ley determinará los supuestos específicos bajo los cuales procederá la declaración de inexistencia de la información.”</w:t>
      </w:r>
    </w:p>
    <w:p w:rsidR="00C947BD" w:rsidRDefault="00DD4F7A">
      <w:pPr>
        <w:spacing w:before="240" w:after="240" w:line="240" w:lineRule="auto"/>
        <w:ind w:left="1134" w:right="-929"/>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lastRenderedPageBreak/>
        <w:t>Constitución Política del Estado Libre y Soberano de México</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w:t>
      </w:r>
      <w:r>
        <w:rPr>
          <w:rFonts w:ascii="Palatino Linotype" w:eastAsia="Palatino Linotype" w:hAnsi="Palatino Linotype" w:cs="Palatino Linotype"/>
          <w:i/>
          <w:iCs/>
          <w:sz w:val="24"/>
          <w:szCs w:val="24"/>
        </w:rPr>
        <w:t xml:space="preserve">.- </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sz w:val="24"/>
          <w:szCs w:val="24"/>
        </w:rPr>
        <w:t>.</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Este derecho se regirá por los principios y bases siguientes</w:t>
      </w:r>
      <w:r>
        <w:rPr>
          <w:rFonts w:ascii="Palatino Linotype" w:eastAsia="Palatino Linotype" w:hAnsi="Palatino Linotype" w:cs="Palatino Linotype"/>
          <w:i/>
          <w:iCs/>
          <w:sz w:val="24"/>
          <w:szCs w:val="24"/>
        </w:rPr>
        <w:t>:</w:t>
      </w:r>
    </w:p>
    <w:p w:rsidR="00C947BD" w:rsidRDefault="00DD4F7A">
      <w:pPr>
        <w:spacing w:before="240" w:after="24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I. Toda la información en posesión de cualquier autoridad, entidad, órgano y organismos de los</w:t>
      </w:r>
      <w:r>
        <w:rPr>
          <w:rFonts w:ascii="Palatino Linotype" w:eastAsia="Palatino Linotype" w:hAnsi="Palatino Linotype" w:cs="Palatino Linotype"/>
          <w:i/>
          <w:iCs/>
          <w:sz w:val="24"/>
          <w:szCs w:val="24"/>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sz w:val="24"/>
          <w:szCs w:val="24"/>
        </w:rPr>
        <w:t>municipales</w:t>
      </w:r>
      <w:r>
        <w:rPr>
          <w:rFonts w:ascii="Palatino Linotype" w:eastAsia="Palatino Linotype" w:hAnsi="Palatino Linotype" w:cs="Palatino Linotype"/>
          <w:i/>
          <w:iCs/>
          <w:sz w:val="24"/>
          <w:szCs w:val="24"/>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sz w:val="24"/>
          <w:szCs w:val="24"/>
        </w:rPr>
        <w:t>es pública</w:t>
      </w:r>
      <w:r>
        <w:rPr>
          <w:rFonts w:ascii="Palatino Linotype" w:eastAsia="Palatino Linotype" w:hAnsi="Palatino Linotype" w:cs="Palatino Linotype"/>
          <w:i/>
          <w:iCs/>
          <w:sz w:val="24"/>
          <w:szCs w:val="24"/>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sz w:val="24"/>
          <w:szCs w:val="24"/>
        </w:rPr>
        <w:t>En la interpretación de este derecho deberá prevalecer el principio de máxima publicidad</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Los sujetos obligados deberán documentar todo acto que derive del ejercicio de sus facultades, competencias o funciones</w:t>
      </w:r>
      <w:r>
        <w:rPr>
          <w:rFonts w:ascii="Palatino Linotype" w:eastAsia="Palatino Linotype" w:hAnsi="Palatino Linotype" w:cs="Palatino Linotype"/>
          <w:i/>
          <w:iCs/>
          <w:sz w:val="24"/>
          <w:szCs w:val="24"/>
        </w:rPr>
        <w:t>, la ley determinará los supuestos específicos bajo los cuales procederá la declaración de inexistencia de la información.”</w:t>
      </w:r>
    </w:p>
    <w:p w:rsidR="00C947BD" w:rsidRDefault="00C947BD">
      <w:pPr>
        <w:tabs>
          <w:tab w:val="left" w:pos="567"/>
        </w:tabs>
        <w:spacing w:before="240" w:after="240"/>
        <w:ind w:right="-929"/>
        <w:jc w:val="both"/>
        <w:rPr>
          <w:rFonts w:ascii="Palatino Linotype" w:eastAsia="Palatino Linotype" w:hAnsi="Palatino Linotype" w:cs="Palatino Linotype"/>
          <w:b/>
          <w:bCs/>
          <w:i/>
          <w:iCs/>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sz w:val="24"/>
          <w:szCs w:val="24"/>
        </w:rPr>
        <w:t>por los principios de simplicidad, rapidez gratuidad del procedimiento, auxilio y orientación a los particulares</w:t>
      </w:r>
      <w:r>
        <w:rPr>
          <w:rFonts w:ascii="Palatino Linotype" w:eastAsia="Palatino Linotype" w:hAnsi="Palatino Linotype" w:cs="Palatino Linotype"/>
          <w:sz w:val="24"/>
          <w:szCs w:val="24"/>
        </w:rPr>
        <w:t>, contemplando el derecho de las personas con discapacidad y hablantes de lengua indígena.</w:t>
      </w: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lastRenderedPageBreak/>
        <w:t xml:space="preserve">El Derecho de Acceso a la Información se garantiza y respeta oportunamente, y según lo que dispone la Ley, las </w:t>
      </w:r>
      <w:r>
        <w:rPr>
          <w:rFonts w:ascii="Palatino Linotype" w:eastAsia="Palatino Linotype" w:hAnsi="Palatino Linotype" w:cs="Palatino Linotype"/>
          <w:i/>
          <w:iCs/>
          <w:sz w:val="24"/>
          <w:szCs w:val="24"/>
        </w:rPr>
        <w:t>solicitudes de acceso a la información</w:t>
      </w:r>
      <w:r>
        <w:rPr>
          <w:rFonts w:ascii="Palatino Linotype" w:eastAsia="Palatino Linotype" w:hAnsi="Palatino Linotype" w:cs="Palatino Linotype"/>
          <w:sz w:val="24"/>
          <w:szCs w:val="24"/>
        </w:rPr>
        <w:t>.</w:t>
      </w: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DD4F7A">
      <w:pPr>
        <w:numPr>
          <w:ilvl w:val="0"/>
          <w:numId w:val="1"/>
        </w:numPr>
        <w:spacing w:after="0" w:line="360" w:lineRule="auto"/>
        <w:ind w:left="0" w:right="-929" w:firstLine="0"/>
        <w:jc w:val="both"/>
      </w:pPr>
      <w:bookmarkStart w:id="9" w:name="_heading=h.3rdcrjn" w:colFirst="0" w:colLast="0"/>
      <w:bookmarkEnd w:id="9"/>
      <w:r>
        <w:rPr>
          <w:rFonts w:ascii="Palatino Linotype" w:eastAsia="Palatino Linotype" w:hAnsi="Palatino Linotype" w:cs="Palatino Linotype"/>
          <w:sz w:val="24"/>
          <w:szCs w:val="24"/>
        </w:rPr>
        <w:t xml:space="preserve">Así entonces, se procede analizar, en primer lugar, si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DD4F7A">
      <w:pPr>
        <w:pStyle w:val="Ttulo1"/>
        <w:spacing w:before="0" w:after="240" w:line="360" w:lineRule="auto"/>
        <w:ind w:right="-929"/>
        <w:rPr>
          <w:rFonts w:ascii="Palatino Linotype" w:eastAsia="Palatino Linotype" w:hAnsi="Palatino Linotype" w:cs="Palatino Linotype"/>
          <w:b/>
          <w:bCs/>
          <w:color w:val="000000"/>
          <w:sz w:val="24"/>
          <w:szCs w:val="24"/>
        </w:rPr>
      </w:pPr>
      <w:bookmarkStart w:id="10" w:name="_heading=h.26in1rg" w:colFirst="0" w:colLast="0"/>
      <w:bookmarkEnd w:id="10"/>
      <w:r>
        <w:rPr>
          <w:rFonts w:ascii="Palatino Linotype" w:eastAsia="Palatino Linotype" w:hAnsi="Palatino Linotype" w:cs="Palatino Linotype"/>
          <w:b/>
          <w:bCs/>
          <w:color w:val="000000"/>
          <w:sz w:val="24"/>
          <w:szCs w:val="24"/>
        </w:rPr>
        <w:t>II. De la información solicitada y la respuesta del SUJETO OBLIGADO</w:t>
      </w: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Acotada</w:t>
      </w:r>
      <w:r>
        <w:rPr>
          <w:rFonts w:ascii="Palatino Linotype" w:eastAsia="Palatino Linotype" w:hAnsi="Palatino Linotype" w:cs="Palatino Linotype"/>
          <w:color w:val="000000"/>
          <w:sz w:val="24"/>
          <w:szCs w:val="24"/>
        </w:rPr>
        <w:t xml:space="preserve">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del presente asunto, primeramente es menester precisar que del escrito de inconformidad, se observa que el particular se duele por la negativa de la información solicitada. </w:t>
      </w:r>
    </w:p>
    <w:p w:rsidR="00C947BD" w:rsidRDefault="00C947BD">
      <w:pPr>
        <w:spacing w:after="0" w:line="360" w:lineRule="auto"/>
        <w:ind w:right="-929"/>
        <w:jc w:val="both"/>
        <w:rPr>
          <w:rFonts w:ascii="Palatino Linotype" w:eastAsia="Palatino Linotype" w:hAnsi="Palatino Linotype" w:cs="Palatino Linotype"/>
          <w:sz w:val="24"/>
          <w:szCs w:val="24"/>
        </w:rPr>
      </w:pPr>
    </w:p>
    <w:p w:rsidR="00C947BD" w:rsidRDefault="00DD4F7A">
      <w:pPr>
        <w:numPr>
          <w:ilvl w:val="0"/>
          <w:numId w:val="1"/>
        </w:numPr>
        <w:spacing w:after="0" w:line="360" w:lineRule="auto"/>
        <w:ind w:left="0" w:right="-929" w:firstLine="0"/>
        <w:jc w:val="both"/>
      </w:pPr>
      <w:r>
        <w:rPr>
          <w:rFonts w:ascii="Palatino Linotype" w:eastAsia="Palatino Linotype" w:hAnsi="Palatino Linotype" w:cs="Palatino Linotype"/>
          <w:sz w:val="24"/>
          <w:szCs w:val="24"/>
        </w:rPr>
        <w:t xml:space="preserve">Ahora bien, mediante el siguiente cuadro de análisis se determinara si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colmo el derecho de acceso a la información del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 xml:space="preserve">con la información entregada. </w:t>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C947BD">
      <w:pPr>
        <w:spacing w:after="0" w:line="240" w:lineRule="auto"/>
        <w:ind w:left="1134" w:right="-929"/>
        <w:jc w:val="both"/>
        <w:rPr>
          <w:rFonts w:ascii="Palatino Linotype" w:eastAsia="Palatino Linotype" w:hAnsi="Palatino Linotype" w:cs="Palatino Linotype"/>
          <w:b/>
          <w:bCs/>
          <w:i/>
          <w:iCs/>
          <w:sz w:val="24"/>
          <w:szCs w:val="24"/>
        </w:rPr>
      </w:pPr>
    </w:p>
    <w:p w:rsidR="00C947BD" w:rsidRDefault="00DD4F7A">
      <w:pPr>
        <w:spacing w:after="0" w:line="240" w:lineRule="auto"/>
        <w:ind w:left="1134" w:right="-929"/>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Referente a los dos periodos consecutivos del gobierno (2019-2021) y (2022-2024) del municipio de Tlalnepantla de Baz, anexando los siguientes informes del Sistema Nacional Anticorrupción.</w:t>
      </w:r>
    </w:p>
    <w:p w:rsidR="00C947BD" w:rsidRDefault="00C947BD">
      <w:pPr>
        <w:spacing w:after="0" w:line="240" w:lineRule="auto"/>
        <w:ind w:left="1134" w:right="-929"/>
        <w:jc w:val="both"/>
        <w:rPr>
          <w:rFonts w:ascii="Palatino Linotype" w:eastAsia="Palatino Linotype" w:hAnsi="Palatino Linotype" w:cs="Palatino Linotype"/>
          <w:sz w:val="24"/>
          <w:szCs w:val="24"/>
        </w:rPr>
      </w:pPr>
    </w:p>
    <w:tbl>
      <w:tblPr>
        <w:tblStyle w:val="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694"/>
        <w:gridCol w:w="2259"/>
        <w:gridCol w:w="2135"/>
      </w:tblGrid>
      <w:tr w:rsidR="00C947BD" w:rsidTr="00E44832">
        <w:tc>
          <w:tcPr>
            <w:tcW w:w="2830" w:type="dxa"/>
          </w:tcPr>
          <w:p w:rsidR="00C947BD" w:rsidRDefault="00DD4F7A" w:rsidP="00E44832">
            <w:pPr>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Información Solicitada</w:t>
            </w:r>
          </w:p>
        </w:tc>
        <w:tc>
          <w:tcPr>
            <w:tcW w:w="2694" w:type="dxa"/>
          </w:tcPr>
          <w:p w:rsidR="00C947BD" w:rsidRDefault="00DD4F7A" w:rsidP="00E44832">
            <w:pPr>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Respuesta inicial</w:t>
            </w:r>
          </w:p>
        </w:tc>
        <w:tc>
          <w:tcPr>
            <w:tcW w:w="2259" w:type="dxa"/>
          </w:tcPr>
          <w:p w:rsidR="00C947BD" w:rsidRDefault="00DD4F7A" w:rsidP="00E44832">
            <w:pPr>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Manifestaciones</w:t>
            </w:r>
          </w:p>
        </w:tc>
        <w:tc>
          <w:tcPr>
            <w:tcW w:w="2135" w:type="dxa"/>
          </w:tcPr>
          <w:p w:rsidR="00C947BD" w:rsidRDefault="00DD4F7A" w:rsidP="00E44832">
            <w:pPr>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Colma </w:t>
            </w:r>
          </w:p>
        </w:tc>
      </w:tr>
      <w:tr w:rsidR="00C947BD" w:rsidTr="00E44832">
        <w:tc>
          <w:tcPr>
            <w:tcW w:w="2830" w:type="dxa"/>
          </w:tcPr>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1. Los informes de evaluación, donde se ve </w:t>
            </w:r>
            <w:r>
              <w:rPr>
                <w:rFonts w:ascii="Palatino Linotype" w:eastAsia="Palatino Linotype" w:hAnsi="Palatino Linotype" w:cs="Palatino Linotype"/>
                <w:b/>
                <w:bCs/>
                <w:i/>
                <w:iCs/>
                <w:sz w:val="24"/>
                <w:szCs w:val="24"/>
              </w:rPr>
              <w:lastRenderedPageBreak/>
              <w:t>el seguimiento y valoración del cumplimiento de políticas, controles internos, normas de transparencia y su rendición de cuentas.</w:t>
            </w:r>
          </w:p>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2. Las notas informativas de seguimiento, de observación y prevención. </w:t>
            </w:r>
          </w:p>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3. Cuántos y quiénes son los servidores públicos en contratación </w:t>
            </w:r>
          </w:p>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4. Descripción de los canales oficiales disponibles para presentar denuncias,  quién es el área administrativa responsable de la operación del sistema de denuncias municipales y cuál es el vínculo con el sistema nacional anticorrupción.</w:t>
            </w:r>
          </w:p>
          <w:p w:rsidR="00C947BD" w:rsidRDefault="00C947BD">
            <w:pPr>
              <w:ind w:right="10"/>
              <w:jc w:val="both"/>
              <w:rPr>
                <w:rFonts w:ascii="Palatino Linotype" w:eastAsia="Palatino Linotype" w:hAnsi="Palatino Linotype" w:cs="Palatino Linotype"/>
                <w:i/>
                <w:iCs/>
                <w:sz w:val="24"/>
                <w:szCs w:val="24"/>
              </w:rPr>
            </w:pPr>
          </w:p>
        </w:tc>
        <w:tc>
          <w:tcPr>
            <w:tcW w:w="2694" w:type="dxa"/>
          </w:tcPr>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lastRenderedPageBreak/>
              <w:t xml:space="preserve">Solicitud 00076.pdf: </w:t>
            </w:r>
            <w:r>
              <w:rPr>
                <w:rFonts w:ascii="Palatino Linotype" w:eastAsia="Palatino Linotype" w:hAnsi="Palatino Linotype" w:cs="Palatino Linotype"/>
                <w:i/>
                <w:iCs/>
                <w:sz w:val="24"/>
                <w:szCs w:val="24"/>
              </w:rPr>
              <w:t xml:space="preserve">oficio del Jefe de la </w:t>
            </w:r>
            <w:r>
              <w:rPr>
                <w:rFonts w:ascii="Palatino Linotype" w:eastAsia="Palatino Linotype" w:hAnsi="Palatino Linotype" w:cs="Palatino Linotype"/>
                <w:i/>
                <w:iCs/>
                <w:sz w:val="24"/>
                <w:szCs w:val="24"/>
              </w:rPr>
              <w:lastRenderedPageBreak/>
              <w:t xml:space="preserve">Unidad de Planeación y Transparencia, mediante el cual informa su incompetencia y orienta al solicitante a ingresar su solicitud de información al Sistema Nacional Anticorrupción y al Ayuntamiento de Tlalnepantla de Baz. </w:t>
            </w:r>
            <w:r>
              <w:rPr>
                <w:rFonts w:ascii="Palatino Linotype" w:eastAsia="Palatino Linotype" w:hAnsi="Palatino Linotype" w:cs="Palatino Linotype"/>
                <w:b/>
                <w:bCs/>
                <w:i/>
                <w:iCs/>
                <w:sz w:val="24"/>
                <w:szCs w:val="24"/>
              </w:rPr>
              <w:t xml:space="preserve"> </w:t>
            </w:r>
          </w:p>
          <w:p w:rsidR="00C947BD" w:rsidRDefault="00DD4F7A">
            <w:pPr>
              <w:ind w:right="10"/>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Orientación 076-2025.docx: </w:t>
            </w:r>
            <w:r>
              <w:rPr>
                <w:rFonts w:ascii="Palatino Linotype" w:eastAsia="Palatino Linotype" w:hAnsi="Palatino Linotype" w:cs="Palatino Linotype"/>
                <w:i/>
                <w:iCs/>
                <w:sz w:val="24"/>
                <w:szCs w:val="24"/>
              </w:rPr>
              <w:t xml:space="preserve">oficio del Jefe de la Unidad de Planeación y Transparencia, mediante el cual informa su incompetencia y orienta al solicitante a ingresar su solicitud de información al Sistema Nacional Anticorrupción y al Ayuntamiento de Tlalnepantla de Baz. </w:t>
            </w:r>
            <w:r>
              <w:rPr>
                <w:rFonts w:ascii="Palatino Linotype" w:eastAsia="Palatino Linotype" w:hAnsi="Palatino Linotype" w:cs="Palatino Linotype"/>
                <w:b/>
                <w:bCs/>
                <w:i/>
                <w:iCs/>
                <w:sz w:val="24"/>
                <w:szCs w:val="24"/>
              </w:rPr>
              <w:t xml:space="preserve"> </w:t>
            </w:r>
          </w:p>
          <w:p w:rsidR="00C947BD" w:rsidRDefault="00C947BD">
            <w:pPr>
              <w:ind w:right="10"/>
              <w:jc w:val="both"/>
              <w:rPr>
                <w:rFonts w:ascii="Palatino Linotype" w:eastAsia="Palatino Linotype" w:hAnsi="Palatino Linotype" w:cs="Palatino Linotype"/>
                <w:i/>
                <w:iCs/>
                <w:sz w:val="24"/>
                <w:szCs w:val="24"/>
              </w:rPr>
            </w:pPr>
          </w:p>
        </w:tc>
        <w:tc>
          <w:tcPr>
            <w:tcW w:w="2259" w:type="dxa"/>
          </w:tcPr>
          <w:p w:rsidR="00C947BD" w:rsidRDefault="00DD4F7A">
            <w:pPr>
              <w:ind w:right="10"/>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Ratifica respuesta inicial</w:t>
            </w:r>
          </w:p>
          <w:p w:rsidR="00C947BD" w:rsidRDefault="00C947BD">
            <w:pPr>
              <w:ind w:right="10"/>
              <w:jc w:val="both"/>
              <w:rPr>
                <w:rFonts w:ascii="Palatino Linotype" w:eastAsia="Palatino Linotype" w:hAnsi="Palatino Linotype" w:cs="Palatino Linotype"/>
                <w:i/>
                <w:iCs/>
                <w:sz w:val="24"/>
                <w:szCs w:val="24"/>
              </w:rPr>
            </w:pPr>
          </w:p>
        </w:tc>
        <w:tc>
          <w:tcPr>
            <w:tcW w:w="2135" w:type="dxa"/>
          </w:tcPr>
          <w:p w:rsidR="00C947BD" w:rsidRDefault="00DD4F7A">
            <w:pPr>
              <w:ind w:right="10"/>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 xml:space="preserve">Colma toda vez que la información </w:t>
            </w:r>
            <w:r>
              <w:rPr>
                <w:rFonts w:ascii="Palatino Linotype" w:eastAsia="Palatino Linotype" w:hAnsi="Palatino Linotype" w:cs="Palatino Linotype"/>
                <w:i/>
                <w:iCs/>
                <w:sz w:val="24"/>
                <w:szCs w:val="24"/>
              </w:rPr>
              <w:lastRenderedPageBreak/>
              <w:t xml:space="preserve">solicitada no es competencia del de la </w:t>
            </w:r>
            <w:r>
              <w:rPr>
                <w:rFonts w:ascii="Palatino Linotype" w:eastAsia="Palatino Linotype" w:hAnsi="Palatino Linotype" w:cs="Palatino Linotype"/>
                <w:i/>
                <w:iCs/>
                <w:color w:val="000000"/>
                <w:sz w:val="24"/>
                <w:szCs w:val="24"/>
              </w:rPr>
              <w:t>Secretaría Ejecutiva del Sistema Estatal Anticorrupción</w:t>
            </w:r>
            <w:r>
              <w:rPr>
                <w:rFonts w:ascii="Palatino Linotype" w:eastAsia="Palatino Linotype" w:hAnsi="Palatino Linotype" w:cs="Palatino Linotype"/>
                <w:i/>
                <w:iCs/>
                <w:sz w:val="24"/>
                <w:szCs w:val="24"/>
              </w:rPr>
              <w:t xml:space="preserve">, toda vez que se solicita información del Sistema Nacional Anticorrupción y del Ayuntamiento de Tlalnepantla de Baz.   </w:t>
            </w:r>
          </w:p>
        </w:tc>
      </w:tr>
    </w:tbl>
    <w:p w:rsidR="00C947BD" w:rsidRDefault="00C947BD">
      <w:pPr>
        <w:spacing w:after="0" w:line="360" w:lineRule="auto"/>
        <w:ind w:right="-929"/>
        <w:jc w:val="both"/>
        <w:rPr>
          <w:rFonts w:ascii="Palatino Linotype" w:eastAsia="Palatino Linotype" w:hAnsi="Palatino Linotype" w:cs="Palatino Linotype"/>
          <w:b/>
          <w:bCs/>
          <w:i/>
          <w:iCs/>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En esa línea, se debe de analizar que la información solicitada forma parte del Sistema Nacional Anticorrupción y no de la </w:t>
      </w:r>
      <w:r>
        <w:rPr>
          <w:rFonts w:ascii="Palatino Linotype" w:eastAsia="Palatino Linotype" w:hAnsi="Palatino Linotype" w:cs="Palatino Linotype"/>
          <w:b/>
          <w:bCs/>
          <w:color w:val="000000"/>
          <w:sz w:val="24"/>
          <w:szCs w:val="24"/>
        </w:rPr>
        <w:t xml:space="preserve">Secretaría Ejecutiva del Sistema Estatal Anticorrupción, </w:t>
      </w:r>
      <w:r>
        <w:rPr>
          <w:rFonts w:ascii="Palatino Linotype" w:eastAsia="Palatino Linotype" w:hAnsi="Palatino Linotype" w:cs="Palatino Linotype"/>
          <w:color w:val="000000"/>
          <w:sz w:val="24"/>
          <w:szCs w:val="24"/>
        </w:rPr>
        <w:t xml:space="preserve">de acuerdo con lo siguiente. </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lastRenderedPageBreak/>
        <w:t xml:space="preserve">De lo anterior, se debe de establecer que el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solicita información de los informes del Sistema Nacional Anticorrupción y del municipio de Ayuntamiento Tlalnepantla de Baz, situación por la cual se hace el siguiente </w:t>
      </w:r>
      <w:r>
        <w:rPr>
          <w:rFonts w:ascii="Palatino Linotype" w:eastAsia="Palatino Linotype" w:hAnsi="Palatino Linotype" w:cs="Palatino Linotype"/>
          <w:sz w:val="24"/>
          <w:szCs w:val="24"/>
        </w:rPr>
        <w:t>análisis</w:t>
      </w:r>
      <w:r>
        <w:rPr>
          <w:rFonts w:ascii="Palatino Linotype" w:eastAsia="Palatino Linotype" w:hAnsi="Palatino Linotype" w:cs="Palatino Linotype"/>
          <w:color w:val="000000"/>
          <w:sz w:val="24"/>
          <w:szCs w:val="24"/>
        </w:rPr>
        <w:t xml:space="preserve">. </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En esa  línea, se analiza que la </w:t>
      </w:r>
      <w:r>
        <w:rPr>
          <w:rFonts w:ascii="Palatino Linotype" w:eastAsia="Palatino Linotype" w:hAnsi="Palatino Linotype" w:cs="Palatino Linotype"/>
          <w:sz w:val="24"/>
          <w:szCs w:val="24"/>
        </w:rPr>
        <w:t>Secretaría</w:t>
      </w:r>
      <w:r>
        <w:rPr>
          <w:rFonts w:ascii="Palatino Linotype" w:eastAsia="Palatino Linotype" w:hAnsi="Palatino Linotype" w:cs="Palatino Linotype"/>
          <w:color w:val="000000"/>
          <w:sz w:val="24"/>
          <w:szCs w:val="24"/>
        </w:rPr>
        <w:t xml:space="preserve"> Ejecutiva del Estatal Anticorrupción de acuerdo con el Manual General de Organización del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tiene las siguientes funciones. </w:t>
      </w:r>
    </w:p>
    <w:p w:rsidR="00C947BD" w:rsidRDefault="00DD4F7A">
      <w:pPr>
        <w:spacing w:after="0" w:line="240" w:lineRule="auto"/>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Artículo 35.- Corresponde al Secretario Técnico, ejercer la dirección de la Secretaría Ejecutiva y contará con las facultades siguientes: </w:t>
      </w:r>
    </w:p>
    <w:p w:rsidR="00C947BD" w:rsidRDefault="00DD4F7A">
      <w:pPr>
        <w:numPr>
          <w:ilvl w:val="0"/>
          <w:numId w:val="4"/>
        </w:numPr>
        <w:pBdr>
          <w:top w:val="nil"/>
          <w:left w:val="nil"/>
          <w:bottom w:val="nil"/>
          <w:right w:val="nil"/>
          <w:between w:val="nil"/>
        </w:pBdr>
        <w:spacing w:after="0" w:line="240" w:lineRule="auto"/>
        <w:ind w:left="1134" w:right="-92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Administrar y representar legalmente a la Secretaría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Formular oportunamente los programas y acciones de corto, mediano y largo plazo, así como los presupuestos de la Secretaría Ejecutiva y presentarlos para su aprobación. Si dentro de los plazos correspondientes el Secretario Técnico no diere cumplimiento a estas obligaciones, sin perjuicio de la correspondiente responsabilidad, la Secretaría Ejecutiva procederá al desarrollo e integración de tales requisitos.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III. Formular los programas de organización que resulten necesarios para el cumplimiento de las funciones de la Secretaría Ejecutiva</w:t>
      </w:r>
      <w:r>
        <w:rPr>
          <w:i/>
          <w:iCs/>
          <w:color w:val="000000"/>
          <w:sz w:val="24"/>
          <w:szCs w:val="24"/>
        </w:rPr>
        <w:t xml:space="preserve">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IV. Proponer ante su órgano de gobierno los métodos o lineamientos que permitan el óptimo aprovechamiento de los bienes y recursos de la Secretaría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 Tomar las medidas pertinentes a fin que las funciones de la Secretaría Ejecutiva se realicen de manera articulada, congruente y eficaz.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 Establecer los procedimientos para controlar la calidad de los insumos técnicos necesarios para que el Comité Coordinador realice sus funciones y elaborar las propuestas a que se refiere esta Ley.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VII. Proponer al órgano de gobierno de la Secretaría Ejecutiva el nombramiento o la remoción de los dos primeros niveles de servidores de dicho organismo, la fijación de sueldos y demás prestaciones conforme al presupuesto autorizado.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VIII. Recabar información y elementos estadísticos que reflejen el estado de las funciones de la Secretaría Ejecutiva para poder mejorar la gestión de la misma.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IX. Establecer los sistemas de control necesarios para alcanzar las metas u objetivos propuestos.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 Presentar al órgano de gobierno de la Secretaría Ejecutiva el informe del desempeño de las actividades del organismo, incluido el ejercicio de los presupuestos, ingresos y egresos </w:t>
      </w:r>
      <w:r>
        <w:rPr>
          <w:rFonts w:ascii="Palatino Linotype" w:eastAsia="Palatino Linotype" w:hAnsi="Palatino Linotype" w:cs="Palatino Linotype"/>
          <w:i/>
          <w:iCs/>
          <w:color w:val="000000"/>
          <w:sz w:val="24"/>
          <w:szCs w:val="24"/>
        </w:rPr>
        <w:lastRenderedPageBreak/>
        <w:t xml:space="preserve">y los estados financieros correspondientes. En el informe y en los documentos de apoyo se cotejarán las metas propuestas y los compromisos asumidos en relación con los resultados alcanzados.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 Establecer los mecanismos de evaluación que destaquen la eficiencia y la eficacia con que se desempeñe la Secretaría Ejecutiva y presentar a su órgano de gobierno por lo menos dos veces al año la evaluación de gestión correspondiente.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XII. Ejecutar los acuerdos que dicte el órgano de gobierno de la Secretaría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XIII. Suscribir, en su caso, los contratos colectivos e individuales que regulen las relaciones laborales de la Secretaría Ejecutiva con sus trabajadores.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XIV. Las que señalen otras leyes, reglamentos, decretos, acuerdos y demás disposiciones administrativas aplicables en la materia  </w:t>
      </w:r>
    </w:p>
    <w:p w:rsidR="00C947BD" w:rsidRDefault="00C947BD">
      <w:pPr>
        <w:ind w:left="1134" w:right="-929"/>
        <w:jc w:val="both"/>
        <w:rPr>
          <w:rFonts w:ascii="Palatino Linotype" w:eastAsia="Palatino Linotype" w:hAnsi="Palatino Linotype" w:cs="Palatino Linotype"/>
          <w:b/>
          <w:bCs/>
          <w:i/>
          <w:iCs/>
          <w:color w:val="000000"/>
          <w:sz w:val="24"/>
          <w:szCs w:val="24"/>
        </w:rPr>
      </w:pPr>
    </w:p>
    <w:p w:rsidR="00C947BD" w:rsidRDefault="00DD4F7A">
      <w:pPr>
        <w:ind w:left="1134" w:right="-929"/>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Artículo 36.- Adicionalmente el Secretario Técnico tendrá las funciones siguientes: </w:t>
      </w:r>
    </w:p>
    <w:p w:rsidR="00C947BD" w:rsidRDefault="00DD4F7A">
      <w:pPr>
        <w:numPr>
          <w:ilvl w:val="0"/>
          <w:numId w:val="5"/>
        </w:numPr>
        <w:pBdr>
          <w:top w:val="nil"/>
          <w:left w:val="nil"/>
          <w:bottom w:val="nil"/>
          <w:right w:val="nil"/>
          <w:between w:val="nil"/>
        </w:pBdr>
        <w:spacing w:after="0" w:line="240" w:lineRule="auto"/>
        <w:ind w:left="1134" w:right="-929"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Actuar como Secretario del Comité Coordinador y del Órgano de Gobierno de la Secretaría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Ejecutar y dar seguimiento a los acuerdos y resoluciones emitidos por el Comité Coordinador y del órgano de gobierno de la Secretaría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III. Registrar y certificar los acuerdos emitidos por el Comité Coordinador y el órgano de gobierno de la Secretaría Ejecutiva, así como de los instrumentos jurídicos que se generen, integrando el archivo correspondiente en términos de las disposiciones aplicables.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IV. Elaborar los anteproyectos de metodologías, indicadores y políticas integrales, para ser discutidas en la Comisión Ejecutiva y en su caso, sometidas a la consideración del Comité Coordinador.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 Proponer a la Comisión Ejecutiva, las evaluaciones que se llevarán a cabo de las Políticas Integrales a que se refiere la fracción V del artículo 9 de la presente Ley y una vez aprobadas realizarlas.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 Realizar el trabajo técnico para la preparación de documentos que se llevarán como propuestas de acuerdo al Comité Coordinador, al órgano de gobierno de la Secretaría Ejecutiva y a la Comisión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VII. Preparar el proyecto de calendario de los trabajos del Comité Coordinador, del órgano de gobierno de la Secretaría Ejecutiva y de la Comisión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VIII. Elaborar los anteproyectos de Informes del Sistema Estatal Anticorrupción, someterlos a la revisión y observación de la Comisión Ejecutiva y remitirlos al Comité Coordinador para su aprobación.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 xml:space="preserve">IX. Realizar estudios especializados en materias relacionadas con la prevención, detección y disuasión de hechos de corrupción y de faltas administrativas, fiscalización y control de recursos públicos, previo acuerdo del Comité Coordinador.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 Administrar las plataformas digitales que establecerá el Comité Coordinador en términos de esta Ley y conforme a la Ley General del Sistema Nacional Anticorrupción, asegurando el acceso a las mismas de los integrantes del Comité Coordinador y la Comisión Ejecutiva.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XI. Integrar los sistemas de información necesarios para que los resultados de las evaluaciones sean públicos y reflejen los avances o retrocesos en la política estatal anticorrupción. </w:t>
      </w:r>
    </w:p>
    <w:p w:rsidR="00C947BD" w:rsidRDefault="00DD4F7A">
      <w:pPr>
        <w:pBdr>
          <w:top w:val="nil"/>
          <w:left w:val="nil"/>
          <w:bottom w:val="nil"/>
          <w:right w:val="nil"/>
          <w:between w:val="nil"/>
        </w:pBdr>
        <w:spacing w:after="0" w:line="240" w:lineRule="auto"/>
        <w:ind w:left="1134" w:right="-92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XII. Proveer a la Comisión Ejecutiva, los insumos necesarios para la elaboración de las propuestas a que se refiere la presente Ley. Para ello, podrá solicitar la información que estime pertinente para la realización de las actividades que le encomienda esta Ley, de oficio o a solicitud de los integrantes de la Comisión Ejecutiva.</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De los artículos referidos, se colige que la Secretaría Ejecutiva del Sistema Estatal Anticorrupción, no tiene funciones para generar o administrar informes del Sistema Nacional Anticorrupción, así como tampoco de los servidores públicos contratos del Ayuntamiento de Tlalnepantla de Baz y del vínculo de los sistemas con su relación con el Sistema Nacional Anticorrupción.</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En esa línea, se tiene que el área competente para conocer sobre los documentos referidos en la solicitud de información, es el Ayuntamiento de Tlalnepantla de Baz o el Sistema Nacional Anticorrupción y no así el Secretaría Ejecutiva del Sistema Estatal Anticorrupción</w:t>
      </w:r>
    </w:p>
    <w:p w:rsidR="00C947BD" w:rsidRDefault="00C947BD">
      <w:pPr>
        <w:spacing w:after="0" w:line="360" w:lineRule="auto"/>
        <w:ind w:left="360"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De lo anterior, se tiene que el Ayuntamiento de Tlalnepantla de Baz, cuenta con la Coordinación de Seguimiento del Sistema Municipal Anticorrupción, quien de acuerdo con </w:t>
      </w:r>
      <w:r>
        <w:rPr>
          <w:rFonts w:ascii="Palatino Linotype" w:eastAsia="Palatino Linotype" w:hAnsi="Palatino Linotype" w:cs="Palatino Linotype"/>
          <w:color w:val="000000"/>
          <w:sz w:val="24"/>
          <w:szCs w:val="24"/>
        </w:rPr>
        <w:lastRenderedPageBreak/>
        <w:t xml:space="preserve">el Manual de Organización de la Contraloría Interna Municipal, tiene las siguientes funciones. </w:t>
      </w:r>
      <w:r>
        <w:rPr>
          <w:noProof/>
        </w:rPr>
        <w:drawing>
          <wp:anchor distT="0" distB="0" distL="114300" distR="114300" simplePos="0" relativeHeight="251658240" behindDoc="0" locked="0" layoutInCell="1" hidden="0" allowOverlap="1">
            <wp:simplePos x="0" y="0"/>
            <wp:positionH relativeFrom="column">
              <wp:posOffset>825451</wp:posOffset>
            </wp:positionH>
            <wp:positionV relativeFrom="paragraph">
              <wp:posOffset>1103688</wp:posOffset>
            </wp:positionV>
            <wp:extent cx="4156363" cy="149644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156363" cy="1496441"/>
                    </a:xfrm>
                    <a:prstGeom prst="rect">
                      <a:avLst/>
                    </a:prstGeom>
                    <a:ln/>
                  </pic:spPr>
                </pic:pic>
              </a:graphicData>
            </a:graphic>
          </wp:anchor>
        </w:drawing>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DD4F7A">
      <w:pPr>
        <w:spacing w:after="0" w:line="360" w:lineRule="auto"/>
        <w:ind w:right="-929"/>
        <w:jc w:val="center"/>
        <w:rPr>
          <w:rFonts w:ascii="Palatino Linotype" w:eastAsia="Palatino Linotype" w:hAnsi="Palatino Linotype" w:cs="Palatino Linotype"/>
          <w:color w:val="000000"/>
          <w:sz w:val="24"/>
          <w:szCs w:val="24"/>
        </w:rPr>
      </w:pPr>
      <w:r>
        <w:rPr>
          <w:noProof/>
        </w:rPr>
        <w:drawing>
          <wp:anchor distT="0" distB="0" distL="114300" distR="114300" simplePos="0" relativeHeight="251659264" behindDoc="0" locked="0" layoutInCell="1" hidden="0" allowOverlap="1">
            <wp:simplePos x="0" y="0"/>
            <wp:positionH relativeFrom="column">
              <wp:posOffset>821277</wp:posOffset>
            </wp:positionH>
            <wp:positionV relativeFrom="paragraph">
              <wp:posOffset>88768</wp:posOffset>
            </wp:positionV>
            <wp:extent cx="4144709" cy="2541319"/>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144709" cy="2541319"/>
                    </a:xfrm>
                    <a:prstGeom prst="rect">
                      <a:avLst/>
                    </a:prstGeom>
                    <a:ln/>
                  </pic:spPr>
                </pic:pic>
              </a:graphicData>
            </a:graphic>
          </wp:anchor>
        </w:drawing>
      </w: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spacing w:after="0" w:line="360" w:lineRule="auto"/>
        <w:ind w:right="-929"/>
        <w:jc w:val="center"/>
        <w:rPr>
          <w:rFonts w:ascii="Palatino Linotype" w:eastAsia="Palatino Linotype" w:hAnsi="Palatino Linotype" w:cs="Palatino Linotype"/>
          <w:color w:val="000000"/>
          <w:sz w:val="24"/>
          <w:szCs w:val="24"/>
        </w:rPr>
      </w:pP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En esa línea, se debe de referir que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no es competente para conocer de la solicitud de información al solicitarse información directamente del Sistema Nacional de Transparencia y del Ayuntamiento de Tlalnepantla de Baz. </w:t>
      </w:r>
    </w:p>
    <w:p w:rsidR="00C947BD" w:rsidRDefault="00C947BD">
      <w:pPr>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Ahora bien, de las invocaciones normativas anteriores y de la respuesta del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es notorio que del estudio se deriva la incompetencia para el acceso al derecho de información por parte del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por lo que es imperativo traer a estudio </w:t>
      </w:r>
      <w:r>
        <w:rPr>
          <w:rFonts w:ascii="Palatino Linotype" w:eastAsia="Palatino Linotype" w:hAnsi="Palatino Linotype" w:cs="Palatino Linotype"/>
          <w:color w:val="000000"/>
          <w:sz w:val="24"/>
          <w:szCs w:val="24"/>
        </w:rPr>
        <w:lastRenderedPageBreak/>
        <w:t>lo dispuesto por el artículo 167 de la Ley de Transparencia y Acceso a la Información Pública del Estado de México y Municipios, que es de la literalidad siguiente:</w:t>
      </w:r>
    </w:p>
    <w:p w:rsidR="00C947BD" w:rsidRDefault="00DD4F7A">
      <w:pPr>
        <w:tabs>
          <w:tab w:val="left" w:pos="142"/>
          <w:tab w:val="left" w:pos="284"/>
        </w:tabs>
        <w:spacing w:after="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w:t>
      </w:r>
      <w:r>
        <w:rPr>
          <w:rFonts w:ascii="Palatino Linotype" w:eastAsia="Palatino Linotype" w:hAnsi="Palatino Linotype" w:cs="Palatino Linotype"/>
          <w:b/>
          <w:bCs/>
          <w:i/>
          <w:iCs/>
          <w:sz w:val="24"/>
          <w:szCs w:val="24"/>
        </w:rPr>
        <w:t>Artículo 167.</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b/>
          <w:bCs/>
          <w:i/>
          <w:iCs/>
          <w:sz w:val="24"/>
          <w:szCs w:val="24"/>
        </w:rPr>
        <w:t>Cuando las unidades de transparencia determinen la</w:t>
      </w:r>
      <w:r>
        <w:rPr>
          <w:rFonts w:ascii="Palatino Linotype" w:eastAsia="Palatino Linotype" w:hAnsi="Palatino Linotype" w:cs="Palatino Linotype"/>
          <w:i/>
          <w:iCs/>
          <w:sz w:val="24"/>
          <w:szCs w:val="24"/>
        </w:rPr>
        <w:t xml:space="preserve"> notoria </w:t>
      </w:r>
      <w:r>
        <w:rPr>
          <w:rFonts w:ascii="Palatino Linotype" w:eastAsia="Palatino Linotype" w:hAnsi="Palatino Linotype" w:cs="Palatino Linotype"/>
          <w:b/>
          <w:bCs/>
          <w:i/>
          <w:iCs/>
          <w:sz w:val="24"/>
          <w:szCs w:val="24"/>
        </w:rPr>
        <w:t>incompetencia por parte de los sujetos obligados</w:t>
      </w:r>
      <w:r>
        <w:rPr>
          <w:rFonts w:ascii="Palatino Linotype" w:eastAsia="Palatino Linotype" w:hAnsi="Palatino Linotype" w:cs="Palatino Linotype"/>
          <w:i/>
          <w:iCs/>
          <w:sz w:val="24"/>
          <w:szCs w:val="24"/>
        </w:rPr>
        <w:t xml:space="preserve">, dentro del ámbito de aplicación, para atender la solicitud de acceso a la información, </w:t>
      </w:r>
      <w:r>
        <w:rPr>
          <w:rFonts w:ascii="Palatino Linotype" w:eastAsia="Palatino Linotype" w:hAnsi="Palatino Linotype" w:cs="Palatino Linotype"/>
          <w:b/>
          <w:bCs/>
          <w:i/>
          <w:iCs/>
          <w:sz w:val="24"/>
          <w:szCs w:val="24"/>
        </w:rPr>
        <w:t>deberán comunicarlo al solicitante, dentro de los tres días hábiles posteriores a la recepción de la solicitud y, en su caso orientar al solicitante, el o los sujetos obligados competentes.</w:t>
      </w:r>
      <w:r>
        <w:rPr>
          <w:rFonts w:ascii="Palatino Linotype" w:eastAsia="Palatino Linotype" w:hAnsi="Palatino Linotype" w:cs="Palatino Linotype"/>
          <w:i/>
          <w:iCs/>
          <w:sz w:val="24"/>
          <w:szCs w:val="24"/>
        </w:rPr>
        <w:t xml:space="preserve"> </w:t>
      </w:r>
    </w:p>
    <w:p w:rsidR="00C947BD" w:rsidRDefault="00DD4F7A">
      <w:pPr>
        <w:tabs>
          <w:tab w:val="left" w:pos="142"/>
          <w:tab w:val="left" w:pos="284"/>
        </w:tabs>
        <w:spacing w:after="0" w:line="240" w:lineRule="auto"/>
        <w:ind w:left="1134" w:right="-929"/>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Pr>
          <w:rFonts w:ascii="Palatino Linotype" w:eastAsia="Palatino Linotype" w:hAnsi="Palatino Linotype" w:cs="Palatino Linotype"/>
          <w:i/>
          <w:iCs/>
          <w:sz w:val="24"/>
          <w:szCs w:val="24"/>
        </w:rPr>
        <w:t xml:space="preserve">. </w:t>
      </w:r>
    </w:p>
    <w:p w:rsidR="00C947BD" w:rsidRDefault="00DD4F7A">
      <w:pPr>
        <w:tabs>
          <w:tab w:val="left" w:pos="142"/>
          <w:tab w:val="left" w:pos="284"/>
        </w:tabs>
        <w:spacing w:after="0" w:line="240" w:lineRule="auto"/>
        <w:ind w:left="1134"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b/>
          <w:bCs/>
          <w:i/>
          <w:iCs/>
          <w:sz w:val="24"/>
          <w:szCs w:val="24"/>
        </w:rPr>
        <w:t>Si transcurrido el plazo señalado en el primer párrafo de este artículo, el sujeto obligado no declina la competencia en los términos establecidos, podrá canalizar la solicitud ante el sujeto obligado competente.</w:t>
      </w:r>
      <w:r>
        <w:rPr>
          <w:rFonts w:ascii="Palatino Linotype" w:eastAsia="Palatino Linotype" w:hAnsi="Palatino Linotype" w:cs="Palatino Linotype"/>
          <w:i/>
          <w:iCs/>
          <w:sz w:val="24"/>
          <w:szCs w:val="24"/>
        </w:rPr>
        <w:t>”</w:t>
      </w:r>
    </w:p>
    <w:p w:rsidR="00C947BD" w:rsidRDefault="00DD4F7A">
      <w:pPr>
        <w:tabs>
          <w:tab w:val="left" w:pos="142"/>
          <w:tab w:val="left" w:pos="284"/>
        </w:tabs>
        <w:spacing w:after="0" w:line="240" w:lineRule="auto"/>
        <w:ind w:left="1134"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(Énfasis añadido)</w:t>
      </w:r>
    </w:p>
    <w:p w:rsidR="00C947BD" w:rsidRDefault="00C947BD">
      <w:pPr>
        <w:tabs>
          <w:tab w:val="left" w:pos="426"/>
        </w:tabs>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De tal forma que, una vez recibida una solicitud de información,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determine que es incompetente para para poseer, generar o administrar lo solicitado, dentro de los primeros tres días posteriores a la recepción de la solicitud, deberá hacerlo del conocimiento del particular y, deberá orientarlo sobre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competente para atender lo requerido.</w:t>
      </w:r>
    </w:p>
    <w:p w:rsidR="00C947BD" w:rsidRDefault="00C947BD">
      <w:pPr>
        <w:tabs>
          <w:tab w:val="left" w:pos="426"/>
        </w:tabs>
        <w:spacing w:after="0" w:line="360" w:lineRule="auto"/>
        <w:ind w:right="-929"/>
        <w:jc w:val="both"/>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En el presente asunto, de constancias de autos que obran en el  expediente electrónico, se aprecia que el particular promovió su solicitud de información el </w:t>
      </w:r>
      <w:r>
        <w:rPr>
          <w:rFonts w:ascii="Palatino Linotype" w:eastAsia="Palatino Linotype" w:hAnsi="Palatino Linotype" w:cs="Palatino Linotype"/>
          <w:b/>
          <w:bCs/>
          <w:color w:val="000000"/>
          <w:sz w:val="24"/>
          <w:szCs w:val="24"/>
        </w:rPr>
        <w:t>veintiuno de octubre de dos mil veinticinco</w:t>
      </w:r>
      <w:r>
        <w:rPr>
          <w:rFonts w:ascii="Palatino Linotype" w:eastAsia="Palatino Linotype" w:hAnsi="Palatino Linotype" w:cs="Palatino Linotype"/>
          <w:color w:val="000000"/>
          <w:sz w:val="24"/>
          <w:szCs w:val="24"/>
        </w:rPr>
        <w:t xml:space="preserve"> y,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entregó</w:t>
      </w:r>
      <w:r>
        <w:rPr>
          <w:rFonts w:ascii="Palatino Linotype" w:eastAsia="Palatino Linotype" w:hAnsi="Palatino Linotype" w:cs="Palatino Linotype"/>
          <w:color w:val="000000"/>
          <w:sz w:val="24"/>
          <w:szCs w:val="24"/>
        </w:rPr>
        <w:t xml:space="preserve"> su respuesta el </w:t>
      </w:r>
      <w:r>
        <w:rPr>
          <w:rFonts w:ascii="Palatino Linotype" w:eastAsia="Palatino Linotype" w:hAnsi="Palatino Linotype" w:cs="Palatino Linotype"/>
          <w:b/>
          <w:bCs/>
          <w:color w:val="000000"/>
          <w:sz w:val="24"/>
          <w:szCs w:val="24"/>
        </w:rPr>
        <w:t>veinticuatro de octubre de dos mil veinticinco</w:t>
      </w:r>
      <w:r>
        <w:rPr>
          <w:rFonts w:ascii="Palatino Linotype" w:eastAsia="Palatino Linotype" w:hAnsi="Palatino Linotype" w:cs="Palatino Linotype"/>
          <w:color w:val="000000"/>
          <w:sz w:val="24"/>
          <w:szCs w:val="24"/>
        </w:rPr>
        <w:t xml:space="preserve">; esto quiere decir que se declaró la incompetencia el tercer día en que </w:t>
      </w:r>
      <w:r>
        <w:rPr>
          <w:rFonts w:ascii="Palatino Linotype" w:eastAsia="Palatino Linotype" w:hAnsi="Palatino Linotype" w:cs="Palatino Linotype"/>
          <w:sz w:val="24"/>
          <w:szCs w:val="24"/>
        </w:rPr>
        <w:t>ingresó</w:t>
      </w:r>
      <w:r>
        <w:rPr>
          <w:rFonts w:ascii="Palatino Linotype" w:eastAsia="Palatino Linotype" w:hAnsi="Palatino Linotype" w:cs="Palatino Linotype"/>
          <w:color w:val="000000"/>
          <w:sz w:val="24"/>
          <w:szCs w:val="24"/>
        </w:rPr>
        <w:t xml:space="preserve"> la solicitud de información.</w:t>
      </w:r>
    </w:p>
    <w:p w:rsidR="00C947BD" w:rsidRDefault="00C947BD">
      <w:pPr>
        <w:ind w:right="-929"/>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lastRenderedPageBreak/>
        <w:t xml:space="preserve">De lo anterior, es necesario precisar que el </w:t>
      </w:r>
      <w:r>
        <w:rPr>
          <w:rFonts w:ascii="Palatino Linotype" w:eastAsia="Palatino Linotype" w:hAnsi="Palatino Linotype" w:cs="Palatino Linotype"/>
          <w:b/>
          <w:bCs/>
          <w:color w:val="000000"/>
          <w:sz w:val="24"/>
          <w:szCs w:val="24"/>
        </w:rPr>
        <w:t xml:space="preserve"> SUJETO OBLIGADO</w:t>
      </w:r>
      <w:r>
        <w:rPr>
          <w:rFonts w:ascii="Palatino Linotype" w:eastAsia="Palatino Linotype" w:hAnsi="Palatino Linotype" w:cs="Palatino Linotype"/>
          <w:color w:val="000000"/>
          <w:sz w:val="24"/>
          <w:szCs w:val="24"/>
        </w:rPr>
        <w:t xml:space="preserve"> emitió la declaración de incompetencia en tiempo, ya que como </w:t>
      </w:r>
      <w:r>
        <w:rPr>
          <w:rFonts w:ascii="Palatino Linotype" w:eastAsia="Palatino Linotype" w:hAnsi="Palatino Linotype" w:cs="Palatino Linotype"/>
          <w:sz w:val="24"/>
          <w:szCs w:val="24"/>
        </w:rPr>
        <w:t>quedó</w:t>
      </w:r>
      <w:r>
        <w:rPr>
          <w:rFonts w:ascii="Palatino Linotype" w:eastAsia="Palatino Linotype" w:hAnsi="Palatino Linotype" w:cs="Palatino Linotype"/>
          <w:color w:val="000000"/>
          <w:sz w:val="24"/>
          <w:szCs w:val="24"/>
        </w:rPr>
        <w:t xml:space="preserve"> precisado en el párrafo anterior </w:t>
      </w:r>
      <w:r>
        <w:rPr>
          <w:rFonts w:ascii="Palatino Linotype" w:eastAsia="Palatino Linotype" w:hAnsi="Palatino Linotype" w:cs="Palatino Linotype"/>
          <w:sz w:val="24"/>
          <w:szCs w:val="24"/>
        </w:rPr>
        <w:t>declaró</w:t>
      </w:r>
      <w:r>
        <w:rPr>
          <w:rFonts w:ascii="Palatino Linotype" w:eastAsia="Palatino Linotype" w:hAnsi="Palatino Linotype" w:cs="Palatino Linotype"/>
          <w:color w:val="000000"/>
          <w:sz w:val="24"/>
          <w:szCs w:val="24"/>
        </w:rPr>
        <w:t xml:space="preserve"> la inexistencia al tercer día en que </w:t>
      </w:r>
      <w:r>
        <w:rPr>
          <w:rFonts w:ascii="Palatino Linotype" w:eastAsia="Palatino Linotype" w:hAnsi="Palatino Linotype" w:cs="Palatino Linotype"/>
          <w:sz w:val="24"/>
          <w:szCs w:val="24"/>
        </w:rPr>
        <w:t>ingresó</w:t>
      </w:r>
      <w:r>
        <w:rPr>
          <w:rFonts w:ascii="Palatino Linotype" w:eastAsia="Palatino Linotype" w:hAnsi="Palatino Linotype" w:cs="Palatino Linotype"/>
          <w:color w:val="000000"/>
          <w:sz w:val="24"/>
          <w:szCs w:val="24"/>
        </w:rPr>
        <w:t xml:space="preserve"> la solicitud de información. </w:t>
      </w:r>
    </w:p>
    <w:p w:rsidR="00C947BD" w:rsidRDefault="00C947BD">
      <w:pPr>
        <w:pBdr>
          <w:top w:val="nil"/>
          <w:left w:val="nil"/>
          <w:bottom w:val="nil"/>
          <w:right w:val="nil"/>
          <w:between w:val="nil"/>
        </w:pBdr>
        <w:spacing w:after="0" w:line="240" w:lineRule="auto"/>
        <w:ind w:left="720" w:right="-929"/>
        <w:rPr>
          <w:rFonts w:ascii="Palatino Linotype" w:eastAsia="Palatino Linotype" w:hAnsi="Palatino Linotype" w:cs="Palatino Linotype"/>
          <w:color w:val="000000"/>
          <w:sz w:val="24"/>
          <w:szCs w:val="24"/>
        </w:rPr>
      </w:pPr>
    </w:p>
    <w:p w:rsidR="00C947BD" w:rsidRDefault="00DD4F7A">
      <w:pPr>
        <w:numPr>
          <w:ilvl w:val="0"/>
          <w:numId w:val="1"/>
        </w:numPr>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En ese sentido, se dejan a salvo los derechos del particular a efecto de que, de considerarlo oportuno, realice nuevas solicitudes de información dirigidas al </w:t>
      </w:r>
      <w:r>
        <w:rPr>
          <w:rFonts w:ascii="Palatino Linotype" w:eastAsia="Palatino Linotype" w:hAnsi="Palatino Linotype" w:cs="Palatino Linotype"/>
          <w:b/>
          <w:bCs/>
          <w:color w:val="000000"/>
          <w:sz w:val="24"/>
          <w:szCs w:val="24"/>
        </w:rPr>
        <w:t xml:space="preserve">Sistema Nacional de Transparencia o al Ayuntamiento de Tlalnepantla de Baz. </w:t>
      </w:r>
    </w:p>
    <w:p w:rsidR="00C947BD" w:rsidRDefault="00C947BD">
      <w:pPr>
        <w:ind w:right="-929"/>
        <w:rPr>
          <w:rFonts w:ascii="Palatino Linotype" w:eastAsia="Palatino Linotype" w:hAnsi="Palatino Linotype" w:cs="Palatino Linotype"/>
          <w:sz w:val="24"/>
          <w:szCs w:val="24"/>
        </w:rPr>
      </w:pPr>
      <w:bookmarkStart w:id="11" w:name="_heading=h.xb7bvcx39p3a" w:colFirst="0" w:colLast="0"/>
      <w:bookmarkEnd w:id="11"/>
    </w:p>
    <w:p w:rsidR="00C947BD" w:rsidRDefault="00DD4F7A">
      <w:pPr>
        <w:numPr>
          <w:ilvl w:val="0"/>
          <w:numId w:val="1"/>
        </w:numPr>
        <w:pBdr>
          <w:top w:val="nil"/>
          <w:left w:val="nil"/>
          <w:bottom w:val="nil"/>
          <w:right w:val="nil"/>
          <w:between w:val="nil"/>
        </w:pBdr>
        <w:tabs>
          <w:tab w:val="left" w:pos="426"/>
        </w:tabs>
        <w:spacing w:after="0" w:line="360" w:lineRule="auto"/>
        <w:ind w:left="0" w:right="-929" w:firstLine="0"/>
        <w:jc w:val="both"/>
        <w:rPr>
          <w:color w:val="000000"/>
        </w:rPr>
      </w:pPr>
      <w:r>
        <w:rPr>
          <w:rFonts w:ascii="Palatino Linotype" w:eastAsia="Palatino Linotype" w:hAnsi="Palatino Linotype" w:cs="Palatino Linotype"/>
          <w:color w:val="000000"/>
          <w:sz w:val="24"/>
          <w:szCs w:val="24"/>
        </w:rPr>
        <w:t xml:space="preserve">Por lo anteriormente expuesto y fundado, 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 </w:t>
      </w:r>
    </w:p>
    <w:p w:rsidR="00C947BD" w:rsidRDefault="00C947BD">
      <w:pPr>
        <w:pBdr>
          <w:top w:val="nil"/>
          <w:left w:val="nil"/>
          <w:bottom w:val="nil"/>
          <w:right w:val="nil"/>
          <w:between w:val="nil"/>
        </w:pBdr>
        <w:tabs>
          <w:tab w:val="left" w:pos="426"/>
        </w:tabs>
        <w:spacing w:after="0" w:line="360" w:lineRule="auto"/>
        <w:ind w:right="-929"/>
        <w:jc w:val="both"/>
        <w:rPr>
          <w:rFonts w:ascii="Palatino Linotype" w:eastAsia="Palatino Linotype" w:hAnsi="Palatino Linotype" w:cs="Palatino Linotype"/>
          <w:color w:val="000000"/>
          <w:sz w:val="24"/>
          <w:szCs w:val="24"/>
        </w:rPr>
      </w:pPr>
    </w:p>
    <w:p w:rsidR="00C947BD" w:rsidRDefault="00DD4F7A">
      <w:pPr>
        <w:pStyle w:val="Ttulo1"/>
        <w:spacing w:before="0" w:line="360" w:lineRule="auto"/>
        <w:ind w:right="-929"/>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C947BD" w:rsidRDefault="00C947BD">
      <w:pPr>
        <w:spacing w:line="360" w:lineRule="auto"/>
        <w:ind w:right="-929"/>
        <w:rPr>
          <w:rFonts w:ascii="Palatino Linotype" w:eastAsia="Palatino Linotype" w:hAnsi="Palatino Linotype" w:cs="Palatino Linotype"/>
          <w:sz w:val="24"/>
          <w:szCs w:val="24"/>
        </w:rPr>
      </w:pPr>
    </w:p>
    <w:p w:rsidR="00C947BD" w:rsidRDefault="00DD4F7A">
      <w:pPr>
        <w:tabs>
          <w:tab w:val="left" w:pos="8080"/>
        </w:tabs>
        <w:spacing w:line="360" w:lineRule="auto"/>
        <w:ind w:right="-929"/>
        <w:jc w:val="both"/>
        <w:rPr>
          <w:rFonts w:ascii="Palatino Linotype" w:eastAsia="Palatino Linotype" w:hAnsi="Palatino Linotype" w:cs="Palatino Linotype"/>
          <w:sz w:val="24"/>
          <w:szCs w:val="24"/>
        </w:rPr>
      </w:pPr>
      <w:bookmarkStart w:id="12" w:name="_heading=h.hsjgreptvd30" w:colFirst="0" w:colLast="0"/>
      <w:bookmarkEnd w:id="12"/>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xml:space="preserve">. Resultan infundadas las razones o motivos de inconformidad hechos valer en el recurso de revisión </w:t>
      </w:r>
      <w:r>
        <w:rPr>
          <w:rFonts w:ascii="Palatino Linotype" w:eastAsia="Palatino Linotype" w:hAnsi="Palatino Linotype" w:cs="Palatino Linotype"/>
          <w:b/>
          <w:bCs/>
          <w:sz w:val="24"/>
          <w:szCs w:val="24"/>
        </w:rPr>
        <w:t>12613/INFOEM/IP/RR/2025</w:t>
      </w:r>
      <w:r>
        <w:rPr>
          <w:rFonts w:ascii="Palatino Linotype" w:eastAsia="Palatino Linotype" w:hAnsi="Palatino Linotype" w:cs="Palatino Linotype"/>
          <w:sz w:val="24"/>
          <w:szCs w:val="24"/>
        </w:rPr>
        <w:t xml:space="preserve">, en términos del Considerando </w:t>
      </w:r>
      <w:r>
        <w:rPr>
          <w:rFonts w:ascii="Palatino Linotype" w:eastAsia="Palatino Linotype" w:hAnsi="Palatino Linotype" w:cs="Palatino Linotype"/>
          <w:b/>
          <w:bCs/>
          <w:sz w:val="24"/>
          <w:szCs w:val="24"/>
        </w:rPr>
        <w:t>CUARTO</w:t>
      </w:r>
      <w:r>
        <w:rPr>
          <w:rFonts w:ascii="Palatino Linotype" w:eastAsia="Palatino Linotype" w:hAnsi="Palatino Linotype" w:cs="Palatino Linotype"/>
          <w:sz w:val="24"/>
          <w:szCs w:val="24"/>
        </w:rPr>
        <w:t xml:space="preserve"> de la presente resolución.</w:t>
      </w:r>
    </w:p>
    <w:p w:rsidR="00C947BD" w:rsidRDefault="00DD4F7A">
      <w:pPr>
        <w:tabs>
          <w:tab w:val="left" w:pos="8080"/>
        </w:tabs>
        <w:spacing w:line="360" w:lineRule="auto"/>
        <w:ind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SEGUNDO</w:t>
      </w:r>
      <w:r>
        <w:rPr>
          <w:rFonts w:ascii="Palatino Linotype" w:eastAsia="Palatino Linotype" w:hAnsi="Palatino Linotype" w:cs="Palatino Linotype"/>
          <w:sz w:val="24"/>
          <w:szCs w:val="24"/>
        </w:rPr>
        <w:t xml:space="preserve">. Se </w:t>
      </w:r>
      <w:r>
        <w:rPr>
          <w:rFonts w:ascii="Palatino Linotype" w:eastAsia="Palatino Linotype" w:hAnsi="Palatino Linotype" w:cs="Palatino Linotype"/>
          <w:b/>
          <w:bCs/>
          <w:sz w:val="24"/>
          <w:szCs w:val="24"/>
        </w:rPr>
        <w:t>CONFIRMA</w:t>
      </w:r>
      <w:r>
        <w:rPr>
          <w:rFonts w:ascii="Palatino Linotype" w:eastAsia="Palatino Linotype" w:hAnsi="Palatino Linotype" w:cs="Palatino Linotype"/>
          <w:sz w:val="24"/>
          <w:szCs w:val="24"/>
        </w:rPr>
        <w:t xml:space="preserve"> la respuesta emitida por la </w:t>
      </w:r>
      <w:r>
        <w:rPr>
          <w:rFonts w:ascii="Palatino Linotype" w:eastAsia="Palatino Linotype" w:hAnsi="Palatino Linotype" w:cs="Palatino Linotype"/>
          <w:b/>
          <w:bCs/>
          <w:color w:val="000000"/>
          <w:sz w:val="24"/>
          <w:szCs w:val="24"/>
        </w:rPr>
        <w:t xml:space="preserve">Secretaría Ejecutiva del Sistema Estatal Anticorrupción, </w:t>
      </w:r>
      <w:r>
        <w:rPr>
          <w:rFonts w:ascii="Palatino Linotype" w:eastAsia="Palatino Linotype" w:hAnsi="Palatino Linotype" w:cs="Palatino Linotype"/>
          <w:sz w:val="24"/>
          <w:szCs w:val="24"/>
        </w:rPr>
        <w:t xml:space="preserve"> en la solicitud de información </w:t>
      </w:r>
      <w:r>
        <w:rPr>
          <w:rFonts w:ascii="Palatino Linotype" w:eastAsia="Palatino Linotype" w:hAnsi="Palatino Linotype" w:cs="Palatino Linotype"/>
          <w:b/>
          <w:bCs/>
          <w:sz w:val="24"/>
          <w:szCs w:val="24"/>
        </w:rPr>
        <w:t>00076/SESEA/IP/2025</w:t>
      </w:r>
      <w:r>
        <w:rPr>
          <w:rFonts w:ascii="Palatino Linotype" w:eastAsia="Palatino Linotype" w:hAnsi="Palatino Linotype" w:cs="Palatino Linotype"/>
          <w:sz w:val="24"/>
          <w:szCs w:val="24"/>
        </w:rPr>
        <w:t xml:space="preserve">. </w:t>
      </w:r>
    </w:p>
    <w:p w:rsidR="00C947BD" w:rsidRDefault="00DD4F7A">
      <w:pPr>
        <w:shd w:val="clear" w:color="auto" w:fill="FFFFFF"/>
        <w:spacing w:line="360" w:lineRule="auto"/>
        <w:ind w:right="-929"/>
        <w:jc w:val="both"/>
        <w:rPr>
          <w:rFonts w:ascii="Palatino Linotype" w:eastAsia="Palatino Linotype" w:hAnsi="Palatino Linotype" w:cs="Palatino Linotype"/>
          <w:sz w:val="24"/>
          <w:szCs w:val="24"/>
        </w:rPr>
      </w:pPr>
      <w:bookmarkStart w:id="13" w:name="_heading=h.aqnuxggt25mm" w:colFirst="0" w:colLast="0"/>
      <w:bookmarkEnd w:id="13"/>
      <w:r>
        <w:rPr>
          <w:rFonts w:ascii="Palatino Linotype" w:eastAsia="Palatino Linotype" w:hAnsi="Palatino Linotype" w:cs="Palatino Linotype"/>
          <w:b/>
          <w:bCs/>
          <w:sz w:val="24"/>
          <w:szCs w:val="24"/>
        </w:rPr>
        <w:t>TERCERO.</w:t>
      </w:r>
      <w:r>
        <w:rPr>
          <w:rFonts w:ascii="Palatino Linotype" w:eastAsia="Palatino Linotype" w:hAnsi="Palatino Linotype" w:cs="Palatino Linotype"/>
          <w:sz w:val="24"/>
          <w:szCs w:val="24"/>
        </w:rPr>
        <w:t xml:space="preserve"> Notifíquese al Titular de la Unidad de Transparencia del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xml:space="preserve"> vía SAIMEX, para su conocimiento.</w:t>
      </w:r>
    </w:p>
    <w:p w:rsidR="00C947BD" w:rsidRDefault="00DD4F7A">
      <w:pPr>
        <w:shd w:val="clear" w:color="auto" w:fill="FFFFFF"/>
        <w:spacing w:line="360" w:lineRule="auto"/>
        <w:ind w:right="-929"/>
        <w:jc w:val="both"/>
        <w:rPr>
          <w:rFonts w:ascii="Palatino Linotype" w:eastAsia="Palatino Linotype" w:hAnsi="Palatino Linotype" w:cs="Palatino Linotype"/>
          <w:sz w:val="24"/>
          <w:szCs w:val="24"/>
        </w:rPr>
      </w:pPr>
      <w:bookmarkStart w:id="14" w:name="_heading=h.4jlufwppptry" w:colFirst="0" w:colLast="0"/>
      <w:bookmarkEnd w:id="14"/>
      <w:r>
        <w:rPr>
          <w:rFonts w:ascii="Palatino Linotype" w:eastAsia="Palatino Linotype" w:hAnsi="Palatino Linotype" w:cs="Palatino Linotype"/>
          <w:b/>
          <w:bCs/>
          <w:sz w:val="24"/>
          <w:szCs w:val="24"/>
        </w:rPr>
        <w:t>CUARTO.</w:t>
      </w:r>
      <w:r>
        <w:rPr>
          <w:rFonts w:ascii="Palatino Linotype" w:eastAsia="Palatino Linotype" w:hAnsi="Palatino Linotype" w:cs="Palatino Linotype"/>
          <w:sz w:val="24"/>
          <w:szCs w:val="24"/>
        </w:rPr>
        <w:t xml:space="preserve"> Notifíquese a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la presente resolución vía correo electrónico y vía SAIMEX.</w:t>
      </w:r>
    </w:p>
    <w:p w:rsidR="00C947BD" w:rsidRDefault="00C947BD">
      <w:pPr>
        <w:shd w:val="clear" w:color="auto" w:fill="FFFFFF"/>
        <w:spacing w:line="360" w:lineRule="auto"/>
        <w:ind w:right="-929"/>
        <w:jc w:val="both"/>
        <w:rPr>
          <w:rFonts w:ascii="Palatino Linotype" w:eastAsia="Palatino Linotype" w:hAnsi="Palatino Linotype" w:cs="Palatino Linotype"/>
          <w:sz w:val="24"/>
          <w:szCs w:val="24"/>
        </w:rPr>
      </w:pPr>
    </w:p>
    <w:p w:rsidR="00C947BD" w:rsidRDefault="00DD4F7A">
      <w:pPr>
        <w:shd w:val="clear" w:color="auto" w:fill="FFFFFF"/>
        <w:spacing w:line="360" w:lineRule="auto"/>
        <w:ind w:right="-929"/>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QUINTO.</w:t>
      </w:r>
      <w:r>
        <w:rPr>
          <w:rFonts w:ascii="Palatino Linotype" w:eastAsia="Palatino Linotype" w:hAnsi="Palatino Linotype" w:cs="Palatino Linotype"/>
          <w:sz w:val="24"/>
          <w:szCs w:val="24"/>
        </w:rPr>
        <w:t xml:space="preserve"> Se hace del conocimiento de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77FAF" w:rsidRPr="00377FAF" w:rsidRDefault="00377FAF" w:rsidP="00377FAF">
      <w:pPr>
        <w:spacing w:before="240" w:after="240" w:line="360" w:lineRule="auto"/>
        <w:ind w:right="-801" w:firstLine="1"/>
        <w:jc w:val="both"/>
        <w:rPr>
          <w:rFonts w:ascii="Palatino Linotype" w:hAnsi="Palatino Linotype"/>
          <w:sz w:val="24"/>
        </w:rPr>
      </w:pPr>
      <w:bookmarkStart w:id="15" w:name="_Hlk99014733"/>
      <w:r w:rsidRPr="00377FAF">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377FAF">
        <w:rPr>
          <w:rFonts w:ascii="Palatino Linotype" w:hAnsi="Palatino Linotype" w:cs="Palatino Linotype"/>
          <w:color w:val="000000" w:themeColor="text1"/>
          <w:sz w:val="24"/>
        </w:rPr>
        <w:t>ALEXIS TAPIA RAMÍREZ.</w:t>
      </w:r>
    </w:p>
    <w:bookmarkEnd w:id="15"/>
    <w:p w:rsidR="00C947BD" w:rsidRPr="00377FAF" w:rsidRDefault="00C947BD" w:rsidP="00377FAF">
      <w:pPr>
        <w:spacing w:line="360" w:lineRule="auto"/>
        <w:ind w:right="-801"/>
        <w:jc w:val="both"/>
        <w:rPr>
          <w:rFonts w:ascii="Palatino Linotype" w:eastAsia="Palatino Linotype" w:hAnsi="Palatino Linotype" w:cs="Palatino Linotype"/>
          <w:sz w:val="28"/>
          <w:szCs w:val="24"/>
        </w:rPr>
      </w:pPr>
    </w:p>
    <w:p w:rsidR="00C947BD" w:rsidRPr="00377FAF" w:rsidRDefault="00C947BD" w:rsidP="00377FAF">
      <w:pPr>
        <w:spacing w:line="360" w:lineRule="auto"/>
        <w:ind w:right="-801"/>
        <w:jc w:val="both"/>
        <w:rPr>
          <w:rFonts w:ascii="Palatino Linotype" w:eastAsia="Palatino Linotype" w:hAnsi="Palatino Linotype" w:cs="Palatino Linotype"/>
          <w:sz w:val="28"/>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jc w:val="both"/>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Default="00C947BD">
      <w:pPr>
        <w:spacing w:line="360" w:lineRule="auto"/>
        <w:ind w:right="-929"/>
        <w:rPr>
          <w:rFonts w:ascii="Palatino Linotype" w:eastAsia="Palatino Linotype" w:hAnsi="Palatino Linotype" w:cs="Palatino Linotype"/>
          <w:sz w:val="24"/>
          <w:szCs w:val="24"/>
        </w:rPr>
      </w:pPr>
    </w:p>
    <w:p w:rsidR="00C947BD" w:rsidRPr="000A0191" w:rsidRDefault="00C947BD" w:rsidP="000A0191">
      <w:pPr>
        <w:tabs>
          <w:tab w:val="left" w:pos="3374"/>
        </w:tabs>
        <w:spacing w:line="360" w:lineRule="auto"/>
        <w:ind w:right="-929"/>
        <w:rPr>
          <w:rFonts w:ascii="Palatino Linotype" w:eastAsia="Palatino Linotype" w:hAnsi="Palatino Linotype" w:cs="Palatino Linotype"/>
          <w:sz w:val="24"/>
          <w:szCs w:val="24"/>
        </w:rPr>
      </w:pPr>
    </w:p>
    <w:sectPr w:rsidR="00C947BD" w:rsidRPr="000A0191">
      <w:headerReference w:type="even" r:id="rId10"/>
      <w:headerReference w:type="default" r:id="rId11"/>
      <w:footerReference w:type="default" r:id="rId12"/>
      <w:headerReference w:type="first" r:id="rId13"/>
      <w:footerReference w:type="first" r:id="rId14"/>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9F1" w:rsidRDefault="002B69F1">
      <w:pPr>
        <w:spacing w:after="0" w:line="240" w:lineRule="auto"/>
      </w:pPr>
      <w:r>
        <w:separator/>
      </w:r>
    </w:p>
  </w:endnote>
  <w:endnote w:type="continuationSeparator" w:id="0">
    <w:p w:rsidR="002B69F1" w:rsidRDefault="002B6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6CC74F4-3ADB-4B86-AB33-103C1DCB5DA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A220EF13-8ECE-4394-BB44-DA445478C4FD}"/>
    <w:embedBold r:id="rId3" w:fontKey="{AE4A5F42-9C6D-4705-8DAC-13AFB287AA4E}"/>
    <w:embedItalic r:id="rId4" w:fontKey="{954A313E-F125-4579-B6F9-BB3EC53E8CDD}"/>
    <w:embedBoldItalic r:id="rId5" w:fontKey="{EBF9A522-A580-499F-89D4-1FACE52C217E}"/>
  </w:font>
  <w:font w:name="Calibri">
    <w:panose1 w:val="020F0502020204030204"/>
    <w:charset w:val="00"/>
    <w:family w:val="swiss"/>
    <w:pitch w:val="variable"/>
    <w:sig w:usb0="E4002EFF" w:usb1="C200247B" w:usb2="00000009" w:usb3="00000000" w:csb0="000001FF" w:csb1="00000000"/>
    <w:embedRegular r:id="rId6" w:fontKey="{88DE29F3-B9D5-462D-A78F-C99E60F7FBE6}"/>
    <w:embedBold r:id="rId7" w:fontKey="{CFC8DC4F-F38B-429E-B2D0-B6D728316CEF}"/>
    <w:embedItalic r:id="rId8" w:fontKey="{508054D9-5B84-4225-B054-3262269F4CD2}"/>
  </w:font>
  <w:font w:name="Georgia">
    <w:panose1 w:val="02040502050405020303"/>
    <w:charset w:val="00"/>
    <w:family w:val="roman"/>
    <w:pitch w:val="variable"/>
    <w:sig w:usb0="00000287" w:usb1="00000000" w:usb2="00000000" w:usb3="00000000" w:csb0="0000009F" w:csb1="00000000"/>
    <w:embedItalic r:id="rId9" w:fontKey="{DA8837FE-8DA2-4BDD-9D15-A6E26AA9C4AF}"/>
  </w:font>
  <w:font w:name="Cambria">
    <w:panose1 w:val="02040503050406030204"/>
    <w:charset w:val="00"/>
    <w:family w:val="roman"/>
    <w:pitch w:val="variable"/>
    <w:sig w:usb0="E00006FF" w:usb1="420024FF" w:usb2="02000000" w:usb3="00000000" w:csb0="0000019F" w:csb1="00000000"/>
    <w:embedRegular r:id="rId10" w:fontKey="{327C7585-AB6D-4569-AA15-BB2E8412D0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BD" w:rsidRPr="00E44832" w:rsidRDefault="00DD4F7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sidRPr="00E44832">
      <w:rPr>
        <w:rFonts w:ascii="Palatino Linotype" w:eastAsia="Palatino Linotype" w:hAnsi="Palatino Linotype" w:cs="Palatino Linotype"/>
        <w:color w:val="000000"/>
      </w:rPr>
      <w:t xml:space="preserve">Página </w:t>
    </w:r>
    <w:r w:rsidRPr="00E44832">
      <w:rPr>
        <w:rFonts w:ascii="Palatino Linotype" w:eastAsia="Palatino Linotype" w:hAnsi="Palatino Linotype" w:cs="Palatino Linotype"/>
        <w:color w:val="000000"/>
      </w:rPr>
      <w:fldChar w:fldCharType="begin"/>
    </w:r>
    <w:r w:rsidRPr="00E44832">
      <w:rPr>
        <w:rFonts w:ascii="Palatino Linotype" w:eastAsia="Palatino Linotype" w:hAnsi="Palatino Linotype" w:cs="Palatino Linotype"/>
        <w:color w:val="000000"/>
      </w:rPr>
      <w:instrText>PAGE</w:instrText>
    </w:r>
    <w:r w:rsidRPr="00E44832">
      <w:rPr>
        <w:rFonts w:ascii="Palatino Linotype" w:eastAsia="Palatino Linotype" w:hAnsi="Palatino Linotype" w:cs="Palatino Linotype"/>
        <w:color w:val="000000"/>
      </w:rPr>
      <w:fldChar w:fldCharType="separate"/>
    </w:r>
    <w:r w:rsidR="008F0BE7">
      <w:rPr>
        <w:rFonts w:ascii="Palatino Linotype" w:eastAsia="Palatino Linotype" w:hAnsi="Palatino Linotype" w:cs="Palatino Linotype"/>
        <w:noProof/>
        <w:color w:val="000000"/>
      </w:rPr>
      <w:t>7</w:t>
    </w:r>
    <w:r w:rsidRPr="00E44832">
      <w:rPr>
        <w:rFonts w:ascii="Palatino Linotype" w:eastAsia="Palatino Linotype" w:hAnsi="Palatino Linotype" w:cs="Palatino Linotype"/>
        <w:color w:val="000000"/>
      </w:rPr>
      <w:fldChar w:fldCharType="end"/>
    </w:r>
    <w:r w:rsidRPr="00E44832">
      <w:rPr>
        <w:rFonts w:ascii="Palatino Linotype" w:eastAsia="Palatino Linotype" w:hAnsi="Palatino Linotype" w:cs="Palatino Linotype"/>
        <w:color w:val="000000"/>
      </w:rPr>
      <w:t xml:space="preserve"> de </w:t>
    </w:r>
    <w:r w:rsidRPr="00E44832">
      <w:rPr>
        <w:rFonts w:ascii="Palatino Linotype" w:eastAsia="Palatino Linotype" w:hAnsi="Palatino Linotype" w:cs="Palatino Linotype"/>
        <w:color w:val="000000"/>
      </w:rPr>
      <w:fldChar w:fldCharType="begin"/>
    </w:r>
    <w:r w:rsidRPr="00E44832">
      <w:rPr>
        <w:rFonts w:ascii="Palatino Linotype" w:eastAsia="Palatino Linotype" w:hAnsi="Palatino Linotype" w:cs="Palatino Linotype"/>
        <w:color w:val="000000"/>
      </w:rPr>
      <w:instrText>NUMPAGES</w:instrText>
    </w:r>
    <w:r w:rsidRPr="00E44832">
      <w:rPr>
        <w:rFonts w:ascii="Palatino Linotype" w:eastAsia="Palatino Linotype" w:hAnsi="Palatino Linotype" w:cs="Palatino Linotype"/>
        <w:color w:val="000000"/>
      </w:rPr>
      <w:fldChar w:fldCharType="separate"/>
    </w:r>
    <w:r w:rsidR="008F0BE7">
      <w:rPr>
        <w:rFonts w:ascii="Palatino Linotype" w:eastAsia="Palatino Linotype" w:hAnsi="Palatino Linotype" w:cs="Palatino Linotype"/>
        <w:noProof/>
        <w:color w:val="000000"/>
      </w:rPr>
      <w:t>19</w:t>
    </w:r>
    <w:r w:rsidRPr="00E44832">
      <w:rPr>
        <w:rFonts w:ascii="Palatino Linotype" w:eastAsia="Palatino Linotype" w:hAnsi="Palatino Linotype" w:cs="Palatino Linotype"/>
        <w:color w:val="000000"/>
      </w:rPr>
      <w:fldChar w:fldCharType="end"/>
    </w:r>
  </w:p>
  <w:p w:rsidR="00C947BD" w:rsidRDefault="00C947BD">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BD" w:rsidRDefault="00DD4F7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8F0BE7">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8F0BE7">
      <w:rPr>
        <w:rFonts w:ascii="Palatino Linotype" w:eastAsia="Palatino Linotype" w:hAnsi="Palatino Linotype" w:cs="Palatino Linotype"/>
        <w:noProof/>
        <w:color w:val="000000"/>
      </w:rPr>
      <w:t>19</w:t>
    </w:r>
    <w:r>
      <w:rPr>
        <w:rFonts w:ascii="Palatino Linotype" w:eastAsia="Palatino Linotype" w:hAnsi="Palatino Linotype" w:cs="Palatino Linotype"/>
        <w:color w:val="000000"/>
      </w:rPr>
      <w:fldChar w:fldCharType="end"/>
    </w:r>
  </w:p>
  <w:p w:rsidR="00C947BD" w:rsidRDefault="00C947BD">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9F1" w:rsidRDefault="002B69F1">
      <w:pPr>
        <w:spacing w:after="0" w:line="240" w:lineRule="auto"/>
      </w:pPr>
      <w:r>
        <w:separator/>
      </w:r>
    </w:p>
  </w:footnote>
  <w:footnote w:type="continuationSeparator" w:id="0">
    <w:p w:rsidR="002B69F1" w:rsidRDefault="002B69F1">
      <w:pPr>
        <w:spacing w:after="0" w:line="240" w:lineRule="auto"/>
      </w:pPr>
      <w:r>
        <w:continuationSeparator/>
      </w:r>
    </w:p>
  </w:footnote>
  <w:footnote w:id="1">
    <w:p w:rsidR="00C947BD" w:rsidRDefault="00DD4F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C947BD" w:rsidRDefault="00DD4F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C947BD" w:rsidRDefault="00DD4F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C947BD" w:rsidRDefault="00DD4F7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7BD" w:rsidRDefault="002B69F1">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95" w:type="dxa"/>
      <w:tblInd w:w="2694" w:type="dxa"/>
      <w:tblLayout w:type="fixed"/>
      <w:tblLook w:val="0400" w:firstRow="0" w:lastRow="0" w:firstColumn="0" w:lastColumn="0" w:noHBand="0" w:noVBand="1"/>
    </w:tblPr>
    <w:tblGrid>
      <w:gridCol w:w="2970"/>
      <w:gridCol w:w="4725"/>
    </w:tblGrid>
    <w:tr w:rsidR="00C947BD">
      <w:trPr>
        <w:trHeight w:val="227"/>
      </w:trPr>
      <w:tc>
        <w:tcPr>
          <w:tcW w:w="2970" w:type="dxa"/>
          <w:vAlign w:val="center"/>
        </w:tcPr>
        <w:p w:rsidR="00C947BD" w:rsidRDefault="00DD4F7A" w:rsidP="00E4483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72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12613/INFOEM/IP/RR/2025</w:t>
          </w:r>
        </w:p>
      </w:tc>
    </w:tr>
    <w:tr w:rsidR="00C947BD">
      <w:trPr>
        <w:trHeight w:val="242"/>
      </w:trPr>
      <w:tc>
        <w:tcPr>
          <w:tcW w:w="2970" w:type="dxa"/>
          <w:vAlign w:val="center"/>
        </w:tcPr>
        <w:p w:rsidR="00C947BD" w:rsidRDefault="00DD4F7A" w:rsidP="00E4483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72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Secretaría Ejecutiva del Sistema Estatal Anticorrupción</w:t>
          </w:r>
        </w:p>
      </w:tc>
    </w:tr>
    <w:tr w:rsidR="00C947BD">
      <w:trPr>
        <w:trHeight w:val="342"/>
      </w:trPr>
      <w:tc>
        <w:tcPr>
          <w:tcW w:w="2970" w:type="dxa"/>
          <w:vAlign w:val="center"/>
        </w:tcPr>
        <w:p w:rsidR="00C947BD" w:rsidRDefault="00DD4F7A" w:rsidP="00E44832">
          <w:pPr>
            <w:spacing w:after="0"/>
            <w:ind w:right="3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72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145"/>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María del Rosario Mejía Ayala</w:t>
          </w:r>
        </w:p>
      </w:tc>
    </w:tr>
  </w:tbl>
  <w:p w:rsidR="00C947BD" w:rsidRDefault="002B69F1">
    <w:pPr>
      <w:pBdr>
        <w:top w:val="nil"/>
        <w:left w:val="nil"/>
        <w:bottom w:val="nil"/>
        <w:right w:val="nil"/>
        <w:between w:val="nil"/>
      </w:pBdr>
      <w:tabs>
        <w:tab w:val="center" w:pos="4419"/>
        <w:tab w:val="right" w:pos="8838"/>
        <w:tab w:val="left" w:pos="6005"/>
      </w:tabs>
      <w:spacing w:after="0" w:line="240" w:lineRule="auto"/>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80" w:type="dxa"/>
      <w:tblInd w:w="2552" w:type="dxa"/>
      <w:tblLayout w:type="fixed"/>
      <w:tblLook w:val="0400" w:firstRow="0" w:lastRow="0" w:firstColumn="0" w:lastColumn="0" w:noHBand="0" w:noVBand="1"/>
    </w:tblPr>
    <w:tblGrid>
      <w:gridCol w:w="2985"/>
      <w:gridCol w:w="4695"/>
    </w:tblGrid>
    <w:tr w:rsidR="00C947BD">
      <w:trPr>
        <w:trHeight w:val="524"/>
      </w:trPr>
      <w:tc>
        <w:tcPr>
          <w:tcW w:w="2985" w:type="dxa"/>
          <w:vAlign w:val="center"/>
        </w:tcPr>
        <w:p w:rsidR="00C947BD" w:rsidRDefault="00DD4F7A" w:rsidP="00E44832">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69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01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12613/INFOEM/IP/RR/2025</w:t>
          </w:r>
        </w:p>
      </w:tc>
    </w:tr>
    <w:tr w:rsidR="00C947BD">
      <w:trPr>
        <w:trHeight w:val="242"/>
      </w:trPr>
      <w:tc>
        <w:tcPr>
          <w:tcW w:w="2985" w:type="dxa"/>
          <w:vAlign w:val="center"/>
        </w:tcPr>
        <w:p w:rsidR="00C947BD" w:rsidRDefault="00DD4F7A" w:rsidP="00E44832">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4695" w:type="dxa"/>
        </w:tcPr>
        <w:p w:rsidR="00C947BD" w:rsidRDefault="00DD4F7A" w:rsidP="008F0BE7">
          <w:pPr>
            <w:pBdr>
              <w:top w:val="nil"/>
              <w:left w:val="nil"/>
              <w:bottom w:val="nil"/>
              <w:right w:val="nil"/>
              <w:between w:val="nil"/>
            </w:pBdr>
            <w:tabs>
              <w:tab w:val="center" w:pos="4419"/>
              <w:tab w:val="right" w:pos="8838"/>
              <w:tab w:val="left" w:pos="521"/>
            </w:tabs>
            <w:spacing w:after="0" w:line="240" w:lineRule="auto"/>
            <w:ind w:right="-101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w:t>
          </w:r>
          <w:r w:rsidR="008F0BE7">
            <w:rPr>
              <w:rFonts w:ascii="Palatino Linotype" w:eastAsia="Palatino Linotype" w:hAnsi="Palatino Linotype" w:cs="Palatino Linotype"/>
              <w:sz w:val="24"/>
              <w:szCs w:val="24"/>
            </w:rPr>
            <w:t>XXXX</w:t>
          </w:r>
        </w:p>
      </w:tc>
    </w:tr>
    <w:tr w:rsidR="00C947BD">
      <w:trPr>
        <w:trHeight w:val="342"/>
      </w:trPr>
      <w:tc>
        <w:tcPr>
          <w:tcW w:w="2985" w:type="dxa"/>
          <w:vAlign w:val="center"/>
        </w:tcPr>
        <w:p w:rsidR="00C947BD" w:rsidRDefault="00DD4F7A" w:rsidP="00E44832">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69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01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Secretaría Ejecutiva del Sistema Estatal Anticorrupción</w:t>
          </w:r>
        </w:p>
      </w:tc>
    </w:tr>
    <w:tr w:rsidR="00C947BD">
      <w:trPr>
        <w:trHeight w:val="342"/>
      </w:trPr>
      <w:tc>
        <w:tcPr>
          <w:tcW w:w="2985" w:type="dxa"/>
          <w:vAlign w:val="center"/>
        </w:tcPr>
        <w:p w:rsidR="00C947BD" w:rsidRDefault="00DD4F7A" w:rsidP="00E44832">
          <w:pPr>
            <w:spacing w:after="0"/>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695" w:type="dxa"/>
          <w:vAlign w:val="center"/>
        </w:tcPr>
        <w:p w:rsidR="00C947BD" w:rsidRDefault="00DD4F7A" w:rsidP="00E44832">
          <w:pPr>
            <w:pBdr>
              <w:top w:val="nil"/>
              <w:left w:val="nil"/>
              <w:bottom w:val="nil"/>
              <w:right w:val="nil"/>
              <w:between w:val="nil"/>
            </w:pBdr>
            <w:tabs>
              <w:tab w:val="center" w:pos="4419"/>
              <w:tab w:val="right" w:pos="8838"/>
            </w:tabs>
            <w:spacing w:after="0" w:line="240" w:lineRule="auto"/>
            <w:ind w:right="-101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C947BD" w:rsidRDefault="002B69F1">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2893"/>
    <w:multiLevelType w:val="multilevel"/>
    <w:tmpl w:val="A3D49386"/>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 w15:restartNumberingAfterBreak="0">
    <w:nsid w:val="01A0107E"/>
    <w:multiLevelType w:val="multilevel"/>
    <w:tmpl w:val="E8A0F5C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95F20B2"/>
    <w:multiLevelType w:val="multilevel"/>
    <w:tmpl w:val="0ACA51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1651091"/>
    <w:multiLevelType w:val="multilevel"/>
    <w:tmpl w:val="561AA152"/>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2386742E"/>
    <w:multiLevelType w:val="multilevel"/>
    <w:tmpl w:val="9CB08C7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7B8B5211"/>
    <w:multiLevelType w:val="multilevel"/>
    <w:tmpl w:val="5474610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BD"/>
    <w:rsid w:val="000A0191"/>
    <w:rsid w:val="002B69F1"/>
    <w:rsid w:val="00377FAF"/>
    <w:rsid w:val="004F1A69"/>
    <w:rsid w:val="0065571F"/>
    <w:rsid w:val="008F0BE7"/>
    <w:rsid w:val="00B3274C"/>
    <w:rsid w:val="00B40267"/>
    <w:rsid w:val="00C947BD"/>
    <w:rsid w:val="00DD4F7A"/>
    <w:rsid w:val="00E448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2E5960C-54CC-4ABD-95FA-48AFF4F7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line="240" w:lineRule="auto"/>
      <w:outlineLvl w:val="0"/>
    </w:pPr>
    <w:rPr>
      <w:color w:val="2E75B5"/>
      <w:sz w:val="32"/>
      <w:szCs w:val="32"/>
    </w:rPr>
  </w:style>
  <w:style w:type="paragraph" w:styleId="Ttulo2">
    <w:name w:val="heading 2"/>
    <w:basedOn w:val="Normal"/>
    <w:next w:val="Normal"/>
    <w:pPr>
      <w:keepNext/>
      <w:keepLines/>
      <w:spacing w:before="40" w:after="0" w:line="240"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E448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4832"/>
  </w:style>
  <w:style w:type="paragraph" w:styleId="Prrafodelista">
    <w:name w:val="List Paragraph"/>
    <w:basedOn w:val="Normal"/>
    <w:uiPriority w:val="34"/>
    <w:qFormat/>
    <w:rsid w:val="00E44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W6xCH4h5HZ1UixgPqX5A8kVA==">CgMxLjAyDmguejV6dHNldGU2amh5Mg5oLnExbDNzamhzMTR4OTINaC5qa3Y3ZTV3NWp5cjIOaC4zenBlajRiOG5pNmUyDmgudnZpZHN3dHg2Zzh1Mg5oLnBwYmhoaDdkdnR1eTIOaC42eHJwMDdpajJwbngyDmgudTIwbHIyMnZ6djYxMgloLjNyZGNyam4yCWguMjZpbjFyZzIOaC54YjdidmN4MzlwM2EyDmguaHNqZ3JlcHR2ZDMwMg5oLmFxbnV4Z2d0MjVtbTIOaC40amx1ZndwcHB0cnk4AHIhMTJRTElzSWhMOWQ4V0hhQm1BMFdUTnhVSnltMElBQT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4362</Words>
  <Characters>23996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2026-05-21T23:21:00Z</cp:lastPrinted>
  <dcterms:created xsi:type="dcterms:W3CDTF">2026-05-20T22:49:00Z</dcterms:created>
  <dcterms:modified xsi:type="dcterms:W3CDTF">2026-05-29T00:00:00Z</dcterms:modified>
</cp:coreProperties>
</file>