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7333" w:rsidRPr="00120082" w:rsidRDefault="00667A12">
      <w:pPr>
        <w:tabs>
          <w:tab w:val="left" w:pos="3465"/>
        </w:tabs>
        <w:spacing w:line="360" w:lineRule="auto"/>
        <w:ind w:right="49"/>
        <w:jc w:val="both"/>
        <w:rPr>
          <w:rFonts w:ascii="Palatino Linotype" w:eastAsia="Palatino Linotype" w:hAnsi="Palatino Linotype" w:cs="Palatino Linotype"/>
          <w:b/>
        </w:rPr>
      </w:pPr>
      <w:bookmarkStart w:id="0" w:name="_GoBack"/>
      <w:bookmarkEnd w:id="0"/>
      <w:r w:rsidRPr="0012008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120082">
        <w:rPr>
          <w:rFonts w:ascii="Palatino Linotype" w:eastAsia="Palatino Linotype" w:hAnsi="Palatino Linotype" w:cs="Palatino Linotype"/>
          <w:b/>
        </w:rPr>
        <w:t>de fecha once</w:t>
      </w:r>
      <w:r w:rsidR="00120082" w:rsidRPr="00120082">
        <w:rPr>
          <w:rFonts w:ascii="Palatino Linotype" w:eastAsia="Palatino Linotype" w:hAnsi="Palatino Linotype" w:cs="Palatino Linotype"/>
          <w:b/>
        </w:rPr>
        <w:t xml:space="preserve"> (11)</w:t>
      </w:r>
      <w:r w:rsidRPr="00120082">
        <w:rPr>
          <w:rFonts w:ascii="Palatino Linotype" w:eastAsia="Palatino Linotype" w:hAnsi="Palatino Linotype" w:cs="Palatino Linotype"/>
          <w:b/>
        </w:rPr>
        <w:t xml:space="preserve"> de marzo de dos mil veintiséis.</w:t>
      </w:r>
    </w:p>
    <w:p w:rsidR="002D7333" w:rsidRPr="00120082" w:rsidRDefault="002D7333">
      <w:pPr>
        <w:tabs>
          <w:tab w:val="left" w:pos="3465"/>
        </w:tabs>
        <w:spacing w:line="360" w:lineRule="auto"/>
        <w:ind w:right="49"/>
        <w:jc w:val="both"/>
        <w:rPr>
          <w:rFonts w:ascii="Palatino Linotype" w:eastAsia="Palatino Linotype" w:hAnsi="Palatino Linotype" w:cs="Palatino Linotype"/>
        </w:rPr>
      </w:pPr>
    </w:p>
    <w:p w:rsidR="002D7333" w:rsidRPr="00120082" w:rsidRDefault="00667A12">
      <w:pPr>
        <w:spacing w:line="360" w:lineRule="auto"/>
        <w:ind w:right="49"/>
        <w:jc w:val="both"/>
        <w:rPr>
          <w:rFonts w:ascii="Palatino Linotype" w:eastAsia="Palatino Linotype" w:hAnsi="Palatino Linotype" w:cs="Palatino Linotype"/>
        </w:rPr>
      </w:pPr>
      <w:r w:rsidRPr="00120082">
        <w:rPr>
          <w:rFonts w:ascii="Palatino Linotype" w:eastAsia="Palatino Linotype" w:hAnsi="Palatino Linotype" w:cs="Palatino Linotype"/>
          <w:b/>
          <w:bCs/>
        </w:rPr>
        <w:t xml:space="preserve">VISTAS </w:t>
      </w:r>
      <w:r w:rsidRPr="00120082">
        <w:rPr>
          <w:rFonts w:ascii="Palatino Linotype" w:eastAsia="Palatino Linotype" w:hAnsi="Palatino Linotype" w:cs="Palatino Linotype"/>
        </w:rPr>
        <w:t xml:space="preserve">las constancias para resolver el Recurso de Revisión </w:t>
      </w:r>
      <w:r w:rsidRPr="00120082">
        <w:rPr>
          <w:rFonts w:ascii="Palatino Linotype" w:eastAsia="Palatino Linotype" w:hAnsi="Palatino Linotype" w:cs="Palatino Linotype"/>
          <w:b/>
          <w:bCs/>
        </w:rPr>
        <w:t>09993/INFOEM/IP/RR/2025,</w:t>
      </w:r>
      <w:r w:rsidRPr="00120082">
        <w:rPr>
          <w:rFonts w:ascii="Palatino Linotype" w:eastAsia="Palatino Linotype" w:hAnsi="Palatino Linotype" w:cs="Palatino Linotype"/>
        </w:rPr>
        <w:t xml:space="preserve"> presentado por </w:t>
      </w:r>
      <w:r w:rsidRPr="00120082">
        <w:rPr>
          <w:rFonts w:ascii="Palatino Linotype" w:eastAsia="Palatino Linotype" w:hAnsi="Palatino Linotype" w:cs="Palatino Linotype"/>
          <w:b/>
        </w:rPr>
        <w:t>una persona que no aportó datos de identificación</w:t>
      </w:r>
      <w:r w:rsidRPr="00120082">
        <w:rPr>
          <w:rFonts w:ascii="Palatino Linotype" w:eastAsia="Palatino Linotype" w:hAnsi="Palatino Linotype" w:cs="Palatino Linotype"/>
          <w:b/>
          <w:bCs/>
        </w:rPr>
        <w:t>,</w:t>
      </w:r>
      <w:r w:rsidRPr="00120082">
        <w:rPr>
          <w:rFonts w:ascii="Palatino Linotype" w:eastAsia="Palatino Linotype" w:hAnsi="Palatino Linotype" w:cs="Palatino Linotype"/>
        </w:rPr>
        <w:t xml:space="preserve"> a quien en lo sucesivo se denominará </w:t>
      </w:r>
      <w:r w:rsidRPr="00120082">
        <w:rPr>
          <w:rFonts w:ascii="Palatino Linotype" w:eastAsia="Palatino Linotype" w:hAnsi="Palatino Linotype" w:cs="Palatino Linotype"/>
          <w:b/>
          <w:bCs/>
        </w:rPr>
        <w:t>EL RECURRENTE</w:t>
      </w:r>
      <w:r w:rsidRPr="00120082">
        <w:rPr>
          <w:rFonts w:ascii="Palatino Linotype" w:eastAsia="Palatino Linotype" w:hAnsi="Palatino Linotype" w:cs="Palatino Linotype"/>
        </w:rPr>
        <w:t xml:space="preserve">, en contra de la respuesta otorgada a la Solicitud de Información con número de folio </w:t>
      </w:r>
      <w:r w:rsidRPr="00120082">
        <w:rPr>
          <w:rFonts w:ascii="Palatino Linotype" w:eastAsia="Palatino Linotype" w:hAnsi="Palatino Linotype" w:cs="Palatino Linotype"/>
          <w:b/>
          <w:bCs/>
        </w:rPr>
        <w:t>04192/TOLUCA/IP/2025</w:t>
      </w:r>
      <w:r w:rsidRPr="00120082">
        <w:rPr>
          <w:rFonts w:ascii="Palatino Linotype" w:eastAsia="Palatino Linotype" w:hAnsi="Palatino Linotype" w:cs="Palatino Linotype"/>
        </w:rPr>
        <w:t xml:space="preserve">, por parte de la </w:t>
      </w:r>
      <w:r w:rsidRPr="00120082">
        <w:rPr>
          <w:rFonts w:ascii="Palatino Linotype" w:eastAsia="Palatino Linotype" w:hAnsi="Palatino Linotype" w:cs="Palatino Linotype"/>
          <w:b/>
          <w:bCs/>
        </w:rPr>
        <w:t xml:space="preserve">Ayuntamiento de Toluca, </w:t>
      </w:r>
      <w:r w:rsidRPr="00120082">
        <w:rPr>
          <w:rFonts w:ascii="Palatino Linotype" w:eastAsia="Palatino Linotype" w:hAnsi="Palatino Linotype" w:cs="Palatino Linotype"/>
        </w:rPr>
        <w:t xml:space="preserve">en adelante </w:t>
      </w:r>
      <w:r w:rsidRPr="00120082">
        <w:rPr>
          <w:rFonts w:ascii="Palatino Linotype" w:eastAsia="Palatino Linotype" w:hAnsi="Palatino Linotype" w:cs="Palatino Linotype"/>
          <w:b/>
          <w:bCs/>
        </w:rPr>
        <w:t>EL SUJETO OBLIGADO,</w:t>
      </w:r>
      <w:r w:rsidRPr="00120082">
        <w:rPr>
          <w:rFonts w:ascii="Palatino Linotype" w:eastAsia="Palatino Linotype" w:hAnsi="Palatino Linotype" w:cs="Palatino Linotype"/>
        </w:rPr>
        <w:t xml:space="preserve"> se emite la presente Resolución con base en los siguientes:</w:t>
      </w:r>
    </w:p>
    <w:p w:rsidR="002D7333" w:rsidRPr="00120082" w:rsidRDefault="002D7333">
      <w:pPr>
        <w:spacing w:line="360" w:lineRule="auto"/>
        <w:ind w:right="49"/>
        <w:jc w:val="both"/>
        <w:rPr>
          <w:rFonts w:ascii="Palatino Linotype" w:eastAsia="Palatino Linotype" w:hAnsi="Palatino Linotype" w:cs="Palatino Linotype"/>
        </w:rPr>
      </w:pPr>
    </w:p>
    <w:p w:rsidR="002D7333" w:rsidRPr="00120082" w:rsidRDefault="00667A12">
      <w:pPr>
        <w:pStyle w:val="Ttulo1"/>
        <w:spacing w:before="0" w:line="360" w:lineRule="auto"/>
        <w:ind w:right="49"/>
        <w:jc w:val="center"/>
        <w:rPr>
          <w:rFonts w:ascii="Palatino Linotype" w:eastAsia="Palatino Linotype" w:hAnsi="Palatino Linotype" w:cs="Palatino Linotype"/>
          <w:b/>
          <w:bCs/>
          <w:color w:val="000000"/>
          <w:sz w:val="24"/>
          <w:szCs w:val="24"/>
        </w:rPr>
      </w:pPr>
      <w:bookmarkStart w:id="1" w:name="_heading=h.gjdgxs" w:colFirst="0" w:colLast="0"/>
      <w:bookmarkEnd w:id="1"/>
      <w:r w:rsidRPr="00120082">
        <w:rPr>
          <w:rFonts w:ascii="Palatino Linotype" w:eastAsia="Palatino Linotype" w:hAnsi="Palatino Linotype" w:cs="Palatino Linotype"/>
          <w:b/>
          <w:bCs/>
          <w:color w:val="000000"/>
          <w:sz w:val="24"/>
          <w:szCs w:val="24"/>
        </w:rPr>
        <w:t>A N T E C E D E N T E S</w:t>
      </w:r>
    </w:p>
    <w:p w:rsidR="002D7333" w:rsidRPr="00120082" w:rsidRDefault="002D7333">
      <w:pPr>
        <w:pBdr>
          <w:top w:val="nil"/>
          <w:left w:val="nil"/>
          <w:bottom w:val="nil"/>
          <w:right w:val="nil"/>
          <w:between w:val="nil"/>
        </w:pBdr>
        <w:spacing w:line="360" w:lineRule="auto"/>
        <w:ind w:right="49"/>
        <w:jc w:val="both"/>
        <w:rPr>
          <w:rFonts w:ascii="Palatino Linotype" w:eastAsia="Palatino Linotype" w:hAnsi="Palatino Linotype" w:cs="Palatino Linotype"/>
          <w:b/>
          <w:bCs/>
          <w:color w:val="000000"/>
          <w:u w:val="single"/>
        </w:rPr>
      </w:pPr>
    </w:p>
    <w:p w:rsidR="002D7333" w:rsidRPr="00120082" w:rsidRDefault="00667A12">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El día</w:t>
      </w:r>
      <w:r w:rsidRPr="00120082">
        <w:rPr>
          <w:rFonts w:ascii="Palatino Linotype" w:eastAsia="Palatino Linotype" w:hAnsi="Palatino Linotype" w:cs="Palatino Linotype"/>
          <w:b/>
          <w:bCs/>
          <w:color w:val="000000"/>
        </w:rPr>
        <w:t xml:space="preserve"> siete de agosto dos mil veinticinco</w:t>
      </w:r>
      <w:r w:rsidRPr="00120082">
        <w:rPr>
          <w:rFonts w:ascii="Palatino Linotype" w:eastAsia="Palatino Linotype" w:hAnsi="Palatino Linotype" w:cs="Palatino Linotype"/>
          <w:color w:val="000000"/>
        </w:rPr>
        <w:t>,</w:t>
      </w:r>
      <w:r w:rsidRPr="00120082">
        <w:rPr>
          <w:rFonts w:ascii="Palatino Linotype" w:eastAsia="Palatino Linotype" w:hAnsi="Palatino Linotype" w:cs="Palatino Linotype"/>
          <w:b/>
          <w:bCs/>
          <w:color w:val="000000"/>
        </w:rPr>
        <w:t xml:space="preserve"> </w:t>
      </w:r>
      <w:r w:rsidRPr="00120082">
        <w:rPr>
          <w:rFonts w:ascii="Palatino Linotype" w:eastAsia="Palatino Linotype" w:hAnsi="Palatino Linotype" w:cs="Palatino Linotype"/>
          <w:color w:val="000000"/>
        </w:rPr>
        <w:t>se presentó ante el Sujeto Obligado vía Sistema de Acceso a la Información Mexiquense, en adelante (SAIMEX), la siguiente solicitud de información pública:</w:t>
      </w:r>
    </w:p>
    <w:p w:rsidR="002D7333" w:rsidRPr="00120082" w:rsidRDefault="002D7333">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2D7333" w:rsidRPr="00120082" w:rsidRDefault="00667A12">
      <w:pPr>
        <w:pBdr>
          <w:top w:val="nil"/>
          <w:left w:val="nil"/>
          <w:bottom w:val="nil"/>
          <w:right w:val="nil"/>
          <w:between w:val="nil"/>
        </w:pBdr>
        <w:spacing w:line="360" w:lineRule="auto"/>
        <w:ind w:left="425" w:right="333"/>
        <w:jc w:val="both"/>
        <w:rPr>
          <w:rFonts w:ascii="Palatino Linotype" w:eastAsia="Palatino Linotype" w:hAnsi="Palatino Linotype" w:cs="Palatino Linotype"/>
          <w:i/>
          <w:iCs/>
          <w:color w:val="000000"/>
        </w:rPr>
      </w:pPr>
      <w:r w:rsidRPr="00120082">
        <w:rPr>
          <w:rFonts w:ascii="Palatino Linotype" w:eastAsia="Palatino Linotype" w:hAnsi="Palatino Linotype" w:cs="Palatino Linotype"/>
          <w:i/>
          <w:iCs/>
          <w:color w:val="000000"/>
        </w:rPr>
        <w:t>“</w:t>
      </w:r>
      <w:r w:rsidRPr="00120082">
        <w:rPr>
          <w:rFonts w:ascii="Palatino Linotype" w:eastAsia="Palatino Linotype" w:hAnsi="Palatino Linotype" w:cs="Palatino Linotype"/>
          <w:i/>
          <w:iCs/>
        </w:rPr>
        <w:t>Solicito el Recibo de Nómina del Director de Seguridad Publica del municipio de Toluca</w:t>
      </w:r>
      <w:r w:rsidRPr="00120082">
        <w:rPr>
          <w:rFonts w:ascii="Palatino Linotype" w:eastAsia="Palatino Linotype" w:hAnsi="Palatino Linotype" w:cs="Palatino Linotype"/>
          <w:i/>
          <w:iCs/>
          <w:color w:val="000000"/>
        </w:rPr>
        <w:t>”</w:t>
      </w:r>
    </w:p>
    <w:p w:rsidR="002D7333" w:rsidRPr="00120082" w:rsidRDefault="002D7333">
      <w:pPr>
        <w:pBdr>
          <w:top w:val="nil"/>
          <w:left w:val="nil"/>
          <w:bottom w:val="nil"/>
          <w:right w:val="nil"/>
          <w:between w:val="nil"/>
        </w:pBdr>
        <w:spacing w:line="360" w:lineRule="auto"/>
        <w:ind w:left="425" w:right="49"/>
        <w:jc w:val="both"/>
        <w:rPr>
          <w:rFonts w:ascii="Palatino Linotype" w:eastAsia="Palatino Linotype" w:hAnsi="Palatino Linotype" w:cs="Palatino Linotype"/>
          <w:color w:val="000000"/>
        </w:rPr>
      </w:pPr>
    </w:p>
    <w:p w:rsidR="002D7333" w:rsidRPr="00120082" w:rsidRDefault="00667A12" w:rsidP="00120082">
      <w:pPr>
        <w:numPr>
          <w:ilvl w:val="0"/>
          <w:numId w:val="2"/>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Se eligió como modalidad de entrega de la información: </w:t>
      </w:r>
      <w:r w:rsidRPr="00120082">
        <w:rPr>
          <w:rFonts w:ascii="Palatino Linotype" w:eastAsia="Palatino Linotype" w:hAnsi="Palatino Linotype" w:cs="Palatino Linotype"/>
          <w:b/>
          <w:bCs/>
          <w:color w:val="000000"/>
        </w:rPr>
        <w:t>a través de SAIMEX</w:t>
      </w:r>
    </w:p>
    <w:p w:rsidR="00120082" w:rsidRDefault="00120082" w:rsidP="00120082">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bCs/>
          <w:color w:val="000000"/>
        </w:rPr>
      </w:pPr>
    </w:p>
    <w:p w:rsidR="00120082" w:rsidRPr="00120082" w:rsidRDefault="00120082" w:rsidP="00120082">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rsidR="002D7333" w:rsidRPr="00120082" w:rsidRDefault="00667A12">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bCs/>
        </w:rPr>
      </w:pPr>
      <w:r w:rsidRPr="00120082">
        <w:rPr>
          <w:rFonts w:ascii="Palatino Linotype" w:eastAsia="Palatino Linotype" w:hAnsi="Palatino Linotype" w:cs="Palatino Linotype"/>
          <w:color w:val="000000"/>
        </w:rPr>
        <w:lastRenderedPageBreak/>
        <w:t xml:space="preserve">El </w:t>
      </w:r>
      <w:r w:rsidRPr="00120082">
        <w:rPr>
          <w:rFonts w:ascii="Palatino Linotype" w:eastAsia="Palatino Linotype" w:hAnsi="Palatino Linotype" w:cs="Palatino Linotype"/>
          <w:b/>
          <w:bCs/>
          <w:color w:val="000000"/>
        </w:rPr>
        <w:t>dieciocho de agosto de dos mil veinticinco</w:t>
      </w:r>
      <w:r w:rsidRPr="00120082">
        <w:rPr>
          <w:rFonts w:ascii="Palatino Linotype" w:eastAsia="Palatino Linotype" w:hAnsi="Palatino Linotype" w:cs="Palatino Linotype"/>
          <w:color w:val="000000"/>
        </w:rPr>
        <w:t xml:space="preserve">, </w:t>
      </w:r>
      <w:r w:rsidRPr="00120082">
        <w:rPr>
          <w:rFonts w:ascii="Palatino Linotype" w:eastAsia="Palatino Linotype" w:hAnsi="Palatino Linotype" w:cs="Palatino Linotype"/>
        </w:rPr>
        <w:t xml:space="preserve">el </w:t>
      </w:r>
      <w:r w:rsidRPr="00120082">
        <w:rPr>
          <w:rFonts w:ascii="Palatino Linotype" w:eastAsia="Palatino Linotype" w:hAnsi="Palatino Linotype" w:cs="Palatino Linotype"/>
          <w:b/>
          <w:bCs/>
        </w:rPr>
        <w:t xml:space="preserve">SUJETO OBLIGADO </w:t>
      </w:r>
      <w:r w:rsidRPr="00120082">
        <w:rPr>
          <w:rFonts w:ascii="Palatino Linotype" w:eastAsia="Palatino Linotype" w:hAnsi="Palatino Linotype" w:cs="Palatino Linotype"/>
        </w:rPr>
        <w:t xml:space="preserve">dio respuesta a la solicitud de acceso a la información a través de SAIMEX, mediante un archivo electrónico denominado </w:t>
      </w:r>
      <w:r w:rsidRPr="00120082">
        <w:rPr>
          <w:rFonts w:ascii="Palatino Linotype" w:eastAsia="Palatino Linotype" w:hAnsi="Palatino Linotype" w:cs="Palatino Linotype"/>
          <w:b/>
          <w:bCs/>
          <w:i/>
          <w:iCs/>
        </w:rPr>
        <w:t>NOTIF. CIUDADANO S. 4192.pdf</w:t>
      </w:r>
      <w:r w:rsidRPr="00120082">
        <w:rPr>
          <w:rFonts w:ascii="Palatino Linotype" w:eastAsia="Palatino Linotype" w:hAnsi="Palatino Linotype" w:cs="Palatino Linotype"/>
        </w:rPr>
        <w:t>, cuyo contenido corresponde de manera general corresponde a una nota informativa suscrita por la Directora de Recursos Humanos a través de la cual informa al solicitante que la información de su interés puede ser consultada en la siguiente página de Internet: https://ipomex.org.mx/ipomex/#/info-fraccion/11/197/28</w:t>
      </w:r>
    </w:p>
    <w:p w:rsidR="002D7333" w:rsidRPr="00120082" w:rsidRDefault="002D7333">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rsidR="002D7333" w:rsidRPr="00120082" w:rsidRDefault="00667A12">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color w:val="000000"/>
        </w:rPr>
        <w:t>El</w:t>
      </w:r>
      <w:r w:rsidRPr="00120082">
        <w:rPr>
          <w:rFonts w:ascii="Palatino Linotype" w:eastAsia="Palatino Linotype" w:hAnsi="Palatino Linotype" w:cs="Palatino Linotype"/>
          <w:b/>
          <w:bCs/>
          <w:color w:val="000000"/>
        </w:rPr>
        <w:t xml:space="preserve"> </w:t>
      </w:r>
      <w:r w:rsidRPr="00120082">
        <w:rPr>
          <w:rFonts w:ascii="Palatino Linotype" w:eastAsia="Palatino Linotype" w:hAnsi="Palatino Linotype" w:cs="Palatino Linotype"/>
          <w:b/>
          <w:bCs/>
        </w:rPr>
        <w:t xml:space="preserve">veinticinco de agosto de dos mil veinticinco, </w:t>
      </w:r>
      <w:r w:rsidRPr="00120082">
        <w:rPr>
          <w:rFonts w:ascii="Palatino Linotype" w:eastAsia="Palatino Linotype" w:hAnsi="Palatino Linotype" w:cs="Palatino Linotype"/>
        </w:rPr>
        <w:t xml:space="preserve">la parte </w:t>
      </w:r>
      <w:r w:rsidRPr="00120082">
        <w:rPr>
          <w:rFonts w:ascii="Palatino Linotype" w:eastAsia="Palatino Linotype" w:hAnsi="Palatino Linotype" w:cs="Palatino Linotype"/>
          <w:b/>
          <w:bCs/>
        </w:rPr>
        <w:t>Recurrente</w:t>
      </w:r>
      <w:r w:rsidRPr="00120082">
        <w:rPr>
          <w:rFonts w:ascii="Palatino Linotype" w:eastAsia="Palatino Linotype" w:hAnsi="Palatino Linotype" w:cs="Palatino Linotype"/>
        </w:rPr>
        <w:t xml:space="preserve"> interpuso el recurso de revisión a través de </w:t>
      </w:r>
      <w:r w:rsidRPr="00120082">
        <w:rPr>
          <w:rFonts w:ascii="Palatino Linotype" w:eastAsia="Palatino Linotype" w:hAnsi="Palatino Linotype" w:cs="Palatino Linotype"/>
          <w:b/>
          <w:bCs/>
        </w:rPr>
        <w:t xml:space="preserve">SAIMEX, </w:t>
      </w:r>
      <w:r w:rsidRPr="00120082">
        <w:rPr>
          <w:rFonts w:ascii="Palatino Linotype" w:eastAsia="Palatino Linotype" w:hAnsi="Palatino Linotype" w:cs="Palatino Linotype"/>
        </w:rPr>
        <w:t>en donde se manifestó lo siguiente:</w:t>
      </w:r>
    </w:p>
    <w:p w:rsidR="002D7333" w:rsidRPr="00120082" w:rsidRDefault="002D7333">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rsidR="002D7333" w:rsidRPr="00120082" w:rsidRDefault="00120082" w:rsidP="00120082">
      <w:pPr>
        <w:pStyle w:val="Prrafodelista"/>
        <w:numPr>
          <w:ilvl w:val="0"/>
          <w:numId w:val="10"/>
        </w:numPr>
        <w:tabs>
          <w:tab w:val="left" w:pos="2745"/>
        </w:tabs>
        <w:spacing w:line="360" w:lineRule="auto"/>
        <w:ind w:right="616"/>
        <w:jc w:val="both"/>
        <w:rPr>
          <w:rFonts w:ascii="Palatino Linotype" w:eastAsia="Palatino Linotype" w:hAnsi="Palatino Linotype" w:cs="Palatino Linotype"/>
          <w:b/>
          <w:bCs/>
        </w:rPr>
      </w:pPr>
      <w:r w:rsidRPr="00120082">
        <w:rPr>
          <w:rFonts w:ascii="Palatino Linotype" w:eastAsia="Palatino Linotype" w:hAnsi="Palatino Linotype" w:cs="Palatino Linotype"/>
          <w:b/>
          <w:bCs/>
        </w:rPr>
        <w:t xml:space="preserve">ACTO IMPUGNADO: </w:t>
      </w:r>
    </w:p>
    <w:p w:rsidR="002D7333" w:rsidRPr="00120082" w:rsidRDefault="00667A12" w:rsidP="00120082">
      <w:pPr>
        <w:tabs>
          <w:tab w:val="left" w:pos="2745"/>
        </w:tabs>
        <w:spacing w:line="360" w:lineRule="auto"/>
        <w:ind w:right="616"/>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“La respuesta otorgada a la solicitud de información con número de folio 04192/TOLUCA/IP/2025 del sujeto obligado Ayuntamiento de Toluca, en razón de lo que se solicito fue el Recibo de Nómina del Director de Seguridad Publica del municipio de Toluca, no el hipervínculo que plasman en su respuesta que no lleva a ningún lugar.”</w:t>
      </w:r>
    </w:p>
    <w:p w:rsidR="002D7333" w:rsidRPr="00120082" w:rsidRDefault="002D7333" w:rsidP="00120082">
      <w:pPr>
        <w:tabs>
          <w:tab w:val="left" w:pos="2745"/>
        </w:tabs>
        <w:spacing w:line="360" w:lineRule="auto"/>
        <w:ind w:right="616"/>
        <w:jc w:val="both"/>
        <w:rPr>
          <w:rFonts w:ascii="Palatino Linotype" w:eastAsia="Palatino Linotype" w:hAnsi="Palatino Linotype" w:cs="Palatino Linotype"/>
          <w:i/>
          <w:iCs/>
        </w:rPr>
      </w:pPr>
    </w:p>
    <w:p w:rsidR="002D7333" w:rsidRPr="00120082" w:rsidRDefault="00120082" w:rsidP="00120082">
      <w:pPr>
        <w:pStyle w:val="Prrafodelista"/>
        <w:numPr>
          <w:ilvl w:val="0"/>
          <w:numId w:val="10"/>
        </w:numPr>
        <w:spacing w:line="360" w:lineRule="auto"/>
        <w:ind w:right="616"/>
        <w:jc w:val="both"/>
        <w:rPr>
          <w:rFonts w:ascii="Palatino Linotype" w:eastAsia="Palatino Linotype" w:hAnsi="Palatino Linotype" w:cs="Palatino Linotype"/>
        </w:rPr>
      </w:pPr>
      <w:bookmarkStart w:id="2" w:name="_heading=h.30j0zll" w:colFirst="0" w:colLast="0"/>
      <w:bookmarkEnd w:id="2"/>
      <w:r w:rsidRPr="00120082">
        <w:rPr>
          <w:rFonts w:ascii="Palatino Linotype" w:eastAsia="Palatino Linotype" w:hAnsi="Palatino Linotype" w:cs="Palatino Linotype"/>
          <w:b/>
          <w:bCs/>
        </w:rPr>
        <w:t>RAZONES O MOTIVOS DE INCONFORMIDAD</w:t>
      </w:r>
      <w:r w:rsidRPr="00120082">
        <w:rPr>
          <w:rFonts w:ascii="Palatino Linotype" w:eastAsia="Palatino Linotype" w:hAnsi="Palatino Linotype" w:cs="Palatino Linotype"/>
        </w:rPr>
        <w:t>:</w:t>
      </w:r>
    </w:p>
    <w:p w:rsidR="002D7333" w:rsidRPr="00120082" w:rsidRDefault="00667A12" w:rsidP="00120082">
      <w:pPr>
        <w:tabs>
          <w:tab w:val="left" w:pos="2745"/>
        </w:tabs>
        <w:spacing w:line="360" w:lineRule="auto"/>
        <w:ind w:right="616"/>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“No entregan la versión publica del recibo de nomina y no anexan el acta correspondiente del Comité de Transparencia.</w:t>
      </w:r>
      <w:r w:rsidRPr="00120082">
        <w:rPr>
          <w:rFonts w:ascii="Palatino Linotype" w:eastAsia="Palatino Linotype" w:hAnsi="Palatino Linotype" w:cs="Palatino Linotype"/>
          <w:b/>
          <w:bCs/>
          <w:i/>
          <w:iCs/>
        </w:rPr>
        <w:t>”</w:t>
      </w:r>
    </w:p>
    <w:p w:rsidR="002D7333" w:rsidRPr="00120082" w:rsidRDefault="002D7333">
      <w:pPr>
        <w:pBdr>
          <w:top w:val="nil"/>
          <w:left w:val="nil"/>
          <w:bottom w:val="nil"/>
          <w:right w:val="nil"/>
          <w:between w:val="nil"/>
        </w:pBdr>
        <w:spacing w:line="360" w:lineRule="auto"/>
        <w:ind w:left="709" w:right="49"/>
        <w:jc w:val="both"/>
        <w:rPr>
          <w:rFonts w:ascii="Palatino Linotype" w:eastAsia="Palatino Linotype" w:hAnsi="Palatino Linotype" w:cs="Palatino Linotype"/>
          <w:i/>
          <w:iCs/>
          <w:color w:val="000000"/>
        </w:rPr>
      </w:pPr>
    </w:p>
    <w:p w:rsidR="002D7333" w:rsidRPr="00120082" w:rsidRDefault="00667A1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rPr>
        <w:t>Con fecha</w:t>
      </w:r>
      <w:r w:rsidRPr="00120082">
        <w:rPr>
          <w:rFonts w:ascii="Palatino Linotype" w:eastAsia="Palatino Linotype" w:hAnsi="Palatino Linotype" w:cs="Palatino Linotype"/>
          <w:b/>
          <w:bCs/>
        </w:rPr>
        <w:t xml:space="preserve"> dos de septiembre dos mil veinticinco, </w:t>
      </w:r>
      <w:r w:rsidRPr="0012008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Pr="00120082">
        <w:rPr>
          <w:rFonts w:ascii="Palatino Linotype" w:eastAsia="Palatino Linotype" w:hAnsi="Palatino Linotype" w:cs="Palatino Linotype"/>
        </w:rPr>
        <w:lastRenderedPageBreak/>
        <w:t xml:space="preserve">conveniente, ofrecieran pruebas, formularan alegatos y el </w:t>
      </w:r>
      <w:r w:rsidRPr="00120082">
        <w:rPr>
          <w:rFonts w:ascii="Palatino Linotype" w:eastAsia="Palatino Linotype" w:hAnsi="Palatino Linotype" w:cs="Palatino Linotype"/>
          <w:b/>
          <w:bCs/>
        </w:rPr>
        <w:t xml:space="preserve">Sujeto Obligado </w:t>
      </w:r>
      <w:r w:rsidRPr="00120082">
        <w:rPr>
          <w:rFonts w:ascii="Palatino Linotype" w:eastAsia="Palatino Linotype" w:hAnsi="Palatino Linotype" w:cs="Palatino Linotype"/>
        </w:rPr>
        <w:t>presentara su informe justificado.</w:t>
      </w:r>
    </w:p>
    <w:p w:rsidR="002D7333" w:rsidRPr="00120082" w:rsidRDefault="002D7333">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2D7333" w:rsidRPr="00120082" w:rsidRDefault="00667A1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bCs/>
          <w:color w:val="000000"/>
        </w:rPr>
      </w:pPr>
      <w:r w:rsidRPr="00120082">
        <w:rPr>
          <w:rFonts w:ascii="Palatino Linotype" w:eastAsia="Palatino Linotype" w:hAnsi="Palatino Linotype" w:cs="Palatino Linotype"/>
          <w:color w:val="000000"/>
        </w:rPr>
        <w:t>El</w:t>
      </w:r>
      <w:r w:rsidRPr="00120082">
        <w:rPr>
          <w:rFonts w:ascii="Palatino Linotype" w:eastAsia="Palatino Linotype" w:hAnsi="Palatino Linotype" w:cs="Palatino Linotype"/>
          <w:b/>
          <w:bCs/>
          <w:color w:val="000000"/>
        </w:rPr>
        <w:t xml:space="preserve"> SUJETO </w:t>
      </w:r>
      <w:r w:rsidRPr="00120082">
        <w:rPr>
          <w:rFonts w:ascii="Palatino Linotype" w:eastAsia="Palatino Linotype" w:hAnsi="Palatino Linotype" w:cs="Palatino Linotype"/>
          <w:b/>
          <w:bCs/>
        </w:rPr>
        <w:t>OBLIGADO</w:t>
      </w:r>
      <w:r w:rsidRPr="00120082">
        <w:rPr>
          <w:rFonts w:ascii="Palatino Linotype" w:eastAsia="Palatino Linotype" w:hAnsi="Palatino Linotype" w:cs="Palatino Linotype"/>
          <w:b/>
          <w:bCs/>
          <w:color w:val="000000"/>
        </w:rPr>
        <w:t xml:space="preserve"> e</w:t>
      </w:r>
      <w:r w:rsidRPr="00120082">
        <w:rPr>
          <w:rFonts w:ascii="Palatino Linotype" w:eastAsia="Palatino Linotype" w:hAnsi="Palatino Linotype" w:cs="Palatino Linotype"/>
          <w:color w:val="000000"/>
        </w:rPr>
        <w:t xml:space="preserve">n los días </w:t>
      </w:r>
      <w:r w:rsidRPr="00120082">
        <w:rPr>
          <w:rFonts w:ascii="Palatino Linotype" w:eastAsia="Palatino Linotype" w:hAnsi="Palatino Linotype" w:cs="Palatino Linotype"/>
          <w:b/>
          <w:bCs/>
          <w:color w:val="000000"/>
        </w:rPr>
        <w:t xml:space="preserve">once y diecinueve de septiembre de dos </w:t>
      </w:r>
      <w:r w:rsidRPr="00120082">
        <w:rPr>
          <w:rFonts w:ascii="Palatino Linotype" w:eastAsia="Palatino Linotype" w:hAnsi="Palatino Linotype" w:cs="Palatino Linotype"/>
          <w:b/>
          <w:bCs/>
        </w:rPr>
        <w:t>mil</w:t>
      </w:r>
      <w:r w:rsidRPr="00120082">
        <w:rPr>
          <w:rFonts w:ascii="Palatino Linotype" w:eastAsia="Palatino Linotype" w:hAnsi="Palatino Linotype" w:cs="Palatino Linotype"/>
          <w:b/>
          <w:bCs/>
          <w:color w:val="000000"/>
        </w:rPr>
        <w:t xml:space="preserve"> veinticinco </w:t>
      </w:r>
      <w:r w:rsidRPr="00120082">
        <w:rPr>
          <w:rFonts w:ascii="Palatino Linotype" w:eastAsia="Palatino Linotype" w:hAnsi="Palatino Linotype" w:cs="Palatino Linotype"/>
          <w:color w:val="000000"/>
        </w:rPr>
        <w:t>rindió informe justificado por medio de dos oficios suscritos por la Directora General de Administración y el Titular de la Unidad de Transparencia respectivamente, por medio de los cuales ratifican su respuesta inicial sin agregar elementos novedosos.</w:t>
      </w:r>
    </w:p>
    <w:p w:rsidR="002D7333" w:rsidRPr="00120082" w:rsidRDefault="002D7333">
      <w:pPr>
        <w:pBdr>
          <w:top w:val="nil"/>
          <w:left w:val="nil"/>
          <w:bottom w:val="nil"/>
          <w:right w:val="nil"/>
          <w:between w:val="nil"/>
        </w:pBdr>
        <w:ind w:left="720"/>
        <w:rPr>
          <w:rFonts w:ascii="Palatino Linotype" w:eastAsia="Palatino Linotype" w:hAnsi="Palatino Linotype" w:cs="Palatino Linotype"/>
          <w:b/>
          <w:bCs/>
          <w:color w:val="000000"/>
        </w:rPr>
      </w:pPr>
    </w:p>
    <w:p w:rsidR="002D7333" w:rsidRPr="00120082" w:rsidRDefault="00667A1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bCs/>
          <w:color w:val="000000"/>
        </w:rPr>
      </w:pPr>
      <w:r w:rsidRPr="00120082">
        <w:rPr>
          <w:rFonts w:ascii="Palatino Linotype" w:eastAsia="Palatino Linotype" w:hAnsi="Palatino Linotype" w:cs="Palatino Linotype"/>
          <w:color w:val="000000"/>
        </w:rPr>
        <w:t xml:space="preserve">Seguidamente en fecha </w:t>
      </w:r>
      <w:r w:rsidRPr="00120082">
        <w:rPr>
          <w:rFonts w:ascii="Palatino Linotype" w:eastAsia="Palatino Linotype" w:hAnsi="Palatino Linotype" w:cs="Palatino Linotype"/>
          <w:b/>
          <w:bCs/>
          <w:color w:val="000000"/>
        </w:rPr>
        <w:t>tres de marzo de dos mil veintiséis</w:t>
      </w:r>
      <w:r w:rsidRPr="00120082">
        <w:rPr>
          <w:rFonts w:ascii="Palatino Linotype" w:eastAsia="Palatino Linotype" w:hAnsi="Palatino Linotype" w:cs="Palatino Linotype"/>
          <w:color w:val="000000"/>
        </w:rPr>
        <w:t xml:space="preserve">, se amplió el </w:t>
      </w:r>
      <w:r w:rsidRPr="00120082">
        <w:rPr>
          <w:rFonts w:ascii="Palatino Linotype" w:eastAsia="Palatino Linotype" w:hAnsi="Palatino Linotype" w:cs="Palatino Linotype"/>
        </w:rPr>
        <w:t>término</w:t>
      </w:r>
      <w:r w:rsidRPr="00120082">
        <w:rPr>
          <w:rFonts w:ascii="Palatino Linotype" w:eastAsia="Palatino Linotype" w:hAnsi="Palatino Linotype" w:cs="Palatino Linotype"/>
          <w:color w:val="000000"/>
        </w:rPr>
        <w:t xml:space="preserve"> para resolver, consecutivamente se decretó el cierre de instrucción mediante Acuerdo de día </w:t>
      </w:r>
      <w:r w:rsidRPr="00120082">
        <w:rPr>
          <w:rFonts w:ascii="Palatino Linotype" w:eastAsia="Palatino Linotype" w:hAnsi="Palatino Linotype" w:cs="Palatino Linotype"/>
          <w:b/>
          <w:bCs/>
          <w:color w:val="000000"/>
        </w:rPr>
        <w:t>nueve de marzo del año en curso</w:t>
      </w:r>
      <w:r w:rsidRPr="00120082">
        <w:rPr>
          <w:rFonts w:ascii="Palatino Linotype" w:eastAsia="Palatino Linotype" w:hAnsi="Palatino Linotype" w:cs="Palatino Linotype"/>
          <w:color w:val="000000"/>
        </w:rPr>
        <w:t>, por lo que no habiendo más que hacer constar, y</w:t>
      </w:r>
    </w:p>
    <w:p w:rsidR="002D7333" w:rsidRPr="00120082" w:rsidRDefault="002D7333">
      <w:pPr>
        <w:pBdr>
          <w:top w:val="nil"/>
          <w:left w:val="nil"/>
          <w:bottom w:val="nil"/>
          <w:right w:val="nil"/>
          <w:between w:val="nil"/>
        </w:pBdr>
        <w:spacing w:line="360" w:lineRule="auto"/>
        <w:ind w:left="720" w:right="49"/>
        <w:jc w:val="center"/>
        <w:rPr>
          <w:rFonts w:ascii="Palatino Linotype" w:eastAsia="Palatino Linotype" w:hAnsi="Palatino Linotype" w:cs="Palatino Linotype"/>
          <w:b/>
          <w:bCs/>
          <w:color w:val="000000"/>
        </w:rPr>
      </w:pPr>
    </w:p>
    <w:p w:rsidR="002D7333" w:rsidRPr="00120082" w:rsidRDefault="00667A12">
      <w:pPr>
        <w:pBdr>
          <w:top w:val="nil"/>
          <w:left w:val="nil"/>
          <w:bottom w:val="nil"/>
          <w:right w:val="nil"/>
          <w:between w:val="nil"/>
        </w:pBdr>
        <w:spacing w:line="360" w:lineRule="auto"/>
        <w:ind w:right="49"/>
        <w:jc w:val="center"/>
        <w:rPr>
          <w:rFonts w:ascii="Palatino Linotype" w:eastAsia="Palatino Linotype" w:hAnsi="Palatino Linotype" w:cs="Palatino Linotype"/>
          <w:b/>
          <w:bCs/>
          <w:color w:val="000000"/>
        </w:rPr>
      </w:pPr>
      <w:r w:rsidRPr="00120082">
        <w:rPr>
          <w:rFonts w:ascii="Palatino Linotype" w:eastAsia="Palatino Linotype" w:hAnsi="Palatino Linotype" w:cs="Palatino Linotype"/>
          <w:b/>
          <w:bCs/>
          <w:color w:val="000000"/>
        </w:rPr>
        <w:t>C O N S I D E R A C I O N E S</w:t>
      </w:r>
    </w:p>
    <w:p w:rsidR="002D7333" w:rsidRPr="00120082" w:rsidRDefault="002D7333">
      <w:pPr>
        <w:pBdr>
          <w:top w:val="nil"/>
          <w:left w:val="nil"/>
          <w:bottom w:val="nil"/>
          <w:right w:val="nil"/>
          <w:between w:val="nil"/>
        </w:pBdr>
        <w:spacing w:line="360" w:lineRule="auto"/>
        <w:ind w:right="49"/>
        <w:jc w:val="center"/>
        <w:rPr>
          <w:rFonts w:ascii="Palatino Linotype" w:eastAsia="Palatino Linotype" w:hAnsi="Palatino Linotype" w:cs="Palatino Linotype"/>
          <w:b/>
          <w:bCs/>
          <w:color w:val="000000"/>
        </w:rPr>
      </w:pPr>
    </w:p>
    <w:p w:rsidR="002D7333" w:rsidRPr="00120082" w:rsidRDefault="00667A12">
      <w:pPr>
        <w:pStyle w:val="Ttulo2"/>
        <w:spacing w:before="0" w:line="360" w:lineRule="auto"/>
        <w:ind w:right="49"/>
        <w:rPr>
          <w:rFonts w:ascii="Palatino Linotype" w:eastAsia="Palatino Linotype" w:hAnsi="Palatino Linotype" w:cs="Palatino Linotype"/>
          <w:b/>
          <w:bCs/>
          <w:color w:val="000000"/>
          <w:sz w:val="24"/>
          <w:szCs w:val="24"/>
        </w:rPr>
      </w:pPr>
      <w:bookmarkStart w:id="3" w:name="_heading=h.3znysh7" w:colFirst="0" w:colLast="0"/>
      <w:bookmarkEnd w:id="3"/>
      <w:r w:rsidRPr="00120082">
        <w:rPr>
          <w:rFonts w:ascii="Palatino Linotype" w:eastAsia="Palatino Linotype" w:hAnsi="Palatino Linotype" w:cs="Palatino Linotype"/>
          <w:b/>
          <w:bCs/>
          <w:color w:val="000000"/>
          <w:sz w:val="24"/>
          <w:szCs w:val="24"/>
        </w:rPr>
        <w:t>PRIMERO. Competencia</w:t>
      </w:r>
    </w:p>
    <w:p w:rsidR="002D7333" w:rsidRPr="00120082" w:rsidRDefault="00667A1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w:t>
      </w:r>
      <w:r w:rsidRPr="00120082">
        <w:rPr>
          <w:rFonts w:ascii="Palatino Linotype" w:eastAsia="Palatino Linotype" w:hAnsi="Palatino Linotype" w:cs="Palatino Linotype"/>
        </w:rPr>
        <w:t>trigésimo</w:t>
      </w:r>
      <w:r w:rsidRPr="00120082">
        <w:rPr>
          <w:rFonts w:ascii="Palatino Linotype" w:eastAsia="Palatino Linotype" w:hAnsi="Palatino Linotype" w:cs="Palatino Linotype"/>
          <w:color w:val="000000"/>
        </w:rPr>
        <w:t xml:space="preserve">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2D7333" w:rsidRPr="00120082" w:rsidRDefault="00667A12">
      <w:pPr>
        <w:pStyle w:val="Ttulo2"/>
        <w:spacing w:before="0" w:line="360" w:lineRule="auto"/>
        <w:ind w:right="49"/>
        <w:rPr>
          <w:rFonts w:ascii="Palatino Linotype" w:eastAsia="Palatino Linotype" w:hAnsi="Palatino Linotype" w:cs="Palatino Linotype"/>
          <w:b/>
          <w:bCs/>
          <w:color w:val="000000"/>
          <w:sz w:val="24"/>
          <w:szCs w:val="24"/>
        </w:rPr>
      </w:pPr>
      <w:bookmarkStart w:id="4" w:name="_heading=h.2et92p0" w:colFirst="0" w:colLast="0"/>
      <w:bookmarkEnd w:id="4"/>
      <w:r w:rsidRPr="00120082">
        <w:rPr>
          <w:rFonts w:ascii="Palatino Linotype" w:eastAsia="Palatino Linotype" w:hAnsi="Palatino Linotype" w:cs="Palatino Linotype"/>
          <w:b/>
          <w:bCs/>
          <w:color w:val="000000"/>
          <w:sz w:val="24"/>
          <w:szCs w:val="24"/>
        </w:rPr>
        <w:lastRenderedPageBreak/>
        <w:t>SEGUNDO. Procedencia.</w:t>
      </w:r>
    </w:p>
    <w:p w:rsidR="002D7333" w:rsidRPr="00120082" w:rsidRDefault="00667A1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t xml:space="preserve">Este Órgano Garante considera que el medio de impugnación reúne los requisitos de </w:t>
      </w:r>
      <w:r w:rsidRPr="00120082">
        <w:rPr>
          <w:rFonts w:ascii="Palatino Linotype" w:eastAsia="Palatino Linotype" w:hAnsi="Palatino Linotype" w:cs="Palatino Linotype"/>
          <w:color w:val="000000"/>
        </w:rPr>
        <w:t>procedencia</w:t>
      </w:r>
      <w:r w:rsidRPr="00120082">
        <w:rPr>
          <w:rFonts w:ascii="Palatino Linotype" w:eastAsia="Palatino Linotype" w:hAnsi="Palatino Linotype" w:cs="Palatino Linotype"/>
        </w:rPr>
        <w:t xml:space="preserve"> </w:t>
      </w:r>
      <w:r w:rsidRPr="00120082">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rsidR="002D7333" w:rsidRPr="00120082" w:rsidRDefault="002D7333">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2D7333" w:rsidRPr="00120082" w:rsidRDefault="00667A1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t xml:space="preserve">Por otro lado, es de suma importancia señalar que la parte recurrente no proporciona un </w:t>
      </w:r>
      <w:r w:rsidRPr="00120082">
        <w:rPr>
          <w:rFonts w:ascii="Palatino Linotype" w:eastAsia="Palatino Linotype" w:hAnsi="Palatino Linotype" w:cs="Palatino Linotype"/>
          <w:u w:val="single"/>
        </w:rPr>
        <w:t>nombre completo</w:t>
      </w:r>
      <w:r w:rsidRPr="00120082">
        <w:rPr>
          <w:rFonts w:ascii="Palatino Linotype" w:eastAsia="Palatino Linotype" w:hAnsi="Palatino Linotype" w:cs="Palatino Linotype"/>
        </w:rPr>
        <w:t xml:space="preserve">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2D7333" w:rsidRPr="00120082" w:rsidRDefault="00667A12">
      <w:pPr>
        <w:spacing w:line="360" w:lineRule="auto"/>
        <w:ind w:left="567" w:right="567"/>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w:t>
      </w:r>
      <w:r w:rsidRPr="00120082">
        <w:rPr>
          <w:rFonts w:ascii="Palatino Linotype" w:eastAsia="Palatino Linotype" w:hAnsi="Palatino Linotype" w:cs="Palatino Linotype"/>
          <w:b/>
          <w:bCs/>
          <w:i/>
          <w:iCs/>
        </w:rPr>
        <w:t>Las solicitudes anónimas</w:t>
      </w:r>
      <w:r w:rsidRPr="00120082">
        <w:rPr>
          <w:rFonts w:ascii="Palatino Linotype" w:eastAsia="Palatino Linotype" w:hAnsi="Palatino Linotype" w:cs="Palatino Linotype"/>
          <w:i/>
          <w:iCs/>
        </w:rPr>
        <w:t xml:space="preserve">, con nombre incompleto o seudónimo </w:t>
      </w:r>
      <w:r w:rsidRPr="00120082">
        <w:rPr>
          <w:rFonts w:ascii="Palatino Linotype" w:eastAsia="Palatino Linotype" w:hAnsi="Palatino Linotype" w:cs="Palatino Linotype"/>
          <w:b/>
          <w:bCs/>
          <w:i/>
          <w:iCs/>
        </w:rPr>
        <w:t>serán procedentes para su trámite por parte del sujeto obligado ante quien se presente</w:t>
      </w:r>
      <w:r w:rsidRPr="00120082">
        <w:rPr>
          <w:rFonts w:ascii="Palatino Linotype" w:eastAsia="Palatino Linotype" w:hAnsi="Palatino Linotype" w:cs="Palatino Linotype"/>
          <w:i/>
          <w:iCs/>
        </w:rPr>
        <w:t>. No podrá requerirse información adicional con motivo del nombre proporcionado por el solicitante."</w:t>
      </w:r>
    </w:p>
    <w:p w:rsidR="002D7333" w:rsidRPr="00120082" w:rsidRDefault="002D7333">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2D7333" w:rsidRPr="00120082" w:rsidRDefault="00667A1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t>Finalmente, el escrito contiene las formalidades previstas por el artículo 180 último párrafo de la citada Ley de la Materia, por lo que es procedente que este Instituto conozca y resuelva el presente Recurso de Revisión.</w:t>
      </w:r>
    </w:p>
    <w:p w:rsidR="002D7333" w:rsidRPr="00120082" w:rsidRDefault="002D7333">
      <w:pPr>
        <w:pBdr>
          <w:top w:val="nil"/>
          <w:left w:val="nil"/>
          <w:bottom w:val="nil"/>
          <w:right w:val="nil"/>
          <w:between w:val="nil"/>
        </w:pBdr>
        <w:spacing w:line="360" w:lineRule="auto"/>
        <w:ind w:right="49"/>
        <w:rPr>
          <w:rFonts w:ascii="Palatino Linotype" w:eastAsia="Palatino Linotype" w:hAnsi="Palatino Linotype" w:cs="Palatino Linotype"/>
          <w:color w:val="000000"/>
        </w:rPr>
      </w:pPr>
    </w:p>
    <w:p w:rsidR="002D7333" w:rsidRPr="00120082" w:rsidRDefault="00667A12">
      <w:pPr>
        <w:pStyle w:val="Ttulo2"/>
        <w:tabs>
          <w:tab w:val="left" w:pos="284"/>
          <w:tab w:val="left" w:pos="426"/>
        </w:tabs>
        <w:spacing w:before="0" w:line="360" w:lineRule="auto"/>
        <w:rPr>
          <w:rFonts w:ascii="Palatino Linotype" w:eastAsia="Palatino Linotype" w:hAnsi="Palatino Linotype" w:cs="Palatino Linotype"/>
          <w:b/>
          <w:bCs/>
          <w:color w:val="000000"/>
          <w:sz w:val="24"/>
          <w:szCs w:val="24"/>
        </w:rPr>
      </w:pPr>
      <w:bookmarkStart w:id="5" w:name="_heading=h.tyjcwt" w:colFirst="0" w:colLast="0"/>
      <w:bookmarkEnd w:id="5"/>
      <w:r w:rsidRPr="00120082">
        <w:rPr>
          <w:rFonts w:ascii="Palatino Linotype" w:eastAsia="Palatino Linotype" w:hAnsi="Palatino Linotype" w:cs="Palatino Linotype"/>
          <w:b/>
          <w:bCs/>
          <w:color w:val="000000"/>
          <w:sz w:val="24"/>
          <w:szCs w:val="24"/>
        </w:rPr>
        <w:t xml:space="preserve">TERCERO. Del planteamiento de la </w:t>
      </w:r>
      <w:r w:rsidRPr="00120082">
        <w:rPr>
          <w:rFonts w:ascii="Palatino Linotype" w:eastAsia="Palatino Linotype" w:hAnsi="Palatino Linotype" w:cs="Palatino Linotype"/>
          <w:b/>
          <w:bCs/>
          <w:i/>
          <w:iCs/>
          <w:color w:val="000000"/>
          <w:sz w:val="24"/>
          <w:szCs w:val="24"/>
        </w:rPr>
        <w:t>Litis.</w:t>
      </w:r>
    </w:p>
    <w:p w:rsidR="002D7333" w:rsidRPr="00120082" w:rsidRDefault="00667A1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t>Se solicitó tener acceso, a la información que a continuación se simplifica:</w:t>
      </w:r>
    </w:p>
    <w:p w:rsidR="002D7333" w:rsidRPr="00120082" w:rsidRDefault="00667A12">
      <w:pPr>
        <w:numPr>
          <w:ilvl w:val="0"/>
          <w:numId w:val="4"/>
        </w:num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rPr>
      </w:pPr>
      <w:r w:rsidRPr="00120082">
        <w:rPr>
          <w:rFonts w:ascii="Palatino Linotype" w:eastAsia="Palatino Linotype" w:hAnsi="Palatino Linotype" w:cs="Palatino Linotype"/>
          <w:b/>
          <w:bCs/>
          <w:color w:val="000000"/>
        </w:rPr>
        <w:lastRenderedPageBreak/>
        <w:t>Recibo de nómina del Director de Seguridad Pública.</w:t>
      </w:r>
    </w:p>
    <w:p w:rsidR="002D7333" w:rsidRPr="00120082" w:rsidRDefault="002D7333">
      <w:pPr>
        <w:pBdr>
          <w:top w:val="nil"/>
          <w:left w:val="nil"/>
          <w:bottom w:val="nil"/>
          <w:right w:val="nil"/>
          <w:between w:val="nil"/>
        </w:pBdr>
        <w:spacing w:line="360" w:lineRule="auto"/>
        <w:ind w:left="1080" w:right="567"/>
        <w:jc w:val="both"/>
        <w:rPr>
          <w:rFonts w:ascii="Palatino Linotype" w:eastAsia="Palatino Linotype" w:hAnsi="Palatino Linotype" w:cs="Palatino Linotype"/>
          <w:b/>
          <w:bCs/>
          <w:color w:val="000000"/>
        </w:rPr>
      </w:pPr>
    </w:p>
    <w:p w:rsidR="002D7333" w:rsidRPr="00120082" w:rsidRDefault="00667A1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t>Inconforme con la respuesta, el solicitante interpuso recurso de revisión de manera general en contra del enlace entregado que contiene información diversa</w:t>
      </w:r>
      <w:r w:rsidRPr="00120082">
        <w:rPr>
          <w:rFonts w:ascii="Palatino Linotype" w:eastAsia="Palatino Linotype" w:hAnsi="Palatino Linotype" w:cs="Palatino Linotype"/>
          <w:color w:val="000000"/>
        </w:rPr>
        <w:t xml:space="preserve">. </w:t>
      </w:r>
      <w:r w:rsidRPr="00120082">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artículo 179, fracción VI, de la Ley de Transparencia y Acceso a la Información Pública del Estado de México y Municipios; fracción que determina la hipótesis relativa a la entrega de información que no corresponde con la solicitada; contexto del cual se dolió el Recurrente al momento de interponer su inconformidad. De modo tal que el presente recurso de revisión se abocará en determinar si el Sujeto Obligado con su respuesta ciertamente actualiza la causal de procedencia señalada. </w:t>
      </w:r>
    </w:p>
    <w:p w:rsidR="002D7333" w:rsidRPr="00120082" w:rsidRDefault="002D7333">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2D7333" w:rsidRPr="00120082" w:rsidRDefault="00667A12">
      <w:pPr>
        <w:spacing w:line="360" w:lineRule="auto"/>
        <w:rPr>
          <w:rFonts w:ascii="Palatino Linotype" w:eastAsia="Palatino Linotype" w:hAnsi="Palatino Linotype" w:cs="Palatino Linotype"/>
          <w:b/>
          <w:bCs/>
        </w:rPr>
      </w:pPr>
      <w:r w:rsidRPr="00120082">
        <w:rPr>
          <w:rFonts w:ascii="Palatino Linotype" w:eastAsia="Palatino Linotype" w:hAnsi="Palatino Linotype" w:cs="Palatino Linotype"/>
          <w:b/>
          <w:bCs/>
        </w:rPr>
        <w:t>CUARTO. Del estudio y resolución del asunto.</w:t>
      </w:r>
    </w:p>
    <w:p w:rsidR="002D7333" w:rsidRPr="00120082" w:rsidRDefault="00667A1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2D7333" w:rsidRPr="00120082" w:rsidRDefault="002D733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D7333" w:rsidRPr="00120082" w:rsidRDefault="00667A1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lastRenderedPageBreak/>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2D7333" w:rsidRPr="00120082" w:rsidRDefault="002D7333">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2D7333" w:rsidRPr="00120082" w:rsidRDefault="00667A1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2D7333" w:rsidRPr="00120082" w:rsidRDefault="002D7333">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2D7333" w:rsidRPr="00120082" w:rsidRDefault="00667A1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bookmarkStart w:id="6" w:name="_heading=h.pqw7n6l30ese" w:colFirst="0" w:colLast="0"/>
      <w:bookmarkEnd w:id="6"/>
      <w:r w:rsidRPr="00120082">
        <w:rPr>
          <w:rFonts w:ascii="Palatino Linotype" w:eastAsia="Palatino Linotype" w:hAnsi="Palatino Linotype" w:cs="Palatino Linotype"/>
        </w:rPr>
        <w:t>Dicho lo anterior por razones de orden argumentativo, es necesario traer a contexto primeramente la respuesta que versó en la entrega de un hipervínculo. Al respecto establecer que el derecho de acceso a la información ciertamente se puede colmar con la entrega de enlaces de Internet, debiéndose para tal efecto cumplirse con las condiciones que establece la Ley de la Materia.</w:t>
      </w:r>
    </w:p>
    <w:p w:rsidR="002D7333" w:rsidRPr="00120082" w:rsidRDefault="002D7333">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2D7333" w:rsidRPr="00120082" w:rsidRDefault="00667A1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lastRenderedPageBreak/>
        <w:t>Lo anterior en virtud que</w:t>
      </w:r>
      <w:r w:rsidRPr="00120082">
        <w:rPr>
          <w:rFonts w:ascii="Palatino Linotype" w:eastAsia="Palatino Linotype" w:hAnsi="Palatino Linotype" w:cs="Palatino Linotype"/>
        </w:rPr>
        <w:t xml:space="preserve"> los artículos 11 y 161 de la Ley de Transparencia Estatal, señalan las características que debe disfrutar toda información entregada por los sujetos obligados desde el momento de su generación, publicación y entrega vía hipervínculo, así como la forma en que se deberá consultar la información, señalando una fuente precisa y concreta, como se observa a continuación:</w:t>
      </w:r>
    </w:p>
    <w:p w:rsidR="002D7333" w:rsidRPr="00120082" w:rsidRDefault="00667A12">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sidRPr="00120082">
        <w:rPr>
          <w:rFonts w:ascii="Palatino Linotype" w:eastAsia="Palatino Linotype" w:hAnsi="Palatino Linotype" w:cs="Palatino Linotype"/>
          <w:b/>
          <w:bCs/>
          <w:i/>
          <w:iCs/>
          <w:color w:val="000000"/>
        </w:rPr>
        <w:t>Artículo 11.</w:t>
      </w:r>
      <w:r w:rsidRPr="00120082">
        <w:rPr>
          <w:rFonts w:ascii="Palatino Linotype" w:eastAsia="Palatino Linotype" w:hAnsi="Palatino Linotype" w:cs="Palatino Linotype"/>
          <w:i/>
          <w:iCs/>
          <w:color w:val="000000"/>
        </w:rPr>
        <w:t xml:space="preserve"> </w:t>
      </w:r>
      <w:r w:rsidRPr="00120082">
        <w:rPr>
          <w:rFonts w:ascii="Palatino Linotype" w:eastAsia="Palatino Linotype" w:hAnsi="Palatino Linotype" w:cs="Palatino Linotype"/>
          <w:b/>
          <w:bCs/>
          <w:i/>
          <w:iCs/>
          <w:color w:val="000000"/>
          <w:u w:val="single"/>
        </w:rPr>
        <w:t>En la generación, publicación y entrega de información se deberá garantizar que ésta sea accesible</w:t>
      </w:r>
      <w:r w:rsidRPr="00120082">
        <w:rPr>
          <w:rFonts w:ascii="Palatino Linotype" w:eastAsia="Palatino Linotype" w:hAnsi="Palatino Linotype" w:cs="Palatino Linotype"/>
          <w:i/>
          <w:iCs/>
          <w:color w:val="000000"/>
        </w:rPr>
        <w:t>,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2D7333" w:rsidRPr="00120082" w:rsidRDefault="00667A12">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sidRPr="00120082">
        <w:rPr>
          <w:rFonts w:ascii="Palatino Linotype" w:eastAsia="Palatino Linotype" w:hAnsi="Palatino Linotype" w:cs="Palatino Linotype"/>
          <w:i/>
          <w:iCs/>
          <w:color w:val="000000"/>
        </w:rPr>
        <w:t>(…)</w:t>
      </w:r>
    </w:p>
    <w:p w:rsidR="002D7333" w:rsidRPr="00120082" w:rsidRDefault="002D7333">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p>
    <w:p w:rsidR="002D7333" w:rsidRPr="00120082" w:rsidRDefault="00667A12">
      <w:pPr>
        <w:pBdr>
          <w:top w:val="nil"/>
          <w:left w:val="nil"/>
          <w:bottom w:val="nil"/>
          <w:right w:val="nil"/>
          <w:between w:val="nil"/>
        </w:pBdr>
        <w:spacing w:line="360" w:lineRule="auto"/>
        <w:ind w:left="567" w:right="567"/>
        <w:jc w:val="both"/>
        <w:rPr>
          <w:rFonts w:ascii="Palatino Linotype" w:eastAsia="Palatino Linotype" w:hAnsi="Palatino Linotype" w:cs="Palatino Linotype"/>
          <w:b/>
          <w:bCs/>
          <w:i/>
          <w:iCs/>
          <w:color w:val="000000"/>
          <w:u w:val="single"/>
        </w:rPr>
      </w:pPr>
      <w:r w:rsidRPr="00120082">
        <w:rPr>
          <w:rFonts w:ascii="Palatino Linotype" w:eastAsia="Palatino Linotype" w:hAnsi="Palatino Linotype" w:cs="Palatino Linotype"/>
          <w:b/>
          <w:bCs/>
          <w:i/>
          <w:iCs/>
          <w:color w:val="000000"/>
        </w:rPr>
        <w:t>Artículo 161.</w:t>
      </w:r>
      <w:r w:rsidRPr="00120082">
        <w:rPr>
          <w:rFonts w:ascii="Palatino Linotype" w:eastAsia="Palatino Linotype" w:hAnsi="Palatino Linotype" w:cs="Palatino Linotype"/>
          <w:i/>
          <w:iCs/>
          <w:color w:val="000000"/>
        </w:rPr>
        <w:t xml:space="preserve"> </w:t>
      </w:r>
      <w:r w:rsidRPr="00120082">
        <w:rPr>
          <w:rFonts w:ascii="Palatino Linotype" w:eastAsia="Palatino Linotype" w:hAnsi="Palatino Linotype" w:cs="Palatino Linotype"/>
          <w:b/>
          <w:bCs/>
          <w:i/>
          <w:iCs/>
          <w:color w:val="000000"/>
          <w:u w:val="single"/>
        </w:rPr>
        <w:t>Cuando la información requerida por el solicitante ya esté</w:t>
      </w:r>
      <w:r w:rsidRPr="00120082">
        <w:rPr>
          <w:rFonts w:ascii="Palatino Linotype" w:eastAsia="Palatino Linotype" w:hAnsi="Palatino Linotype" w:cs="Palatino Linotype"/>
          <w:i/>
          <w:iCs/>
          <w:color w:val="000000"/>
        </w:rPr>
        <w:t xml:space="preserve"> disponible al público en medios impresos, tales como libros, compendios, trípticos, registros públicos, en formatos electrónicos </w:t>
      </w:r>
      <w:r w:rsidRPr="00120082">
        <w:rPr>
          <w:rFonts w:ascii="Palatino Linotype" w:eastAsia="Palatino Linotype" w:hAnsi="Palatino Linotype" w:cs="Palatino Linotype"/>
          <w:b/>
          <w:bCs/>
          <w:i/>
          <w:iCs/>
          <w:color w:val="000000"/>
          <w:u w:val="single"/>
        </w:rPr>
        <w:t>disponibles en Internet</w:t>
      </w:r>
      <w:r w:rsidRPr="00120082">
        <w:rPr>
          <w:rFonts w:ascii="Palatino Linotype" w:eastAsia="Palatino Linotype" w:hAnsi="Palatino Linotype" w:cs="Palatino Linotype"/>
          <w:i/>
          <w:iCs/>
          <w:color w:val="000000"/>
        </w:rPr>
        <w:t xml:space="preserve"> o en cualquier otro medio, </w:t>
      </w:r>
      <w:r w:rsidRPr="00120082">
        <w:rPr>
          <w:rFonts w:ascii="Palatino Linotype" w:eastAsia="Palatino Linotype" w:hAnsi="Palatino Linotype" w:cs="Palatino Linotype"/>
          <w:b/>
          <w:bCs/>
          <w:i/>
          <w:iCs/>
          <w:color w:val="000000"/>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2D7333" w:rsidRPr="00120082" w:rsidRDefault="002D7333">
      <w:pPr>
        <w:pBdr>
          <w:top w:val="nil"/>
          <w:left w:val="nil"/>
          <w:bottom w:val="nil"/>
          <w:right w:val="nil"/>
          <w:between w:val="nil"/>
        </w:pBdr>
        <w:spacing w:line="360" w:lineRule="auto"/>
        <w:ind w:left="426" w:right="567"/>
        <w:jc w:val="both"/>
        <w:rPr>
          <w:rFonts w:ascii="Palatino Linotype" w:eastAsia="Palatino Linotype" w:hAnsi="Palatino Linotype" w:cs="Palatino Linotype"/>
          <w:i/>
          <w:iCs/>
          <w:color w:val="000000"/>
        </w:rPr>
      </w:pPr>
    </w:p>
    <w:p w:rsidR="002D7333" w:rsidRPr="00120082" w:rsidRDefault="00667A1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t xml:space="preserve">De los artículos transcritos, se establecen las características que debe tener la </w:t>
      </w:r>
      <w:r w:rsidRPr="00120082">
        <w:rPr>
          <w:rFonts w:ascii="Palatino Linotype" w:eastAsia="Palatino Linotype" w:hAnsi="Palatino Linotype" w:cs="Palatino Linotype"/>
          <w:color w:val="000000"/>
        </w:rPr>
        <w:t>información</w:t>
      </w:r>
      <w:r w:rsidRPr="00120082">
        <w:rPr>
          <w:rFonts w:ascii="Palatino Linotype" w:eastAsia="Palatino Linotype" w:hAnsi="Palatino Linotype" w:cs="Palatino Linotype"/>
        </w:rPr>
        <w:t xml:space="preserve"> </w:t>
      </w:r>
      <w:r w:rsidRPr="00120082">
        <w:rPr>
          <w:rFonts w:ascii="Palatino Linotype" w:eastAsia="Palatino Linotype" w:hAnsi="Palatino Linotype" w:cs="Palatino Linotype"/>
          <w:color w:val="000000"/>
        </w:rPr>
        <w:t>desde</w:t>
      </w:r>
      <w:r w:rsidRPr="00120082">
        <w:rPr>
          <w:rFonts w:ascii="Palatino Linotype" w:eastAsia="Palatino Linotype" w:hAnsi="Palatino Linotype" w:cs="Palatino Linotype"/>
        </w:rPr>
        <w:t xml:space="preserve"> el momento de su generación, publicación y entrega, de igual manera se </w:t>
      </w:r>
      <w:r w:rsidRPr="00120082">
        <w:rPr>
          <w:rFonts w:ascii="Palatino Linotype" w:eastAsia="Palatino Linotype" w:hAnsi="Palatino Linotype" w:cs="Palatino Linotype"/>
          <w:color w:val="000000"/>
        </w:rPr>
        <w:lastRenderedPageBreak/>
        <w:t>contempla</w:t>
      </w:r>
      <w:r w:rsidRPr="00120082">
        <w:rPr>
          <w:rFonts w:ascii="Palatino Linotype" w:eastAsia="Palatino Linotype" w:hAnsi="Palatino Linotype" w:cs="Palatino Linotype"/>
        </w:rPr>
        <w:t xml:space="preserve">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2D7333" w:rsidRPr="00120082" w:rsidRDefault="00667A12">
      <w:pPr>
        <w:numPr>
          <w:ilvl w:val="0"/>
          <w:numId w:val="7"/>
        </w:numPr>
        <w:pBdr>
          <w:top w:val="nil"/>
          <w:left w:val="nil"/>
          <w:bottom w:val="nil"/>
          <w:right w:val="nil"/>
          <w:between w:val="nil"/>
        </w:pBdr>
        <w:spacing w:line="360" w:lineRule="auto"/>
        <w:ind w:hanging="425"/>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La fuente,</w:t>
      </w:r>
    </w:p>
    <w:p w:rsidR="002D7333" w:rsidRPr="00120082" w:rsidRDefault="00667A12">
      <w:pPr>
        <w:numPr>
          <w:ilvl w:val="0"/>
          <w:numId w:val="7"/>
        </w:numPr>
        <w:pBdr>
          <w:top w:val="nil"/>
          <w:left w:val="nil"/>
          <w:bottom w:val="nil"/>
          <w:right w:val="nil"/>
          <w:between w:val="nil"/>
        </w:pBdr>
        <w:spacing w:line="360" w:lineRule="auto"/>
        <w:ind w:hanging="425"/>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El lugar, y</w:t>
      </w:r>
    </w:p>
    <w:p w:rsidR="002D7333" w:rsidRPr="00120082" w:rsidRDefault="00667A12">
      <w:pPr>
        <w:numPr>
          <w:ilvl w:val="0"/>
          <w:numId w:val="7"/>
        </w:numPr>
        <w:pBdr>
          <w:top w:val="nil"/>
          <w:left w:val="nil"/>
          <w:bottom w:val="nil"/>
          <w:right w:val="nil"/>
          <w:between w:val="nil"/>
        </w:pBdr>
        <w:spacing w:line="360" w:lineRule="auto"/>
        <w:ind w:hanging="425"/>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La forma. </w:t>
      </w:r>
    </w:p>
    <w:p w:rsidR="002D7333" w:rsidRPr="00120082" w:rsidRDefault="002D7333">
      <w:pPr>
        <w:spacing w:line="360" w:lineRule="auto"/>
        <w:jc w:val="both"/>
        <w:rPr>
          <w:rFonts w:ascii="Palatino Linotype" w:eastAsia="Palatino Linotype" w:hAnsi="Palatino Linotype" w:cs="Palatino Linotype"/>
        </w:rPr>
      </w:pPr>
    </w:p>
    <w:p w:rsidR="002D7333" w:rsidRPr="00120082" w:rsidRDefault="00667A1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t>Asimismo, se establece que la fuente de la información deberá ser:</w:t>
      </w:r>
    </w:p>
    <w:p w:rsidR="002D7333" w:rsidRPr="00120082" w:rsidRDefault="00667A12">
      <w:pPr>
        <w:numPr>
          <w:ilvl w:val="0"/>
          <w:numId w:val="8"/>
        </w:numPr>
        <w:pBdr>
          <w:top w:val="nil"/>
          <w:left w:val="nil"/>
          <w:bottom w:val="nil"/>
          <w:right w:val="nil"/>
          <w:between w:val="nil"/>
        </w:pBdr>
        <w:spacing w:line="360" w:lineRule="auto"/>
        <w:ind w:hanging="425"/>
        <w:jc w:val="both"/>
        <w:rPr>
          <w:rFonts w:ascii="Palatino Linotype" w:eastAsia="Palatino Linotype" w:hAnsi="Palatino Linotype" w:cs="Palatino Linotype"/>
          <w:b/>
          <w:bCs/>
          <w:color w:val="000000"/>
        </w:rPr>
      </w:pPr>
      <w:r w:rsidRPr="00120082">
        <w:rPr>
          <w:rFonts w:ascii="Palatino Linotype" w:eastAsia="Palatino Linotype" w:hAnsi="Palatino Linotype" w:cs="Palatino Linotype"/>
          <w:b/>
          <w:bCs/>
          <w:color w:val="000000"/>
        </w:rPr>
        <w:t>Precisa,</w:t>
      </w:r>
    </w:p>
    <w:p w:rsidR="002D7333" w:rsidRPr="00120082" w:rsidRDefault="00667A12">
      <w:pPr>
        <w:numPr>
          <w:ilvl w:val="0"/>
          <w:numId w:val="8"/>
        </w:numPr>
        <w:pBdr>
          <w:top w:val="nil"/>
          <w:left w:val="nil"/>
          <w:bottom w:val="nil"/>
          <w:right w:val="nil"/>
          <w:between w:val="nil"/>
        </w:pBdr>
        <w:spacing w:line="360" w:lineRule="auto"/>
        <w:ind w:hanging="425"/>
        <w:jc w:val="both"/>
        <w:rPr>
          <w:rFonts w:ascii="Palatino Linotype" w:eastAsia="Palatino Linotype" w:hAnsi="Palatino Linotype" w:cs="Palatino Linotype"/>
          <w:b/>
          <w:bCs/>
          <w:color w:val="000000"/>
        </w:rPr>
      </w:pPr>
      <w:r w:rsidRPr="00120082">
        <w:rPr>
          <w:rFonts w:ascii="Palatino Linotype" w:eastAsia="Palatino Linotype" w:hAnsi="Palatino Linotype" w:cs="Palatino Linotype"/>
          <w:b/>
          <w:bCs/>
          <w:color w:val="000000"/>
        </w:rPr>
        <w:t>Concreta,</w:t>
      </w:r>
    </w:p>
    <w:p w:rsidR="002D7333" w:rsidRPr="00120082" w:rsidRDefault="00667A12">
      <w:pPr>
        <w:numPr>
          <w:ilvl w:val="0"/>
          <w:numId w:val="8"/>
        </w:numPr>
        <w:pBdr>
          <w:top w:val="nil"/>
          <w:left w:val="nil"/>
          <w:bottom w:val="nil"/>
          <w:right w:val="nil"/>
          <w:between w:val="nil"/>
        </w:pBdr>
        <w:spacing w:line="360" w:lineRule="auto"/>
        <w:ind w:hanging="425"/>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Y no debe implicar que el solicitante realice una búsqueda en toda la información que se encuentre disponible.</w:t>
      </w:r>
    </w:p>
    <w:p w:rsidR="002D7333" w:rsidRPr="00120082" w:rsidRDefault="002D7333">
      <w:pPr>
        <w:spacing w:line="360" w:lineRule="auto"/>
        <w:jc w:val="both"/>
        <w:rPr>
          <w:rFonts w:ascii="Palatino Linotype" w:eastAsia="Palatino Linotype" w:hAnsi="Palatino Linotype" w:cs="Palatino Linotype"/>
        </w:rPr>
      </w:pPr>
    </w:p>
    <w:p w:rsidR="002D7333" w:rsidRPr="00120082" w:rsidRDefault="00667A1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t>Imperativos legales que establecen el procedimiento que debe seguir el Sujeto Obligado para que pueda tomarse como válida su orientación sobre la forma en que puede consultar la información requerida, y que, en el caso en concreto, si acontece, derivado que enlace se encuentra en formato abierto, es decir que basta con colocar el cursor sobre el enlace para que se active el hipervínculo y con solo dar clic dirija al contenido del enlace o seleccionarlo y copiarlo, como se observa:</w:t>
      </w:r>
    </w:p>
    <w:p w:rsidR="002D7333" w:rsidRPr="00120082" w:rsidRDefault="002D7333">
      <w:pPr>
        <w:spacing w:line="360" w:lineRule="auto"/>
        <w:jc w:val="both"/>
        <w:rPr>
          <w:rFonts w:ascii="Palatino Linotype" w:eastAsia="Palatino Linotype" w:hAnsi="Palatino Linotype" w:cs="Palatino Linotype"/>
          <w:color w:val="000000"/>
        </w:rPr>
      </w:pPr>
    </w:p>
    <w:p w:rsidR="002D7333" w:rsidRPr="00120082" w:rsidRDefault="00667A12">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120082">
        <w:rPr>
          <w:rFonts w:ascii="Palatino Linotype" w:eastAsia="Palatino Linotype" w:hAnsi="Palatino Linotype" w:cs="Palatino Linotype"/>
          <w:noProof/>
          <w:lang w:val="es-MX"/>
        </w:rPr>
        <w:lastRenderedPageBreak/>
        <w:drawing>
          <wp:inline distT="0" distB="0" distL="0" distR="0">
            <wp:extent cx="5612130" cy="1654810"/>
            <wp:effectExtent l="0" t="0" r="0" b="0"/>
            <wp:docPr id="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612130" cy="1654810"/>
                    </a:xfrm>
                    <a:prstGeom prst="rect">
                      <a:avLst/>
                    </a:prstGeom>
                    <a:ln/>
                  </pic:spPr>
                </pic:pic>
              </a:graphicData>
            </a:graphic>
          </wp:inline>
        </w:drawing>
      </w:r>
    </w:p>
    <w:p w:rsidR="002D7333" w:rsidRDefault="002D7333">
      <w:pPr>
        <w:pBdr>
          <w:top w:val="nil"/>
          <w:left w:val="nil"/>
          <w:bottom w:val="nil"/>
          <w:right w:val="nil"/>
          <w:between w:val="nil"/>
        </w:pBdr>
        <w:ind w:left="720"/>
        <w:rPr>
          <w:rFonts w:ascii="Palatino Linotype" w:eastAsia="Palatino Linotype" w:hAnsi="Palatino Linotype" w:cs="Palatino Linotype"/>
          <w:color w:val="000000"/>
        </w:rPr>
      </w:pPr>
    </w:p>
    <w:p w:rsidR="00120082" w:rsidRDefault="00120082">
      <w:pPr>
        <w:pBdr>
          <w:top w:val="nil"/>
          <w:left w:val="nil"/>
          <w:bottom w:val="nil"/>
          <w:right w:val="nil"/>
          <w:between w:val="nil"/>
        </w:pBdr>
        <w:ind w:left="720"/>
        <w:rPr>
          <w:rFonts w:ascii="Palatino Linotype" w:eastAsia="Palatino Linotype" w:hAnsi="Palatino Linotype" w:cs="Palatino Linotype"/>
          <w:color w:val="000000"/>
        </w:rPr>
      </w:pPr>
    </w:p>
    <w:p w:rsidR="000125D3" w:rsidRDefault="000125D3">
      <w:pPr>
        <w:pBdr>
          <w:top w:val="nil"/>
          <w:left w:val="nil"/>
          <w:bottom w:val="nil"/>
          <w:right w:val="nil"/>
          <w:between w:val="nil"/>
        </w:pBdr>
        <w:ind w:left="720"/>
        <w:rPr>
          <w:rFonts w:ascii="Palatino Linotype" w:eastAsia="Palatino Linotype" w:hAnsi="Palatino Linotype" w:cs="Palatino Linotype"/>
          <w:color w:val="000000"/>
        </w:rPr>
      </w:pPr>
    </w:p>
    <w:p w:rsidR="000125D3" w:rsidRPr="00120082" w:rsidRDefault="000125D3">
      <w:pPr>
        <w:pBdr>
          <w:top w:val="nil"/>
          <w:left w:val="nil"/>
          <w:bottom w:val="nil"/>
          <w:right w:val="nil"/>
          <w:between w:val="nil"/>
        </w:pBdr>
        <w:ind w:left="720"/>
        <w:rPr>
          <w:rFonts w:ascii="Palatino Linotype" w:eastAsia="Palatino Linotype" w:hAnsi="Palatino Linotype" w:cs="Palatino Linotype"/>
          <w:color w:val="000000"/>
        </w:rPr>
      </w:pPr>
    </w:p>
    <w:p w:rsidR="002D7333" w:rsidRPr="00120082" w:rsidRDefault="00667A1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Sin embargo; el hecho que se pueda dar clic en el enlace, no puede ser considerado </w:t>
      </w:r>
      <w:r w:rsidRPr="00120082">
        <w:rPr>
          <w:rFonts w:ascii="Palatino Linotype" w:eastAsia="Palatino Linotype" w:hAnsi="Palatino Linotype" w:cs="Palatino Linotype"/>
        </w:rPr>
        <w:t>para</w:t>
      </w:r>
      <w:r w:rsidRPr="00120082">
        <w:rPr>
          <w:rFonts w:ascii="Palatino Linotype" w:eastAsia="Palatino Linotype" w:hAnsi="Palatino Linotype" w:cs="Palatino Linotype"/>
          <w:color w:val="000000"/>
        </w:rPr>
        <w:t xml:space="preserve"> tener por colmado el derecho de acceso a la información, pues el enlace remite al resultado siguiente:</w:t>
      </w:r>
    </w:p>
    <w:p w:rsidR="002D7333" w:rsidRPr="00120082" w:rsidRDefault="002D7333">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2D7333" w:rsidRPr="00120082" w:rsidRDefault="00667A12">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120082">
        <w:rPr>
          <w:rFonts w:ascii="Palatino Linotype" w:eastAsia="Palatino Linotype" w:hAnsi="Palatino Linotype" w:cs="Palatino Linotype"/>
          <w:noProof/>
          <w:lang w:val="es-MX"/>
        </w:rPr>
        <w:drawing>
          <wp:inline distT="0" distB="0" distL="0" distR="0">
            <wp:extent cx="5612130" cy="2816860"/>
            <wp:effectExtent l="0" t="0" r="0" b="0"/>
            <wp:docPr id="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12130" cy="2816860"/>
                    </a:xfrm>
                    <a:prstGeom prst="rect">
                      <a:avLst/>
                    </a:prstGeom>
                    <a:ln/>
                  </pic:spPr>
                </pic:pic>
              </a:graphicData>
            </a:graphic>
          </wp:inline>
        </w:drawing>
      </w:r>
    </w:p>
    <w:p w:rsidR="002D7333" w:rsidRDefault="002D7333">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120082" w:rsidRPr="00120082" w:rsidRDefault="00120082">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2D7333" w:rsidRPr="00120082" w:rsidRDefault="00667A1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color w:val="000000"/>
        </w:rPr>
        <w:lastRenderedPageBreak/>
        <w:t>Luego entonces, se advierte que el enlace entregado no satisface la solicitud de información al obrar información de la cual se debe realizar una búsqueda y es directa, sumado a que no guarda relación con lo solicitado como los son recibos de nómina, no así a las remuneraciones de los servidores públicos, que si bien encuentran relación no corresponde con lo solicitado por lo que devienen fundado las razones o motivos de inconformidad.</w:t>
      </w:r>
    </w:p>
    <w:p w:rsidR="002D7333" w:rsidRPr="00120082" w:rsidRDefault="002D7333">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2D7333" w:rsidRPr="00120082" w:rsidRDefault="00667A1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t xml:space="preserve">En esa línea de pensamiento es necesario realizar el análisis de la naturaleza de lo solicitado, delimitando de manera inicial que en nuestra legislación no existe como tal una definición de nómina;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w:t>
      </w:r>
    </w:p>
    <w:p w:rsidR="002D7333" w:rsidRPr="00120082" w:rsidRDefault="00667A12">
      <w:pPr>
        <w:spacing w:line="360" w:lineRule="auto"/>
        <w:ind w:left="851" w:right="900"/>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“NÓMINA: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2D7333" w:rsidRPr="00120082" w:rsidRDefault="002D7333">
      <w:pPr>
        <w:spacing w:line="360" w:lineRule="auto"/>
        <w:ind w:left="851" w:right="900"/>
        <w:jc w:val="both"/>
        <w:rPr>
          <w:rFonts w:ascii="Palatino Linotype" w:eastAsia="Palatino Linotype" w:hAnsi="Palatino Linotype" w:cs="Palatino Linotype"/>
          <w:i/>
          <w:iCs/>
        </w:rPr>
      </w:pPr>
    </w:p>
    <w:p w:rsidR="002D7333" w:rsidRPr="00120082" w:rsidRDefault="00667A1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lastRenderedPageBreak/>
        <w:t>Aunado a lo anterior, debe destacarse que dicho término es mencionado en diferentes ordenamientos legales, tal es el caso del artículo 804 de la Ley Federal de Trabajo, fracción II que establece:</w:t>
      </w:r>
    </w:p>
    <w:p w:rsidR="002D7333" w:rsidRPr="00120082" w:rsidRDefault="00667A12">
      <w:pPr>
        <w:spacing w:line="360" w:lineRule="auto"/>
        <w:ind w:left="851" w:right="900"/>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“Artículo 804.- El patrón tiene obligación de conservar y exhibir en juicio los documentos que a continuación se precisan:</w:t>
      </w:r>
    </w:p>
    <w:p w:rsidR="002D7333" w:rsidRPr="00120082" w:rsidRDefault="00667A12">
      <w:pPr>
        <w:spacing w:line="360" w:lineRule="auto"/>
        <w:ind w:left="851" w:right="900"/>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w:t>
      </w:r>
    </w:p>
    <w:p w:rsidR="002D7333" w:rsidRPr="00120082" w:rsidRDefault="00667A12">
      <w:pPr>
        <w:spacing w:line="360" w:lineRule="auto"/>
        <w:ind w:left="851" w:right="900"/>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II. Listas de raya o nómina de personal, cuando se lleven en el centro de trabajo; o recibos de pagos de salarios;</w:t>
      </w:r>
    </w:p>
    <w:p w:rsidR="002D7333" w:rsidRPr="00120082" w:rsidRDefault="00667A12">
      <w:pPr>
        <w:spacing w:line="360" w:lineRule="auto"/>
        <w:ind w:left="851" w:right="900"/>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w:t>
      </w:r>
    </w:p>
    <w:p w:rsidR="002D7333" w:rsidRPr="00120082" w:rsidRDefault="002D7333">
      <w:pPr>
        <w:spacing w:line="360" w:lineRule="auto"/>
        <w:ind w:left="851" w:right="900"/>
        <w:jc w:val="both"/>
        <w:rPr>
          <w:rFonts w:ascii="Palatino Linotype" w:eastAsia="Palatino Linotype" w:hAnsi="Palatino Linotype" w:cs="Palatino Linotype"/>
          <w:i/>
          <w:iCs/>
        </w:rPr>
      </w:pPr>
    </w:p>
    <w:p w:rsidR="002D7333" w:rsidRPr="00120082" w:rsidRDefault="00667A12">
      <w:pPr>
        <w:numPr>
          <w:ilvl w:val="0"/>
          <w:numId w:val="1"/>
        </w:numP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t>De lo anteriormente señalado, se puede llegar a la conclusión de que la nómina o recibos de pago, consisten en un registro conformado por el conjunto de trabajadores a los cuales se les va a remunerar por los servicios que éstos le prestan al patrón, en el cual se asientan las percepciones brutas, deducciones y el neto a recibir de dichos trabajadores.</w:t>
      </w:r>
    </w:p>
    <w:p w:rsidR="002D7333" w:rsidRPr="00120082" w:rsidRDefault="002D7333">
      <w:pPr>
        <w:spacing w:line="360" w:lineRule="auto"/>
        <w:ind w:right="49"/>
        <w:jc w:val="both"/>
        <w:rPr>
          <w:rFonts w:ascii="Palatino Linotype" w:eastAsia="Palatino Linotype" w:hAnsi="Palatino Linotype" w:cs="Palatino Linotype"/>
        </w:rPr>
      </w:pPr>
    </w:p>
    <w:p w:rsidR="002D7333" w:rsidRPr="00120082" w:rsidRDefault="00667A1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t>De ahí que, el artículo 50 de la Ley del Trabajo de los Servidores Públicos del Estado y Municipios, dispone literalmente lo siguiente:</w:t>
      </w:r>
    </w:p>
    <w:p w:rsidR="002D7333" w:rsidRPr="00120082" w:rsidRDefault="00667A12">
      <w:pPr>
        <w:spacing w:line="360" w:lineRule="auto"/>
        <w:ind w:left="851" w:right="851"/>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w:t>
      </w:r>
      <w:r w:rsidRPr="00120082">
        <w:rPr>
          <w:rFonts w:ascii="Palatino Linotype" w:eastAsia="Palatino Linotype" w:hAnsi="Palatino Linotype" w:cs="Palatino Linotype"/>
          <w:b/>
          <w:bCs/>
          <w:i/>
          <w:iCs/>
        </w:rPr>
        <w:t>ARTÍCULO 50</w:t>
      </w:r>
      <w:r w:rsidRPr="00120082">
        <w:rPr>
          <w:rFonts w:ascii="Palatino Linotype" w:eastAsia="Palatino Linotype" w:hAnsi="Palatino Linotype" w:cs="Palatino Linotype"/>
          <w:i/>
          <w:iCs/>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2D7333" w:rsidRPr="00120082" w:rsidRDefault="00667A12">
      <w:pPr>
        <w:spacing w:line="360" w:lineRule="auto"/>
        <w:ind w:left="851" w:right="851"/>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Iguales consecuencias se generarán para todos los servidores públicos, cuando la relación de trabajo se formalice mediante un contrato o por encontrarse en lista de raya.”</w:t>
      </w:r>
    </w:p>
    <w:p w:rsidR="002D7333" w:rsidRPr="00120082" w:rsidRDefault="00667A12">
      <w:pPr>
        <w:numPr>
          <w:ilvl w:val="0"/>
          <w:numId w:val="1"/>
        </w:numP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lastRenderedPageBreak/>
        <w:t>De lo anterior, se advierte que la relación laboral entre un servidor público y el Estado se formaliza mediante nombramiento, contrato o formato único de movimientos de personal.</w:t>
      </w:r>
    </w:p>
    <w:p w:rsidR="002D7333" w:rsidRPr="00120082" w:rsidRDefault="002D7333">
      <w:pPr>
        <w:spacing w:line="360" w:lineRule="auto"/>
        <w:ind w:right="49"/>
        <w:jc w:val="both"/>
        <w:rPr>
          <w:rFonts w:ascii="Palatino Linotype" w:eastAsia="Palatino Linotype" w:hAnsi="Palatino Linotype" w:cs="Palatino Linotype"/>
        </w:rPr>
      </w:pPr>
    </w:p>
    <w:p w:rsidR="002D7333" w:rsidRPr="00120082" w:rsidRDefault="00667A12">
      <w:pPr>
        <w:numPr>
          <w:ilvl w:val="0"/>
          <w:numId w:val="1"/>
        </w:numP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t>Ahora bien, tratándose de servidores públicos, la Ley del Trabajo de los Servidores Públicos del Estado y Municipios, en su artículo 220-K fracciones II y IV y último párrafo, establecen lo siguiente:</w:t>
      </w:r>
    </w:p>
    <w:p w:rsidR="002D7333" w:rsidRPr="00120082" w:rsidRDefault="00667A12">
      <w:pPr>
        <w:spacing w:line="360" w:lineRule="auto"/>
        <w:ind w:left="851" w:right="900"/>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 xml:space="preserve">“ARTÍCULO 220 K.- La institución o dependencia pública tiene la obligación de conservar y exhibir en el proceso los documentos que a continuación se precisan: … </w:t>
      </w:r>
    </w:p>
    <w:p w:rsidR="002D7333" w:rsidRPr="00120082" w:rsidRDefault="00667A12">
      <w:pPr>
        <w:spacing w:line="360" w:lineRule="auto"/>
        <w:ind w:left="851" w:right="900"/>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 xml:space="preserve">II. Recibos de pagos de salarios o las constancias documentales del pago de salario cuando sea por depósito o mediante información electrónica; </w:t>
      </w:r>
    </w:p>
    <w:p w:rsidR="002D7333" w:rsidRPr="00120082" w:rsidRDefault="00667A12">
      <w:pPr>
        <w:spacing w:line="360" w:lineRule="auto"/>
        <w:ind w:left="851" w:right="900"/>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 xml:space="preserve">(…) </w:t>
      </w:r>
    </w:p>
    <w:p w:rsidR="002D7333" w:rsidRPr="00120082" w:rsidRDefault="00667A12">
      <w:pPr>
        <w:spacing w:line="360" w:lineRule="auto"/>
        <w:ind w:left="851" w:right="900"/>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 xml:space="preserve">IV. </w:t>
      </w:r>
      <w:r w:rsidRPr="00120082">
        <w:rPr>
          <w:rFonts w:ascii="Palatino Linotype" w:eastAsia="Palatino Linotype" w:hAnsi="Palatino Linotype" w:cs="Palatino Linotype"/>
          <w:i/>
          <w:iCs/>
          <w:u w:val="single"/>
        </w:rPr>
        <w:t>Recibos o las constancias de depósito</w:t>
      </w:r>
      <w:r w:rsidRPr="00120082">
        <w:rPr>
          <w:rFonts w:ascii="Palatino Linotype" w:eastAsia="Palatino Linotype" w:hAnsi="Palatino Linotype" w:cs="Palatino Linotype"/>
          <w:i/>
          <w:iCs/>
        </w:rPr>
        <w:t xml:space="preserve"> o del medio de información magnética o electrónica que sean utilizadas para el </w:t>
      </w:r>
      <w:r w:rsidRPr="00120082">
        <w:rPr>
          <w:rFonts w:ascii="Palatino Linotype" w:eastAsia="Palatino Linotype" w:hAnsi="Palatino Linotype" w:cs="Palatino Linotype"/>
          <w:i/>
          <w:iCs/>
          <w:u w:val="single"/>
        </w:rPr>
        <w:t xml:space="preserve">pago de salarios, prima vacacional, aguinaldo </w:t>
      </w:r>
      <w:r w:rsidRPr="00120082">
        <w:rPr>
          <w:rFonts w:ascii="Palatino Linotype" w:eastAsia="Palatino Linotype" w:hAnsi="Palatino Linotype" w:cs="Palatino Linotype"/>
          <w:i/>
          <w:iCs/>
        </w:rPr>
        <w:t xml:space="preserve">y demás prestaciones establecidas en la presente ley; y </w:t>
      </w:r>
    </w:p>
    <w:p w:rsidR="002D7333" w:rsidRPr="00120082" w:rsidRDefault="00667A12">
      <w:pPr>
        <w:spacing w:line="360" w:lineRule="auto"/>
        <w:ind w:left="851" w:right="900"/>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 xml:space="preserve">… </w:t>
      </w:r>
    </w:p>
    <w:p w:rsidR="002D7333" w:rsidRPr="00120082" w:rsidRDefault="00667A12">
      <w:pPr>
        <w:spacing w:line="360" w:lineRule="auto"/>
        <w:ind w:left="851" w:right="900"/>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w:t>
      </w:r>
    </w:p>
    <w:p w:rsidR="002D7333" w:rsidRPr="00120082" w:rsidRDefault="00667A12">
      <w:pPr>
        <w:spacing w:line="360" w:lineRule="auto"/>
        <w:ind w:left="851" w:right="900"/>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rsidR="002D7333" w:rsidRPr="00120082" w:rsidRDefault="00667A1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lastRenderedPageBreak/>
        <w:t>En este sentido, se advierte que toda institución pública o dependencia pública del Estado de México debe conservar los recibos o constancias de pago de salarios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2D7333" w:rsidRPr="00120082" w:rsidRDefault="002D7333">
      <w:pPr>
        <w:spacing w:line="360" w:lineRule="auto"/>
        <w:ind w:right="49"/>
        <w:jc w:val="both"/>
        <w:rPr>
          <w:rFonts w:ascii="Palatino Linotype" w:eastAsia="Palatino Linotype" w:hAnsi="Palatino Linotype" w:cs="Palatino Linotype"/>
        </w:rPr>
      </w:pPr>
    </w:p>
    <w:p w:rsidR="002D7333" w:rsidRPr="00120082" w:rsidRDefault="00667A1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sidRPr="00120082">
        <w:rPr>
          <w:rFonts w:ascii="Palatino Linotype" w:eastAsia="Palatino Linotype" w:hAnsi="Palatino Linotype" w:cs="Palatino Linotype"/>
          <w:b/>
          <w:bCs/>
        </w:rPr>
        <w:t>SUJETO OBLIGADO</w:t>
      </w:r>
      <w:r w:rsidRPr="00120082">
        <w:rPr>
          <w:rFonts w:ascii="Palatino Linotype" w:eastAsia="Palatino Linotype" w:hAnsi="Palatino Linotype" w:cs="Palatino Linotype"/>
        </w:rPr>
        <w:t>, es considerado como ente fiscalizable, como así lo señala el artículo 4 fracción II de la Ley de Fiscalización Superior del Estado de México, el cual señala:</w:t>
      </w:r>
    </w:p>
    <w:p w:rsidR="002D7333" w:rsidRPr="00120082" w:rsidRDefault="00667A12">
      <w:pPr>
        <w:spacing w:line="360" w:lineRule="auto"/>
        <w:ind w:left="851" w:right="851"/>
        <w:jc w:val="both"/>
        <w:rPr>
          <w:rFonts w:ascii="Palatino Linotype" w:eastAsia="Palatino Linotype" w:hAnsi="Palatino Linotype" w:cs="Palatino Linotype"/>
          <w:i/>
          <w:iCs/>
        </w:rPr>
      </w:pPr>
      <w:r w:rsidRPr="00120082">
        <w:rPr>
          <w:rFonts w:ascii="Palatino Linotype" w:eastAsia="Palatino Linotype" w:hAnsi="Palatino Linotype" w:cs="Palatino Linotype"/>
          <w:b/>
          <w:bCs/>
          <w:i/>
          <w:iCs/>
        </w:rPr>
        <w:t xml:space="preserve">“Artículo 4. </w:t>
      </w:r>
      <w:r w:rsidRPr="00120082">
        <w:rPr>
          <w:rFonts w:ascii="Palatino Linotype" w:eastAsia="Palatino Linotype" w:hAnsi="Palatino Linotype" w:cs="Palatino Linotype"/>
          <w:i/>
          <w:iCs/>
        </w:rPr>
        <w:t>Son sujetos de fiscalización:</w:t>
      </w:r>
    </w:p>
    <w:p w:rsidR="002D7333" w:rsidRPr="00120082" w:rsidRDefault="00667A12">
      <w:pPr>
        <w:spacing w:line="360" w:lineRule="auto"/>
        <w:ind w:left="851" w:right="851"/>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w:t>
      </w:r>
    </w:p>
    <w:p w:rsidR="002D7333" w:rsidRPr="00120082" w:rsidRDefault="00667A12">
      <w:pPr>
        <w:spacing w:line="360" w:lineRule="auto"/>
        <w:ind w:left="851" w:right="851"/>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 xml:space="preserve">Los municipios del Estado de México…” </w:t>
      </w:r>
    </w:p>
    <w:p w:rsidR="002D7333" w:rsidRPr="00120082" w:rsidRDefault="002D7333">
      <w:pPr>
        <w:spacing w:line="360" w:lineRule="auto"/>
        <w:ind w:left="851" w:right="851"/>
        <w:jc w:val="both"/>
        <w:rPr>
          <w:rFonts w:ascii="Palatino Linotype" w:eastAsia="Palatino Linotype" w:hAnsi="Palatino Linotype" w:cs="Palatino Linotype"/>
          <w:b/>
          <w:bCs/>
        </w:rPr>
      </w:pPr>
    </w:p>
    <w:p w:rsidR="002D7333" w:rsidRPr="00120082" w:rsidRDefault="00667A12">
      <w:pPr>
        <w:numPr>
          <w:ilvl w:val="0"/>
          <w:numId w:val="1"/>
        </w:numP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2021, como así se advierte a continuación:</w:t>
      </w:r>
    </w:p>
    <w:p w:rsidR="002D7333" w:rsidRPr="00120082" w:rsidRDefault="00667A12">
      <w:pPr>
        <w:spacing w:line="360" w:lineRule="auto"/>
        <w:ind w:left="851" w:right="851"/>
        <w:jc w:val="both"/>
        <w:rPr>
          <w:rFonts w:ascii="Palatino Linotype" w:eastAsia="Palatino Linotype" w:hAnsi="Palatino Linotype" w:cs="Palatino Linotype"/>
          <w:i/>
          <w:iCs/>
        </w:rPr>
      </w:pPr>
      <w:r w:rsidRPr="00120082">
        <w:rPr>
          <w:rFonts w:ascii="Palatino Linotype" w:eastAsia="Palatino Linotype" w:hAnsi="Palatino Linotype" w:cs="Palatino Linotype"/>
          <w:b/>
          <w:bCs/>
          <w:i/>
          <w:iCs/>
        </w:rPr>
        <w:t xml:space="preserve">“Artículo 8. </w:t>
      </w:r>
      <w:r w:rsidRPr="00120082">
        <w:rPr>
          <w:rFonts w:ascii="Palatino Linotype" w:eastAsia="Palatino Linotype" w:hAnsi="Palatino Linotype" w:cs="Palatino Linotype"/>
          <w:i/>
          <w:iCs/>
        </w:rPr>
        <w:t>El Órgano Superior tendrá las siguientes atribuciones:</w:t>
      </w:r>
    </w:p>
    <w:p w:rsidR="002D7333" w:rsidRPr="00120082" w:rsidRDefault="00667A12">
      <w:pPr>
        <w:spacing w:line="360" w:lineRule="auto"/>
        <w:ind w:left="851" w:right="851"/>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w:t>
      </w:r>
    </w:p>
    <w:p w:rsidR="002D7333" w:rsidRPr="00120082" w:rsidRDefault="00667A12">
      <w:pPr>
        <w:spacing w:line="360" w:lineRule="auto"/>
        <w:ind w:left="851" w:right="851"/>
        <w:jc w:val="both"/>
        <w:rPr>
          <w:rFonts w:ascii="Palatino Linotype" w:eastAsia="Palatino Linotype" w:hAnsi="Palatino Linotype" w:cs="Palatino Linotype"/>
          <w:b/>
          <w:bCs/>
          <w:i/>
          <w:iCs/>
        </w:rPr>
      </w:pPr>
      <w:r w:rsidRPr="00120082">
        <w:rPr>
          <w:rFonts w:ascii="Palatino Linotype" w:eastAsia="Palatino Linotype" w:hAnsi="Palatino Linotype" w:cs="Palatino Linotype"/>
          <w:b/>
          <w:bCs/>
          <w:i/>
          <w:iCs/>
        </w:rPr>
        <w:lastRenderedPageBreak/>
        <w:t>XI. Establecer los lineamientos</w:t>
      </w:r>
      <w:r w:rsidRPr="00120082">
        <w:rPr>
          <w:rFonts w:ascii="Palatino Linotype" w:eastAsia="Palatino Linotype" w:hAnsi="Palatino Linotype" w:cs="Palatino Linotype"/>
          <w:i/>
          <w:iCs/>
        </w:rPr>
        <w:t xml:space="preserve">, criterios, procedimientos, métodos y sistemas </w:t>
      </w:r>
      <w:r w:rsidRPr="00120082">
        <w:rPr>
          <w:rFonts w:ascii="Palatino Linotype" w:eastAsia="Palatino Linotype" w:hAnsi="Palatino Linotype" w:cs="Palatino Linotype"/>
          <w:b/>
          <w:bCs/>
          <w:i/>
          <w:iCs/>
        </w:rPr>
        <w:t>para las acciones de control y evaluación, necesarios para la fiscalización de las cuentas públicas y los informes trimestrales</w:t>
      </w:r>
      <w:r w:rsidRPr="00120082">
        <w:rPr>
          <w:rFonts w:ascii="Palatino Linotype" w:eastAsia="Palatino Linotype" w:hAnsi="Palatino Linotype" w:cs="Palatino Linotype"/>
          <w:i/>
          <w:iCs/>
        </w:rPr>
        <w:t>…</w:t>
      </w:r>
      <w:r w:rsidRPr="00120082">
        <w:rPr>
          <w:rFonts w:ascii="Palatino Linotype" w:eastAsia="Palatino Linotype" w:hAnsi="Palatino Linotype" w:cs="Palatino Linotype"/>
        </w:rPr>
        <w:t>” (</w:t>
      </w:r>
      <w:r w:rsidRPr="00120082">
        <w:rPr>
          <w:rFonts w:ascii="Palatino Linotype" w:eastAsia="Palatino Linotype" w:hAnsi="Palatino Linotype" w:cs="Palatino Linotype"/>
          <w:i/>
          <w:iCs/>
        </w:rPr>
        <w:t>Sic)</w:t>
      </w:r>
    </w:p>
    <w:p w:rsidR="002D7333" w:rsidRPr="00120082" w:rsidRDefault="002D7333">
      <w:pPr>
        <w:spacing w:line="360" w:lineRule="auto"/>
        <w:ind w:left="851" w:right="851"/>
        <w:jc w:val="both"/>
        <w:rPr>
          <w:rFonts w:ascii="Palatino Linotype" w:eastAsia="Palatino Linotype" w:hAnsi="Palatino Linotype" w:cs="Palatino Linotype"/>
          <w:b/>
          <w:bCs/>
          <w:i/>
          <w:iCs/>
        </w:rPr>
      </w:pPr>
    </w:p>
    <w:p w:rsidR="002D7333" w:rsidRPr="00120082" w:rsidRDefault="00667A1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t>Dentro de los cuales ubicamos en su módulo cuatro la información de la nómina, como se advierte en las siguientes imágenes sustraídas de dichas políticas:</w:t>
      </w:r>
    </w:p>
    <w:p w:rsidR="002D7333" w:rsidRPr="00120082" w:rsidRDefault="00667A12">
      <w:pPr>
        <w:spacing w:line="360" w:lineRule="auto"/>
        <w:jc w:val="center"/>
        <w:rPr>
          <w:rFonts w:ascii="Palatino Linotype" w:eastAsia="Palatino Linotype" w:hAnsi="Palatino Linotype" w:cs="Palatino Linotype"/>
        </w:rPr>
      </w:pPr>
      <w:r w:rsidRPr="00120082">
        <w:rPr>
          <w:rFonts w:ascii="Palatino Linotype" w:eastAsia="Palatino Linotype" w:hAnsi="Palatino Linotype" w:cs="Palatino Linotype"/>
          <w:noProof/>
          <w:lang w:val="es-MX"/>
        </w:rPr>
        <w:drawing>
          <wp:inline distT="0" distB="0" distL="0" distR="0">
            <wp:extent cx="3558272" cy="3312273"/>
            <wp:effectExtent l="0" t="0" r="0" b="0"/>
            <wp:docPr id="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35982" t="17911" r="21361" b="2999"/>
                    <a:stretch>
                      <a:fillRect/>
                    </a:stretch>
                  </pic:blipFill>
                  <pic:spPr>
                    <a:xfrm>
                      <a:off x="0" y="0"/>
                      <a:ext cx="3558272" cy="3312273"/>
                    </a:xfrm>
                    <a:prstGeom prst="rect">
                      <a:avLst/>
                    </a:prstGeom>
                    <a:ln/>
                  </pic:spPr>
                </pic:pic>
              </a:graphicData>
            </a:graphic>
          </wp:inline>
        </w:drawing>
      </w:r>
    </w:p>
    <w:p w:rsidR="002D7333" w:rsidRPr="00120082" w:rsidRDefault="00667A12">
      <w:pPr>
        <w:spacing w:line="360" w:lineRule="auto"/>
        <w:jc w:val="center"/>
        <w:rPr>
          <w:rFonts w:ascii="Palatino Linotype" w:eastAsia="Palatino Linotype" w:hAnsi="Palatino Linotype" w:cs="Palatino Linotype"/>
        </w:rPr>
      </w:pPr>
      <w:r w:rsidRPr="00120082">
        <w:rPr>
          <w:rFonts w:ascii="Palatino Linotype" w:eastAsia="Palatino Linotype" w:hAnsi="Palatino Linotype" w:cs="Palatino Linotype"/>
          <w:noProof/>
          <w:lang w:val="es-MX"/>
        </w:rPr>
        <w:lastRenderedPageBreak/>
        <w:drawing>
          <wp:inline distT="0" distB="0" distL="0" distR="0">
            <wp:extent cx="4429542" cy="2567355"/>
            <wp:effectExtent l="0" t="0" r="0" b="0"/>
            <wp:docPr id="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32361" t="20325" r="3937" b="4206"/>
                    <a:stretch>
                      <a:fillRect/>
                    </a:stretch>
                  </pic:blipFill>
                  <pic:spPr>
                    <a:xfrm>
                      <a:off x="0" y="0"/>
                      <a:ext cx="4429542" cy="2567355"/>
                    </a:xfrm>
                    <a:prstGeom prst="rect">
                      <a:avLst/>
                    </a:prstGeom>
                    <a:ln/>
                  </pic:spPr>
                </pic:pic>
              </a:graphicData>
            </a:graphic>
          </wp:inline>
        </w:drawing>
      </w:r>
    </w:p>
    <w:p w:rsidR="002D7333" w:rsidRPr="00120082" w:rsidRDefault="00667A12">
      <w:pPr>
        <w:spacing w:line="360" w:lineRule="auto"/>
        <w:jc w:val="center"/>
        <w:rPr>
          <w:rFonts w:ascii="Palatino Linotype" w:eastAsia="Palatino Linotype" w:hAnsi="Palatino Linotype" w:cs="Palatino Linotype"/>
        </w:rPr>
      </w:pPr>
      <w:r w:rsidRPr="00120082">
        <w:rPr>
          <w:rFonts w:ascii="Palatino Linotype" w:eastAsia="Palatino Linotype" w:hAnsi="Palatino Linotype" w:cs="Palatino Linotype"/>
          <w:noProof/>
          <w:lang w:val="es-MX"/>
        </w:rPr>
        <w:drawing>
          <wp:inline distT="0" distB="0" distL="0" distR="0">
            <wp:extent cx="4526546" cy="2414108"/>
            <wp:effectExtent l="0" t="0" r="0" b="0"/>
            <wp:docPr id="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l="23987" t="26966" r="3145" b="13261"/>
                    <a:stretch>
                      <a:fillRect/>
                    </a:stretch>
                  </pic:blipFill>
                  <pic:spPr>
                    <a:xfrm>
                      <a:off x="0" y="0"/>
                      <a:ext cx="4526546" cy="2414108"/>
                    </a:xfrm>
                    <a:prstGeom prst="rect">
                      <a:avLst/>
                    </a:prstGeom>
                    <a:ln/>
                  </pic:spPr>
                </pic:pic>
              </a:graphicData>
            </a:graphic>
          </wp:inline>
        </w:drawing>
      </w:r>
    </w:p>
    <w:p w:rsidR="002D7333" w:rsidRPr="00120082" w:rsidRDefault="00667A12">
      <w:pPr>
        <w:spacing w:line="360" w:lineRule="auto"/>
        <w:jc w:val="center"/>
        <w:rPr>
          <w:rFonts w:ascii="Palatino Linotype" w:eastAsia="Palatino Linotype" w:hAnsi="Palatino Linotype" w:cs="Palatino Linotype"/>
        </w:rPr>
      </w:pPr>
      <w:r w:rsidRPr="00120082">
        <w:rPr>
          <w:rFonts w:ascii="Palatino Linotype" w:eastAsia="Palatino Linotype" w:hAnsi="Palatino Linotype" w:cs="Palatino Linotype"/>
          <w:noProof/>
          <w:lang w:val="es-MX"/>
        </w:rPr>
        <w:drawing>
          <wp:inline distT="0" distB="0" distL="0" distR="0">
            <wp:extent cx="4665703" cy="2083512"/>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22516" t="21936" r="4391" b="21512"/>
                    <a:stretch>
                      <a:fillRect/>
                    </a:stretch>
                  </pic:blipFill>
                  <pic:spPr>
                    <a:xfrm>
                      <a:off x="0" y="0"/>
                      <a:ext cx="4665703" cy="2083512"/>
                    </a:xfrm>
                    <a:prstGeom prst="rect">
                      <a:avLst/>
                    </a:prstGeom>
                    <a:ln/>
                  </pic:spPr>
                </pic:pic>
              </a:graphicData>
            </a:graphic>
          </wp:inline>
        </w:drawing>
      </w:r>
    </w:p>
    <w:p w:rsidR="002D7333" w:rsidRPr="00120082" w:rsidRDefault="00667A12">
      <w:pPr>
        <w:spacing w:line="360" w:lineRule="auto"/>
        <w:jc w:val="center"/>
        <w:rPr>
          <w:rFonts w:ascii="Palatino Linotype" w:eastAsia="Palatino Linotype" w:hAnsi="Palatino Linotype" w:cs="Palatino Linotype"/>
        </w:rPr>
      </w:pPr>
      <w:r w:rsidRPr="00120082">
        <w:rPr>
          <w:rFonts w:ascii="Palatino Linotype" w:eastAsia="Palatino Linotype" w:hAnsi="Palatino Linotype" w:cs="Palatino Linotype"/>
          <w:noProof/>
          <w:lang w:val="es-MX"/>
        </w:rPr>
        <w:lastRenderedPageBreak/>
        <w:drawing>
          <wp:inline distT="0" distB="0" distL="0" distR="0">
            <wp:extent cx="4342681" cy="2560543"/>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36206" t="14489" r="18081"/>
                    <a:stretch>
                      <a:fillRect/>
                    </a:stretch>
                  </pic:blipFill>
                  <pic:spPr>
                    <a:xfrm>
                      <a:off x="0" y="0"/>
                      <a:ext cx="4342681" cy="2560543"/>
                    </a:xfrm>
                    <a:prstGeom prst="rect">
                      <a:avLst/>
                    </a:prstGeom>
                    <a:ln/>
                  </pic:spPr>
                </pic:pic>
              </a:graphicData>
            </a:graphic>
          </wp:inline>
        </w:drawing>
      </w:r>
    </w:p>
    <w:p w:rsidR="002D7333" w:rsidRPr="00120082" w:rsidRDefault="00667A12">
      <w:pPr>
        <w:spacing w:line="360" w:lineRule="auto"/>
        <w:jc w:val="center"/>
        <w:rPr>
          <w:rFonts w:ascii="Palatino Linotype" w:eastAsia="Palatino Linotype" w:hAnsi="Palatino Linotype" w:cs="Palatino Linotype"/>
        </w:rPr>
      </w:pPr>
      <w:r w:rsidRPr="00120082">
        <w:rPr>
          <w:rFonts w:ascii="Palatino Linotype" w:eastAsia="Palatino Linotype" w:hAnsi="Palatino Linotype" w:cs="Palatino Linotype"/>
          <w:noProof/>
          <w:lang w:val="es-MX"/>
        </w:rPr>
        <w:drawing>
          <wp:inline distT="0" distB="0" distL="0" distR="0">
            <wp:extent cx="4345014" cy="3183904"/>
            <wp:effectExtent l="0" t="0" r="0" b="0"/>
            <wp:docPr id="6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l="37792" t="16704" r="16949" b="2192"/>
                    <a:stretch>
                      <a:fillRect/>
                    </a:stretch>
                  </pic:blipFill>
                  <pic:spPr>
                    <a:xfrm>
                      <a:off x="0" y="0"/>
                      <a:ext cx="4345014" cy="3183904"/>
                    </a:xfrm>
                    <a:prstGeom prst="rect">
                      <a:avLst/>
                    </a:prstGeom>
                    <a:ln/>
                  </pic:spPr>
                </pic:pic>
              </a:graphicData>
            </a:graphic>
          </wp:inline>
        </w:drawing>
      </w:r>
    </w:p>
    <w:p w:rsidR="002D7333" w:rsidRPr="00120082" w:rsidRDefault="002D7333">
      <w:pPr>
        <w:spacing w:line="360" w:lineRule="auto"/>
        <w:jc w:val="both"/>
        <w:rPr>
          <w:rFonts w:ascii="Palatino Linotype" w:eastAsia="Palatino Linotype" w:hAnsi="Palatino Linotype" w:cs="Palatino Linotype"/>
        </w:rPr>
      </w:pPr>
    </w:p>
    <w:p w:rsidR="002D7333" w:rsidRPr="00120082" w:rsidRDefault="00667A1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t xml:space="preserve">En observancia a las imágenes anteriores, se acredita que el </w:t>
      </w:r>
      <w:r w:rsidRPr="00120082">
        <w:rPr>
          <w:rFonts w:ascii="Palatino Linotype" w:eastAsia="Palatino Linotype" w:hAnsi="Palatino Linotype" w:cs="Palatino Linotype"/>
          <w:b/>
          <w:bCs/>
        </w:rPr>
        <w:t>SUJETO OBLIGADO</w:t>
      </w:r>
      <w:r w:rsidRPr="00120082">
        <w:rPr>
          <w:rFonts w:ascii="Palatino Linotype" w:eastAsia="Palatino Linotype" w:hAnsi="Palatino Linotype" w:cs="Palatino Linotype"/>
        </w:rPr>
        <w:t>, genera la información solicitada y remitirla al Órgano Superior de Fiscalización del Estado de México, para su respectiva revisión y fiscalización.</w:t>
      </w:r>
    </w:p>
    <w:p w:rsidR="002D7333" w:rsidRPr="00120082" w:rsidRDefault="00667A1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lastRenderedPageBreak/>
        <w:t xml:space="preserve">En resumen, los recibos de nómina, es el documento que contiene los salarios de todos los funcionarios de la administración pública del </w:t>
      </w:r>
      <w:r w:rsidRPr="00120082">
        <w:rPr>
          <w:rFonts w:ascii="Palatino Linotype" w:eastAsia="Palatino Linotype" w:hAnsi="Palatino Linotype" w:cs="Palatino Linotype"/>
          <w:b/>
          <w:bCs/>
        </w:rPr>
        <w:t>SUJETO OBLIGADO</w:t>
      </w:r>
      <w:r w:rsidRPr="00120082">
        <w:rPr>
          <w:rFonts w:ascii="Palatino Linotype" w:eastAsia="Palatino Linotype" w:hAnsi="Palatino Linotype" w:cs="Palatino Linotype"/>
        </w:rPr>
        <w:t xml:space="preserve"> y que debió haber</w:t>
      </w:r>
      <w:r w:rsidRPr="00120082">
        <w:rPr>
          <w:rFonts w:ascii="Palatino Linotype" w:eastAsia="Palatino Linotype" w:hAnsi="Palatino Linotype" w:cs="Palatino Linotype"/>
          <w:b/>
          <w:bCs/>
        </w:rPr>
        <w:t xml:space="preserve"> </w:t>
      </w:r>
      <w:r w:rsidRPr="00120082">
        <w:rPr>
          <w:rFonts w:ascii="Palatino Linotype" w:eastAsia="Palatino Linotype" w:hAnsi="Palatino Linotype" w:cs="Palatino Linotype"/>
        </w:rPr>
        <w:t xml:space="preserve">generado, administrado o poseído de acuerdo a lo establecido en el presente considerando; por lo que resulta procedente ordenar al </w:t>
      </w:r>
      <w:r w:rsidRPr="00120082">
        <w:rPr>
          <w:rFonts w:ascii="Palatino Linotype" w:eastAsia="Palatino Linotype" w:hAnsi="Palatino Linotype" w:cs="Palatino Linotype"/>
          <w:b/>
          <w:bCs/>
        </w:rPr>
        <w:t>SUJETO OBLIGADO</w:t>
      </w:r>
      <w:r w:rsidRPr="00120082">
        <w:rPr>
          <w:rFonts w:ascii="Palatino Linotype" w:eastAsia="Palatino Linotype" w:hAnsi="Palatino Linotype" w:cs="Palatino Linotype"/>
        </w:rPr>
        <w:t xml:space="preserve"> la entrega del recibo de nómina requerido salvaguardando los datos personales que contenga, de conformidad con el considerando quinto.</w:t>
      </w:r>
    </w:p>
    <w:p w:rsidR="002D7333" w:rsidRPr="00120082" w:rsidRDefault="002D7333">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2D7333" w:rsidRPr="00120082" w:rsidRDefault="00667A1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t>Acorde lo anterior no pasa desapercibido que si bien se trata de un servidor público de seguridad pública, no procede clasificar su nombre por tratarse de un mando superior, en razón de las siguientes consideraciones.</w:t>
      </w:r>
    </w:p>
    <w:p w:rsidR="002D7333" w:rsidRPr="00120082" w:rsidRDefault="002D7333">
      <w:pPr>
        <w:spacing w:line="360" w:lineRule="auto"/>
        <w:ind w:right="51"/>
        <w:jc w:val="both"/>
        <w:rPr>
          <w:rFonts w:ascii="Palatino Linotype" w:eastAsia="Palatino Linotype" w:hAnsi="Palatino Linotype" w:cs="Palatino Linotype"/>
        </w:rPr>
      </w:pPr>
    </w:p>
    <w:p w:rsidR="002D7333" w:rsidRPr="00120082" w:rsidRDefault="00667A12">
      <w:pPr>
        <w:numPr>
          <w:ilvl w:val="0"/>
          <w:numId w:val="1"/>
        </w:numP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t xml:space="preserve">Al respecto,  el artículo 4° de la Ley de Seguridad del Estado de México prevé que la función de </w:t>
      </w:r>
      <w:r w:rsidRPr="00120082">
        <w:rPr>
          <w:rFonts w:ascii="Palatino Linotype" w:eastAsia="Palatino Linotype" w:hAnsi="Palatino Linotype" w:cs="Palatino Linotype"/>
          <w:color w:val="000000"/>
        </w:rPr>
        <w:t>seguridad</w:t>
      </w:r>
      <w:r w:rsidRPr="00120082">
        <w:rPr>
          <w:rFonts w:ascii="Palatino Linotype" w:eastAsia="Palatino Linotype" w:hAnsi="Palatino Linotype" w:cs="Palatino Linotype"/>
        </w:rPr>
        <w:t xml:space="preserve">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rsidR="002D7333" w:rsidRPr="00120082" w:rsidRDefault="002D7333">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2D7333" w:rsidRPr="00120082" w:rsidRDefault="00667A12">
      <w:pPr>
        <w:numPr>
          <w:ilvl w:val="0"/>
          <w:numId w:val="1"/>
        </w:numP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t>En ese contexto, el artículo 6, fracciones XI y XII de dicho ordenamiento jurídico, establece los siguientes conceptos:</w:t>
      </w:r>
    </w:p>
    <w:p w:rsidR="002D7333" w:rsidRPr="00120082" w:rsidRDefault="00667A12">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120082">
        <w:rPr>
          <w:rFonts w:ascii="Palatino Linotype" w:eastAsia="Palatino Linotype" w:hAnsi="Palatino Linotype" w:cs="Palatino Linotype"/>
          <w:b/>
          <w:bCs/>
          <w:color w:val="000000"/>
        </w:rPr>
        <w:t xml:space="preserve">Instituciones Policiales: </w:t>
      </w:r>
      <w:r w:rsidRPr="00120082">
        <w:rPr>
          <w:rFonts w:ascii="Palatino Linotype" w:eastAsia="Palatino Linotype" w:hAnsi="Palatino Linotype" w:cs="Palatino Linotype"/>
          <w:color w:val="000000"/>
        </w:rPr>
        <w:t xml:space="preserve">Son los cuerpos de policía, de vigilancia y custodia de los establecimientos penitenciarios, detención preventiva, centros de arraigo y en general, </w:t>
      </w:r>
      <w:r w:rsidRPr="00120082">
        <w:rPr>
          <w:rFonts w:ascii="Palatino Linotype" w:eastAsia="Palatino Linotype" w:hAnsi="Palatino Linotype" w:cs="Palatino Linotype"/>
          <w:b/>
          <w:bCs/>
          <w:color w:val="000000"/>
        </w:rPr>
        <w:lastRenderedPageBreak/>
        <w:t>todas las dependencias encargadas de la seguridad pública a nivel</w:t>
      </w:r>
      <w:r w:rsidRPr="00120082">
        <w:rPr>
          <w:rFonts w:ascii="Palatino Linotype" w:eastAsia="Palatino Linotype" w:hAnsi="Palatino Linotype" w:cs="Palatino Linotype"/>
          <w:color w:val="000000"/>
        </w:rPr>
        <w:t xml:space="preserve"> estatal y </w:t>
      </w:r>
      <w:r w:rsidRPr="00120082">
        <w:rPr>
          <w:rFonts w:ascii="Palatino Linotype" w:eastAsia="Palatino Linotype" w:hAnsi="Palatino Linotype" w:cs="Palatino Linotype"/>
          <w:b/>
          <w:bCs/>
          <w:color w:val="000000"/>
        </w:rPr>
        <w:t>municipal.</w:t>
      </w:r>
    </w:p>
    <w:p w:rsidR="002D7333" w:rsidRPr="00120082" w:rsidRDefault="00667A12">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120082">
        <w:rPr>
          <w:rFonts w:ascii="Palatino Linotype" w:eastAsia="Palatino Linotype" w:hAnsi="Palatino Linotype" w:cs="Palatino Linotype"/>
          <w:b/>
          <w:bCs/>
          <w:color w:val="000000"/>
        </w:rPr>
        <w:t xml:space="preserve">Instituciones de Seguridad Pública: </w:t>
      </w:r>
      <w:r w:rsidRPr="00120082">
        <w:rPr>
          <w:rFonts w:ascii="Palatino Linotype" w:eastAsia="Palatino Linotype" w:hAnsi="Palatino Linotype" w:cs="Palatino Linotype"/>
          <w:color w:val="000000"/>
        </w:rPr>
        <w:t xml:space="preserve">Instituciones Policiales, Procuración de Justicia, Sistema Penitenciario y </w:t>
      </w:r>
      <w:r w:rsidRPr="00120082">
        <w:rPr>
          <w:rFonts w:ascii="Palatino Linotype" w:eastAsia="Palatino Linotype" w:hAnsi="Palatino Linotype" w:cs="Palatino Linotype"/>
          <w:b/>
          <w:bCs/>
          <w:color w:val="000000"/>
        </w:rPr>
        <w:t xml:space="preserve">dependencias encargadas de la seguridad pública a nivel </w:t>
      </w:r>
      <w:r w:rsidRPr="00120082">
        <w:rPr>
          <w:rFonts w:ascii="Palatino Linotype" w:eastAsia="Palatino Linotype" w:hAnsi="Palatino Linotype" w:cs="Palatino Linotype"/>
          <w:color w:val="000000"/>
        </w:rPr>
        <w:t xml:space="preserve">estatal y </w:t>
      </w:r>
      <w:r w:rsidRPr="00120082">
        <w:rPr>
          <w:rFonts w:ascii="Palatino Linotype" w:eastAsia="Palatino Linotype" w:hAnsi="Palatino Linotype" w:cs="Palatino Linotype"/>
          <w:b/>
          <w:bCs/>
          <w:color w:val="000000"/>
        </w:rPr>
        <w:t>municipal.</w:t>
      </w:r>
    </w:p>
    <w:p w:rsidR="002D7333" w:rsidRPr="00120082" w:rsidRDefault="002D7333">
      <w:pPr>
        <w:pBdr>
          <w:top w:val="nil"/>
          <w:left w:val="nil"/>
          <w:bottom w:val="nil"/>
          <w:right w:val="nil"/>
          <w:between w:val="nil"/>
        </w:pBdr>
        <w:spacing w:line="360" w:lineRule="auto"/>
        <w:ind w:left="720"/>
        <w:rPr>
          <w:rFonts w:ascii="Palatino Linotype" w:eastAsia="Palatino Linotype" w:hAnsi="Palatino Linotype" w:cs="Palatino Linotype"/>
          <w:b/>
          <w:bCs/>
          <w:color w:val="000000"/>
        </w:rPr>
      </w:pPr>
    </w:p>
    <w:p w:rsidR="002D7333" w:rsidRPr="00120082" w:rsidRDefault="00667A12">
      <w:pPr>
        <w:numPr>
          <w:ilvl w:val="0"/>
          <w:numId w:val="1"/>
        </w:numP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t>Conforme a lo anterior, se puede deducir que la Dirección de Seguridad Pública y Tránsito Municipal, es una institución de seguridad pública, pues tiene como atribución principal resguardar el orden público y la paz social, la prevención de delitos y la inhibición de manifestaciones de conductas antisociales.</w:t>
      </w:r>
    </w:p>
    <w:p w:rsidR="002D7333" w:rsidRPr="00120082" w:rsidRDefault="002D7333">
      <w:pPr>
        <w:spacing w:line="360" w:lineRule="auto"/>
        <w:jc w:val="both"/>
        <w:rPr>
          <w:rFonts w:ascii="Palatino Linotype" w:eastAsia="Palatino Linotype" w:hAnsi="Palatino Linotype" w:cs="Palatino Linotype"/>
        </w:rPr>
      </w:pPr>
    </w:p>
    <w:p w:rsidR="002D7333" w:rsidRPr="00120082" w:rsidRDefault="00667A12">
      <w:pPr>
        <w:numPr>
          <w:ilvl w:val="0"/>
          <w:numId w:val="1"/>
        </w:numP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t>Además, el Instructivo de llenado del Formato “Personal de Seguridad Pública”, del Secretariado Ejecutivo del Sistema Nacional de Seguridad Pública, establece que los elementos operativos de seguridad pública, son aquellos que desempeñan funciones de campo (policiacas, especializadas o equivalentes y que no desempeña funciones de mando), entre los cuales, se encuentra la Policía Municipal.</w:t>
      </w:r>
    </w:p>
    <w:p w:rsidR="002D7333" w:rsidRPr="00120082" w:rsidRDefault="002D7333">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2D7333" w:rsidRPr="00120082" w:rsidRDefault="00667A12">
      <w:pPr>
        <w:numPr>
          <w:ilvl w:val="0"/>
          <w:numId w:val="1"/>
        </w:numP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t xml:space="preserve">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De tales circunstancias, se puede observar que la Dirección de Seguridad Pública, tiene dos clases de servidores públicos, por una parte, los operativos </w:t>
      </w:r>
      <w:r w:rsidRPr="00120082">
        <w:rPr>
          <w:rFonts w:ascii="Palatino Linotype" w:eastAsia="Palatino Linotype" w:hAnsi="Palatino Linotype" w:cs="Palatino Linotype"/>
        </w:rPr>
        <w:lastRenderedPageBreak/>
        <w:t>(policía municipal) y por otra, los administrativos, de apoyo y personal de mando, los cuales no realizan funciones operativas.</w:t>
      </w:r>
    </w:p>
    <w:p w:rsidR="002D7333" w:rsidRPr="00120082" w:rsidRDefault="002D7333">
      <w:pPr>
        <w:spacing w:line="360" w:lineRule="auto"/>
        <w:jc w:val="both"/>
        <w:rPr>
          <w:rFonts w:ascii="Palatino Linotype" w:eastAsia="Palatino Linotype" w:hAnsi="Palatino Linotype" w:cs="Palatino Linotype"/>
        </w:rPr>
      </w:pPr>
    </w:p>
    <w:p w:rsidR="002D7333" w:rsidRPr="00120082" w:rsidRDefault="00667A12">
      <w:pPr>
        <w:numPr>
          <w:ilvl w:val="0"/>
          <w:numId w:val="1"/>
        </w:numP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002D7333" w:rsidRPr="00120082" w:rsidRDefault="002D7333">
      <w:pPr>
        <w:spacing w:line="360" w:lineRule="auto"/>
        <w:jc w:val="both"/>
        <w:rPr>
          <w:rFonts w:ascii="Palatino Linotype" w:eastAsia="Palatino Linotype" w:hAnsi="Palatino Linotype" w:cs="Palatino Linotype"/>
        </w:rPr>
      </w:pPr>
    </w:p>
    <w:p w:rsidR="002D7333" w:rsidRPr="00120082" w:rsidRDefault="00667A12">
      <w:pPr>
        <w:numPr>
          <w:ilvl w:val="0"/>
          <w:numId w:val="1"/>
        </w:numPr>
        <w:spacing w:line="360" w:lineRule="auto"/>
        <w:ind w:left="0" w:right="49" w:firstLine="0"/>
        <w:jc w:val="both"/>
        <w:rPr>
          <w:rFonts w:ascii="Palatino Linotype" w:eastAsia="Palatino Linotype" w:hAnsi="Palatino Linotype" w:cs="Palatino Linotype"/>
        </w:rPr>
      </w:pPr>
      <w:r w:rsidRPr="00120082">
        <w:rPr>
          <w:rFonts w:ascii="Palatino Linotype" w:eastAsia="Palatino Linotype" w:hAnsi="Palatino Linotype" w:cs="Palatino Linotype"/>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002D7333" w:rsidRPr="00120082" w:rsidRDefault="002D7333">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2D7333" w:rsidRPr="00120082" w:rsidRDefault="00667A12" w:rsidP="00120082">
      <w:pPr>
        <w:pStyle w:val="Prrafodelista"/>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Por tales consideraciones, </w:t>
      </w:r>
      <w:r w:rsidRPr="00120082">
        <w:rPr>
          <w:rFonts w:ascii="Palatino Linotype" w:eastAsia="Palatino Linotype" w:hAnsi="Palatino Linotype" w:cs="Palatino Linotype"/>
          <w:color w:val="000000"/>
          <w:u w:val="single"/>
        </w:rPr>
        <w:t>solo resultara procedente la reserva del nombre de los elementos operativos, en términos del a</w:t>
      </w:r>
      <w:r w:rsidR="00120082">
        <w:rPr>
          <w:rFonts w:ascii="Palatino Linotype" w:eastAsia="Palatino Linotype" w:hAnsi="Palatino Linotype" w:cs="Palatino Linotype"/>
          <w:color w:val="000000"/>
          <w:u w:val="single"/>
        </w:rPr>
        <w:t xml:space="preserve">rtículo 140, fracción IV, de </w:t>
      </w:r>
      <w:r w:rsidRPr="00120082">
        <w:rPr>
          <w:rFonts w:ascii="Palatino Linotype" w:eastAsia="Palatino Linotype" w:hAnsi="Palatino Linotype" w:cs="Palatino Linotype"/>
          <w:color w:val="000000"/>
          <w:u w:val="single"/>
        </w:rPr>
        <w:t xml:space="preserve">la Ley de Transparencia y </w:t>
      </w:r>
      <w:r w:rsidRPr="00120082">
        <w:rPr>
          <w:rFonts w:ascii="Palatino Linotype" w:eastAsia="Palatino Linotype" w:hAnsi="Palatino Linotype" w:cs="Palatino Linotype"/>
          <w:color w:val="000000"/>
          <w:u w:val="single"/>
        </w:rPr>
        <w:lastRenderedPageBreak/>
        <w:t>Acceso a la Información Pública del Estado de México y Municipios., contexto que en el caso en concreto no se actualiza por requerirse la información del Director de la Dirección General de Seguridad y Protección</w:t>
      </w:r>
      <w:r w:rsidRPr="00120082">
        <w:rPr>
          <w:rFonts w:ascii="Palatino Linotype" w:eastAsia="Palatino Linotype" w:hAnsi="Palatino Linotype" w:cs="Palatino Linotype"/>
          <w:color w:val="000000"/>
        </w:rPr>
        <w:t>.</w:t>
      </w:r>
    </w:p>
    <w:p w:rsidR="002D7333" w:rsidRPr="00120082" w:rsidRDefault="002D733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Finalmente no pasa desapercibido que la solicitud de información carece de temporalidad; al respecto ha sido criterio del Pleno de este Instituto que tratándose de recibos de nómina en las solicitudes que carezcan de extremos temporales, resulta procedente ordenar la entrega de los últimos dos generados a la fecha de la solicitud, siendo en el caso concreto </w:t>
      </w:r>
      <w:r w:rsidR="00F723EB" w:rsidRPr="00120082">
        <w:rPr>
          <w:rFonts w:ascii="Palatino Linotype" w:eastAsia="Palatino Linotype" w:hAnsi="Palatino Linotype" w:cs="Palatino Linotype"/>
          <w:color w:val="000000"/>
        </w:rPr>
        <w:t>las dos quincenas del mes de jul</w:t>
      </w:r>
      <w:r w:rsidRPr="00120082">
        <w:rPr>
          <w:rFonts w:ascii="Palatino Linotype" w:eastAsia="Palatino Linotype" w:hAnsi="Palatino Linotype" w:cs="Palatino Linotype"/>
          <w:color w:val="000000"/>
        </w:rPr>
        <w:t>io de dos mil veinticinco.</w:t>
      </w:r>
    </w:p>
    <w:p w:rsidR="002D7333" w:rsidRPr="00120082" w:rsidRDefault="002D7333">
      <w:pPr>
        <w:pBdr>
          <w:top w:val="nil"/>
          <w:left w:val="nil"/>
          <w:bottom w:val="nil"/>
          <w:right w:val="nil"/>
          <w:between w:val="nil"/>
        </w:pBdr>
        <w:ind w:left="720"/>
        <w:rPr>
          <w:rFonts w:ascii="Palatino Linotype" w:eastAsia="Palatino Linotype" w:hAnsi="Palatino Linotype" w:cs="Palatino Linotype"/>
          <w:color w:val="000000"/>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Con la determinación anterior, se estima </w:t>
      </w:r>
      <w:r w:rsidRPr="00120082">
        <w:rPr>
          <w:rFonts w:ascii="Palatino Linotype" w:eastAsia="Palatino Linotype" w:hAnsi="Palatino Linotype" w:cs="Palatino Linotype"/>
        </w:rPr>
        <w:t>quedará</w:t>
      </w:r>
      <w:r w:rsidRPr="00120082">
        <w:rPr>
          <w:rFonts w:ascii="Palatino Linotype" w:eastAsia="Palatino Linotype" w:hAnsi="Palatino Linotype" w:cs="Palatino Linotype"/>
          <w:color w:val="000000"/>
        </w:rPr>
        <w:t xml:space="preserve"> por colmado el derecho de acceso a la información del ahora Recurrente; toda vez que el Derecho que tutela este Órgano Garante corresponde a la  </w:t>
      </w:r>
      <w:r w:rsidRPr="00120082">
        <w:rPr>
          <w:rFonts w:ascii="Palatino Linotype" w:eastAsia="Palatino Linotype" w:hAnsi="Palatino Linotype" w:cs="Palatino Linotype"/>
          <w:i/>
          <w:iCs/>
          <w:color w:val="000000"/>
        </w:rPr>
        <w:t>igualdad de oportunidades para recibir, buscar e impartir información</w:t>
      </w:r>
      <w:r w:rsidRPr="00120082">
        <w:rPr>
          <w:rFonts w:ascii="Palatino Linotype" w:eastAsia="Palatino Linotype" w:hAnsi="Palatino Linotype" w:cs="Palatino Linotype"/>
          <w:i/>
          <w:iCs/>
          <w:color w:val="000000"/>
          <w:vertAlign w:val="superscript"/>
        </w:rPr>
        <w:footnoteReference w:id="1"/>
      </w:r>
      <w:r w:rsidRPr="00120082">
        <w:rPr>
          <w:rFonts w:ascii="Palatino Linotype" w:eastAsia="Palatino Linotype" w:hAnsi="Palatino Linotype" w:cs="Palatino Linotype"/>
          <w:i/>
          <w:iCs/>
          <w:color w:val="000000"/>
        </w:rPr>
        <w:t xml:space="preserve"> en posesión de cualquier autoridad, entidad, órgano y organismo de los </w:t>
      </w:r>
      <w:r w:rsidRPr="00120082">
        <w:rPr>
          <w:rFonts w:ascii="Palatino Linotype" w:eastAsia="Palatino Linotype" w:hAnsi="Palatino Linotype" w:cs="Palatino Linotype"/>
          <w:color w:val="000000"/>
        </w:rPr>
        <w:t>poderes</w:t>
      </w:r>
      <w:r w:rsidRPr="00120082">
        <w:rPr>
          <w:rFonts w:ascii="Palatino Linotype" w:eastAsia="Palatino Linotype" w:hAnsi="Palatino Linotype" w:cs="Palatino Linotype"/>
          <w:i/>
          <w:iCs/>
          <w:color w:val="000000"/>
        </w:rPr>
        <w:t xml:space="preserve"> Ejecutivo, Legislativo y Judicial, órganos autónomos, partidos políticos, </w:t>
      </w:r>
      <w:r w:rsidRPr="00120082">
        <w:rPr>
          <w:rFonts w:ascii="Palatino Linotype" w:eastAsia="Palatino Linotype" w:hAnsi="Palatino Linotype" w:cs="Palatino Linotype"/>
          <w:color w:val="000000"/>
        </w:rPr>
        <w:t>fideicomisos</w:t>
      </w:r>
      <w:r w:rsidRPr="00120082">
        <w:rPr>
          <w:rFonts w:ascii="Palatino Linotype" w:eastAsia="Palatino Linotype" w:hAnsi="Palatino Linotype" w:cs="Palatino Linotype"/>
          <w:i/>
          <w:iCs/>
          <w:color w:val="000000"/>
        </w:rPr>
        <w:t>, y fondos públicos, así como de cualquier persona física, moral o sindicato que reciba y ejerza recursos públicos o realice actos de autoridad en el ámbito federal, estatal y municipal</w:t>
      </w:r>
      <w:r w:rsidRPr="00120082">
        <w:rPr>
          <w:rFonts w:ascii="Palatino Linotype" w:eastAsia="Palatino Linotype" w:hAnsi="Palatino Linotype" w:cs="Palatino Linotype"/>
          <w:color w:val="000000"/>
          <w:vertAlign w:val="superscript"/>
        </w:rPr>
        <w:footnoteReference w:id="2"/>
      </w:r>
      <w:r w:rsidRPr="00120082">
        <w:rPr>
          <w:rFonts w:ascii="Palatino Linotype" w:eastAsia="Palatino Linotype" w:hAnsi="Palatino Linotype" w:cs="Palatino Linotype"/>
          <w:i/>
          <w:iCs/>
          <w:color w:val="000000"/>
        </w:rPr>
        <w:t xml:space="preserve"> </w:t>
      </w:r>
      <w:r w:rsidRPr="00120082">
        <w:rPr>
          <w:rFonts w:ascii="Palatino Linotype" w:eastAsia="Palatino Linotype" w:hAnsi="Palatino Linotype" w:cs="Palatino Linotype"/>
          <w:color w:val="000000"/>
        </w:rPr>
        <w:t xml:space="preserve">que se constituye como una herramienta fundamental para </w:t>
      </w:r>
      <w:r w:rsidRPr="00120082">
        <w:rPr>
          <w:rFonts w:ascii="Palatino Linotype" w:eastAsia="Palatino Linotype" w:hAnsi="Palatino Linotype" w:cs="Palatino Linotype"/>
          <w:i/>
          <w:iCs/>
          <w:color w:val="000000"/>
        </w:rPr>
        <w:t>ejercer control democrático de las gestiones estatales, de forma tal que puedan cuestionar, indagar y considerar si se está dando un adecuado cumplimiento de las funciones públicas,</w:t>
      </w:r>
      <w:r w:rsidRPr="00120082">
        <w:rPr>
          <w:rFonts w:ascii="Palatino Linotype" w:eastAsia="Palatino Linotype" w:hAnsi="Palatino Linotype" w:cs="Palatino Linotype"/>
          <w:i/>
          <w:iCs/>
          <w:color w:val="000000"/>
          <w:vertAlign w:val="superscript"/>
        </w:rPr>
        <w:footnoteReference w:id="3"/>
      </w:r>
      <w:r w:rsidRPr="00120082">
        <w:rPr>
          <w:rFonts w:ascii="Palatino Linotype" w:eastAsia="Palatino Linotype" w:hAnsi="Palatino Linotype" w:cs="Palatino Linotype"/>
          <w:color w:val="000000"/>
        </w:rPr>
        <w:t>fomentando</w:t>
      </w:r>
      <w:r w:rsidRPr="00120082">
        <w:rPr>
          <w:rFonts w:ascii="Palatino Linotype" w:eastAsia="Palatino Linotype" w:hAnsi="Palatino Linotype" w:cs="Palatino Linotype"/>
          <w:i/>
          <w:iCs/>
          <w:color w:val="000000"/>
        </w:rPr>
        <w:t xml:space="preserve"> la transparencia de las actividades estatales y</w:t>
      </w:r>
      <w:r w:rsidRPr="00120082">
        <w:rPr>
          <w:rFonts w:ascii="Palatino Linotype" w:eastAsia="Palatino Linotype" w:hAnsi="Palatino Linotype" w:cs="Palatino Linotype"/>
          <w:color w:val="000000"/>
        </w:rPr>
        <w:t xml:space="preserve"> promoviendo</w:t>
      </w:r>
      <w:r w:rsidRPr="00120082">
        <w:rPr>
          <w:rFonts w:ascii="Palatino Linotype" w:eastAsia="Palatino Linotype" w:hAnsi="Palatino Linotype" w:cs="Palatino Linotype"/>
          <w:i/>
          <w:iCs/>
          <w:color w:val="000000"/>
        </w:rPr>
        <w:t xml:space="preserve"> la responsabilidad de los funcionarios sobre su gestión </w:t>
      </w:r>
      <w:r w:rsidRPr="00120082">
        <w:rPr>
          <w:rFonts w:ascii="Palatino Linotype" w:eastAsia="Palatino Linotype" w:hAnsi="Palatino Linotype" w:cs="Palatino Linotype"/>
          <w:i/>
          <w:iCs/>
          <w:color w:val="000000"/>
        </w:rPr>
        <w:lastRenderedPageBreak/>
        <w:t>pública</w:t>
      </w:r>
      <w:r w:rsidRPr="00120082">
        <w:rPr>
          <w:rFonts w:ascii="Palatino Linotype" w:eastAsia="Palatino Linotype" w:hAnsi="Palatino Linotype" w:cs="Palatino Linotype"/>
          <w:i/>
          <w:iCs/>
          <w:color w:val="000000"/>
          <w:vertAlign w:val="superscript"/>
        </w:rPr>
        <w:footnoteReference w:id="4"/>
      </w:r>
      <w:r w:rsidRPr="00120082">
        <w:rPr>
          <w:rFonts w:ascii="Palatino Linotype" w:eastAsia="Palatino Linotype" w:hAnsi="Palatino Linotype" w:cs="Palatino Linotype"/>
          <w:i/>
          <w:iCs/>
          <w:color w:val="000000"/>
        </w:rPr>
        <w:t xml:space="preserve"> </w:t>
      </w:r>
      <w:r w:rsidRPr="00120082">
        <w:rPr>
          <w:rFonts w:ascii="Palatino Linotype" w:eastAsia="Palatino Linotype" w:hAnsi="Palatino Linotype" w:cs="Palatino Linotype"/>
          <w:color w:val="000000"/>
        </w:rPr>
        <w:t>que permite</w:t>
      </w:r>
      <w:r w:rsidRPr="00120082">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r w:rsidRPr="00120082">
        <w:rPr>
          <w:rFonts w:ascii="Palatino Linotype" w:eastAsia="Palatino Linotype" w:hAnsi="Palatino Linotype" w:cs="Palatino Linotype"/>
          <w:i/>
          <w:iCs/>
          <w:color w:val="000000"/>
          <w:vertAlign w:val="superscript"/>
        </w:rPr>
        <w:footnoteReference w:id="5"/>
      </w:r>
      <w:r w:rsidRPr="00120082">
        <w:rPr>
          <w:rFonts w:ascii="Palatino Linotype" w:eastAsia="Palatino Linotype" w:hAnsi="Palatino Linotype" w:cs="Palatino Linotype"/>
          <w:color w:val="000000"/>
        </w:rPr>
        <w:t xml:space="preserve"> ” </w:t>
      </w:r>
    </w:p>
    <w:p w:rsidR="002D7333" w:rsidRPr="00120082" w:rsidRDefault="002D733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2D7333" w:rsidRPr="00120082" w:rsidRDefault="00667A12">
      <w:pPr>
        <w:spacing w:line="360" w:lineRule="auto"/>
        <w:ind w:left="426" w:right="567"/>
        <w:jc w:val="both"/>
        <w:rPr>
          <w:rFonts w:ascii="Palatino Linotype" w:eastAsia="Palatino Linotype" w:hAnsi="Palatino Linotype" w:cs="Palatino Linotype"/>
          <w:b/>
          <w:bCs/>
          <w:i/>
          <w:iCs/>
          <w:color w:val="000000"/>
        </w:rPr>
      </w:pPr>
      <w:r w:rsidRPr="00120082">
        <w:rPr>
          <w:rFonts w:ascii="Palatino Linotype" w:eastAsia="Palatino Linotype" w:hAnsi="Palatino Linotype" w:cs="Palatino Linotype"/>
          <w:b/>
          <w:bCs/>
          <w:i/>
          <w:iCs/>
          <w:color w:val="000000"/>
        </w:rPr>
        <w:t>“CRITERIO 0002-11</w:t>
      </w:r>
    </w:p>
    <w:p w:rsidR="002D7333" w:rsidRPr="00120082" w:rsidRDefault="00667A12">
      <w:pPr>
        <w:spacing w:line="360" w:lineRule="auto"/>
        <w:ind w:left="425" w:right="567"/>
        <w:jc w:val="both"/>
        <w:rPr>
          <w:rFonts w:ascii="Palatino Linotype" w:eastAsia="Palatino Linotype" w:hAnsi="Palatino Linotype" w:cs="Palatino Linotype"/>
          <w:i/>
          <w:iCs/>
          <w:color w:val="000000"/>
        </w:rPr>
      </w:pPr>
      <w:r w:rsidRPr="00120082">
        <w:rPr>
          <w:rFonts w:ascii="Palatino Linotype" w:eastAsia="Palatino Linotype" w:hAnsi="Palatino Linotype" w:cs="Palatino Linotype"/>
          <w:b/>
          <w:bCs/>
          <w:i/>
          <w:iCs/>
          <w:color w:val="000000"/>
        </w:rPr>
        <w:t>INFORMACIÓN PÚBLICA, CONCEPTO DE, EN MATERIA DE TRANSPARENCIA. INTERPRETACIÓN TEMÁTICA DE LOS ARTÍCULOS 2, FRACCIÓN V, XV, Y XVI, 3, 4,11 Y 41.</w:t>
      </w:r>
      <w:r w:rsidRPr="00120082">
        <w:rPr>
          <w:rFonts w:ascii="Palatino Linotype" w:eastAsia="Palatino Linotype" w:hAnsi="Palatino Linotype" w:cs="Palatino Linotype"/>
          <w:i/>
          <w:iCs/>
          <w:color w:val="00000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D7333" w:rsidRPr="00120082" w:rsidRDefault="00667A12">
      <w:pPr>
        <w:spacing w:line="360" w:lineRule="auto"/>
        <w:ind w:left="425" w:right="567"/>
        <w:jc w:val="both"/>
        <w:rPr>
          <w:rFonts w:ascii="Palatino Linotype" w:eastAsia="Palatino Linotype" w:hAnsi="Palatino Linotype" w:cs="Palatino Linotype"/>
          <w:i/>
          <w:iCs/>
          <w:color w:val="000000"/>
        </w:rPr>
      </w:pPr>
      <w:r w:rsidRPr="00120082">
        <w:rPr>
          <w:rFonts w:ascii="Palatino Linotype" w:eastAsia="Palatino Linotype" w:hAnsi="Palatino Linotype" w:cs="Palatino Linotype"/>
          <w:i/>
          <w:iCs/>
          <w:color w:val="000000"/>
        </w:rPr>
        <w:t>En consecuencia el acceso a la información se refiere a que se cumplan cualquiera de los siguientes tres supuestos:</w:t>
      </w:r>
    </w:p>
    <w:p w:rsidR="002D7333" w:rsidRPr="00120082" w:rsidRDefault="00667A12">
      <w:pPr>
        <w:spacing w:line="360" w:lineRule="auto"/>
        <w:ind w:left="425" w:right="567"/>
        <w:jc w:val="both"/>
        <w:rPr>
          <w:rFonts w:ascii="Palatino Linotype" w:eastAsia="Palatino Linotype" w:hAnsi="Palatino Linotype" w:cs="Palatino Linotype"/>
          <w:i/>
          <w:iCs/>
          <w:color w:val="000000"/>
        </w:rPr>
      </w:pPr>
      <w:r w:rsidRPr="00120082">
        <w:rPr>
          <w:rFonts w:ascii="Palatino Linotype" w:eastAsia="Palatino Linotype" w:hAnsi="Palatino Linotype" w:cs="Palatino Linotype"/>
          <w:i/>
          <w:iCs/>
          <w:color w:val="000000"/>
        </w:rPr>
        <w:lastRenderedPageBreak/>
        <w:t>Que se trate de información registrada en cualquier soporte documental, que en ejercicio de las atribuciones conferidas, sea generada por los Sujetos Obligados;</w:t>
      </w:r>
    </w:p>
    <w:p w:rsidR="002D7333" w:rsidRPr="00120082" w:rsidRDefault="00667A12">
      <w:pPr>
        <w:spacing w:line="360" w:lineRule="auto"/>
        <w:ind w:left="425" w:right="567"/>
        <w:jc w:val="both"/>
        <w:rPr>
          <w:rFonts w:ascii="Palatino Linotype" w:eastAsia="Palatino Linotype" w:hAnsi="Palatino Linotype" w:cs="Palatino Linotype"/>
          <w:i/>
          <w:iCs/>
          <w:color w:val="000000"/>
        </w:rPr>
      </w:pPr>
      <w:r w:rsidRPr="00120082">
        <w:rPr>
          <w:rFonts w:ascii="Palatino Linotype" w:eastAsia="Palatino Linotype" w:hAnsi="Palatino Linotype" w:cs="Palatino Linotype"/>
          <w:i/>
          <w:iCs/>
          <w:color w:val="000000"/>
        </w:rPr>
        <w:t>Que se trate de información registrada en cualquier soporte documental, que en ejercicio de las atribuciones conferidas, sea administrada por los Sujetos Obligados, y</w:t>
      </w:r>
    </w:p>
    <w:p w:rsidR="002D7333" w:rsidRPr="00120082" w:rsidRDefault="00667A12">
      <w:pPr>
        <w:spacing w:line="360" w:lineRule="auto"/>
        <w:ind w:left="425" w:right="567"/>
        <w:jc w:val="both"/>
        <w:rPr>
          <w:rFonts w:ascii="Palatino Linotype" w:eastAsia="Palatino Linotype" w:hAnsi="Palatino Linotype" w:cs="Palatino Linotype"/>
          <w:i/>
          <w:iCs/>
          <w:color w:val="000000"/>
        </w:rPr>
      </w:pPr>
      <w:r w:rsidRPr="00120082">
        <w:rPr>
          <w:rFonts w:ascii="Palatino Linotype" w:eastAsia="Palatino Linotype" w:hAnsi="Palatino Linotype" w:cs="Palatino Linotype"/>
          <w:i/>
          <w:iCs/>
          <w:color w:val="000000"/>
        </w:rPr>
        <w:t>Que se trate de información registrada en cualquier soporte documental, que en ejercicio de las atribuciones conferidas, se encuentre en posesión de los Sujetos Obligados.”</w:t>
      </w:r>
    </w:p>
    <w:p w:rsidR="002D7333" w:rsidRPr="00120082" w:rsidRDefault="002D7333">
      <w:pPr>
        <w:spacing w:line="360" w:lineRule="auto"/>
        <w:jc w:val="both"/>
        <w:rPr>
          <w:rFonts w:ascii="Palatino Linotype" w:eastAsia="Palatino Linotype" w:hAnsi="Palatino Linotype" w:cs="Palatino Linotype"/>
          <w:color w:val="000000"/>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Es así que, todos los actos de autoridad que realicen los Sujetos Obligados </w:t>
      </w:r>
      <w:r w:rsidRPr="00120082">
        <w:rPr>
          <w:rFonts w:ascii="Palatino Linotype" w:eastAsia="Palatino Linotype" w:hAnsi="Palatino Linotype" w:cs="Palatino Linotype"/>
          <w:b/>
          <w:bCs/>
          <w:color w:val="000000"/>
        </w:rPr>
        <w:t xml:space="preserve">deben </w:t>
      </w:r>
      <w:r w:rsidRPr="00120082">
        <w:rPr>
          <w:rFonts w:ascii="Palatino Linotype" w:eastAsia="Palatino Linotype" w:hAnsi="Palatino Linotype" w:cs="Palatino Linotype"/>
          <w:color w:val="000000"/>
        </w:rPr>
        <w:t>estar</w:t>
      </w:r>
      <w:r w:rsidRPr="00120082">
        <w:rPr>
          <w:rFonts w:ascii="Palatino Linotype" w:eastAsia="Palatino Linotype" w:hAnsi="Palatino Linotype" w:cs="Palatino Linotype"/>
          <w:b/>
          <w:bCs/>
          <w:color w:val="000000"/>
        </w:rPr>
        <w:t xml:space="preserve"> </w:t>
      </w:r>
      <w:r w:rsidRPr="00120082">
        <w:rPr>
          <w:rFonts w:ascii="Palatino Linotype" w:eastAsia="Palatino Linotype" w:hAnsi="Palatino Linotype" w:cs="Palatino Linotype"/>
          <w:color w:val="000000"/>
        </w:rPr>
        <w:t>documentados y, bajo el más alto estándar de transparencia deberán poner toda la información que se encuentre en su posesión, a disposición de los particulares que la soliciten.</w:t>
      </w:r>
    </w:p>
    <w:p w:rsidR="002D7333" w:rsidRPr="00120082" w:rsidRDefault="002D733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Además, debemos tomar en cuenta los artículos 4 y 12 (antes transcrito), de la Ley de Transparencia y Acceso a la Información Pública del Estado de México y Municipios, los cuales establecen lo siguiente:</w:t>
      </w:r>
    </w:p>
    <w:p w:rsidR="002D7333" w:rsidRPr="00120082" w:rsidRDefault="00667A12">
      <w:pPr>
        <w:spacing w:line="360" w:lineRule="auto"/>
        <w:ind w:left="425" w:right="333"/>
        <w:jc w:val="both"/>
        <w:rPr>
          <w:rFonts w:ascii="Palatino Linotype" w:eastAsia="Palatino Linotype" w:hAnsi="Palatino Linotype" w:cs="Palatino Linotype"/>
          <w:i/>
          <w:iCs/>
          <w:color w:val="000000"/>
        </w:rPr>
      </w:pPr>
      <w:r w:rsidRPr="00120082">
        <w:rPr>
          <w:rFonts w:ascii="Palatino Linotype" w:eastAsia="Palatino Linotype" w:hAnsi="Palatino Linotype" w:cs="Palatino Linotype"/>
          <w:b/>
          <w:bCs/>
          <w:i/>
          <w:iCs/>
          <w:color w:val="000000"/>
        </w:rPr>
        <w:t xml:space="preserve">“Artículo 4. </w:t>
      </w:r>
      <w:r w:rsidRPr="00120082">
        <w:rPr>
          <w:rFonts w:ascii="Palatino Linotype" w:eastAsia="Palatino Linotype" w:hAnsi="Palatino Linotype" w:cs="Palatino Linotype"/>
          <w:i/>
          <w:iCs/>
          <w:color w:val="000000"/>
        </w:rPr>
        <w:t>El derecho humano de acceso a la información pública es la prerrogativa de las personas para buscar, difundir, investigar, recabar, recibir y solicitar información pública, sin necesidad de acreditar personalidad ni interés jurídico.</w:t>
      </w:r>
    </w:p>
    <w:p w:rsidR="002D7333" w:rsidRPr="00120082" w:rsidRDefault="00667A12">
      <w:pPr>
        <w:spacing w:line="360" w:lineRule="auto"/>
        <w:ind w:left="426" w:right="333"/>
        <w:jc w:val="both"/>
        <w:rPr>
          <w:rFonts w:ascii="Palatino Linotype" w:eastAsia="Palatino Linotype" w:hAnsi="Palatino Linotype" w:cs="Palatino Linotype"/>
          <w:i/>
          <w:iCs/>
          <w:color w:val="000000"/>
        </w:rPr>
      </w:pPr>
      <w:r w:rsidRPr="00120082">
        <w:rPr>
          <w:rFonts w:ascii="Palatino Linotype" w:eastAsia="Palatino Linotype" w:hAnsi="Palatino Linotype" w:cs="Palatino Linotype"/>
          <w:b/>
          <w:bCs/>
          <w:i/>
          <w:iCs/>
          <w:color w:val="000000"/>
        </w:rPr>
        <w:t>Toda la información</w:t>
      </w:r>
      <w:r w:rsidRPr="00120082">
        <w:rPr>
          <w:rFonts w:ascii="Palatino Linotype" w:eastAsia="Palatino Linotype" w:hAnsi="Palatino Linotype" w:cs="Palatino Linotype"/>
          <w:i/>
          <w:iCs/>
          <w:color w:val="000000"/>
        </w:rPr>
        <w:t xml:space="preserve"> generada, obtenida, adquirida, transformada, administrada o </w:t>
      </w:r>
      <w:r w:rsidRPr="00120082">
        <w:rPr>
          <w:rFonts w:ascii="Palatino Linotype" w:eastAsia="Palatino Linotype" w:hAnsi="Palatino Linotype" w:cs="Palatino Linotype"/>
          <w:b/>
          <w:bCs/>
          <w:i/>
          <w:iCs/>
          <w:color w:val="000000"/>
        </w:rPr>
        <w:t>en posesión de los sujetos obligados es pública</w:t>
      </w:r>
      <w:r w:rsidRPr="00120082">
        <w:rPr>
          <w:rFonts w:ascii="Palatino Linotype" w:eastAsia="Palatino Linotype" w:hAnsi="Palatino Linotype" w:cs="Palatino Linotype"/>
          <w:i/>
          <w:iCs/>
          <w:color w:val="000000"/>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D7333" w:rsidRPr="00120082" w:rsidRDefault="00667A12">
      <w:pPr>
        <w:spacing w:line="360" w:lineRule="auto"/>
        <w:ind w:left="426" w:right="333"/>
        <w:jc w:val="both"/>
        <w:rPr>
          <w:rFonts w:ascii="Palatino Linotype" w:eastAsia="Palatino Linotype" w:hAnsi="Palatino Linotype" w:cs="Palatino Linotype"/>
          <w:i/>
          <w:iCs/>
          <w:color w:val="000000"/>
        </w:rPr>
      </w:pPr>
      <w:r w:rsidRPr="00120082">
        <w:rPr>
          <w:rFonts w:ascii="Palatino Linotype" w:eastAsia="Palatino Linotype" w:hAnsi="Palatino Linotype" w:cs="Palatino Linotype"/>
          <w:i/>
          <w:iCs/>
          <w:color w:val="000000"/>
        </w:rPr>
        <w:lastRenderedPageBreak/>
        <w:t>Los sujetos obligados deben poner en práctica, políticas y programas de acceso a la información que se apeguen a criterios de publicidad, veracidad, oportunidad, precisión y suficiencia en beneficio de los solicitantes.”</w:t>
      </w:r>
    </w:p>
    <w:p w:rsidR="002D7333" w:rsidRPr="00120082" w:rsidRDefault="002D7333">
      <w:pPr>
        <w:spacing w:line="360" w:lineRule="auto"/>
        <w:jc w:val="both"/>
        <w:rPr>
          <w:rFonts w:ascii="Palatino Linotype" w:eastAsia="Palatino Linotype" w:hAnsi="Palatino Linotype" w:cs="Palatino Linotype"/>
          <w:color w:val="000000"/>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120082">
        <w:rPr>
          <w:rFonts w:ascii="Palatino Linotype" w:eastAsia="Palatino Linotype" w:hAnsi="Palatino Linotype" w:cs="Palatino Linotype"/>
          <w:color w:val="000000"/>
          <w:vertAlign w:val="superscript"/>
        </w:rPr>
        <w:footnoteReference w:id="6"/>
      </w:r>
      <w:r w:rsidRPr="00120082">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2D7333" w:rsidRPr="00120082" w:rsidRDefault="002D7333">
      <w:pPr>
        <w:spacing w:line="360" w:lineRule="auto"/>
        <w:jc w:val="both"/>
        <w:rPr>
          <w:rFonts w:ascii="Palatino Linotype" w:eastAsia="Palatino Linotype" w:hAnsi="Palatino Linotype" w:cs="Palatino Linotype"/>
          <w:color w:val="000000"/>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2D7333" w:rsidRPr="00120082" w:rsidRDefault="00667A12">
      <w:pPr>
        <w:pBdr>
          <w:top w:val="nil"/>
          <w:left w:val="nil"/>
          <w:bottom w:val="nil"/>
          <w:right w:val="nil"/>
          <w:between w:val="nil"/>
        </w:pBdr>
        <w:tabs>
          <w:tab w:val="left" w:pos="851"/>
        </w:tabs>
        <w:spacing w:line="360" w:lineRule="auto"/>
        <w:ind w:left="425" w:right="425"/>
        <w:jc w:val="both"/>
        <w:rPr>
          <w:rFonts w:ascii="Palatino Linotype" w:eastAsia="Palatino Linotype" w:hAnsi="Palatino Linotype" w:cs="Palatino Linotype"/>
          <w:i/>
          <w:iCs/>
          <w:color w:val="000000"/>
        </w:rPr>
      </w:pPr>
      <w:r w:rsidRPr="00120082">
        <w:rPr>
          <w:rFonts w:ascii="Palatino Linotype" w:eastAsia="Palatino Linotype" w:hAnsi="Palatino Linotype" w:cs="Palatino Linotype"/>
          <w:b/>
          <w:bCs/>
          <w:i/>
          <w:iCs/>
          <w:color w:val="000000"/>
        </w:rPr>
        <w:t>“ACCESO A LA INFORMACIÓN. IMPLICACIÓN DEL PRINCIPIO DE MÁXIMA PUBLICIDAD EN EL DERECHO FUNDAMENTAL RELATIVO.</w:t>
      </w:r>
      <w:r w:rsidRPr="00120082">
        <w:rPr>
          <w:rFonts w:ascii="Palatino Linotype" w:eastAsia="Palatino Linotype" w:hAnsi="Palatino Linotype" w:cs="Palatino Linotype"/>
          <w:i/>
          <w:iCs/>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w:t>
      </w:r>
      <w:r w:rsidRPr="00120082">
        <w:rPr>
          <w:rFonts w:ascii="Palatino Linotype" w:eastAsia="Palatino Linotype" w:hAnsi="Palatino Linotype" w:cs="Palatino Linotype"/>
          <w:i/>
          <w:iCs/>
          <w:color w:val="000000"/>
        </w:rPr>
        <w:lastRenderedPageBreak/>
        <w:t>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2D7333" w:rsidRPr="00120082" w:rsidRDefault="002D7333">
      <w:pPr>
        <w:spacing w:line="360" w:lineRule="auto"/>
        <w:rPr>
          <w:rFonts w:ascii="Palatino Linotype" w:eastAsia="Palatino Linotype" w:hAnsi="Palatino Linotype" w:cs="Palatino Linotype"/>
          <w:b/>
          <w:bCs/>
        </w:rPr>
      </w:pPr>
      <w:bookmarkStart w:id="7" w:name="_heading=h.vhqcglms5t95" w:colFirst="0" w:colLast="0"/>
      <w:bookmarkEnd w:id="7"/>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Finalmente, no pasa desapercibido que de las constancias que obran  en el expediente electrónico en que se actúa, concretamente en el archivo de respuesta </w:t>
      </w:r>
      <w:r w:rsidRPr="00120082">
        <w:rPr>
          <w:rFonts w:ascii="Palatino Linotype" w:eastAsia="Palatino Linotype" w:hAnsi="Palatino Linotype" w:cs="Palatino Linotype"/>
          <w:b/>
          <w:bCs/>
          <w:color w:val="000000"/>
        </w:rPr>
        <w:t>TRASPARENCIA.zip</w:t>
      </w:r>
      <w:r w:rsidRPr="00120082">
        <w:rPr>
          <w:rFonts w:ascii="Palatino Linotype" w:eastAsia="Palatino Linotype" w:hAnsi="Palatino Linotype" w:cs="Palatino Linotype"/>
          <w:color w:val="000000"/>
        </w:rPr>
        <w:t xml:space="preserve">, subcarpetas: </w:t>
      </w:r>
      <w:r w:rsidRPr="00120082">
        <w:rPr>
          <w:rFonts w:ascii="Palatino Linotype" w:eastAsia="Palatino Linotype" w:hAnsi="Palatino Linotype" w:cs="Palatino Linotype"/>
        </w:rPr>
        <w:t>TRANSPARENCIA</w:t>
      </w:r>
      <w:r w:rsidRPr="00120082">
        <w:rPr>
          <w:rFonts w:ascii="Palatino Linotype" w:eastAsia="Palatino Linotype" w:hAnsi="Palatino Linotype" w:cs="Palatino Linotype"/>
          <w:color w:val="000000"/>
        </w:rPr>
        <w:t xml:space="preserve"> / CFDI  IMCUFIDE 2025 / ENERO, se logra advertir que el </w:t>
      </w:r>
      <w:r w:rsidRPr="00120082">
        <w:rPr>
          <w:rFonts w:ascii="Palatino Linotype" w:eastAsia="Palatino Linotype" w:hAnsi="Palatino Linotype" w:cs="Palatino Linotype"/>
          <w:b/>
          <w:bCs/>
          <w:color w:val="000000"/>
        </w:rPr>
        <w:t>SUJETO OBLIGADO</w:t>
      </w:r>
      <w:r w:rsidRPr="00120082">
        <w:rPr>
          <w:rFonts w:ascii="Palatino Linotype" w:eastAsia="Palatino Linotype" w:hAnsi="Palatino Linotype" w:cs="Palatino Linotype"/>
          <w:color w:val="000000"/>
        </w:rPr>
        <w:t xml:space="preserve"> dejó visible de manera enunciativa </w:t>
      </w:r>
      <w:r w:rsidRPr="00120082">
        <w:rPr>
          <w:rFonts w:ascii="Palatino Linotype" w:eastAsia="Palatino Linotype" w:hAnsi="Palatino Linotype" w:cs="Palatino Linotype"/>
        </w:rPr>
        <w:t>más</w:t>
      </w:r>
      <w:r w:rsidRPr="00120082">
        <w:rPr>
          <w:rFonts w:ascii="Palatino Linotype" w:eastAsia="Palatino Linotype" w:hAnsi="Palatino Linotype" w:cs="Palatino Linotype"/>
          <w:color w:val="000000"/>
        </w:rPr>
        <w:t xml:space="preserve"> no limitativa el CURP, RFC y clave ISSEMYM, de los servidores públicos, lo que contraviene lo determinado por el artículo 143, fracción I, de la Ley de Transparencia y Acceso a la Información Pública del Estado de México y Municipios, y, por lo tanto, inobservó la Ley de Transparencia y Acceso a la </w:t>
      </w:r>
      <w:r w:rsidRPr="00120082">
        <w:rPr>
          <w:rFonts w:ascii="Palatino Linotype" w:eastAsia="Palatino Linotype" w:hAnsi="Palatino Linotype" w:cs="Palatino Linotype"/>
          <w:color w:val="000000"/>
        </w:rPr>
        <w:lastRenderedPageBreak/>
        <w:t xml:space="preserve">Información Pública del Estado de México y Municipios y la Ley de Protección de Datos Personales en Posesión de Sujetos Obligados del Estado de México y Municipios. </w:t>
      </w:r>
    </w:p>
    <w:p w:rsidR="002D7333" w:rsidRPr="00120082" w:rsidRDefault="002D7333">
      <w:pPr>
        <w:spacing w:line="360" w:lineRule="auto"/>
        <w:jc w:val="both"/>
        <w:rPr>
          <w:rFonts w:ascii="Palatino Linotype" w:eastAsia="Palatino Linotype" w:hAnsi="Palatino Linotype" w:cs="Palatino Linotype"/>
          <w:color w:val="000000"/>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Sobre el particular, si bien, la presente Resolución no tiene por objetivo investigar y determinar posibles violaciones al derecho de acceso a la información;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rsidR="002D7333" w:rsidRPr="00120082" w:rsidRDefault="002D7333">
      <w:pPr>
        <w:spacing w:line="360" w:lineRule="auto"/>
        <w:rPr>
          <w:rFonts w:ascii="Palatino Linotype" w:eastAsia="Palatino Linotype" w:hAnsi="Palatino Linotype" w:cs="Palatino Linotype"/>
          <w:b/>
          <w:bCs/>
        </w:rPr>
      </w:pPr>
    </w:p>
    <w:p w:rsidR="002D7333" w:rsidRPr="00120082" w:rsidRDefault="00667A12">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b/>
          <w:bCs/>
          <w:color w:val="000000"/>
        </w:rPr>
      </w:pPr>
      <w:r w:rsidRPr="00120082">
        <w:rPr>
          <w:rFonts w:ascii="Palatino Linotype" w:eastAsia="Palatino Linotype" w:hAnsi="Palatino Linotype" w:cs="Palatino Linotype"/>
          <w:b/>
          <w:bCs/>
          <w:color w:val="000000"/>
        </w:rPr>
        <w:t>QUINTO. De la versión pública.</w:t>
      </w: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Finalmente, debe señalarse que dada la propia y especial naturaleza de lo solicitado, eminentemente contiene múltiples datos personales que deberán ser protegidos como ya quedó asentado en el Considerando anterior del presente proveído. Para dar cumplimiento a la presente resolución, contengan datos que deban ser clasificados, el </w:t>
      </w:r>
      <w:r w:rsidRPr="00120082">
        <w:rPr>
          <w:rFonts w:ascii="Palatino Linotype" w:eastAsia="Palatino Linotype" w:hAnsi="Palatino Linotype" w:cs="Palatino Linotype"/>
          <w:b/>
          <w:bCs/>
          <w:color w:val="000000"/>
        </w:rPr>
        <w:t>SUJETO OBLIGADO</w:t>
      </w:r>
      <w:r w:rsidRPr="00120082">
        <w:rPr>
          <w:rFonts w:ascii="Palatino Linotype" w:eastAsia="Palatino Linotype" w:hAnsi="Palatino Linotype" w:cs="Palatino Linotype"/>
          <w:color w:val="000000"/>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2D7333" w:rsidRPr="00120082" w:rsidRDefault="002D733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Por lo que, para efectos de la elaboración de la versión pública se deberá observar lo dispuesto por los artículos 3 fracciones IX, XX, XXI, XXXII y XLV; 6, 49 fracción VIII, 91, 137, </w:t>
      </w:r>
      <w:r w:rsidRPr="00120082">
        <w:rPr>
          <w:rFonts w:ascii="Palatino Linotype" w:eastAsia="Palatino Linotype" w:hAnsi="Palatino Linotype" w:cs="Palatino Linotype"/>
          <w:color w:val="000000"/>
        </w:rPr>
        <w:lastRenderedPageBreak/>
        <w:t>143 Fracción I, de la Ley de Transparencia y Acceso a la Información Pública del Estado de México y Municipios vigente, que establecen:</w:t>
      </w:r>
    </w:p>
    <w:p w:rsidR="002D7333" w:rsidRPr="00120082" w:rsidRDefault="00667A12">
      <w:pPr>
        <w:spacing w:line="360" w:lineRule="auto"/>
        <w:ind w:left="993" w:right="1041"/>
        <w:jc w:val="both"/>
        <w:rPr>
          <w:rFonts w:ascii="Palatino Linotype" w:eastAsia="Palatino Linotype" w:hAnsi="Palatino Linotype" w:cs="Palatino Linotype"/>
          <w:b/>
          <w:bCs/>
          <w:i/>
          <w:iCs/>
        </w:rPr>
      </w:pPr>
      <w:r w:rsidRPr="00120082">
        <w:rPr>
          <w:rFonts w:ascii="Palatino Linotype" w:eastAsia="Palatino Linotype" w:hAnsi="Palatino Linotype" w:cs="Palatino Linotype"/>
          <w:b/>
          <w:bCs/>
          <w:i/>
          <w:iCs/>
        </w:rPr>
        <w:t xml:space="preserve"> “Artículo 3. Para los efectos de la presente Ley se entenderá por:</w:t>
      </w:r>
    </w:p>
    <w:p w:rsidR="002D7333" w:rsidRPr="00120082" w:rsidRDefault="00667A12">
      <w:pPr>
        <w:spacing w:line="360" w:lineRule="auto"/>
        <w:ind w:left="993" w:right="1041"/>
        <w:jc w:val="both"/>
        <w:rPr>
          <w:rFonts w:ascii="Palatino Linotype" w:eastAsia="Palatino Linotype" w:hAnsi="Palatino Linotype" w:cs="Palatino Linotype"/>
          <w:i/>
          <w:iCs/>
        </w:rPr>
      </w:pPr>
      <w:r w:rsidRPr="00120082">
        <w:rPr>
          <w:rFonts w:ascii="Palatino Linotype" w:eastAsia="Palatino Linotype" w:hAnsi="Palatino Linotype" w:cs="Palatino Linotype"/>
          <w:b/>
          <w:bCs/>
          <w:i/>
          <w:iCs/>
        </w:rPr>
        <w:t>IX. Datos personales:</w:t>
      </w:r>
      <w:r w:rsidRPr="00120082">
        <w:rPr>
          <w:rFonts w:ascii="Palatino Linotype" w:eastAsia="Palatino Linotype" w:hAnsi="Palatino Linotype" w:cs="Palatino Linotype"/>
          <w:i/>
          <w:iCs/>
        </w:rPr>
        <w:t xml:space="preserve"> </w:t>
      </w:r>
      <w:r w:rsidRPr="00120082">
        <w:rPr>
          <w:rFonts w:ascii="Palatino Linotype" w:eastAsia="Palatino Linotype" w:hAnsi="Palatino Linotype" w:cs="Palatino Linotype"/>
          <w:b/>
          <w:bCs/>
          <w:i/>
          <w:iCs/>
        </w:rPr>
        <w:t>La información concerniente a una persona, identificada o identificable</w:t>
      </w:r>
      <w:r w:rsidRPr="00120082">
        <w:rPr>
          <w:rFonts w:ascii="Palatino Linotype" w:eastAsia="Palatino Linotype" w:hAnsi="Palatino Linotype" w:cs="Palatino Linotype"/>
          <w:i/>
          <w:iCs/>
        </w:rPr>
        <w:t xml:space="preserve"> según lo dispuesto por la Ley de Protección de Datos Personales del Estado de México;</w:t>
      </w:r>
    </w:p>
    <w:p w:rsidR="002D7333" w:rsidRPr="00120082" w:rsidRDefault="00667A12">
      <w:pPr>
        <w:spacing w:line="360" w:lineRule="auto"/>
        <w:ind w:left="993" w:right="1041"/>
        <w:jc w:val="both"/>
        <w:rPr>
          <w:rFonts w:ascii="Palatino Linotype" w:eastAsia="Palatino Linotype" w:hAnsi="Palatino Linotype" w:cs="Palatino Linotype"/>
          <w:i/>
          <w:iCs/>
        </w:rPr>
      </w:pPr>
      <w:r w:rsidRPr="00120082">
        <w:rPr>
          <w:rFonts w:ascii="Palatino Linotype" w:eastAsia="Palatino Linotype" w:hAnsi="Palatino Linotype" w:cs="Palatino Linotype"/>
          <w:b/>
          <w:bCs/>
          <w:i/>
          <w:iCs/>
        </w:rPr>
        <w:t>XX. Información clasificada:</w:t>
      </w:r>
      <w:r w:rsidRPr="00120082">
        <w:rPr>
          <w:rFonts w:ascii="Palatino Linotype" w:eastAsia="Palatino Linotype" w:hAnsi="Palatino Linotype" w:cs="Palatino Linotype"/>
          <w:i/>
          <w:iCs/>
        </w:rPr>
        <w:t xml:space="preserve"> Aquella considerada por la presente Ley como reservada o confidencial;</w:t>
      </w:r>
    </w:p>
    <w:p w:rsidR="002D7333" w:rsidRPr="00120082" w:rsidRDefault="00667A12">
      <w:pPr>
        <w:spacing w:line="360" w:lineRule="auto"/>
        <w:ind w:left="993" w:right="1041"/>
        <w:jc w:val="both"/>
        <w:rPr>
          <w:rFonts w:ascii="Palatino Linotype" w:eastAsia="Palatino Linotype" w:hAnsi="Palatino Linotype" w:cs="Palatino Linotype"/>
          <w:i/>
          <w:iCs/>
        </w:rPr>
      </w:pPr>
      <w:r w:rsidRPr="00120082">
        <w:rPr>
          <w:rFonts w:ascii="Palatino Linotype" w:eastAsia="Palatino Linotype" w:hAnsi="Palatino Linotype" w:cs="Palatino Linotype"/>
          <w:b/>
          <w:bCs/>
          <w:i/>
          <w:iCs/>
        </w:rPr>
        <w:t>XXXII. Protección de Datos Personales:</w:t>
      </w:r>
      <w:r w:rsidRPr="00120082">
        <w:rPr>
          <w:rFonts w:ascii="Palatino Linotype" w:eastAsia="Palatino Linotype" w:hAnsi="Palatino Linotype" w:cs="Palatino Linotype"/>
          <w:i/>
          <w:iCs/>
        </w:rPr>
        <w:t xml:space="preserve"> Derecho humano que tutela la privacidad de datos personales en poder de los sujetos obligados y sujetos particulares;</w:t>
      </w:r>
    </w:p>
    <w:p w:rsidR="002D7333" w:rsidRPr="00120082" w:rsidRDefault="00667A12">
      <w:pPr>
        <w:spacing w:line="360" w:lineRule="auto"/>
        <w:ind w:left="993" w:right="1041"/>
        <w:jc w:val="both"/>
        <w:rPr>
          <w:rFonts w:ascii="Palatino Linotype" w:eastAsia="Palatino Linotype" w:hAnsi="Palatino Linotype" w:cs="Palatino Linotype"/>
          <w:i/>
          <w:iCs/>
        </w:rPr>
      </w:pPr>
      <w:r w:rsidRPr="00120082">
        <w:rPr>
          <w:rFonts w:ascii="Palatino Linotype" w:eastAsia="Palatino Linotype" w:hAnsi="Palatino Linotype" w:cs="Palatino Linotype"/>
          <w:b/>
          <w:bCs/>
          <w:i/>
          <w:iCs/>
        </w:rPr>
        <w:t>XLV. Versión pública</w:t>
      </w:r>
      <w:r w:rsidRPr="00120082">
        <w:rPr>
          <w:rFonts w:ascii="Palatino Linotype" w:eastAsia="Palatino Linotype" w:hAnsi="Palatino Linotype" w:cs="Palatino Linotype"/>
          <w:i/>
          <w:iCs/>
        </w:rPr>
        <w:t>: Documento en el que se elimine, suprime o borra la información clasificada como reservada o confidencial para permitir su acceso.”</w:t>
      </w:r>
    </w:p>
    <w:p w:rsidR="002D7333" w:rsidRPr="00120082" w:rsidRDefault="002D7333">
      <w:pPr>
        <w:spacing w:line="360" w:lineRule="auto"/>
        <w:ind w:left="993" w:right="1041"/>
        <w:jc w:val="both"/>
        <w:rPr>
          <w:rFonts w:ascii="Palatino Linotype" w:eastAsia="Palatino Linotype" w:hAnsi="Palatino Linotype" w:cs="Palatino Linotype"/>
          <w:i/>
          <w:iCs/>
        </w:rPr>
      </w:pPr>
    </w:p>
    <w:p w:rsidR="002D7333" w:rsidRPr="00120082" w:rsidRDefault="00667A12">
      <w:pPr>
        <w:spacing w:line="360" w:lineRule="auto"/>
        <w:ind w:left="993" w:right="1041"/>
        <w:jc w:val="both"/>
        <w:rPr>
          <w:rFonts w:ascii="Palatino Linotype" w:eastAsia="Palatino Linotype" w:hAnsi="Palatino Linotype" w:cs="Palatino Linotype"/>
          <w:i/>
          <w:iCs/>
        </w:rPr>
      </w:pPr>
      <w:r w:rsidRPr="00120082">
        <w:rPr>
          <w:rFonts w:ascii="Palatino Linotype" w:eastAsia="Palatino Linotype" w:hAnsi="Palatino Linotype" w:cs="Palatino Linotype"/>
          <w:b/>
          <w:bCs/>
          <w:i/>
          <w:iCs/>
        </w:rPr>
        <w:t>“Artículo 6.</w:t>
      </w:r>
      <w:r w:rsidRPr="00120082">
        <w:rPr>
          <w:rFonts w:ascii="Palatino Linotype" w:eastAsia="Palatino Linotype" w:hAnsi="Palatino Linotype" w:cs="Palatino Linotype"/>
          <w:i/>
          <w:iCs/>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2D7333" w:rsidRPr="00120082" w:rsidRDefault="002D7333">
      <w:pPr>
        <w:spacing w:line="360" w:lineRule="auto"/>
        <w:ind w:left="993" w:right="1041"/>
        <w:jc w:val="both"/>
        <w:rPr>
          <w:rFonts w:ascii="Palatino Linotype" w:eastAsia="Palatino Linotype" w:hAnsi="Palatino Linotype" w:cs="Palatino Linotype"/>
          <w:i/>
          <w:iCs/>
        </w:rPr>
      </w:pPr>
    </w:p>
    <w:p w:rsidR="002D7333" w:rsidRPr="00120082" w:rsidRDefault="00667A12">
      <w:pPr>
        <w:spacing w:line="360" w:lineRule="auto"/>
        <w:ind w:left="993" w:right="1041"/>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 </w:t>
      </w:r>
      <w:r w:rsidRPr="00120082">
        <w:rPr>
          <w:rFonts w:ascii="Palatino Linotype" w:eastAsia="Palatino Linotype" w:hAnsi="Palatino Linotype" w:cs="Palatino Linotype"/>
          <w:b/>
          <w:bCs/>
          <w:i/>
          <w:iCs/>
        </w:rPr>
        <w:t>Artículo 49.</w:t>
      </w:r>
      <w:r w:rsidRPr="00120082">
        <w:rPr>
          <w:rFonts w:ascii="Palatino Linotype" w:eastAsia="Palatino Linotype" w:hAnsi="Palatino Linotype" w:cs="Palatino Linotype"/>
          <w:i/>
          <w:iCs/>
        </w:rPr>
        <w:t> Los Comités de Transparencia tendrán las siguientes atribuciones:</w:t>
      </w:r>
    </w:p>
    <w:p w:rsidR="002D7333" w:rsidRPr="00120082" w:rsidRDefault="00667A12">
      <w:pPr>
        <w:spacing w:line="360" w:lineRule="auto"/>
        <w:ind w:left="993" w:right="1041"/>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w:t>
      </w:r>
    </w:p>
    <w:p w:rsidR="002D7333" w:rsidRPr="00120082" w:rsidRDefault="00667A12">
      <w:pPr>
        <w:spacing w:line="360" w:lineRule="auto"/>
        <w:ind w:left="993" w:right="1041"/>
        <w:jc w:val="both"/>
        <w:rPr>
          <w:rFonts w:ascii="Palatino Linotype" w:eastAsia="Palatino Linotype" w:hAnsi="Palatino Linotype" w:cs="Palatino Linotype"/>
          <w:i/>
          <w:iCs/>
        </w:rPr>
      </w:pPr>
      <w:r w:rsidRPr="00120082">
        <w:rPr>
          <w:rFonts w:ascii="Palatino Linotype" w:eastAsia="Palatino Linotype" w:hAnsi="Palatino Linotype" w:cs="Palatino Linotype"/>
          <w:b/>
          <w:bCs/>
          <w:i/>
          <w:iCs/>
        </w:rPr>
        <w:lastRenderedPageBreak/>
        <w:t>VIII</w:t>
      </w:r>
      <w:r w:rsidRPr="00120082">
        <w:rPr>
          <w:rFonts w:ascii="Palatino Linotype" w:eastAsia="Palatino Linotype" w:hAnsi="Palatino Linotype" w:cs="Palatino Linotype"/>
          <w:i/>
          <w:iCs/>
        </w:rPr>
        <w:t>. Aprobar, modificar o revocar la clasificación de la información;</w:t>
      </w:r>
    </w:p>
    <w:p w:rsidR="002D7333" w:rsidRPr="00120082" w:rsidRDefault="00667A12">
      <w:pPr>
        <w:spacing w:line="360" w:lineRule="auto"/>
        <w:ind w:left="993" w:right="1041"/>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w:t>
      </w:r>
    </w:p>
    <w:p w:rsidR="002D7333" w:rsidRPr="00120082" w:rsidRDefault="00667A12">
      <w:pPr>
        <w:spacing w:line="360" w:lineRule="auto"/>
        <w:ind w:left="993" w:right="1041"/>
        <w:jc w:val="both"/>
        <w:rPr>
          <w:rFonts w:ascii="Palatino Linotype" w:eastAsia="Palatino Linotype" w:hAnsi="Palatino Linotype" w:cs="Palatino Linotype"/>
          <w:i/>
          <w:iCs/>
        </w:rPr>
      </w:pPr>
      <w:r w:rsidRPr="00120082">
        <w:rPr>
          <w:rFonts w:ascii="Palatino Linotype" w:eastAsia="Palatino Linotype" w:hAnsi="Palatino Linotype" w:cs="Palatino Linotype"/>
          <w:b/>
          <w:bCs/>
          <w:i/>
          <w:iCs/>
        </w:rPr>
        <w:t xml:space="preserve">Artículo 91. </w:t>
      </w:r>
      <w:r w:rsidRPr="00120082">
        <w:rPr>
          <w:rFonts w:ascii="Palatino Linotype" w:eastAsia="Palatino Linotype" w:hAnsi="Palatino Linotype" w:cs="Palatino Linotype"/>
          <w:i/>
          <w:iCs/>
        </w:rPr>
        <w:t>El acceso a la información pública será restringido excepcionalmente, cuando ésta sea clasificada como reservada o confidencial.</w:t>
      </w:r>
    </w:p>
    <w:p w:rsidR="002D7333" w:rsidRPr="00120082" w:rsidRDefault="002D7333">
      <w:pPr>
        <w:spacing w:line="360" w:lineRule="auto"/>
        <w:ind w:left="993" w:right="1041"/>
        <w:jc w:val="both"/>
        <w:rPr>
          <w:rFonts w:ascii="Palatino Linotype" w:eastAsia="Palatino Linotype" w:hAnsi="Palatino Linotype" w:cs="Palatino Linotype"/>
          <w:i/>
          <w:iCs/>
        </w:rPr>
      </w:pPr>
    </w:p>
    <w:p w:rsidR="002D7333" w:rsidRPr="00120082" w:rsidRDefault="00667A12">
      <w:pPr>
        <w:spacing w:line="360" w:lineRule="auto"/>
        <w:ind w:left="993" w:right="1041"/>
        <w:jc w:val="both"/>
        <w:rPr>
          <w:rFonts w:ascii="Palatino Linotype" w:eastAsia="Palatino Linotype" w:hAnsi="Palatino Linotype" w:cs="Palatino Linotype"/>
          <w:b/>
          <w:bCs/>
          <w:i/>
          <w:iCs/>
        </w:rPr>
      </w:pPr>
      <w:r w:rsidRPr="00120082">
        <w:rPr>
          <w:rFonts w:ascii="Palatino Linotype" w:eastAsia="Palatino Linotype" w:hAnsi="Palatino Linotype" w:cs="Palatino Linotype"/>
          <w:b/>
          <w:bCs/>
          <w:i/>
          <w:iCs/>
        </w:rPr>
        <w:t>“Artículo 137.</w:t>
      </w:r>
      <w:r w:rsidRPr="00120082">
        <w:rPr>
          <w:rFonts w:ascii="Palatino Linotype" w:eastAsia="Palatino Linotype" w:hAnsi="Palatino Linotype" w:cs="Palatino Linotype"/>
          <w:i/>
          <w:iC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2D7333" w:rsidRPr="00120082" w:rsidRDefault="002D7333">
      <w:pPr>
        <w:spacing w:line="360" w:lineRule="auto"/>
        <w:ind w:left="993" w:right="1041"/>
        <w:jc w:val="both"/>
        <w:rPr>
          <w:rFonts w:ascii="Palatino Linotype" w:eastAsia="Palatino Linotype" w:hAnsi="Palatino Linotype" w:cs="Palatino Linotype"/>
          <w:b/>
          <w:bCs/>
          <w:i/>
          <w:iCs/>
        </w:rPr>
      </w:pPr>
    </w:p>
    <w:p w:rsidR="002D7333" w:rsidRPr="00120082" w:rsidRDefault="00667A12">
      <w:pPr>
        <w:spacing w:line="360" w:lineRule="auto"/>
        <w:ind w:left="993" w:right="1041"/>
        <w:jc w:val="both"/>
        <w:rPr>
          <w:rFonts w:ascii="Palatino Linotype" w:eastAsia="Palatino Linotype" w:hAnsi="Palatino Linotype" w:cs="Palatino Linotype"/>
          <w:i/>
          <w:iCs/>
        </w:rPr>
      </w:pPr>
      <w:r w:rsidRPr="00120082">
        <w:rPr>
          <w:rFonts w:ascii="Palatino Linotype" w:eastAsia="Palatino Linotype" w:hAnsi="Palatino Linotype" w:cs="Palatino Linotype"/>
          <w:b/>
          <w:bCs/>
          <w:i/>
          <w:iCs/>
        </w:rPr>
        <w:t>“Artículo 143</w:t>
      </w:r>
      <w:r w:rsidRPr="00120082">
        <w:rPr>
          <w:rFonts w:ascii="Palatino Linotype" w:eastAsia="Palatino Linotype" w:hAnsi="Palatino Linotype" w:cs="Palatino Linotype"/>
          <w:i/>
          <w:iCs/>
        </w:rPr>
        <w:t>. Para los efectos de esta Ley se considera información confidencial, la clasificada como tal, de manera permanente, por su naturaleza, cuando:</w:t>
      </w:r>
    </w:p>
    <w:p w:rsidR="002D7333" w:rsidRPr="00120082" w:rsidRDefault="00667A12">
      <w:pPr>
        <w:spacing w:line="360" w:lineRule="auto"/>
        <w:ind w:left="993" w:right="1041"/>
        <w:jc w:val="both"/>
        <w:rPr>
          <w:rFonts w:ascii="Palatino Linotype" w:eastAsia="Palatino Linotype" w:hAnsi="Palatino Linotype" w:cs="Palatino Linotype"/>
          <w:i/>
          <w:iCs/>
        </w:rPr>
      </w:pPr>
      <w:r w:rsidRPr="00120082">
        <w:rPr>
          <w:rFonts w:ascii="Palatino Linotype" w:eastAsia="Palatino Linotype" w:hAnsi="Palatino Linotype" w:cs="Palatino Linotype"/>
          <w:b/>
          <w:bCs/>
          <w:i/>
          <w:iCs/>
        </w:rPr>
        <w:t>I.</w:t>
      </w:r>
      <w:r w:rsidRPr="00120082">
        <w:rPr>
          <w:rFonts w:ascii="Palatino Linotype" w:eastAsia="Palatino Linotype" w:hAnsi="Palatino Linotype" w:cs="Palatino Linotype"/>
          <w:i/>
          <w:iCs/>
        </w:rPr>
        <w:t xml:space="preserve"> Se refiera a la información privada y los datos personales concernientes a una persona física o jurídica colectiva identificada o identificable;</w:t>
      </w:r>
    </w:p>
    <w:p w:rsidR="002D7333" w:rsidRPr="00120082" w:rsidRDefault="00667A12">
      <w:pPr>
        <w:spacing w:line="360" w:lineRule="auto"/>
        <w:ind w:left="993" w:right="1041"/>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II. Los secretos bancario, fiduciario, industrial, comercial, fiscal, bursátil y postal, cuya titularidad corresponda a particulares, sujetos de derecho internacional o a sujetos obligados cuando no involucren el ejercicio de recursos públicos; y</w:t>
      </w:r>
    </w:p>
    <w:p w:rsidR="002D7333" w:rsidRPr="00120082" w:rsidRDefault="00667A12">
      <w:pPr>
        <w:spacing w:line="360" w:lineRule="auto"/>
        <w:ind w:left="993" w:right="1041"/>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 xml:space="preserve">III. La que presenten los particulares a los sujetos obligados, de conformidad con lo dispuesto por las leyes o los tratados internacionales.” </w:t>
      </w:r>
    </w:p>
    <w:p w:rsidR="002D7333" w:rsidRPr="00120082" w:rsidRDefault="002D7333">
      <w:pPr>
        <w:spacing w:line="360" w:lineRule="auto"/>
        <w:ind w:left="993" w:right="1041"/>
        <w:jc w:val="both"/>
        <w:rPr>
          <w:rFonts w:ascii="Palatino Linotype" w:eastAsia="Palatino Linotype" w:hAnsi="Palatino Linotype" w:cs="Palatino Linotype"/>
          <w:i/>
          <w:iCs/>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w:t>
      </w:r>
      <w:r w:rsidRPr="00120082">
        <w:rPr>
          <w:rFonts w:ascii="Palatino Linotype" w:eastAsia="Palatino Linotype" w:hAnsi="Palatino Linotype" w:cs="Palatino Linotype"/>
          <w:color w:val="000000"/>
        </w:rPr>
        <w:lastRenderedPageBreak/>
        <w:t>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2D7333" w:rsidRPr="00120082" w:rsidRDefault="002D733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2D7333" w:rsidRPr="00120082" w:rsidRDefault="002D7333">
      <w:pPr>
        <w:spacing w:line="360" w:lineRule="auto"/>
        <w:ind w:right="50"/>
        <w:jc w:val="both"/>
        <w:rPr>
          <w:rFonts w:ascii="Palatino Linotype" w:eastAsia="Palatino Linotype" w:hAnsi="Palatino Linotype" w:cs="Palatino Linotype"/>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2D7333" w:rsidRPr="00120082" w:rsidRDefault="00667A12">
      <w:pPr>
        <w:spacing w:line="360" w:lineRule="auto"/>
        <w:ind w:left="851" w:right="1043"/>
        <w:jc w:val="both"/>
        <w:rPr>
          <w:rFonts w:ascii="Palatino Linotype" w:eastAsia="Palatino Linotype" w:hAnsi="Palatino Linotype" w:cs="Palatino Linotype"/>
          <w:i/>
          <w:iCs/>
        </w:rPr>
      </w:pPr>
      <w:r w:rsidRPr="00120082">
        <w:rPr>
          <w:rFonts w:ascii="Palatino Linotype" w:eastAsia="Palatino Linotype" w:hAnsi="Palatino Linotype" w:cs="Palatino Linotype"/>
          <w:b/>
          <w:bCs/>
          <w:i/>
          <w:iCs/>
        </w:rPr>
        <w:t>“Artículo 49.</w:t>
      </w:r>
      <w:r w:rsidRPr="00120082">
        <w:rPr>
          <w:rFonts w:ascii="Palatino Linotype" w:eastAsia="Palatino Linotype" w:hAnsi="Palatino Linotype" w:cs="Palatino Linotype"/>
          <w:i/>
          <w:iCs/>
        </w:rPr>
        <w:t xml:space="preserve"> </w:t>
      </w:r>
      <w:r w:rsidRPr="00120082">
        <w:rPr>
          <w:rFonts w:ascii="Palatino Linotype" w:eastAsia="Palatino Linotype" w:hAnsi="Palatino Linotype" w:cs="Palatino Linotype"/>
          <w:b/>
          <w:bCs/>
          <w:i/>
          <w:iCs/>
        </w:rPr>
        <w:t>Los Comités de Transparencia</w:t>
      </w:r>
      <w:r w:rsidRPr="00120082">
        <w:rPr>
          <w:rFonts w:ascii="Palatino Linotype" w:eastAsia="Palatino Linotype" w:hAnsi="Palatino Linotype" w:cs="Palatino Linotype"/>
          <w:i/>
          <w:iCs/>
        </w:rPr>
        <w:t xml:space="preserve"> tendrán las siguientes atribuciones:</w:t>
      </w:r>
    </w:p>
    <w:p w:rsidR="002D7333" w:rsidRPr="00120082" w:rsidRDefault="00667A12">
      <w:pPr>
        <w:spacing w:line="360" w:lineRule="auto"/>
        <w:ind w:left="851" w:right="1043"/>
        <w:jc w:val="both"/>
        <w:rPr>
          <w:rFonts w:ascii="Palatino Linotype" w:eastAsia="Palatino Linotype" w:hAnsi="Palatino Linotype" w:cs="Palatino Linotype"/>
          <w:i/>
          <w:iCs/>
        </w:rPr>
      </w:pPr>
      <w:r w:rsidRPr="00120082">
        <w:rPr>
          <w:rFonts w:ascii="Palatino Linotype" w:eastAsia="Palatino Linotype" w:hAnsi="Palatino Linotype" w:cs="Palatino Linotype"/>
          <w:b/>
          <w:bCs/>
          <w:i/>
          <w:iCs/>
        </w:rPr>
        <w:t>VIII. Aprobar, modificar o revocar la clasificación de la información</w:t>
      </w:r>
      <w:r w:rsidRPr="00120082">
        <w:rPr>
          <w:rFonts w:ascii="Palatino Linotype" w:eastAsia="Palatino Linotype" w:hAnsi="Palatino Linotype" w:cs="Palatino Linotype"/>
          <w:i/>
          <w:iCs/>
        </w:rPr>
        <w:t>…”</w:t>
      </w:r>
    </w:p>
    <w:p w:rsidR="002D7333" w:rsidRPr="00120082" w:rsidRDefault="00667A12">
      <w:pPr>
        <w:spacing w:line="360" w:lineRule="auto"/>
        <w:ind w:left="851" w:right="1043"/>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lastRenderedPageBreak/>
        <w:t>“</w:t>
      </w:r>
      <w:r w:rsidRPr="00120082">
        <w:rPr>
          <w:rFonts w:ascii="Palatino Linotype" w:eastAsia="Palatino Linotype" w:hAnsi="Palatino Linotype" w:cs="Palatino Linotype"/>
          <w:b/>
          <w:bCs/>
          <w:i/>
          <w:iCs/>
        </w:rPr>
        <w:t>Artículo 53.</w:t>
      </w:r>
      <w:r w:rsidRPr="00120082">
        <w:rPr>
          <w:rFonts w:ascii="Palatino Linotype" w:eastAsia="Palatino Linotype" w:hAnsi="Palatino Linotype" w:cs="Palatino Linotype"/>
          <w:i/>
          <w:iCs/>
        </w:rPr>
        <w:t xml:space="preserve"> Las </w:t>
      </w:r>
      <w:r w:rsidRPr="00120082">
        <w:rPr>
          <w:rFonts w:ascii="Palatino Linotype" w:eastAsia="Palatino Linotype" w:hAnsi="Palatino Linotype" w:cs="Palatino Linotype"/>
          <w:b/>
          <w:bCs/>
          <w:i/>
          <w:iCs/>
        </w:rPr>
        <w:t>Unidades de Transparencia</w:t>
      </w:r>
      <w:r w:rsidRPr="00120082">
        <w:rPr>
          <w:rFonts w:ascii="Palatino Linotype" w:eastAsia="Palatino Linotype" w:hAnsi="Palatino Linotype" w:cs="Palatino Linotype"/>
          <w:i/>
          <w:iCs/>
        </w:rPr>
        <w:t xml:space="preserve"> tendrán las siguientes </w:t>
      </w:r>
      <w:r w:rsidRPr="00120082">
        <w:rPr>
          <w:rFonts w:ascii="Palatino Linotype" w:eastAsia="Palatino Linotype" w:hAnsi="Palatino Linotype" w:cs="Palatino Linotype"/>
          <w:b/>
          <w:bCs/>
          <w:i/>
          <w:iCs/>
        </w:rPr>
        <w:t>funciones</w:t>
      </w:r>
      <w:r w:rsidRPr="00120082">
        <w:rPr>
          <w:rFonts w:ascii="Palatino Linotype" w:eastAsia="Palatino Linotype" w:hAnsi="Palatino Linotype" w:cs="Palatino Linotype"/>
          <w:i/>
          <w:iCs/>
        </w:rPr>
        <w:t>:</w:t>
      </w:r>
    </w:p>
    <w:p w:rsidR="002D7333" w:rsidRPr="00120082" w:rsidRDefault="00667A12">
      <w:pPr>
        <w:spacing w:line="360" w:lineRule="auto"/>
        <w:ind w:left="851" w:right="1043"/>
        <w:jc w:val="both"/>
        <w:rPr>
          <w:rFonts w:ascii="Palatino Linotype" w:eastAsia="Palatino Linotype" w:hAnsi="Palatino Linotype" w:cs="Palatino Linotype"/>
          <w:i/>
          <w:iCs/>
        </w:rPr>
      </w:pPr>
      <w:r w:rsidRPr="00120082">
        <w:rPr>
          <w:rFonts w:ascii="Palatino Linotype" w:eastAsia="Palatino Linotype" w:hAnsi="Palatino Linotype" w:cs="Palatino Linotype"/>
          <w:b/>
          <w:bCs/>
          <w:i/>
          <w:iCs/>
        </w:rPr>
        <w:t>X. Presentar ante el Comité, el proyecto de clasificación de información</w:t>
      </w:r>
      <w:r w:rsidRPr="00120082">
        <w:rPr>
          <w:rFonts w:ascii="Palatino Linotype" w:eastAsia="Palatino Linotype" w:hAnsi="Palatino Linotype" w:cs="Palatino Linotype"/>
          <w:i/>
          <w:iCs/>
        </w:rPr>
        <w:t xml:space="preserve">…” </w:t>
      </w:r>
    </w:p>
    <w:p w:rsidR="002D7333" w:rsidRPr="00120082" w:rsidRDefault="00667A12">
      <w:pPr>
        <w:spacing w:line="360" w:lineRule="auto"/>
        <w:ind w:left="851" w:right="1043"/>
        <w:jc w:val="both"/>
        <w:rPr>
          <w:rFonts w:ascii="Palatino Linotype" w:eastAsia="Palatino Linotype" w:hAnsi="Palatino Linotype" w:cs="Palatino Linotype"/>
          <w:i/>
          <w:iCs/>
        </w:rPr>
      </w:pPr>
      <w:r w:rsidRPr="00120082">
        <w:rPr>
          <w:rFonts w:ascii="Palatino Linotype" w:eastAsia="Palatino Linotype" w:hAnsi="Palatino Linotype" w:cs="Palatino Linotype"/>
          <w:b/>
          <w:bCs/>
          <w:i/>
          <w:iCs/>
        </w:rPr>
        <w:t>“Artículo 59.</w:t>
      </w:r>
      <w:r w:rsidRPr="00120082">
        <w:rPr>
          <w:rFonts w:ascii="Palatino Linotype" w:eastAsia="Palatino Linotype" w:hAnsi="Palatino Linotype" w:cs="Palatino Linotype"/>
          <w:i/>
          <w:iCs/>
        </w:rPr>
        <w:t xml:space="preserve"> Los </w:t>
      </w:r>
      <w:r w:rsidRPr="00120082">
        <w:rPr>
          <w:rFonts w:ascii="Palatino Linotype" w:eastAsia="Palatino Linotype" w:hAnsi="Palatino Linotype" w:cs="Palatino Linotype"/>
          <w:b/>
          <w:bCs/>
          <w:i/>
          <w:iCs/>
        </w:rPr>
        <w:t>servidores públicos habilitados</w:t>
      </w:r>
      <w:r w:rsidRPr="00120082">
        <w:rPr>
          <w:rFonts w:ascii="Palatino Linotype" w:eastAsia="Palatino Linotype" w:hAnsi="Palatino Linotype" w:cs="Palatino Linotype"/>
          <w:i/>
          <w:iCs/>
        </w:rPr>
        <w:t xml:space="preserve"> tendrán las </w:t>
      </w:r>
      <w:r w:rsidRPr="00120082">
        <w:rPr>
          <w:rFonts w:ascii="Palatino Linotype" w:eastAsia="Palatino Linotype" w:hAnsi="Palatino Linotype" w:cs="Palatino Linotype"/>
          <w:b/>
          <w:bCs/>
          <w:i/>
          <w:iCs/>
        </w:rPr>
        <w:t>funciones</w:t>
      </w:r>
      <w:r w:rsidRPr="00120082">
        <w:rPr>
          <w:rFonts w:ascii="Palatino Linotype" w:eastAsia="Palatino Linotype" w:hAnsi="Palatino Linotype" w:cs="Palatino Linotype"/>
          <w:i/>
          <w:iCs/>
        </w:rPr>
        <w:t xml:space="preserve"> siguientes:</w:t>
      </w:r>
    </w:p>
    <w:p w:rsidR="002D7333" w:rsidRPr="00120082" w:rsidRDefault="00667A12">
      <w:pPr>
        <w:spacing w:line="360" w:lineRule="auto"/>
        <w:ind w:left="851" w:right="1043"/>
        <w:jc w:val="both"/>
        <w:rPr>
          <w:rFonts w:ascii="Palatino Linotype" w:eastAsia="Palatino Linotype" w:hAnsi="Palatino Linotype" w:cs="Palatino Linotype"/>
          <w:i/>
          <w:iCs/>
        </w:rPr>
      </w:pPr>
      <w:r w:rsidRPr="00120082">
        <w:rPr>
          <w:rFonts w:ascii="Palatino Linotype" w:eastAsia="Palatino Linotype" w:hAnsi="Palatino Linotype" w:cs="Palatino Linotype"/>
          <w:b/>
          <w:bCs/>
          <w:i/>
          <w:iCs/>
        </w:rPr>
        <w:t>V. Integrar y presentar al responsable de la Unidad de Transparencia la propuesta de clasificación de información</w:t>
      </w:r>
      <w:r w:rsidRPr="00120082">
        <w:rPr>
          <w:rFonts w:ascii="Palatino Linotype" w:eastAsia="Palatino Linotype" w:hAnsi="Palatino Linotype" w:cs="Palatino Linotype"/>
          <w:i/>
          <w:iCs/>
        </w:rPr>
        <w:t>, la cual tendrá los fundamentos y argumentos en que se basa dicha propuesta…”</w:t>
      </w:r>
    </w:p>
    <w:p w:rsidR="002D7333" w:rsidRPr="00120082" w:rsidRDefault="002D7333">
      <w:pPr>
        <w:spacing w:line="360" w:lineRule="auto"/>
        <w:ind w:left="851" w:right="1043"/>
        <w:jc w:val="both"/>
        <w:rPr>
          <w:rFonts w:ascii="Palatino Linotype" w:eastAsia="Palatino Linotype" w:hAnsi="Palatino Linotype" w:cs="Palatino Linotype"/>
          <w:i/>
          <w:iCs/>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2D7333" w:rsidRPr="00120082" w:rsidRDefault="002D7333">
      <w:pPr>
        <w:spacing w:line="360" w:lineRule="auto"/>
        <w:jc w:val="both"/>
        <w:rPr>
          <w:rFonts w:ascii="Palatino Linotype" w:eastAsia="Palatino Linotype" w:hAnsi="Palatino Linotype" w:cs="Palatino Linotype"/>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Para lo cual, a su vez en el caso de información de carácter confidencial, se debe atender a lo que señala el artículo 149 de la Ley de Transparencia Local vigente, que se lee como sigue:</w:t>
      </w:r>
    </w:p>
    <w:p w:rsidR="002D7333" w:rsidRPr="00120082" w:rsidRDefault="00667A12">
      <w:pPr>
        <w:spacing w:line="360" w:lineRule="auto"/>
        <w:ind w:left="993" w:right="1041"/>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w:t>
      </w:r>
      <w:r w:rsidRPr="00120082">
        <w:rPr>
          <w:rFonts w:ascii="Palatino Linotype" w:eastAsia="Palatino Linotype" w:hAnsi="Palatino Linotype" w:cs="Palatino Linotype"/>
          <w:b/>
          <w:bCs/>
          <w:i/>
          <w:iCs/>
        </w:rPr>
        <w:t>Artículo 149.</w:t>
      </w:r>
      <w:r w:rsidRPr="00120082">
        <w:rPr>
          <w:rFonts w:ascii="Palatino Linotype" w:eastAsia="Palatino Linotype" w:hAnsi="Palatino Linotype" w:cs="Palatino Linotype"/>
          <w:i/>
          <w:iCs/>
        </w:rPr>
        <w:t xml:space="preserve"> El </w:t>
      </w:r>
      <w:r w:rsidRPr="00120082">
        <w:rPr>
          <w:rFonts w:ascii="Palatino Linotype" w:eastAsia="Palatino Linotype" w:hAnsi="Palatino Linotype" w:cs="Palatino Linotype"/>
          <w:b/>
          <w:bCs/>
          <w:i/>
          <w:iCs/>
        </w:rPr>
        <w:t>acuerdo que clasifique la información como confidencial</w:t>
      </w:r>
      <w:r w:rsidRPr="00120082">
        <w:rPr>
          <w:rFonts w:ascii="Palatino Linotype" w:eastAsia="Palatino Linotype" w:hAnsi="Palatino Linotype" w:cs="Palatino Linotype"/>
          <w:i/>
          <w:iCs/>
        </w:rPr>
        <w:t xml:space="preserve"> deberá contener un razonamiento lógico en el que demuestre que la información se encuentra en alguna o algunas de las hipótesis previstas en la presente Ley.”</w:t>
      </w:r>
    </w:p>
    <w:p w:rsidR="002D7333" w:rsidRPr="00120082" w:rsidRDefault="002D733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lastRenderedPageBreak/>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2D7333" w:rsidRPr="00120082" w:rsidRDefault="002D733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120082">
        <w:rPr>
          <w:rFonts w:ascii="Palatino Linotype" w:eastAsia="Palatino Linotype" w:hAnsi="Palatino Linotype" w:cs="Palatino Linotype"/>
          <w:b/>
          <w:bCs/>
          <w:color w:val="000000"/>
        </w:rPr>
        <w:t>Registro Federal de Contribuyentes</w:t>
      </w:r>
      <w:r w:rsidRPr="00120082">
        <w:rPr>
          <w:rFonts w:ascii="Palatino Linotype" w:eastAsia="Palatino Linotype" w:hAnsi="Palatino Linotype" w:cs="Palatino Linotype"/>
          <w:color w:val="000000"/>
        </w:rPr>
        <w:t xml:space="preserve"> (RFC), la </w:t>
      </w:r>
      <w:r w:rsidRPr="00120082">
        <w:rPr>
          <w:rFonts w:ascii="Palatino Linotype" w:eastAsia="Palatino Linotype" w:hAnsi="Palatino Linotype" w:cs="Palatino Linotype"/>
          <w:b/>
          <w:bCs/>
          <w:color w:val="000000"/>
        </w:rPr>
        <w:t>Clave Única de Registro de Población</w:t>
      </w:r>
      <w:r w:rsidRPr="00120082">
        <w:rPr>
          <w:rFonts w:ascii="Palatino Linotype" w:eastAsia="Palatino Linotype" w:hAnsi="Palatino Linotype" w:cs="Palatino Linotype"/>
          <w:color w:val="000000"/>
        </w:rPr>
        <w:t xml:space="preserve"> (CURP), la </w:t>
      </w:r>
      <w:r w:rsidRPr="00120082">
        <w:rPr>
          <w:rFonts w:ascii="Palatino Linotype" w:eastAsia="Palatino Linotype" w:hAnsi="Palatino Linotype" w:cs="Palatino Linotype"/>
          <w:b/>
          <w:bCs/>
          <w:color w:val="000000"/>
        </w:rPr>
        <w:t>Clave de cualquier tipo de seguridad social</w:t>
      </w:r>
      <w:r w:rsidRPr="00120082">
        <w:rPr>
          <w:rFonts w:ascii="Palatino Linotype" w:eastAsia="Palatino Linotype" w:hAnsi="Palatino Linotype" w:cs="Palatino Linotype"/>
          <w:color w:val="000000"/>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2D7333" w:rsidRPr="00120082" w:rsidRDefault="002D7333">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Por cuanto hace al </w:t>
      </w:r>
      <w:r w:rsidRPr="00120082">
        <w:rPr>
          <w:rFonts w:ascii="Palatino Linotype" w:eastAsia="Palatino Linotype" w:hAnsi="Palatino Linotype" w:cs="Palatino Linotype"/>
          <w:b/>
          <w:bCs/>
          <w:color w:val="000000"/>
        </w:rPr>
        <w:t>Registro Federal de Contribuyentes (RFC),</w:t>
      </w:r>
      <w:r w:rsidRPr="00120082">
        <w:rPr>
          <w:rFonts w:ascii="Palatino Linotype" w:eastAsia="Palatino Linotype" w:hAnsi="Palatino Linotype" w:cs="Palatino Linotype"/>
          <w:color w:val="000000"/>
        </w:rPr>
        <w:t xml:space="preserve"> de las personas físicas, constituye un dato personal, pues se genera con caracteres alfanuméricos a partir del nombre y la fecha de nacimiento de cada persona, y finalmente la homoclave, por lo que para su </w:t>
      </w:r>
      <w:r w:rsidRPr="00120082">
        <w:rPr>
          <w:rFonts w:ascii="Palatino Linotype" w:eastAsia="Palatino Linotype" w:hAnsi="Palatino Linotype" w:cs="Palatino Linotype"/>
          <w:color w:val="000000"/>
        </w:rPr>
        <w:lastRenderedPageBreak/>
        <w:t>obtención es necesario acreditar ante la autoridad fiscal previamente la identidad de la persona, su fecha de nacimiento, entre otros aspectos.</w:t>
      </w:r>
    </w:p>
    <w:p w:rsidR="002D7333" w:rsidRPr="00120082" w:rsidRDefault="002D7333">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2D7333" w:rsidRPr="00120082" w:rsidRDefault="002D7333">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Lo anterior es compartido por el entonces Instituto Federal de Acceso a la Información Pública y Protección de Datos Personales (IFAI) a través del Criterio </w:t>
      </w:r>
      <w:r w:rsidRPr="00120082">
        <w:rPr>
          <w:rFonts w:ascii="Palatino Linotype" w:eastAsia="Palatino Linotype" w:hAnsi="Palatino Linotype" w:cs="Palatino Linotype"/>
          <w:color w:val="000000"/>
          <w:highlight w:val="white"/>
        </w:rPr>
        <w:t xml:space="preserve">19/17, </w:t>
      </w:r>
      <w:r w:rsidRPr="00120082">
        <w:rPr>
          <w:rFonts w:ascii="Palatino Linotype" w:eastAsia="Palatino Linotype" w:hAnsi="Palatino Linotype" w:cs="Palatino Linotype"/>
          <w:color w:val="000000"/>
        </w:rPr>
        <w:t>el cual es del tenor literal siguiente:</w:t>
      </w:r>
    </w:p>
    <w:p w:rsidR="002D7333" w:rsidRPr="00120082" w:rsidRDefault="00667A12">
      <w:pPr>
        <w:spacing w:line="360" w:lineRule="auto"/>
        <w:ind w:left="851" w:right="900"/>
        <w:jc w:val="both"/>
        <w:rPr>
          <w:rFonts w:ascii="Palatino Linotype" w:eastAsia="Palatino Linotype" w:hAnsi="Palatino Linotype" w:cs="Palatino Linotype"/>
          <w:i/>
          <w:iCs/>
        </w:rPr>
      </w:pPr>
      <w:r w:rsidRPr="00120082">
        <w:rPr>
          <w:rFonts w:ascii="Palatino Linotype" w:eastAsia="Palatino Linotype" w:hAnsi="Palatino Linotype" w:cs="Palatino Linotype"/>
          <w:b/>
          <w:bCs/>
          <w:i/>
          <w:iCs/>
        </w:rPr>
        <w:t>“Registro Federal de Contribuyentes (RFC) de personas físicas</w:t>
      </w:r>
      <w:r w:rsidRPr="00120082">
        <w:rPr>
          <w:rFonts w:ascii="Palatino Linotype" w:eastAsia="Palatino Linotype" w:hAnsi="Palatino Linotype" w:cs="Palatino Linotype"/>
          <w:i/>
          <w:iCs/>
        </w:rPr>
        <w:t>. El RFC es una clave de carácter fiscal, única e irrepetible, que permite identificar al titular, su edad y fecha de nacimiento, por lo que es un dato personal de carácter confidencial.”</w:t>
      </w:r>
    </w:p>
    <w:p w:rsidR="002D7333" w:rsidRPr="00120082" w:rsidRDefault="002D7333">
      <w:pPr>
        <w:spacing w:line="360" w:lineRule="auto"/>
        <w:ind w:left="851" w:right="900"/>
        <w:jc w:val="both"/>
        <w:rPr>
          <w:rFonts w:ascii="Palatino Linotype" w:eastAsia="Palatino Linotype" w:hAnsi="Palatino Linotype" w:cs="Palatino Linotype"/>
          <w:i/>
          <w:iCs/>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2D7333" w:rsidRPr="00120082" w:rsidRDefault="002D7333">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lastRenderedPageBreak/>
        <w:t xml:space="preserve">De igual manera la </w:t>
      </w:r>
      <w:r w:rsidRPr="00120082">
        <w:rPr>
          <w:rFonts w:ascii="Palatino Linotype" w:eastAsia="Palatino Linotype" w:hAnsi="Palatino Linotype" w:cs="Palatino Linotype"/>
          <w:b/>
          <w:bCs/>
          <w:color w:val="000000"/>
        </w:rPr>
        <w:t>Clave Única de Registro de Población (CURP)</w:t>
      </w:r>
      <w:r w:rsidRPr="00120082">
        <w:rPr>
          <w:rFonts w:ascii="Palatino Linotype" w:eastAsia="Palatino Linotype" w:hAnsi="Palatino Linotype" w:cs="Palatino Linotype"/>
          <w:color w:val="000000"/>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2D7333" w:rsidRPr="00120082" w:rsidRDefault="002D7333">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Argumento que es compartido por el Instituto </w:t>
      </w:r>
      <w:r w:rsidRPr="00120082">
        <w:rPr>
          <w:rFonts w:ascii="Palatino Linotype" w:eastAsia="Palatino Linotype" w:hAnsi="Palatino Linotype" w:cs="Palatino Linotype"/>
          <w:color w:val="000000"/>
          <w:highlight w:val="white"/>
        </w:rPr>
        <w:t xml:space="preserve">Nacional de Transparencia, Acceso a la </w:t>
      </w:r>
      <w:r w:rsidRPr="00120082">
        <w:rPr>
          <w:rFonts w:ascii="Palatino Linotype" w:eastAsia="Palatino Linotype" w:hAnsi="Palatino Linotype" w:cs="Palatino Linotype"/>
          <w:color w:val="000000"/>
        </w:rPr>
        <w:t>Información</w:t>
      </w:r>
      <w:r w:rsidRPr="00120082">
        <w:rPr>
          <w:rFonts w:ascii="Palatino Linotype" w:eastAsia="Palatino Linotype" w:hAnsi="Palatino Linotype" w:cs="Palatino Linotype"/>
          <w:color w:val="000000"/>
          <w:highlight w:val="white"/>
        </w:rPr>
        <w:t xml:space="preserve"> y Protección de Datos Personales, INAI</w:t>
      </w:r>
      <w:r w:rsidRPr="00120082">
        <w:rPr>
          <w:rFonts w:ascii="Palatino Linotype" w:eastAsia="Palatino Linotype" w:hAnsi="Palatino Linotype" w:cs="Palatino Linotype"/>
          <w:b/>
          <w:bCs/>
          <w:color w:val="000000"/>
        </w:rPr>
        <w:t xml:space="preserve">, conforme al </w:t>
      </w:r>
      <w:r w:rsidRPr="00120082">
        <w:rPr>
          <w:rFonts w:ascii="Palatino Linotype" w:eastAsia="Palatino Linotype" w:hAnsi="Palatino Linotype" w:cs="Palatino Linotype"/>
          <w:color w:val="000000"/>
        </w:rPr>
        <w:t xml:space="preserve">criterio 18/17, el cual refiere: </w:t>
      </w:r>
    </w:p>
    <w:p w:rsidR="002D7333" w:rsidRPr="00120082" w:rsidRDefault="00667A12">
      <w:pPr>
        <w:spacing w:line="360" w:lineRule="auto"/>
        <w:ind w:left="851" w:right="851"/>
        <w:jc w:val="both"/>
        <w:rPr>
          <w:rFonts w:ascii="Palatino Linotype" w:eastAsia="Palatino Linotype" w:hAnsi="Palatino Linotype" w:cs="Palatino Linotype"/>
          <w:i/>
          <w:iCs/>
        </w:rPr>
      </w:pPr>
      <w:r w:rsidRPr="00120082">
        <w:rPr>
          <w:rFonts w:ascii="Palatino Linotype" w:eastAsia="Palatino Linotype" w:hAnsi="Palatino Linotype" w:cs="Palatino Linotype"/>
          <w:b/>
          <w:bCs/>
          <w:i/>
          <w:iCs/>
        </w:rPr>
        <w:t xml:space="preserve">“Clave Única de Registro de Población (CURP). </w:t>
      </w:r>
      <w:r w:rsidRPr="00120082">
        <w:rPr>
          <w:rFonts w:ascii="Palatino Linotype" w:eastAsia="Palatino Linotype" w:hAnsi="Palatino Linotype" w:cs="Palatino Linotype"/>
          <w:i/>
          <w:iCs/>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2D7333" w:rsidRPr="00120082" w:rsidRDefault="002D7333">
      <w:pPr>
        <w:spacing w:line="360" w:lineRule="auto"/>
        <w:ind w:left="851" w:right="851"/>
        <w:jc w:val="both"/>
        <w:rPr>
          <w:rFonts w:ascii="Palatino Linotype" w:eastAsia="Palatino Linotype" w:hAnsi="Palatino Linotype" w:cs="Palatino Linotype"/>
          <w:i/>
          <w:iCs/>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Por cuanto hace a la </w:t>
      </w:r>
      <w:r w:rsidRPr="00120082">
        <w:rPr>
          <w:rFonts w:ascii="Palatino Linotype" w:eastAsia="Palatino Linotype" w:hAnsi="Palatino Linotype" w:cs="Palatino Linotype"/>
          <w:b/>
          <w:bCs/>
          <w:color w:val="000000"/>
        </w:rPr>
        <w:t xml:space="preserve">Clave de cualquier tipo de seguridad social (ISSEMyM, u otros), </w:t>
      </w:r>
      <w:r w:rsidRPr="00120082">
        <w:rPr>
          <w:rFonts w:ascii="Palatino Linotype" w:eastAsia="Palatino Linotype" w:hAnsi="Palatino Linotype" w:cs="Palatino Linotype"/>
          <w:color w:val="000000"/>
        </w:rPr>
        <w:t xml:space="preserve">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w:t>
      </w:r>
      <w:r w:rsidRPr="00120082">
        <w:rPr>
          <w:rFonts w:ascii="Palatino Linotype" w:eastAsia="Palatino Linotype" w:hAnsi="Palatino Linotype" w:cs="Palatino Linotype"/>
          <w:color w:val="000000"/>
        </w:rPr>
        <w:lastRenderedPageBreak/>
        <w:t>la Ley de Transparencia y Acceso a la Información Pública del Estado de México y Municipios y 4, fracción XI de la Ley de Protección de Datos Personales en Posesión de Sujetos Obligados del Estado de México y Municipios.</w:t>
      </w:r>
    </w:p>
    <w:p w:rsidR="002D7333" w:rsidRPr="00120082" w:rsidRDefault="002D7333">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u w:val="single"/>
        </w:rPr>
      </w:pPr>
      <w:r w:rsidRPr="00120082">
        <w:rPr>
          <w:rFonts w:ascii="Palatino Linotype" w:eastAsia="Palatino Linotype" w:hAnsi="Palatino Linotype" w:cs="Palatino Linotype"/>
          <w:color w:val="000000"/>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120082">
        <w:rPr>
          <w:rFonts w:ascii="Palatino Linotype" w:eastAsia="Palatino Linotype" w:hAnsi="Palatino Linotype" w:cs="Palatino Linotype"/>
          <w:color w:val="000000"/>
          <w:u w:val="single"/>
        </w:rPr>
        <w:t>se le asigna una clave para hacer identificable al trabajador con el objetivo de poder proporcionar los servicios que brinda el ISSEMYM.</w:t>
      </w:r>
    </w:p>
    <w:p w:rsidR="002D7333" w:rsidRPr="00120082" w:rsidRDefault="002D7333">
      <w:pPr>
        <w:spacing w:line="360" w:lineRule="auto"/>
        <w:jc w:val="both"/>
        <w:rPr>
          <w:rFonts w:ascii="Palatino Linotype" w:eastAsia="Palatino Linotype" w:hAnsi="Palatino Linotype" w:cs="Palatino Linotype"/>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2D7333" w:rsidRPr="00120082" w:rsidRDefault="002D7333">
      <w:pPr>
        <w:spacing w:line="360" w:lineRule="auto"/>
        <w:jc w:val="both"/>
        <w:rPr>
          <w:rFonts w:ascii="Palatino Linotype" w:eastAsia="Palatino Linotype" w:hAnsi="Palatino Linotype" w:cs="Palatino Linotype"/>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w:t>
      </w:r>
      <w:r w:rsidRPr="00120082">
        <w:rPr>
          <w:rFonts w:ascii="Palatino Linotype" w:eastAsia="Palatino Linotype" w:hAnsi="Palatino Linotype" w:cs="Palatino Linotype"/>
          <w:color w:val="000000"/>
        </w:rPr>
        <w:lastRenderedPageBreak/>
        <w:t>de la Ley de Transparencia y Acceso a la Información Pública del Estado de México y Municipios.</w:t>
      </w:r>
    </w:p>
    <w:p w:rsidR="002D7333" w:rsidRPr="00120082" w:rsidRDefault="002D7333">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Respecto de los </w:t>
      </w:r>
      <w:r w:rsidRPr="00120082">
        <w:rPr>
          <w:rFonts w:ascii="Palatino Linotype" w:eastAsia="Palatino Linotype" w:hAnsi="Palatino Linotype" w:cs="Palatino Linotype"/>
          <w:b/>
          <w:bCs/>
          <w:color w:val="000000"/>
        </w:rPr>
        <w:t>préstamos o descuentos</w:t>
      </w:r>
      <w:r w:rsidRPr="00120082">
        <w:rPr>
          <w:rFonts w:ascii="Palatino Linotype" w:eastAsia="Palatino Linotype" w:hAnsi="Palatino Linotype" w:cs="Palatino Linotype"/>
          <w:color w:val="000000"/>
        </w:rPr>
        <w:t xml:space="preserve"> </w:t>
      </w:r>
      <w:r w:rsidRPr="00120082">
        <w:rPr>
          <w:rFonts w:ascii="Palatino Linotype" w:eastAsia="Palatino Linotype" w:hAnsi="Palatino Linotype" w:cs="Palatino Linotype"/>
          <w:b/>
          <w:bCs/>
          <w:color w:val="000000"/>
        </w:rPr>
        <w:t>de carácter personal</w:t>
      </w:r>
      <w:r w:rsidRPr="00120082">
        <w:rPr>
          <w:rFonts w:ascii="Palatino Linotype" w:eastAsia="Palatino Linotype" w:hAnsi="Palatino Linotype" w:cs="Palatino Linotype"/>
          <w:color w:val="000000"/>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2D7333" w:rsidRPr="00120082" w:rsidRDefault="002D7333">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Por su parte, el artículo 84 de la Ley del Trabajo de los Servidores Públicos del Estado y Municipios, señala:</w:t>
      </w:r>
    </w:p>
    <w:p w:rsidR="002D7333" w:rsidRPr="00120082" w:rsidRDefault="00667A12">
      <w:pPr>
        <w:spacing w:line="360" w:lineRule="auto"/>
        <w:ind w:left="851" w:right="902"/>
        <w:jc w:val="both"/>
        <w:rPr>
          <w:rFonts w:ascii="Palatino Linotype" w:eastAsia="Palatino Linotype" w:hAnsi="Palatino Linotype" w:cs="Palatino Linotype"/>
        </w:rPr>
      </w:pPr>
      <w:r w:rsidRPr="00120082">
        <w:rPr>
          <w:rFonts w:ascii="Palatino Linotype" w:eastAsia="Palatino Linotype" w:hAnsi="Palatino Linotype" w:cs="Palatino Linotype"/>
          <w:i/>
          <w:iCs/>
        </w:rPr>
        <w:t>“</w:t>
      </w:r>
      <w:r w:rsidRPr="00120082">
        <w:rPr>
          <w:rFonts w:ascii="Palatino Linotype" w:eastAsia="Palatino Linotype" w:hAnsi="Palatino Linotype" w:cs="Palatino Linotype"/>
          <w:b/>
          <w:bCs/>
          <w:i/>
          <w:iCs/>
        </w:rPr>
        <w:t>ARTICULO 84. Sólo podrán hacerse retenciones, descuentos o deducciones al sueldo de los servidores públicos por concepto de:</w:t>
      </w:r>
    </w:p>
    <w:p w:rsidR="002D7333" w:rsidRPr="00120082" w:rsidRDefault="00667A12">
      <w:pPr>
        <w:spacing w:line="360" w:lineRule="auto"/>
        <w:ind w:left="851" w:right="902"/>
        <w:jc w:val="both"/>
        <w:rPr>
          <w:rFonts w:ascii="Palatino Linotype" w:eastAsia="Palatino Linotype" w:hAnsi="Palatino Linotype" w:cs="Palatino Linotype"/>
        </w:rPr>
      </w:pPr>
      <w:r w:rsidRPr="00120082">
        <w:rPr>
          <w:rFonts w:ascii="Palatino Linotype" w:eastAsia="Palatino Linotype" w:hAnsi="Palatino Linotype" w:cs="Palatino Linotype"/>
          <w:i/>
          <w:iCs/>
        </w:rPr>
        <w:t>I. Gravámenes fiscales relacionados con el sueldo;</w:t>
      </w:r>
    </w:p>
    <w:p w:rsidR="002D7333" w:rsidRPr="00120082" w:rsidRDefault="00667A12">
      <w:pPr>
        <w:spacing w:line="360" w:lineRule="auto"/>
        <w:ind w:left="851" w:right="902"/>
        <w:jc w:val="both"/>
        <w:rPr>
          <w:rFonts w:ascii="Palatino Linotype" w:eastAsia="Palatino Linotype" w:hAnsi="Palatino Linotype" w:cs="Palatino Linotype"/>
        </w:rPr>
      </w:pPr>
      <w:r w:rsidRPr="00120082">
        <w:rPr>
          <w:rFonts w:ascii="Palatino Linotype" w:eastAsia="Palatino Linotype" w:hAnsi="Palatino Linotype" w:cs="Palatino Linotype"/>
          <w:b/>
          <w:bCs/>
          <w:i/>
          <w:iCs/>
        </w:rPr>
        <w:t>II. Deudas contraídas con las instituciones públicas o dependencias</w:t>
      </w:r>
      <w:r w:rsidRPr="00120082">
        <w:rPr>
          <w:rFonts w:ascii="Palatino Linotype" w:eastAsia="Palatino Linotype" w:hAnsi="Palatino Linotype" w:cs="Palatino Linotype"/>
          <w:i/>
          <w:iCs/>
        </w:rPr>
        <w:t xml:space="preserve"> por concepto de anticipos de sueldo, pagos hechos con exceso, errores o pérdidas debidamente comprobados;</w:t>
      </w:r>
    </w:p>
    <w:p w:rsidR="002D7333" w:rsidRPr="00120082" w:rsidRDefault="00667A12">
      <w:pPr>
        <w:spacing w:line="360" w:lineRule="auto"/>
        <w:ind w:left="851" w:right="902"/>
        <w:jc w:val="both"/>
        <w:rPr>
          <w:rFonts w:ascii="Palatino Linotype" w:eastAsia="Palatino Linotype" w:hAnsi="Palatino Linotype" w:cs="Palatino Linotype"/>
        </w:rPr>
      </w:pPr>
      <w:r w:rsidRPr="00120082">
        <w:rPr>
          <w:rFonts w:ascii="Palatino Linotype" w:eastAsia="Palatino Linotype" w:hAnsi="Palatino Linotype" w:cs="Palatino Linotype"/>
          <w:b/>
          <w:bCs/>
          <w:i/>
          <w:iCs/>
        </w:rPr>
        <w:t>III. Cuotas sindicales</w:t>
      </w:r>
      <w:r w:rsidRPr="00120082">
        <w:rPr>
          <w:rFonts w:ascii="Palatino Linotype" w:eastAsia="Palatino Linotype" w:hAnsi="Palatino Linotype" w:cs="Palatino Linotype"/>
          <w:i/>
          <w:iCs/>
        </w:rPr>
        <w:t>;</w:t>
      </w:r>
    </w:p>
    <w:p w:rsidR="002D7333" w:rsidRPr="00120082" w:rsidRDefault="00667A12">
      <w:pPr>
        <w:spacing w:line="360" w:lineRule="auto"/>
        <w:ind w:left="851" w:right="902"/>
        <w:jc w:val="both"/>
        <w:rPr>
          <w:rFonts w:ascii="Palatino Linotype" w:eastAsia="Palatino Linotype" w:hAnsi="Palatino Linotype" w:cs="Palatino Linotype"/>
        </w:rPr>
      </w:pPr>
      <w:r w:rsidRPr="00120082">
        <w:rPr>
          <w:rFonts w:ascii="Palatino Linotype" w:eastAsia="Palatino Linotype" w:hAnsi="Palatino Linotype" w:cs="Palatino Linotype"/>
          <w:i/>
          <w:iCs/>
        </w:rPr>
        <w:t>IV. Cuotas de aportación a fondos para la constitución de cooperativas y de cajas de ahorro, siempre que el servidor público hubiese manifestado previamente, de manera expresa, su conformidad;</w:t>
      </w:r>
    </w:p>
    <w:p w:rsidR="002D7333" w:rsidRPr="00120082" w:rsidRDefault="00667A12">
      <w:pPr>
        <w:spacing w:line="360" w:lineRule="auto"/>
        <w:ind w:left="851" w:right="902"/>
        <w:jc w:val="both"/>
        <w:rPr>
          <w:rFonts w:ascii="Palatino Linotype" w:eastAsia="Palatino Linotype" w:hAnsi="Palatino Linotype" w:cs="Palatino Linotype"/>
        </w:rPr>
      </w:pPr>
      <w:r w:rsidRPr="00120082">
        <w:rPr>
          <w:rFonts w:ascii="Palatino Linotype" w:eastAsia="Palatino Linotype" w:hAnsi="Palatino Linotype" w:cs="Palatino Linotype"/>
          <w:i/>
          <w:iCs/>
        </w:rPr>
        <w:lastRenderedPageBreak/>
        <w:t>V. Descuentos ordenados por el Instituto de Seguridad Social del Estado de México y Municipios, con motivo de cuotas y obligaciones contraídas con éste por los servidores públicos;</w:t>
      </w:r>
    </w:p>
    <w:p w:rsidR="002D7333" w:rsidRPr="00120082" w:rsidRDefault="00667A12">
      <w:pPr>
        <w:spacing w:line="360" w:lineRule="auto"/>
        <w:ind w:left="851" w:right="902"/>
        <w:jc w:val="both"/>
        <w:rPr>
          <w:rFonts w:ascii="Palatino Linotype" w:eastAsia="Palatino Linotype" w:hAnsi="Palatino Linotype" w:cs="Palatino Linotype"/>
        </w:rPr>
      </w:pPr>
      <w:r w:rsidRPr="00120082">
        <w:rPr>
          <w:rFonts w:ascii="Palatino Linotype" w:eastAsia="Palatino Linotype" w:hAnsi="Palatino Linotype" w:cs="Palatino Linotype"/>
          <w:b/>
          <w:bCs/>
          <w:i/>
          <w:iCs/>
        </w:rPr>
        <w:t>VI. Obligaciones a cargo del servidor público con las que haya consentido</w:t>
      </w:r>
      <w:r w:rsidRPr="00120082">
        <w:rPr>
          <w:rFonts w:ascii="Palatino Linotype" w:eastAsia="Palatino Linotype" w:hAnsi="Palatino Linotype" w:cs="Palatino Linotype"/>
          <w:i/>
          <w:iCs/>
        </w:rPr>
        <w:t>, derivadas de la adquisición o del uso de habitaciones consideradas como de interés social;</w:t>
      </w:r>
    </w:p>
    <w:p w:rsidR="002D7333" w:rsidRPr="00120082" w:rsidRDefault="00667A12">
      <w:pPr>
        <w:spacing w:line="360" w:lineRule="auto"/>
        <w:ind w:left="851" w:right="902"/>
        <w:jc w:val="both"/>
        <w:rPr>
          <w:rFonts w:ascii="Palatino Linotype" w:eastAsia="Palatino Linotype" w:hAnsi="Palatino Linotype" w:cs="Palatino Linotype"/>
        </w:rPr>
      </w:pPr>
      <w:r w:rsidRPr="00120082">
        <w:rPr>
          <w:rFonts w:ascii="Palatino Linotype" w:eastAsia="Palatino Linotype" w:hAnsi="Palatino Linotype" w:cs="Palatino Linotype"/>
          <w:i/>
          <w:iCs/>
        </w:rPr>
        <w:t>VII. Faltas de puntualidad o de asistencia injustificadas;</w:t>
      </w:r>
    </w:p>
    <w:p w:rsidR="002D7333" w:rsidRPr="00120082" w:rsidRDefault="00667A12">
      <w:pPr>
        <w:spacing w:line="360" w:lineRule="auto"/>
        <w:ind w:left="851" w:right="902"/>
        <w:jc w:val="both"/>
        <w:rPr>
          <w:rFonts w:ascii="Palatino Linotype" w:eastAsia="Palatino Linotype" w:hAnsi="Palatino Linotype" w:cs="Palatino Linotype"/>
        </w:rPr>
      </w:pPr>
      <w:r w:rsidRPr="00120082">
        <w:rPr>
          <w:rFonts w:ascii="Palatino Linotype" w:eastAsia="Palatino Linotype" w:hAnsi="Palatino Linotype" w:cs="Palatino Linotype"/>
          <w:b/>
          <w:bCs/>
          <w:i/>
          <w:iCs/>
        </w:rPr>
        <w:t>VIII. Pensiones alimenticias ordenadas por la autoridad judicial;</w:t>
      </w:r>
      <w:r w:rsidRPr="00120082">
        <w:rPr>
          <w:rFonts w:ascii="Palatino Linotype" w:eastAsia="Palatino Linotype" w:hAnsi="Palatino Linotype" w:cs="Palatino Linotype"/>
          <w:i/>
          <w:iCs/>
        </w:rPr>
        <w:t xml:space="preserve"> o</w:t>
      </w:r>
    </w:p>
    <w:p w:rsidR="002D7333" w:rsidRPr="00120082" w:rsidRDefault="00667A12">
      <w:pPr>
        <w:spacing w:line="360" w:lineRule="auto"/>
        <w:ind w:left="851" w:right="902"/>
        <w:jc w:val="both"/>
        <w:rPr>
          <w:rFonts w:ascii="Palatino Linotype" w:eastAsia="Palatino Linotype" w:hAnsi="Palatino Linotype" w:cs="Palatino Linotype"/>
        </w:rPr>
      </w:pPr>
      <w:r w:rsidRPr="00120082">
        <w:rPr>
          <w:rFonts w:ascii="Palatino Linotype" w:eastAsia="Palatino Linotype" w:hAnsi="Palatino Linotype" w:cs="Palatino Linotype"/>
          <w:b/>
          <w:bCs/>
          <w:i/>
          <w:iCs/>
        </w:rPr>
        <w:t>IX. Cualquier otro convenido con instituciones de servicios y aceptado por el servidor público.</w:t>
      </w:r>
    </w:p>
    <w:p w:rsidR="002D7333" w:rsidRPr="00120082" w:rsidRDefault="00667A12">
      <w:pPr>
        <w:spacing w:line="360" w:lineRule="auto"/>
        <w:ind w:left="851" w:right="902"/>
        <w:jc w:val="both"/>
        <w:rPr>
          <w:rFonts w:ascii="Palatino Linotype" w:eastAsia="Palatino Linotype" w:hAnsi="Palatino Linotype" w:cs="Palatino Linotype"/>
        </w:rPr>
      </w:pPr>
      <w:r w:rsidRPr="00120082">
        <w:rPr>
          <w:rFonts w:ascii="Palatino Linotype" w:eastAsia="Palatino Linotype" w:hAnsi="Palatino Linotype" w:cs="Palatino Linotype"/>
          <w:i/>
          <w:iC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2D7333" w:rsidRPr="00120082" w:rsidRDefault="00667A12">
      <w:pPr>
        <w:spacing w:line="360" w:lineRule="auto"/>
        <w:ind w:left="851" w:right="902"/>
        <w:jc w:val="both"/>
        <w:rPr>
          <w:rFonts w:ascii="Palatino Linotype" w:eastAsia="Palatino Linotype" w:hAnsi="Palatino Linotype" w:cs="Palatino Linotype"/>
        </w:rPr>
      </w:pPr>
      <w:r w:rsidRPr="00120082">
        <w:rPr>
          <w:rFonts w:ascii="Palatino Linotype" w:eastAsia="Palatino Linotype" w:hAnsi="Palatino Linotype" w:cs="Palatino Linotype"/>
        </w:rPr>
        <w:t>(Énfasis añadido)</w:t>
      </w:r>
    </w:p>
    <w:p w:rsidR="002D7333" w:rsidRPr="00120082" w:rsidRDefault="002D7333">
      <w:pPr>
        <w:spacing w:line="360" w:lineRule="auto"/>
        <w:ind w:left="851" w:right="902"/>
        <w:jc w:val="both"/>
        <w:rPr>
          <w:rFonts w:ascii="Palatino Linotype" w:eastAsia="Palatino Linotype" w:hAnsi="Palatino Linotype" w:cs="Palatino Linotype"/>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Derivado de lo anterior, la ley establece claramente cuáles son esos descuentos o gravámenes que directamente se relacionan con las obligaciones adquiridas como servidores públicos y aquéllos que </w:t>
      </w:r>
      <w:r w:rsidRPr="00120082">
        <w:rPr>
          <w:rFonts w:ascii="Palatino Linotype" w:eastAsia="Palatino Linotype" w:hAnsi="Palatino Linotype" w:cs="Palatino Linotype"/>
          <w:b/>
          <w:bCs/>
          <w:color w:val="000000"/>
        </w:rPr>
        <w:t>únicamente inciden en su vida privada</w:t>
      </w:r>
      <w:r w:rsidRPr="00120082">
        <w:rPr>
          <w:rFonts w:ascii="Palatino Linotype" w:eastAsia="Palatino Linotype" w:hAnsi="Palatino Linotype" w:cs="Palatino Linotype"/>
          <w:color w:val="000000"/>
        </w:rPr>
        <w:t xml:space="preserve">. De este modo, descuentos por pensiones alimenticias o créditos adquiridos con instituciones privadas o públicas pero </w:t>
      </w:r>
      <w:r w:rsidRPr="00120082">
        <w:rPr>
          <w:rFonts w:ascii="Palatino Linotype" w:eastAsia="Palatino Linotype" w:hAnsi="Palatino Linotype" w:cs="Palatino Linotype"/>
          <w:color w:val="000000"/>
        </w:rPr>
        <w:lastRenderedPageBreak/>
        <w:t>que fueron contraídas en forma individual, son información que debe clasificarse como confidencial</w:t>
      </w:r>
    </w:p>
    <w:p w:rsidR="002D7333" w:rsidRPr="00120082" w:rsidRDefault="002D7333">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2D7333" w:rsidRPr="00120082" w:rsidRDefault="002D7333">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Sirven de sustento a lo anterior, las tesis jurisprudenciales </w:t>
      </w:r>
      <w:r w:rsidRPr="00120082">
        <w:rPr>
          <w:rFonts w:ascii="Palatino Linotype" w:eastAsia="Palatino Linotype" w:hAnsi="Palatino Linotype" w:cs="Palatino Linotype"/>
          <w:i/>
          <w:iCs/>
          <w:color w:val="000000"/>
        </w:rPr>
        <w:t xml:space="preserve">P. LX/2000 </w:t>
      </w:r>
      <w:r w:rsidRPr="00120082">
        <w:rPr>
          <w:rFonts w:ascii="Palatino Linotype" w:eastAsia="Palatino Linotype" w:hAnsi="Palatino Linotype" w:cs="Palatino Linotype"/>
          <w:color w:val="000000"/>
        </w:rPr>
        <w:t xml:space="preserve">y </w:t>
      </w:r>
      <w:r w:rsidRPr="00120082">
        <w:rPr>
          <w:rFonts w:ascii="Palatino Linotype" w:eastAsia="Palatino Linotype" w:hAnsi="Palatino Linotype" w:cs="Palatino Linotype"/>
          <w:i/>
          <w:iCs/>
          <w:color w:val="000000"/>
        </w:rPr>
        <w:t>2a. XLIII/2008</w:t>
      </w:r>
      <w:r w:rsidRPr="00120082">
        <w:rPr>
          <w:rFonts w:ascii="Palatino Linotype" w:eastAsia="Palatino Linotype" w:hAnsi="Palatino Linotype" w:cs="Palatino Linotype"/>
          <w:b/>
          <w:bCs/>
          <w:color w:val="000000"/>
        </w:rPr>
        <w:t xml:space="preserve"> </w:t>
      </w:r>
      <w:r w:rsidRPr="00120082">
        <w:rPr>
          <w:rFonts w:ascii="Palatino Linotype" w:eastAsia="Palatino Linotype" w:hAnsi="Palatino Linotype" w:cs="Palatino Linotype"/>
          <w:color w:val="000000"/>
        </w:rPr>
        <w:t>emitidas por el Peno y la Segunda Sala de la Suprema Corte de Justicia de la Nación, respectivamente, que son del tenor literal siguiente:</w:t>
      </w:r>
    </w:p>
    <w:p w:rsidR="002D7333" w:rsidRPr="00120082" w:rsidRDefault="00667A12">
      <w:pPr>
        <w:spacing w:line="360" w:lineRule="auto"/>
        <w:ind w:left="851" w:right="851"/>
        <w:jc w:val="both"/>
        <w:rPr>
          <w:rFonts w:ascii="Palatino Linotype" w:eastAsia="Palatino Linotype" w:hAnsi="Palatino Linotype" w:cs="Palatino Linotype"/>
          <w:i/>
          <w:iCs/>
        </w:rPr>
      </w:pPr>
      <w:r w:rsidRPr="00120082">
        <w:rPr>
          <w:rFonts w:ascii="Palatino Linotype" w:eastAsia="Palatino Linotype" w:hAnsi="Palatino Linotype" w:cs="Palatino Linotype"/>
          <w:b/>
          <w:bCs/>
          <w:i/>
          <w:iCs/>
        </w:rPr>
        <w:t xml:space="preserve">“DERECHO A LA INFORMACIÓN. SU EJERCICIO SE ENCUENTRA LIMITADO TANTO POR LOS INTERESES NACIONALES Y DE LA SOCIEDAD, COMO POR LOS DERECHOS DE TERCEROS. </w:t>
      </w:r>
      <w:r w:rsidRPr="00120082">
        <w:rPr>
          <w:rFonts w:ascii="Palatino Linotype" w:eastAsia="Palatino Linotype" w:hAnsi="Palatino Linotype" w:cs="Palatino Linotype"/>
          <w:i/>
          <w:iC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w:t>
      </w:r>
      <w:r w:rsidRPr="00120082">
        <w:rPr>
          <w:rFonts w:ascii="Palatino Linotype" w:eastAsia="Palatino Linotype" w:hAnsi="Palatino Linotype" w:cs="Palatino Linotype"/>
          <w:i/>
          <w:iCs/>
        </w:rPr>
        <w:lastRenderedPageBreak/>
        <w:t xml:space="preserve">indiscriminadamente, sino que el respeto a su ejercicio encuentra excepciones que lo regulan y a su vez lo garantizan, en atención a la materia a que se refiera; así, en cuanto a la seguridad nacional, se tienen normas que, por un lado, </w:t>
      </w:r>
      <w:r w:rsidRPr="00120082">
        <w:rPr>
          <w:rFonts w:ascii="Palatino Linotype" w:eastAsia="Palatino Linotype" w:hAnsi="Palatino Linotype" w:cs="Palatino Linotype"/>
          <w:b/>
          <w:bCs/>
          <w:i/>
          <w:iCs/>
        </w:rPr>
        <w:t>restringen el acceso a la información en esta materia, en razón de que su conocimiento público puede generar daños a los intereses nacionales y, por el otro, sancionan la inobservancia de esa reserva</w:t>
      </w:r>
      <w:r w:rsidRPr="00120082">
        <w:rPr>
          <w:rFonts w:ascii="Palatino Linotype" w:eastAsia="Palatino Linotype" w:hAnsi="Palatino Linotype" w:cs="Palatino Linotype"/>
          <w:i/>
          <w:iCs/>
        </w:rPr>
        <w:t xml:space="preserve">; por lo que hace al interés social, se cuenta con normas que tienden a proteger la averiguación de los delitos, la salud y la moral públicas, </w:t>
      </w:r>
      <w:r w:rsidRPr="00120082">
        <w:rPr>
          <w:rFonts w:ascii="Palatino Linotype" w:eastAsia="Palatino Linotype" w:hAnsi="Palatino Linotype" w:cs="Palatino Linotype"/>
          <w:b/>
          <w:bCs/>
          <w:i/>
          <w:iCs/>
        </w:rPr>
        <w:t>mientras que por lo que respecta a la protección de la persona existen normas que protegen el derecho a la vida o a la privacidad de los gobernados</w:t>
      </w:r>
      <w:r w:rsidRPr="00120082">
        <w:rPr>
          <w:rFonts w:ascii="Palatino Linotype" w:eastAsia="Palatino Linotype" w:hAnsi="Palatino Linotype" w:cs="Palatino Linotype"/>
          <w:i/>
          <w:iCs/>
        </w:rPr>
        <w:t>.”</w:t>
      </w:r>
    </w:p>
    <w:p w:rsidR="002D7333" w:rsidRPr="00120082" w:rsidRDefault="002D7333">
      <w:pPr>
        <w:spacing w:line="360" w:lineRule="auto"/>
        <w:ind w:left="851" w:right="851"/>
        <w:jc w:val="both"/>
        <w:rPr>
          <w:rFonts w:ascii="Palatino Linotype" w:eastAsia="Palatino Linotype" w:hAnsi="Palatino Linotype" w:cs="Palatino Linotype"/>
          <w:i/>
          <w:iCs/>
        </w:rPr>
      </w:pPr>
    </w:p>
    <w:p w:rsidR="002D7333" w:rsidRPr="00120082" w:rsidRDefault="00667A12">
      <w:pPr>
        <w:spacing w:line="360" w:lineRule="auto"/>
        <w:ind w:left="851" w:right="851"/>
        <w:jc w:val="both"/>
        <w:rPr>
          <w:rFonts w:ascii="Palatino Linotype" w:eastAsia="Palatino Linotype" w:hAnsi="Palatino Linotype" w:cs="Palatino Linotype"/>
          <w:i/>
          <w:iCs/>
        </w:rPr>
      </w:pPr>
      <w:r w:rsidRPr="00120082">
        <w:rPr>
          <w:rFonts w:ascii="Palatino Linotype" w:eastAsia="Palatino Linotype" w:hAnsi="Palatino Linotype" w:cs="Palatino Linotype"/>
          <w:b/>
          <w:bCs/>
          <w:i/>
          <w:iCs/>
        </w:rPr>
        <w:t xml:space="preserve">“TRANSPARENCIA Y ACCESO A LA INFORMACIÓN PÚBLICA GUBERNAMENTAL. EL ARTÍCULO 14, FRACCIÓN I, DE LA LEY FEDERAL RELATIVA, NO VIOLA LA GARANTÍA DE ACCESO A LA INFORMACIÓN. </w:t>
      </w:r>
      <w:r w:rsidRPr="00120082">
        <w:rPr>
          <w:rFonts w:ascii="Palatino Linotype" w:eastAsia="Palatino Linotype" w:hAnsi="Palatino Linotype" w:cs="Palatino Linotype"/>
          <w:i/>
          <w:iCs/>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w:t>
      </w:r>
      <w:r w:rsidRPr="00120082">
        <w:rPr>
          <w:rFonts w:ascii="Palatino Linotype" w:eastAsia="Palatino Linotype" w:hAnsi="Palatino Linotype" w:cs="Palatino Linotype"/>
          <w:i/>
          <w:iCs/>
        </w:rPr>
        <w:lastRenderedPageBreak/>
        <w:t xml:space="preserve">restricciones a la información, no viola la garantía de acceso a la información contenida en el artículo 6o. de la Constitución Política de los Estados Unidos Mexicanos, porque es jurídicamente adecuado que en las leyes reguladoras de cada materia, </w:t>
      </w:r>
      <w:r w:rsidRPr="00120082">
        <w:rPr>
          <w:rFonts w:ascii="Palatino Linotype" w:eastAsia="Palatino Linotype" w:hAnsi="Palatino Linotype" w:cs="Palatino Linotype"/>
          <w:b/>
          <w:bCs/>
          <w:i/>
          <w:iC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120082">
        <w:rPr>
          <w:rFonts w:ascii="Palatino Linotype" w:eastAsia="Palatino Linotype" w:hAnsi="Palatino Linotype" w:cs="Palatino Linotype"/>
          <w:i/>
          <w:iCs/>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2D7333" w:rsidRPr="00120082" w:rsidRDefault="002D7333">
      <w:pPr>
        <w:spacing w:line="360" w:lineRule="auto"/>
        <w:ind w:left="851" w:right="851"/>
        <w:jc w:val="both"/>
        <w:rPr>
          <w:rFonts w:ascii="Palatino Linotype" w:eastAsia="Palatino Linotype" w:hAnsi="Palatino Linotype" w:cs="Palatino Linotype"/>
          <w:i/>
          <w:iCs/>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sidRPr="00120082">
        <w:rPr>
          <w:rFonts w:ascii="Palatino Linotype" w:eastAsia="Palatino Linotype" w:hAnsi="Palatino Linotype" w:cs="Palatino Linotype"/>
          <w:color w:val="000000"/>
        </w:rPr>
        <w:t>También,</w:t>
      </w:r>
      <w:r w:rsidRPr="00120082">
        <w:rPr>
          <w:rFonts w:ascii="Palatino Linotype" w:eastAsia="Palatino Linotype" w:hAnsi="Palatino Linotype" w:cs="Palatino Linotype"/>
          <w:b/>
          <w:bCs/>
          <w:color w:val="000000"/>
        </w:rPr>
        <w:t xml:space="preserve"> el número de cuenta bancario</w:t>
      </w:r>
      <w:r w:rsidRPr="00120082">
        <w:rPr>
          <w:rFonts w:ascii="Palatino Linotype" w:eastAsia="Palatino Linotype" w:hAnsi="Palatino Linotype" w:cs="Palatino Linotype"/>
          <w:color w:val="000000"/>
        </w:rPr>
        <w:t>, en el Criterio 10/17 emitido por el Pleno del Instituto Nacional de Transparencia, Acceso a la Información y Protección de Datos Personales  se establece lo siguiente:</w:t>
      </w:r>
    </w:p>
    <w:p w:rsidR="002D7333" w:rsidRPr="00120082" w:rsidRDefault="00667A12">
      <w:pPr>
        <w:shd w:val="clear" w:color="auto" w:fill="FFFFFF"/>
        <w:spacing w:line="360" w:lineRule="auto"/>
        <w:ind w:left="567" w:right="567"/>
        <w:jc w:val="both"/>
        <w:rPr>
          <w:rFonts w:ascii="Palatino Linotype" w:eastAsia="Palatino Linotype" w:hAnsi="Palatino Linotype" w:cs="Palatino Linotype"/>
        </w:rPr>
      </w:pPr>
      <w:r w:rsidRPr="00120082">
        <w:rPr>
          <w:rFonts w:ascii="Palatino Linotype" w:eastAsia="Palatino Linotype" w:hAnsi="Palatino Linotype" w:cs="Palatino Linotype"/>
        </w:rPr>
        <w:t>“</w:t>
      </w:r>
      <w:r w:rsidRPr="00120082">
        <w:rPr>
          <w:rFonts w:ascii="Palatino Linotype" w:eastAsia="Palatino Linotype" w:hAnsi="Palatino Linotype" w:cs="Palatino Linotype"/>
          <w:b/>
          <w:bCs/>
          <w:i/>
          <w:iCs/>
        </w:rPr>
        <w:t>Cuentas bancarias y/o CLABE interbancaria de personas físicas y morales privadas.</w:t>
      </w:r>
      <w:r w:rsidRPr="00120082">
        <w:rPr>
          <w:rFonts w:ascii="Palatino Linotype" w:eastAsia="Palatino Linotype" w:hAnsi="Palatino Linotype" w:cs="Palatino Linotype"/>
          <w:i/>
          <w:iC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w:t>
      </w:r>
      <w:r w:rsidRPr="00120082">
        <w:rPr>
          <w:rFonts w:ascii="Palatino Linotype" w:eastAsia="Palatino Linotype" w:hAnsi="Palatino Linotype" w:cs="Palatino Linotype"/>
          <w:i/>
          <w:iCs/>
        </w:rPr>
        <w:lastRenderedPageBreak/>
        <w:t>artículos 116 de la Ley General de Transparencia y Acceso a la Información Pública y 113 de la Ley Federal de Transparencia y Acceso a la Información Pública</w:t>
      </w:r>
      <w:r w:rsidRPr="00120082">
        <w:rPr>
          <w:rFonts w:ascii="Palatino Linotype" w:eastAsia="Palatino Linotype" w:hAnsi="Palatino Linotype" w:cs="Palatino Linotype"/>
        </w:rPr>
        <w:t>.”</w:t>
      </w:r>
    </w:p>
    <w:p w:rsidR="002D7333" w:rsidRPr="00120082" w:rsidRDefault="002D7333">
      <w:pPr>
        <w:spacing w:line="360" w:lineRule="auto"/>
        <w:jc w:val="both"/>
        <w:rPr>
          <w:rFonts w:ascii="Palatino Linotype" w:eastAsia="Palatino Linotype" w:hAnsi="Palatino Linotype" w:cs="Palatino Linotype"/>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2D7333" w:rsidRPr="00120082" w:rsidRDefault="002D7333">
      <w:pPr>
        <w:spacing w:line="360" w:lineRule="auto"/>
        <w:ind w:right="-93"/>
        <w:jc w:val="both"/>
        <w:rPr>
          <w:rFonts w:ascii="Palatino Linotype" w:eastAsia="Palatino Linotype" w:hAnsi="Palatino Linotype" w:cs="Palatino Linotype"/>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sidRPr="00120082">
        <w:rPr>
          <w:rFonts w:ascii="Palatino Linotype" w:eastAsia="Palatino Linotype" w:hAnsi="Palatino Linotype" w:cs="Palatino Linotype"/>
          <w:color w:val="000000"/>
        </w:rPr>
        <w:t xml:space="preserve">El </w:t>
      </w:r>
      <w:r w:rsidRPr="00120082">
        <w:rPr>
          <w:rFonts w:ascii="Palatino Linotype" w:eastAsia="Palatino Linotype" w:hAnsi="Palatino Linotype" w:cs="Palatino Linotype"/>
          <w:b/>
          <w:bCs/>
          <w:color w:val="000000"/>
        </w:rPr>
        <w:t>Código de barras bidimensional (QR)</w:t>
      </w:r>
      <w:r w:rsidRPr="00120082">
        <w:rPr>
          <w:rFonts w:ascii="Palatino Linotype" w:eastAsia="Palatino Linotype" w:hAnsi="Palatino Linotype" w:cs="Palatino Linotype"/>
          <w:color w:val="000000"/>
        </w:rPr>
        <w:t xml:space="preserve">, resulta necesario señalar que los comprobantes fiscales digitales por Internet, deben de incluir un código bidimensional conforme al formato </w:t>
      </w:r>
      <w:r w:rsidRPr="00120082">
        <w:rPr>
          <w:rFonts w:ascii="Palatino Linotype" w:eastAsia="Palatino Linotype" w:hAnsi="Palatino Linotype" w:cs="Palatino Linotype"/>
          <w:i/>
          <w:iCs/>
          <w:color w:val="000000"/>
        </w:rPr>
        <w:t>QR Code (Quick Response Code)</w:t>
      </w:r>
      <w:r w:rsidRPr="00120082">
        <w:rPr>
          <w:rFonts w:ascii="Palatino Linotype" w:eastAsia="Palatino Linotype" w:hAnsi="Palatino Linotype" w:cs="Palatino Linotype"/>
          <w:color w:val="000000"/>
        </w:rPr>
        <w:t xml:space="preserve">, el cual contiene el Registro Federal de Contribuyentes del receptor, del emisor, o de ambos. Incluso con la captura de dicho código, a través de la aplicación móvil del Servicio de Administración Tributaria, permite el acceso al Registro Federal de Contribuyentes, como del </w:t>
      </w:r>
      <w:r w:rsidRPr="00120082">
        <w:rPr>
          <w:rFonts w:ascii="Palatino Linotype" w:eastAsia="Palatino Linotype" w:hAnsi="Palatino Linotype" w:cs="Palatino Linotype"/>
          <w:b/>
          <w:bCs/>
          <w:color w:val="000000"/>
        </w:rPr>
        <w:t>Sujeto Obligado</w:t>
      </w:r>
      <w:r w:rsidRPr="00120082">
        <w:rPr>
          <w:rFonts w:ascii="Palatino Linotype" w:eastAsia="Palatino Linotype" w:hAnsi="Palatino Linotype" w:cs="Palatino Linotype"/>
          <w:color w:val="000000"/>
        </w:rPr>
        <w:t>, como de la persona física o moral correspondiente.</w:t>
      </w:r>
    </w:p>
    <w:p w:rsidR="002D7333" w:rsidRPr="00120082" w:rsidRDefault="002D7333">
      <w:pPr>
        <w:spacing w:line="360" w:lineRule="auto"/>
        <w:ind w:right="-93"/>
        <w:jc w:val="both"/>
        <w:rPr>
          <w:rFonts w:ascii="Palatino Linotype" w:eastAsia="Palatino Linotype" w:hAnsi="Palatino Linotype" w:cs="Palatino Linotype"/>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De tales circunstancias, se considera que se actualiza la causal de clasificación prevista </w:t>
      </w:r>
      <w:r w:rsidRPr="00120082">
        <w:rPr>
          <w:rFonts w:ascii="Palatino Linotype" w:eastAsia="Palatino Linotype" w:hAnsi="Palatino Linotype" w:cs="Palatino Linotype"/>
          <w:color w:val="222222"/>
        </w:rPr>
        <w:t>en</w:t>
      </w:r>
      <w:r w:rsidRPr="00120082">
        <w:rPr>
          <w:rFonts w:ascii="Palatino Linotype" w:eastAsia="Palatino Linotype" w:hAnsi="Palatino Linotype" w:cs="Palatino Linotype"/>
          <w:color w:val="000000"/>
        </w:rPr>
        <w:t xml:space="preserve"> el artículo 143, fracción I de la Ley de la materia, toda vez que el Registro Federal de </w:t>
      </w:r>
      <w:r w:rsidRPr="00120082">
        <w:rPr>
          <w:rFonts w:ascii="Palatino Linotype" w:eastAsia="Palatino Linotype" w:hAnsi="Palatino Linotype" w:cs="Palatino Linotype"/>
          <w:color w:val="000000"/>
        </w:rPr>
        <w:lastRenderedPageBreak/>
        <w:t>Contribuyentes corresponde a los servidores públicos, pues como se señaló en párrafos anteriores el mismo hace identificable o identificada al mismo.</w:t>
      </w:r>
    </w:p>
    <w:p w:rsidR="002D7333" w:rsidRPr="00120082" w:rsidRDefault="002D7333">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120082">
        <w:rPr>
          <w:rFonts w:ascii="Palatino Linotype" w:eastAsia="Palatino Linotype" w:hAnsi="Palatino Linotype" w:cs="Palatino Linotype"/>
          <w:color w:val="222222"/>
        </w:rPr>
        <w:t>Por otra parte y respecto a</w:t>
      </w:r>
      <w:r w:rsidRPr="00120082">
        <w:rPr>
          <w:rFonts w:ascii="Palatino Linotype" w:eastAsia="Palatino Linotype" w:hAnsi="Palatino Linotype" w:cs="Palatino Linotype"/>
          <w:b/>
          <w:bCs/>
          <w:color w:val="222222"/>
        </w:rPr>
        <w:t xml:space="preserve"> la clave de seguridad social y en su caso clave o número del servidor público –trabajador-,</w:t>
      </w:r>
      <w:r w:rsidRPr="00120082">
        <w:rPr>
          <w:rFonts w:ascii="Palatino Linotype" w:eastAsia="Palatino Linotype" w:hAnsi="Palatino Linotype" w:cs="Palatino Linotype"/>
          <w:color w:val="222222"/>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2D7333" w:rsidRPr="00120082" w:rsidRDefault="00667A12">
      <w:pPr>
        <w:shd w:val="clear" w:color="auto" w:fill="FFFFFF"/>
        <w:spacing w:line="360" w:lineRule="auto"/>
        <w:ind w:left="567" w:right="900"/>
        <w:jc w:val="both"/>
        <w:rPr>
          <w:rFonts w:ascii="Palatino Linotype" w:eastAsia="Palatino Linotype" w:hAnsi="Palatino Linotype" w:cs="Palatino Linotype"/>
          <w:color w:val="222222"/>
        </w:rPr>
      </w:pPr>
      <w:r w:rsidRPr="00120082">
        <w:rPr>
          <w:rFonts w:ascii="Palatino Linotype" w:eastAsia="Palatino Linotype" w:hAnsi="Palatino Linotype" w:cs="Palatino Linotype"/>
          <w:b/>
          <w:bCs/>
          <w:i/>
          <w:iCs/>
          <w:color w:val="222222"/>
        </w:rPr>
        <w:t>“El número de ficha de identificación única de los trabajadores es información de carácter confidencial.</w:t>
      </w:r>
      <w:r w:rsidRPr="00120082">
        <w:rPr>
          <w:rFonts w:ascii="Palatino Linotype" w:eastAsia="Palatino Linotype" w:hAnsi="Palatino Linotype" w:cs="Palatino Linotype"/>
          <w:i/>
          <w:iCs/>
          <w:color w:val="222222"/>
        </w:rPr>
        <w:t> </w:t>
      </w:r>
      <w:r w:rsidRPr="00120082">
        <w:rPr>
          <w:rFonts w:ascii="Palatino Linotype" w:eastAsia="Palatino Linotype" w:hAnsi="Palatino Linotype" w:cs="Palatino Linotype"/>
          <w:i/>
          <w:iCs/>
          <w:color w:val="2222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120082">
        <w:rPr>
          <w:rFonts w:ascii="Palatino Linotype" w:eastAsia="Palatino Linotype" w:hAnsi="Palatino Linotype" w:cs="Palatino Linotype"/>
          <w:i/>
          <w:iCs/>
          <w:color w:val="222222"/>
        </w:rPr>
        <w:t>, </w:t>
      </w:r>
      <w:r w:rsidRPr="00120082">
        <w:rPr>
          <w:rFonts w:ascii="Palatino Linotype" w:eastAsia="Palatino Linotype" w:hAnsi="Palatino Linotype" w:cs="Palatino Linotype"/>
          <w:i/>
          <w:iCs/>
          <w:color w:val="222222"/>
          <w:u w:val="single"/>
        </w:rPr>
        <w:t>dicha información es susceptible de clasificarse con el carácter de confidencial</w:t>
      </w:r>
      <w:r w:rsidRPr="00120082">
        <w:rPr>
          <w:rFonts w:ascii="Palatino Linotype" w:eastAsia="Palatino Linotype" w:hAnsi="Palatino Linotype" w:cs="Palatino Linotype"/>
          <w:i/>
          <w:iCs/>
          <w:color w:val="222222"/>
        </w:rPr>
        <w:t xml:space="preserve">, en términos de lo establecido en el artículo 18, fracción II de la Ley Federal de Transparencia y Acceso a la Información Pública Gubernamental, en virtud de que a través de la misma es posible conocer información personal de su titular.” </w:t>
      </w:r>
    </w:p>
    <w:p w:rsidR="002D7333" w:rsidRPr="00120082" w:rsidRDefault="002D7333">
      <w:pPr>
        <w:spacing w:line="360" w:lineRule="auto"/>
        <w:ind w:right="-93"/>
        <w:jc w:val="both"/>
        <w:rPr>
          <w:rFonts w:ascii="Palatino Linotype" w:eastAsia="Palatino Linotype" w:hAnsi="Palatino Linotype" w:cs="Palatino Linotype"/>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Al </w:t>
      </w:r>
      <w:r w:rsidRPr="00120082">
        <w:rPr>
          <w:rFonts w:ascii="Palatino Linotype" w:eastAsia="Palatino Linotype" w:hAnsi="Palatino Linotype" w:cs="Palatino Linotype"/>
          <w:color w:val="222222"/>
        </w:rPr>
        <w:t>respecto</w:t>
      </w:r>
      <w:r w:rsidRPr="00120082">
        <w:rPr>
          <w:rFonts w:ascii="Palatino Linotype" w:eastAsia="Palatino Linotype" w:hAnsi="Palatino Linotype" w:cs="Palatino Linotype"/>
          <w:color w:val="000000"/>
        </w:rPr>
        <w:t xml:space="preserve">, es de señalar que </w:t>
      </w:r>
      <w:r w:rsidRPr="00120082">
        <w:rPr>
          <w:rFonts w:ascii="Palatino Linotype" w:eastAsia="Palatino Linotype" w:hAnsi="Palatino Linotype" w:cs="Palatino Linotype"/>
          <w:b/>
          <w:bCs/>
          <w:color w:val="000000"/>
        </w:rPr>
        <w:t xml:space="preserve">la firma </w:t>
      </w:r>
      <w:r w:rsidRPr="00120082">
        <w:rPr>
          <w:rFonts w:ascii="Palatino Linotype" w:eastAsia="Palatino Linotype" w:hAnsi="Palatino Linotype" w:cs="Palatino Linotype"/>
          <w:color w:val="000000"/>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rsidR="002D7333" w:rsidRPr="00120082" w:rsidRDefault="002D7333">
      <w:pPr>
        <w:spacing w:line="360" w:lineRule="auto"/>
        <w:ind w:right="-93"/>
        <w:jc w:val="both"/>
        <w:rPr>
          <w:rFonts w:ascii="Palatino Linotype" w:eastAsia="Palatino Linotype" w:hAnsi="Palatino Linotype" w:cs="Palatino Linotype"/>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lastRenderedPageBreak/>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rsidR="002D7333" w:rsidRPr="00120082" w:rsidRDefault="002D7333">
      <w:pPr>
        <w:spacing w:line="360" w:lineRule="auto"/>
        <w:ind w:right="-93"/>
        <w:jc w:val="both"/>
        <w:rPr>
          <w:rFonts w:ascii="Palatino Linotype" w:eastAsia="Palatino Linotype" w:hAnsi="Palatino Linotype" w:cs="Palatino Linotype"/>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rsidR="002D7333" w:rsidRPr="00120082" w:rsidRDefault="002D7333">
      <w:pPr>
        <w:spacing w:line="360" w:lineRule="auto"/>
        <w:ind w:right="-93"/>
        <w:jc w:val="both"/>
        <w:rPr>
          <w:rFonts w:ascii="Palatino Linotype" w:eastAsia="Palatino Linotype" w:hAnsi="Palatino Linotype" w:cs="Palatino Linotype"/>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Sirve de sustento a lo anterior el Criterio de Interpretación 02/19 emitido por el Instituto Nacional de Transparencia, Acceso a la Información y Protección de Datos Personales, cuyo rubro y texto establecen lo siguiente:</w:t>
      </w:r>
    </w:p>
    <w:p w:rsidR="002D7333" w:rsidRPr="00120082" w:rsidRDefault="00667A12">
      <w:pPr>
        <w:spacing w:line="360" w:lineRule="auto"/>
        <w:ind w:left="1134" w:right="1041"/>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w:t>
      </w:r>
      <w:r w:rsidRPr="00120082">
        <w:rPr>
          <w:rFonts w:ascii="Palatino Linotype" w:eastAsia="Palatino Linotype" w:hAnsi="Palatino Linotype" w:cs="Palatino Linotype"/>
          <w:b/>
          <w:bCs/>
          <w:i/>
          <w:iCs/>
        </w:rPr>
        <w:t>FIRMA Y RÚBRICA DE SERVIDORES PÚBLICOS.</w:t>
      </w:r>
      <w:r w:rsidRPr="00120082">
        <w:rPr>
          <w:rFonts w:ascii="Palatino Linotype" w:eastAsia="Palatino Linotype" w:hAnsi="Palatino Linotype" w:cs="Palatino Linotype"/>
          <w:i/>
          <w:iC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2D7333" w:rsidRPr="00120082" w:rsidRDefault="002D7333">
      <w:pPr>
        <w:spacing w:line="360" w:lineRule="auto"/>
        <w:ind w:left="1134" w:right="1041"/>
        <w:jc w:val="both"/>
        <w:rPr>
          <w:rFonts w:ascii="Palatino Linotype" w:eastAsia="Palatino Linotype" w:hAnsi="Palatino Linotype" w:cs="Palatino Linotype"/>
          <w:i/>
          <w:iCs/>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sidRPr="00120082">
        <w:rPr>
          <w:rFonts w:ascii="Palatino Linotype" w:eastAsia="Palatino Linotype" w:hAnsi="Palatino Linotype" w:cs="Palatino Linotype"/>
          <w:color w:val="000000"/>
        </w:rPr>
        <w:t xml:space="preserve">Al respecto, se destaca que la versión pública que elabore el </w:t>
      </w:r>
      <w:r w:rsidRPr="00120082">
        <w:rPr>
          <w:rFonts w:ascii="Palatino Linotype" w:eastAsia="Palatino Linotype" w:hAnsi="Palatino Linotype" w:cs="Palatino Linotype"/>
          <w:b/>
          <w:bCs/>
          <w:color w:val="000000"/>
        </w:rPr>
        <w:t>SUJETO OBLIGADO</w:t>
      </w:r>
      <w:r w:rsidRPr="00120082">
        <w:rPr>
          <w:rFonts w:ascii="Palatino Linotype" w:eastAsia="Palatino Linotype" w:hAnsi="Palatino Linotype" w:cs="Palatino Linotype"/>
          <w:color w:val="000000"/>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w:t>
      </w:r>
      <w:r w:rsidRPr="00120082">
        <w:rPr>
          <w:rFonts w:ascii="Palatino Linotype" w:eastAsia="Palatino Linotype" w:hAnsi="Palatino Linotype" w:cs="Palatino Linotype"/>
          <w:color w:val="000000"/>
        </w:rPr>
        <w:lastRenderedPageBreak/>
        <w:t>sustentara la clasificación de datos y con ello la "versión pública" de los documentos materia de las solicitudes</w:t>
      </w:r>
      <w:r w:rsidRPr="00120082">
        <w:rPr>
          <w:rFonts w:ascii="Palatino Linotype" w:eastAsia="Palatino Linotype" w:hAnsi="Palatino Linotype" w:cs="Palatino Linotype"/>
          <w:color w:val="000000"/>
          <w:highlight w:val="white"/>
        </w:rPr>
        <w:t>.</w:t>
      </w:r>
    </w:p>
    <w:p w:rsidR="002D7333" w:rsidRPr="00120082" w:rsidRDefault="002D7333">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highlight w:val="white"/>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Efectivamente, cuando se clasifica información como confidencial o reservada es importante someterlo al Comité de Transparencia, quien debe confirmar, modificar o revocar la clasificación.</w:t>
      </w:r>
    </w:p>
    <w:p w:rsidR="002D7333" w:rsidRPr="00120082" w:rsidRDefault="002D7333">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Por lo tanto, la entrega de documentos en su versión pública debe acompañarse necesariamente del Acuerdo del Comité de Transparencia que la sustente, en el que se expongan los fundamentos y razonamientos que llevaron al </w:t>
      </w:r>
      <w:r w:rsidRPr="00120082">
        <w:rPr>
          <w:rFonts w:ascii="Palatino Linotype" w:eastAsia="Palatino Linotype" w:hAnsi="Palatino Linotype" w:cs="Palatino Linotype"/>
          <w:b/>
          <w:bCs/>
          <w:color w:val="000000"/>
        </w:rPr>
        <w:t>SUJETO OBLIGADO</w:t>
      </w:r>
      <w:r w:rsidRPr="00120082">
        <w:rPr>
          <w:rFonts w:ascii="Palatino Linotype" w:eastAsia="Palatino Linotype" w:hAnsi="Palatino Linotype" w:cs="Palatino Linotype"/>
          <w:color w:val="000000"/>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120082">
        <w:rPr>
          <w:rFonts w:ascii="Palatino Linotype" w:eastAsia="Palatino Linotype" w:hAnsi="Palatino Linotype" w:cs="Palatino Linotype"/>
          <w:b/>
          <w:bCs/>
          <w:color w:val="000000"/>
        </w:rPr>
        <w:t>RECURRENTE.</w:t>
      </w:r>
    </w:p>
    <w:p w:rsidR="002D7333" w:rsidRPr="00120082" w:rsidRDefault="002D7333">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2D7333" w:rsidRPr="00120082" w:rsidRDefault="002D7333">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Entorno a lo que aquí nos interesa, los Lineamientos Quincuagésimo sexto, Quincuagésimo séptimo y Quincuagésimo octavo, establecen lo siguiente:</w:t>
      </w:r>
    </w:p>
    <w:p w:rsidR="002D7333" w:rsidRPr="00120082" w:rsidRDefault="00667A12">
      <w:pPr>
        <w:spacing w:line="360" w:lineRule="auto"/>
        <w:ind w:left="851" w:right="902"/>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“Quincuagésimo sexto</w:t>
      </w:r>
      <w:r w:rsidRPr="00120082">
        <w:rPr>
          <w:rFonts w:ascii="Palatino Linotype" w:eastAsia="Palatino Linotype" w:hAnsi="Palatino Linotype" w:cs="Palatino Linotype"/>
          <w:b/>
          <w:bCs/>
          <w:i/>
          <w:iCs/>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2D7333" w:rsidRPr="00120082" w:rsidRDefault="00667A12">
      <w:pPr>
        <w:spacing w:line="360" w:lineRule="auto"/>
        <w:ind w:left="851" w:right="902"/>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 xml:space="preserve">Quincuagésimo séptimo. Se considera, en principio, como información pública y no podrá omitirse de las versiones públicas la siguiente: </w:t>
      </w:r>
    </w:p>
    <w:p w:rsidR="002D7333" w:rsidRPr="00120082" w:rsidRDefault="00667A12">
      <w:pPr>
        <w:spacing w:line="360" w:lineRule="auto"/>
        <w:ind w:left="851" w:right="902"/>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 xml:space="preserve">I. La relativa a las Obligaciones de Transparencia que contempla el Título V de la Ley General y las demás disposiciones legales aplicables; </w:t>
      </w:r>
    </w:p>
    <w:p w:rsidR="002D7333" w:rsidRPr="00120082" w:rsidRDefault="00667A12">
      <w:pPr>
        <w:spacing w:line="360" w:lineRule="auto"/>
        <w:ind w:left="851" w:right="902"/>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 xml:space="preserve">II. El nombre de los servidores públicos en los documentos, y sus firmas autógrafas, cuando sean utilizados en el ejercicio de las facultades conferidas para el desempeño del servicio público, y </w:t>
      </w:r>
    </w:p>
    <w:p w:rsidR="002D7333" w:rsidRPr="00120082" w:rsidRDefault="00667A12">
      <w:pPr>
        <w:spacing w:line="360" w:lineRule="auto"/>
        <w:ind w:left="851" w:right="902"/>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lastRenderedPageBreak/>
        <w:t>III. La información que documente decisiones y los actos de autoridad concluidos de los sujetos obligados, así como el ejercicio de las facultades o actividades de los servidores públicos, de manera que se pueda valorar el desempeño de los mismos.</w:t>
      </w:r>
    </w:p>
    <w:p w:rsidR="002D7333" w:rsidRPr="00120082" w:rsidRDefault="00667A12">
      <w:pPr>
        <w:spacing w:line="360" w:lineRule="auto"/>
        <w:ind w:left="851" w:right="902"/>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 xml:space="preserve">Lo anterior, siempre y cuando no se acredite alguna causal de clasificación, prevista en las leyes o en los tratados internaciones suscritos por el Estado mexicano. </w:t>
      </w:r>
    </w:p>
    <w:p w:rsidR="002D7333" w:rsidRPr="00120082" w:rsidRDefault="00667A12">
      <w:pPr>
        <w:spacing w:line="360" w:lineRule="auto"/>
        <w:ind w:left="851" w:right="902"/>
        <w:jc w:val="both"/>
        <w:rPr>
          <w:rFonts w:ascii="Palatino Linotype" w:eastAsia="Palatino Linotype" w:hAnsi="Palatino Linotype" w:cs="Palatino Linotype"/>
          <w:i/>
          <w:iCs/>
        </w:rPr>
      </w:pPr>
      <w:r w:rsidRPr="00120082">
        <w:rPr>
          <w:rFonts w:ascii="Palatino Linotype" w:eastAsia="Palatino Linotype" w:hAnsi="Palatino Linotype" w:cs="Palatino Linotype"/>
          <w:i/>
          <w:iCs/>
        </w:rPr>
        <w:t>Quincuagésimo octavo. Los sujetos obligados garantizarán que los sistemas o medios empleados para eliminar la información en las versiones públicas no permitan la recuperación o visualización de la misma.”</w:t>
      </w:r>
    </w:p>
    <w:p w:rsidR="002D7333" w:rsidRPr="00120082" w:rsidRDefault="002D7333">
      <w:pPr>
        <w:spacing w:line="360" w:lineRule="auto"/>
        <w:ind w:left="851" w:right="902"/>
        <w:jc w:val="both"/>
        <w:rPr>
          <w:rFonts w:ascii="Palatino Linotype" w:eastAsia="Palatino Linotype" w:hAnsi="Palatino Linotype" w:cs="Palatino Linotype"/>
          <w:i/>
          <w:iCs/>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Por lo tanto, </w:t>
      </w:r>
      <w:r w:rsidRPr="00120082">
        <w:rPr>
          <w:rFonts w:ascii="Palatino Linotype" w:eastAsia="Palatino Linotype" w:hAnsi="Palatino Linotype" w:cs="Palatino Linotype"/>
          <w:b/>
          <w:bCs/>
          <w:color w:val="000000"/>
        </w:rPr>
        <w:t xml:space="preserve">la entrega de documentos en su versión pública debe </w:t>
      </w:r>
      <w:r w:rsidRPr="00120082">
        <w:rPr>
          <w:rFonts w:ascii="Palatino Linotype" w:eastAsia="Palatino Linotype" w:hAnsi="Palatino Linotype" w:cs="Palatino Linotype"/>
          <w:color w:val="000000"/>
        </w:rPr>
        <w:t>acompañarse</w:t>
      </w:r>
      <w:r w:rsidRPr="00120082">
        <w:rPr>
          <w:rFonts w:ascii="Palatino Linotype" w:eastAsia="Palatino Linotype" w:hAnsi="Palatino Linotype" w:cs="Palatino Linotype"/>
          <w:b/>
          <w:bCs/>
          <w:color w:val="000000"/>
        </w:rPr>
        <w:t xml:space="preserve"> </w:t>
      </w:r>
      <w:r w:rsidRPr="00120082">
        <w:rPr>
          <w:rFonts w:ascii="Palatino Linotype" w:eastAsia="Palatino Linotype" w:hAnsi="Palatino Linotype" w:cs="Palatino Linotype"/>
          <w:color w:val="000000"/>
        </w:rPr>
        <w:t>necesariamente</w:t>
      </w:r>
      <w:r w:rsidRPr="00120082">
        <w:rPr>
          <w:rFonts w:ascii="Palatino Linotype" w:eastAsia="Palatino Linotype" w:hAnsi="Palatino Linotype" w:cs="Palatino Linotype"/>
          <w:b/>
          <w:bCs/>
          <w:color w:val="000000"/>
        </w:rPr>
        <w:t xml:space="preserve"> del Acuerdo del Comité de Transparencia que la sustente el cual debe estar debidamente fundado y motivado, en el que se expongan los fundamentos y razonamientos que llevaron al Sujeto Obligado a testar, suprimir o eliminar datos de dicho soporte documental</w:t>
      </w:r>
      <w:r w:rsidRPr="00120082">
        <w:rPr>
          <w:rFonts w:ascii="Palatino Linotype" w:eastAsia="Palatino Linotype" w:hAnsi="Palatino Linotype" w:cs="Palatino Linotype"/>
          <w:color w:val="000000"/>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2D7333" w:rsidRPr="00120082" w:rsidRDefault="002D7333">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Los sujetos obligados</w:t>
      </w:r>
      <w:r w:rsidRPr="00120082">
        <w:rPr>
          <w:rFonts w:ascii="Palatino Linotype" w:eastAsia="Palatino Linotype" w:hAnsi="Palatino Linotype" w:cs="Palatino Linotype"/>
          <w:b/>
          <w:bCs/>
          <w:color w:val="000000"/>
        </w:rPr>
        <w:t xml:space="preserve"> </w:t>
      </w:r>
      <w:r w:rsidRPr="00120082">
        <w:rPr>
          <w:rFonts w:ascii="Palatino Linotype" w:eastAsia="Palatino Linotype" w:hAnsi="Palatino Linotype" w:cs="Palatino Linotype"/>
          <w:color w:val="000000"/>
        </w:rPr>
        <w:t xml:space="preserve">serán responsables de los datos personales en su posesión y que, en caso de localizarse datos concernientes a terceros, éstos no podrán difundir, distribuir o comercializar los datos personales.  Cabe destacar que, para la realización de la clasificación </w:t>
      </w:r>
      <w:r w:rsidRPr="00120082">
        <w:rPr>
          <w:rFonts w:ascii="Palatino Linotype" w:eastAsia="Palatino Linotype" w:hAnsi="Palatino Linotype" w:cs="Palatino Linotype"/>
          <w:color w:val="000000"/>
        </w:rPr>
        <w:lastRenderedPageBreak/>
        <w:t>de la información, se deben seguir una serie de pasos y procedimientos, por lo que es menester reiterar los mismos:</w:t>
      </w:r>
    </w:p>
    <w:p w:rsidR="002D7333" w:rsidRPr="00120082" w:rsidRDefault="002D7333">
      <w:pPr>
        <w:tabs>
          <w:tab w:val="left" w:pos="284"/>
        </w:tabs>
        <w:spacing w:line="360" w:lineRule="auto"/>
        <w:ind w:right="49"/>
        <w:jc w:val="both"/>
        <w:rPr>
          <w:rFonts w:ascii="Palatino Linotype" w:eastAsia="Palatino Linotype" w:hAnsi="Palatino Linotype" w:cs="Palatino Linotype"/>
          <w:color w:val="000000"/>
        </w:rPr>
      </w:pPr>
    </w:p>
    <w:tbl>
      <w:tblPr>
        <w:tblStyle w:val="a4"/>
        <w:tblW w:w="1006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371"/>
      </w:tblGrid>
      <w:tr w:rsidR="002D7333" w:rsidRPr="00120082" w:rsidTr="00120082">
        <w:tc>
          <w:tcPr>
            <w:tcW w:w="2689" w:type="dxa"/>
          </w:tcPr>
          <w:p w:rsidR="002D7333" w:rsidRPr="00120082" w:rsidRDefault="00667A12">
            <w:pPr>
              <w:tabs>
                <w:tab w:val="left" w:pos="284"/>
              </w:tabs>
              <w:rPr>
                <w:rFonts w:ascii="Palatino Linotype" w:eastAsia="Palatino Linotype" w:hAnsi="Palatino Linotype" w:cs="Palatino Linotype"/>
              </w:rPr>
            </w:pPr>
            <w:r w:rsidRPr="00120082">
              <w:rPr>
                <w:rFonts w:ascii="Palatino Linotype" w:eastAsia="Palatino Linotype" w:hAnsi="Palatino Linotype" w:cs="Palatino Linotype"/>
              </w:rPr>
              <w:t>a) Requisitos previos.</w:t>
            </w:r>
          </w:p>
        </w:tc>
        <w:tc>
          <w:tcPr>
            <w:tcW w:w="7371" w:type="dxa"/>
          </w:tcPr>
          <w:p w:rsidR="002D7333" w:rsidRPr="00120082" w:rsidRDefault="00667A12">
            <w:pPr>
              <w:tabs>
                <w:tab w:val="left" w:pos="284"/>
              </w:tabs>
              <w:ind w:right="49"/>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2D7333" w:rsidRPr="00120082" w:rsidRDefault="00667A12">
            <w:pPr>
              <w:tabs>
                <w:tab w:val="left" w:pos="284"/>
              </w:tabs>
              <w:ind w:right="49"/>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2D7333" w:rsidRPr="00120082" w:rsidRDefault="00667A12">
            <w:pPr>
              <w:tabs>
                <w:tab w:val="left" w:pos="284"/>
              </w:tabs>
              <w:ind w:right="49"/>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2D7333" w:rsidRPr="00120082" w:rsidRDefault="00667A12">
            <w:pPr>
              <w:tabs>
                <w:tab w:val="left" w:pos="284"/>
              </w:tabs>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120082">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120082">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p w:rsidR="002D7333" w:rsidRPr="00120082" w:rsidRDefault="002D7333">
            <w:pPr>
              <w:tabs>
                <w:tab w:val="left" w:pos="284"/>
              </w:tabs>
              <w:jc w:val="both"/>
              <w:rPr>
                <w:rFonts w:ascii="Palatino Linotype" w:eastAsia="Palatino Linotype" w:hAnsi="Palatino Linotype" w:cs="Palatino Linotype"/>
              </w:rPr>
            </w:pPr>
          </w:p>
        </w:tc>
      </w:tr>
      <w:tr w:rsidR="002D7333" w:rsidRPr="00120082" w:rsidTr="00120082">
        <w:tc>
          <w:tcPr>
            <w:tcW w:w="2689" w:type="dxa"/>
          </w:tcPr>
          <w:p w:rsidR="002D7333" w:rsidRPr="00120082" w:rsidRDefault="00667A12">
            <w:pPr>
              <w:tabs>
                <w:tab w:val="left" w:pos="284"/>
              </w:tabs>
              <w:rPr>
                <w:rFonts w:ascii="Palatino Linotype" w:eastAsia="Palatino Linotype" w:hAnsi="Palatino Linotype" w:cs="Palatino Linotype"/>
              </w:rPr>
            </w:pPr>
            <w:r w:rsidRPr="00120082">
              <w:rPr>
                <w:rFonts w:ascii="Palatino Linotype" w:eastAsia="Palatino Linotype" w:hAnsi="Palatino Linotype" w:cs="Palatino Linotype"/>
              </w:rPr>
              <w:t>b) Supuestos de clasificación.</w:t>
            </w:r>
          </w:p>
        </w:tc>
        <w:tc>
          <w:tcPr>
            <w:tcW w:w="7371" w:type="dxa"/>
          </w:tcPr>
          <w:p w:rsidR="002D7333" w:rsidRPr="00120082" w:rsidRDefault="00667A12">
            <w:pPr>
              <w:tabs>
                <w:tab w:val="left" w:pos="284"/>
              </w:tabs>
              <w:ind w:right="49"/>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2D7333" w:rsidRPr="00120082" w:rsidRDefault="00667A12">
            <w:pPr>
              <w:tabs>
                <w:tab w:val="left" w:pos="284"/>
              </w:tabs>
              <w:ind w:right="49"/>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2D7333" w:rsidRPr="00120082" w:rsidRDefault="00667A12">
            <w:pPr>
              <w:tabs>
                <w:tab w:val="left" w:pos="284"/>
              </w:tabs>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lastRenderedPageBreak/>
              <w:t xml:space="preserve">El </w:t>
            </w:r>
            <w:r w:rsidRPr="00120082">
              <w:rPr>
                <w:rFonts w:ascii="Palatino Linotype" w:eastAsia="Palatino Linotype" w:hAnsi="Palatino Linotype" w:cs="Palatino Linotype"/>
                <w:b/>
                <w:bCs/>
                <w:color w:val="000000"/>
              </w:rPr>
              <w:t>Sujeto Obligado</w:t>
            </w:r>
            <w:r w:rsidRPr="00120082">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rsidR="002D7333" w:rsidRPr="00120082" w:rsidRDefault="002D7333">
            <w:pPr>
              <w:tabs>
                <w:tab w:val="left" w:pos="284"/>
              </w:tabs>
              <w:jc w:val="both"/>
              <w:rPr>
                <w:rFonts w:ascii="Palatino Linotype" w:eastAsia="Palatino Linotype" w:hAnsi="Palatino Linotype" w:cs="Palatino Linotype"/>
              </w:rPr>
            </w:pPr>
          </w:p>
        </w:tc>
      </w:tr>
      <w:tr w:rsidR="002D7333" w:rsidRPr="00120082" w:rsidTr="00120082">
        <w:tc>
          <w:tcPr>
            <w:tcW w:w="2689" w:type="dxa"/>
          </w:tcPr>
          <w:p w:rsidR="002D7333" w:rsidRPr="00120082" w:rsidRDefault="00667A12">
            <w:pPr>
              <w:tabs>
                <w:tab w:val="left" w:pos="284"/>
              </w:tabs>
              <w:rPr>
                <w:rFonts w:ascii="Palatino Linotype" w:eastAsia="Palatino Linotype" w:hAnsi="Palatino Linotype" w:cs="Palatino Linotype"/>
              </w:rPr>
            </w:pPr>
            <w:r w:rsidRPr="00120082">
              <w:rPr>
                <w:rFonts w:ascii="Palatino Linotype" w:eastAsia="Palatino Linotype" w:hAnsi="Palatino Linotype" w:cs="Palatino Linotype"/>
              </w:rPr>
              <w:lastRenderedPageBreak/>
              <w:t>c) Formalidades para emitir el acuerdo de clasificación.</w:t>
            </w:r>
          </w:p>
        </w:tc>
        <w:tc>
          <w:tcPr>
            <w:tcW w:w="7371" w:type="dxa"/>
          </w:tcPr>
          <w:p w:rsidR="002D7333" w:rsidRPr="00120082" w:rsidRDefault="00667A12">
            <w:pPr>
              <w:tabs>
                <w:tab w:val="left" w:pos="284"/>
              </w:tabs>
              <w:ind w:right="49"/>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2D7333" w:rsidRPr="00120082" w:rsidRDefault="00667A12">
            <w:pPr>
              <w:tabs>
                <w:tab w:val="left" w:pos="284"/>
              </w:tabs>
              <w:ind w:right="49"/>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Es necesario que </w:t>
            </w:r>
            <w:r w:rsidRPr="00120082">
              <w:rPr>
                <w:rFonts w:ascii="Palatino Linotype" w:eastAsia="Palatino Linotype" w:hAnsi="Palatino Linotype" w:cs="Palatino Linotype"/>
                <w:b/>
                <w:bCs/>
                <w:color w:val="000000"/>
                <w:u w:val="single"/>
              </w:rPr>
              <w:t>el acto reúna con los requisitos elementales</w:t>
            </w:r>
            <w:r w:rsidRPr="00120082">
              <w:rPr>
                <w:rFonts w:ascii="Palatino Linotype" w:eastAsia="Palatino Linotype" w:hAnsi="Palatino Linotype" w:cs="Palatino Linotype"/>
                <w:color w:val="000000"/>
              </w:rPr>
              <w:t>, entre ellos, que la autoridad que va a emitir el acto de autoridad sea la legalmente facultada para ello.</w:t>
            </w:r>
          </w:p>
          <w:p w:rsidR="002D7333" w:rsidRPr="00120082" w:rsidRDefault="00667A12">
            <w:pPr>
              <w:tabs>
                <w:tab w:val="left" w:pos="284"/>
              </w:tabs>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2D7333" w:rsidRPr="00120082" w:rsidRDefault="002D7333">
            <w:pPr>
              <w:tabs>
                <w:tab w:val="left" w:pos="284"/>
              </w:tabs>
              <w:jc w:val="both"/>
              <w:rPr>
                <w:rFonts w:ascii="Palatino Linotype" w:eastAsia="Palatino Linotype" w:hAnsi="Palatino Linotype" w:cs="Palatino Linotype"/>
              </w:rPr>
            </w:pPr>
          </w:p>
        </w:tc>
      </w:tr>
      <w:tr w:rsidR="002D7333" w:rsidRPr="00120082" w:rsidTr="00120082">
        <w:tc>
          <w:tcPr>
            <w:tcW w:w="2689" w:type="dxa"/>
          </w:tcPr>
          <w:p w:rsidR="002D7333" w:rsidRPr="00120082" w:rsidRDefault="002D7333">
            <w:pPr>
              <w:tabs>
                <w:tab w:val="left" w:pos="284"/>
              </w:tabs>
              <w:rPr>
                <w:rFonts w:ascii="Palatino Linotype" w:eastAsia="Palatino Linotype" w:hAnsi="Palatino Linotype" w:cs="Palatino Linotype"/>
              </w:rPr>
            </w:pPr>
          </w:p>
          <w:p w:rsidR="002D7333" w:rsidRPr="00120082" w:rsidRDefault="00667A12">
            <w:pPr>
              <w:tabs>
                <w:tab w:val="left" w:pos="284"/>
              </w:tabs>
              <w:jc w:val="both"/>
              <w:rPr>
                <w:rFonts w:ascii="Palatino Linotype" w:eastAsia="Palatino Linotype" w:hAnsi="Palatino Linotype" w:cs="Palatino Linotype"/>
              </w:rPr>
            </w:pPr>
            <w:r w:rsidRPr="00120082">
              <w:rPr>
                <w:rFonts w:ascii="Palatino Linotype" w:eastAsia="Palatino Linotype" w:hAnsi="Palatino Linotype" w:cs="Palatino Linotype"/>
                <w:color w:val="000000"/>
              </w:rPr>
              <w:t xml:space="preserve">d) Requisitos de fondo del acuerdo de clasificación. </w:t>
            </w:r>
          </w:p>
        </w:tc>
        <w:tc>
          <w:tcPr>
            <w:tcW w:w="7371" w:type="dxa"/>
          </w:tcPr>
          <w:p w:rsidR="002D7333" w:rsidRPr="00120082" w:rsidRDefault="00667A12">
            <w:pPr>
              <w:tabs>
                <w:tab w:val="left" w:pos="284"/>
              </w:tabs>
              <w:ind w:right="49"/>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20082">
              <w:rPr>
                <w:rFonts w:ascii="Palatino Linotype" w:eastAsia="Palatino Linotype" w:hAnsi="Palatino Linotype" w:cs="Palatino Linotype"/>
                <w:b/>
                <w:bCs/>
                <w:color w:val="000000"/>
              </w:rPr>
              <w:t>Sujetos Obligados</w:t>
            </w:r>
            <w:r w:rsidRPr="00120082">
              <w:rPr>
                <w:rFonts w:ascii="Palatino Linotype" w:eastAsia="Palatino Linotype" w:hAnsi="Palatino Linotype" w:cs="Palatino Linotype"/>
                <w:color w:val="000000"/>
              </w:rPr>
              <w:t xml:space="preserve">, por lo que deberán fundar y motivar debidamente la clasificación. </w:t>
            </w:r>
          </w:p>
          <w:p w:rsidR="002D7333" w:rsidRPr="00120082" w:rsidRDefault="00667A12">
            <w:pPr>
              <w:tabs>
                <w:tab w:val="left" w:pos="284"/>
              </w:tabs>
              <w:ind w:right="49"/>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De lo anterior, se desprende que para una correcta </w:t>
            </w:r>
            <w:r w:rsidRPr="00120082">
              <w:rPr>
                <w:rFonts w:ascii="Palatino Linotype" w:eastAsia="Palatino Linotype" w:hAnsi="Palatino Linotype" w:cs="Palatino Linotype"/>
                <w:b/>
                <w:bCs/>
                <w:color w:val="000000"/>
              </w:rPr>
              <w:t>clasificación total o parcial</w:t>
            </w:r>
            <w:r w:rsidRPr="00120082">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D7333" w:rsidRPr="00120082" w:rsidRDefault="00667A12">
            <w:pPr>
              <w:tabs>
                <w:tab w:val="left" w:pos="284"/>
              </w:tabs>
              <w:ind w:right="49"/>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2D7333" w:rsidRPr="00120082" w:rsidRDefault="00667A12">
            <w:pPr>
              <w:tabs>
                <w:tab w:val="left" w:pos="284"/>
              </w:tabs>
              <w:ind w:right="49"/>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2D7333" w:rsidRPr="00120082" w:rsidRDefault="00667A12">
            <w:pPr>
              <w:tabs>
                <w:tab w:val="left" w:pos="284"/>
              </w:tabs>
              <w:ind w:right="49"/>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Ahora bien, </w:t>
            </w:r>
            <w:r w:rsidRPr="00120082">
              <w:rPr>
                <w:rFonts w:ascii="Palatino Linotype" w:eastAsia="Palatino Linotype" w:hAnsi="Palatino Linotype" w:cs="Palatino Linotype"/>
                <w:b/>
                <w:bCs/>
                <w:color w:val="000000"/>
                <w:u w:val="single"/>
              </w:rPr>
              <w:t>para cada caso además de fundar y motivar</w:t>
            </w:r>
            <w:r w:rsidRPr="00120082">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rsidR="002D7333" w:rsidRPr="00120082" w:rsidRDefault="002D7333">
            <w:pPr>
              <w:tabs>
                <w:tab w:val="left" w:pos="284"/>
              </w:tabs>
              <w:ind w:right="49"/>
              <w:jc w:val="both"/>
              <w:rPr>
                <w:rFonts w:ascii="Palatino Linotype" w:eastAsia="Palatino Linotype" w:hAnsi="Palatino Linotype" w:cs="Palatino Linotype"/>
                <w:color w:val="000000"/>
              </w:rPr>
            </w:pPr>
          </w:p>
        </w:tc>
      </w:tr>
      <w:tr w:rsidR="002D7333" w:rsidRPr="00120082" w:rsidTr="00120082">
        <w:tc>
          <w:tcPr>
            <w:tcW w:w="2689" w:type="dxa"/>
          </w:tcPr>
          <w:p w:rsidR="002D7333" w:rsidRPr="00120082" w:rsidRDefault="00667A12">
            <w:pPr>
              <w:tabs>
                <w:tab w:val="left" w:pos="284"/>
              </w:tabs>
              <w:ind w:right="49"/>
              <w:jc w:val="both"/>
              <w:rPr>
                <w:rFonts w:ascii="Palatino Linotype" w:eastAsia="Palatino Linotype" w:hAnsi="Palatino Linotype" w:cs="Palatino Linotype"/>
              </w:rPr>
            </w:pPr>
            <w:r w:rsidRPr="00120082">
              <w:rPr>
                <w:rFonts w:ascii="Palatino Linotype" w:eastAsia="Palatino Linotype" w:hAnsi="Palatino Linotype" w:cs="Palatino Linotype"/>
              </w:rPr>
              <w:lastRenderedPageBreak/>
              <w:t xml:space="preserve">e) Condiciones especiales de la clasificación de la información como confidencial. </w:t>
            </w:r>
          </w:p>
        </w:tc>
        <w:tc>
          <w:tcPr>
            <w:tcW w:w="7371" w:type="dxa"/>
          </w:tcPr>
          <w:p w:rsidR="002D7333" w:rsidRPr="00120082" w:rsidRDefault="00667A12">
            <w:pPr>
              <w:tabs>
                <w:tab w:val="left" w:pos="284"/>
              </w:tabs>
              <w:ind w:right="49"/>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2D7333" w:rsidRPr="00120082" w:rsidRDefault="00667A12">
            <w:pPr>
              <w:tabs>
                <w:tab w:val="left" w:pos="284"/>
              </w:tabs>
              <w:ind w:right="49"/>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D7333" w:rsidRPr="00120082" w:rsidRDefault="00667A12">
            <w:pPr>
              <w:tabs>
                <w:tab w:val="left" w:pos="284"/>
              </w:tabs>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p w:rsidR="002D7333" w:rsidRPr="00120082" w:rsidRDefault="002D7333">
            <w:pPr>
              <w:tabs>
                <w:tab w:val="left" w:pos="284"/>
              </w:tabs>
              <w:rPr>
                <w:rFonts w:ascii="Palatino Linotype" w:eastAsia="Palatino Linotype" w:hAnsi="Palatino Linotype" w:cs="Palatino Linotype"/>
              </w:rPr>
            </w:pPr>
          </w:p>
        </w:tc>
      </w:tr>
    </w:tbl>
    <w:p w:rsidR="002D7333" w:rsidRPr="00120082" w:rsidRDefault="002D7333">
      <w:pPr>
        <w:tabs>
          <w:tab w:val="left" w:pos="284"/>
        </w:tabs>
        <w:spacing w:line="360" w:lineRule="auto"/>
        <w:rPr>
          <w:rFonts w:ascii="Palatino Linotype" w:eastAsia="Palatino Linotype" w:hAnsi="Palatino Linotype" w:cs="Palatino Linotype"/>
          <w:color w:val="000000"/>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lastRenderedPageBreak/>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2D7333" w:rsidRPr="00120082" w:rsidRDefault="002D7333">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D7333" w:rsidRPr="00120082" w:rsidRDefault="00667A12" w:rsidP="0012008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0082">
        <w:rPr>
          <w:rFonts w:ascii="Palatino Linotype" w:eastAsia="Palatino Linotype" w:hAnsi="Palatino Linotype" w:cs="Palatino Linotype"/>
          <w:color w:val="000000"/>
        </w:rPr>
        <w:t xml:space="preserve">Por lo anteriormente expuesto y fundado, este Órgano Garante emite los siguientes: </w:t>
      </w:r>
    </w:p>
    <w:p w:rsidR="002D7333" w:rsidRDefault="002D7333">
      <w:pPr>
        <w:rPr>
          <w:rFonts w:ascii="Palatino Linotype" w:eastAsia="Palatino Linotype" w:hAnsi="Palatino Linotype" w:cs="Palatino Linotype"/>
        </w:rPr>
      </w:pPr>
      <w:bookmarkStart w:id="8" w:name="_heading=h.2hrveysld760" w:colFirst="0" w:colLast="0"/>
      <w:bookmarkEnd w:id="8"/>
    </w:p>
    <w:p w:rsidR="00120082" w:rsidRPr="00120082" w:rsidRDefault="00120082">
      <w:pPr>
        <w:rPr>
          <w:rFonts w:ascii="Palatino Linotype" w:eastAsia="Palatino Linotype" w:hAnsi="Palatino Linotype" w:cs="Palatino Linotype"/>
        </w:rPr>
      </w:pPr>
    </w:p>
    <w:p w:rsidR="002D7333" w:rsidRPr="00120082" w:rsidRDefault="00667A12">
      <w:pPr>
        <w:pStyle w:val="Ttulo1"/>
        <w:spacing w:before="0" w:line="360" w:lineRule="auto"/>
        <w:jc w:val="center"/>
        <w:rPr>
          <w:rFonts w:ascii="Palatino Linotype" w:eastAsia="Palatino Linotype" w:hAnsi="Palatino Linotype" w:cs="Palatino Linotype"/>
          <w:b/>
          <w:bCs/>
          <w:color w:val="000000"/>
          <w:sz w:val="24"/>
          <w:szCs w:val="24"/>
        </w:rPr>
      </w:pPr>
      <w:bookmarkStart w:id="9" w:name="_heading=h.4i3gbyjhf4aw" w:colFirst="0" w:colLast="0"/>
      <w:bookmarkEnd w:id="9"/>
      <w:r w:rsidRPr="00120082">
        <w:rPr>
          <w:rFonts w:ascii="Palatino Linotype" w:eastAsia="Palatino Linotype" w:hAnsi="Palatino Linotype" w:cs="Palatino Linotype"/>
          <w:b/>
          <w:bCs/>
          <w:color w:val="000000"/>
          <w:sz w:val="24"/>
          <w:szCs w:val="24"/>
        </w:rPr>
        <w:t>R E S O L U T I V O S</w:t>
      </w:r>
    </w:p>
    <w:p w:rsidR="002D7333" w:rsidRPr="00120082" w:rsidRDefault="002D7333">
      <w:pPr>
        <w:spacing w:line="360" w:lineRule="auto"/>
        <w:rPr>
          <w:rFonts w:ascii="Palatino Linotype" w:eastAsia="Palatino Linotype" w:hAnsi="Palatino Linotype" w:cs="Palatino Linotype"/>
        </w:rPr>
      </w:pPr>
    </w:p>
    <w:p w:rsidR="002D7333" w:rsidRPr="00120082" w:rsidRDefault="00667A12">
      <w:pPr>
        <w:spacing w:line="360" w:lineRule="auto"/>
        <w:jc w:val="both"/>
        <w:rPr>
          <w:rFonts w:ascii="Palatino Linotype" w:eastAsia="Palatino Linotype" w:hAnsi="Palatino Linotype" w:cs="Palatino Linotype"/>
        </w:rPr>
      </w:pPr>
      <w:r w:rsidRPr="00120082">
        <w:rPr>
          <w:rFonts w:ascii="Palatino Linotype" w:eastAsia="Palatino Linotype" w:hAnsi="Palatino Linotype" w:cs="Palatino Linotype"/>
          <w:b/>
          <w:bCs/>
        </w:rPr>
        <w:t>PRIMERO</w:t>
      </w:r>
      <w:r w:rsidRPr="00120082">
        <w:rPr>
          <w:rFonts w:ascii="Palatino Linotype" w:eastAsia="Palatino Linotype" w:hAnsi="Palatino Linotype" w:cs="Palatino Linotype"/>
        </w:rPr>
        <w:t>. Resultan fundadas las</w:t>
      </w:r>
      <w:r w:rsidRPr="00120082">
        <w:rPr>
          <w:rFonts w:ascii="Palatino Linotype" w:eastAsia="Palatino Linotype" w:hAnsi="Palatino Linotype" w:cs="Palatino Linotype"/>
          <w:b/>
          <w:bCs/>
        </w:rPr>
        <w:t xml:space="preserve"> </w:t>
      </w:r>
      <w:r w:rsidRPr="00120082">
        <w:rPr>
          <w:rFonts w:ascii="Palatino Linotype" w:eastAsia="Palatino Linotype" w:hAnsi="Palatino Linotype" w:cs="Palatino Linotype"/>
        </w:rPr>
        <w:t xml:space="preserve">razones o motivos de inconformidad hechos valer en el Recurso de Revisión </w:t>
      </w:r>
      <w:r w:rsidRPr="00120082">
        <w:rPr>
          <w:rFonts w:ascii="Palatino Linotype" w:eastAsia="Palatino Linotype" w:hAnsi="Palatino Linotype" w:cs="Palatino Linotype"/>
          <w:b/>
          <w:bCs/>
          <w:color w:val="000000"/>
        </w:rPr>
        <w:t>09993/INFOEM/IP/RR/2025</w:t>
      </w:r>
      <w:r w:rsidRPr="00120082">
        <w:rPr>
          <w:rFonts w:ascii="Palatino Linotype" w:eastAsia="Palatino Linotype" w:hAnsi="Palatino Linotype" w:cs="Palatino Linotype"/>
          <w:b/>
          <w:bCs/>
        </w:rPr>
        <w:t xml:space="preserve">, </w:t>
      </w:r>
      <w:r w:rsidRPr="00120082">
        <w:rPr>
          <w:rFonts w:ascii="Palatino Linotype" w:eastAsia="Palatino Linotype" w:hAnsi="Palatino Linotype" w:cs="Palatino Linotype"/>
        </w:rPr>
        <w:t xml:space="preserve">en términos de los </w:t>
      </w:r>
      <w:r w:rsidRPr="00120082">
        <w:rPr>
          <w:rFonts w:ascii="Palatino Linotype" w:eastAsia="Palatino Linotype" w:hAnsi="Palatino Linotype" w:cs="Palatino Linotype"/>
          <w:b/>
          <w:bCs/>
        </w:rPr>
        <w:t>Considerandos</w:t>
      </w:r>
      <w:r w:rsidRPr="00120082">
        <w:rPr>
          <w:rFonts w:ascii="Palatino Linotype" w:eastAsia="Palatino Linotype" w:hAnsi="Palatino Linotype" w:cs="Palatino Linotype"/>
        </w:rPr>
        <w:t xml:space="preserve"> </w:t>
      </w:r>
      <w:r w:rsidRPr="00120082">
        <w:rPr>
          <w:rFonts w:ascii="Palatino Linotype" w:eastAsia="Palatino Linotype" w:hAnsi="Palatino Linotype" w:cs="Palatino Linotype"/>
          <w:b/>
          <w:bCs/>
        </w:rPr>
        <w:t>CUARTO</w:t>
      </w:r>
      <w:r w:rsidRPr="00120082">
        <w:rPr>
          <w:rFonts w:ascii="Palatino Linotype" w:eastAsia="Palatino Linotype" w:hAnsi="Palatino Linotype" w:cs="Palatino Linotype"/>
        </w:rPr>
        <w:t xml:space="preserve"> y </w:t>
      </w:r>
      <w:r w:rsidRPr="00120082">
        <w:rPr>
          <w:rFonts w:ascii="Palatino Linotype" w:eastAsia="Palatino Linotype" w:hAnsi="Palatino Linotype" w:cs="Palatino Linotype"/>
          <w:b/>
          <w:bCs/>
        </w:rPr>
        <w:t xml:space="preserve">QUINTO </w:t>
      </w:r>
      <w:r w:rsidRPr="00120082">
        <w:rPr>
          <w:rFonts w:ascii="Palatino Linotype" w:eastAsia="Palatino Linotype" w:hAnsi="Palatino Linotype" w:cs="Palatino Linotype"/>
        </w:rPr>
        <w:t>de la presente Resolución.</w:t>
      </w:r>
    </w:p>
    <w:p w:rsidR="002D7333" w:rsidRPr="00120082" w:rsidRDefault="002D7333">
      <w:pPr>
        <w:spacing w:line="360" w:lineRule="auto"/>
        <w:jc w:val="both"/>
        <w:rPr>
          <w:rFonts w:ascii="Palatino Linotype" w:eastAsia="Palatino Linotype" w:hAnsi="Palatino Linotype" w:cs="Palatino Linotype"/>
        </w:rPr>
      </w:pPr>
    </w:p>
    <w:p w:rsidR="002D7333" w:rsidRPr="00120082" w:rsidRDefault="00667A12">
      <w:pPr>
        <w:spacing w:line="360" w:lineRule="auto"/>
        <w:jc w:val="both"/>
        <w:rPr>
          <w:rFonts w:ascii="Palatino Linotype" w:eastAsia="Palatino Linotype" w:hAnsi="Palatino Linotype" w:cs="Palatino Linotype"/>
        </w:rPr>
      </w:pPr>
      <w:bookmarkStart w:id="10" w:name="_heading=h.6c13turk2wv9" w:colFirst="0" w:colLast="0"/>
      <w:bookmarkEnd w:id="10"/>
      <w:r w:rsidRPr="00120082">
        <w:rPr>
          <w:rFonts w:ascii="Palatino Linotype" w:eastAsia="Palatino Linotype" w:hAnsi="Palatino Linotype" w:cs="Palatino Linotype"/>
          <w:b/>
          <w:bCs/>
        </w:rPr>
        <w:t xml:space="preserve">SEGUNDO. </w:t>
      </w:r>
      <w:r w:rsidRPr="00120082">
        <w:rPr>
          <w:rFonts w:ascii="Palatino Linotype" w:eastAsia="Palatino Linotype" w:hAnsi="Palatino Linotype" w:cs="Palatino Linotype"/>
          <w:color w:val="000000"/>
        </w:rPr>
        <w:t xml:space="preserve">Se </w:t>
      </w:r>
      <w:r w:rsidRPr="00120082">
        <w:rPr>
          <w:rFonts w:ascii="Palatino Linotype" w:eastAsia="Palatino Linotype" w:hAnsi="Palatino Linotype" w:cs="Palatino Linotype"/>
          <w:b/>
          <w:bCs/>
          <w:color w:val="000000"/>
        </w:rPr>
        <w:t xml:space="preserve">REVOCA </w:t>
      </w:r>
      <w:r w:rsidR="004C4E5F" w:rsidRPr="00120082">
        <w:rPr>
          <w:rFonts w:ascii="Palatino Linotype" w:eastAsia="Palatino Linotype" w:hAnsi="Palatino Linotype" w:cs="Palatino Linotype"/>
          <w:color w:val="000000"/>
        </w:rPr>
        <w:t>la respuesta emitida por el</w:t>
      </w:r>
      <w:r w:rsidRPr="00120082">
        <w:rPr>
          <w:rFonts w:ascii="Palatino Linotype" w:eastAsia="Palatino Linotype" w:hAnsi="Palatino Linotype" w:cs="Palatino Linotype"/>
          <w:color w:val="000000"/>
        </w:rPr>
        <w:t xml:space="preserve"> </w:t>
      </w:r>
      <w:r w:rsidRPr="00120082">
        <w:rPr>
          <w:rFonts w:ascii="Palatino Linotype" w:eastAsia="Palatino Linotype" w:hAnsi="Palatino Linotype" w:cs="Palatino Linotype"/>
          <w:b/>
          <w:bCs/>
        </w:rPr>
        <w:t>Ayuntamiento de Toluca</w:t>
      </w:r>
      <w:r w:rsidRPr="00120082">
        <w:rPr>
          <w:rFonts w:ascii="Palatino Linotype" w:eastAsia="Palatino Linotype" w:hAnsi="Palatino Linotype" w:cs="Palatino Linotype"/>
          <w:color w:val="000000"/>
        </w:rPr>
        <w:t xml:space="preserve"> y se </w:t>
      </w:r>
      <w:r w:rsidRPr="00120082">
        <w:rPr>
          <w:rFonts w:ascii="Palatino Linotype" w:eastAsia="Palatino Linotype" w:hAnsi="Palatino Linotype" w:cs="Palatino Linotype"/>
          <w:b/>
          <w:bCs/>
          <w:color w:val="000000"/>
        </w:rPr>
        <w:t>ORDENA</w:t>
      </w:r>
      <w:r w:rsidRPr="00120082">
        <w:rPr>
          <w:rFonts w:ascii="Palatino Linotype" w:eastAsia="Palatino Linotype" w:hAnsi="Palatino Linotype" w:cs="Palatino Linotype"/>
          <w:color w:val="000000"/>
        </w:rPr>
        <w:t xml:space="preserve"> entregar vía Sistema de Acceso a la Información Mexiquense (SAIMEX), en versión pública, la siguiente información</w:t>
      </w:r>
      <w:r w:rsidRPr="00120082">
        <w:rPr>
          <w:rFonts w:ascii="Palatino Linotype" w:eastAsia="Palatino Linotype" w:hAnsi="Palatino Linotype" w:cs="Palatino Linotype"/>
        </w:rPr>
        <w:t>:</w:t>
      </w:r>
    </w:p>
    <w:p w:rsidR="002D7333" w:rsidRPr="00120082" w:rsidRDefault="002D7333">
      <w:pPr>
        <w:pBdr>
          <w:top w:val="nil"/>
          <w:left w:val="nil"/>
          <w:bottom w:val="nil"/>
          <w:right w:val="nil"/>
          <w:between w:val="nil"/>
        </w:pBdr>
        <w:tabs>
          <w:tab w:val="left" w:pos="8080"/>
        </w:tabs>
        <w:spacing w:line="360" w:lineRule="auto"/>
        <w:ind w:left="709" w:right="474"/>
        <w:jc w:val="both"/>
        <w:rPr>
          <w:rFonts w:ascii="Palatino Linotype" w:eastAsia="Palatino Linotype" w:hAnsi="Palatino Linotype" w:cs="Palatino Linotype"/>
          <w:i/>
          <w:iCs/>
          <w:color w:val="000000"/>
        </w:rPr>
      </w:pPr>
    </w:p>
    <w:p w:rsidR="002D7333" w:rsidRPr="00120082" w:rsidRDefault="00667A12">
      <w:pPr>
        <w:numPr>
          <w:ilvl w:val="0"/>
          <w:numId w:val="3"/>
        </w:num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rPr>
      </w:pPr>
      <w:r w:rsidRPr="00120082">
        <w:rPr>
          <w:rFonts w:ascii="Palatino Linotype" w:eastAsia="Palatino Linotype" w:hAnsi="Palatino Linotype" w:cs="Palatino Linotype"/>
          <w:b/>
          <w:bCs/>
          <w:color w:val="000000"/>
        </w:rPr>
        <w:t xml:space="preserve">Recibos de nómina correspondientes a </w:t>
      </w:r>
      <w:r w:rsidR="00F723EB" w:rsidRPr="00120082">
        <w:rPr>
          <w:rFonts w:ascii="Palatino Linotype" w:eastAsia="Palatino Linotype" w:hAnsi="Palatino Linotype" w:cs="Palatino Linotype"/>
          <w:b/>
          <w:bCs/>
          <w:color w:val="000000"/>
        </w:rPr>
        <w:t>las dos quincenas del mes de jul</w:t>
      </w:r>
      <w:r w:rsidRPr="00120082">
        <w:rPr>
          <w:rFonts w:ascii="Palatino Linotype" w:eastAsia="Palatino Linotype" w:hAnsi="Palatino Linotype" w:cs="Palatino Linotype"/>
          <w:b/>
          <w:bCs/>
          <w:color w:val="000000"/>
        </w:rPr>
        <w:t>io de dos mil veinticinco, del Director General de Seguridad y Protección.</w:t>
      </w:r>
    </w:p>
    <w:p w:rsidR="002D7333" w:rsidRPr="00120082" w:rsidRDefault="002D7333">
      <w:pPr>
        <w:pBdr>
          <w:top w:val="nil"/>
          <w:left w:val="nil"/>
          <w:bottom w:val="nil"/>
          <w:right w:val="nil"/>
          <w:between w:val="nil"/>
        </w:pBdr>
        <w:spacing w:line="360" w:lineRule="auto"/>
        <w:ind w:left="720" w:right="567"/>
        <w:jc w:val="both"/>
        <w:rPr>
          <w:rFonts w:ascii="Palatino Linotype" w:eastAsia="Palatino Linotype" w:hAnsi="Palatino Linotype" w:cs="Palatino Linotype"/>
          <w:b/>
          <w:bCs/>
          <w:color w:val="000000"/>
        </w:rPr>
      </w:pPr>
    </w:p>
    <w:p w:rsidR="002D7333" w:rsidRPr="00120082" w:rsidRDefault="00667A12">
      <w:pPr>
        <w:tabs>
          <w:tab w:val="left" w:pos="8080"/>
        </w:tabs>
        <w:spacing w:line="360" w:lineRule="auto"/>
        <w:ind w:right="49"/>
        <w:jc w:val="both"/>
        <w:rPr>
          <w:rFonts w:ascii="Palatino Linotype" w:eastAsia="Palatino Linotype" w:hAnsi="Palatino Linotype" w:cs="Palatino Linotype"/>
        </w:rPr>
      </w:pPr>
      <w:r w:rsidRPr="00120082">
        <w:rPr>
          <w:rFonts w:ascii="Palatino Linotype" w:eastAsia="Palatino Linotype" w:hAnsi="Palatino Linotype" w:cs="Palatino Linotype"/>
        </w:rPr>
        <w:t xml:space="preserve">Para efectos de lo anterior, se deberá emitir el Acuerdo del Comité de Transparencia en términos de los artículos 49, fracciones II y VIII, 132, fracción II y 143 de la Ley de Transparencia y Acceso a la Información Pública del Estado de México y Municipios, en el </w:t>
      </w:r>
      <w:r w:rsidRPr="00120082">
        <w:rPr>
          <w:rFonts w:ascii="Palatino Linotype" w:eastAsia="Palatino Linotype" w:hAnsi="Palatino Linotype" w:cs="Palatino Linotype"/>
        </w:rPr>
        <w:lastRenderedPageBreak/>
        <w:t xml:space="preserve">que funde y motive las razones sobre la eliminación de los datos y documentos confidenciales del soporte documental respectivo objeto de las versiones públicas que se formulen y se pongan a disposición del </w:t>
      </w:r>
      <w:r w:rsidRPr="00120082">
        <w:rPr>
          <w:rFonts w:ascii="Palatino Linotype" w:eastAsia="Palatino Linotype" w:hAnsi="Palatino Linotype" w:cs="Palatino Linotype"/>
          <w:b/>
          <w:bCs/>
          <w:color w:val="000000"/>
        </w:rPr>
        <w:t>RECURRENTE</w:t>
      </w:r>
      <w:r w:rsidRPr="00120082">
        <w:rPr>
          <w:rFonts w:ascii="Palatino Linotype" w:eastAsia="Palatino Linotype" w:hAnsi="Palatino Linotype" w:cs="Palatino Linotype"/>
        </w:rPr>
        <w:t>.</w:t>
      </w:r>
    </w:p>
    <w:p w:rsidR="002D7333" w:rsidRPr="00120082" w:rsidRDefault="002D7333">
      <w:pPr>
        <w:tabs>
          <w:tab w:val="left" w:pos="8080"/>
        </w:tabs>
        <w:spacing w:line="360" w:lineRule="auto"/>
        <w:ind w:right="49"/>
        <w:jc w:val="both"/>
        <w:rPr>
          <w:rFonts w:ascii="Palatino Linotype" w:eastAsia="Palatino Linotype" w:hAnsi="Palatino Linotype" w:cs="Palatino Linotype"/>
        </w:rPr>
      </w:pPr>
    </w:p>
    <w:p w:rsidR="002D7333" w:rsidRPr="00120082" w:rsidRDefault="00667A12">
      <w:pPr>
        <w:spacing w:line="360" w:lineRule="auto"/>
        <w:jc w:val="both"/>
        <w:rPr>
          <w:rFonts w:ascii="Palatino Linotype" w:eastAsia="Palatino Linotype" w:hAnsi="Palatino Linotype" w:cs="Palatino Linotype"/>
        </w:rPr>
      </w:pPr>
      <w:r w:rsidRPr="00120082">
        <w:rPr>
          <w:rFonts w:ascii="Palatino Linotype" w:eastAsia="Palatino Linotype" w:hAnsi="Palatino Linotype" w:cs="Palatino Linotype"/>
          <w:b/>
          <w:bCs/>
        </w:rPr>
        <w:t xml:space="preserve">TERCERO. Notifíquese </w:t>
      </w:r>
      <w:r w:rsidRPr="00120082">
        <w:rPr>
          <w:rFonts w:ascii="Palatino Linotype" w:eastAsia="Palatino Linotype" w:hAnsi="Palatino Linotype" w:cs="Palatino Linotype"/>
        </w:rPr>
        <w:t xml:space="preserve">la presente Resolución al Titular de la Unidad de Transparencia del Sujeto Obligado vía </w:t>
      </w:r>
      <w:r w:rsidRPr="00120082">
        <w:rPr>
          <w:rFonts w:ascii="Palatino Linotype" w:eastAsia="Palatino Linotype" w:hAnsi="Palatino Linotype" w:cs="Palatino Linotype"/>
          <w:b/>
          <w:bCs/>
        </w:rPr>
        <w:t>SAIMEX</w:t>
      </w:r>
      <w:r w:rsidRPr="00120082">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w:t>
      </w:r>
      <w:r w:rsidRPr="00120082">
        <w:rPr>
          <w:rFonts w:ascii="Palatino Linotype" w:eastAsia="Palatino Linotype" w:hAnsi="Palatino Linotype" w:cs="Palatino Linotype"/>
          <w:b/>
          <w:bCs/>
        </w:rPr>
        <w:t>dé cumplimiento a lo ordenado dentro del plazo de diez días hábiles</w:t>
      </w:r>
      <w:r w:rsidRPr="00120082">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2D7333" w:rsidRPr="00120082" w:rsidRDefault="002D7333">
      <w:pPr>
        <w:spacing w:line="360" w:lineRule="auto"/>
        <w:jc w:val="both"/>
        <w:rPr>
          <w:rFonts w:ascii="Palatino Linotype" w:eastAsia="Palatino Linotype" w:hAnsi="Palatino Linotype" w:cs="Palatino Linotype"/>
        </w:rPr>
      </w:pPr>
    </w:p>
    <w:p w:rsidR="002D7333" w:rsidRPr="00120082" w:rsidRDefault="00667A12">
      <w:pPr>
        <w:spacing w:line="360" w:lineRule="auto"/>
        <w:jc w:val="both"/>
        <w:rPr>
          <w:rFonts w:ascii="Palatino Linotype" w:eastAsia="Palatino Linotype" w:hAnsi="Palatino Linotype" w:cs="Palatino Linotype"/>
        </w:rPr>
      </w:pPr>
      <w:r w:rsidRPr="00120082">
        <w:rPr>
          <w:rFonts w:ascii="Palatino Linotype" w:eastAsia="Palatino Linotype" w:hAnsi="Palatino Linotype" w:cs="Palatino Linotype"/>
          <w:b/>
          <w:bCs/>
        </w:rPr>
        <w:t xml:space="preserve">CUARTO. </w:t>
      </w:r>
      <w:r w:rsidRPr="00120082">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120082">
        <w:rPr>
          <w:rFonts w:ascii="Palatino Linotype" w:eastAsia="Palatino Linotype" w:hAnsi="Palatino Linotype" w:cs="Palatino Linotype"/>
          <w:b/>
          <w:bCs/>
        </w:rPr>
        <w:t>SUJETO OBLIGADO</w:t>
      </w:r>
      <w:r w:rsidRPr="00120082">
        <w:rPr>
          <w:rFonts w:ascii="Palatino Linotype" w:eastAsia="Palatino Linotype" w:hAnsi="Palatino Linotype" w:cs="Palatino Linotype"/>
        </w:rPr>
        <w:t xml:space="preserve"> de manera fundada y motivada, podrá solicitar una ampliación de plazo para el cumplimiento de la presente Resolución.</w:t>
      </w:r>
    </w:p>
    <w:p w:rsidR="002D7333" w:rsidRPr="00120082" w:rsidRDefault="002D7333">
      <w:pPr>
        <w:spacing w:line="360" w:lineRule="auto"/>
        <w:jc w:val="both"/>
        <w:rPr>
          <w:rFonts w:ascii="Palatino Linotype" w:eastAsia="Palatino Linotype" w:hAnsi="Palatino Linotype" w:cs="Palatino Linotype"/>
        </w:rPr>
      </w:pPr>
    </w:p>
    <w:p w:rsidR="002D7333" w:rsidRPr="00120082" w:rsidRDefault="00667A12">
      <w:pPr>
        <w:tabs>
          <w:tab w:val="left" w:pos="8080"/>
        </w:tabs>
        <w:spacing w:line="360" w:lineRule="auto"/>
        <w:ind w:right="49"/>
        <w:jc w:val="both"/>
        <w:rPr>
          <w:rFonts w:ascii="Palatino Linotype" w:eastAsia="Palatino Linotype" w:hAnsi="Palatino Linotype" w:cs="Palatino Linotype"/>
        </w:rPr>
      </w:pPr>
      <w:bookmarkStart w:id="11" w:name="_heading=h.k1vz30ypygmt" w:colFirst="0" w:colLast="0"/>
      <w:bookmarkEnd w:id="11"/>
      <w:r w:rsidRPr="00120082">
        <w:rPr>
          <w:rFonts w:ascii="Palatino Linotype" w:eastAsia="Palatino Linotype" w:hAnsi="Palatino Linotype" w:cs="Palatino Linotype"/>
          <w:b/>
          <w:bCs/>
        </w:rPr>
        <w:t xml:space="preserve">QUINTO. </w:t>
      </w:r>
      <w:r w:rsidRPr="00120082">
        <w:rPr>
          <w:rFonts w:ascii="Palatino Linotype" w:eastAsia="Palatino Linotype" w:hAnsi="Palatino Linotype" w:cs="Palatino Linotype"/>
        </w:rPr>
        <w:t xml:space="preserve">Notifíquese al </w:t>
      </w:r>
      <w:r w:rsidRPr="00120082">
        <w:rPr>
          <w:rFonts w:ascii="Palatino Linotype" w:eastAsia="Palatino Linotype" w:hAnsi="Palatino Linotype" w:cs="Palatino Linotype"/>
          <w:b/>
          <w:bCs/>
        </w:rPr>
        <w:t>RECURRENTE</w:t>
      </w:r>
      <w:r w:rsidRPr="00120082">
        <w:rPr>
          <w:rFonts w:ascii="Palatino Linotype" w:eastAsia="Palatino Linotype" w:hAnsi="Palatino Linotype" w:cs="Palatino Linotype"/>
        </w:rPr>
        <w:t xml:space="preserve"> la presente Resolución, vía </w:t>
      </w:r>
      <w:r w:rsidRPr="00120082">
        <w:rPr>
          <w:rFonts w:ascii="Palatino Linotype" w:eastAsia="Palatino Linotype" w:hAnsi="Palatino Linotype" w:cs="Palatino Linotype"/>
          <w:b/>
          <w:bCs/>
        </w:rPr>
        <w:t>SAIMEX</w:t>
      </w:r>
      <w:r w:rsidRPr="00120082">
        <w:rPr>
          <w:rFonts w:ascii="Palatino Linotype" w:eastAsia="Palatino Linotype" w:hAnsi="Palatino Linotype" w:cs="Palatino Linotype"/>
        </w:rPr>
        <w:t>.</w:t>
      </w:r>
    </w:p>
    <w:p w:rsidR="002D7333" w:rsidRPr="00120082" w:rsidRDefault="002D7333">
      <w:pPr>
        <w:tabs>
          <w:tab w:val="left" w:pos="8080"/>
        </w:tabs>
        <w:spacing w:line="360" w:lineRule="auto"/>
        <w:ind w:right="49"/>
        <w:jc w:val="both"/>
        <w:rPr>
          <w:rFonts w:ascii="Palatino Linotype" w:eastAsia="Palatino Linotype" w:hAnsi="Palatino Linotype" w:cs="Palatino Linotype"/>
        </w:rPr>
      </w:pPr>
    </w:p>
    <w:p w:rsidR="002D7333" w:rsidRPr="00120082" w:rsidRDefault="00667A12">
      <w:pPr>
        <w:shd w:val="clear" w:color="auto" w:fill="FFFFFF"/>
        <w:spacing w:line="360" w:lineRule="auto"/>
        <w:jc w:val="both"/>
        <w:rPr>
          <w:rFonts w:ascii="Palatino Linotype" w:eastAsia="Palatino Linotype" w:hAnsi="Palatino Linotype" w:cs="Palatino Linotype"/>
        </w:rPr>
      </w:pPr>
      <w:r w:rsidRPr="00120082">
        <w:rPr>
          <w:rFonts w:ascii="Palatino Linotype" w:eastAsia="Palatino Linotype" w:hAnsi="Palatino Linotype" w:cs="Palatino Linotype"/>
          <w:b/>
          <w:bCs/>
        </w:rPr>
        <w:t xml:space="preserve">SEXTO. </w:t>
      </w:r>
      <w:r w:rsidRPr="00120082">
        <w:rPr>
          <w:rFonts w:ascii="Palatino Linotype" w:eastAsia="Palatino Linotype" w:hAnsi="Palatino Linotype" w:cs="Palatino Linotype"/>
        </w:rPr>
        <w:t>Se hace del conocimiento del</w:t>
      </w:r>
      <w:r w:rsidRPr="00120082">
        <w:rPr>
          <w:rFonts w:ascii="Palatino Linotype" w:eastAsia="Palatino Linotype" w:hAnsi="Palatino Linotype" w:cs="Palatino Linotype"/>
          <w:b/>
          <w:bCs/>
        </w:rPr>
        <w:t xml:space="preserve"> RECURRENTE </w:t>
      </w:r>
      <w:r w:rsidRPr="00120082">
        <w:rPr>
          <w:rFonts w:ascii="Palatino Linotype" w:eastAsia="Palatino Linotype" w:hAnsi="Palatino Linotype" w:cs="Palatino Linotype"/>
        </w:rPr>
        <w:t xml:space="preserve">que, de conformidad con lo establecido en el artículo 196 de la Ley de Transparencia y Acceso a la Información Pública del Estado de </w:t>
      </w:r>
      <w:r w:rsidRPr="00120082">
        <w:rPr>
          <w:rFonts w:ascii="Palatino Linotype" w:eastAsia="Palatino Linotype" w:hAnsi="Palatino Linotype" w:cs="Palatino Linotype"/>
        </w:rPr>
        <w:lastRenderedPageBreak/>
        <w:t>México y Municipios, en caso de que considere que la Resolución le cause algún perjuicio podrá impugnarla vía juicio de amparo en los términos de las leyes aplicables.</w:t>
      </w:r>
    </w:p>
    <w:p w:rsidR="002D7333" w:rsidRPr="00120082" w:rsidRDefault="002D7333">
      <w:pPr>
        <w:shd w:val="clear" w:color="auto" w:fill="FFFFFF"/>
        <w:spacing w:line="360" w:lineRule="auto"/>
        <w:ind w:right="49"/>
        <w:jc w:val="both"/>
        <w:rPr>
          <w:rFonts w:ascii="Palatino Linotype" w:eastAsia="Palatino Linotype" w:hAnsi="Palatino Linotype" w:cs="Palatino Linotype"/>
        </w:rPr>
      </w:pPr>
    </w:p>
    <w:p w:rsidR="004C4E5F" w:rsidRPr="00120082" w:rsidRDefault="004C4E5F" w:rsidP="004C4E5F">
      <w:pPr>
        <w:spacing w:before="240" w:after="240" w:line="360" w:lineRule="auto"/>
        <w:ind w:firstLine="1"/>
        <w:jc w:val="both"/>
        <w:rPr>
          <w:rFonts w:ascii="Palatino Linotype" w:hAnsi="Palatino Linotype"/>
        </w:rPr>
      </w:pPr>
      <w:bookmarkStart w:id="12" w:name="_Hlk99014733"/>
      <w:r w:rsidRPr="00120082">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ONCE (11) DE MARZO DE DOS MIL VEINTISÉIS, ANTE EL SECRETARIO TÉCNICO DEL PLENO </w:t>
      </w:r>
      <w:r w:rsidRPr="00120082">
        <w:rPr>
          <w:rFonts w:ascii="Palatino Linotype" w:hAnsi="Palatino Linotype" w:cs="Palatino Linotype"/>
          <w:color w:val="000000" w:themeColor="text1"/>
        </w:rPr>
        <w:t>ALEXIS TAPIA RAMÍREZ.</w:t>
      </w:r>
    </w:p>
    <w:bookmarkEnd w:id="12"/>
    <w:p w:rsidR="002D7333" w:rsidRPr="00120082" w:rsidRDefault="002D7333">
      <w:pPr>
        <w:spacing w:line="360" w:lineRule="auto"/>
        <w:ind w:right="49"/>
        <w:jc w:val="both"/>
        <w:rPr>
          <w:rFonts w:ascii="Palatino Linotype" w:eastAsia="Palatino Linotype" w:hAnsi="Palatino Linotype" w:cs="Palatino Linotype"/>
        </w:rPr>
      </w:pPr>
    </w:p>
    <w:p w:rsidR="002D7333" w:rsidRPr="00120082" w:rsidRDefault="002D7333">
      <w:pPr>
        <w:spacing w:line="360" w:lineRule="auto"/>
        <w:ind w:right="49"/>
        <w:jc w:val="both"/>
        <w:rPr>
          <w:rFonts w:ascii="Palatino Linotype" w:eastAsia="Palatino Linotype" w:hAnsi="Palatino Linotype" w:cs="Palatino Linotype"/>
        </w:rPr>
      </w:pPr>
    </w:p>
    <w:p w:rsidR="002D7333" w:rsidRPr="00120082" w:rsidRDefault="002D7333">
      <w:pPr>
        <w:spacing w:line="360" w:lineRule="auto"/>
        <w:ind w:right="49"/>
        <w:jc w:val="both"/>
        <w:rPr>
          <w:rFonts w:ascii="Palatino Linotype" w:eastAsia="Palatino Linotype" w:hAnsi="Palatino Linotype" w:cs="Palatino Linotype"/>
        </w:rPr>
      </w:pPr>
    </w:p>
    <w:p w:rsidR="002D7333" w:rsidRPr="00120082" w:rsidRDefault="002D7333">
      <w:pPr>
        <w:spacing w:line="360" w:lineRule="auto"/>
        <w:ind w:right="49"/>
        <w:jc w:val="both"/>
        <w:rPr>
          <w:rFonts w:ascii="Palatino Linotype" w:eastAsia="Palatino Linotype" w:hAnsi="Palatino Linotype" w:cs="Palatino Linotype"/>
        </w:rPr>
      </w:pPr>
    </w:p>
    <w:p w:rsidR="002D7333" w:rsidRPr="00120082" w:rsidRDefault="002D7333">
      <w:pPr>
        <w:spacing w:line="360" w:lineRule="auto"/>
        <w:ind w:right="49"/>
        <w:jc w:val="both"/>
        <w:rPr>
          <w:rFonts w:ascii="Palatino Linotype" w:eastAsia="Palatino Linotype" w:hAnsi="Palatino Linotype" w:cs="Palatino Linotype"/>
        </w:rPr>
      </w:pPr>
    </w:p>
    <w:p w:rsidR="002D7333" w:rsidRPr="00120082" w:rsidRDefault="002D7333">
      <w:pPr>
        <w:spacing w:line="360" w:lineRule="auto"/>
        <w:ind w:right="49"/>
        <w:jc w:val="both"/>
        <w:rPr>
          <w:rFonts w:ascii="Palatino Linotype" w:eastAsia="Palatino Linotype" w:hAnsi="Palatino Linotype" w:cs="Palatino Linotype"/>
        </w:rPr>
      </w:pPr>
    </w:p>
    <w:p w:rsidR="002D7333" w:rsidRPr="00120082" w:rsidRDefault="002D7333">
      <w:pPr>
        <w:spacing w:line="360" w:lineRule="auto"/>
        <w:ind w:right="49"/>
        <w:rPr>
          <w:rFonts w:ascii="Palatino Linotype" w:eastAsia="Palatino Linotype" w:hAnsi="Palatino Linotype" w:cs="Palatino Linotype"/>
        </w:rPr>
      </w:pPr>
    </w:p>
    <w:p w:rsidR="002D7333" w:rsidRPr="00120082" w:rsidRDefault="002D7333">
      <w:pPr>
        <w:spacing w:line="360" w:lineRule="auto"/>
        <w:ind w:right="49"/>
        <w:rPr>
          <w:rFonts w:ascii="Palatino Linotype" w:eastAsia="Palatino Linotype" w:hAnsi="Palatino Linotype" w:cs="Palatino Linotype"/>
        </w:rPr>
      </w:pPr>
    </w:p>
    <w:p w:rsidR="002D7333" w:rsidRPr="00120082" w:rsidRDefault="002D7333">
      <w:pPr>
        <w:spacing w:line="360" w:lineRule="auto"/>
        <w:ind w:right="49"/>
        <w:rPr>
          <w:rFonts w:ascii="Palatino Linotype" w:eastAsia="Palatino Linotype" w:hAnsi="Palatino Linotype" w:cs="Palatino Linotype"/>
        </w:rPr>
      </w:pPr>
    </w:p>
    <w:p w:rsidR="002D7333" w:rsidRPr="00120082" w:rsidRDefault="002D7333">
      <w:pPr>
        <w:spacing w:line="360" w:lineRule="auto"/>
        <w:ind w:right="49"/>
        <w:rPr>
          <w:rFonts w:ascii="Palatino Linotype" w:eastAsia="Palatino Linotype" w:hAnsi="Palatino Linotype" w:cs="Palatino Linotype"/>
        </w:rPr>
      </w:pPr>
    </w:p>
    <w:p w:rsidR="002D7333" w:rsidRPr="00120082" w:rsidRDefault="002D7333">
      <w:pPr>
        <w:spacing w:line="360" w:lineRule="auto"/>
        <w:ind w:right="49"/>
        <w:rPr>
          <w:rFonts w:ascii="Palatino Linotype" w:eastAsia="Palatino Linotype" w:hAnsi="Palatino Linotype" w:cs="Palatino Linotype"/>
        </w:rPr>
      </w:pPr>
    </w:p>
    <w:p w:rsidR="002D7333" w:rsidRPr="00120082" w:rsidRDefault="002D7333">
      <w:pPr>
        <w:spacing w:line="360" w:lineRule="auto"/>
        <w:ind w:right="49"/>
        <w:rPr>
          <w:rFonts w:ascii="Palatino Linotype" w:eastAsia="Palatino Linotype" w:hAnsi="Palatino Linotype" w:cs="Palatino Linotype"/>
        </w:rPr>
      </w:pPr>
    </w:p>
    <w:p w:rsidR="002D7333" w:rsidRPr="00120082" w:rsidRDefault="002D7333">
      <w:pPr>
        <w:spacing w:line="360" w:lineRule="auto"/>
        <w:ind w:right="49"/>
        <w:rPr>
          <w:rFonts w:ascii="Palatino Linotype" w:eastAsia="Palatino Linotype" w:hAnsi="Palatino Linotype" w:cs="Palatino Linotype"/>
        </w:rPr>
      </w:pPr>
    </w:p>
    <w:p w:rsidR="002D7333" w:rsidRPr="00120082" w:rsidRDefault="00667A12">
      <w:pPr>
        <w:tabs>
          <w:tab w:val="left" w:pos="3374"/>
        </w:tabs>
        <w:spacing w:line="360" w:lineRule="auto"/>
        <w:ind w:right="49"/>
        <w:rPr>
          <w:rFonts w:ascii="Palatino Linotype" w:eastAsia="Palatino Linotype" w:hAnsi="Palatino Linotype" w:cs="Palatino Linotype"/>
        </w:rPr>
      </w:pPr>
      <w:r w:rsidRPr="00120082">
        <w:rPr>
          <w:rFonts w:ascii="Palatino Linotype" w:eastAsia="Palatino Linotype" w:hAnsi="Palatino Linotype" w:cs="Palatino Linotype"/>
        </w:rPr>
        <w:tab/>
      </w:r>
    </w:p>
    <w:p w:rsidR="002D7333" w:rsidRPr="00120082" w:rsidRDefault="002D7333">
      <w:pPr>
        <w:tabs>
          <w:tab w:val="left" w:pos="3374"/>
        </w:tabs>
        <w:spacing w:line="360" w:lineRule="auto"/>
        <w:ind w:right="49"/>
        <w:rPr>
          <w:rFonts w:ascii="Palatino Linotype" w:eastAsia="Palatino Linotype" w:hAnsi="Palatino Linotype" w:cs="Palatino Linotype"/>
        </w:rPr>
      </w:pPr>
    </w:p>
    <w:p w:rsidR="002D7333" w:rsidRPr="00120082" w:rsidRDefault="002D7333">
      <w:pPr>
        <w:tabs>
          <w:tab w:val="left" w:pos="3374"/>
        </w:tabs>
        <w:spacing w:line="360" w:lineRule="auto"/>
        <w:ind w:right="49"/>
        <w:rPr>
          <w:rFonts w:ascii="Palatino Linotype" w:eastAsia="Palatino Linotype" w:hAnsi="Palatino Linotype" w:cs="Palatino Linotype"/>
        </w:rPr>
      </w:pPr>
    </w:p>
    <w:p w:rsidR="002D7333" w:rsidRPr="00120082" w:rsidRDefault="002D7333">
      <w:pPr>
        <w:tabs>
          <w:tab w:val="left" w:pos="3374"/>
        </w:tabs>
        <w:spacing w:line="360" w:lineRule="auto"/>
        <w:ind w:right="49"/>
        <w:rPr>
          <w:rFonts w:ascii="Palatino Linotype" w:eastAsia="Palatino Linotype" w:hAnsi="Palatino Linotype" w:cs="Palatino Linotype"/>
        </w:rPr>
      </w:pPr>
    </w:p>
    <w:p w:rsidR="002D7333" w:rsidRPr="00120082" w:rsidRDefault="002D7333">
      <w:pPr>
        <w:tabs>
          <w:tab w:val="left" w:pos="3374"/>
        </w:tabs>
        <w:spacing w:line="360" w:lineRule="auto"/>
        <w:ind w:right="49"/>
        <w:rPr>
          <w:rFonts w:ascii="Palatino Linotype" w:eastAsia="Palatino Linotype" w:hAnsi="Palatino Linotype" w:cs="Palatino Linotype"/>
        </w:rPr>
      </w:pPr>
    </w:p>
    <w:p w:rsidR="002D7333" w:rsidRPr="00120082" w:rsidRDefault="002D7333">
      <w:pPr>
        <w:tabs>
          <w:tab w:val="left" w:pos="3374"/>
        </w:tabs>
        <w:spacing w:line="360" w:lineRule="auto"/>
        <w:ind w:right="49"/>
        <w:rPr>
          <w:rFonts w:ascii="Palatino Linotype" w:eastAsia="Palatino Linotype" w:hAnsi="Palatino Linotype" w:cs="Palatino Linotype"/>
        </w:rPr>
      </w:pPr>
    </w:p>
    <w:p w:rsidR="002D7333" w:rsidRPr="00120082" w:rsidRDefault="002D7333">
      <w:pPr>
        <w:tabs>
          <w:tab w:val="left" w:pos="3374"/>
        </w:tabs>
        <w:spacing w:line="360" w:lineRule="auto"/>
        <w:ind w:right="49"/>
        <w:rPr>
          <w:rFonts w:ascii="Palatino Linotype" w:eastAsia="Palatino Linotype" w:hAnsi="Palatino Linotype" w:cs="Palatino Linotype"/>
        </w:rPr>
      </w:pPr>
    </w:p>
    <w:p w:rsidR="002D7333" w:rsidRPr="00120082" w:rsidRDefault="002D7333">
      <w:pPr>
        <w:tabs>
          <w:tab w:val="left" w:pos="3374"/>
        </w:tabs>
        <w:spacing w:line="360" w:lineRule="auto"/>
        <w:ind w:right="49"/>
        <w:rPr>
          <w:rFonts w:ascii="Palatino Linotype" w:eastAsia="Palatino Linotype" w:hAnsi="Palatino Linotype" w:cs="Palatino Linotype"/>
        </w:rPr>
      </w:pPr>
    </w:p>
    <w:p w:rsidR="002D7333" w:rsidRPr="00120082" w:rsidRDefault="002D7333">
      <w:pPr>
        <w:tabs>
          <w:tab w:val="left" w:pos="3374"/>
        </w:tabs>
        <w:spacing w:line="360" w:lineRule="auto"/>
        <w:ind w:right="49"/>
        <w:rPr>
          <w:rFonts w:ascii="Palatino Linotype" w:eastAsia="Palatino Linotype" w:hAnsi="Palatino Linotype" w:cs="Palatino Linotype"/>
        </w:rPr>
      </w:pPr>
    </w:p>
    <w:p w:rsidR="002D7333" w:rsidRPr="00120082" w:rsidRDefault="002D7333">
      <w:pPr>
        <w:spacing w:line="360" w:lineRule="auto"/>
        <w:ind w:right="49"/>
        <w:rPr>
          <w:rFonts w:ascii="Palatino Linotype" w:eastAsia="Palatino Linotype" w:hAnsi="Palatino Linotype" w:cs="Palatino Linotype"/>
        </w:rPr>
      </w:pPr>
    </w:p>
    <w:sectPr w:rsidR="002D7333" w:rsidRPr="00120082" w:rsidSect="00120082">
      <w:headerReference w:type="even" r:id="rId16"/>
      <w:headerReference w:type="default" r:id="rId17"/>
      <w:footerReference w:type="default" r:id="rId18"/>
      <w:headerReference w:type="first" r:id="rId19"/>
      <w:footerReference w:type="first" r:id="rId20"/>
      <w:pgSz w:w="12240" w:h="15840"/>
      <w:pgMar w:top="2268" w:right="758"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C3A" w:rsidRDefault="00303C3A">
      <w:r>
        <w:separator/>
      </w:r>
    </w:p>
  </w:endnote>
  <w:endnote w:type="continuationSeparator" w:id="0">
    <w:p w:rsidR="00303C3A" w:rsidRDefault="00303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1D514244-A698-4537-9F53-F8B2133D5566}"/>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CB31F408-0EBE-4C9F-955B-A92025431707}"/>
    <w:embedBold r:id="rId3" w:fontKey="{C399FF13-8EF1-4BE9-90DF-2473DEFFD1D8}"/>
    <w:embedItalic r:id="rId4" w:fontKey="{E5D37A8C-4102-482D-B919-F0BE3128903C}"/>
    <w:embedBoldItalic r:id="rId5" w:fontKey="{11C5B94C-3955-4F86-A786-7CC6E1B97B96}"/>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67405479-D28D-40B1-87FB-657B602B9FCD}"/>
    <w:embedBold r:id="rId7" w:fontKey="{CF145DD7-04E0-4848-A086-A8F31EA4CA97}"/>
    <w:embedItalic r:id="rId8" w:fontKey="{EA54ACAE-3CB2-43CA-9674-D99C901AC806}"/>
  </w:font>
  <w:font w:name="Calibri Light">
    <w:panose1 w:val="020F0302020204030204"/>
    <w:charset w:val="00"/>
    <w:family w:val="swiss"/>
    <w:pitch w:val="variable"/>
    <w:sig w:usb0="E4002EFF" w:usb1="C200247B" w:usb2="00000009" w:usb3="00000000" w:csb0="000001FF" w:csb1="00000000"/>
    <w:embedRegular r:id="rId9" w:fontKey="{E0CB24E9-FA05-4E03-BF9E-2B02A9E6266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3DDBE7D9-9939-44A9-BE0E-2958B4C438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333" w:rsidRPr="00120082" w:rsidRDefault="00667A12">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120082">
      <w:rPr>
        <w:rFonts w:ascii="Palatino Linotype" w:eastAsia="Palatino Linotype" w:hAnsi="Palatino Linotype" w:cs="Palatino Linotype"/>
        <w:b/>
        <w:color w:val="000000"/>
        <w:sz w:val="22"/>
        <w:szCs w:val="20"/>
      </w:rPr>
      <w:t xml:space="preserve">Página </w:t>
    </w:r>
    <w:r w:rsidRPr="00120082">
      <w:rPr>
        <w:rFonts w:ascii="Palatino Linotype" w:eastAsia="Palatino Linotype" w:hAnsi="Palatino Linotype" w:cs="Palatino Linotype"/>
        <w:b/>
        <w:color w:val="000000"/>
        <w:sz w:val="22"/>
        <w:szCs w:val="20"/>
      </w:rPr>
      <w:fldChar w:fldCharType="begin"/>
    </w:r>
    <w:r w:rsidRPr="00120082">
      <w:rPr>
        <w:rFonts w:ascii="Palatino Linotype" w:eastAsia="Palatino Linotype" w:hAnsi="Palatino Linotype" w:cs="Palatino Linotype"/>
        <w:b/>
        <w:color w:val="000000"/>
        <w:sz w:val="22"/>
        <w:szCs w:val="20"/>
      </w:rPr>
      <w:instrText>PAGE</w:instrText>
    </w:r>
    <w:r w:rsidRPr="00120082">
      <w:rPr>
        <w:rFonts w:ascii="Palatino Linotype" w:eastAsia="Palatino Linotype" w:hAnsi="Palatino Linotype" w:cs="Palatino Linotype"/>
        <w:b/>
        <w:color w:val="000000"/>
        <w:sz w:val="22"/>
        <w:szCs w:val="20"/>
      </w:rPr>
      <w:fldChar w:fldCharType="separate"/>
    </w:r>
    <w:r w:rsidR="000125D3">
      <w:rPr>
        <w:rFonts w:ascii="Palatino Linotype" w:eastAsia="Palatino Linotype" w:hAnsi="Palatino Linotype" w:cs="Palatino Linotype"/>
        <w:b/>
        <w:noProof/>
        <w:color w:val="000000"/>
        <w:sz w:val="22"/>
        <w:szCs w:val="20"/>
      </w:rPr>
      <w:t>21</w:t>
    </w:r>
    <w:r w:rsidRPr="00120082">
      <w:rPr>
        <w:rFonts w:ascii="Palatino Linotype" w:eastAsia="Palatino Linotype" w:hAnsi="Palatino Linotype" w:cs="Palatino Linotype"/>
        <w:b/>
        <w:color w:val="000000"/>
        <w:sz w:val="22"/>
        <w:szCs w:val="20"/>
      </w:rPr>
      <w:fldChar w:fldCharType="end"/>
    </w:r>
    <w:r w:rsidRPr="00120082">
      <w:rPr>
        <w:rFonts w:ascii="Palatino Linotype" w:eastAsia="Palatino Linotype" w:hAnsi="Palatino Linotype" w:cs="Palatino Linotype"/>
        <w:b/>
        <w:color w:val="000000"/>
        <w:sz w:val="22"/>
        <w:szCs w:val="20"/>
      </w:rPr>
      <w:t xml:space="preserve"> de </w:t>
    </w:r>
    <w:r w:rsidRPr="00120082">
      <w:rPr>
        <w:rFonts w:ascii="Palatino Linotype" w:eastAsia="Palatino Linotype" w:hAnsi="Palatino Linotype" w:cs="Palatino Linotype"/>
        <w:b/>
        <w:color w:val="000000"/>
        <w:sz w:val="22"/>
        <w:szCs w:val="20"/>
      </w:rPr>
      <w:fldChar w:fldCharType="begin"/>
    </w:r>
    <w:r w:rsidRPr="00120082">
      <w:rPr>
        <w:rFonts w:ascii="Palatino Linotype" w:eastAsia="Palatino Linotype" w:hAnsi="Palatino Linotype" w:cs="Palatino Linotype"/>
        <w:b/>
        <w:color w:val="000000"/>
        <w:sz w:val="22"/>
        <w:szCs w:val="20"/>
      </w:rPr>
      <w:instrText>NUMPAGES</w:instrText>
    </w:r>
    <w:r w:rsidRPr="00120082">
      <w:rPr>
        <w:rFonts w:ascii="Palatino Linotype" w:eastAsia="Palatino Linotype" w:hAnsi="Palatino Linotype" w:cs="Palatino Linotype"/>
        <w:b/>
        <w:color w:val="000000"/>
        <w:sz w:val="22"/>
        <w:szCs w:val="20"/>
      </w:rPr>
      <w:fldChar w:fldCharType="separate"/>
    </w:r>
    <w:r w:rsidR="000125D3">
      <w:rPr>
        <w:rFonts w:ascii="Palatino Linotype" w:eastAsia="Palatino Linotype" w:hAnsi="Palatino Linotype" w:cs="Palatino Linotype"/>
        <w:b/>
        <w:noProof/>
        <w:color w:val="000000"/>
        <w:sz w:val="22"/>
        <w:szCs w:val="20"/>
      </w:rPr>
      <w:t>51</w:t>
    </w:r>
    <w:r w:rsidRPr="00120082">
      <w:rPr>
        <w:rFonts w:ascii="Palatino Linotype" w:eastAsia="Palatino Linotype" w:hAnsi="Palatino Linotype" w:cs="Palatino Linotype"/>
        <w:b/>
        <w:color w:val="000000"/>
        <w:sz w:val="22"/>
        <w:szCs w:val="20"/>
      </w:rPr>
      <w:fldChar w:fldCharType="end"/>
    </w:r>
  </w:p>
  <w:p w:rsidR="002D7333" w:rsidRDefault="002D733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333" w:rsidRPr="00120082" w:rsidRDefault="00667A12">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120082">
      <w:rPr>
        <w:rFonts w:ascii="Palatino Linotype" w:eastAsia="Palatino Linotype" w:hAnsi="Palatino Linotype" w:cs="Palatino Linotype"/>
        <w:b/>
        <w:color w:val="000000"/>
        <w:sz w:val="22"/>
        <w:szCs w:val="20"/>
      </w:rPr>
      <w:t xml:space="preserve">Página </w:t>
    </w:r>
    <w:r w:rsidRPr="00120082">
      <w:rPr>
        <w:rFonts w:ascii="Palatino Linotype" w:eastAsia="Palatino Linotype" w:hAnsi="Palatino Linotype" w:cs="Palatino Linotype"/>
        <w:b/>
        <w:color w:val="000000"/>
        <w:sz w:val="22"/>
        <w:szCs w:val="20"/>
      </w:rPr>
      <w:fldChar w:fldCharType="begin"/>
    </w:r>
    <w:r w:rsidRPr="00120082">
      <w:rPr>
        <w:rFonts w:ascii="Palatino Linotype" w:eastAsia="Palatino Linotype" w:hAnsi="Palatino Linotype" w:cs="Palatino Linotype"/>
        <w:b/>
        <w:color w:val="000000"/>
        <w:sz w:val="22"/>
        <w:szCs w:val="20"/>
      </w:rPr>
      <w:instrText>PAGE</w:instrText>
    </w:r>
    <w:r w:rsidRPr="00120082">
      <w:rPr>
        <w:rFonts w:ascii="Palatino Linotype" w:eastAsia="Palatino Linotype" w:hAnsi="Palatino Linotype" w:cs="Palatino Linotype"/>
        <w:b/>
        <w:color w:val="000000"/>
        <w:sz w:val="22"/>
        <w:szCs w:val="20"/>
      </w:rPr>
      <w:fldChar w:fldCharType="separate"/>
    </w:r>
    <w:r w:rsidR="000125D3">
      <w:rPr>
        <w:rFonts w:ascii="Palatino Linotype" w:eastAsia="Palatino Linotype" w:hAnsi="Palatino Linotype" w:cs="Palatino Linotype"/>
        <w:b/>
        <w:noProof/>
        <w:color w:val="000000"/>
        <w:sz w:val="22"/>
        <w:szCs w:val="20"/>
      </w:rPr>
      <w:t>1</w:t>
    </w:r>
    <w:r w:rsidRPr="00120082">
      <w:rPr>
        <w:rFonts w:ascii="Palatino Linotype" w:eastAsia="Palatino Linotype" w:hAnsi="Palatino Linotype" w:cs="Palatino Linotype"/>
        <w:b/>
        <w:color w:val="000000"/>
        <w:sz w:val="22"/>
        <w:szCs w:val="20"/>
      </w:rPr>
      <w:fldChar w:fldCharType="end"/>
    </w:r>
    <w:r w:rsidRPr="00120082">
      <w:rPr>
        <w:rFonts w:ascii="Palatino Linotype" w:eastAsia="Palatino Linotype" w:hAnsi="Palatino Linotype" w:cs="Palatino Linotype"/>
        <w:b/>
        <w:color w:val="000000"/>
        <w:sz w:val="22"/>
        <w:szCs w:val="20"/>
      </w:rPr>
      <w:t xml:space="preserve"> de </w:t>
    </w:r>
    <w:r w:rsidRPr="00120082">
      <w:rPr>
        <w:rFonts w:ascii="Palatino Linotype" w:eastAsia="Palatino Linotype" w:hAnsi="Palatino Linotype" w:cs="Palatino Linotype"/>
        <w:b/>
        <w:color w:val="000000"/>
        <w:sz w:val="22"/>
        <w:szCs w:val="20"/>
      </w:rPr>
      <w:fldChar w:fldCharType="begin"/>
    </w:r>
    <w:r w:rsidRPr="00120082">
      <w:rPr>
        <w:rFonts w:ascii="Palatino Linotype" w:eastAsia="Palatino Linotype" w:hAnsi="Palatino Linotype" w:cs="Palatino Linotype"/>
        <w:b/>
        <w:color w:val="000000"/>
        <w:sz w:val="22"/>
        <w:szCs w:val="20"/>
      </w:rPr>
      <w:instrText>NUMPAGES</w:instrText>
    </w:r>
    <w:r w:rsidRPr="00120082">
      <w:rPr>
        <w:rFonts w:ascii="Palatino Linotype" w:eastAsia="Palatino Linotype" w:hAnsi="Palatino Linotype" w:cs="Palatino Linotype"/>
        <w:b/>
        <w:color w:val="000000"/>
        <w:sz w:val="22"/>
        <w:szCs w:val="20"/>
      </w:rPr>
      <w:fldChar w:fldCharType="separate"/>
    </w:r>
    <w:r w:rsidR="000125D3">
      <w:rPr>
        <w:rFonts w:ascii="Palatino Linotype" w:eastAsia="Palatino Linotype" w:hAnsi="Palatino Linotype" w:cs="Palatino Linotype"/>
        <w:b/>
        <w:noProof/>
        <w:color w:val="000000"/>
        <w:sz w:val="22"/>
        <w:szCs w:val="20"/>
      </w:rPr>
      <w:t>51</w:t>
    </w:r>
    <w:r w:rsidRPr="00120082">
      <w:rPr>
        <w:rFonts w:ascii="Palatino Linotype" w:eastAsia="Palatino Linotype" w:hAnsi="Palatino Linotype" w:cs="Palatino Linotype"/>
        <w:b/>
        <w:color w:val="000000"/>
        <w:sz w:val="22"/>
        <w:szCs w:val="20"/>
      </w:rPr>
      <w:fldChar w:fldCharType="end"/>
    </w:r>
  </w:p>
  <w:p w:rsidR="002D7333" w:rsidRDefault="002D733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C3A" w:rsidRDefault="00303C3A">
      <w:r>
        <w:separator/>
      </w:r>
    </w:p>
  </w:footnote>
  <w:footnote w:type="continuationSeparator" w:id="0">
    <w:p w:rsidR="00303C3A" w:rsidRDefault="00303C3A">
      <w:r>
        <w:continuationSeparator/>
      </w:r>
    </w:p>
  </w:footnote>
  <w:footnote w:id="1">
    <w:p w:rsidR="002D7333" w:rsidRDefault="00667A12">
      <w:pPr>
        <w:pBdr>
          <w:top w:val="nil"/>
          <w:left w:val="nil"/>
          <w:bottom w:val="nil"/>
          <w:right w:val="nil"/>
          <w:between w:val="nil"/>
        </w:pBdr>
        <w:rPr>
          <w:rFonts w:ascii="Palatino Linotype" w:eastAsia="Palatino Linotype" w:hAnsi="Palatino Linotype" w:cs="Palatino Linotype"/>
          <w:color w:val="000000"/>
          <w:sz w:val="22"/>
          <w:szCs w:val="22"/>
        </w:rPr>
      </w:pPr>
      <w:r>
        <w:rPr>
          <w:vertAlign w:val="superscript"/>
        </w:rPr>
        <w:footnoteRef/>
      </w:r>
      <w:r>
        <w:rPr>
          <w:rFonts w:ascii="Palatino Linotype" w:eastAsia="Palatino Linotype" w:hAnsi="Palatino Linotype" w:cs="Palatino Linotype"/>
          <w:color w:val="000000"/>
          <w:sz w:val="22"/>
          <w:szCs w:val="22"/>
        </w:rPr>
        <w:t xml:space="preserve"> Convención Americana sobre Derechos Humanos. Artículo 13.</w:t>
      </w:r>
    </w:p>
  </w:footnote>
  <w:footnote w:id="2">
    <w:p w:rsidR="002D7333" w:rsidRDefault="00667A12">
      <w:pPr>
        <w:pBdr>
          <w:top w:val="nil"/>
          <w:left w:val="nil"/>
          <w:bottom w:val="nil"/>
          <w:right w:val="nil"/>
          <w:between w:val="nil"/>
        </w:pBdr>
        <w:rPr>
          <w:rFonts w:ascii="Palatino Linotype" w:eastAsia="Palatino Linotype" w:hAnsi="Palatino Linotype" w:cs="Palatino Linotype"/>
          <w:color w:val="000000"/>
          <w:sz w:val="22"/>
          <w:szCs w:val="22"/>
        </w:rPr>
      </w:pPr>
      <w:r>
        <w:rPr>
          <w:vertAlign w:val="superscript"/>
        </w:rPr>
        <w:footnoteRef/>
      </w:r>
      <w:r>
        <w:rPr>
          <w:rFonts w:ascii="Palatino Linotype" w:eastAsia="Palatino Linotype" w:hAnsi="Palatino Linotype" w:cs="Palatino Linotype"/>
          <w:color w:val="000000"/>
          <w:sz w:val="22"/>
          <w:szCs w:val="22"/>
        </w:rPr>
        <w:t xml:space="preserve"> Constitución Política de los Estados Unidos Mexicanos. Artículo sexto, sección A, Fracción I.</w:t>
      </w:r>
    </w:p>
  </w:footnote>
  <w:footnote w:id="3">
    <w:p w:rsidR="002D7333" w:rsidRDefault="00667A12">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rsidR="002D7333" w:rsidRDefault="00667A12">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5">
    <w:p w:rsidR="002D7333" w:rsidRDefault="00667A12">
      <w:pPr>
        <w:pBdr>
          <w:top w:val="nil"/>
          <w:left w:val="nil"/>
          <w:bottom w:val="nil"/>
          <w:right w:val="nil"/>
          <w:between w:val="nil"/>
        </w:pBdr>
        <w:rPr>
          <w:color w:val="00000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6">
    <w:p w:rsidR="002D7333" w:rsidRDefault="00667A12">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rsidR="002D7333" w:rsidRDefault="00667A12">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rsidR="002D7333" w:rsidRDefault="00667A12">
      <w:pPr>
        <w:pBdr>
          <w:top w:val="nil"/>
          <w:left w:val="nil"/>
          <w:bottom w:val="nil"/>
          <w:right w:val="nil"/>
          <w:between w:val="nil"/>
        </w:pBdr>
        <w:rPr>
          <w:color w:val="000000"/>
        </w:rPr>
      </w:pPr>
      <w:r>
        <w:rPr>
          <w:color w:val="00000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333" w:rsidRDefault="00303C3A">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5"/>
      <w:tblW w:w="6519" w:type="dxa"/>
      <w:tblInd w:w="3402" w:type="dxa"/>
      <w:tblLayout w:type="fixed"/>
      <w:tblLook w:val="0400" w:firstRow="0" w:lastRow="0" w:firstColumn="0" w:lastColumn="0" w:noHBand="0" w:noVBand="1"/>
    </w:tblPr>
    <w:tblGrid>
      <w:gridCol w:w="2976"/>
      <w:gridCol w:w="3543"/>
    </w:tblGrid>
    <w:tr w:rsidR="002D7333" w:rsidTr="00120082">
      <w:trPr>
        <w:trHeight w:val="227"/>
      </w:trPr>
      <w:tc>
        <w:tcPr>
          <w:tcW w:w="2976" w:type="dxa"/>
          <w:vAlign w:val="center"/>
        </w:tcPr>
        <w:p w:rsidR="002D7333" w:rsidRPr="00120082" w:rsidRDefault="00667A12">
          <w:pPr>
            <w:ind w:right="34"/>
            <w:jc w:val="right"/>
            <w:rPr>
              <w:rFonts w:ascii="Palatino Linotype" w:eastAsia="Palatino Linotype" w:hAnsi="Palatino Linotype" w:cs="Palatino Linotype"/>
              <w:b/>
              <w:bCs/>
              <w:szCs w:val="22"/>
            </w:rPr>
          </w:pPr>
          <w:r w:rsidRPr="00120082">
            <w:rPr>
              <w:rFonts w:ascii="Palatino Linotype" w:eastAsia="Palatino Linotype" w:hAnsi="Palatino Linotype" w:cs="Palatino Linotype"/>
              <w:b/>
              <w:bCs/>
              <w:szCs w:val="22"/>
            </w:rPr>
            <w:t>Recurso de Revisión:</w:t>
          </w:r>
        </w:p>
      </w:tc>
      <w:tc>
        <w:tcPr>
          <w:tcW w:w="3543" w:type="dxa"/>
          <w:vAlign w:val="center"/>
        </w:tcPr>
        <w:p w:rsidR="002D7333" w:rsidRPr="00120082" w:rsidRDefault="00667A12">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120082">
            <w:rPr>
              <w:rFonts w:ascii="Palatino Linotype" w:eastAsia="Palatino Linotype" w:hAnsi="Palatino Linotype" w:cs="Palatino Linotype"/>
              <w:color w:val="000000"/>
              <w:szCs w:val="22"/>
            </w:rPr>
            <w:t>09993/INFOEM/IP/RR/2025</w:t>
          </w:r>
        </w:p>
      </w:tc>
    </w:tr>
    <w:tr w:rsidR="002D7333" w:rsidTr="00120082">
      <w:trPr>
        <w:trHeight w:val="242"/>
      </w:trPr>
      <w:tc>
        <w:tcPr>
          <w:tcW w:w="2976" w:type="dxa"/>
          <w:vAlign w:val="center"/>
        </w:tcPr>
        <w:p w:rsidR="002D7333" w:rsidRPr="00120082" w:rsidRDefault="00667A12">
          <w:pPr>
            <w:ind w:right="34"/>
            <w:jc w:val="right"/>
            <w:rPr>
              <w:rFonts w:ascii="Palatino Linotype" w:eastAsia="Palatino Linotype" w:hAnsi="Palatino Linotype" w:cs="Palatino Linotype"/>
              <w:b/>
              <w:bCs/>
              <w:szCs w:val="22"/>
            </w:rPr>
          </w:pPr>
          <w:r w:rsidRPr="00120082">
            <w:rPr>
              <w:rFonts w:ascii="Palatino Linotype" w:eastAsia="Palatino Linotype" w:hAnsi="Palatino Linotype" w:cs="Palatino Linotype"/>
              <w:b/>
              <w:bCs/>
              <w:szCs w:val="22"/>
            </w:rPr>
            <w:t>Sujeto Obligado:</w:t>
          </w:r>
        </w:p>
      </w:tc>
      <w:tc>
        <w:tcPr>
          <w:tcW w:w="3543" w:type="dxa"/>
          <w:vAlign w:val="center"/>
        </w:tcPr>
        <w:p w:rsidR="002D7333" w:rsidRPr="00120082" w:rsidRDefault="00667A12">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Cs w:val="22"/>
              <w:highlight w:val="green"/>
            </w:rPr>
          </w:pPr>
          <w:r w:rsidRPr="00120082">
            <w:rPr>
              <w:rFonts w:ascii="Palatino Linotype" w:eastAsia="Palatino Linotype" w:hAnsi="Palatino Linotype" w:cs="Palatino Linotype"/>
              <w:color w:val="000000"/>
              <w:szCs w:val="22"/>
            </w:rPr>
            <w:t>Ayuntamiento de Toluca</w:t>
          </w:r>
        </w:p>
      </w:tc>
    </w:tr>
    <w:tr w:rsidR="002D7333" w:rsidTr="00120082">
      <w:trPr>
        <w:trHeight w:val="342"/>
      </w:trPr>
      <w:tc>
        <w:tcPr>
          <w:tcW w:w="2976" w:type="dxa"/>
          <w:vAlign w:val="center"/>
        </w:tcPr>
        <w:p w:rsidR="002D7333" w:rsidRPr="00120082" w:rsidRDefault="00667A12">
          <w:pPr>
            <w:ind w:right="34"/>
            <w:jc w:val="right"/>
            <w:rPr>
              <w:rFonts w:ascii="Palatino Linotype" w:eastAsia="Palatino Linotype" w:hAnsi="Palatino Linotype" w:cs="Palatino Linotype"/>
              <w:b/>
              <w:bCs/>
              <w:szCs w:val="22"/>
            </w:rPr>
          </w:pPr>
          <w:r w:rsidRPr="00120082">
            <w:rPr>
              <w:rFonts w:ascii="Palatino Linotype" w:eastAsia="Palatino Linotype" w:hAnsi="Palatino Linotype" w:cs="Palatino Linotype"/>
              <w:b/>
              <w:bCs/>
              <w:szCs w:val="22"/>
            </w:rPr>
            <w:t>Comisionada Ponente:</w:t>
          </w:r>
        </w:p>
      </w:tc>
      <w:tc>
        <w:tcPr>
          <w:tcW w:w="3543" w:type="dxa"/>
          <w:vAlign w:val="center"/>
        </w:tcPr>
        <w:p w:rsidR="002D7333" w:rsidRPr="00120082" w:rsidRDefault="00667A12">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120082">
            <w:rPr>
              <w:rFonts w:ascii="Palatino Linotype" w:eastAsia="Palatino Linotype" w:hAnsi="Palatino Linotype" w:cs="Palatino Linotype"/>
              <w:color w:val="000000"/>
              <w:szCs w:val="22"/>
            </w:rPr>
            <w:t>María del Rosario Mejía Ayala</w:t>
          </w:r>
        </w:p>
      </w:tc>
    </w:tr>
  </w:tbl>
  <w:p w:rsidR="002D7333" w:rsidRDefault="00303C3A">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74.85pt;margin-top:-131.8pt;width:609.4pt;height:793.75pt;z-index:-251659776;mso-position-horizontal-relative:margin;mso-position-vertical-relative:margin">
          <v:imagedata r:id="rId1" o:title="image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6660" w:type="dxa"/>
      <w:tblInd w:w="3402" w:type="dxa"/>
      <w:tblLayout w:type="fixed"/>
      <w:tblLook w:val="0400" w:firstRow="0" w:lastRow="0" w:firstColumn="0" w:lastColumn="0" w:noHBand="0" w:noVBand="1"/>
    </w:tblPr>
    <w:tblGrid>
      <w:gridCol w:w="2977"/>
      <w:gridCol w:w="3683"/>
    </w:tblGrid>
    <w:tr w:rsidR="002D7333" w:rsidTr="00120082">
      <w:trPr>
        <w:trHeight w:val="227"/>
      </w:trPr>
      <w:tc>
        <w:tcPr>
          <w:tcW w:w="2977" w:type="dxa"/>
          <w:vAlign w:val="center"/>
        </w:tcPr>
        <w:p w:rsidR="002D7333" w:rsidRPr="00120082" w:rsidRDefault="00667A12">
          <w:pPr>
            <w:jc w:val="right"/>
            <w:rPr>
              <w:rFonts w:ascii="Palatino Linotype" w:eastAsia="Palatino Linotype" w:hAnsi="Palatino Linotype" w:cs="Palatino Linotype"/>
              <w:b/>
              <w:bCs/>
              <w:szCs w:val="22"/>
            </w:rPr>
          </w:pPr>
          <w:r w:rsidRPr="00120082">
            <w:rPr>
              <w:rFonts w:ascii="Palatino Linotype" w:eastAsia="Palatino Linotype" w:hAnsi="Palatino Linotype" w:cs="Palatino Linotype"/>
              <w:b/>
              <w:bCs/>
              <w:szCs w:val="22"/>
            </w:rPr>
            <w:t>Recurso de Revisión:</w:t>
          </w:r>
        </w:p>
      </w:tc>
      <w:tc>
        <w:tcPr>
          <w:tcW w:w="3683" w:type="dxa"/>
          <w:vAlign w:val="center"/>
        </w:tcPr>
        <w:p w:rsidR="002D7333" w:rsidRPr="00120082" w:rsidRDefault="00667A12">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120082">
            <w:rPr>
              <w:rFonts w:ascii="Palatino Linotype" w:eastAsia="Palatino Linotype" w:hAnsi="Palatino Linotype" w:cs="Palatino Linotype"/>
              <w:color w:val="000000"/>
              <w:szCs w:val="22"/>
            </w:rPr>
            <w:t>09993/INFOEM/IP/RR/2025</w:t>
          </w:r>
        </w:p>
      </w:tc>
    </w:tr>
    <w:tr w:rsidR="002D7333" w:rsidTr="00120082">
      <w:trPr>
        <w:trHeight w:val="242"/>
      </w:trPr>
      <w:tc>
        <w:tcPr>
          <w:tcW w:w="2977" w:type="dxa"/>
          <w:vAlign w:val="center"/>
        </w:tcPr>
        <w:p w:rsidR="002D7333" w:rsidRPr="00120082" w:rsidRDefault="00667A12">
          <w:pPr>
            <w:jc w:val="right"/>
            <w:rPr>
              <w:rFonts w:ascii="Palatino Linotype" w:eastAsia="Palatino Linotype" w:hAnsi="Palatino Linotype" w:cs="Palatino Linotype"/>
              <w:b/>
              <w:bCs/>
              <w:szCs w:val="22"/>
            </w:rPr>
          </w:pPr>
          <w:r w:rsidRPr="00120082">
            <w:rPr>
              <w:rFonts w:ascii="Palatino Linotype" w:eastAsia="Palatino Linotype" w:hAnsi="Palatino Linotype" w:cs="Palatino Linotype"/>
              <w:b/>
              <w:bCs/>
              <w:szCs w:val="22"/>
            </w:rPr>
            <w:t>Recurrente:</w:t>
          </w:r>
        </w:p>
      </w:tc>
      <w:tc>
        <w:tcPr>
          <w:tcW w:w="3683" w:type="dxa"/>
        </w:tcPr>
        <w:p w:rsidR="002D7333" w:rsidRPr="00120082" w:rsidRDefault="002D7333">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szCs w:val="22"/>
              <w:highlight w:val="green"/>
            </w:rPr>
          </w:pPr>
        </w:p>
      </w:tc>
    </w:tr>
    <w:tr w:rsidR="002D7333" w:rsidTr="00120082">
      <w:trPr>
        <w:trHeight w:val="342"/>
      </w:trPr>
      <w:tc>
        <w:tcPr>
          <w:tcW w:w="2977" w:type="dxa"/>
          <w:vAlign w:val="center"/>
        </w:tcPr>
        <w:p w:rsidR="002D7333" w:rsidRPr="00120082" w:rsidRDefault="00667A12">
          <w:pPr>
            <w:jc w:val="right"/>
            <w:rPr>
              <w:rFonts w:ascii="Palatino Linotype" w:eastAsia="Palatino Linotype" w:hAnsi="Palatino Linotype" w:cs="Palatino Linotype"/>
              <w:b/>
              <w:bCs/>
              <w:szCs w:val="22"/>
            </w:rPr>
          </w:pPr>
          <w:r w:rsidRPr="00120082">
            <w:rPr>
              <w:rFonts w:ascii="Palatino Linotype" w:eastAsia="Palatino Linotype" w:hAnsi="Palatino Linotype" w:cs="Palatino Linotype"/>
              <w:b/>
              <w:bCs/>
              <w:szCs w:val="22"/>
            </w:rPr>
            <w:t>Sujeto Obligado:</w:t>
          </w:r>
        </w:p>
      </w:tc>
      <w:tc>
        <w:tcPr>
          <w:tcW w:w="3683" w:type="dxa"/>
          <w:vAlign w:val="center"/>
        </w:tcPr>
        <w:p w:rsidR="002D7333" w:rsidRPr="00120082" w:rsidRDefault="00667A12">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120082">
            <w:rPr>
              <w:rFonts w:ascii="Palatino Linotype" w:eastAsia="Palatino Linotype" w:hAnsi="Palatino Linotype" w:cs="Palatino Linotype"/>
              <w:color w:val="000000"/>
              <w:szCs w:val="22"/>
            </w:rPr>
            <w:t>Ayuntamiento de Toluca</w:t>
          </w:r>
        </w:p>
      </w:tc>
    </w:tr>
    <w:tr w:rsidR="002D7333" w:rsidTr="00120082">
      <w:trPr>
        <w:trHeight w:val="342"/>
      </w:trPr>
      <w:tc>
        <w:tcPr>
          <w:tcW w:w="2977" w:type="dxa"/>
          <w:vAlign w:val="center"/>
        </w:tcPr>
        <w:p w:rsidR="002D7333" w:rsidRPr="00120082" w:rsidRDefault="00667A12">
          <w:pPr>
            <w:jc w:val="right"/>
            <w:rPr>
              <w:rFonts w:ascii="Palatino Linotype" w:eastAsia="Palatino Linotype" w:hAnsi="Palatino Linotype" w:cs="Palatino Linotype"/>
              <w:b/>
              <w:bCs/>
              <w:szCs w:val="22"/>
            </w:rPr>
          </w:pPr>
          <w:r w:rsidRPr="00120082">
            <w:rPr>
              <w:rFonts w:ascii="Palatino Linotype" w:eastAsia="Palatino Linotype" w:hAnsi="Palatino Linotype" w:cs="Palatino Linotype"/>
              <w:b/>
              <w:bCs/>
              <w:szCs w:val="22"/>
            </w:rPr>
            <w:t>Comisionada Ponente:</w:t>
          </w:r>
        </w:p>
      </w:tc>
      <w:tc>
        <w:tcPr>
          <w:tcW w:w="3683" w:type="dxa"/>
          <w:vAlign w:val="center"/>
        </w:tcPr>
        <w:p w:rsidR="002D7333" w:rsidRPr="00120082" w:rsidRDefault="00667A12">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120082">
            <w:rPr>
              <w:rFonts w:ascii="Palatino Linotype" w:eastAsia="Palatino Linotype" w:hAnsi="Palatino Linotype" w:cs="Palatino Linotype"/>
              <w:color w:val="000000"/>
              <w:szCs w:val="22"/>
            </w:rPr>
            <w:t>María del Rosario Mejía Ayala</w:t>
          </w:r>
        </w:p>
      </w:tc>
    </w:tr>
  </w:tbl>
  <w:p w:rsidR="002D7333" w:rsidRDefault="00303C3A">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69.4pt;margin-top:-117.25pt;width:609.4pt;height:793.75pt;z-index:-251658752;mso-position-horizontal-relative:margin;mso-position-vertical-relative:margin">
          <v:imagedata r:id="rId1" o:title="image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9218C4"/>
    <w:multiLevelType w:val="multilevel"/>
    <w:tmpl w:val="741E41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D44F5F"/>
    <w:multiLevelType w:val="multilevel"/>
    <w:tmpl w:val="8776546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6053DC2"/>
    <w:multiLevelType w:val="multilevel"/>
    <w:tmpl w:val="FF5E801A"/>
    <w:lvl w:ilvl="0">
      <w:start w:val="24"/>
      <w:numFmt w:val="decimal"/>
      <w:lvlText w:val="%1."/>
      <w:lvlJc w:val="left"/>
      <w:pPr>
        <w:ind w:left="360" w:hanging="36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EFF0102"/>
    <w:multiLevelType w:val="multilevel"/>
    <w:tmpl w:val="A0D6D222"/>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4" w15:restartNumberingAfterBreak="0">
    <w:nsid w:val="4C3D05D6"/>
    <w:multiLevelType w:val="multilevel"/>
    <w:tmpl w:val="3B8E121E"/>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66C0B1C"/>
    <w:multiLevelType w:val="multilevel"/>
    <w:tmpl w:val="AF221F0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AD71388"/>
    <w:multiLevelType w:val="hybridMultilevel"/>
    <w:tmpl w:val="BB2AB4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17B5384"/>
    <w:multiLevelType w:val="multilevel"/>
    <w:tmpl w:val="55CE443A"/>
    <w:lvl w:ilvl="0">
      <w:start w:val="1"/>
      <w:numFmt w:val="lowerLetter"/>
      <w:lvlText w:val="%1)"/>
      <w:lvlJc w:val="left"/>
      <w:pPr>
        <w:ind w:left="709" w:hanging="42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4AC49D1"/>
    <w:multiLevelType w:val="multilevel"/>
    <w:tmpl w:val="559EED5E"/>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7D4A5B87"/>
    <w:multiLevelType w:val="multilevel"/>
    <w:tmpl w:val="2CDE9A0A"/>
    <w:lvl w:ilvl="0">
      <w:start w:val="1"/>
      <w:numFmt w:val="lowerLetter"/>
      <w:lvlText w:val="%1)"/>
      <w:lvlJc w:val="left"/>
      <w:pPr>
        <w:ind w:left="709" w:hanging="42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 w:numId="6">
    <w:abstractNumId w:val="5"/>
  </w:num>
  <w:num w:numId="7">
    <w:abstractNumId w:val="9"/>
  </w:num>
  <w:num w:numId="8">
    <w:abstractNumId w:val="7"/>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333"/>
    <w:rsid w:val="000125D3"/>
    <w:rsid w:val="00120082"/>
    <w:rsid w:val="001868A6"/>
    <w:rsid w:val="002D7333"/>
    <w:rsid w:val="00303C3A"/>
    <w:rsid w:val="0036651C"/>
    <w:rsid w:val="004C4E5F"/>
    <w:rsid w:val="00526A87"/>
    <w:rsid w:val="00667A12"/>
    <w:rsid w:val="00755F20"/>
    <w:rsid w:val="00AC3E9D"/>
    <w:rsid w:val="00D2123D"/>
    <w:rsid w:val="00E731B2"/>
    <w:rsid w:val="00F723EB"/>
    <w:rsid w:val="00FF78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332812B-984D-4C9F-855E-4DAAEA6F7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D70F20"/>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rPr>
  </w:style>
  <w:style w:type="paragraph" w:styleId="Sinespaciado">
    <w:name w:val="No Spacing"/>
    <w:aliases w:val="Francesa,INAI"/>
    <w:link w:val="SinespaciadoCar"/>
    <w:uiPriority w:val="1"/>
    <w:qFormat/>
    <w:rsid w:val="00071265"/>
  </w:style>
  <w:style w:type="character" w:customStyle="1" w:styleId="SinespaciadoCar">
    <w:name w:val="Sin espaciado Car"/>
    <w:aliases w:val="Francesa Car,INAI Car"/>
    <w:link w:val="Sinespaciado"/>
    <w:uiPriority w:val="1"/>
    <w:qFormat/>
    <w:locked/>
    <w:rsid w:val="00071265"/>
  </w:style>
  <w:style w:type="paragraph" w:customStyle="1" w:styleId="Default">
    <w:name w:val="Default"/>
    <w:qFormat/>
    <w:rsid w:val="001C69FE"/>
    <w:pPr>
      <w:autoSpaceDE w:val="0"/>
      <w:autoSpaceDN w:val="0"/>
      <w:adjustRightInd w:val="0"/>
    </w:pPr>
    <w:rPr>
      <w:rFonts w:ascii="Arial" w:hAnsi="Arial" w:cs="Arial"/>
      <w:color w:val="000000"/>
    </w:rPr>
  </w:style>
  <w:style w:type="table" w:customStyle="1" w:styleId="Tablanormal12">
    <w:name w:val="Tabla normal 12"/>
    <w:basedOn w:val="Tablanormal"/>
    <w:next w:val="Tablanormal1"/>
    <w:uiPriority w:val="41"/>
    <w:rsid w:val="00C3684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uiPriority w:val="22"/>
    <w:qFormat/>
    <w:rsid w:val="003F5071"/>
    <w:rPr>
      <w:b/>
      <w:bCs/>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paragraph" w:customStyle="1" w:styleId="Citas">
    <w:name w:val="Citas"/>
    <w:basedOn w:val="Normal"/>
    <w:qFormat/>
    <w:rsid w:val="00E803AA"/>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CitasINFOEM">
    <w:name w:val="Citas INFOEM"/>
    <w:basedOn w:val="Normal"/>
    <w:qFormat/>
    <w:rsid w:val="00F37A04"/>
    <w:pPr>
      <w:spacing w:before="240" w:after="160" w:line="360" w:lineRule="auto"/>
      <w:ind w:left="851" w:right="851"/>
      <w:jc w:val="both"/>
    </w:pPr>
    <w:rPr>
      <w:rFonts w:ascii="Palatino Linotype" w:eastAsia="Times New Roman" w:hAnsi="Palatino Linotype" w:cs="Times New Roman"/>
      <w:i/>
      <w:sz w:val="22"/>
      <w:lang w:val="es-MX" w:eastAsia="en-US"/>
    </w:rPr>
  </w:style>
  <w:style w:type="paragraph" w:styleId="NormalWeb">
    <w:name w:val="Normal (Web)"/>
    <w:basedOn w:val="Normal"/>
    <w:uiPriority w:val="99"/>
    <w:rsid w:val="00151F2D"/>
    <w:pPr>
      <w:spacing w:before="100" w:beforeAutospacing="1" w:after="100" w:afterAutospacing="1"/>
    </w:pPr>
    <w:rPr>
      <w:rFonts w:ascii="Times New Roman" w:eastAsia="Times New Roman" w:hAnsi="Times New Roman" w:cs="Times New Roman"/>
      <w:lang w:val="es-MX"/>
    </w:r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7137AB"/>
    <w:pPr>
      <w:numPr>
        <w:numId w:val="9"/>
      </w:numPr>
      <w:contextualSpacing/>
    </w:pPr>
    <w:rPr>
      <w:rFonts w:ascii="Times New Roman" w:eastAsia="Times New Roman" w:hAnsi="Times New Roman" w:cs="Times New Roman"/>
      <w:sz w:val="20"/>
      <w:szCs w:val="20"/>
      <w:lang w:val="es-MX"/>
    </w:rPr>
  </w:style>
  <w:style w:type="paragraph" w:customStyle="1" w:styleId="paragraph">
    <w:name w:val="paragraph"/>
    <w:basedOn w:val="Normal"/>
    <w:rsid w:val="008330D2"/>
    <w:pPr>
      <w:spacing w:before="100" w:beforeAutospacing="1" w:after="100" w:afterAutospacing="1"/>
    </w:pPr>
    <w:rPr>
      <w:rFonts w:ascii="Times New Roman" w:eastAsia="Times New Roman" w:hAnsi="Times New Roman" w:cs="Times New Roman"/>
      <w:lang w:val="es-MX"/>
    </w:rPr>
  </w:style>
  <w:style w:type="paragraph" w:customStyle="1" w:styleId="rtejustify">
    <w:name w:val="rtejustify"/>
    <w:basedOn w:val="Normal"/>
    <w:rsid w:val="00924256"/>
    <w:pPr>
      <w:spacing w:before="100" w:beforeAutospacing="1" w:after="100" w:afterAutospacing="1"/>
    </w:pPr>
    <w:rPr>
      <w:rFonts w:ascii="Times New Roman" w:eastAsia="Times New Roman" w:hAnsi="Times New Roman" w:cs="Times New Roman"/>
      <w:lang w:val="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30Jx7YUrjhtSl6Q17h81o4wxBQ==">CgMxLjAyCGguZ2pkZ3hzMgloLjMwajB6bGwyCWguM3pueXNoNzIJaC4yZXQ5MnAwMghoLnR5amN3dDIOaC5wcXc3bjZsMzBlc2UyDmgudmhxY2dsbXM1dDk1Mg5oLjJocnZleXNsZDc2MDIOaC40aTNnYnlqaGY0YXcyDmguNmMxM3R1cmsyd3Y5Mg5oLmsxdnozMHlweWdtdDgAciExMXdxQ2ZoTnhDV1J6c3ZnWHpEVjVlbTUyQ2Yzamxsb2M=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51</Pages>
  <Words>11330</Words>
  <Characters>62317</Characters>
  <Application>Microsoft Office Word</Application>
  <DocSecurity>0</DocSecurity>
  <Lines>519</Lines>
  <Paragraphs>146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73501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8</cp:revision>
  <cp:lastPrinted>2026-03-12T23:17:00Z</cp:lastPrinted>
  <dcterms:created xsi:type="dcterms:W3CDTF">2026-03-09T19:17:00Z</dcterms:created>
  <dcterms:modified xsi:type="dcterms:W3CDTF">2026-03-23T17:41:00Z</dcterms:modified>
</cp:coreProperties>
</file>