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79126F7" w:rsidR="00A970D5" w:rsidRPr="00E16CEB" w:rsidRDefault="00A970D5" w:rsidP="009950AD">
      <w:pPr>
        <w:pStyle w:val="NormalINFOEM"/>
      </w:pPr>
      <w:r w:rsidRPr="00E16CEB">
        <w:t>Resolución del Pleno del Instituto de Transparencia, Acceso a la Información Pública y Protección de Datos Personales del Estado de México</w:t>
      </w:r>
      <w:r w:rsidR="00FD2A3F" w:rsidRPr="00E16CEB">
        <w:t xml:space="preserve"> </w:t>
      </w:r>
      <w:r w:rsidRPr="00E16CEB">
        <w:t xml:space="preserve">y Municipios, con domicilio en Metepec, Estado de </w:t>
      </w:r>
      <w:r w:rsidR="008B2951" w:rsidRPr="00E16CEB">
        <w:t xml:space="preserve">México, </w:t>
      </w:r>
      <w:r w:rsidR="000D2E93" w:rsidRPr="00E16CEB">
        <w:t>a</w:t>
      </w:r>
      <w:r w:rsidR="0011108B" w:rsidRPr="00E16CEB">
        <w:t xml:space="preserve"> </w:t>
      </w:r>
      <w:r w:rsidR="00154293" w:rsidRPr="00E16CEB">
        <w:t>diecisiete de junio</w:t>
      </w:r>
      <w:r w:rsidR="00556552" w:rsidRPr="00E16CEB">
        <w:t xml:space="preserve"> de dos mil veintiséis</w:t>
      </w:r>
      <w:r w:rsidR="0011108B" w:rsidRPr="00E16CEB">
        <w:t>.</w:t>
      </w:r>
    </w:p>
    <w:p w14:paraId="60399B74" w14:textId="77777777" w:rsidR="00A970D5" w:rsidRPr="00E16CEB" w:rsidRDefault="00A970D5" w:rsidP="006922F5">
      <w:pPr>
        <w:pBdr>
          <w:top w:val="nil"/>
          <w:left w:val="nil"/>
          <w:bottom w:val="nil"/>
          <w:right w:val="nil"/>
          <w:between w:val="nil"/>
        </w:pBdr>
        <w:contextualSpacing/>
        <w:rPr>
          <w:rFonts w:eastAsia="Palatino Linotype" w:cs="Palatino Linotype"/>
          <w:color w:val="000000"/>
          <w:sz w:val="22"/>
        </w:rPr>
      </w:pPr>
    </w:p>
    <w:p w14:paraId="1D0D9BD7" w14:textId="19CEB0C2" w:rsidR="00A970D5" w:rsidRPr="00E16CEB" w:rsidRDefault="70652167" w:rsidP="70652167">
      <w:pPr>
        <w:pBdr>
          <w:top w:val="nil"/>
          <w:left w:val="nil"/>
          <w:bottom w:val="nil"/>
          <w:right w:val="nil"/>
          <w:between w:val="nil"/>
        </w:pBdr>
        <w:contextualSpacing/>
        <w:rPr>
          <w:rFonts w:eastAsia="Palatino Linotype" w:cs="Palatino Linotype"/>
          <w:b/>
          <w:bCs/>
          <w:color w:val="000000"/>
          <w:lang w:val="es-ES"/>
        </w:rPr>
      </w:pPr>
      <w:r w:rsidRPr="00E16CEB">
        <w:rPr>
          <w:rFonts w:eastAsia="Palatino Linotype" w:cs="Palatino Linotype"/>
          <w:b/>
          <w:bCs/>
          <w:color w:val="000000" w:themeColor="text1"/>
          <w:lang w:val="es-ES"/>
        </w:rPr>
        <w:t>VISTO</w:t>
      </w:r>
      <w:r w:rsidRPr="00E16CEB">
        <w:rPr>
          <w:rFonts w:eastAsia="Palatino Linotype" w:cs="Palatino Linotype"/>
          <w:color w:val="000000" w:themeColor="text1"/>
          <w:lang w:val="es-ES"/>
        </w:rPr>
        <w:t xml:space="preserve"> el expediente electrónico formado con motivo del recurso de revisión número </w:t>
      </w:r>
      <w:bookmarkStart w:id="0" w:name="_GoBack"/>
      <w:r w:rsidR="001E35CF" w:rsidRPr="00E16CEB">
        <w:rPr>
          <w:rFonts w:eastAsia="Palatino Linotype" w:cs="Palatino Linotype"/>
          <w:b/>
          <w:bCs/>
          <w:color w:val="000000" w:themeColor="text1"/>
          <w:lang w:val="es-ES"/>
        </w:rPr>
        <w:t>03060/INFOEM/IP/RR/2026</w:t>
      </w:r>
      <w:bookmarkEnd w:id="0"/>
      <w:r w:rsidRPr="00E16CEB">
        <w:rPr>
          <w:rFonts w:eastAsia="Palatino Linotype" w:cs="Palatino Linotype"/>
          <w:color w:val="000000" w:themeColor="text1"/>
          <w:lang w:val="es-ES"/>
        </w:rPr>
        <w:t xml:space="preserve">, interpuesto por </w:t>
      </w:r>
      <w:r w:rsidR="00AF7D62">
        <w:rPr>
          <w:rFonts w:eastAsia="Palatino Linotype" w:cs="Palatino Linotype"/>
          <w:b/>
          <w:bCs/>
          <w:color w:val="000000" w:themeColor="text1"/>
          <w:lang w:val="es-ES"/>
        </w:rPr>
        <w:t>XXXXXXXXXXX</w:t>
      </w:r>
      <w:r w:rsidR="00E97C2F" w:rsidRPr="00E16CEB">
        <w:rPr>
          <w:rFonts w:eastAsia="Palatino Linotype" w:cs="Palatino Linotype"/>
          <w:color w:val="000000" w:themeColor="text1"/>
          <w:lang w:val="es-ES"/>
        </w:rPr>
        <w:t>, en lo su</w:t>
      </w:r>
      <w:r w:rsidR="00771E23" w:rsidRPr="00E16CEB">
        <w:rPr>
          <w:rFonts w:eastAsia="Palatino Linotype" w:cs="Palatino Linotype"/>
          <w:color w:val="000000" w:themeColor="text1"/>
          <w:lang w:val="es-ES"/>
        </w:rPr>
        <w:t xml:space="preserve">cesivo </w:t>
      </w:r>
      <w:r w:rsidR="001C3595" w:rsidRPr="00E16CEB">
        <w:rPr>
          <w:rFonts w:eastAsia="Palatino Linotype" w:cs="Palatino Linotype"/>
          <w:color w:val="000000" w:themeColor="text1"/>
          <w:lang w:val="es-ES"/>
        </w:rPr>
        <w:t>el</w:t>
      </w:r>
      <w:r w:rsidRPr="00E16CEB">
        <w:rPr>
          <w:rFonts w:eastAsia="Palatino Linotype" w:cs="Palatino Linotype"/>
          <w:color w:val="000000" w:themeColor="text1"/>
          <w:lang w:val="es-ES"/>
        </w:rPr>
        <w:t xml:space="preserve"> </w:t>
      </w:r>
      <w:r w:rsidRPr="00E16CEB">
        <w:rPr>
          <w:rFonts w:eastAsia="Palatino Linotype" w:cs="Palatino Linotype"/>
          <w:b/>
          <w:bCs/>
          <w:color w:val="000000" w:themeColor="text1"/>
          <w:lang w:val="es-ES"/>
        </w:rPr>
        <w:t>Recurrente</w:t>
      </w:r>
      <w:r w:rsidRPr="00E16CEB">
        <w:rPr>
          <w:rFonts w:eastAsia="Palatino Linotype" w:cs="Palatino Linotype"/>
          <w:color w:val="000000" w:themeColor="text1"/>
          <w:lang w:val="es-ES"/>
        </w:rPr>
        <w:t>, en contra de la respuesta de</w:t>
      </w:r>
      <w:r w:rsidR="00920835" w:rsidRPr="00E16CEB">
        <w:rPr>
          <w:rFonts w:eastAsia="Palatino Linotype" w:cs="Palatino Linotype"/>
          <w:color w:val="000000" w:themeColor="text1"/>
          <w:lang w:val="es-ES"/>
        </w:rPr>
        <w:t>l</w:t>
      </w:r>
      <w:r w:rsidRPr="00E16CEB">
        <w:rPr>
          <w:rFonts w:eastAsia="Palatino Linotype" w:cs="Palatino Linotype"/>
          <w:color w:val="000000" w:themeColor="text1"/>
          <w:lang w:val="es-ES"/>
        </w:rPr>
        <w:t xml:space="preserve"> </w:t>
      </w:r>
      <w:r w:rsidR="00971B7B" w:rsidRPr="00E16CEB">
        <w:rPr>
          <w:rFonts w:eastAsia="Palatino Linotype" w:cs="Palatino Linotype"/>
          <w:b/>
          <w:bCs/>
          <w:color w:val="000000" w:themeColor="text1"/>
          <w:lang w:val="es-ES"/>
        </w:rPr>
        <w:t>Ayuntamiento de Ixtapaluca</w:t>
      </w:r>
      <w:r w:rsidR="00771E23" w:rsidRPr="00E16CEB">
        <w:rPr>
          <w:rFonts w:eastAsia="Palatino Linotype" w:cs="Palatino Linotype"/>
          <w:color w:val="000000" w:themeColor="text1"/>
          <w:lang w:val="es-ES"/>
        </w:rPr>
        <w:t>,</w:t>
      </w:r>
      <w:r w:rsidR="00920835" w:rsidRPr="00E16CEB">
        <w:rPr>
          <w:rFonts w:eastAsia="Palatino Linotype" w:cs="Palatino Linotype"/>
          <w:color w:val="000000" w:themeColor="text1"/>
          <w:lang w:val="es-ES"/>
        </w:rPr>
        <w:t xml:space="preserve"> </w:t>
      </w:r>
      <w:r w:rsidRPr="00E16CEB">
        <w:rPr>
          <w:rFonts w:eastAsia="Palatino Linotype" w:cs="Palatino Linotype"/>
          <w:color w:val="000000" w:themeColor="text1"/>
          <w:lang w:val="es-ES"/>
        </w:rPr>
        <w:t>en lo subsecuente</w:t>
      </w:r>
      <w:r w:rsidRPr="00E16CEB">
        <w:rPr>
          <w:rFonts w:eastAsia="Palatino Linotype" w:cs="Palatino Linotype"/>
          <w:b/>
          <w:bCs/>
          <w:color w:val="000000" w:themeColor="text1"/>
          <w:lang w:val="es-ES"/>
        </w:rPr>
        <w:t xml:space="preserve"> </w:t>
      </w:r>
      <w:r w:rsidRPr="00E16CEB">
        <w:rPr>
          <w:rFonts w:eastAsia="Palatino Linotype" w:cs="Palatino Linotype"/>
          <w:color w:val="000000" w:themeColor="text1"/>
          <w:lang w:val="es-ES"/>
        </w:rPr>
        <w:t>el</w:t>
      </w:r>
      <w:r w:rsidRPr="00E16CEB">
        <w:rPr>
          <w:rFonts w:eastAsia="Palatino Linotype" w:cs="Palatino Linotype"/>
          <w:b/>
          <w:bCs/>
          <w:color w:val="000000" w:themeColor="text1"/>
          <w:lang w:val="es-ES"/>
        </w:rPr>
        <w:t xml:space="preserve"> Sujeto Obligado</w:t>
      </w:r>
      <w:r w:rsidRPr="00E16CEB">
        <w:rPr>
          <w:rFonts w:eastAsia="Palatino Linotype" w:cs="Palatino Linotype"/>
          <w:color w:val="000000" w:themeColor="text1"/>
          <w:lang w:val="es-ES"/>
        </w:rPr>
        <w:t>, se procede a dictar la presente resolución.</w:t>
      </w:r>
    </w:p>
    <w:p w14:paraId="2E2053C2" w14:textId="77777777" w:rsidR="00A970D5" w:rsidRPr="00E16CEB"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E16CEB" w:rsidRDefault="00A970D5" w:rsidP="006922F5">
      <w:pPr>
        <w:pStyle w:val="Ttulo1"/>
        <w:rPr>
          <w:rFonts w:eastAsia="Palatino Linotype"/>
          <w:lang w:val="es-ES_tradnl"/>
        </w:rPr>
      </w:pPr>
      <w:r w:rsidRPr="00E16CEB">
        <w:rPr>
          <w:rFonts w:eastAsia="Palatino Linotype"/>
          <w:lang w:val="es-ES_tradnl"/>
        </w:rPr>
        <w:t>A N T E C E D E N T E S</w:t>
      </w:r>
    </w:p>
    <w:p w14:paraId="32F88820" w14:textId="77777777" w:rsidR="00A970D5" w:rsidRPr="00E16CEB"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5C9CB8F2" w:rsidR="00A970D5" w:rsidRPr="00E16CEB" w:rsidRDefault="00A970D5" w:rsidP="006922F5">
      <w:pPr>
        <w:pStyle w:val="Ttulo2"/>
        <w:rPr>
          <w:rFonts w:eastAsia="Palatino Linotype"/>
        </w:rPr>
      </w:pPr>
      <w:r w:rsidRPr="00E16CEB">
        <w:rPr>
          <w:rFonts w:eastAsia="Palatino Linotype"/>
        </w:rPr>
        <w:t xml:space="preserve">PRIMERO. De la </w:t>
      </w:r>
      <w:r w:rsidR="00A24D3F" w:rsidRPr="00E16CEB">
        <w:rPr>
          <w:rFonts w:eastAsia="Palatino Linotype"/>
        </w:rPr>
        <w:t>s</w:t>
      </w:r>
      <w:r w:rsidRPr="00E16CEB">
        <w:rPr>
          <w:rFonts w:eastAsia="Palatino Linotype"/>
        </w:rPr>
        <w:t xml:space="preserve">olicitud de </w:t>
      </w:r>
      <w:r w:rsidR="00A24D3F" w:rsidRPr="00E16CEB">
        <w:rPr>
          <w:rFonts w:eastAsia="Palatino Linotype"/>
        </w:rPr>
        <w:t>i</w:t>
      </w:r>
      <w:r w:rsidRPr="00E16CEB">
        <w:rPr>
          <w:rFonts w:eastAsia="Palatino Linotype"/>
        </w:rPr>
        <w:t>nformación.</w:t>
      </w:r>
    </w:p>
    <w:p w14:paraId="68B56D82" w14:textId="49F64D90" w:rsidR="00A970D5" w:rsidRPr="00E16CEB" w:rsidRDefault="00B76DBF" w:rsidP="006922F5">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 xml:space="preserve">El </w:t>
      </w:r>
      <w:r w:rsidR="00CB4E22" w:rsidRPr="00E16CEB">
        <w:rPr>
          <w:rFonts w:eastAsia="Palatino Linotype" w:cs="Palatino Linotype"/>
          <w:color w:val="000000"/>
          <w:szCs w:val="24"/>
        </w:rPr>
        <w:t>dieciséis de febrero</w:t>
      </w:r>
      <w:r w:rsidR="003337B6" w:rsidRPr="00E16CEB">
        <w:rPr>
          <w:rFonts w:eastAsia="Palatino Linotype" w:cs="Palatino Linotype"/>
          <w:color w:val="000000"/>
          <w:szCs w:val="24"/>
        </w:rPr>
        <w:t xml:space="preserve"> de </w:t>
      </w:r>
      <w:r w:rsidR="00BE59B8" w:rsidRPr="00E16CEB">
        <w:rPr>
          <w:rFonts w:eastAsia="Palatino Linotype" w:cs="Palatino Linotype"/>
          <w:color w:val="000000"/>
          <w:szCs w:val="24"/>
        </w:rPr>
        <w:t>dos mil veintiséis</w:t>
      </w:r>
      <w:r w:rsidR="003337B6" w:rsidRPr="00E16CEB">
        <w:rPr>
          <w:rFonts w:eastAsia="Palatino Linotype" w:cs="Palatino Linotype"/>
          <w:color w:val="000000"/>
          <w:szCs w:val="24"/>
        </w:rPr>
        <w:t>, el Recurrente presentó solicitud de información registrada en el Sistema de Acceso a la Información Mexiquense (SAIMEX) con el expediente</w:t>
      </w:r>
      <w:r w:rsidR="00642669" w:rsidRPr="00E16CEB">
        <w:rPr>
          <w:rFonts w:eastAsia="Palatino Linotype" w:cs="Palatino Linotype"/>
          <w:b/>
          <w:bCs/>
          <w:color w:val="000000"/>
          <w:szCs w:val="24"/>
        </w:rPr>
        <w:t xml:space="preserve"> </w:t>
      </w:r>
      <w:r w:rsidR="00971B7B" w:rsidRPr="00E16CEB">
        <w:rPr>
          <w:rFonts w:eastAsia="Palatino Linotype" w:cs="Palatino Linotype"/>
          <w:b/>
          <w:bCs/>
          <w:color w:val="000000"/>
          <w:szCs w:val="24"/>
        </w:rPr>
        <w:t>00030/IXTAPALU/IP/2026</w:t>
      </w:r>
      <w:r w:rsidR="00A970D5" w:rsidRPr="00E16CEB">
        <w:rPr>
          <w:rFonts w:eastAsia="Palatino Linotype" w:cs="Palatino Linotype"/>
          <w:color w:val="000000"/>
          <w:szCs w:val="24"/>
        </w:rPr>
        <w:t>,</w:t>
      </w:r>
      <w:r w:rsidR="00A970D5" w:rsidRPr="00E16CEB">
        <w:rPr>
          <w:rFonts w:eastAsia="Palatino Linotype" w:cs="Palatino Linotype"/>
          <w:b/>
          <w:color w:val="000000"/>
          <w:szCs w:val="24"/>
        </w:rPr>
        <w:t xml:space="preserve"> </w:t>
      </w:r>
      <w:r w:rsidR="003337B6" w:rsidRPr="00E16CEB">
        <w:rPr>
          <w:rFonts w:eastAsia="Palatino Linotype" w:cs="Palatino Linotype"/>
          <w:color w:val="000000"/>
          <w:szCs w:val="24"/>
        </w:rPr>
        <w:t xml:space="preserve">mediante la cual solicitó </w:t>
      </w:r>
      <w:r w:rsidRPr="00E16CEB">
        <w:rPr>
          <w:rFonts w:eastAsia="Palatino Linotype" w:cs="Palatino Linotype"/>
          <w:color w:val="000000"/>
          <w:szCs w:val="24"/>
        </w:rPr>
        <w:t xml:space="preserve">lo </w:t>
      </w:r>
      <w:r w:rsidR="003337B6" w:rsidRPr="00E16CEB">
        <w:rPr>
          <w:rFonts w:eastAsia="Palatino Linotype" w:cs="Palatino Linotype"/>
          <w:color w:val="000000"/>
          <w:szCs w:val="24"/>
        </w:rPr>
        <w:t>siguiente:</w:t>
      </w:r>
    </w:p>
    <w:p w14:paraId="3BED2E12" w14:textId="77777777" w:rsidR="003337B6" w:rsidRPr="00E16CEB" w:rsidRDefault="003337B6" w:rsidP="006922F5">
      <w:pPr>
        <w:pBdr>
          <w:top w:val="nil"/>
          <w:left w:val="nil"/>
          <w:bottom w:val="nil"/>
          <w:right w:val="nil"/>
          <w:between w:val="nil"/>
        </w:pBdr>
        <w:contextualSpacing/>
        <w:rPr>
          <w:rFonts w:eastAsia="Palatino Linotype" w:cs="Palatino Linotype"/>
          <w:color w:val="000000"/>
          <w:sz w:val="22"/>
        </w:rPr>
      </w:pPr>
    </w:p>
    <w:p w14:paraId="133704B2" w14:textId="43F4776C" w:rsidR="00A970D5" w:rsidRPr="00E16CEB" w:rsidRDefault="00EB6D7F" w:rsidP="009950AD">
      <w:pPr>
        <w:pStyle w:val="Fundamentos"/>
      </w:pPr>
      <w:r w:rsidRPr="00E16CEB">
        <w:rPr>
          <w:lang w:val="es-ES"/>
        </w:rPr>
        <w:t>«</w:t>
      </w:r>
      <w:r w:rsidR="002E41ED" w:rsidRPr="00E16CEB">
        <w:rPr>
          <w:lang w:val="es-ES"/>
        </w:rPr>
        <w:t>Copia simple de todas las facturas pagadas durante el Ejercicio Fiscal 2025 por un monto mayor a $100,000.00</w:t>
      </w:r>
      <w:r w:rsidR="70652167" w:rsidRPr="00E16CEB">
        <w:rPr>
          <w:lang w:val="es-ES"/>
        </w:rPr>
        <w:t>» (Sic)</w:t>
      </w:r>
    </w:p>
    <w:p w14:paraId="40BBECCB" w14:textId="77777777" w:rsidR="00A970D5" w:rsidRPr="00E16CEB"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E16CEB" w:rsidRDefault="00A970D5" w:rsidP="006922F5">
      <w:pPr>
        <w:pBdr>
          <w:top w:val="nil"/>
          <w:left w:val="nil"/>
          <w:bottom w:val="nil"/>
          <w:right w:val="nil"/>
          <w:between w:val="nil"/>
        </w:pBdr>
        <w:contextualSpacing/>
        <w:rPr>
          <w:rFonts w:eastAsia="Palatino Linotype" w:cs="Palatino Linotype"/>
          <w:b/>
          <w:color w:val="000000"/>
          <w:szCs w:val="24"/>
        </w:rPr>
      </w:pPr>
      <w:r w:rsidRPr="00E16CEB">
        <w:rPr>
          <w:rFonts w:eastAsia="Palatino Linotype" w:cs="Palatino Linotype"/>
          <w:color w:val="000000"/>
          <w:szCs w:val="24"/>
        </w:rPr>
        <w:t xml:space="preserve">Modalidad de entrega: </w:t>
      </w:r>
      <w:r w:rsidR="004A6F01" w:rsidRPr="00E16CEB">
        <w:rPr>
          <w:rFonts w:eastAsia="Palatino Linotype" w:cs="Palatino Linotype"/>
          <w:b/>
          <w:color w:val="000000"/>
          <w:szCs w:val="24"/>
        </w:rPr>
        <w:t>A través del SAIMEX</w:t>
      </w:r>
    </w:p>
    <w:p w14:paraId="1063B60E" w14:textId="77777777" w:rsidR="007B7C73" w:rsidRPr="00E16CEB"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5D8DE7D5" w:rsidR="00A970D5" w:rsidRPr="00E16CEB" w:rsidRDefault="00EB6D7F" w:rsidP="006922F5">
      <w:pPr>
        <w:pStyle w:val="Ttulo2"/>
        <w:rPr>
          <w:rFonts w:eastAsia="Palatino Linotype"/>
        </w:rPr>
      </w:pPr>
      <w:r w:rsidRPr="00E16CEB">
        <w:rPr>
          <w:rFonts w:eastAsia="Palatino Linotype"/>
        </w:rPr>
        <w:t>SEGUNDO</w:t>
      </w:r>
      <w:r w:rsidR="00A970D5" w:rsidRPr="00E16CEB">
        <w:rPr>
          <w:rFonts w:eastAsia="Palatino Linotype"/>
        </w:rPr>
        <w:t>. De la respuesta del Sujeto Obligado.</w:t>
      </w:r>
    </w:p>
    <w:p w14:paraId="2EE6F294" w14:textId="52DEF5A8" w:rsidR="00A970D5" w:rsidRPr="00E16CEB" w:rsidRDefault="00A970D5" w:rsidP="006922F5">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De las constancias que obran en el expediente electrónico, se observa qu</w:t>
      </w:r>
      <w:r w:rsidR="008B2951" w:rsidRPr="00E16CEB">
        <w:rPr>
          <w:rFonts w:eastAsia="Palatino Linotype" w:cs="Palatino Linotype"/>
          <w:color w:val="000000"/>
          <w:szCs w:val="24"/>
        </w:rPr>
        <w:t>e el día</w:t>
      </w:r>
      <w:r w:rsidR="004A3367" w:rsidRPr="00E16CEB">
        <w:rPr>
          <w:rFonts w:eastAsia="Palatino Linotype" w:cs="Palatino Linotype"/>
          <w:color w:val="000000"/>
          <w:szCs w:val="24"/>
        </w:rPr>
        <w:t xml:space="preserve"> </w:t>
      </w:r>
      <w:r w:rsidR="00083BFA" w:rsidRPr="00E16CEB">
        <w:rPr>
          <w:rFonts w:eastAsia="Palatino Linotype" w:cs="Palatino Linotype"/>
          <w:color w:val="000000"/>
          <w:szCs w:val="24"/>
        </w:rPr>
        <w:t>nueve de marzo</w:t>
      </w:r>
      <w:r w:rsidR="004A5EE6" w:rsidRPr="00E16CEB">
        <w:rPr>
          <w:rFonts w:eastAsia="Palatino Linotype" w:cs="Palatino Linotype"/>
          <w:color w:val="000000"/>
          <w:szCs w:val="24"/>
        </w:rPr>
        <w:t xml:space="preserve"> de </w:t>
      </w:r>
      <w:r w:rsidR="00BE59B8" w:rsidRPr="00E16CEB">
        <w:rPr>
          <w:rFonts w:eastAsia="Palatino Linotype" w:cs="Palatino Linotype"/>
          <w:color w:val="000000"/>
          <w:szCs w:val="24"/>
        </w:rPr>
        <w:t>dos mil veintiséis</w:t>
      </w:r>
      <w:r w:rsidRPr="00E16CEB">
        <w:rPr>
          <w:rFonts w:eastAsia="Palatino Linotype" w:cs="Palatino Linotype"/>
          <w:color w:val="000000"/>
          <w:szCs w:val="24"/>
        </w:rPr>
        <w:t>, el Sujeto Obligado dio respuest</w:t>
      </w:r>
      <w:r w:rsidR="009F4FF4" w:rsidRPr="00E16CEB">
        <w:rPr>
          <w:rFonts w:eastAsia="Palatino Linotype" w:cs="Palatino Linotype"/>
          <w:color w:val="000000"/>
          <w:szCs w:val="24"/>
        </w:rPr>
        <w:t>a a la solicitud de información</w:t>
      </w:r>
      <w:r w:rsidRPr="00E16CEB">
        <w:rPr>
          <w:rFonts w:eastAsia="Palatino Linotype" w:cs="Palatino Linotype"/>
          <w:color w:val="000000"/>
          <w:szCs w:val="24"/>
        </w:rPr>
        <w:t xml:space="preserve"> manifestando lo siguiente:</w:t>
      </w:r>
    </w:p>
    <w:p w14:paraId="6CF4EC0F" w14:textId="77777777" w:rsidR="00A970D5" w:rsidRPr="00E16CEB" w:rsidRDefault="00A970D5" w:rsidP="006922F5">
      <w:pPr>
        <w:pBdr>
          <w:top w:val="nil"/>
          <w:left w:val="nil"/>
          <w:bottom w:val="nil"/>
          <w:right w:val="nil"/>
          <w:between w:val="nil"/>
        </w:pBdr>
        <w:contextualSpacing/>
        <w:rPr>
          <w:rFonts w:eastAsia="Palatino Linotype" w:cs="Palatino Linotype"/>
          <w:color w:val="000000"/>
          <w:szCs w:val="24"/>
        </w:rPr>
      </w:pPr>
    </w:p>
    <w:p w14:paraId="7EE70897" w14:textId="55802940" w:rsidR="00486BEE" w:rsidRPr="00E16CEB" w:rsidRDefault="23740614" w:rsidP="00486BEE">
      <w:pPr>
        <w:pStyle w:val="Fundamentos"/>
        <w:rPr>
          <w:lang w:val="es-ES"/>
        </w:rPr>
      </w:pPr>
      <w:r w:rsidRPr="00E16CEB">
        <w:rPr>
          <w:lang w:val="es-ES"/>
        </w:rPr>
        <w:t>«</w:t>
      </w:r>
      <w:r w:rsidR="00486BEE" w:rsidRPr="00E16CEB">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182F842" w14:textId="77777777" w:rsidR="00486BEE" w:rsidRPr="00E16CEB" w:rsidRDefault="00486BEE" w:rsidP="00486BEE">
      <w:pPr>
        <w:pStyle w:val="Fundamentos"/>
        <w:rPr>
          <w:lang w:val="es-ES"/>
        </w:rPr>
      </w:pPr>
    </w:p>
    <w:p w14:paraId="00417EB9" w14:textId="77777777" w:rsidR="00486BEE" w:rsidRPr="00E16CEB" w:rsidRDefault="00486BEE" w:rsidP="00486BEE">
      <w:pPr>
        <w:pStyle w:val="Fundamentos"/>
        <w:rPr>
          <w:lang w:val="es-ES"/>
        </w:rPr>
      </w:pPr>
      <w:r w:rsidRPr="00E16CEB">
        <w:rPr>
          <w:lang w:val="es-ES"/>
        </w:rPr>
        <w:t>En atención a la solicitud de información con número de folio 00030/IXTAPALU/IP/2026, se envía archivo de respuesta.</w:t>
      </w:r>
    </w:p>
    <w:p w14:paraId="5756138B" w14:textId="77777777" w:rsidR="00486BEE" w:rsidRPr="00E16CEB" w:rsidRDefault="00486BEE" w:rsidP="00486BEE">
      <w:pPr>
        <w:pStyle w:val="Fundamentos"/>
        <w:rPr>
          <w:lang w:val="es-ES"/>
        </w:rPr>
      </w:pPr>
    </w:p>
    <w:p w14:paraId="6BA7280A" w14:textId="77777777" w:rsidR="00486BEE" w:rsidRPr="00E16CEB" w:rsidRDefault="00486BEE" w:rsidP="00486BEE">
      <w:pPr>
        <w:pStyle w:val="Fundamentos"/>
        <w:rPr>
          <w:lang w:val="es-ES"/>
        </w:rPr>
      </w:pPr>
      <w:r w:rsidRPr="00E16CEB">
        <w:rPr>
          <w:lang w:val="es-ES"/>
        </w:rPr>
        <w:t>ATENTAMENTE</w:t>
      </w:r>
    </w:p>
    <w:p w14:paraId="3FE4A9EF" w14:textId="5934DEF2" w:rsidR="00A970D5" w:rsidRPr="00E16CEB" w:rsidRDefault="00486BEE" w:rsidP="00486BEE">
      <w:pPr>
        <w:pStyle w:val="Fundamentos"/>
        <w:rPr>
          <w:lang w:val="es-MX"/>
        </w:rPr>
      </w:pPr>
      <w:r w:rsidRPr="00E16CEB">
        <w:rPr>
          <w:lang w:val="es-ES"/>
        </w:rPr>
        <w:t>Lic. CLAUDIA GUADALUPE CASTILLO AYALA</w:t>
      </w:r>
      <w:r w:rsidR="00682323" w:rsidRPr="00E16CEB">
        <w:rPr>
          <w:lang w:val="es-ES"/>
        </w:rPr>
        <w:t>»</w:t>
      </w:r>
      <w:r w:rsidR="00A970D5" w:rsidRPr="00E16CEB">
        <w:rPr>
          <w:lang w:val="es-MX"/>
        </w:rPr>
        <w:t xml:space="preserve"> (Sic)</w:t>
      </w:r>
    </w:p>
    <w:p w14:paraId="2EAB8352" w14:textId="3B77EF6C" w:rsidR="001107C4" w:rsidRPr="00E16CEB"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5CEA5C41" w:rsidR="0037112D" w:rsidRPr="00E16CEB" w:rsidRDefault="70652167" w:rsidP="70652167">
      <w:pPr>
        <w:pBdr>
          <w:top w:val="nil"/>
          <w:left w:val="nil"/>
          <w:bottom w:val="nil"/>
          <w:right w:val="nil"/>
          <w:between w:val="nil"/>
        </w:pBdr>
        <w:contextualSpacing/>
        <w:rPr>
          <w:rFonts w:eastAsia="Palatino Linotype" w:cs="Palatino Linotype"/>
          <w:b/>
          <w:bCs/>
          <w:color w:val="000000"/>
          <w:lang w:val="es-ES"/>
        </w:rPr>
      </w:pPr>
      <w:r w:rsidRPr="00E16CEB">
        <w:rPr>
          <w:rFonts w:eastAsia="Palatino Linotype" w:cs="Palatino Linotype"/>
          <w:color w:val="000000" w:themeColor="text1"/>
          <w:lang w:val="es-ES"/>
        </w:rPr>
        <w:t xml:space="preserve">El Sujeto Obligado adjuntó a su respuesta </w:t>
      </w:r>
      <w:r w:rsidR="00486BEE" w:rsidRPr="00E16CEB">
        <w:rPr>
          <w:rFonts w:eastAsia="Palatino Linotype" w:cs="Palatino Linotype"/>
          <w:color w:val="000000" w:themeColor="text1"/>
          <w:lang w:val="es-ES"/>
        </w:rPr>
        <w:t>el</w:t>
      </w:r>
      <w:r w:rsidR="003337B6" w:rsidRPr="00E16CEB">
        <w:rPr>
          <w:rFonts w:eastAsia="Palatino Linotype" w:cs="Palatino Linotype"/>
          <w:color w:val="000000" w:themeColor="text1"/>
          <w:lang w:val="es-ES"/>
        </w:rPr>
        <w:t xml:space="preserve"> d</w:t>
      </w:r>
      <w:r w:rsidR="000D08B6" w:rsidRPr="00E16CEB">
        <w:rPr>
          <w:rFonts w:eastAsia="Palatino Linotype" w:cs="Palatino Linotype"/>
          <w:color w:val="000000" w:themeColor="text1"/>
          <w:lang w:val="es-ES"/>
        </w:rPr>
        <w:t>ocumento</w:t>
      </w:r>
      <w:r w:rsidRPr="00E16CEB">
        <w:rPr>
          <w:rFonts w:eastAsia="Palatino Linotype" w:cs="Palatino Linotype"/>
          <w:color w:val="000000" w:themeColor="text1"/>
          <w:lang w:val="es-ES"/>
        </w:rPr>
        <w:t xml:space="preserve"> denominado</w:t>
      </w:r>
      <w:r w:rsidR="00A63CD7" w:rsidRPr="00E16CEB">
        <w:rPr>
          <w:rFonts w:eastAsia="Palatino Linotype" w:cs="Palatino Linotype"/>
          <w:color w:val="000000" w:themeColor="text1"/>
          <w:lang w:val="es-ES"/>
        </w:rPr>
        <w:t xml:space="preserve"> </w:t>
      </w:r>
      <w:r w:rsidR="00A63CD7" w:rsidRPr="00E16CEB">
        <w:rPr>
          <w:rFonts w:eastAsia="Palatino Linotype" w:cs="Palatino Linotype"/>
          <w:b/>
          <w:bCs/>
          <w:color w:val="000000" w:themeColor="text1"/>
          <w:lang w:val="es-ES"/>
        </w:rPr>
        <w:t>«</w:t>
      </w:r>
      <w:r w:rsidR="00707894" w:rsidRPr="00E16CEB">
        <w:rPr>
          <w:rFonts w:eastAsia="Palatino Linotype" w:cs="Palatino Linotype"/>
          <w:b/>
          <w:bCs/>
          <w:color w:val="000000" w:themeColor="text1"/>
          <w:lang w:val="es-ES"/>
        </w:rPr>
        <w:t>E-0030 RESPUESTA S.I. 0030-IXTAPALU-IP-2026 TESORERÍA.pdf</w:t>
      </w:r>
      <w:r w:rsidR="00EB6D7F" w:rsidRPr="00E16CEB">
        <w:rPr>
          <w:rFonts w:eastAsia="Palatino Linotype" w:cs="Palatino Linotype"/>
          <w:b/>
          <w:bCs/>
          <w:color w:val="000000" w:themeColor="text1"/>
          <w:lang w:val="es-ES"/>
        </w:rPr>
        <w:t>»</w:t>
      </w:r>
      <w:r w:rsidR="00EB6D7F" w:rsidRPr="00E16CEB">
        <w:rPr>
          <w:rFonts w:eastAsia="Palatino Linotype" w:cs="Palatino Linotype"/>
          <w:color w:val="000000" w:themeColor="text1"/>
          <w:lang w:val="es-ES"/>
        </w:rPr>
        <w:t xml:space="preserve">, </w:t>
      </w:r>
      <w:r w:rsidR="00F17165" w:rsidRPr="00E16CEB">
        <w:rPr>
          <w:rFonts w:eastAsia="Palatino Linotype" w:cs="Palatino Linotype"/>
          <w:color w:val="000000" w:themeColor="text1"/>
          <w:lang w:val="es-ES"/>
        </w:rPr>
        <w:t>cuyo</w:t>
      </w:r>
      <w:r w:rsidRPr="00E16CEB">
        <w:rPr>
          <w:rFonts w:eastAsia="Palatino Linotype" w:cs="Palatino Linotype"/>
          <w:color w:val="000000" w:themeColor="text1"/>
          <w:lang w:val="es-ES"/>
        </w:rPr>
        <w:t xml:space="preserve"> contenido</w:t>
      </w:r>
      <w:r w:rsidR="007229FC" w:rsidRPr="00E16CEB">
        <w:rPr>
          <w:rFonts w:eastAsia="Palatino Linotype" w:cs="Palatino Linotype"/>
          <w:color w:val="000000" w:themeColor="text1"/>
          <w:lang w:val="es-ES"/>
        </w:rPr>
        <w:t xml:space="preserve"> no se reproduce por ser del conocimiento de las partes; no obstante,</w:t>
      </w:r>
      <w:r w:rsidRPr="00E16CEB">
        <w:rPr>
          <w:rFonts w:eastAsia="Palatino Linotype" w:cs="Palatino Linotype"/>
          <w:color w:val="000000" w:themeColor="text1"/>
          <w:lang w:val="es-ES"/>
        </w:rPr>
        <w:t xml:space="preserve"> será motivo de análisis en el estudio correspondiente.</w:t>
      </w:r>
    </w:p>
    <w:p w14:paraId="2011BBDD" w14:textId="77777777" w:rsidR="0037112D" w:rsidRPr="00E16CEB" w:rsidRDefault="0037112D" w:rsidP="006922F5">
      <w:pPr>
        <w:pBdr>
          <w:top w:val="nil"/>
          <w:left w:val="nil"/>
          <w:bottom w:val="nil"/>
          <w:right w:val="nil"/>
          <w:between w:val="nil"/>
        </w:pBdr>
        <w:contextualSpacing/>
        <w:rPr>
          <w:rFonts w:eastAsia="Palatino Linotype" w:cs="Palatino Linotype"/>
          <w:color w:val="000000"/>
          <w:szCs w:val="24"/>
          <w:lang w:val="es-ES"/>
        </w:rPr>
      </w:pPr>
    </w:p>
    <w:p w14:paraId="58FA11DD" w14:textId="6B9680BE" w:rsidR="00A970D5" w:rsidRPr="00E16CEB" w:rsidRDefault="00EB6D7F" w:rsidP="006922F5">
      <w:pPr>
        <w:pStyle w:val="Ttulo2"/>
        <w:rPr>
          <w:rFonts w:eastAsia="Palatino Linotype"/>
        </w:rPr>
      </w:pPr>
      <w:r w:rsidRPr="00E16CEB">
        <w:rPr>
          <w:rFonts w:eastAsia="Palatino Linotype"/>
        </w:rPr>
        <w:t>TERCERO</w:t>
      </w:r>
      <w:r w:rsidR="00A970D5" w:rsidRPr="00E16CEB">
        <w:rPr>
          <w:rFonts w:eastAsia="Palatino Linotype"/>
        </w:rPr>
        <w:t>. Del recurso de revisión.</w:t>
      </w:r>
    </w:p>
    <w:p w14:paraId="0C8C3A2F" w14:textId="3D7696E3" w:rsidR="00A970D5" w:rsidRPr="00E16CEB" w:rsidRDefault="0090115A" w:rsidP="006922F5">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Inconforme con la respuesta emitida</w:t>
      </w:r>
      <w:r w:rsidR="00EB6D7F" w:rsidRPr="00E16CEB">
        <w:rPr>
          <w:rFonts w:eastAsia="Palatino Linotype" w:cs="Palatino Linotype"/>
          <w:color w:val="000000"/>
          <w:szCs w:val="24"/>
        </w:rPr>
        <w:t xml:space="preserve"> por el Sujeto Obligado</w:t>
      </w:r>
      <w:r w:rsidR="006726AD" w:rsidRPr="00E16CEB">
        <w:rPr>
          <w:rFonts w:eastAsia="Palatino Linotype" w:cs="Palatino Linotype"/>
          <w:color w:val="000000"/>
          <w:szCs w:val="24"/>
        </w:rPr>
        <w:t xml:space="preserve">, </w:t>
      </w:r>
      <w:r w:rsidR="008A7F39" w:rsidRPr="00E16CEB">
        <w:rPr>
          <w:rFonts w:eastAsia="Palatino Linotype" w:cs="Palatino Linotype"/>
          <w:color w:val="000000"/>
          <w:szCs w:val="24"/>
        </w:rPr>
        <w:t>el Recurrente</w:t>
      </w:r>
      <w:r w:rsidRPr="00E16CEB">
        <w:rPr>
          <w:rFonts w:eastAsia="Palatino Linotype" w:cs="Palatino Linotype"/>
          <w:color w:val="000000"/>
          <w:szCs w:val="24"/>
        </w:rPr>
        <w:t xml:space="preserve"> interpuso el presente recurso de revisión el </w:t>
      </w:r>
      <w:r w:rsidR="000D08AF" w:rsidRPr="00E16CEB">
        <w:rPr>
          <w:rFonts w:eastAsia="Palatino Linotype" w:cs="Palatino Linotype"/>
          <w:color w:val="000000"/>
          <w:szCs w:val="24"/>
        </w:rPr>
        <w:t>diez de marzo</w:t>
      </w:r>
      <w:r w:rsidR="00DE2889" w:rsidRPr="00E16CEB">
        <w:rPr>
          <w:rFonts w:eastAsia="Palatino Linotype" w:cs="Palatino Linotype"/>
          <w:color w:val="000000"/>
          <w:szCs w:val="24"/>
        </w:rPr>
        <w:t xml:space="preserve"> de </w:t>
      </w:r>
      <w:r w:rsidR="00BE59B8" w:rsidRPr="00E16CEB">
        <w:rPr>
          <w:rFonts w:eastAsia="Palatino Linotype" w:cs="Palatino Linotype"/>
          <w:color w:val="000000"/>
          <w:szCs w:val="24"/>
        </w:rPr>
        <w:t>dos mil veintiséis</w:t>
      </w:r>
      <w:r w:rsidRPr="00E16CEB">
        <w:rPr>
          <w:rFonts w:eastAsia="Palatino Linotype" w:cs="Palatino Linotype"/>
          <w:color w:val="000000"/>
          <w:szCs w:val="24"/>
        </w:rPr>
        <w:t>, el cual se registró en el SAIMEX con el expediente número</w:t>
      </w:r>
      <w:r w:rsidR="00A970D5" w:rsidRPr="00E16CEB">
        <w:rPr>
          <w:rFonts w:eastAsia="Palatino Linotype" w:cs="Palatino Linotype"/>
          <w:color w:val="000000"/>
          <w:szCs w:val="24"/>
        </w:rPr>
        <w:t xml:space="preserve"> </w:t>
      </w:r>
      <w:r w:rsidR="001E35CF" w:rsidRPr="00E16CEB">
        <w:rPr>
          <w:rFonts w:eastAsia="Palatino Linotype" w:cs="Palatino Linotype"/>
          <w:b/>
          <w:color w:val="000000"/>
          <w:szCs w:val="24"/>
        </w:rPr>
        <w:t>03060/INFOEM/IP/RR/2026</w:t>
      </w:r>
      <w:r w:rsidR="00A06896" w:rsidRPr="00E16CEB">
        <w:rPr>
          <w:rFonts w:eastAsia="Palatino Linotype" w:cs="Palatino Linotype"/>
          <w:color w:val="000000"/>
          <w:szCs w:val="24"/>
        </w:rPr>
        <w:t xml:space="preserve">, </w:t>
      </w:r>
      <w:r w:rsidRPr="00E16CEB">
        <w:rPr>
          <w:rFonts w:eastAsia="Palatino Linotype" w:cs="Palatino Linotype"/>
          <w:color w:val="000000"/>
          <w:szCs w:val="24"/>
        </w:rPr>
        <w:t>en el que manifestó</w:t>
      </w:r>
      <w:r w:rsidR="00A970D5" w:rsidRPr="00E16CEB">
        <w:rPr>
          <w:rFonts w:eastAsia="Palatino Linotype" w:cs="Palatino Linotype"/>
          <w:color w:val="000000"/>
          <w:szCs w:val="24"/>
        </w:rPr>
        <w:t xml:space="preserve"> lo siguiente:</w:t>
      </w:r>
    </w:p>
    <w:p w14:paraId="7AA0C9F4" w14:textId="046134A0" w:rsidR="00A970D5" w:rsidRPr="00E16CEB"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E16CEB" w:rsidRDefault="00A970D5" w:rsidP="006922F5">
      <w:pPr>
        <w:contextualSpacing/>
        <w:rPr>
          <w:rFonts w:eastAsia="Palatino Linotype" w:cs="Palatino Linotype"/>
          <w:b/>
        </w:rPr>
      </w:pPr>
      <w:r w:rsidRPr="00E16CEB">
        <w:rPr>
          <w:rFonts w:eastAsia="Palatino Linotype" w:cs="Palatino Linotype"/>
          <w:b/>
        </w:rPr>
        <w:t>Acto Impugnado:</w:t>
      </w:r>
      <w:r w:rsidR="00655007" w:rsidRPr="00E16CEB">
        <w:rPr>
          <w:rFonts w:eastAsia="Palatino Linotype" w:cs="Palatino Linotype"/>
          <w:b/>
        </w:rPr>
        <w:t xml:space="preserve"> </w:t>
      </w:r>
    </w:p>
    <w:p w14:paraId="4A0EFE5A" w14:textId="052C0A5F" w:rsidR="00A970D5" w:rsidRPr="00E16CEB" w:rsidRDefault="5C35490E" w:rsidP="5C35490E">
      <w:pPr>
        <w:pStyle w:val="Fundamentos"/>
        <w:rPr>
          <w:b/>
          <w:bCs/>
          <w:lang w:val="es-ES"/>
        </w:rPr>
      </w:pPr>
      <w:r w:rsidRPr="00E16CEB">
        <w:rPr>
          <w:lang w:val="es-ES"/>
        </w:rPr>
        <w:t>«</w:t>
      </w:r>
      <w:r w:rsidR="00D66182" w:rsidRPr="00E16CEB">
        <w:rPr>
          <w:lang w:val="es-ES"/>
        </w:rPr>
        <w:t>Negativa a la información solicitada</w:t>
      </w:r>
      <w:r w:rsidRPr="00E16CEB">
        <w:rPr>
          <w:lang w:val="es-ES"/>
        </w:rPr>
        <w:t>» (Sic)</w:t>
      </w:r>
    </w:p>
    <w:p w14:paraId="3C40A441" w14:textId="0B2599C4" w:rsidR="00A970D5" w:rsidRPr="00E16CEB" w:rsidRDefault="00A970D5" w:rsidP="00FA1919">
      <w:pPr>
        <w:tabs>
          <w:tab w:val="left" w:pos="2515"/>
        </w:tabs>
        <w:contextualSpacing/>
        <w:rPr>
          <w:rFonts w:eastAsia="Palatino Linotype" w:cs="Palatino Linotype"/>
          <w:iCs/>
          <w:szCs w:val="24"/>
          <w:lang w:val="es-ES"/>
        </w:rPr>
      </w:pPr>
    </w:p>
    <w:p w14:paraId="0F6CFE30" w14:textId="719FCACE" w:rsidR="00300EA0" w:rsidRPr="00E16CEB" w:rsidRDefault="002B6B0F" w:rsidP="00300EA0">
      <w:pPr>
        <w:contextualSpacing/>
        <w:rPr>
          <w:rFonts w:eastAsia="Palatino Linotype" w:cs="Palatino Linotype"/>
          <w:b/>
        </w:rPr>
      </w:pPr>
      <w:r w:rsidRPr="00E16CEB">
        <w:rPr>
          <w:rFonts w:eastAsia="Palatino Linotype" w:cs="Palatino Linotype"/>
          <w:b/>
        </w:rPr>
        <w:t>Razones o motivos de inconformidad</w:t>
      </w:r>
      <w:r w:rsidR="00300EA0" w:rsidRPr="00E16CEB">
        <w:rPr>
          <w:rFonts w:eastAsia="Palatino Linotype" w:cs="Palatino Linotype"/>
          <w:b/>
        </w:rPr>
        <w:t xml:space="preserve">: </w:t>
      </w:r>
    </w:p>
    <w:p w14:paraId="636038ED" w14:textId="122236F9" w:rsidR="00300EA0" w:rsidRPr="00E16CEB" w:rsidRDefault="00017B72" w:rsidP="00300EA0">
      <w:pPr>
        <w:pStyle w:val="Fundamentos"/>
        <w:rPr>
          <w:b/>
          <w:bCs/>
          <w:lang w:val="es-ES"/>
        </w:rPr>
      </w:pPr>
      <w:r w:rsidRPr="00E16CEB">
        <w:rPr>
          <w:lang w:val="es-ES"/>
        </w:rPr>
        <w:t>«</w:t>
      </w:r>
      <w:r w:rsidR="00D66182" w:rsidRPr="00E16CEB">
        <w:rPr>
          <w:lang w:val="es-ES"/>
        </w:rPr>
        <w:t>Negativa a la información solicitada</w:t>
      </w:r>
      <w:r w:rsidR="00300EA0" w:rsidRPr="00E16CEB">
        <w:rPr>
          <w:lang w:val="es-ES"/>
        </w:rPr>
        <w:t>» (Sic)</w:t>
      </w:r>
    </w:p>
    <w:p w14:paraId="0A3CE1C1" w14:textId="77777777" w:rsidR="00390EBF" w:rsidRPr="00E16CEB" w:rsidRDefault="00390EBF" w:rsidP="006922F5">
      <w:pPr>
        <w:contextualSpacing/>
        <w:rPr>
          <w:rFonts w:eastAsia="Palatino Linotype" w:cs="Palatino Linotype"/>
          <w:iCs/>
          <w:szCs w:val="24"/>
          <w:lang w:val="es-ES"/>
        </w:rPr>
      </w:pPr>
    </w:p>
    <w:p w14:paraId="11D7F189" w14:textId="6263F1D2" w:rsidR="00A970D5" w:rsidRPr="00E16CEB" w:rsidRDefault="00EB6D7F" w:rsidP="006922F5">
      <w:pPr>
        <w:pStyle w:val="Ttulo2"/>
        <w:rPr>
          <w:rFonts w:eastAsia="Palatino Linotype"/>
        </w:rPr>
      </w:pPr>
      <w:r w:rsidRPr="00E16CEB">
        <w:rPr>
          <w:rFonts w:eastAsia="Palatino Linotype"/>
        </w:rPr>
        <w:lastRenderedPageBreak/>
        <w:t>CUAR</w:t>
      </w:r>
      <w:r w:rsidR="007A1154" w:rsidRPr="00E16CEB">
        <w:rPr>
          <w:rFonts w:eastAsia="Palatino Linotype"/>
        </w:rPr>
        <w:t>TO</w:t>
      </w:r>
      <w:r w:rsidR="00A970D5" w:rsidRPr="00E16CEB">
        <w:rPr>
          <w:rFonts w:eastAsia="Palatino Linotype"/>
        </w:rPr>
        <w:t>. Del turno y admisión del recurso de revisión.</w:t>
      </w:r>
    </w:p>
    <w:p w14:paraId="2459DEBA" w14:textId="031F4333" w:rsidR="00A970D5" w:rsidRPr="00E16CEB" w:rsidRDefault="70652167" w:rsidP="27EA7DDB">
      <w:pPr>
        <w:pBdr>
          <w:top w:val="nil"/>
          <w:left w:val="nil"/>
          <w:bottom w:val="nil"/>
          <w:right w:val="nil"/>
          <w:between w:val="nil"/>
        </w:pBdr>
        <w:contextualSpacing/>
        <w:rPr>
          <w:rFonts w:eastAsia="Palatino Linotype" w:cs="Palatino Linotype"/>
          <w:color w:val="000000"/>
          <w:lang w:val="es-ES"/>
        </w:rPr>
      </w:pPr>
      <w:r w:rsidRPr="00E16CEB">
        <w:rPr>
          <w:rFonts w:eastAsia="Palatino Linotype" w:cs="Palatino Linotype"/>
          <w:color w:val="000000" w:themeColor="text1"/>
          <w:lang w:val="es-ES"/>
        </w:rPr>
        <w:t xml:space="preserve">Medio de impugnación que le fue turnado al </w:t>
      </w:r>
      <w:r w:rsidRPr="00E16CEB">
        <w:rPr>
          <w:rFonts w:eastAsia="Palatino Linotype" w:cs="Palatino Linotype"/>
          <w:b/>
          <w:bCs/>
          <w:color w:val="000000" w:themeColor="text1"/>
          <w:lang w:val="es-ES"/>
        </w:rPr>
        <w:t>Comisionado Presidente José Martínez Vilchis</w:t>
      </w:r>
      <w:r w:rsidRPr="00E16CEB">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E16CEB">
        <w:rPr>
          <w:rFonts w:eastAsia="Palatino Linotype" w:cs="Palatino Linotype"/>
          <w:color w:val="000000" w:themeColor="text1"/>
          <w:lang w:val="es-ES"/>
        </w:rPr>
        <w:t xml:space="preserve"> admisión de fecha</w:t>
      </w:r>
      <w:r w:rsidR="007E307B" w:rsidRPr="00E16CEB">
        <w:rPr>
          <w:rFonts w:eastAsia="Palatino Linotype" w:cs="Palatino Linotype"/>
          <w:color w:val="000000" w:themeColor="text1"/>
          <w:lang w:val="es-ES"/>
        </w:rPr>
        <w:t xml:space="preserve"> </w:t>
      </w:r>
      <w:r w:rsidR="00295B10" w:rsidRPr="00E16CEB">
        <w:rPr>
          <w:rFonts w:eastAsia="Palatino Linotype" w:cs="Palatino Linotype"/>
          <w:color w:val="000000" w:themeColor="text1"/>
          <w:lang w:val="es-ES"/>
        </w:rPr>
        <w:t>once de marzo</w:t>
      </w:r>
      <w:r w:rsidR="00EB6D7F" w:rsidRPr="00E16CEB">
        <w:rPr>
          <w:rFonts w:eastAsia="Palatino Linotype" w:cs="Palatino Linotype"/>
          <w:color w:val="000000" w:themeColor="text1"/>
          <w:lang w:val="es-ES"/>
        </w:rPr>
        <w:t xml:space="preserve"> </w:t>
      </w:r>
      <w:r w:rsidR="00774AC3" w:rsidRPr="00E16CEB">
        <w:rPr>
          <w:rFonts w:eastAsia="Palatino Linotype" w:cs="Palatino Linotype"/>
          <w:color w:val="000000" w:themeColor="text1"/>
          <w:lang w:val="es-ES"/>
        </w:rPr>
        <w:t xml:space="preserve">de </w:t>
      </w:r>
      <w:r w:rsidR="00BE59B8" w:rsidRPr="00E16CEB">
        <w:rPr>
          <w:rFonts w:eastAsia="Palatino Linotype" w:cs="Palatino Linotype"/>
          <w:color w:val="000000" w:themeColor="text1"/>
          <w:lang w:val="es-ES"/>
        </w:rPr>
        <w:t>dos mil veintiséis</w:t>
      </w:r>
      <w:r w:rsidRPr="00E16CEB">
        <w:rPr>
          <w:rFonts w:eastAsia="Palatino Linotype" w:cs="Palatino Linotype"/>
          <w:color w:val="000000" w:themeColor="text1"/>
          <w:lang w:val="es-ES"/>
        </w:rPr>
        <w:t xml:space="preserve">, </w:t>
      </w:r>
      <w:r w:rsidRPr="00E16CEB">
        <w:rPr>
          <w:rFonts w:eastAsia="Palatino Linotype" w:cs="Palatino Linotype"/>
          <w:lang w:val="es-ES"/>
        </w:rPr>
        <w:t>otorgándose</w:t>
      </w:r>
      <w:r w:rsidRPr="00E16CEB">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E16CEB"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593C4D04" w:rsidR="00A970D5" w:rsidRPr="00E16CEB" w:rsidRDefault="00EB6D7F" w:rsidP="006922F5">
      <w:pPr>
        <w:pStyle w:val="Ttulo2"/>
        <w:rPr>
          <w:rFonts w:eastAsia="Palatino Linotype"/>
        </w:rPr>
      </w:pPr>
      <w:r w:rsidRPr="00E16CEB">
        <w:rPr>
          <w:rFonts w:eastAsia="Palatino Linotype"/>
        </w:rPr>
        <w:t>QUIN</w:t>
      </w:r>
      <w:r w:rsidR="007A1154" w:rsidRPr="00E16CEB">
        <w:rPr>
          <w:rFonts w:eastAsia="Palatino Linotype"/>
        </w:rPr>
        <w:t>TO</w:t>
      </w:r>
      <w:r w:rsidR="00A970D5" w:rsidRPr="00E16CEB">
        <w:rPr>
          <w:rFonts w:eastAsia="Palatino Linotype"/>
        </w:rPr>
        <w:t>. De la etapa de instrucción.</w:t>
      </w:r>
    </w:p>
    <w:p w14:paraId="45C3A73D" w14:textId="0892D3DE" w:rsidR="004C13DE" w:rsidRPr="00E16CEB" w:rsidRDefault="004C13DE" w:rsidP="5257D7BA">
      <w:pPr>
        <w:pBdr>
          <w:top w:val="nil"/>
          <w:left w:val="nil"/>
          <w:bottom w:val="nil"/>
          <w:right w:val="nil"/>
          <w:between w:val="nil"/>
        </w:pBdr>
        <w:rPr>
          <w:rFonts w:eastAsia="Palatino Linotype" w:cs="Palatino Linotype"/>
          <w:color w:val="000000" w:themeColor="text1"/>
        </w:rPr>
      </w:pPr>
      <w:r w:rsidRPr="00E16CEB">
        <w:rPr>
          <w:rFonts w:eastAsia="Palatino Linotype" w:cs="Palatino Linotype"/>
          <w:color w:val="000000" w:themeColor="text1"/>
        </w:rPr>
        <w:t xml:space="preserve">Durante la etapa de instrucción, se observa que el </w:t>
      </w:r>
      <w:r w:rsidR="00106AA4" w:rsidRPr="00E16CEB">
        <w:rPr>
          <w:rFonts w:eastAsia="Palatino Linotype" w:cs="Palatino Linotype"/>
          <w:color w:val="000000" w:themeColor="text1"/>
        </w:rPr>
        <w:t>d</w:t>
      </w:r>
      <w:r w:rsidR="00EB6D7F" w:rsidRPr="00E16CEB">
        <w:rPr>
          <w:rFonts w:eastAsia="Palatino Linotype" w:cs="Palatino Linotype"/>
          <w:color w:val="000000" w:themeColor="text1"/>
        </w:rPr>
        <w:t xml:space="preserve">iecinueve de </w:t>
      </w:r>
      <w:r w:rsidR="00646BE2" w:rsidRPr="00E16CEB">
        <w:rPr>
          <w:rFonts w:eastAsia="Palatino Linotype" w:cs="Palatino Linotype"/>
          <w:color w:val="000000" w:themeColor="text1"/>
        </w:rPr>
        <w:t>marzo</w:t>
      </w:r>
      <w:r w:rsidRPr="00E16CEB">
        <w:rPr>
          <w:rFonts w:eastAsia="Palatino Linotype" w:cs="Palatino Linotype"/>
          <w:color w:val="000000" w:themeColor="text1"/>
        </w:rPr>
        <w:t xml:space="preserve"> de </w:t>
      </w:r>
      <w:r w:rsidR="00BE59B8" w:rsidRPr="00E16CEB">
        <w:rPr>
          <w:rFonts w:eastAsia="Palatino Linotype" w:cs="Palatino Linotype"/>
          <w:color w:val="000000" w:themeColor="text1"/>
        </w:rPr>
        <w:t>dos mil veintiséis</w:t>
      </w:r>
      <w:r w:rsidRPr="00E16CEB">
        <w:rPr>
          <w:rFonts w:eastAsia="Palatino Linotype" w:cs="Palatino Linotype"/>
          <w:color w:val="000000" w:themeColor="text1"/>
        </w:rPr>
        <w:t>, el Sujeto Obligado rindió su Informe Justificado mediante la presentación de</w:t>
      </w:r>
      <w:r w:rsidR="00106AA4" w:rsidRPr="00E16CEB">
        <w:rPr>
          <w:rFonts w:eastAsia="Palatino Linotype" w:cs="Palatino Linotype"/>
          <w:color w:val="000000" w:themeColor="text1"/>
        </w:rPr>
        <w:t>l</w:t>
      </w:r>
      <w:r w:rsidRPr="00E16CEB">
        <w:rPr>
          <w:rFonts w:eastAsia="Palatino Linotype" w:cs="Palatino Linotype"/>
          <w:color w:val="000000" w:themeColor="text1"/>
        </w:rPr>
        <w:t xml:space="preserve"> documento denominado </w:t>
      </w:r>
      <w:r w:rsidRPr="00E16CEB">
        <w:rPr>
          <w:rFonts w:eastAsia="Palatino Linotype" w:cs="Palatino Linotype"/>
          <w:b/>
          <w:bCs/>
          <w:color w:val="000000" w:themeColor="text1"/>
        </w:rPr>
        <w:t>«</w:t>
      </w:r>
      <w:r w:rsidR="007F1489" w:rsidRPr="00E16CEB">
        <w:rPr>
          <w:b/>
          <w:bCs/>
        </w:rPr>
        <w:t>c</w:t>
      </w:r>
      <w:r w:rsidR="007F1489" w:rsidRPr="00E16CEB">
        <w:rPr>
          <w:rFonts w:eastAsia="Palatino Linotype" w:cs="Palatino Linotype"/>
          <w:b/>
          <w:bCs/>
          <w:color w:val="000000" w:themeColor="text1"/>
        </w:rPr>
        <w:t>ambio de modalidad RR_03060_2026.pdf</w:t>
      </w:r>
      <w:r w:rsidRPr="00E16CEB">
        <w:rPr>
          <w:rFonts w:eastAsia="Palatino Linotype" w:cs="Palatino Linotype"/>
          <w:b/>
          <w:bCs/>
          <w:color w:val="000000" w:themeColor="text1"/>
        </w:rPr>
        <w:t>»</w:t>
      </w:r>
      <w:r w:rsidRPr="00E16CEB">
        <w:rPr>
          <w:rFonts w:eastAsia="Palatino Linotype" w:cs="Palatino Linotype"/>
          <w:color w:val="000000" w:themeColor="text1"/>
        </w:rPr>
        <w:t>, documentación que fue puesta a la vista del Recurrente mediante acuerdo de fecha</w:t>
      </w:r>
      <w:r w:rsidR="00EB6D7F" w:rsidRPr="00E16CEB">
        <w:rPr>
          <w:rFonts w:eastAsia="Palatino Linotype" w:cs="Palatino Linotype"/>
          <w:color w:val="000000" w:themeColor="text1"/>
        </w:rPr>
        <w:t xml:space="preserve"> </w:t>
      </w:r>
      <w:r w:rsidR="007F1489" w:rsidRPr="00E16CEB">
        <w:rPr>
          <w:rFonts w:eastAsia="Palatino Linotype" w:cs="Palatino Linotype"/>
          <w:color w:val="000000" w:themeColor="text1"/>
        </w:rPr>
        <w:t>veinticuatro de marzo</w:t>
      </w:r>
      <w:r w:rsidR="00EB6D7F" w:rsidRPr="00E16CEB">
        <w:rPr>
          <w:rFonts w:eastAsia="Palatino Linotype" w:cs="Palatino Linotype"/>
          <w:color w:val="000000" w:themeColor="text1"/>
        </w:rPr>
        <w:t xml:space="preserve"> de dos mil veintiséis</w:t>
      </w:r>
      <w:r w:rsidRPr="00E16CEB">
        <w:rPr>
          <w:rFonts w:eastAsia="Palatino Linotype" w:cs="Palatino Linotype"/>
          <w:color w:val="000000" w:themeColor="text1"/>
        </w:rPr>
        <w:t>,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10350671" w14:textId="77777777" w:rsidR="00EB6D7F" w:rsidRPr="00E16CEB" w:rsidRDefault="00EB6D7F" w:rsidP="5257D7BA">
      <w:pPr>
        <w:pBdr>
          <w:top w:val="nil"/>
          <w:left w:val="nil"/>
          <w:bottom w:val="nil"/>
          <w:right w:val="nil"/>
          <w:between w:val="nil"/>
        </w:pBdr>
        <w:rPr>
          <w:rFonts w:eastAsia="Palatino Linotype" w:cs="Palatino Linotype"/>
          <w:color w:val="000000"/>
        </w:rPr>
      </w:pPr>
    </w:p>
    <w:p w14:paraId="75BA122E" w14:textId="20D7E86C" w:rsidR="00EB6D7F" w:rsidRPr="00E16CEB" w:rsidRDefault="00EB6D7F" w:rsidP="00EB6D7F">
      <w:pPr>
        <w:pStyle w:val="Ttulo2"/>
        <w:rPr>
          <w:rFonts w:eastAsia="Palatino Linotype"/>
        </w:rPr>
      </w:pPr>
      <w:r w:rsidRPr="00E16CEB">
        <w:rPr>
          <w:rFonts w:eastAsiaTheme="minorHAnsi"/>
          <w:lang w:eastAsia="en-US"/>
        </w:rPr>
        <w:t>SEXTO</w:t>
      </w:r>
      <w:r w:rsidRPr="00E16CEB">
        <w:rPr>
          <w:rFonts w:eastAsia="Palatino Linotype"/>
        </w:rPr>
        <w:t>. Del cierre de instrucción.</w:t>
      </w:r>
    </w:p>
    <w:p w14:paraId="7E586997" w14:textId="33204BC9" w:rsidR="00EB6D7F" w:rsidRPr="00E16CEB" w:rsidRDefault="00EB6D7F" w:rsidP="00EB6D7F">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 xml:space="preserve">Así, una vez transcurrido el término legal, se decretó el cierre de instrucción el </w:t>
      </w:r>
      <w:r w:rsidR="00601A5B" w:rsidRPr="00E16CEB">
        <w:rPr>
          <w:rFonts w:eastAsia="Palatino Linotype" w:cs="Palatino Linotype"/>
          <w:color w:val="000000" w:themeColor="text1"/>
        </w:rPr>
        <w:t xml:space="preserve">seis de abril </w:t>
      </w:r>
      <w:r w:rsidRPr="00E16CEB">
        <w:rPr>
          <w:rFonts w:eastAsia="Palatino Linotype" w:cs="Palatino Linotype"/>
          <w:color w:val="000000" w:themeColor="text1"/>
        </w:rPr>
        <w:t>de dos mil veintiséis</w:t>
      </w:r>
      <w:r w:rsidRPr="00E16CEB">
        <w:rPr>
          <w:rFonts w:eastAsia="Palatino Linotype" w:cs="Palatino Linotype"/>
          <w:color w:val="000000"/>
          <w:szCs w:val="24"/>
        </w:rPr>
        <w:t xml:space="preserve">, en términos del artículo 185 fracción VI de la Ley de </w:t>
      </w:r>
      <w:r w:rsidRPr="00E16CEB">
        <w:rPr>
          <w:rFonts w:eastAsia="Palatino Linotype" w:cs="Palatino Linotype"/>
          <w:color w:val="000000"/>
          <w:szCs w:val="24"/>
        </w:rPr>
        <w:lastRenderedPageBreak/>
        <w:t>Transparencia y Acceso a la Información Pública del Estado de México y Municipios, iniciando el término legal para dictar resolución definitiva del asunto.</w:t>
      </w:r>
    </w:p>
    <w:p w14:paraId="2973A303" w14:textId="77777777" w:rsidR="00066F39" w:rsidRPr="00E16CEB" w:rsidRDefault="00066F39" w:rsidP="006922F5">
      <w:pPr>
        <w:pBdr>
          <w:top w:val="nil"/>
          <w:left w:val="nil"/>
          <w:bottom w:val="nil"/>
          <w:right w:val="nil"/>
          <w:between w:val="nil"/>
        </w:pBdr>
        <w:contextualSpacing/>
        <w:rPr>
          <w:rFonts w:eastAsia="Palatino Linotype" w:cs="Palatino Linotype"/>
          <w:color w:val="000000"/>
          <w:szCs w:val="24"/>
        </w:rPr>
      </w:pPr>
    </w:p>
    <w:p w14:paraId="5D781C75" w14:textId="500CBA9D" w:rsidR="00701C12" w:rsidRPr="00E16CEB" w:rsidRDefault="00D1469B" w:rsidP="00701C12">
      <w:pPr>
        <w:pStyle w:val="Ttulo2"/>
        <w:rPr>
          <w:rFonts w:eastAsiaTheme="minorHAnsi"/>
          <w:lang w:eastAsia="en-US"/>
        </w:rPr>
      </w:pPr>
      <w:r w:rsidRPr="00E16CEB">
        <w:rPr>
          <w:rFonts w:eastAsiaTheme="minorHAnsi"/>
          <w:lang w:eastAsia="en-US"/>
        </w:rPr>
        <w:t>SÉPTIMO</w:t>
      </w:r>
      <w:r w:rsidR="006B2CFA" w:rsidRPr="00E16CEB">
        <w:rPr>
          <w:rFonts w:eastAsiaTheme="minorHAnsi"/>
          <w:lang w:eastAsia="en-US"/>
        </w:rPr>
        <w:t xml:space="preserve">. </w:t>
      </w:r>
      <w:r w:rsidR="00701C12" w:rsidRPr="00E16CEB">
        <w:rPr>
          <w:rFonts w:eastAsiaTheme="minorHAnsi"/>
          <w:lang w:eastAsia="en-US"/>
        </w:rPr>
        <w:t>De la ampliación del término para resolver.</w:t>
      </w:r>
    </w:p>
    <w:p w14:paraId="63E8A3C5" w14:textId="25BE84C0" w:rsidR="00701C12" w:rsidRPr="00E16CEB" w:rsidRDefault="00701C12" w:rsidP="00701C12">
      <w:pPr>
        <w:pBdr>
          <w:top w:val="nil"/>
          <w:left w:val="nil"/>
          <w:bottom w:val="nil"/>
          <w:right w:val="nil"/>
          <w:between w:val="nil"/>
        </w:pBdr>
        <w:contextualSpacing/>
        <w:rPr>
          <w:rFonts w:eastAsiaTheme="minorHAnsi" w:cstheme="minorBidi"/>
          <w:szCs w:val="24"/>
          <w:lang w:eastAsia="en-US"/>
        </w:rPr>
      </w:pPr>
      <w:r w:rsidRPr="00E16CEB">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601A5B" w:rsidRPr="00E16CEB">
        <w:rPr>
          <w:rFonts w:eastAsia="Palatino Linotype" w:cs="Palatino Linotype"/>
          <w:color w:val="000000" w:themeColor="text1"/>
        </w:rPr>
        <w:t>treinta de abril</w:t>
      </w:r>
      <w:r w:rsidR="00EB6D7F" w:rsidRPr="00E16CEB">
        <w:rPr>
          <w:rFonts w:eastAsia="Palatino Linotype" w:cs="Palatino Linotype"/>
          <w:color w:val="000000" w:themeColor="text1"/>
        </w:rPr>
        <w:t xml:space="preserve"> de dos mil veintiséis</w:t>
      </w:r>
      <w:r w:rsidRPr="00E16CEB">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D133E2" w14:textId="77777777" w:rsidR="00CD15AC" w:rsidRPr="00E16CEB" w:rsidRDefault="00CD15AC" w:rsidP="00701C12">
      <w:pPr>
        <w:pBdr>
          <w:top w:val="nil"/>
          <w:left w:val="nil"/>
          <w:bottom w:val="nil"/>
          <w:right w:val="nil"/>
          <w:between w:val="nil"/>
        </w:pBdr>
        <w:contextualSpacing/>
        <w:rPr>
          <w:rFonts w:eastAsiaTheme="minorHAnsi" w:cstheme="minorBidi"/>
          <w:szCs w:val="24"/>
          <w:lang w:eastAsia="en-US"/>
        </w:rPr>
      </w:pPr>
    </w:p>
    <w:p w14:paraId="16D594B3" w14:textId="77777777" w:rsidR="00701C12" w:rsidRPr="00E16CEB" w:rsidRDefault="00701C12" w:rsidP="00701C12">
      <w:pPr>
        <w:pStyle w:val="Ttulo1"/>
        <w:rPr>
          <w:rFonts w:eastAsia="Palatino Linotype"/>
          <w:lang w:val="es-ES_tradnl"/>
        </w:rPr>
      </w:pPr>
      <w:r w:rsidRPr="00E16CEB">
        <w:rPr>
          <w:rFonts w:eastAsia="Palatino Linotype"/>
          <w:lang w:val="es-ES_tradnl"/>
        </w:rPr>
        <w:t>C O N S I D E R A N D O</w:t>
      </w:r>
    </w:p>
    <w:p w14:paraId="1AB65D63" w14:textId="77777777" w:rsidR="00701C12" w:rsidRPr="00E16CEB"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E16CEB" w:rsidRDefault="00701C12" w:rsidP="00701C12">
      <w:pPr>
        <w:pStyle w:val="Ttulo2"/>
        <w:rPr>
          <w:rFonts w:eastAsia="Palatino Linotype"/>
        </w:rPr>
      </w:pPr>
      <w:r w:rsidRPr="00E16CEB">
        <w:rPr>
          <w:rFonts w:eastAsia="Palatino Linotype"/>
        </w:rPr>
        <w:t>PRIMERO. De la competencia.</w:t>
      </w:r>
    </w:p>
    <w:p w14:paraId="2C15601F" w14:textId="701F5E8C" w:rsidR="003337B6" w:rsidRPr="00E16CEB" w:rsidRDefault="003337B6" w:rsidP="003337B6">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E16CEB">
        <w:rPr>
          <w:rFonts w:eastAsia="Palatino Linotype" w:cs="Palatino Linotype"/>
          <w:color w:val="000000"/>
          <w:szCs w:val="24"/>
        </w:rPr>
        <w:t>cuadragésimo cuarto, cuadragésimo quinto y cuadragésimo sexto</w:t>
      </w:r>
      <w:r w:rsidRPr="00E16CEB">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w:t>
      </w:r>
      <w:r w:rsidRPr="00E16CEB">
        <w:rPr>
          <w:rFonts w:eastAsia="Palatino Linotype" w:cs="Palatino Linotype"/>
          <w:color w:val="000000"/>
          <w:szCs w:val="24"/>
        </w:rPr>
        <w:lastRenderedPageBreak/>
        <w:t>Información Pública y Protección de Datos Personales del Estado de México y Municipios.</w:t>
      </w:r>
    </w:p>
    <w:p w14:paraId="79636B37" w14:textId="77777777" w:rsidR="00701C12" w:rsidRPr="00E16CEB"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E16CEB" w:rsidRDefault="00701C12" w:rsidP="00701C12">
      <w:pPr>
        <w:pStyle w:val="Ttulo2"/>
        <w:rPr>
          <w:rFonts w:eastAsia="Palatino Linotype"/>
        </w:rPr>
      </w:pPr>
      <w:r w:rsidRPr="00E16CEB">
        <w:rPr>
          <w:rFonts w:eastAsia="Palatino Linotype"/>
        </w:rPr>
        <w:t xml:space="preserve">SEGUNDO. Sobre los alcances del recurso de revisión. </w:t>
      </w:r>
    </w:p>
    <w:p w14:paraId="202D86EE" w14:textId="77777777" w:rsidR="00701C12" w:rsidRPr="00E16CEB" w:rsidRDefault="00701C12" w:rsidP="00701C12">
      <w:r w:rsidRPr="00E16CEB">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D9E25B7" w14:textId="77777777" w:rsidR="00701C12" w:rsidRPr="00E16CEB" w:rsidRDefault="00701C12" w:rsidP="00701C12"/>
    <w:p w14:paraId="467F28FA" w14:textId="7DD96A8D" w:rsidR="00701C12" w:rsidRPr="00E16CEB" w:rsidRDefault="001902BE" w:rsidP="00701C12">
      <w:pPr>
        <w:pStyle w:val="Ttulo2"/>
        <w:rPr>
          <w:rFonts w:eastAsia="Palatino Linotype"/>
        </w:rPr>
      </w:pPr>
      <w:r w:rsidRPr="00E16CEB">
        <w:rPr>
          <w:rFonts w:eastAsia="Palatino Linotype"/>
        </w:rPr>
        <w:t>TERCERO</w:t>
      </w:r>
      <w:r w:rsidR="00701C12" w:rsidRPr="00E16CEB">
        <w:rPr>
          <w:rFonts w:eastAsia="Palatino Linotype"/>
        </w:rPr>
        <w:t>. De las causas de improcedencia.</w:t>
      </w:r>
    </w:p>
    <w:p w14:paraId="1753D704" w14:textId="77777777" w:rsidR="00701C12" w:rsidRPr="00E16CEB" w:rsidRDefault="00701C12" w:rsidP="00701C12">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E16CEB"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E16CEB" w:rsidRDefault="00701C12" w:rsidP="00701C12">
      <w:pPr>
        <w:pBdr>
          <w:top w:val="nil"/>
          <w:left w:val="nil"/>
          <w:bottom w:val="nil"/>
          <w:right w:val="nil"/>
          <w:between w:val="nil"/>
        </w:pBdr>
        <w:contextualSpacing/>
        <w:rPr>
          <w:rFonts w:eastAsia="Palatino Linotype" w:cs="Palatino Linotype"/>
          <w:color w:val="000000"/>
          <w:lang w:val="es-ES"/>
        </w:rPr>
      </w:pPr>
      <w:r w:rsidRPr="00E16CEB">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E16CEB">
        <w:rPr>
          <w:rFonts w:eastAsia="Palatino Linotype" w:cs="Palatino Linotype"/>
          <w:color w:val="000000"/>
          <w:lang w:val="es-ES"/>
        </w:rPr>
        <w:lastRenderedPageBreak/>
        <w:t>una figura procesal adoptada en la ley de la materia</w:t>
      </w:r>
      <w:r w:rsidRPr="00E16CEB">
        <w:rPr>
          <w:rFonts w:eastAsia="Palatino Linotype" w:cs="Palatino Linotype"/>
          <w:color w:val="000000"/>
          <w:vertAlign w:val="superscript"/>
          <w:lang w:val="es-ES"/>
        </w:rPr>
        <w:footnoteReference w:id="2"/>
      </w:r>
      <w:r w:rsidRPr="00E16CEB">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02D09A72" w14:textId="77777777" w:rsidR="00701C12" w:rsidRPr="00E16CEB"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E16CEB" w:rsidRDefault="00701C12" w:rsidP="00701C12">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E16CEB"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2CF01DC1" w:rsidR="00701C12" w:rsidRPr="00E16CEB" w:rsidRDefault="001902BE" w:rsidP="00701C12">
      <w:pPr>
        <w:pStyle w:val="Ttulo2"/>
        <w:rPr>
          <w:rFonts w:eastAsia="Palatino Linotype"/>
        </w:rPr>
      </w:pPr>
      <w:r w:rsidRPr="00E16CEB">
        <w:rPr>
          <w:rFonts w:eastAsia="Palatino Linotype"/>
        </w:rPr>
        <w:lastRenderedPageBreak/>
        <w:t>CUAR</w:t>
      </w:r>
      <w:r w:rsidR="00701C12" w:rsidRPr="00E16CEB">
        <w:rPr>
          <w:rFonts w:eastAsia="Palatino Linotype"/>
        </w:rPr>
        <w:t>TO. Estudio y resolución del asunto.</w:t>
      </w:r>
    </w:p>
    <w:p w14:paraId="1946B643" w14:textId="77777777" w:rsidR="00701C12" w:rsidRPr="00E16CEB" w:rsidRDefault="00701C12" w:rsidP="00701C12">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E16CEB" w:rsidRDefault="004A3367" w:rsidP="004A3367">
      <w:pPr>
        <w:rPr>
          <w:rFonts w:eastAsiaTheme="minorHAnsi" w:cstheme="minorBidi"/>
          <w:sz w:val="22"/>
          <w:lang w:eastAsia="en-US"/>
        </w:rPr>
      </w:pPr>
    </w:p>
    <w:p w14:paraId="582C42A0" w14:textId="539EDFE8" w:rsidR="00270B08" w:rsidRPr="00E16CEB" w:rsidRDefault="0EE28084" w:rsidP="00F54EF7">
      <w:pPr>
        <w:rPr>
          <w:rFonts w:eastAsiaTheme="minorEastAsia" w:cstheme="minorBidi"/>
          <w:lang w:eastAsia="en-US"/>
        </w:rPr>
      </w:pPr>
      <w:r w:rsidRPr="00E16CEB">
        <w:rPr>
          <w:rFonts w:eastAsiaTheme="minorEastAsia" w:cstheme="minorBidi"/>
          <w:lang w:val="es-ES" w:eastAsia="en-US"/>
        </w:rPr>
        <w:t xml:space="preserve">En virtud de lo anterior, es conveniente recordar que </w:t>
      </w:r>
      <w:r w:rsidR="008A7F39" w:rsidRPr="00E16CEB">
        <w:rPr>
          <w:rFonts w:eastAsiaTheme="minorEastAsia" w:cstheme="minorBidi"/>
          <w:lang w:val="es-ES" w:eastAsia="en-US"/>
        </w:rPr>
        <w:t>el Recurrente</w:t>
      </w:r>
      <w:r w:rsidRPr="00E16CEB">
        <w:rPr>
          <w:rFonts w:eastAsiaTheme="minorEastAsia" w:cstheme="minorBidi"/>
          <w:lang w:val="es-ES" w:eastAsia="en-US"/>
        </w:rPr>
        <w:t xml:space="preserve"> requirió que</w:t>
      </w:r>
      <w:r w:rsidR="00D31CA9" w:rsidRPr="00E16CEB">
        <w:rPr>
          <w:rFonts w:eastAsiaTheme="minorEastAsia" w:cstheme="minorBidi"/>
          <w:lang w:val="es-ES" w:eastAsia="en-US"/>
        </w:rPr>
        <w:t xml:space="preserve"> </w:t>
      </w:r>
      <w:r w:rsidR="00E40EDA" w:rsidRPr="00E16CEB">
        <w:rPr>
          <w:rFonts w:eastAsiaTheme="minorEastAsia" w:cstheme="minorBidi"/>
          <w:lang w:val="es-ES" w:eastAsia="en-US"/>
        </w:rPr>
        <w:t>se le proporcionara</w:t>
      </w:r>
      <w:r w:rsidR="004B69FA" w:rsidRPr="00E16CEB">
        <w:rPr>
          <w:rFonts w:eastAsiaTheme="minorEastAsia" w:cstheme="minorBidi"/>
          <w:lang w:val="es-ES" w:eastAsia="en-US"/>
        </w:rPr>
        <w:t>n</w:t>
      </w:r>
      <w:r w:rsidR="001902BE" w:rsidRPr="00E16CEB">
        <w:rPr>
          <w:rFonts w:eastAsiaTheme="minorEastAsia" w:cstheme="minorBidi"/>
          <w:lang w:val="es-ES" w:eastAsia="en-US"/>
        </w:rPr>
        <w:t xml:space="preserve"> </w:t>
      </w:r>
      <w:r w:rsidR="005910E7" w:rsidRPr="00E16CEB">
        <w:rPr>
          <w:rFonts w:eastAsiaTheme="minorEastAsia" w:cstheme="minorBidi"/>
          <w:lang w:val="es-ES" w:eastAsia="en-US"/>
        </w:rPr>
        <w:t xml:space="preserve">las facturas pagadas </w:t>
      </w:r>
      <w:r w:rsidR="00D208C2" w:rsidRPr="00E16CEB">
        <w:rPr>
          <w:rFonts w:eastAsiaTheme="minorEastAsia" w:cstheme="minorBidi"/>
          <w:lang w:val="es-ES" w:eastAsia="en-US"/>
        </w:rPr>
        <w:t xml:space="preserve">por un monto mayor a </w:t>
      </w:r>
      <w:r w:rsidR="005910E7" w:rsidRPr="00E16CEB">
        <w:rPr>
          <w:rFonts w:eastAsiaTheme="minorEastAsia" w:cstheme="minorBidi"/>
          <w:lang w:val="es-ES" w:eastAsia="en-US"/>
        </w:rPr>
        <w:t>un $1</w:t>
      </w:r>
      <w:r w:rsidR="00E32448" w:rsidRPr="00E16CEB">
        <w:rPr>
          <w:rFonts w:eastAsiaTheme="minorEastAsia" w:cstheme="minorBidi"/>
          <w:lang w:val="es-ES" w:eastAsia="en-US"/>
        </w:rPr>
        <w:t>00 000.00 (</w:t>
      </w:r>
      <w:r w:rsidR="00D208C2" w:rsidRPr="00E16CEB">
        <w:rPr>
          <w:rFonts w:eastAsiaTheme="minorEastAsia" w:cstheme="minorBidi"/>
          <w:lang w:val="es-ES" w:eastAsia="en-US"/>
        </w:rPr>
        <w:t xml:space="preserve">cien mil </w:t>
      </w:r>
      <w:r w:rsidR="00E32448" w:rsidRPr="00E16CEB">
        <w:rPr>
          <w:rFonts w:eastAsiaTheme="minorEastAsia" w:cstheme="minorBidi"/>
          <w:lang w:val="es-ES" w:eastAsia="en-US"/>
        </w:rPr>
        <w:t xml:space="preserve">pesos </w:t>
      </w:r>
      <w:r w:rsidR="003C5351" w:rsidRPr="00E16CEB">
        <w:rPr>
          <w:rFonts w:eastAsiaTheme="minorEastAsia" w:cstheme="minorBidi"/>
          <w:lang w:val="es-ES" w:eastAsia="en-US"/>
        </w:rPr>
        <w:t xml:space="preserve">00/100 M.N.) </w:t>
      </w:r>
      <w:r w:rsidR="00673812" w:rsidRPr="00E16CEB">
        <w:rPr>
          <w:rFonts w:eastAsiaTheme="minorEastAsia" w:cstheme="minorBidi"/>
          <w:lang w:val="es-ES" w:eastAsia="en-US"/>
        </w:rPr>
        <w:t xml:space="preserve">durante el ejercicio fiscal 2025. </w:t>
      </w:r>
    </w:p>
    <w:p w14:paraId="093B1C89" w14:textId="77777777" w:rsidR="00012F8B" w:rsidRPr="00E16CEB" w:rsidRDefault="00012F8B" w:rsidP="00AA6088">
      <w:pPr>
        <w:pBdr>
          <w:top w:val="nil"/>
          <w:left w:val="nil"/>
          <w:bottom w:val="nil"/>
          <w:right w:val="nil"/>
          <w:between w:val="nil"/>
        </w:pBdr>
        <w:contextualSpacing/>
        <w:rPr>
          <w:rFonts w:eastAsia="Palatino Linotype" w:cs="Palatino Linotype"/>
          <w:color w:val="000000"/>
          <w:szCs w:val="24"/>
        </w:rPr>
      </w:pPr>
    </w:p>
    <w:p w14:paraId="20C4F4CD" w14:textId="4E2B0E78" w:rsidR="003C5351" w:rsidRPr="00E16CEB" w:rsidRDefault="00A970D5" w:rsidP="00F1082C">
      <w:pPr>
        <w:pBdr>
          <w:top w:val="nil"/>
          <w:left w:val="nil"/>
          <w:bottom w:val="nil"/>
          <w:right w:val="nil"/>
          <w:between w:val="nil"/>
        </w:pBdr>
        <w:contextualSpacing/>
        <w:rPr>
          <w:rFonts w:eastAsia="Palatino Linotype" w:cs="Palatino Linotype"/>
          <w:color w:val="000000" w:themeColor="text1"/>
          <w:lang w:val="es-ES"/>
        </w:rPr>
      </w:pPr>
      <w:r w:rsidRPr="00E16CEB">
        <w:rPr>
          <w:rFonts w:eastAsia="Palatino Linotype" w:cs="Palatino Linotype"/>
          <w:color w:val="000000"/>
          <w:szCs w:val="24"/>
        </w:rPr>
        <w:t xml:space="preserve">A dicha solicitud, el Sujeto Obligado </w:t>
      </w:r>
      <w:r w:rsidR="001C4CBF" w:rsidRPr="00E16CEB">
        <w:rPr>
          <w:rFonts w:eastAsia="Palatino Linotype" w:cs="Palatino Linotype"/>
          <w:color w:val="000000"/>
          <w:szCs w:val="24"/>
        </w:rPr>
        <w:t>respondió</w:t>
      </w:r>
      <w:r w:rsidR="006D6CD1" w:rsidRPr="00E16CEB">
        <w:rPr>
          <w:rFonts w:eastAsia="Palatino Linotype" w:cs="Palatino Linotype"/>
          <w:color w:val="000000"/>
          <w:szCs w:val="24"/>
        </w:rPr>
        <w:t xml:space="preserve"> </w:t>
      </w:r>
      <w:r w:rsidR="001F2F39" w:rsidRPr="00E16CEB">
        <w:rPr>
          <w:rFonts w:eastAsia="Palatino Linotype" w:cs="Palatino Linotype"/>
          <w:color w:val="000000"/>
          <w:szCs w:val="24"/>
        </w:rPr>
        <w:t>mediante la entrega de</w:t>
      </w:r>
      <w:r w:rsidR="00673812" w:rsidRPr="00E16CEB">
        <w:rPr>
          <w:rFonts w:eastAsia="Palatino Linotype" w:cs="Palatino Linotype"/>
          <w:color w:val="000000"/>
          <w:szCs w:val="24"/>
        </w:rPr>
        <w:t>l</w:t>
      </w:r>
      <w:r w:rsidR="00DC26F5" w:rsidRPr="00E16CEB">
        <w:rPr>
          <w:rFonts w:eastAsia="Palatino Linotype" w:cs="Palatino Linotype"/>
          <w:color w:val="000000"/>
          <w:szCs w:val="24"/>
        </w:rPr>
        <w:t xml:space="preserve"> </w:t>
      </w:r>
      <w:r w:rsidR="003C5351" w:rsidRPr="00E16CEB">
        <w:rPr>
          <w:rFonts w:eastAsia="Palatino Linotype" w:cs="Palatino Linotype"/>
          <w:color w:val="000000"/>
          <w:szCs w:val="24"/>
        </w:rPr>
        <w:t>siguiente</w:t>
      </w:r>
      <w:r w:rsidR="002E38DA" w:rsidRPr="00E16CEB">
        <w:rPr>
          <w:rFonts w:eastAsia="Palatino Linotype" w:cs="Palatino Linotype"/>
          <w:color w:val="000000"/>
          <w:szCs w:val="24"/>
        </w:rPr>
        <w:t xml:space="preserve"> </w:t>
      </w:r>
      <w:r w:rsidR="003B7D26" w:rsidRPr="00E16CEB">
        <w:rPr>
          <w:rFonts w:eastAsia="Palatino Linotype" w:cs="Palatino Linotype"/>
          <w:color w:val="000000" w:themeColor="text1"/>
          <w:lang w:val="es-ES"/>
        </w:rPr>
        <w:t>documento</w:t>
      </w:r>
      <w:r w:rsidR="003C5351" w:rsidRPr="00E16CEB">
        <w:rPr>
          <w:rFonts w:eastAsia="Palatino Linotype" w:cs="Palatino Linotype"/>
          <w:color w:val="000000" w:themeColor="text1"/>
          <w:lang w:val="es-ES"/>
        </w:rPr>
        <w:t>:</w:t>
      </w:r>
    </w:p>
    <w:p w14:paraId="1DDC89B5" w14:textId="77777777" w:rsidR="003C5351" w:rsidRPr="00E16CEB" w:rsidRDefault="003C5351" w:rsidP="00F1082C">
      <w:pPr>
        <w:pBdr>
          <w:top w:val="nil"/>
          <w:left w:val="nil"/>
          <w:bottom w:val="nil"/>
          <w:right w:val="nil"/>
          <w:between w:val="nil"/>
        </w:pBdr>
        <w:contextualSpacing/>
        <w:rPr>
          <w:rFonts w:eastAsia="Palatino Linotype" w:cs="Palatino Linotype"/>
          <w:color w:val="000000" w:themeColor="text1"/>
          <w:lang w:val="es-ES"/>
        </w:rPr>
      </w:pPr>
    </w:p>
    <w:p w14:paraId="1530F183" w14:textId="5911661E" w:rsidR="003B7D26" w:rsidRPr="00E16CEB" w:rsidRDefault="00DC26F5" w:rsidP="003515E9">
      <w:pPr>
        <w:pStyle w:val="Prrafodelista"/>
        <w:numPr>
          <w:ilvl w:val="0"/>
          <w:numId w:val="64"/>
        </w:numPr>
        <w:pBdr>
          <w:top w:val="nil"/>
          <w:left w:val="nil"/>
          <w:bottom w:val="nil"/>
          <w:right w:val="nil"/>
          <w:between w:val="nil"/>
        </w:pBdr>
        <w:contextualSpacing/>
        <w:rPr>
          <w:rFonts w:eastAsia="Palatino Linotype" w:cs="Palatino Linotype"/>
          <w:color w:val="000000" w:themeColor="text1"/>
        </w:rPr>
      </w:pPr>
      <w:r w:rsidRPr="00E16CEB">
        <w:rPr>
          <w:rFonts w:eastAsia="Palatino Linotype" w:cs="Palatino Linotype"/>
          <w:b/>
          <w:bCs/>
          <w:color w:val="000000" w:themeColor="text1"/>
        </w:rPr>
        <w:t>E-0030 RESPUESTA S.I. 0030-IXTAPALU-IP-2026 TESORERÍA.pdf</w:t>
      </w:r>
      <w:r w:rsidR="00E944DD" w:rsidRPr="00E16CEB">
        <w:rPr>
          <w:rFonts w:eastAsia="Palatino Linotype" w:cs="Palatino Linotype"/>
          <w:color w:val="000000" w:themeColor="text1"/>
        </w:rPr>
        <w:t xml:space="preserve">. </w:t>
      </w:r>
      <w:r w:rsidR="00E728E6" w:rsidRPr="00E16CEB">
        <w:rPr>
          <w:rFonts w:eastAsia="Palatino Linotype" w:cs="Palatino Linotype"/>
          <w:color w:val="000000" w:themeColor="text1"/>
        </w:rPr>
        <w:t xml:space="preserve">Oficio número </w:t>
      </w:r>
      <w:r w:rsidR="003F6A27" w:rsidRPr="00E16CEB">
        <w:rPr>
          <w:rFonts w:eastAsia="Palatino Linotype" w:cs="Palatino Linotype"/>
          <w:color w:val="000000" w:themeColor="text1"/>
        </w:rPr>
        <w:t xml:space="preserve">IXTA/TESO/0112/2026 suscrito por el Tesorero Municipal, con el que se respondió que la </w:t>
      </w:r>
      <w:r w:rsidR="00117ED0" w:rsidRPr="00E16CEB">
        <w:rPr>
          <w:rFonts w:eastAsia="Palatino Linotype" w:cs="Palatino Linotype"/>
          <w:color w:val="000000" w:themeColor="text1"/>
        </w:rPr>
        <w:t xml:space="preserve">información solicitada </w:t>
      </w:r>
      <w:r w:rsidR="006B3B72" w:rsidRPr="00E16CEB">
        <w:rPr>
          <w:rFonts w:eastAsia="Palatino Linotype" w:cs="Palatino Linotype"/>
          <w:color w:val="000000" w:themeColor="text1"/>
        </w:rPr>
        <w:t>sobrepasa las capacidades técnicas, administrativas y humanas</w:t>
      </w:r>
      <w:r w:rsidR="00182CDB" w:rsidRPr="00E16CEB">
        <w:rPr>
          <w:rFonts w:eastAsia="Palatino Linotype" w:cs="Palatino Linotype"/>
          <w:color w:val="000000" w:themeColor="text1"/>
        </w:rPr>
        <w:t>; que</w:t>
      </w:r>
      <w:r w:rsidR="006B3B72" w:rsidRPr="00E16CEB">
        <w:rPr>
          <w:rFonts w:eastAsia="Palatino Linotype" w:cs="Palatino Linotype"/>
          <w:color w:val="000000" w:themeColor="text1"/>
        </w:rPr>
        <w:t xml:space="preserve"> </w:t>
      </w:r>
      <w:r w:rsidR="000F2E70" w:rsidRPr="00E16CEB">
        <w:rPr>
          <w:rFonts w:eastAsia="Palatino Linotype" w:cs="Palatino Linotype"/>
          <w:color w:val="000000" w:themeColor="text1"/>
        </w:rPr>
        <w:t xml:space="preserve">dichos documentos </w:t>
      </w:r>
      <w:r w:rsidR="006B3B72" w:rsidRPr="00E16CEB">
        <w:rPr>
          <w:rFonts w:eastAsia="Palatino Linotype" w:cs="Palatino Linotype"/>
          <w:color w:val="000000" w:themeColor="text1"/>
        </w:rPr>
        <w:t>se encuentra</w:t>
      </w:r>
      <w:r w:rsidR="000F2E70" w:rsidRPr="00E16CEB">
        <w:rPr>
          <w:rFonts w:eastAsia="Palatino Linotype" w:cs="Palatino Linotype"/>
          <w:color w:val="000000" w:themeColor="text1"/>
        </w:rPr>
        <w:t>n</w:t>
      </w:r>
      <w:r w:rsidR="006B3B72" w:rsidRPr="00E16CEB">
        <w:rPr>
          <w:rFonts w:eastAsia="Palatino Linotype" w:cs="Palatino Linotype"/>
          <w:color w:val="000000" w:themeColor="text1"/>
        </w:rPr>
        <w:t xml:space="preserve"> de forma física y están archivados en carpetas, </w:t>
      </w:r>
      <w:r w:rsidR="000F2E70" w:rsidRPr="00E16CEB">
        <w:rPr>
          <w:rFonts w:eastAsia="Palatino Linotype" w:cs="Palatino Linotype"/>
          <w:color w:val="000000" w:themeColor="text1"/>
        </w:rPr>
        <w:t xml:space="preserve">por lo que </w:t>
      </w:r>
      <w:r w:rsidR="006B3B72" w:rsidRPr="00E16CEB">
        <w:rPr>
          <w:rFonts w:eastAsia="Palatino Linotype" w:cs="Palatino Linotype"/>
          <w:color w:val="000000" w:themeColor="text1"/>
        </w:rPr>
        <w:t xml:space="preserve">se tendría que consignar a una persona para escanear los documentos </w:t>
      </w:r>
      <w:r w:rsidR="00F81458" w:rsidRPr="00E16CEB">
        <w:rPr>
          <w:rFonts w:eastAsia="Palatino Linotype" w:cs="Palatino Linotype"/>
          <w:color w:val="000000" w:themeColor="text1"/>
        </w:rPr>
        <w:t xml:space="preserve">y, </w:t>
      </w:r>
      <w:r w:rsidR="006B3B72" w:rsidRPr="00E16CEB">
        <w:rPr>
          <w:rFonts w:eastAsia="Palatino Linotype" w:cs="Palatino Linotype"/>
          <w:color w:val="000000" w:themeColor="text1"/>
        </w:rPr>
        <w:t>ya que s</w:t>
      </w:r>
      <w:r w:rsidR="00F81458" w:rsidRPr="00E16CEB">
        <w:rPr>
          <w:rFonts w:eastAsia="Palatino Linotype" w:cs="Palatino Linotype"/>
          <w:color w:val="000000" w:themeColor="text1"/>
        </w:rPr>
        <w:t>ó</w:t>
      </w:r>
      <w:r w:rsidR="006B3B72" w:rsidRPr="00E16CEB">
        <w:rPr>
          <w:rFonts w:eastAsia="Palatino Linotype" w:cs="Palatino Linotype"/>
          <w:color w:val="000000" w:themeColor="text1"/>
        </w:rPr>
        <w:t>lo se cuenta con un escáner para la Dirección</w:t>
      </w:r>
      <w:r w:rsidR="00F81458" w:rsidRPr="00E16CEB">
        <w:rPr>
          <w:rFonts w:eastAsia="Palatino Linotype" w:cs="Palatino Linotype"/>
          <w:color w:val="000000" w:themeColor="text1"/>
        </w:rPr>
        <w:t>,</w:t>
      </w:r>
      <w:r w:rsidR="006B3B72" w:rsidRPr="00E16CEB">
        <w:rPr>
          <w:rFonts w:eastAsia="Palatino Linotype" w:cs="Palatino Linotype"/>
          <w:color w:val="000000" w:themeColor="text1"/>
        </w:rPr>
        <w:t xml:space="preserve"> se descuidarían las Subdirecciones dependientes de esta</w:t>
      </w:r>
      <w:r w:rsidR="00C355D2" w:rsidRPr="00E16CEB">
        <w:rPr>
          <w:rFonts w:eastAsia="Palatino Linotype" w:cs="Palatino Linotype"/>
          <w:color w:val="000000" w:themeColor="text1"/>
        </w:rPr>
        <w:t xml:space="preserve">; asimismo, que </w:t>
      </w:r>
      <w:r w:rsidR="00C355D2" w:rsidRPr="00E16CEB">
        <w:rPr>
          <w:rFonts w:eastAsia="Palatino Linotype" w:cs="Palatino Linotype"/>
          <w:color w:val="000000" w:themeColor="text1"/>
        </w:rPr>
        <w:lastRenderedPageBreak/>
        <w:t xml:space="preserve">la </w:t>
      </w:r>
      <w:r w:rsidR="006B3B72" w:rsidRPr="00E16CEB">
        <w:rPr>
          <w:rFonts w:eastAsia="Palatino Linotype" w:cs="Palatino Linotype"/>
          <w:color w:val="000000" w:themeColor="text1"/>
        </w:rPr>
        <w:t xml:space="preserve">cantidad aproximada de información es de </w:t>
      </w:r>
      <w:r w:rsidR="00C355D2" w:rsidRPr="00E16CEB">
        <w:rPr>
          <w:rFonts w:eastAsia="Palatino Linotype" w:cs="Palatino Linotype"/>
          <w:color w:val="000000" w:themeColor="text1"/>
        </w:rPr>
        <w:t>catorce mil quinientas</w:t>
      </w:r>
      <w:r w:rsidR="006B3B72" w:rsidRPr="00E16CEB">
        <w:rPr>
          <w:rFonts w:eastAsia="Palatino Linotype" w:cs="Palatino Linotype"/>
          <w:color w:val="000000" w:themeColor="text1"/>
        </w:rPr>
        <w:t xml:space="preserve"> fojas, por</w:t>
      </w:r>
      <w:r w:rsidR="00C355D2" w:rsidRPr="00E16CEB">
        <w:rPr>
          <w:rFonts w:eastAsia="Palatino Linotype" w:cs="Palatino Linotype"/>
          <w:color w:val="000000" w:themeColor="text1"/>
        </w:rPr>
        <w:t xml:space="preserve"> lo que el solicitante puede acudir a las instalaciones de la Tesorería </w:t>
      </w:r>
      <w:r w:rsidR="00EF47C8" w:rsidRPr="00E16CEB">
        <w:rPr>
          <w:rFonts w:eastAsia="Palatino Linotype" w:cs="Palatino Linotype"/>
          <w:color w:val="000000" w:themeColor="text1"/>
        </w:rPr>
        <w:t>a su consulta, señalando horarios, ubicación, teléfono y correo institucional.</w:t>
      </w:r>
    </w:p>
    <w:p w14:paraId="0261FF3C" w14:textId="77777777" w:rsidR="00DC26F5" w:rsidRPr="00E16CEB" w:rsidRDefault="00DC26F5"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446424B6" w:rsidR="00A970D5" w:rsidRPr="00E16CEB" w:rsidRDefault="44E9108F" w:rsidP="44E9108F">
      <w:pPr>
        <w:pBdr>
          <w:top w:val="nil"/>
          <w:left w:val="nil"/>
          <w:bottom w:val="nil"/>
          <w:right w:val="nil"/>
          <w:between w:val="nil"/>
        </w:pBdr>
        <w:contextualSpacing/>
        <w:rPr>
          <w:rFonts w:eastAsia="Palatino Linotype" w:cs="Palatino Linotype"/>
          <w:color w:val="000000"/>
          <w:lang w:val="es-ES"/>
        </w:rPr>
      </w:pPr>
      <w:r w:rsidRPr="00E16CEB">
        <w:rPr>
          <w:rFonts w:eastAsia="Palatino Linotype" w:cs="Palatino Linotype"/>
          <w:color w:val="000000" w:themeColor="text1"/>
          <w:lang w:val="es-ES"/>
        </w:rPr>
        <w:t>Ante la respuesta em</w:t>
      </w:r>
      <w:r w:rsidR="002623AA" w:rsidRPr="00E16CEB">
        <w:rPr>
          <w:rFonts w:eastAsia="Palatino Linotype" w:cs="Palatino Linotype"/>
          <w:color w:val="000000" w:themeColor="text1"/>
          <w:lang w:val="es-ES"/>
        </w:rPr>
        <w:t xml:space="preserve">itida por el Sujeto Obligado, </w:t>
      </w:r>
      <w:r w:rsidR="008A7F39" w:rsidRPr="00E16CEB">
        <w:rPr>
          <w:rFonts w:eastAsia="Palatino Linotype" w:cs="Palatino Linotype"/>
          <w:color w:val="000000" w:themeColor="text1"/>
          <w:lang w:val="es-ES"/>
        </w:rPr>
        <w:t>el Recurrente</w:t>
      </w:r>
      <w:r w:rsidRPr="00E16CEB">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905BA1" w:rsidRPr="00E16CEB">
        <w:rPr>
          <w:rFonts w:eastAsia="Palatino Linotype" w:cs="Palatino Linotype"/>
          <w:color w:val="000000" w:themeColor="text1"/>
          <w:lang w:val="es-ES"/>
        </w:rPr>
        <w:t xml:space="preserve"> y razones o motivos de inconformidad la negativa a la información solicitada.</w:t>
      </w:r>
    </w:p>
    <w:p w14:paraId="4A6500B8" w14:textId="77777777" w:rsidR="008F50E6" w:rsidRPr="00E16CEB" w:rsidRDefault="008F50E6" w:rsidP="00A04222"/>
    <w:p w14:paraId="2DED32FE" w14:textId="77BEA059" w:rsidR="00736065" w:rsidRPr="00E16CEB" w:rsidRDefault="00E41A7A" w:rsidP="00BE576A">
      <w:pPr>
        <w:pBdr>
          <w:top w:val="nil"/>
          <w:left w:val="nil"/>
          <w:bottom w:val="nil"/>
          <w:right w:val="nil"/>
          <w:between w:val="nil"/>
        </w:pBdr>
        <w:contextualSpacing/>
        <w:rPr>
          <w:rFonts w:eastAsia="Palatino Linotype" w:cs="Palatino Linotype"/>
          <w:color w:val="000000" w:themeColor="text1"/>
          <w:lang w:val="es-ES"/>
        </w:rPr>
      </w:pPr>
      <w:r w:rsidRPr="00E16CEB">
        <w:t xml:space="preserve">Durante la etapa de manifestaciones, el </w:t>
      </w:r>
      <w:r w:rsidR="00A75DF5" w:rsidRPr="00E16CEB">
        <w:t xml:space="preserve">Sujeto Obligado rindió su Informe Justificado mediante la entrega </w:t>
      </w:r>
      <w:r w:rsidR="001C15BA" w:rsidRPr="00E16CEB">
        <w:rPr>
          <w:rFonts w:eastAsia="Palatino Linotype" w:cs="Palatino Linotype"/>
          <w:color w:val="000000"/>
          <w:szCs w:val="24"/>
        </w:rPr>
        <w:t xml:space="preserve">del documento denominado </w:t>
      </w:r>
      <w:r w:rsidR="00905BA1" w:rsidRPr="00E16CEB">
        <w:rPr>
          <w:rFonts w:eastAsia="Palatino Linotype" w:cs="Palatino Linotype"/>
          <w:b/>
          <w:bCs/>
          <w:color w:val="000000" w:themeColor="text1"/>
        </w:rPr>
        <w:t>«</w:t>
      </w:r>
      <w:r w:rsidR="00905BA1" w:rsidRPr="00E16CEB">
        <w:rPr>
          <w:b/>
          <w:bCs/>
        </w:rPr>
        <w:t>c</w:t>
      </w:r>
      <w:r w:rsidR="00905BA1" w:rsidRPr="00E16CEB">
        <w:rPr>
          <w:rFonts w:eastAsia="Palatino Linotype" w:cs="Palatino Linotype"/>
          <w:b/>
          <w:bCs/>
          <w:color w:val="000000" w:themeColor="text1"/>
        </w:rPr>
        <w:t>ambio de modalidad RR_03060_2026.pdf»</w:t>
      </w:r>
      <w:r w:rsidR="00905BA1" w:rsidRPr="00E16CEB">
        <w:rPr>
          <w:rFonts w:eastAsia="Palatino Linotype" w:cs="Palatino Linotype"/>
          <w:color w:val="000000" w:themeColor="text1"/>
        </w:rPr>
        <w:t xml:space="preserve">, </w:t>
      </w:r>
      <w:r w:rsidR="00EA1245" w:rsidRPr="00E16CEB">
        <w:rPr>
          <w:rFonts w:eastAsia="Palatino Linotype" w:cs="Palatino Linotype"/>
          <w:color w:val="000000" w:themeColor="text1"/>
          <w:lang w:val="es-ES"/>
        </w:rPr>
        <w:t xml:space="preserve">que </w:t>
      </w:r>
      <w:r w:rsidR="00736065" w:rsidRPr="00E16CEB">
        <w:rPr>
          <w:rFonts w:eastAsia="Palatino Linotype" w:cs="Palatino Linotype"/>
          <w:color w:val="000000" w:themeColor="text1"/>
          <w:lang w:val="es-ES"/>
        </w:rPr>
        <w:t>contiene lo siguiente:</w:t>
      </w:r>
    </w:p>
    <w:p w14:paraId="0498238D" w14:textId="77777777" w:rsidR="00736065" w:rsidRPr="00E16CEB" w:rsidRDefault="00736065" w:rsidP="00BE576A">
      <w:pPr>
        <w:pBdr>
          <w:top w:val="nil"/>
          <w:left w:val="nil"/>
          <w:bottom w:val="nil"/>
          <w:right w:val="nil"/>
          <w:between w:val="nil"/>
        </w:pBdr>
        <w:contextualSpacing/>
        <w:rPr>
          <w:rFonts w:eastAsia="Palatino Linotype" w:cs="Palatino Linotype"/>
          <w:color w:val="000000" w:themeColor="text1"/>
          <w:lang w:val="es-ES"/>
        </w:rPr>
      </w:pPr>
    </w:p>
    <w:p w14:paraId="4A7BEF71" w14:textId="3E0E603D" w:rsidR="00E41A7A" w:rsidRPr="00E16CEB" w:rsidRDefault="00E66502" w:rsidP="000C5F35">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16CEB">
        <w:rPr>
          <w:rFonts w:eastAsia="Palatino Linotype" w:cs="Palatino Linotype"/>
          <w:color w:val="000000" w:themeColor="text1"/>
        </w:rPr>
        <w:t xml:space="preserve">Oficio </w:t>
      </w:r>
      <w:r w:rsidR="001A7B18" w:rsidRPr="00E16CEB">
        <w:rPr>
          <w:rFonts w:eastAsia="Palatino Linotype" w:cs="Palatino Linotype"/>
          <w:color w:val="000000" w:themeColor="text1"/>
        </w:rPr>
        <w:t>XTA/TESO/0180/2026</w:t>
      </w:r>
      <w:r w:rsidRPr="00E16CEB">
        <w:rPr>
          <w:rFonts w:eastAsia="Palatino Linotype" w:cs="Palatino Linotype"/>
          <w:color w:val="000000" w:themeColor="text1"/>
        </w:rPr>
        <w:t xml:space="preserve"> emitido por </w:t>
      </w:r>
      <w:r w:rsidR="001A7B18" w:rsidRPr="00E16CEB">
        <w:rPr>
          <w:rFonts w:eastAsia="Palatino Linotype" w:cs="Palatino Linotype"/>
          <w:color w:val="000000" w:themeColor="text1"/>
        </w:rPr>
        <w:t>el</w:t>
      </w:r>
      <w:r w:rsidRPr="00E16CEB">
        <w:rPr>
          <w:rFonts w:eastAsia="Palatino Linotype" w:cs="Palatino Linotype"/>
          <w:color w:val="000000" w:themeColor="text1"/>
        </w:rPr>
        <w:t xml:space="preserve"> Tesorer</w:t>
      </w:r>
      <w:r w:rsidR="001A7B18" w:rsidRPr="00E16CEB">
        <w:rPr>
          <w:rFonts w:eastAsia="Palatino Linotype" w:cs="Palatino Linotype"/>
          <w:color w:val="000000" w:themeColor="text1"/>
        </w:rPr>
        <w:t>o</w:t>
      </w:r>
      <w:r w:rsidRPr="00E16CEB">
        <w:rPr>
          <w:rFonts w:eastAsia="Palatino Linotype" w:cs="Palatino Linotype"/>
          <w:color w:val="000000" w:themeColor="text1"/>
        </w:rPr>
        <w:t xml:space="preserve"> Municipal, </w:t>
      </w:r>
      <w:r w:rsidR="0093753B" w:rsidRPr="00E16CEB">
        <w:rPr>
          <w:rFonts w:eastAsia="Palatino Linotype" w:cs="Palatino Linotype"/>
          <w:color w:val="000000" w:themeColor="text1"/>
        </w:rPr>
        <w:t>con el cual se reiteró la imposibilidad de hacer entrega vía SAIMEX la respuesta.</w:t>
      </w:r>
    </w:p>
    <w:p w14:paraId="2C015682" w14:textId="7BB07312" w:rsidR="0093753B" w:rsidRPr="00E16CEB" w:rsidRDefault="007F3D0C" w:rsidP="000C5F35">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16CEB">
        <w:rPr>
          <w:rFonts w:eastAsia="Palatino Linotype" w:cs="Palatino Linotype"/>
          <w:color w:val="000000" w:themeColor="text1"/>
        </w:rPr>
        <w:t>Oficio número IXTIOIC-UTAINI123/2026 signado por la Encargada de Despacho de la Unidad de Transparencia y Acceso a la Información Pública</w:t>
      </w:r>
      <w:r w:rsidR="00E411A6" w:rsidRPr="00E16CEB">
        <w:rPr>
          <w:rFonts w:eastAsia="Palatino Linotype" w:cs="Palatino Linotype"/>
          <w:color w:val="000000" w:themeColor="text1"/>
        </w:rPr>
        <w:t xml:space="preserve"> dirigido al Director General de Informática de este Instituto, mediante el cual manifestó que </w:t>
      </w:r>
      <w:r w:rsidR="003F7DAF" w:rsidRPr="00E16CEB">
        <w:rPr>
          <w:rFonts w:eastAsia="Palatino Linotype" w:cs="Palatino Linotype"/>
          <w:color w:val="000000" w:themeColor="text1"/>
        </w:rPr>
        <w:t>el cúmulo de información es de un total de catorce mil quinientas fojas</w:t>
      </w:r>
      <w:r w:rsidR="007A27F3" w:rsidRPr="00E16CEB">
        <w:rPr>
          <w:rFonts w:eastAsia="Palatino Linotype" w:cs="Palatino Linotype"/>
          <w:color w:val="000000" w:themeColor="text1"/>
        </w:rPr>
        <w:t xml:space="preserve"> y</w:t>
      </w:r>
      <w:r w:rsidR="003F7DAF" w:rsidRPr="00E16CEB">
        <w:rPr>
          <w:rFonts w:eastAsia="Palatino Linotype" w:cs="Palatino Linotype"/>
          <w:color w:val="000000" w:themeColor="text1"/>
        </w:rPr>
        <w:t xml:space="preserve"> que </w:t>
      </w:r>
      <w:r w:rsidR="007A27F3" w:rsidRPr="00E16CEB">
        <w:rPr>
          <w:rFonts w:eastAsia="Palatino Linotype" w:cs="Palatino Linotype"/>
          <w:color w:val="000000" w:themeColor="text1"/>
        </w:rPr>
        <w:t>dicha cantidad supera la capacidad para ser cargada en el SAIMEX</w:t>
      </w:r>
      <w:r w:rsidR="00AB7518" w:rsidRPr="00E16CEB">
        <w:rPr>
          <w:rFonts w:eastAsia="Palatino Linotype" w:cs="Palatino Linotype"/>
          <w:color w:val="000000" w:themeColor="text1"/>
        </w:rPr>
        <w:t xml:space="preserve">; que el oficio se remite para reunir las evidencias necesarias para realizar el cambio de modalidad </w:t>
      </w:r>
      <w:r w:rsidR="001666D8" w:rsidRPr="00E16CEB">
        <w:rPr>
          <w:rFonts w:eastAsia="Palatino Linotype" w:cs="Palatino Linotype"/>
          <w:color w:val="000000" w:themeColor="text1"/>
        </w:rPr>
        <w:t>para la entrega de la información requerida.</w:t>
      </w:r>
    </w:p>
    <w:p w14:paraId="756F2C1C" w14:textId="516A3368" w:rsidR="001666D8" w:rsidRPr="00E16CEB" w:rsidRDefault="001666D8" w:rsidP="00960C00">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16CEB">
        <w:rPr>
          <w:rFonts w:eastAsia="Palatino Linotype" w:cs="Palatino Linotype"/>
          <w:color w:val="000000" w:themeColor="text1"/>
        </w:rPr>
        <w:t xml:space="preserve">Oficio número </w:t>
      </w:r>
      <w:r w:rsidR="00B91877" w:rsidRPr="00E16CEB">
        <w:rPr>
          <w:rFonts w:eastAsia="Palatino Linotype" w:cs="Palatino Linotype"/>
          <w:color w:val="000000" w:themeColor="text1"/>
        </w:rPr>
        <w:t xml:space="preserve">INFOEM/DGI/147/2026 suscrito por el Director General de Informática de este Instituto, por medio del cual se </w:t>
      </w:r>
      <w:r w:rsidR="003D3447" w:rsidRPr="00E16CEB">
        <w:rPr>
          <w:rFonts w:eastAsia="Palatino Linotype" w:cs="Palatino Linotype"/>
          <w:color w:val="000000" w:themeColor="text1"/>
        </w:rPr>
        <w:t xml:space="preserve">informó que la incidencia </w:t>
      </w:r>
      <w:r w:rsidR="003D3447" w:rsidRPr="00E16CEB">
        <w:rPr>
          <w:rFonts w:eastAsia="Palatino Linotype" w:cs="Palatino Linotype"/>
          <w:color w:val="000000" w:themeColor="text1"/>
        </w:rPr>
        <w:lastRenderedPageBreak/>
        <w:t>técnica quedó registrada en la bitácora de incidencias</w:t>
      </w:r>
      <w:r w:rsidR="00CA6747" w:rsidRPr="00E16CEB">
        <w:rPr>
          <w:rFonts w:eastAsia="Palatino Linotype" w:cs="Palatino Linotype"/>
          <w:color w:val="000000" w:themeColor="text1"/>
        </w:rPr>
        <w:t>, toda vez que se trató de subir catorce mil quinientas fojas, lo que sobrepasa las capacidades técnicas del SAIMEX</w:t>
      </w:r>
      <w:r w:rsidR="007131B1" w:rsidRPr="00E16CEB">
        <w:rPr>
          <w:rFonts w:eastAsia="Palatino Linotype" w:cs="Palatino Linotype"/>
          <w:color w:val="000000" w:themeColor="text1"/>
        </w:rPr>
        <w:t>, refiriendo que para el escaneo de fojas se recomienda utilizar una resolución alta de 150 Dpi's, en escala de grises y formato PDF; extraído directamente del escáner y que de acuerdo con la recomendación, el volumen de</w:t>
      </w:r>
      <w:r w:rsidR="00E1036B" w:rsidRPr="00E16CEB">
        <w:rPr>
          <w:rFonts w:eastAsia="Palatino Linotype" w:cs="Palatino Linotype"/>
          <w:color w:val="000000" w:themeColor="text1"/>
        </w:rPr>
        <w:t xml:space="preserve"> </w:t>
      </w:r>
      <w:r w:rsidR="007131B1" w:rsidRPr="00E16CEB">
        <w:rPr>
          <w:rFonts w:eastAsia="Palatino Linotype" w:cs="Palatino Linotype"/>
          <w:color w:val="000000" w:themeColor="text1"/>
        </w:rPr>
        <w:t>información referido puede llegar a un peso de 906.25</w:t>
      </w:r>
      <w:r w:rsidR="00E1036B" w:rsidRPr="00E16CEB">
        <w:rPr>
          <w:rFonts w:eastAsia="Palatino Linotype" w:cs="Palatino Linotype"/>
          <w:color w:val="000000" w:themeColor="text1"/>
        </w:rPr>
        <w:t xml:space="preserve"> </w:t>
      </w:r>
      <w:r w:rsidR="007131B1" w:rsidRPr="00E16CEB">
        <w:rPr>
          <w:rFonts w:eastAsia="Palatino Linotype" w:cs="Palatino Linotype"/>
          <w:color w:val="000000" w:themeColor="text1"/>
        </w:rPr>
        <w:t>MB aproximadamente, lo cual aun así supera las capacidades</w:t>
      </w:r>
      <w:r w:rsidR="00E1036B" w:rsidRPr="00E16CEB">
        <w:rPr>
          <w:rFonts w:eastAsia="Palatino Linotype" w:cs="Palatino Linotype"/>
          <w:color w:val="000000" w:themeColor="text1"/>
        </w:rPr>
        <w:t xml:space="preserve"> </w:t>
      </w:r>
      <w:r w:rsidR="007131B1" w:rsidRPr="00E16CEB">
        <w:rPr>
          <w:rFonts w:eastAsia="Palatino Linotype" w:cs="Palatino Linotype"/>
          <w:color w:val="000000" w:themeColor="text1"/>
        </w:rPr>
        <w:t>técnicas del sistema</w:t>
      </w:r>
      <w:r w:rsidR="00E1036B" w:rsidRPr="00E16CEB">
        <w:rPr>
          <w:rFonts w:eastAsia="Palatino Linotype" w:cs="Palatino Linotype"/>
          <w:color w:val="000000" w:themeColor="text1"/>
        </w:rPr>
        <w:t>.</w:t>
      </w:r>
    </w:p>
    <w:p w14:paraId="538685EB" w14:textId="00C3938F" w:rsidR="00ED0599" w:rsidRPr="00E16CEB" w:rsidRDefault="00ED0599" w:rsidP="00EC6D43">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16CEB">
        <w:rPr>
          <w:rFonts w:eastAsia="Palatino Linotype" w:cs="Palatino Linotype"/>
          <w:color w:val="000000" w:themeColor="text1"/>
        </w:rPr>
        <w:t xml:space="preserve">Imágenes de pantalla de los correos electrónicos de fecha </w:t>
      </w:r>
      <w:r w:rsidR="00043FE1" w:rsidRPr="00E16CEB">
        <w:rPr>
          <w:rFonts w:eastAsia="Palatino Linotype" w:cs="Palatino Linotype"/>
          <w:color w:val="000000" w:themeColor="text1"/>
        </w:rPr>
        <w:t>dieciocho de marzo de dos mil veintiséis emitidos por personal de la Dirección General de Informática de este Instituto</w:t>
      </w:r>
      <w:r w:rsidR="00175765" w:rsidRPr="00E16CEB">
        <w:rPr>
          <w:rFonts w:eastAsia="Palatino Linotype" w:cs="Palatino Linotype"/>
          <w:color w:val="000000" w:themeColor="text1"/>
        </w:rPr>
        <w:t xml:space="preserve"> en respuesta al correo electrónico suscrito por la Encargada </w:t>
      </w:r>
      <w:r w:rsidR="00C8463B" w:rsidRPr="00E16CEB">
        <w:rPr>
          <w:rFonts w:eastAsia="Palatino Linotype" w:cs="Palatino Linotype"/>
          <w:color w:val="000000" w:themeColor="text1"/>
        </w:rPr>
        <w:t>del Despacho de la Unidad de Transparencia y Acceso a la Información Pública con el que se solicitó la incidencia relativa a la carga de información.</w:t>
      </w:r>
    </w:p>
    <w:p w14:paraId="7BF7829A" w14:textId="77777777" w:rsidR="000C5F35" w:rsidRPr="00E16CEB" w:rsidRDefault="000C5F35" w:rsidP="006100FC">
      <w:pPr>
        <w:pBdr>
          <w:top w:val="nil"/>
          <w:left w:val="nil"/>
          <w:bottom w:val="nil"/>
          <w:right w:val="nil"/>
          <w:between w:val="nil"/>
        </w:pBdr>
        <w:contextualSpacing/>
        <w:rPr>
          <w:rFonts w:eastAsia="Palatino Linotype" w:cs="Palatino Linotype"/>
          <w:color w:val="000000"/>
          <w:szCs w:val="24"/>
        </w:rPr>
      </w:pPr>
    </w:p>
    <w:p w14:paraId="02C281BA" w14:textId="24E4E37A" w:rsidR="006100FC" w:rsidRPr="00E16CEB" w:rsidRDefault="006100FC" w:rsidP="006100FC">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E16CEB">
        <w:rPr>
          <w:rFonts w:eastAsia="Palatino Linotype" w:cs="Palatino Linotype"/>
          <w:color w:val="000000"/>
          <w:szCs w:val="24"/>
        </w:rPr>
        <w:t>el Recurrente</w:t>
      </w:r>
      <w:r w:rsidRPr="00E16CEB">
        <w:rPr>
          <w:rFonts w:eastAsia="Palatino Linotype" w:cs="Palatino Linotype"/>
          <w:color w:val="000000"/>
          <w:szCs w:val="24"/>
        </w:rPr>
        <w:t>, así como calificar los motivos de inconformidad de</w:t>
      </w:r>
      <w:r w:rsidR="009B0882" w:rsidRPr="00E16CEB">
        <w:rPr>
          <w:rFonts w:eastAsia="Palatino Linotype" w:cs="Palatino Linotype"/>
          <w:color w:val="000000"/>
          <w:szCs w:val="24"/>
        </w:rPr>
        <w:t xml:space="preserve"> </w:t>
      </w:r>
      <w:r w:rsidR="00504E6B" w:rsidRPr="00E16CEB">
        <w:rPr>
          <w:rFonts w:eastAsia="Palatino Linotype" w:cs="Palatino Linotype"/>
          <w:color w:val="000000"/>
          <w:szCs w:val="24"/>
        </w:rPr>
        <w:t>el particular</w:t>
      </w:r>
      <w:r w:rsidRPr="00E16CEB">
        <w:rPr>
          <w:rFonts w:eastAsia="Palatino Linotype" w:cs="Palatino Linotype"/>
          <w:color w:val="000000"/>
          <w:szCs w:val="24"/>
        </w:rPr>
        <w:t xml:space="preserve">. </w:t>
      </w:r>
    </w:p>
    <w:p w14:paraId="7AF7731E" w14:textId="77777777" w:rsidR="006100FC" w:rsidRPr="00E16CEB"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E16CEB" w:rsidRDefault="006100FC" w:rsidP="006100FC">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rPr>
        <w:t xml:space="preserve">En este sentido, es pertinente enfatizar lo que, respecto al derecho de acceso a la información pública, refiere el artículo </w:t>
      </w:r>
      <w:r w:rsidR="00E00EC1" w:rsidRPr="00E16CEB">
        <w:rPr>
          <w:rFonts w:eastAsia="Palatino Linotype" w:cs="Palatino Linotype"/>
          <w:color w:val="000000"/>
          <w:szCs w:val="24"/>
        </w:rPr>
        <w:t>5</w:t>
      </w:r>
      <w:r w:rsidRPr="00E16CEB">
        <w:rPr>
          <w:rFonts w:eastAsia="Palatino Linotype" w:cs="Palatino Linotype"/>
          <w:color w:val="000000"/>
          <w:szCs w:val="24"/>
        </w:rPr>
        <w:t>° de la Constitución Política del Estado Libre y Soberano de México</w:t>
      </w:r>
      <w:r w:rsidR="00E00EC1" w:rsidRPr="00E16CEB">
        <w:rPr>
          <w:rFonts w:eastAsia="Palatino Linotype" w:cs="Palatino Linotype"/>
          <w:color w:val="000000"/>
          <w:szCs w:val="24"/>
        </w:rPr>
        <w:t>, que</w:t>
      </w:r>
      <w:r w:rsidRPr="00E16CEB">
        <w:rPr>
          <w:rFonts w:eastAsia="Palatino Linotype" w:cs="Palatino Linotype"/>
          <w:color w:val="000000"/>
          <w:szCs w:val="24"/>
        </w:rPr>
        <w:t xml:space="preserve"> en su parte conducente</w:t>
      </w:r>
      <w:r w:rsidR="00E00EC1" w:rsidRPr="00E16CEB">
        <w:rPr>
          <w:rFonts w:eastAsia="Palatino Linotype" w:cs="Palatino Linotype"/>
          <w:color w:val="000000"/>
          <w:szCs w:val="24"/>
        </w:rPr>
        <w:t xml:space="preserve"> dispone</w:t>
      </w:r>
      <w:r w:rsidRPr="00E16CEB">
        <w:rPr>
          <w:rFonts w:eastAsia="Palatino Linotype" w:cs="Palatino Linotype"/>
          <w:color w:val="000000"/>
          <w:szCs w:val="24"/>
        </w:rPr>
        <w:t xml:space="preserve"> lo siguiente:</w:t>
      </w:r>
    </w:p>
    <w:p w14:paraId="5DA101FA" w14:textId="77777777" w:rsidR="006100FC" w:rsidRPr="00E16CEB"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E16CEB" w:rsidRDefault="006100FC" w:rsidP="006100FC">
      <w:pPr>
        <w:pStyle w:val="Fundamentos"/>
      </w:pPr>
      <w:r w:rsidRPr="00E16CEB">
        <w:rPr>
          <w:b/>
          <w:bCs/>
        </w:rPr>
        <w:t>Artículo 5.</w:t>
      </w:r>
      <w:r w:rsidRPr="00E16CEB">
        <w:t xml:space="preserve"> […]</w:t>
      </w:r>
    </w:p>
    <w:p w14:paraId="1839D29E" w14:textId="77777777" w:rsidR="006100FC" w:rsidRPr="00E16CEB" w:rsidRDefault="006100FC" w:rsidP="006100FC">
      <w:pPr>
        <w:pStyle w:val="Fundamentos"/>
      </w:pPr>
    </w:p>
    <w:p w14:paraId="7D51A6D3" w14:textId="77777777" w:rsidR="006100FC" w:rsidRPr="00E16CEB" w:rsidRDefault="006100FC" w:rsidP="006100FC">
      <w:pPr>
        <w:pStyle w:val="Fundamentos"/>
      </w:pPr>
      <w:r w:rsidRPr="00E16CEB">
        <w:lastRenderedPageBreak/>
        <w:t xml:space="preserve">El derecho a la información será garantizado por el Estado. La ley establecerá las previsiones que permitan asegurar la protección, el respeto y la difusión de este derecho. </w:t>
      </w:r>
    </w:p>
    <w:p w14:paraId="4079EC08" w14:textId="77777777" w:rsidR="006100FC" w:rsidRPr="00E16CEB" w:rsidRDefault="006100FC" w:rsidP="006100FC">
      <w:pPr>
        <w:pStyle w:val="Fundamentos"/>
      </w:pPr>
    </w:p>
    <w:p w14:paraId="2060C0A8" w14:textId="77777777" w:rsidR="006100FC" w:rsidRPr="00E16CEB" w:rsidRDefault="006100FC" w:rsidP="006100FC">
      <w:pPr>
        <w:pStyle w:val="Fundamentos"/>
      </w:pPr>
      <w:r w:rsidRPr="00E16CEB">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E16CEB" w:rsidRDefault="006100FC" w:rsidP="006100FC">
      <w:pPr>
        <w:pStyle w:val="Fundamentos"/>
      </w:pPr>
    </w:p>
    <w:p w14:paraId="31D381A6" w14:textId="77777777" w:rsidR="006100FC" w:rsidRPr="00E16CEB" w:rsidRDefault="006100FC" w:rsidP="006100FC">
      <w:pPr>
        <w:pStyle w:val="Fundamentos"/>
      </w:pPr>
      <w:r w:rsidRPr="00E16CEB">
        <w:t>Este derecho se regirá por los principios y bases siguientes:</w:t>
      </w:r>
    </w:p>
    <w:p w14:paraId="1A21896F" w14:textId="77777777" w:rsidR="006100FC" w:rsidRPr="00E16CEB" w:rsidRDefault="006100FC" w:rsidP="006100FC">
      <w:pPr>
        <w:pStyle w:val="Fundamentos"/>
      </w:pPr>
    </w:p>
    <w:p w14:paraId="13A22FC8" w14:textId="77777777" w:rsidR="006100FC" w:rsidRPr="00E16CEB" w:rsidRDefault="006100FC" w:rsidP="006100FC">
      <w:pPr>
        <w:pStyle w:val="Fundamentos"/>
      </w:pPr>
      <w:r w:rsidRPr="00E16CEB">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E16CEB" w:rsidRDefault="006100FC" w:rsidP="006100FC">
      <w:pPr>
        <w:pStyle w:val="Fundamentos"/>
      </w:pPr>
      <w:r w:rsidRPr="00E16CEB">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E16CEB" w:rsidRDefault="006100FC" w:rsidP="006100FC">
      <w:pPr>
        <w:pStyle w:val="Fundamentos"/>
        <w:rPr>
          <w:lang w:val="es-ES"/>
        </w:rPr>
      </w:pPr>
      <w:r w:rsidRPr="00E16CEB">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E16CEB" w:rsidRDefault="006100FC" w:rsidP="006100FC">
      <w:pPr>
        <w:pStyle w:val="Fundamentos"/>
      </w:pPr>
      <w:r w:rsidRPr="00E16CEB">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E16CEB" w:rsidRDefault="006100FC" w:rsidP="006100FC">
      <w:pPr>
        <w:pStyle w:val="Fundamentos"/>
      </w:pPr>
      <w:r w:rsidRPr="00E16CEB">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E16CEB" w:rsidRDefault="006100FC" w:rsidP="006100FC">
      <w:pPr>
        <w:pStyle w:val="Fundamentos"/>
      </w:pPr>
      <w:r w:rsidRPr="00E16CEB">
        <w:t xml:space="preserve">VI. Los sujetos obligados deberán preservar sus documentos en archivos administrativos actualizados y publicarán, a través de los medios electrónicos disponibles, la información </w:t>
      </w:r>
      <w:r w:rsidRPr="00E16CEB">
        <w:lastRenderedPageBreak/>
        <w:t>completa y actualizada sobre el ejercicio de los recursos públicos y los indicadores que permitan rendir cuenta del cumplimiento de sus objetivos y los resultados obtenidos.</w:t>
      </w:r>
    </w:p>
    <w:p w14:paraId="33A16184" w14:textId="77777777" w:rsidR="006100FC" w:rsidRPr="00E16CEB" w:rsidRDefault="006100FC" w:rsidP="006100FC">
      <w:pPr>
        <w:pStyle w:val="Fundamentos"/>
        <w:rPr>
          <w:lang w:val="es-ES"/>
        </w:rPr>
      </w:pPr>
      <w:r w:rsidRPr="00E16CEB">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E16CEB" w:rsidRDefault="006100FC" w:rsidP="006100FC">
      <w:pPr>
        <w:pBdr>
          <w:top w:val="nil"/>
          <w:left w:val="nil"/>
          <w:bottom w:val="nil"/>
          <w:right w:val="nil"/>
          <w:between w:val="nil"/>
        </w:pBdr>
        <w:contextualSpacing/>
        <w:rPr>
          <w:rFonts w:eastAsia="Palatino Linotype" w:cs="Palatino Linotype"/>
          <w:color w:val="000000"/>
          <w:szCs w:val="24"/>
        </w:rPr>
      </w:pPr>
    </w:p>
    <w:p w14:paraId="73356CE9" w14:textId="77777777" w:rsidR="00D20BF9" w:rsidRPr="00E16CEB" w:rsidRDefault="00D20BF9" w:rsidP="00D20BF9">
      <w:pPr>
        <w:rPr>
          <w:rFonts w:eastAsia="Palatino Linotype" w:cs="Palatino Linotype"/>
          <w:szCs w:val="24"/>
        </w:rPr>
      </w:pPr>
      <w:r w:rsidRPr="00E16CEB">
        <w:rPr>
          <w:rFonts w:eastAsia="Palatino Linotype" w:cs="Palatino Linotype"/>
          <w:szCs w:val="24"/>
        </w:rPr>
        <w:t>En ese orden de ideas, la Ley de Transparencia y Acceso a la Información Pública del Estado de México y Municipios, prevé en su artículo 23, fracción IV, lo siguiente:</w:t>
      </w:r>
    </w:p>
    <w:p w14:paraId="63A00BCC" w14:textId="77777777" w:rsidR="00D20BF9" w:rsidRPr="00E16CEB" w:rsidRDefault="00D20BF9" w:rsidP="00D20BF9">
      <w:pPr>
        <w:rPr>
          <w:rFonts w:eastAsia="Palatino Linotype" w:cs="Palatino Linotype"/>
          <w:szCs w:val="24"/>
        </w:rPr>
      </w:pPr>
    </w:p>
    <w:p w14:paraId="0DF17332" w14:textId="77777777" w:rsidR="00D20BF9" w:rsidRPr="00E16CEB" w:rsidRDefault="00D20BF9" w:rsidP="00D20BF9">
      <w:pPr>
        <w:pStyle w:val="Fundamentos"/>
      </w:pPr>
      <w:r w:rsidRPr="00E16CEB">
        <w:rPr>
          <w:b/>
        </w:rPr>
        <w:t>Artículo 23.</w:t>
      </w:r>
      <w:r w:rsidRPr="00E16CEB">
        <w:t xml:space="preserve"> Son sujetos obligados a transparentar y permitir el acceso a su información y proteger los datos personales que obren en su poder:</w:t>
      </w:r>
    </w:p>
    <w:p w14:paraId="02DCEFBA" w14:textId="77777777" w:rsidR="00D20BF9" w:rsidRPr="00E16CEB" w:rsidRDefault="00D20BF9" w:rsidP="00D20BF9">
      <w:pPr>
        <w:pStyle w:val="Fundamentos"/>
      </w:pPr>
      <w:r w:rsidRPr="00E16CEB">
        <w:t>[…]</w:t>
      </w:r>
    </w:p>
    <w:p w14:paraId="70E56CA3" w14:textId="77777777" w:rsidR="00D20BF9" w:rsidRPr="00E16CEB" w:rsidRDefault="00D20BF9" w:rsidP="00D20BF9">
      <w:pPr>
        <w:pStyle w:val="Fundamentos"/>
      </w:pPr>
      <w:r w:rsidRPr="00E16CEB">
        <w:rPr>
          <w:b/>
          <w:bCs/>
        </w:rPr>
        <w:t xml:space="preserve">IV. </w:t>
      </w:r>
      <w:r w:rsidRPr="00E16CEB">
        <w:t>Los ayuntamientos y las dependencias, organismos, órganos y entidades de la administración municipal;</w:t>
      </w:r>
    </w:p>
    <w:p w14:paraId="2C85A0A8" w14:textId="77777777" w:rsidR="00D20BF9" w:rsidRPr="00E16CEB" w:rsidRDefault="00D20BF9" w:rsidP="00D20BF9">
      <w:pPr>
        <w:pStyle w:val="Fundamentos"/>
      </w:pPr>
      <w:r w:rsidRPr="00E16CEB">
        <w:t>[…]</w:t>
      </w:r>
    </w:p>
    <w:p w14:paraId="1D71059B" w14:textId="77777777" w:rsidR="00D20BF9" w:rsidRPr="00E16CEB" w:rsidRDefault="00D20BF9" w:rsidP="00D20BF9">
      <w:pPr>
        <w:pBdr>
          <w:top w:val="nil"/>
          <w:left w:val="nil"/>
          <w:bottom w:val="nil"/>
          <w:right w:val="nil"/>
          <w:between w:val="nil"/>
        </w:pBdr>
        <w:contextualSpacing/>
        <w:rPr>
          <w:rFonts w:eastAsia="Palatino Linotype" w:cs="Palatino Linotype"/>
          <w:color w:val="000000"/>
          <w:szCs w:val="24"/>
        </w:rPr>
      </w:pPr>
    </w:p>
    <w:p w14:paraId="13F0C41B" w14:textId="77777777" w:rsidR="00D20BF9" w:rsidRPr="00E16CEB" w:rsidRDefault="00D20BF9" w:rsidP="00D20BF9">
      <w:pPr>
        <w:rPr>
          <w:szCs w:val="24"/>
        </w:rPr>
      </w:pPr>
      <w:r w:rsidRPr="00E16CEB">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6A00D83" w14:textId="77777777" w:rsidR="00D20BF9" w:rsidRPr="00E16CEB" w:rsidRDefault="00D20BF9" w:rsidP="00D20BF9">
      <w:pPr>
        <w:rPr>
          <w:szCs w:val="24"/>
        </w:rPr>
      </w:pPr>
    </w:p>
    <w:p w14:paraId="15331BEE" w14:textId="53DAFD73" w:rsidR="00D20BF9" w:rsidRPr="00E16CEB" w:rsidRDefault="00D20BF9" w:rsidP="00D20BF9">
      <w:pPr>
        <w:rPr>
          <w:szCs w:val="24"/>
        </w:rPr>
      </w:pPr>
      <w:r w:rsidRPr="00E16CEB">
        <w:rPr>
          <w:szCs w:val="24"/>
        </w:rPr>
        <w:t>Asimismo, de la interpretación al acto impugnado y a los motivos de inconformidad expresados por el Recurrente, se estima que en el presente caso se actualizó la causal de procedencia del recurso de revisión prevista en la fracción I del artículo 179 de la Ley de Transparencia local, que a la letra estipula lo siguiente:</w:t>
      </w:r>
    </w:p>
    <w:p w14:paraId="64C33BEC" w14:textId="77777777" w:rsidR="00D20BF9" w:rsidRPr="00E16CEB" w:rsidRDefault="00D20BF9" w:rsidP="00D20BF9"/>
    <w:p w14:paraId="30DEAAFF" w14:textId="77777777" w:rsidR="00D20BF9" w:rsidRPr="00E16CEB" w:rsidRDefault="00D20BF9" w:rsidP="00D20BF9">
      <w:pPr>
        <w:pStyle w:val="Fundamentos"/>
        <w:rPr>
          <w:lang w:val="es-MX"/>
        </w:rPr>
      </w:pPr>
      <w:r w:rsidRPr="00E16CEB">
        <w:rPr>
          <w:b/>
          <w:lang w:val="es-MX"/>
        </w:rPr>
        <w:lastRenderedPageBreak/>
        <w:t xml:space="preserve">Artículo 179. </w:t>
      </w:r>
      <w:r w:rsidRPr="00E16CEB">
        <w:rPr>
          <w:lang w:val="es-MX"/>
        </w:rPr>
        <w:t>El recurso de revisión es un medio de protección que la Ley otorga a los particulares, para hacer valer su derecho de acceso a la información pública, y procederá en contra de las siguientes causas:</w:t>
      </w:r>
    </w:p>
    <w:p w14:paraId="6952BF71" w14:textId="3B9FA3ED" w:rsidR="00D20BF9" w:rsidRPr="00E16CEB" w:rsidRDefault="00D20BF9" w:rsidP="00D20BF9">
      <w:pPr>
        <w:pStyle w:val="Fundamentos"/>
        <w:rPr>
          <w:lang w:val="es-MX"/>
        </w:rPr>
      </w:pPr>
    </w:p>
    <w:p w14:paraId="268744D8" w14:textId="58232F28" w:rsidR="00D20BF9" w:rsidRPr="00E16CEB" w:rsidRDefault="00D20BF9" w:rsidP="00D20BF9">
      <w:pPr>
        <w:pStyle w:val="Fundamentos"/>
      </w:pPr>
      <w:r w:rsidRPr="00E16CEB">
        <w:rPr>
          <w:b/>
          <w:lang w:val="es-ES"/>
        </w:rPr>
        <w:t>I.</w:t>
      </w:r>
      <w:r w:rsidRPr="00E16CEB">
        <w:rPr>
          <w:lang w:val="es-ES"/>
        </w:rPr>
        <w:t xml:space="preserve"> La </w:t>
      </w:r>
      <w:r w:rsidR="00BD099E" w:rsidRPr="00E16CEB">
        <w:rPr>
          <w:lang w:val="es-ES"/>
        </w:rPr>
        <w:t>negativa a la información solicitada</w:t>
      </w:r>
      <w:r w:rsidRPr="00E16CEB">
        <w:rPr>
          <w:lang w:val="es-ES"/>
        </w:rPr>
        <w:t>;</w:t>
      </w:r>
    </w:p>
    <w:p w14:paraId="2E68D070" w14:textId="77777777" w:rsidR="00D20BF9" w:rsidRPr="00E16CEB" w:rsidRDefault="00D20BF9" w:rsidP="00D20BF9">
      <w:pPr>
        <w:pStyle w:val="Fundamentos"/>
      </w:pPr>
      <w:r w:rsidRPr="00E16CEB">
        <w:t>[…]</w:t>
      </w:r>
    </w:p>
    <w:p w14:paraId="0611147C" w14:textId="77777777" w:rsidR="00D20BF9" w:rsidRPr="00E16CEB" w:rsidRDefault="00D20BF9" w:rsidP="00D20BF9"/>
    <w:p w14:paraId="584B8A93" w14:textId="77777777" w:rsidR="00D20BF9" w:rsidRPr="00E16CEB" w:rsidRDefault="00D20BF9" w:rsidP="00D20BF9">
      <w:pPr>
        <w:pBdr>
          <w:top w:val="nil"/>
          <w:left w:val="nil"/>
          <w:bottom w:val="nil"/>
          <w:right w:val="nil"/>
          <w:between w:val="nil"/>
        </w:pBdr>
        <w:contextualSpacing/>
        <w:rPr>
          <w:szCs w:val="24"/>
        </w:rPr>
      </w:pPr>
      <w:r w:rsidRPr="00E16CEB">
        <w:rPr>
          <w:rFonts w:eastAsia="Palatino Linotype" w:cs="Palatino Linotype"/>
          <w:color w:val="000000"/>
          <w:szCs w:val="24"/>
        </w:rPr>
        <w:t xml:space="preserve">En ese sentido, también </w:t>
      </w:r>
      <w:r w:rsidRPr="00E16CEB">
        <w:rPr>
          <w:bCs/>
          <w:szCs w:val="24"/>
        </w:rPr>
        <w:t xml:space="preserve">es importante señalar que </w:t>
      </w:r>
      <w:r w:rsidRPr="00E16CEB">
        <w:rPr>
          <w:szCs w:val="24"/>
        </w:rPr>
        <w:t>el artículo 4, párrafo segundo, de la Ley de Transparencia local dispone lo siguiente:</w:t>
      </w:r>
    </w:p>
    <w:p w14:paraId="651005B6" w14:textId="77777777" w:rsidR="00D20BF9" w:rsidRPr="00E16CEB" w:rsidRDefault="00D20BF9" w:rsidP="00D20BF9">
      <w:pPr>
        <w:pBdr>
          <w:top w:val="nil"/>
          <w:left w:val="nil"/>
          <w:bottom w:val="nil"/>
          <w:right w:val="nil"/>
          <w:between w:val="nil"/>
        </w:pBdr>
        <w:contextualSpacing/>
        <w:rPr>
          <w:szCs w:val="24"/>
        </w:rPr>
      </w:pPr>
    </w:p>
    <w:p w14:paraId="32B80EEE" w14:textId="77777777" w:rsidR="00D20BF9" w:rsidRPr="00E16CEB" w:rsidRDefault="00D20BF9" w:rsidP="00D20BF9">
      <w:pPr>
        <w:pBdr>
          <w:top w:val="nil"/>
          <w:left w:val="nil"/>
          <w:bottom w:val="nil"/>
          <w:right w:val="nil"/>
          <w:between w:val="nil"/>
        </w:pBdr>
        <w:spacing w:line="240" w:lineRule="auto"/>
        <w:ind w:left="567" w:right="616"/>
        <w:contextualSpacing/>
        <w:rPr>
          <w:i/>
          <w:sz w:val="22"/>
        </w:rPr>
      </w:pPr>
      <w:r w:rsidRPr="00E16CEB">
        <w:rPr>
          <w:b/>
          <w:i/>
          <w:sz w:val="22"/>
        </w:rPr>
        <w:t xml:space="preserve">Artículo 4. </w:t>
      </w:r>
      <w:r w:rsidRPr="00E16CEB">
        <w:rPr>
          <w:i/>
          <w:sz w:val="22"/>
        </w:rPr>
        <w:t>[…]</w:t>
      </w:r>
    </w:p>
    <w:p w14:paraId="5A2184F2" w14:textId="77777777" w:rsidR="00D20BF9" w:rsidRPr="00E16CEB" w:rsidRDefault="00D20BF9" w:rsidP="00D20BF9">
      <w:pPr>
        <w:pBdr>
          <w:top w:val="nil"/>
          <w:left w:val="nil"/>
          <w:bottom w:val="nil"/>
          <w:right w:val="nil"/>
          <w:between w:val="nil"/>
        </w:pBdr>
        <w:spacing w:line="240" w:lineRule="auto"/>
        <w:ind w:left="567" w:right="616"/>
        <w:contextualSpacing/>
        <w:rPr>
          <w:i/>
          <w:sz w:val="22"/>
        </w:rPr>
      </w:pPr>
    </w:p>
    <w:p w14:paraId="52F61280" w14:textId="77777777" w:rsidR="00D20BF9" w:rsidRPr="00E16CEB" w:rsidRDefault="00D20BF9" w:rsidP="00D20BF9">
      <w:pPr>
        <w:pBdr>
          <w:top w:val="nil"/>
          <w:left w:val="nil"/>
          <w:bottom w:val="nil"/>
          <w:right w:val="nil"/>
          <w:between w:val="nil"/>
        </w:pBdr>
        <w:spacing w:line="240" w:lineRule="auto"/>
        <w:ind w:left="567" w:right="616"/>
        <w:contextualSpacing/>
        <w:rPr>
          <w:i/>
          <w:sz w:val="22"/>
        </w:rPr>
      </w:pPr>
      <w:r w:rsidRPr="00E16CEB">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4530A97E" w14:textId="77777777" w:rsidR="00D20BF9" w:rsidRPr="00E16CEB" w:rsidRDefault="00D20BF9" w:rsidP="00D20BF9">
      <w:pPr>
        <w:pBdr>
          <w:top w:val="nil"/>
          <w:left w:val="nil"/>
          <w:bottom w:val="nil"/>
          <w:right w:val="nil"/>
          <w:between w:val="nil"/>
        </w:pBdr>
        <w:spacing w:line="240" w:lineRule="auto"/>
        <w:ind w:left="567" w:right="616"/>
        <w:contextualSpacing/>
        <w:rPr>
          <w:i/>
          <w:sz w:val="22"/>
        </w:rPr>
      </w:pPr>
    </w:p>
    <w:p w14:paraId="76E31D50" w14:textId="77777777" w:rsidR="00D20BF9" w:rsidRPr="00E16CEB" w:rsidRDefault="00D20BF9" w:rsidP="00D20BF9">
      <w:pPr>
        <w:pBdr>
          <w:top w:val="nil"/>
          <w:left w:val="nil"/>
          <w:bottom w:val="nil"/>
          <w:right w:val="nil"/>
          <w:between w:val="nil"/>
        </w:pBdr>
        <w:spacing w:line="240" w:lineRule="auto"/>
        <w:ind w:left="567" w:right="616"/>
        <w:contextualSpacing/>
        <w:rPr>
          <w:i/>
          <w:sz w:val="22"/>
        </w:rPr>
      </w:pPr>
      <w:r w:rsidRPr="00E16CEB">
        <w:rPr>
          <w:i/>
          <w:sz w:val="22"/>
        </w:rPr>
        <w:t>Solo podrá ser clasificada excepcionalmente como reservada temporalmente por razones de interés público, en los términos de las causas legítimas y estrictamente necesarias previstas por esta Ley.</w:t>
      </w:r>
    </w:p>
    <w:p w14:paraId="01E87E67" w14:textId="77777777" w:rsidR="00D20BF9" w:rsidRPr="00E16CEB" w:rsidRDefault="00D20BF9" w:rsidP="00D20BF9">
      <w:pPr>
        <w:pBdr>
          <w:top w:val="nil"/>
          <w:left w:val="nil"/>
          <w:bottom w:val="nil"/>
          <w:right w:val="nil"/>
          <w:between w:val="nil"/>
        </w:pBdr>
        <w:contextualSpacing/>
        <w:rPr>
          <w:szCs w:val="24"/>
        </w:rPr>
      </w:pPr>
    </w:p>
    <w:p w14:paraId="4F45DDF4" w14:textId="77777777" w:rsidR="00D20BF9" w:rsidRPr="00E16CEB" w:rsidRDefault="00D20BF9" w:rsidP="00D20BF9">
      <w:pPr>
        <w:rPr>
          <w:rFonts w:cs="Arial"/>
          <w:i/>
        </w:rPr>
      </w:pPr>
      <w:r w:rsidRPr="00E16CEB">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660BDBF" w14:textId="77777777" w:rsidR="00D20BF9" w:rsidRPr="00E16CEB" w:rsidRDefault="00D20BF9" w:rsidP="00D20BF9">
      <w:pPr>
        <w:rPr>
          <w:rFonts w:cs="Arial"/>
          <w:iCs/>
        </w:rPr>
      </w:pPr>
    </w:p>
    <w:p w14:paraId="085C2CA5" w14:textId="77777777" w:rsidR="00D20BF9" w:rsidRPr="00E16CEB" w:rsidRDefault="00D20BF9" w:rsidP="00D20BF9">
      <w:pPr>
        <w:rPr>
          <w:rFonts w:cs="Arial"/>
          <w:szCs w:val="24"/>
        </w:rPr>
      </w:pPr>
      <w:r w:rsidRPr="00E16CEB">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E16CEB">
        <w:rPr>
          <w:rFonts w:cs="Arial"/>
        </w:rPr>
        <w:lastRenderedPageBreak/>
        <w:t xml:space="preserve">archivos, en el estado en el que se encuentre, sin la obligación de generarla, resumirla, efectuar cálculos o practicar investigaciones; tal y como se señala a continuación: </w:t>
      </w:r>
    </w:p>
    <w:p w14:paraId="53296AC4" w14:textId="77777777" w:rsidR="00D20BF9" w:rsidRPr="00E16CEB" w:rsidRDefault="00D20BF9" w:rsidP="00D20BF9">
      <w:pPr>
        <w:spacing w:line="259" w:lineRule="auto"/>
        <w:ind w:right="567"/>
        <w:rPr>
          <w:rFonts w:cs="Arial"/>
          <w:szCs w:val="24"/>
        </w:rPr>
      </w:pPr>
    </w:p>
    <w:p w14:paraId="76F1BD36" w14:textId="77777777" w:rsidR="00D20BF9" w:rsidRPr="00E16CEB" w:rsidRDefault="00D20BF9" w:rsidP="00D20BF9">
      <w:pPr>
        <w:spacing w:line="240" w:lineRule="auto"/>
        <w:ind w:left="567" w:right="567"/>
        <w:rPr>
          <w:rFonts w:cs="Arial"/>
          <w:i/>
          <w:color w:val="000000"/>
          <w:sz w:val="22"/>
        </w:rPr>
      </w:pPr>
      <w:r w:rsidRPr="00E16CEB">
        <w:rPr>
          <w:rFonts w:cs="Arial"/>
          <w:b/>
          <w:i/>
          <w:color w:val="000000"/>
          <w:sz w:val="22"/>
        </w:rPr>
        <w:t>Artículo 12.</w:t>
      </w:r>
      <w:r w:rsidRPr="00E16CEB">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32F4C2EB" w14:textId="77777777" w:rsidR="00D20BF9" w:rsidRPr="00E16CEB" w:rsidRDefault="00D20BF9" w:rsidP="00D20BF9">
      <w:pPr>
        <w:spacing w:line="240" w:lineRule="auto"/>
        <w:ind w:left="567" w:right="567"/>
        <w:rPr>
          <w:rFonts w:cs="Arial"/>
          <w:i/>
          <w:sz w:val="22"/>
        </w:rPr>
      </w:pPr>
    </w:p>
    <w:p w14:paraId="72E68669" w14:textId="77777777" w:rsidR="00D20BF9" w:rsidRPr="00E16CEB" w:rsidRDefault="00D20BF9" w:rsidP="00D20BF9">
      <w:pPr>
        <w:spacing w:line="240" w:lineRule="auto"/>
        <w:ind w:left="567" w:right="567"/>
        <w:rPr>
          <w:rFonts w:cs="Arial"/>
          <w:i/>
          <w:iCs/>
          <w:sz w:val="22"/>
          <w:lang w:val="es-ES"/>
        </w:rPr>
      </w:pPr>
      <w:r w:rsidRPr="00E16CEB">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BF7092" w14:textId="77777777" w:rsidR="00D20BF9" w:rsidRPr="00E16CEB" w:rsidRDefault="00D20BF9" w:rsidP="00D20BF9">
      <w:pPr>
        <w:rPr>
          <w:rFonts w:cs="Arial"/>
          <w:color w:val="000000"/>
        </w:rPr>
      </w:pPr>
    </w:p>
    <w:p w14:paraId="1B4E3F46" w14:textId="77777777" w:rsidR="00D20BF9" w:rsidRPr="00E16CEB" w:rsidRDefault="00D20BF9" w:rsidP="00D20BF9">
      <w:pPr>
        <w:rPr>
          <w:rFonts w:cs="Arial"/>
          <w:color w:val="000000"/>
        </w:rPr>
      </w:pPr>
      <w:r w:rsidRPr="00E16CEB">
        <w:rPr>
          <w:rFonts w:cs="Arial"/>
          <w:color w:val="000000"/>
        </w:rPr>
        <w:t>En síntesis, el derecho de acceso a la información pública se satisface en aquellos casos en que se entregue el soporte documental en que conste la información pública, toda vez que, los Sujetos Obligados</w:t>
      </w:r>
      <w:r w:rsidRPr="00E16CEB">
        <w:rPr>
          <w:rFonts w:cs="Arial"/>
          <w:b/>
          <w:color w:val="000000"/>
        </w:rPr>
        <w:t xml:space="preserve"> </w:t>
      </w:r>
      <w:r w:rsidRPr="00E16CEB">
        <w:rPr>
          <w:rFonts w:cs="Arial"/>
          <w:color w:val="000000"/>
        </w:rPr>
        <w:t xml:space="preserve">no tienen el deber de generar, poseer o administrar la información pública con el grado de detalle solicitado; esto es, que no tienen el deber de generar un documento </w:t>
      </w:r>
      <w:r w:rsidRPr="00E16CEB">
        <w:rPr>
          <w:rFonts w:cs="Arial"/>
          <w:i/>
          <w:color w:val="000000"/>
        </w:rPr>
        <w:t>ad hoc</w:t>
      </w:r>
      <w:r w:rsidRPr="00E16CEB">
        <w:rPr>
          <w:rFonts w:cs="Arial"/>
          <w:color w:val="000000"/>
        </w:rPr>
        <w:t>, para satisfacer el derecho de acceso a la información pública.</w:t>
      </w:r>
    </w:p>
    <w:p w14:paraId="23DE16AE" w14:textId="77777777" w:rsidR="00D20BF9" w:rsidRPr="00E16CEB" w:rsidRDefault="00D20BF9" w:rsidP="00D20BF9">
      <w:pPr>
        <w:rPr>
          <w:rFonts w:cs="Arial"/>
          <w:color w:val="000000"/>
        </w:rPr>
      </w:pPr>
    </w:p>
    <w:p w14:paraId="1A18D82C" w14:textId="77777777" w:rsidR="00D20BF9" w:rsidRPr="00E16CEB" w:rsidRDefault="00D20BF9" w:rsidP="00D20BF9">
      <w:pPr>
        <w:rPr>
          <w:b/>
          <w:bCs/>
          <w:color w:val="000000"/>
        </w:rPr>
      </w:pPr>
      <w:r w:rsidRPr="00E16CEB">
        <w:rPr>
          <w:rFonts w:cs="Arial"/>
          <w:color w:val="000000"/>
        </w:rPr>
        <w:t xml:space="preserve">Como apoyo a lo anterior, es aplicable el Criterio 03-17, emitido por </w:t>
      </w:r>
      <w:r w:rsidRPr="00E16CEB">
        <w:rPr>
          <w:rFonts w:eastAsia="Arial Unicode MS" w:cs="Arial"/>
          <w:color w:val="000000"/>
        </w:rPr>
        <w:t>el Instituto Nacional de Transparencia, Acceso a la Información y Protección de Datos Personales,</w:t>
      </w:r>
      <w:r w:rsidRPr="00E16CEB">
        <w:rPr>
          <w:bCs/>
          <w:color w:val="000000"/>
        </w:rPr>
        <w:t xml:space="preserve"> que dice:</w:t>
      </w:r>
      <w:r w:rsidRPr="00E16CEB">
        <w:rPr>
          <w:b/>
          <w:bCs/>
          <w:color w:val="000000"/>
        </w:rPr>
        <w:t xml:space="preserve"> </w:t>
      </w:r>
    </w:p>
    <w:p w14:paraId="4629C3FC" w14:textId="77777777" w:rsidR="00D20BF9" w:rsidRPr="00E16CEB" w:rsidRDefault="00D20BF9" w:rsidP="00D20BF9">
      <w:pPr>
        <w:jc w:val="left"/>
        <w:rPr>
          <w:rFonts w:eastAsia="Times New Roman" w:cs="Times New Roman"/>
          <w:szCs w:val="24"/>
          <w:lang w:eastAsia="es-ES"/>
        </w:rPr>
      </w:pPr>
    </w:p>
    <w:p w14:paraId="4B5076A2" w14:textId="77777777" w:rsidR="00D20BF9" w:rsidRPr="00E16CEB" w:rsidRDefault="00D20BF9" w:rsidP="00D20BF9">
      <w:pPr>
        <w:spacing w:line="259" w:lineRule="auto"/>
        <w:ind w:left="851" w:right="850"/>
        <w:rPr>
          <w:rFonts w:cs="Arial"/>
          <w:color w:val="000000"/>
          <w:sz w:val="2"/>
        </w:rPr>
      </w:pPr>
    </w:p>
    <w:p w14:paraId="68E407C1" w14:textId="77777777" w:rsidR="00D20BF9" w:rsidRPr="00E16CEB" w:rsidRDefault="00D20BF9" w:rsidP="00D20BF9">
      <w:pPr>
        <w:spacing w:line="240" w:lineRule="auto"/>
        <w:ind w:left="567" w:right="567"/>
        <w:rPr>
          <w:rFonts w:cs="Arial"/>
          <w:i/>
          <w:color w:val="000000"/>
          <w:sz w:val="22"/>
        </w:rPr>
      </w:pPr>
      <w:r w:rsidRPr="00E16CEB">
        <w:rPr>
          <w:rFonts w:cs="Arial"/>
          <w:b/>
          <w:i/>
          <w:color w:val="000000"/>
          <w:sz w:val="22"/>
        </w:rPr>
        <w:t>No existe obligación de elaborar documentos ad hoc para atender las solicitudes de acceso a la información.</w:t>
      </w:r>
      <w:r w:rsidRPr="00E16CEB">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w:t>
      </w:r>
      <w:r w:rsidRPr="00E16CEB">
        <w:rPr>
          <w:rFonts w:cs="Arial"/>
          <w:i/>
          <w:color w:val="000000"/>
          <w:sz w:val="22"/>
        </w:rPr>
        <w:lastRenderedPageBreak/>
        <w:t>garantizar el derecho de acceso a la información del particular, proporcionando la información con la que cuentan en el formato en que la misma obre en sus archivos; sin necesidad de elaborar documentos ad hoc para atender las solicitudes de información.</w:t>
      </w:r>
    </w:p>
    <w:p w14:paraId="0F0A6E54" w14:textId="77777777" w:rsidR="00D20BF9" w:rsidRPr="00E16CEB" w:rsidRDefault="00D20BF9" w:rsidP="00D20BF9">
      <w:pPr>
        <w:spacing w:line="240" w:lineRule="auto"/>
        <w:ind w:left="567" w:right="567"/>
        <w:rPr>
          <w:rFonts w:cs="Arial"/>
          <w:i/>
          <w:color w:val="000000"/>
          <w:sz w:val="2"/>
        </w:rPr>
      </w:pPr>
    </w:p>
    <w:p w14:paraId="1E373F9E" w14:textId="77777777" w:rsidR="00D20BF9" w:rsidRPr="00E16CEB" w:rsidRDefault="00D20BF9" w:rsidP="00D20BF9">
      <w:pPr>
        <w:rPr>
          <w:rFonts w:cs="Arial"/>
          <w:color w:val="000000" w:themeColor="text1"/>
        </w:rPr>
      </w:pPr>
    </w:p>
    <w:p w14:paraId="48906597" w14:textId="77777777" w:rsidR="00D20BF9" w:rsidRPr="00E16CEB" w:rsidRDefault="00D20BF9" w:rsidP="00D20BF9">
      <w:pPr>
        <w:rPr>
          <w:rFonts w:cs="Arial"/>
          <w:color w:val="000000" w:themeColor="text1"/>
        </w:rPr>
      </w:pPr>
      <w:r w:rsidRPr="00E16CEB">
        <w:rPr>
          <w:rFonts w:cs="Arial"/>
          <w:color w:val="000000" w:themeColor="text1"/>
        </w:rPr>
        <w:t xml:space="preserve">Asimismo, el artículo 24, de la Ley de la materia, dispone que los Sujetos Obligados sólo proporcionarán la información pública que </w:t>
      </w:r>
      <w:r w:rsidRPr="00E16CEB">
        <w:rPr>
          <w:rFonts w:cs="Arial"/>
        </w:rPr>
        <w:t>generen</w:t>
      </w:r>
      <w:r w:rsidRPr="00E16CEB">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6963FD9" w14:textId="77777777" w:rsidR="00D20BF9" w:rsidRPr="00E16CEB" w:rsidRDefault="00D20BF9" w:rsidP="00D20BF9">
      <w:pPr>
        <w:rPr>
          <w:rFonts w:cs="Arial"/>
          <w:color w:val="000000" w:themeColor="text1"/>
        </w:rPr>
      </w:pPr>
    </w:p>
    <w:p w14:paraId="2D1C5A8C" w14:textId="77777777" w:rsidR="00D20BF9" w:rsidRPr="00E16CEB" w:rsidRDefault="00D20BF9" w:rsidP="00D20BF9">
      <w:pPr>
        <w:rPr>
          <w:rFonts w:cs="Arial"/>
          <w:color w:val="000000" w:themeColor="text1"/>
        </w:rPr>
      </w:pPr>
      <w:r w:rsidRPr="00E16CEB">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E16CEB">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E16CEB">
        <w:rPr>
          <w:rFonts w:cs="Arial"/>
          <w:color w:val="000000" w:themeColor="text1"/>
        </w:rPr>
        <w:t xml:space="preserve">; los que, </w:t>
      </w:r>
      <w:r w:rsidRPr="00E16CEB">
        <w:rPr>
          <w:rFonts w:cs="Arial"/>
        </w:rPr>
        <w:t>podrán estar en cualquier medio, sea escrito, impreso, sonoro, visual, electrónico, informático u holográfico</w:t>
      </w:r>
      <w:r w:rsidRPr="00E16CEB">
        <w:rPr>
          <w:rFonts w:cs="Arial"/>
          <w:color w:val="000000" w:themeColor="text1"/>
        </w:rPr>
        <w:t xml:space="preserve">, de conformidad con el artículo 3, fracción XI, de la Ley de la materia, el cual dispone lo siguiente: </w:t>
      </w:r>
    </w:p>
    <w:p w14:paraId="33CA8A39" w14:textId="77777777" w:rsidR="00D20BF9" w:rsidRPr="00E16CEB" w:rsidRDefault="00D20BF9" w:rsidP="00D20BF9">
      <w:pPr>
        <w:pBdr>
          <w:top w:val="nil"/>
          <w:left w:val="nil"/>
          <w:bottom w:val="nil"/>
          <w:right w:val="nil"/>
          <w:between w:val="nil"/>
        </w:pBdr>
        <w:contextualSpacing/>
        <w:rPr>
          <w:szCs w:val="24"/>
        </w:rPr>
      </w:pPr>
    </w:p>
    <w:p w14:paraId="7C256C9E" w14:textId="77777777" w:rsidR="00D20BF9" w:rsidRPr="00E16CEB" w:rsidRDefault="00D20BF9" w:rsidP="00D20BF9">
      <w:pPr>
        <w:pStyle w:val="Fundamentos"/>
      </w:pPr>
      <w:r w:rsidRPr="00E16CEB">
        <w:rPr>
          <w:b/>
        </w:rPr>
        <w:t xml:space="preserve">Artículo 3. </w:t>
      </w:r>
      <w:r w:rsidRPr="00E16CEB">
        <w:t>Para los efectos de la presente Ley se entenderá por:</w:t>
      </w:r>
    </w:p>
    <w:p w14:paraId="42C4E747" w14:textId="77777777" w:rsidR="00D20BF9" w:rsidRPr="00E16CEB" w:rsidRDefault="00D20BF9" w:rsidP="00D20BF9">
      <w:pPr>
        <w:pStyle w:val="Fundamentos"/>
      </w:pPr>
      <w:r w:rsidRPr="00E16CEB">
        <w:t>[…]</w:t>
      </w:r>
    </w:p>
    <w:p w14:paraId="16E96EA1" w14:textId="77777777" w:rsidR="00D20BF9" w:rsidRPr="00E16CEB" w:rsidRDefault="00D20BF9" w:rsidP="00D20BF9">
      <w:pPr>
        <w:pStyle w:val="Fundamentos"/>
      </w:pPr>
      <w:r w:rsidRPr="00E16CEB">
        <w:rPr>
          <w:b/>
        </w:rPr>
        <w:t>XI. Documento:</w:t>
      </w:r>
      <w:r w:rsidRPr="00E16CE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E16CEB">
        <w:rPr>
          <w:b/>
          <w:u w:val="single"/>
        </w:rPr>
        <w:t xml:space="preserve">Los documentos </w:t>
      </w:r>
      <w:r w:rsidRPr="00E16CEB">
        <w:rPr>
          <w:b/>
          <w:u w:val="single"/>
        </w:rPr>
        <w:lastRenderedPageBreak/>
        <w:t>podrán estar en cualquier medio, sea escrito, impreso, sonoro, visual, electrónico, informático u holográfico</w:t>
      </w:r>
      <w:r w:rsidRPr="00E16CEB">
        <w:t>;</w:t>
      </w:r>
    </w:p>
    <w:p w14:paraId="1445D62E" w14:textId="77777777" w:rsidR="00D20BF9" w:rsidRPr="00E16CEB" w:rsidRDefault="00D20BF9" w:rsidP="00D20BF9">
      <w:pPr>
        <w:pStyle w:val="Fundamentos"/>
      </w:pPr>
      <w:r w:rsidRPr="00E16CEB">
        <w:t>[…]</w:t>
      </w:r>
    </w:p>
    <w:p w14:paraId="56366552" w14:textId="77777777" w:rsidR="00D20BF9" w:rsidRPr="00E16CEB" w:rsidRDefault="00D20BF9" w:rsidP="00D20BF9"/>
    <w:p w14:paraId="7FD9E6FB" w14:textId="77777777" w:rsidR="00D20BF9" w:rsidRPr="00E16CEB" w:rsidRDefault="00D20BF9" w:rsidP="00D20BF9">
      <w:pPr>
        <w:autoSpaceDE w:val="0"/>
        <w:autoSpaceDN w:val="0"/>
        <w:adjustRightInd w:val="0"/>
        <w:rPr>
          <w:rFonts w:cs="Arial"/>
          <w:szCs w:val="24"/>
        </w:rPr>
      </w:pPr>
      <w:r w:rsidRPr="00E16CEB">
        <w:rPr>
          <w:rFonts w:cs="Arial"/>
          <w:szCs w:val="24"/>
        </w:rPr>
        <w:t xml:space="preserve">Siendo aplicable el Criterio </w:t>
      </w:r>
      <w:r w:rsidRPr="00E16CEB">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E16CEB">
        <w:rPr>
          <w:rFonts w:cs="Arial"/>
          <w:szCs w:val="24"/>
        </w:rPr>
        <w:t>cuyo rubro y texto dispone:</w:t>
      </w:r>
    </w:p>
    <w:p w14:paraId="657F3679" w14:textId="77777777" w:rsidR="00D20BF9" w:rsidRPr="00E16CEB" w:rsidRDefault="00D20BF9" w:rsidP="00D20BF9">
      <w:pPr>
        <w:jc w:val="left"/>
        <w:rPr>
          <w:rFonts w:eastAsia="Times New Roman" w:cs="Times New Roman"/>
          <w:szCs w:val="24"/>
          <w:lang w:eastAsia="es-ES"/>
        </w:rPr>
      </w:pPr>
    </w:p>
    <w:p w14:paraId="5C59B392" w14:textId="77777777" w:rsidR="00D20BF9" w:rsidRPr="00E16CEB" w:rsidRDefault="00D20BF9" w:rsidP="00D20BF9">
      <w:pPr>
        <w:spacing w:line="259" w:lineRule="auto"/>
        <w:ind w:left="567" w:right="567"/>
        <w:rPr>
          <w:rFonts w:cs="Arial"/>
          <w:sz w:val="2"/>
        </w:rPr>
      </w:pPr>
    </w:p>
    <w:p w14:paraId="784ACC4A" w14:textId="77777777" w:rsidR="00D20BF9" w:rsidRPr="00E16CEB" w:rsidRDefault="00D20BF9" w:rsidP="00D20BF9">
      <w:pPr>
        <w:spacing w:line="240" w:lineRule="auto"/>
        <w:ind w:left="567" w:right="567"/>
        <w:rPr>
          <w:rFonts w:cs="Arial"/>
          <w:i/>
          <w:iCs/>
          <w:sz w:val="22"/>
          <w:lang w:val="es-ES"/>
        </w:rPr>
      </w:pPr>
      <w:r w:rsidRPr="00E16CEB">
        <w:rPr>
          <w:rFonts w:cs="Arial"/>
          <w:b/>
          <w:bCs/>
          <w:i/>
          <w:iCs/>
          <w:sz w:val="22"/>
          <w:lang w:val="es-ES"/>
        </w:rPr>
        <w:t>INFORMACIÓN PÚBLICA, CONCEPTO DE, EN MATERIA DE TRANSPARENCIA. INTERPRETACIÓN SISTEMÁTICA DE LOS ARTÍCULOS 2°, FRACCIÓN V, XV, Y XVI, 3°, 4°, 11 Y 41.</w:t>
      </w:r>
      <w:r w:rsidRPr="00E16CEB">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88C346F" w14:textId="77777777" w:rsidR="00D20BF9" w:rsidRPr="00E16CEB" w:rsidRDefault="00D20BF9" w:rsidP="00D20BF9">
      <w:pPr>
        <w:spacing w:line="240" w:lineRule="auto"/>
        <w:ind w:left="567" w:right="567"/>
        <w:rPr>
          <w:rFonts w:cs="Arial"/>
          <w:i/>
          <w:sz w:val="22"/>
        </w:rPr>
      </w:pPr>
    </w:p>
    <w:p w14:paraId="65C46269" w14:textId="77777777" w:rsidR="00D20BF9" w:rsidRPr="00E16CEB" w:rsidRDefault="00D20BF9" w:rsidP="00D20BF9">
      <w:pPr>
        <w:spacing w:line="240" w:lineRule="auto"/>
        <w:ind w:left="567" w:right="567"/>
        <w:rPr>
          <w:rFonts w:cs="Arial"/>
          <w:i/>
          <w:iCs/>
          <w:sz w:val="22"/>
          <w:lang w:val="es-ES"/>
        </w:rPr>
      </w:pPr>
      <w:r w:rsidRPr="00E16CEB">
        <w:rPr>
          <w:rFonts w:cs="Arial"/>
          <w:i/>
          <w:iCs/>
          <w:sz w:val="22"/>
          <w:lang w:val="es-ES"/>
        </w:rPr>
        <w:t>En consecuencia el acceso a la información se refiere a que se cumplan cualquiera de los siguientes tres supuestos:</w:t>
      </w:r>
    </w:p>
    <w:p w14:paraId="3A00390D" w14:textId="77777777" w:rsidR="00D20BF9" w:rsidRPr="00E16CEB" w:rsidRDefault="00D20BF9" w:rsidP="00D20BF9">
      <w:pPr>
        <w:spacing w:line="240" w:lineRule="auto"/>
        <w:ind w:left="567" w:right="567"/>
        <w:rPr>
          <w:rFonts w:cs="Arial"/>
          <w:b/>
          <w:i/>
          <w:sz w:val="22"/>
        </w:rPr>
      </w:pPr>
    </w:p>
    <w:p w14:paraId="35997892" w14:textId="77777777" w:rsidR="00D20BF9" w:rsidRPr="00E16CEB" w:rsidRDefault="00D20BF9" w:rsidP="00D20BF9">
      <w:pPr>
        <w:spacing w:line="240" w:lineRule="auto"/>
        <w:ind w:left="567" w:right="567"/>
        <w:rPr>
          <w:rFonts w:cs="Arial"/>
          <w:b/>
          <w:bCs/>
          <w:i/>
          <w:iCs/>
          <w:sz w:val="22"/>
          <w:lang w:val="es-ES"/>
        </w:rPr>
      </w:pPr>
      <w:r w:rsidRPr="00E16CEB">
        <w:rPr>
          <w:rFonts w:cs="Arial"/>
          <w:b/>
          <w:bCs/>
          <w:i/>
          <w:iCs/>
          <w:sz w:val="22"/>
          <w:lang w:val="es-ES"/>
        </w:rPr>
        <w:t xml:space="preserve">1) </w:t>
      </w:r>
      <w:r w:rsidRPr="00E16CEB">
        <w:rPr>
          <w:rFonts w:cs="Arial"/>
          <w:b/>
          <w:bCs/>
          <w:i/>
          <w:iCs/>
          <w:sz w:val="22"/>
          <w:u w:val="single"/>
          <w:lang w:val="es-ES"/>
        </w:rPr>
        <w:t>Que se trate de información registrada en cualquier soporte documental, que en ejercicio de las atribuciones conferidas, sea generada por los Sujetos Obligados;</w:t>
      </w:r>
    </w:p>
    <w:p w14:paraId="5BB35281" w14:textId="77777777" w:rsidR="00D20BF9" w:rsidRPr="00E16CEB" w:rsidRDefault="00D20BF9" w:rsidP="00D20BF9">
      <w:pPr>
        <w:spacing w:line="240" w:lineRule="auto"/>
        <w:ind w:left="567" w:right="567"/>
        <w:rPr>
          <w:rFonts w:cs="Arial"/>
          <w:i/>
          <w:iCs/>
          <w:sz w:val="22"/>
          <w:lang w:val="es-ES"/>
        </w:rPr>
      </w:pPr>
      <w:r w:rsidRPr="00E16CEB">
        <w:rPr>
          <w:rFonts w:cs="Arial"/>
          <w:i/>
          <w:iCs/>
          <w:sz w:val="22"/>
          <w:lang w:val="es-ES"/>
        </w:rPr>
        <w:t>2) Que se trate de información registrada en cualquier soporte documental, que en ejercicio de las atribuciones conferidas, sea administrada por los Sujetos Obligados, y</w:t>
      </w:r>
    </w:p>
    <w:p w14:paraId="0970F40F" w14:textId="77777777" w:rsidR="00D20BF9" w:rsidRPr="00E16CEB" w:rsidRDefault="00D20BF9" w:rsidP="00D20BF9">
      <w:pPr>
        <w:spacing w:line="240" w:lineRule="auto"/>
        <w:ind w:left="567" w:right="567"/>
        <w:rPr>
          <w:rFonts w:cs="Arial"/>
          <w:i/>
          <w:iCs/>
          <w:sz w:val="18"/>
          <w:szCs w:val="18"/>
          <w:lang w:val="es-ES"/>
        </w:rPr>
      </w:pPr>
      <w:r w:rsidRPr="00E16CEB">
        <w:rPr>
          <w:rFonts w:cs="Arial"/>
          <w:i/>
          <w:iCs/>
          <w:sz w:val="22"/>
          <w:lang w:val="es-ES"/>
        </w:rPr>
        <w:t>3) Que se trate de información registrada en cualquier soporte documental, que en ejercicio de las atribuciones conferidas, se encuentre en posesión de los Sujetos Obligados.</w:t>
      </w:r>
    </w:p>
    <w:p w14:paraId="4D4FAB15" w14:textId="77777777" w:rsidR="00D20BF9" w:rsidRPr="00E16CEB" w:rsidRDefault="00D20BF9" w:rsidP="00D20BF9">
      <w:pPr>
        <w:pBdr>
          <w:top w:val="nil"/>
          <w:left w:val="nil"/>
          <w:bottom w:val="nil"/>
          <w:right w:val="nil"/>
          <w:between w:val="nil"/>
        </w:pBdr>
        <w:contextualSpacing/>
        <w:rPr>
          <w:rFonts w:eastAsia="Palatino Linotype" w:cs="Palatino Linotype"/>
          <w:color w:val="000000"/>
          <w:szCs w:val="24"/>
        </w:rPr>
      </w:pPr>
    </w:p>
    <w:p w14:paraId="046310FC" w14:textId="4B2F5067" w:rsidR="00D20BF9" w:rsidRPr="00E16CEB" w:rsidRDefault="00D20BF9" w:rsidP="00D20BF9">
      <w:pPr>
        <w:pBdr>
          <w:top w:val="nil"/>
          <w:left w:val="nil"/>
          <w:bottom w:val="nil"/>
          <w:right w:val="nil"/>
          <w:between w:val="nil"/>
        </w:pBdr>
        <w:contextualSpacing/>
        <w:rPr>
          <w:rFonts w:eastAsia="Palatino Linotype" w:cs="Palatino Linotype"/>
          <w:color w:val="000000"/>
          <w:szCs w:val="24"/>
        </w:rPr>
      </w:pPr>
      <w:r w:rsidRPr="00E16CEB">
        <w:rPr>
          <w:rFonts w:eastAsia="Palatino Linotype" w:cs="Palatino Linotype"/>
          <w:color w:val="000000"/>
          <w:szCs w:val="24"/>
          <w:lang w:val="es-ES"/>
        </w:rPr>
        <w:t xml:space="preserve">En segundo término, tomando en cuenta la respuesta proporcionada por parte del Sujeto Obligado, </w:t>
      </w:r>
      <w:r w:rsidRPr="00E16CEB">
        <w:rPr>
          <w:rFonts w:eastAsia="Palatino Linotype" w:cs="Palatino Linotype"/>
          <w:color w:val="000000"/>
          <w:szCs w:val="24"/>
        </w:rPr>
        <w:t xml:space="preserve">toda vez que el Sujeto Obligado en su respuesta manifestó que la información solicitada puede ser consultada </w:t>
      </w:r>
      <w:r w:rsidR="00B26814" w:rsidRPr="00E16CEB">
        <w:rPr>
          <w:rFonts w:eastAsia="Palatino Linotype" w:cs="Palatino Linotype"/>
          <w:color w:val="000000"/>
          <w:szCs w:val="24"/>
        </w:rPr>
        <w:t>las</w:t>
      </w:r>
      <w:r w:rsidRPr="00E16CEB">
        <w:rPr>
          <w:rFonts w:eastAsia="Palatino Linotype" w:cs="Palatino Linotype"/>
          <w:color w:val="000000"/>
          <w:szCs w:val="24"/>
        </w:rPr>
        <w:t xml:space="preserve"> instalaciones</w:t>
      </w:r>
      <w:r w:rsidR="00B26814" w:rsidRPr="00E16CEB">
        <w:rPr>
          <w:rFonts w:eastAsia="Palatino Linotype" w:cs="Palatino Linotype"/>
          <w:color w:val="000000"/>
          <w:szCs w:val="24"/>
        </w:rPr>
        <w:t xml:space="preserve"> de la Tesorería Municipal</w:t>
      </w:r>
      <w:r w:rsidRPr="00E16CEB">
        <w:rPr>
          <w:rFonts w:eastAsia="Palatino Linotype" w:cs="Palatino Linotype"/>
          <w:color w:val="000000"/>
          <w:szCs w:val="24"/>
        </w:rPr>
        <w:t xml:space="preserve">, </w:t>
      </w:r>
      <w:r w:rsidRPr="00E16CEB">
        <w:rPr>
          <w:rFonts w:eastAsia="Palatino Linotype" w:cs="Palatino Linotype"/>
          <w:b/>
          <w:color w:val="000000"/>
          <w:szCs w:val="24"/>
        </w:rPr>
        <w:t xml:space="preserve">se deduce </w:t>
      </w:r>
      <w:r w:rsidRPr="00E16CEB">
        <w:rPr>
          <w:rFonts w:eastAsia="Palatino Linotype" w:cs="Palatino Linotype"/>
          <w:b/>
          <w:color w:val="000000"/>
          <w:szCs w:val="24"/>
        </w:rPr>
        <w:lastRenderedPageBreak/>
        <w:t>que existe una aceptación por parte del Sujeto Obligado que genera, administra o posee dicha información, derivada del ejercicio de sus funciones de derecho público</w:t>
      </w:r>
      <w:r w:rsidRPr="00E16CEB">
        <w:rPr>
          <w:rFonts w:eastAsia="Palatino Linotype" w:cs="Palatino Linotype"/>
          <w:color w:val="000000"/>
          <w:szCs w:val="24"/>
        </w:rPr>
        <w:t>.</w:t>
      </w:r>
    </w:p>
    <w:p w14:paraId="678F4A8B" w14:textId="77777777" w:rsidR="00D20BF9" w:rsidRPr="00E16CEB" w:rsidRDefault="00D20BF9" w:rsidP="00D20BF9">
      <w:pPr>
        <w:rPr>
          <w:noProof/>
          <w:szCs w:val="24"/>
          <w:lang w:val="es-MX"/>
        </w:rPr>
      </w:pPr>
    </w:p>
    <w:p w14:paraId="7F2B9CC5" w14:textId="77777777" w:rsidR="00D20BF9" w:rsidRPr="00E16CEB" w:rsidRDefault="00D20BF9" w:rsidP="00D20BF9">
      <w:pPr>
        <w:rPr>
          <w:szCs w:val="24"/>
        </w:rPr>
      </w:pPr>
      <w:r w:rsidRPr="00E16CEB">
        <w:rPr>
          <w:szCs w:val="24"/>
        </w:rPr>
        <w:t>Por lo que este Órgano Garante estima conveniente delimitar el estudio de la presente resolución al cambio en la modalidad a consulta directa, propuesto por el Sujeto Obligado, pues son estos actos los que, a consideración del Recurrente, le causan agravio a su derecho de acceso a la información.</w:t>
      </w:r>
    </w:p>
    <w:p w14:paraId="472A2F72" w14:textId="77777777" w:rsidR="00D20BF9" w:rsidRPr="00E16CEB" w:rsidRDefault="00D20BF9" w:rsidP="00D20BF9">
      <w:pPr>
        <w:rPr>
          <w:szCs w:val="24"/>
        </w:rPr>
      </w:pPr>
    </w:p>
    <w:p w14:paraId="519B020C" w14:textId="254C3A2D" w:rsidR="008402CD" w:rsidRPr="00E16CEB" w:rsidRDefault="00D20BF9" w:rsidP="00D20BF9">
      <w:r w:rsidRPr="00E16CEB">
        <w:t xml:space="preserve">Asimismo, es de destacar que la información fue requerida a través del SAIMEX; sin embargo, mediante respuesta a la solicitud de información, el Sujeto Obligado de manera unilateral realizó un cambio en la modalidad de entrega </w:t>
      </w:r>
      <w:r w:rsidR="008402CD" w:rsidRPr="00E16CEB">
        <w:t xml:space="preserve">aduciendo que </w:t>
      </w:r>
      <w:r w:rsidR="008402CD" w:rsidRPr="00E16CEB">
        <w:rPr>
          <w:rFonts w:eastAsia="Palatino Linotype" w:cs="Palatino Linotype"/>
          <w:color w:val="000000" w:themeColor="text1"/>
        </w:rPr>
        <w:t xml:space="preserve">la información de las facturas pagadas por un monto </w:t>
      </w:r>
      <w:r w:rsidR="00A06E20" w:rsidRPr="00E16CEB">
        <w:rPr>
          <w:rFonts w:eastAsia="Palatino Linotype" w:cs="Palatino Linotype"/>
          <w:color w:val="000000" w:themeColor="text1"/>
        </w:rPr>
        <w:t xml:space="preserve">mayor </w:t>
      </w:r>
      <w:r w:rsidR="003370C2" w:rsidRPr="00E16CEB">
        <w:rPr>
          <w:rFonts w:eastAsia="Palatino Linotype" w:cs="Palatino Linotype"/>
          <w:color w:val="000000" w:themeColor="text1"/>
        </w:rPr>
        <w:t>a</w:t>
      </w:r>
      <w:r w:rsidR="00A06E20" w:rsidRPr="00E16CEB">
        <w:rPr>
          <w:rFonts w:eastAsia="Palatino Linotype" w:cs="Palatino Linotype"/>
          <w:color w:val="000000" w:themeColor="text1"/>
        </w:rPr>
        <w:t xml:space="preserve"> cien mil pesos</w:t>
      </w:r>
      <w:r w:rsidR="008402CD" w:rsidRPr="00E16CEB">
        <w:rPr>
          <w:rFonts w:eastAsia="Palatino Linotype" w:cs="Palatino Linotype"/>
          <w:color w:val="000000" w:themeColor="text1"/>
        </w:rPr>
        <w:t xml:space="preserve"> de pesos generadas en el periodo solicitado sobrepasan la capacidad del SAIMEX, siendo </w:t>
      </w:r>
      <w:r w:rsidR="007B1AFE" w:rsidRPr="00E16CEB">
        <w:rPr>
          <w:rFonts w:eastAsia="Palatino Linotype" w:cs="Palatino Linotype"/>
          <w:color w:val="000000" w:themeColor="text1"/>
        </w:rPr>
        <w:t>de catorce mil quinientas fojas</w:t>
      </w:r>
      <w:r w:rsidR="008402CD" w:rsidRPr="00E16CEB">
        <w:rPr>
          <w:rFonts w:eastAsia="Palatino Linotype" w:cs="Palatino Linotype"/>
          <w:color w:val="000000" w:themeColor="text1"/>
        </w:rPr>
        <w:t>, por lo que se solicitó el cambio de modalidad a consulta directa</w:t>
      </w:r>
      <w:r w:rsidR="00B470FA" w:rsidRPr="00E16CEB">
        <w:rPr>
          <w:rFonts w:eastAsia="Palatino Linotype" w:cs="Palatino Linotype"/>
          <w:color w:val="000000" w:themeColor="text1"/>
        </w:rPr>
        <w:t xml:space="preserve">, señalando los horarios, ubicación, número telefónico y correo electrónico </w:t>
      </w:r>
      <w:r w:rsidR="007140E0" w:rsidRPr="00E16CEB">
        <w:rPr>
          <w:rFonts w:eastAsia="Palatino Linotype" w:cs="Palatino Linotype"/>
          <w:color w:val="000000" w:themeColor="text1"/>
        </w:rPr>
        <w:t>del área de Tesorería</w:t>
      </w:r>
      <w:r w:rsidR="008402CD" w:rsidRPr="00E16CEB">
        <w:rPr>
          <w:rFonts w:eastAsia="Palatino Linotype" w:cs="Palatino Linotype"/>
          <w:color w:val="000000" w:themeColor="text1"/>
        </w:rPr>
        <w:t>,</w:t>
      </w:r>
      <w:r w:rsidR="007140E0" w:rsidRPr="00E16CEB">
        <w:rPr>
          <w:rFonts w:eastAsia="Palatino Linotype" w:cs="Palatino Linotype"/>
          <w:color w:val="000000" w:themeColor="text1"/>
        </w:rPr>
        <w:t xml:space="preserve"> </w:t>
      </w:r>
      <w:r w:rsidR="00B470FA" w:rsidRPr="00E16CEB">
        <w:rPr>
          <w:rFonts w:eastAsia="Palatino Linotype" w:cs="Palatino Linotype"/>
          <w:color w:val="000000" w:themeColor="text1"/>
        </w:rPr>
        <w:t>sin que se ofrecieran</w:t>
      </w:r>
      <w:r w:rsidR="008402CD" w:rsidRPr="00E16CEB">
        <w:rPr>
          <w:rFonts w:eastAsia="Palatino Linotype" w:cs="Palatino Linotype"/>
          <w:color w:val="000000" w:themeColor="text1"/>
        </w:rPr>
        <w:t xml:space="preserve"> otras modalidades para la entrega de la información</w:t>
      </w:r>
      <w:r w:rsidR="00001817" w:rsidRPr="00E16CEB">
        <w:rPr>
          <w:rFonts w:eastAsia="Palatino Linotype" w:cs="Palatino Linotype"/>
          <w:color w:val="000000" w:themeColor="text1"/>
        </w:rPr>
        <w:t xml:space="preserve"> y se señalara </w:t>
      </w:r>
      <w:r w:rsidR="008402CD" w:rsidRPr="00E16CEB">
        <w:rPr>
          <w:rFonts w:eastAsia="Palatino Linotype" w:cs="Palatino Linotype"/>
          <w:color w:val="000000" w:themeColor="text1"/>
        </w:rPr>
        <w:t>el procedimiento de pago en el supuesto de requerir copias simples o certificadas de la información y el plazo en el que la información estará disponible para su consulta.</w:t>
      </w:r>
    </w:p>
    <w:p w14:paraId="1E8C86F1" w14:textId="77777777" w:rsidR="008402CD" w:rsidRPr="00E16CEB" w:rsidRDefault="008402CD" w:rsidP="00D20BF9"/>
    <w:p w14:paraId="2EB8AD42" w14:textId="38FE11B8" w:rsidR="00001817" w:rsidRPr="00E16CEB" w:rsidRDefault="00814488" w:rsidP="00D20BF9">
      <w:r w:rsidRPr="00E16CEB">
        <w:t xml:space="preserve">Además, para demostrar la incapacidad de realizar la entrega mediante el SAIMEX, en Informe Justificado se remitió el oficio </w:t>
      </w:r>
      <w:r w:rsidR="00945703" w:rsidRPr="00E16CEB">
        <w:t>de la Dirección General de Informática de este Instituto, mediante el cual se señaló al Sujeto Obligado que la incidencia se registró en la bitácora de incidencias.</w:t>
      </w:r>
    </w:p>
    <w:p w14:paraId="6AD131A2" w14:textId="77777777" w:rsidR="00001817" w:rsidRPr="00E16CEB" w:rsidRDefault="00001817" w:rsidP="00D20BF9"/>
    <w:p w14:paraId="0C03662A" w14:textId="05AE3EDB" w:rsidR="00D20BF9" w:rsidRPr="00E16CEB" w:rsidRDefault="00F67BD3" w:rsidP="00D20BF9">
      <w:pPr>
        <w:contextualSpacing/>
      </w:pPr>
      <w:r w:rsidRPr="00E16CEB">
        <w:rPr>
          <w:rFonts w:eastAsia="Palatino Linotype" w:cs="Palatino Linotype"/>
          <w:szCs w:val="24"/>
        </w:rPr>
        <w:lastRenderedPageBreak/>
        <w:t xml:space="preserve">Ahora bien, </w:t>
      </w:r>
      <w:r w:rsidR="00D20BF9" w:rsidRPr="00E16CEB">
        <w:rPr>
          <w:noProof/>
          <w:lang w:val="es-MX"/>
        </w:rPr>
        <w:t xml:space="preserve">se debe señalar que, en antecedentes similares, </w:t>
      </w:r>
      <w:r w:rsidR="00D20BF9" w:rsidRPr="00E16CEB">
        <w:rPr>
          <w:rFonts w:eastAsia="Palatino Linotype" w:cs="Palatino Linotype"/>
          <w:szCs w:val="24"/>
        </w:rPr>
        <w:t xml:space="preserve">la </w:t>
      </w:r>
      <w:r w:rsidR="00D20BF9" w:rsidRPr="00E16CEB">
        <w:t>Dirección General de Informática de este Instituto ha informado que con relación al peso máximo de archivos que soporta el SAIMEX para adjuntar como respuesta a las solicitudes de información, se puedan adjuntar archivos con un peso aproximado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14:paraId="79731F2A" w14:textId="77777777" w:rsidR="00D20BF9" w:rsidRPr="00E16CEB" w:rsidRDefault="00D20BF9" w:rsidP="00D20BF9">
      <w:pPr>
        <w:contextualSpacing/>
        <w:rPr>
          <w:rFonts w:eastAsia="Palatino Linotype" w:cs="Palatino Linotype"/>
          <w:szCs w:val="24"/>
        </w:rPr>
      </w:pPr>
    </w:p>
    <w:p w14:paraId="48D7AF57" w14:textId="08AE10A8" w:rsidR="00D20BF9" w:rsidRPr="00E16CEB" w:rsidRDefault="00F67BD3" w:rsidP="005F24C4">
      <w:pPr>
        <w:rPr>
          <w:rFonts w:eastAsia="Palatino Linotype" w:cs="Palatino Linotype"/>
          <w:szCs w:val="24"/>
        </w:rPr>
      </w:pPr>
      <w:r w:rsidRPr="00E16CEB">
        <w:rPr>
          <w:noProof/>
          <w:lang w:val="es-MX"/>
        </w:rPr>
        <w:t xml:space="preserve">Asimismo, </w:t>
      </w:r>
      <w:r w:rsidR="005F24C4" w:rsidRPr="00E16CEB">
        <w:rPr>
          <w:rFonts w:eastAsia="Palatino Linotype" w:cs="Palatino Linotype"/>
          <w:szCs w:val="24"/>
        </w:rPr>
        <w:t>es dable señalar que el artículo 158 de la Ley de Transparencia estatal dispone que, de manera excepcional, cuando de manera fundada y motivada lo determine el Sujeto Obligado, 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r w:rsidR="00240367" w:rsidRPr="00E16CEB">
        <w:rPr>
          <w:rFonts w:eastAsia="Palatino Linotype" w:cs="Palatino Linotype"/>
          <w:szCs w:val="24"/>
        </w:rPr>
        <w:t xml:space="preserve">; así, se tiene que </w:t>
      </w:r>
      <w:r w:rsidR="009F0BCA" w:rsidRPr="00E16CEB">
        <w:rPr>
          <w:rFonts w:eastAsia="Palatino Linotype" w:cs="Palatino Linotype"/>
          <w:szCs w:val="24"/>
        </w:rPr>
        <w:t xml:space="preserve">los sujetos obligados están constreñidos a </w:t>
      </w:r>
      <w:r w:rsidR="00AD7EF5" w:rsidRPr="00E16CEB">
        <w:rPr>
          <w:rFonts w:eastAsia="Palatino Linotype" w:cs="Palatino Linotype"/>
          <w:szCs w:val="24"/>
        </w:rPr>
        <w:t>demostrar dicha incapacidad con la finalidad de que el cambio de modalidad sea procedente.</w:t>
      </w:r>
    </w:p>
    <w:p w14:paraId="7F831BA0" w14:textId="77777777" w:rsidR="00AD7EF5" w:rsidRPr="00E16CEB" w:rsidRDefault="00AD7EF5" w:rsidP="005F24C4">
      <w:pPr>
        <w:rPr>
          <w:rFonts w:eastAsia="Palatino Linotype" w:cs="Palatino Linotype"/>
          <w:szCs w:val="24"/>
        </w:rPr>
      </w:pPr>
    </w:p>
    <w:p w14:paraId="012D5C95" w14:textId="2A75C02F" w:rsidR="00AD7EF5" w:rsidRPr="00E16CEB" w:rsidRDefault="00AD7EF5" w:rsidP="005F24C4">
      <w:pPr>
        <w:rPr>
          <w:rFonts w:eastAsia="Palatino Linotype" w:cs="Palatino Linotype"/>
          <w:color w:val="000000" w:themeColor="text1"/>
        </w:rPr>
      </w:pPr>
      <w:r w:rsidRPr="00E16CEB">
        <w:rPr>
          <w:rFonts w:eastAsia="Palatino Linotype" w:cs="Palatino Linotype"/>
          <w:szCs w:val="24"/>
        </w:rPr>
        <w:t>En el caso en concreto</w:t>
      </w:r>
      <w:r w:rsidR="00E215E4" w:rsidRPr="00E16CEB">
        <w:rPr>
          <w:rFonts w:eastAsia="Palatino Linotype" w:cs="Palatino Linotype"/>
          <w:szCs w:val="24"/>
        </w:rPr>
        <w:t xml:space="preserve">, el Sujeto Obligado manifestó que la información </w:t>
      </w:r>
      <w:r w:rsidR="00353286" w:rsidRPr="00E16CEB">
        <w:rPr>
          <w:rFonts w:eastAsia="Palatino Linotype" w:cs="Palatino Linotype"/>
          <w:szCs w:val="24"/>
        </w:rPr>
        <w:t xml:space="preserve">que obra en sus archivos correspondiente al </w:t>
      </w:r>
      <w:r w:rsidR="00AC3AD7" w:rsidRPr="00E16CEB">
        <w:rPr>
          <w:rFonts w:eastAsia="Palatino Linotype" w:cs="Palatino Linotype"/>
          <w:szCs w:val="24"/>
        </w:rPr>
        <w:t xml:space="preserve">periodo </w:t>
      </w:r>
      <w:r w:rsidR="00353286" w:rsidRPr="00E16CEB">
        <w:rPr>
          <w:rFonts w:eastAsia="Palatino Linotype" w:cs="Palatino Linotype"/>
          <w:szCs w:val="24"/>
        </w:rPr>
        <w:t>referido</w:t>
      </w:r>
      <w:r w:rsidR="00AC3AD7" w:rsidRPr="00E16CEB">
        <w:rPr>
          <w:rFonts w:eastAsia="Palatino Linotype" w:cs="Palatino Linotype"/>
          <w:szCs w:val="24"/>
        </w:rPr>
        <w:t xml:space="preserve"> asciende a</w:t>
      </w:r>
      <w:r w:rsidR="0057410B" w:rsidRPr="00E16CEB">
        <w:rPr>
          <w:rFonts w:eastAsia="Palatino Linotype" w:cs="Palatino Linotype"/>
          <w:szCs w:val="24"/>
        </w:rPr>
        <w:t>proximadamente a</w:t>
      </w:r>
      <w:r w:rsidR="00AC3AD7" w:rsidRPr="00E16CEB">
        <w:rPr>
          <w:rFonts w:eastAsia="Palatino Linotype" w:cs="Palatino Linotype"/>
          <w:szCs w:val="24"/>
        </w:rPr>
        <w:t xml:space="preserve"> </w:t>
      </w:r>
      <w:r w:rsidR="00353286" w:rsidRPr="00E16CEB">
        <w:rPr>
          <w:rFonts w:eastAsia="Palatino Linotype" w:cs="Palatino Linotype"/>
          <w:szCs w:val="24"/>
        </w:rPr>
        <w:t>catorce mil quin</w:t>
      </w:r>
      <w:r w:rsidR="00675950" w:rsidRPr="00E16CEB">
        <w:rPr>
          <w:rFonts w:eastAsia="Palatino Linotype" w:cs="Palatino Linotype"/>
          <w:szCs w:val="24"/>
        </w:rPr>
        <w:t>i</w:t>
      </w:r>
      <w:r w:rsidR="00353286" w:rsidRPr="00E16CEB">
        <w:rPr>
          <w:rFonts w:eastAsia="Palatino Linotype" w:cs="Palatino Linotype"/>
          <w:szCs w:val="24"/>
        </w:rPr>
        <w:t xml:space="preserve">entas </w:t>
      </w:r>
      <w:r w:rsidR="00B17706" w:rsidRPr="00E16CEB">
        <w:rPr>
          <w:rFonts w:eastAsia="Palatino Linotype" w:cs="Palatino Linotype"/>
          <w:szCs w:val="24"/>
        </w:rPr>
        <w:t>foja</w:t>
      </w:r>
      <w:r w:rsidR="00675950" w:rsidRPr="00E16CEB">
        <w:rPr>
          <w:rFonts w:eastAsia="Palatino Linotype" w:cs="Palatino Linotype"/>
          <w:szCs w:val="24"/>
        </w:rPr>
        <w:t>s.</w:t>
      </w:r>
    </w:p>
    <w:p w14:paraId="1DC11029" w14:textId="77777777" w:rsidR="00FF46FA" w:rsidRPr="00E16CEB" w:rsidRDefault="00FF46FA" w:rsidP="005F24C4">
      <w:pPr>
        <w:rPr>
          <w:rFonts w:eastAsia="Palatino Linotype" w:cs="Palatino Linotype"/>
          <w:color w:val="000000" w:themeColor="text1"/>
        </w:rPr>
      </w:pPr>
    </w:p>
    <w:p w14:paraId="14E179BC" w14:textId="08B751BE" w:rsidR="00FF46FA" w:rsidRPr="00E16CEB" w:rsidRDefault="00FF46FA" w:rsidP="00361791">
      <w:pPr>
        <w:rPr>
          <w:rFonts w:eastAsia="Palatino Linotype" w:cs="Palatino Linotype"/>
          <w:szCs w:val="24"/>
        </w:rPr>
      </w:pPr>
      <w:r w:rsidRPr="00E16CEB">
        <w:rPr>
          <w:rFonts w:eastAsia="Palatino Linotype" w:cs="Palatino Linotype"/>
          <w:color w:val="000000" w:themeColor="text1"/>
        </w:rPr>
        <w:t>No obstante,</w:t>
      </w:r>
      <w:r w:rsidR="00C51D6A" w:rsidRPr="00E16CEB">
        <w:rPr>
          <w:rFonts w:eastAsia="Palatino Linotype" w:cs="Palatino Linotype"/>
          <w:color w:val="000000" w:themeColor="text1"/>
        </w:rPr>
        <w:t xml:space="preserve"> si bien en autos obran los argumentos y elementos aportados por el Sujeto Obligado para sustentar el cambio de modalidad de entrega, lo cierto es que el análisis </w:t>
      </w:r>
      <w:r w:rsidR="00C51D6A" w:rsidRPr="00E16CEB">
        <w:rPr>
          <w:rFonts w:eastAsia="Palatino Linotype" w:cs="Palatino Linotype"/>
          <w:color w:val="000000" w:themeColor="text1"/>
        </w:rPr>
        <w:lastRenderedPageBreak/>
        <w:t>de la controversia no puede limitarse únicamente a la existencia de tales</w:t>
      </w:r>
      <w:r w:rsidR="00361791" w:rsidRPr="00E16CEB">
        <w:rPr>
          <w:rFonts w:eastAsia="Palatino Linotype" w:cs="Palatino Linotype"/>
          <w:color w:val="000000" w:themeColor="text1"/>
        </w:rPr>
        <w:t xml:space="preserve"> instrumentos, sino que también debe atender a la naturaleza y características de la información solicitada.</w:t>
      </w:r>
    </w:p>
    <w:p w14:paraId="47F6D9C7" w14:textId="77777777" w:rsidR="00D20BF9" w:rsidRPr="00E16CEB" w:rsidRDefault="00D20BF9" w:rsidP="006100FC">
      <w:pPr>
        <w:rPr>
          <w:rFonts w:eastAsia="Palatino Linotype" w:cs="Palatino Linotype"/>
          <w:szCs w:val="24"/>
        </w:rPr>
      </w:pPr>
    </w:p>
    <w:p w14:paraId="1C204841" w14:textId="77777777" w:rsidR="00CF0884" w:rsidRPr="00E16CEB" w:rsidRDefault="00CF0884" w:rsidP="00CF0884">
      <w:pPr>
        <w:rPr>
          <w:rFonts w:eastAsia="Palatino Linotype" w:cs="Palatino Linotype"/>
          <w:szCs w:val="24"/>
        </w:rPr>
      </w:pPr>
      <w:r w:rsidRPr="00E16CEB">
        <w:rPr>
          <w:rFonts w:eastAsia="Palatino Linotype" w:cs="Palatino Linotype"/>
          <w:szCs w:val="24"/>
        </w:rPr>
        <w:t>En ese sentido, resulta relevante advertir que la solicitud de información se circunscribe</w:t>
      </w:r>
    </w:p>
    <w:p w14:paraId="3F3EB59E" w14:textId="7266F9AB" w:rsidR="00CF0884" w:rsidRPr="00E16CEB" w:rsidRDefault="00CF0884" w:rsidP="00CF0884">
      <w:pPr>
        <w:rPr>
          <w:rFonts w:eastAsia="Palatino Linotype" w:cs="Palatino Linotype"/>
          <w:szCs w:val="24"/>
        </w:rPr>
      </w:pPr>
      <w:r w:rsidRPr="00E16CEB">
        <w:rPr>
          <w:rFonts w:eastAsia="Palatino Linotype" w:cs="Palatino Linotype"/>
          <w:szCs w:val="24"/>
        </w:rPr>
        <w:t xml:space="preserve">exclusivamente a facturas cuyo monto sea superior a </w:t>
      </w:r>
      <w:r w:rsidR="00675950" w:rsidRPr="00E16CEB">
        <w:rPr>
          <w:rFonts w:eastAsia="Palatino Linotype" w:cs="Palatino Linotype"/>
          <w:szCs w:val="24"/>
        </w:rPr>
        <w:t>cien mil</w:t>
      </w:r>
      <w:r w:rsidRPr="00E16CEB">
        <w:rPr>
          <w:rFonts w:eastAsia="Palatino Linotype" w:cs="Palatino Linotype"/>
          <w:szCs w:val="24"/>
        </w:rPr>
        <w:t xml:space="preserve"> pesos. Bajo esta premisa, el universo documental susceptible de atender la solicitud necesariamente se encuentra acotado a aquellos comprobantes fiscales que amparen operaciones por dicho monto, lo cual,</w:t>
      </w:r>
      <w:r w:rsidR="005C3F10" w:rsidRPr="00E16CEB">
        <w:rPr>
          <w:rFonts w:eastAsia="Palatino Linotype" w:cs="Palatino Linotype"/>
          <w:szCs w:val="24"/>
        </w:rPr>
        <w:t xml:space="preserve"> </w:t>
      </w:r>
      <w:r w:rsidRPr="00E16CEB">
        <w:rPr>
          <w:rFonts w:eastAsia="Palatino Linotype" w:cs="Palatino Linotype"/>
          <w:szCs w:val="24"/>
        </w:rPr>
        <w:t>por su propia naturaleza, corresponde a documentos contables específicos y plenamente</w:t>
      </w:r>
      <w:r w:rsidR="005C3F10" w:rsidRPr="00E16CEB">
        <w:rPr>
          <w:rFonts w:eastAsia="Palatino Linotype" w:cs="Palatino Linotype"/>
          <w:szCs w:val="24"/>
        </w:rPr>
        <w:t xml:space="preserve"> </w:t>
      </w:r>
      <w:r w:rsidRPr="00E16CEB">
        <w:rPr>
          <w:rFonts w:eastAsia="Palatino Linotype" w:cs="Palatino Linotype"/>
          <w:szCs w:val="24"/>
        </w:rPr>
        <w:t>identificables, y no a un volumen indeterminado o masivo de documentación administrativa.</w:t>
      </w:r>
    </w:p>
    <w:p w14:paraId="75CDC4EA" w14:textId="77777777" w:rsidR="005C3F10" w:rsidRPr="00E16CEB" w:rsidRDefault="005C3F10" w:rsidP="00CF0884">
      <w:pPr>
        <w:rPr>
          <w:rFonts w:eastAsia="Palatino Linotype" w:cs="Palatino Linotype"/>
          <w:szCs w:val="24"/>
        </w:rPr>
      </w:pPr>
    </w:p>
    <w:p w14:paraId="76227B62" w14:textId="5BE8E0CE" w:rsidR="00D20BF9" w:rsidRPr="00E16CEB" w:rsidRDefault="00CF0884" w:rsidP="00CF0884">
      <w:pPr>
        <w:rPr>
          <w:rFonts w:eastAsia="Palatino Linotype" w:cs="Palatino Linotype"/>
          <w:szCs w:val="24"/>
        </w:rPr>
      </w:pPr>
      <w:r w:rsidRPr="00E16CEB">
        <w:rPr>
          <w:rFonts w:eastAsia="Palatino Linotype" w:cs="Palatino Linotype"/>
          <w:szCs w:val="24"/>
        </w:rPr>
        <w:t xml:space="preserve">A partir de lo anterior, este </w:t>
      </w:r>
      <w:r w:rsidR="005C3F10" w:rsidRPr="00E16CEB">
        <w:rPr>
          <w:rFonts w:eastAsia="Palatino Linotype" w:cs="Palatino Linotype"/>
          <w:szCs w:val="24"/>
        </w:rPr>
        <w:t xml:space="preserve">Instituto </w:t>
      </w:r>
      <w:r w:rsidRPr="00E16CEB">
        <w:rPr>
          <w:rFonts w:eastAsia="Palatino Linotype" w:cs="Palatino Linotype"/>
          <w:szCs w:val="24"/>
        </w:rPr>
        <w:t>estima que el volumen señalado por el Sujeto</w:t>
      </w:r>
      <w:r w:rsidR="005C3F10" w:rsidRPr="00E16CEB">
        <w:rPr>
          <w:rFonts w:eastAsia="Palatino Linotype" w:cs="Palatino Linotype"/>
          <w:szCs w:val="24"/>
        </w:rPr>
        <w:t xml:space="preserve"> </w:t>
      </w:r>
      <w:r w:rsidRPr="00E16CEB">
        <w:rPr>
          <w:rFonts w:eastAsia="Palatino Linotype" w:cs="Palatino Linotype"/>
          <w:szCs w:val="24"/>
        </w:rPr>
        <w:t xml:space="preserve">Obligado, </w:t>
      </w:r>
      <w:r w:rsidR="005C3F10" w:rsidRPr="00E16CEB">
        <w:rPr>
          <w:rFonts w:eastAsia="Palatino Linotype" w:cs="Palatino Linotype"/>
          <w:szCs w:val="24"/>
        </w:rPr>
        <w:t xml:space="preserve">el cual asciende a aproximadamente </w:t>
      </w:r>
      <w:r w:rsidR="00035D49" w:rsidRPr="00E16CEB">
        <w:rPr>
          <w:rFonts w:eastAsia="Palatino Linotype" w:cs="Palatino Linotype"/>
          <w:szCs w:val="24"/>
        </w:rPr>
        <w:t>catorce mil quinientas</w:t>
      </w:r>
      <w:r w:rsidRPr="00E16CEB">
        <w:rPr>
          <w:rFonts w:eastAsia="Palatino Linotype" w:cs="Palatino Linotype"/>
          <w:szCs w:val="24"/>
        </w:rPr>
        <w:t xml:space="preserve"> fojas, no guarda una relación razonable con el tipo de</w:t>
      </w:r>
      <w:r w:rsidR="00453078" w:rsidRPr="00E16CEB">
        <w:rPr>
          <w:rFonts w:eastAsia="Palatino Linotype" w:cs="Palatino Linotype"/>
          <w:szCs w:val="24"/>
        </w:rPr>
        <w:t xml:space="preserve"> </w:t>
      </w:r>
      <w:r w:rsidRPr="00E16CEB">
        <w:rPr>
          <w:rFonts w:eastAsia="Palatino Linotype" w:cs="Palatino Linotype"/>
          <w:szCs w:val="24"/>
        </w:rPr>
        <w:t>documentación requerida. Ello es así, pues aún bajo una interpretación amplia en la que cada</w:t>
      </w:r>
      <w:r w:rsidR="00453078" w:rsidRPr="00E16CEB">
        <w:rPr>
          <w:rFonts w:eastAsia="Palatino Linotype" w:cs="Palatino Linotype"/>
          <w:szCs w:val="24"/>
        </w:rPr>
        <w:t xml:space="preserve"> </w:t>
      </w:r>
      <w:r w:rsidRPr="00E16CEB">
        <w:rPr>
          <w:rFonts w:eastAsia="Palatino Linotype" w:cs="Palatino Linotype"/>
          <w:szCs w:val="24"/>
        </w:rPr>
        <w:t>factura pudiera integrarse por diversos anexos o documentos complementarios, no resulta</w:t>
      </w:r>
      <w:r w:rsidR="00453078" w:rsidRPr="00E16CEB">
        <w:rPr>
          <w:rFonts w:eastAsia="Palatino Linotype" w:cs="Palatino Linotype"/>
          <w:szCs w:val="24"/>
        </w:rPr>
        <w:t xml:space="preserve"> </w:t>
      </w:r>
      <w:r w:rsidRPr="00E16CEB">
        <w:rPr>
          <w:rFonts w:eastAsia="Palatino Linotype" w:cs="Palatino Linotype"/>
          <w:szCs w:val="24"/>
        </w:rPr>
        <w:t xml:space="preserve">materialmente viable que las facturas correspondientes a operaciones superiores a </w:t>
      </w:r>
      <w:r w:rsidR="000A5F69" w:rsidRPr="00E16CEB">
        <w:rPr>
          <w:rFonts w:eastAsia="Palatino Linotype" w:cs="Palatino Linotype"/>
          <w:szCs w:val="24"/>
        </w:rPr>
        <w:t>cien mil</w:t>
      </w:r>
      <w:r w:rsidRPr="00E16CEB">
        <w:rPr>
          <w:rFonts w:eastAsia="Palatino Linotype" w:cs="Palatino Linotype"/>
          <w:szCs w:val="24"/>
        </w:rPr>
        <w:t xml:space="preserve"> pesos generen un volumen documental de tal magnitud.</w:t>
      </w:r>
    </w:p>
    <w:p w14:paraId="072D8398" w14:textId="77777777" w:rsidR="00D20BF9" w:rsidRPr="00E16CEB" w:rsidRDefault="00D20BF9" w:rsidP="006100FC">
      <w:pPr>
        <w:rPr>
          <w:rFonts w:eastAsia="Palatino Linotype" w:cs="Palatino Linotype"/>
          <w:szCs w:val="24"/>
        </w:rPr>
      </w:pPr>
    </w:p>
    <w:p w14:paraId="320768F4" w14:textId="5728883B" w:rsidR="00D20BF9" w:rsidRPr="00E16CEB" w:rsidRDefault="007B5841" w:rsidP="007B5841">
      <w:pPr>
        <w:rPr>
          <w:rFonts w:eastAsia="Palatino Linotype" w:cs="Palatino Linotype"/>
          <w:szCs w:val="24"/>
        </w:rPr>
      </w:pPr>
      <w:r w:rsidRPr="00E16CEB">
        <w:rPr>
          <w:rFonts w:eastAsia="Palatino Linotype" w:cs="Palatino Linotype"/>
          <w:szCs w:val="24"/>
        </w:rPr>
        <w:t xml:space="preserve">Inclusive, si hipotéticamente se considerara un escenario mucho menor, por ejemplo, que la información alcanzara el límite máximo de archivos </w:t>
      </w:r>
      <w:r w:rsidR="00A56711" w:rsidRPr="00E16CEB">
        <w:rPr>
          <w:rFonts w:eastAsia="Palatino Linotype" w:cs="Palatino Linotype"/>
          <w:szCs w:val="24"/>
        </w:rPr>
        <w:t>(</w:t>
      </w:r>
      <w:r w:rsidR="00C438D3" w:rsidRPr="00E16CEB">
        <w:rPr>
          <w:rFonts w:eastAsia="Palatino Linotype" w:cs="Palatino Linotype"/>
          <w:szCs w:val="24"/>
        </w:rPr>
        <w:t xml:space="preserve">ocho mil fojas) </w:t>
      </w:r>
      <w:r w:rsidRPr="00E16CEB">
        <w:rPr>
          <w:rFonts w:eastAsia="Palatino Linotype" w:cs="Palatino Linotype"/>
          <w:szCs w:val="24"/>
        </w:rPr>
        <w:t xml:space="preserve">que permite cargar el propio sistema electrónico, el número de operaciones económicas necesarias para justificar tal volumen de facturas implicaría montos acumulados que </w:t>
      </w:r>
      <w:r w:rsidR="000B74FB" w:rsidRPr="00E16CEB">
        <w:rPr>
          <w:rFonts w:eastAsia="Palatino Linotype" w:cs="Palatino Linotype"/>
          <w:szCs w:val="24"/>
        </w:rPr>
        <w:t>equivalen a</w:t>
      </w:r>
      <w:r w:rsidR="00883078" w:rsidRPr="00E16CEB">
        <w:rPr>
          <w:rFonts w:eastAsia="Palatino Linotype" w:cs="Palatino Linotype"/>
          <w:szCs w:val="24"/>
        </w:rPr>
        <w:t xml:space="preserve">l </w:t>
      </w:r>
      <w:r w:rsidR="00883078" w:rsidRPr="00E16CEB">
        <w:rPr>
          <w:rFonts w:eastAsia="Palatino Linotype" w:cs="Palatino Linotype"/>
          <w:szCs w:val="24"/>
        </w:rPr>
        <w:lastRenderedPageBreak/>
        <w:t>cuarenta y tres por ciento</w:t>
      </w:r>
      <w:r w:rsidR="005D1D93" w:rsidRPr="00E16CEB">
        <w:rPr>
          <w:rFonts w:eastAsia="Palatino Linotype" w:cs="Palatino Linotype"/>
          <w:szCs w:val="24"/>
        </w:rPr>
        <w:t>,</w:t>
      </w:r>
      <w:r w:rsidR="00883078" w:rsidRPr="00E16CEB">
        <w:rPr>
          <w:rFonts w:eastAsia="Palatino Linotype" w:cs="Palatino Linotype"/>
          <w:szCs w:val="24"/>
        </w:rPr>
        <w:t xml:space="preserve"> aproximadamente</w:t>
      </w:r>
      <w:r w:rsidR="005D1D93" w:rsidRPr="00E16CEB">
        <w:rPr>
          <w:rFonts w:eastAsia="Palatino Linotype" w:cs="Palatino Linotype"/>
          <w:szCs w:val="24"/>
        </w:rPr>
        <w:t>,</w:t>
      </w:r>
      <w:r w:rsidR="00883078" w:rsidRPr="00E16CEB">
        <w:rPr>
          <w:rFonts w:eastAsia="Palatino Linotype" w:cs="Palatino Linotype"/>
          <w:szCs w:val="24"/>
        </w:rPr>
        <w:t xml:space="preserve"> del </w:t>
      </w:r>
      <w:r w:rsidRPr="00E16CEB">
        <w:rPr>
          <w:rFonts w:eastAsia="Palatino Linotype" w:cs="Palatino Linotype"/>
          <w:szCs w:val="24"/>
        </w:rPr>
        <w:t xml:space="preserve">presupuesto </w:t>
      </w:r>
      <w:r w:rsidR="001F582E" w:rsidRPr="00E16CEB">
        <w:rPr>
          <w:rFonts w:eastAsia="Palatino Linotype" w:cs="Palatino Linotype"/>
          <w:szCs w:val="24"/>
        </w:rPr>
        <w:t xml:space="preserve">de egresos definitivo </w:t>
      </w:r>
      <w:r w:rsidRPr="00E16CEB">
        <w:rPr>
          <w:rFonts w:eastAsia="Palatino Linotype" w:cs="Palatino Linotype"/>
          <w:szCs w:val="24"/>
        </w:rPr>
        <w:t>autorizado al municipio para el ejercicio fiscal</w:t>
      </w:r>
      <w:r w:rsidR="001F582E" w:rsidRPr="00E16CEB">
        <w:rPr>
          <w:rFonts w:eastAsia="Palatino Linotype" w:cs="Palatino Linotype"/>
          <w:szCs w:val="24"/>
        </w:rPr>
        <w:t xml:space="preserve"> 2025, que </w:t>
      </w:r>
      <w:r w:rsidR="005B4F40" w:rsidRPr="00E16CEB">
        <w:rPr>
          <w:rFonts w:eastAsia="Palatino Linotype" w:cs="Palatino Linotype"/>
          <w:szCs w:val="24"/>
        </w:rPr>
        <w:t>ascendió</w:t>
      </w:r>
      <w:r w:rsidR="001F582E" w:rsidRPr="00E16CEB">
        <w:rPr>
          <w:rFonts w:eastAsia="Palatino Linotype" w:cs="Palatino Linotype"/>
          <w:szCs w:val="24"/>
        </w:rPr>
        <w:t xml:space="preserve"> a </w:t>
      </w:r>
      <w:r w:rsidR="00804000" w:rsidRPr="00E16CEB">
        <w:rPr>
          <w:rFonts w:eastAsia="Palatino Linotype" w:cs="Palatino Linotype"/>
          <w:szCs w:val="24"/>
        </w:rPr>
        <w:t>$</w:t>
      </w:r>
      <w:r w:rsidR="007425BA" w:rsidRPr="00E16CEB">
        <w:rPr>
          <w:rFonts w:eastAsia="Palatino Linotype" w:cs="Palatino Linotype"/>
          <w:szCs w:val="24"/>
        </w:rPr>
        <w:t>1 </w:t>
      </w:r>
      <w:r w:rsidR="008B63EF" w:rsidRPr="00E16CEB">
        <w:rPr>
          <w:rFonts w:eastAsia="Palatino Linotype" w:cs="Palatino Linotype"/>
          <w:szCs w:val="24"/>
        </w:rPr>
        <w:t>857 904 331</w:t>
      </w:r>
      <w:r w:rsidR="00AC548C" w:rsidRPr="00E16CEB">
        <w:rPr>
          <w:rFonts w:eastAsia="Palatino Linotype" w:cs="Palatino Linotype"/>
          <w:szCs w:val="24"/>
        </w:rPr>
        <w:t>.</w:t>
      </w:r>
      <w:r w:rsidR="008B63EF" w:rsidRPr="00E16CEB">
        <w:rPr>
          <w:rFonts w:eastAsia="Palatino Linotype" w:cs="Palatino Linotype"/>
          <w:szCs w:val="24"/>
        </w:rPr>
        <w:t>59</w:t>
      </w:r>
      <w:r w:rsidR="00A33018" w:rsidRPr="00E16CEB">
        <w:rPr>
          <w:rFonts w:eastAsia="Palatino Linotype" w:cs="Palatino Linotype"/>
          <w:szCs w:val="24"/>
        </w:rPr>
        <w:t xml:space="preserve">, </w:t>
      </w:r>
      <w:r w:rsidR="00AC548C" w:rsidRPr="00E16CEB">
        <w:rPr>
          <w:rFonts w:eastAsia="Palatino Linotype" w:cs="Palatino Linotype"/>
          <w:szCs w:val="24"/>
        </w:rPr>
        <w:t>confor</w:t>
      </w:r>
      <w:r w:rsidR="00443B2D" w:rsidRPr="00E16CEB">
        <w:rPr>
          <w:rFonts w:eastAsia="Palatino Linotype" w:cs="Palatino Linotype"/>
          <w:szCs w:val="24"/>
        </w:rPr>
        <w:t>me a</w:t>
      </w:r>
      <w:r w:rsidR="008B63EF" w:rsidRPr="00E16CEB">
        <w:rPr>
          <w:rFonts w:eastAsia="Palatino Linotype" w:cs="Palatino Linotype"/>
          <w:szCs w:val="24"/>
        </w:rPr>
        <w:t xml:space="preserve"> </w:t>
      </w:r>
      <w:r w:rsidR="00443B2D" w:rsidRPr="00E16CEB">
        <w:rPr>
          <w:rFonts w:eastAsia="Palatino Linotype" w:cs="Palatino Linotype"/>
          <w:szCs w:val="24"/>
        </w:rPr>
        <w:t>l</w:t>
      </w:r>
      <w:r w:rsidR="008B63EF" w:rsidRPr="00E16CEB">
        <w:rPr>
          <w:rFonts w:eastAsia="Palatino Linotype" w:cs="Palatino Linotype"/>
          <w:szCs w:val="24"/>
        </w:rPr>
        <w:t>a información publicada en el portal de Información Pública de Oficio Mexiquense IPOMEX del Sujeto Obligado</w:t>
      </w:r>
      <w:r w:rsidR="00A33018" w:rsidRPr="00E16CEB">
        <w:rPr>
          <w:rStyle w:val="Refdenotaalpie"/>
          <w:rFonts w:eastAsia="Palatino Linotype" w:cs="Palatino Linotype"/>
          <w:szCs w:val="24"/>
        </w:rPr>
        <w:footnoteReference w:id="3"/>
      </w:r>
      <w:r w:rsidRPr="00E16CEB">
        <w:rPr>
          <w:rFonts w:eastAsia="Palatino Linotype" w:cs="Palatino Linotype"/>
          <w:szCs w:val="24"/>
        </w:rPr>
        <w:t>, lo cual evidencia una desproporción entre la naturaleza de la información solicitada y el volumen documental señalado.</w:t>
      </w:r>
    </w:p>
    <w:p w14:paraId="77BF9DBF" w14:textId="77777777" w:rsidR="00093922" w:rsidRPr="00E16CEB" w:rsidRDefault="00093922" w:rsidP="007B5841">
      <w:pPr>
        <w:rPr>
          <w:rFonts w:eastAsia="Palatino Linotype" w:cs="Palatino Linotype"/>
          <w:szCs w:val="24"/>
        </w:rPr>
      </w:pPr>
    </w:p>
    <w:p w14:paraId="2DDC1567" w14:textId="27786CF0" w:rsidR="00093922" w:rsidRPr="00E16CEB" w:rsidRDefault="00093922" w:rsidP="00093922">
      <w:r w:rsidRPr="00E16CEB">
        <w:t>Por lo anterior, es de concluirse que el Sujeto Obligado no acreditó fehacientemente la necesidad del cambio de modalidad de la entrega de información, en consecuencia, es dable ordenar la entrega de la información en la vía peticionada, es decir a través del SAIMEX, al no tenerse por cumplidos los requisitos de procedencia.</w:t>
      </w:r>
    </w:p>
    <w:p w14:paraId="6F2DE05D" w14:textId="77777777" w:rsidR="00093922" w:rsidRPr="00E16CEB" w:rsidRDefault="00093922" w:rsidP="00093922">
      <w:pPr>
        <w:rPr>
          <w:noProof/>
          <w:lang w:val="es-MX"/>
        </w:rPr>
      </w:pPr>
    </w:p>
    <w:p w14:paraId="4E0548B8" w14:textId="02CC2FC0" w:rsidR="00093922" w:rsidRPr="00E16CEB" w:rsidRDefault="00093922" w:rsidP="00093922">
      <w:pPr>
        <w:rPr>
          <w:rFonts w:cs="Arial"/>
          <w:szCs w:val="24"/>
        </w:rPr>
      </w:pPr>
      <w:r w:rsidRPr="00E16CEB">
        <w:rPr>
          <w:szCs w:val="24"/>
        </w:rPr>
        <w:t xml:space="preserve">Consecuentemente, la actuación del Sujeto Obligado </w:t>
      </w:r>
      <w:r w:rsidRPr="00E16CEB">
        <w:rPr>
          <w:rFonts w:eastAsia="MS Mincho" w:cs="Arial"/>
          <w:szCs w:val="24"/>
        </w:rPr>
        <w:t xml:space="preserve">constituye una afectación al derecho de acceso a la información pública del particular, toda vez que pretendió cambiar la modalidad de entrega de la información; </w:t>
      </w:r>
      <w:r w:rsidRPr="00E16CEB">
        <w:rPr>
          <w:rFonts w:cs="Arial"/>
          <w:szCs w:val="24"/>
        </w:rPr>
        <w:t>de esta forma, solamente intenta realizar el cambio de modalidad ya que como se ha dicho, el particular mencionó que la manera de entrega de la información sería a través del SAIMEX</w:t>
      </w:r>
      <w:r w:rsidR="002811E0" w:rsidRPr="00E16CEB">
        <w:rPr>
          <w:rFonts w:cs="Arial"/>
          <w:szCs w:val="24"/>
        </w:rPr>
        <w:t xml:space="preserve">; por lo que, </w:t>
      </w:r>
      <w:r w:rsidRPr="00E16CEB">
        <w:rPr>
          <w:rFonts w:cs="Arial"/>
          <w:szCs w:val="24"/>
        </w:rPr>
        <w:t>a decir de éste Órgano Garante, el cambio de modalidad no es procedente, en virtud de lo establecido por el artículo 164, de la Ley de Transparencia local que contempla los siguiente:</w:t>
      </w:r>
    </w:p>
    <w:p w14:paraId="3BC39B21" w14:textId="77777777" w:rsidR="00093922" w:rsidRPr="00E16CEB" w:rsidRDefault="00093922" w:rsidP="00093922">
      <w:pPr>
        <w:jc w:val="left"/>
        <w:rPr>
          <w:szCs w:val="24"/>
        </w:rPr>
      </w:pPr>
    </w:p>
    <w:p w14:paraId="5A23041F" w14:textId="77777777" w:rsidR="00093922" w:rsidRPr="00E16CEB" w:rsidRDefault="00093922" w:rsidP="00093922">
      <w:pPr>
        <w:tabs>
          <w:tab w:val="left" w:pos="709"/>
        </w:tabs>
        <w:spacing w:line="240" w:lineRule="auto"/>
        <w:ind w:left="567" w:right="567"/>
        <w:rPr>
          <w:rFonts w:cs="Arial"/>
          <w:i/>
          <w:sz w:val="22"/>
        </w:rPr>
      </w:pPr>
      <w:r w:rsidRPr="00E16CEB">
        <w:rPr>
          <w:rFonts w:cs="Arial"/>
          <w:b/>
          <w:i/>
          <w:sz w:val="22"/>
        </w:rPr>
        <w:t>Artículo 164.</w:t>
      </w:r>
      <w:r w:rsidRPr="00E16CEB">
        <w:rPr>
          <w:rFonts w:cs="Arial"/>
          <w:i/>
          <w:sz w:val="22"/>
        </w:rPr>
        <w:t xml:space="preserve"> </w:t>
      </w:r>
      <w:r w:rsidRPr="00E16CEB">
        <w:rPr>
          <w:rFonts w:cs="Arial"/>
          <w:b/>
          <w:i/>
          <w:sz w:val="22"/>
          <w:u w:val="single"/>
        </w:rPr>
        <w:t>El acceso se dará en la modalidad de entrega y, en su caso, de envío elegidos por el solicitante.</w:t>
      </w:r>
      <w:r w:rsidRPr="00E16CEB">
        <w:rPr>
          <w:rFonts w:cs="Arial"/>
          <w:i/>
          <w:sz w:val="22"/>
        </w:rPr>
        <w:t xml:space="preserve"> Cuando la información no pueda entregarse o enviarse en la modalidad solicitada, el sujeto obligado deberá ofrecer otra u otras modalidades de entrega. </w:t>
      </w:r>
    </w:p>
    <w:p w14:paraId="0C620FE0" w14:textId="77777777" w:rsidR="00093922" w:rsidRPr="00E16CEB" w:rsidRDefault="00093922" w:rsidP="00093922">
      <w:pPr>
        <w:tabs>
          <w:tab w:val="left" w:pos="709"/>
        </w:tabs>
        <w:spacing w:line="240" w:lineRule="auto"/>
        <w:ind w:left="567" w:right="567"/>
        <w:rPr>
          <w:rFonts w:cs="Arial"/>
          <w:b/>
          <w:i/>
          <w:sz w:val="22"/>
          <w:u w:val="single"/>
        </w:rPr>
      </w:pPr>
    </w:p>
    <w:p w14:paraId="2907CC75" w14:textId="77777777" w:rsidR="00093922" w:rsidRPr="00E16CEB" w:rsidRDefault="00093922" w:rsidP="00093922">
      <w:pPr>
        <w:tabs>
          <w:tab w:val="left" w:pos="709"/>
        </w:tabs>
        <w:spacing w:line="240" w:lineRule="auto"/>
        <w:ind w:left="567" w:right="567"/>
        <w:rPr>
          <w:rFonts w:cs="Arial"/>
          <w:i/>
          <w:sz w:val="22"/>
        </w:rPr>
      </w:pPr>
      <w:r w:rsidRPr="00E16CEB">
        <w:rPr>
          <w:rFonts w:cs="Arial"/>
          <w:b/>
          <w:i/>
          <w:sz w:val="22"/>
          <w:u w:val="single"/>
        </w:rPr>
        <w:lastRenderedPageBreak/>
        <w:t>En cualquier caso, se deberá fundar y motivar la necesidad de ofrecer otras modalidades.</w:t>
      </w:r>
    </w:p>
    <w:p w14:paraId="2B3B744E" w14:textId="77777777" w:rsidR="00093922" w:rsidRPr="00E16CEB" w:rsidRDefault="00093922" w:rsidP="00093922">
      <w:pPr>
        <w:contextualSpacing/>
        <w:rPr>
          <w:szCs w:val="24"/>
        </w:rPr>
      </w:pPr>
    </w:p>
    <w:p w14:paraId="22E998F9" w14:textId="77777777" w:rsidR="00093922" w:rsidRPr="00E16CEB" w:rsidRDefault="00093922" w:rsidP="00093922">
      <w:pPr>
        <w:pStyle w:val="NormalINFOEM"/>
      </w:pPr>
      <w:r w:rsidRPr="00E16CEB">
        <w:t>Asimismo, se dejó de observar lo dispuesto en los numerales Vigésimo Cuarto, Vigésimo Quinto y Vigésimo Sexto de los Lineamientos para la operación del Sistema de Acceso a la Información Mexiquense (SAIMEX) y del Sistema de Acceso, Rectificación, Cancelación y Oposición de Datos Personales del Estado de México (SARCOEM).</w:t>
      </w:r>
    </w:p>
    <w:p w14:paraId="769E4A9E" w14:textId="77777777" w:rsidR="00093922" w:rsidRPr="00E16CEB" w:rsidRDefault="00093922" w:rsidP="00093922">
      <w:pPr>
        <w:pStyle w:val="NormalINFOEM"/>
      </w:pPr>
    </w:p>
    <w:p w14:paraId="31A17826" w14:textId="77777777" w:rsidR="00093922" w:rsidRPr="00E16CEB" w:rsidRDefault="00093922" w:rsidP="00093922">
      <w:pPr>
        <w:contextualSpacing/>
        <w:rPr>
          <w:b/>
          <w:szCs w:val="24"/>
        </w:rPr>
      </w:pPr>
      <w:r w:rsidRPr="00E16CEB">
        <w:rPr>
          <w:szCs w:val="24"/>
        </w:rPr>
        <w:t xml:space="preserve">Así, se tiene que la Ley de Transparencia estatal busca privilegiar la entrega de la información solicitada en la modalidad requerida por el particular; en ese sentido, el artículo establece que tanto la modalidad de entrega como la forma de envío de la información se hará preferentemente como lo haya señalado el requirente. En los casos en que esto no sea posible, el Sujeto Obligado podrá garantizar la entrega a través de cualquier otro medio, siempre y cuando funde y motive la razón para hacerlo. </w:t>
      </w:r>
    </w:p>
    <w:p w14:paraId="1A8B2119" w14:textId="77777777" w:rsidR="00093922" w:rsidRPr="00E16CEB" w:rsidRDefault="00093922" w:rsidP="00093922">
      <w:pPr>
        <w:pStyle w:val="NormalINFOEM"/>
        <w:rPr>
          <w:szCs w:val="24"/>
        </w:rPr>
      </w:pPr>
    </w:p>
    <w:p w14:paraId="66818702" w14:textId="77777777" w:rsidR="00093922" w:rsidRPr="00E16CEB" w:rsidRDefault="00093922" w:rsidP="00093922">
      <w:pPr>
        <w:contextualSpacing/>
        <w:rPr>
          <w:szCs w:val="24"/>
        </w:rPr>
      </w:pPr>
      <w:r w:rsidRPr="00E16CEB">
        <w:rPr>
          <w:szCs w:val="24"/>
        </w:rPr>
        <w:t>La necesidad de fundar y motivar es imperante en todos los actos que emite cualquier autoridad, es decir, todo acto que pronuncie en el ejercicio de sus atribuciones debe expresar los fundamentos legales que le dieron origen y las razones por las que se deben aplicar al caso concreto.</w:t>
      </w:r>
    </w:p>
    <w:p w14:paraId="12254A25" w14:textId="77777777" w:rsidR="00093922" w:rsidRPr="00E16CEB" w:rsidRDefault="00093922" w:rsidP="00093922">
      <w:pPr>
        <w:contextualSpacing/>
        <w:rPr>
          <w:szCs w:val="24"/>
        </w:rPr>
      </w:pPr>
    </w:p>
    <w:p w14:paraId="3B9A2EEE" w14:textId="77777777" w:rsidR="00093922" w:rsidRPr="00E16CEB" w:rsidRDefault="00093922" w:rsidP="00093922">
      <w:pPr>
        <w:contextualSpacing/>
        <w:rPr>
          <w:rFonts w:cs="Arial"/>
          <w:color w:val="222222"/>
          <w:szCs w:val="24"/>
        </w:rPr>
      </w:pPr>
      <w:r w:rsidRPr="00E16CEB">
        <w:rPr>
          <w:rFonts w:cs="Arial"/>
          <w:color w:val="222222"/>
          <w:szCs w:val="24"/>
        </w:rPr>
        <w:t xml:space="preserve">Han sido vastos los estudios doctrinarios relativos a estos derechos fundamentales y al principio de legalidad en ellos contenidos; como ejemplo, el procesalista José Ovalle Fabela, en su obra «Garantías Constitucionales del Proceso», refiere que </w:t>
      </w:r>
      <w:r w:rsidRPr="00E16CEB">
        <w:rPr>
          <w:rFonts w:cs="Arial"/>
          <w:i/>
          <w:color w:val="222222"/>
          <w:szCs w:val="24"/>
        </w:rPr>
        <w:t xml:space="preserve">«... la garantía de fundamentación impone a las autoridades el deber de precisar las disposiciones jurídicas que aplican a los hechos de que se trate y que sustenten su competencia, así como de manifestar los </w:t>
      </w:r>
      <w:r w:rsidRPr="00E16CEB">
        <w:rPr>
          <w:rFonts w:cs="Arial"/>
          <w:i/>
          <w:color w:val="222222"/>
          <w:szCs w:val="24"/>
        </w:rPr>
        <w:lastRenderedPageBreak/>
        <w:t>razonamientos que demuestren la aplicabilidad de dichas disposiciones, todo lo cual se debe traducir en una argumentación o juicio de derecho. Pero de igual manera, la garantía de motivación exige que las autoridades expongan los razonamientos con base en los cuales llegaron a la conclusión de que esos hechos son ciertos, normalmente a partir del análisis de las pruebas, lo cual se debe exteriorizar en una argumentación o juicio de hecho...»</w:t>
      </w:r>
    </w:p>
    <w:p w14:paraId="250730DC" w14:textId="77777777" w:rsidR="00093922" w:rsidRPr="00E16CEB" w:rsidRDefault="00093922" w:rsidP="00093922">
      <w:pPr>
        <w:contextualSpacing/>
        <w:rPr>
          <w:rFonts w:cs="Arial"/>
          <w:color w:val="222222"/>
          <w:szCs w:val="24"/>
        </w:rPr>
      </w:pPr>
    </w:p>
    <w:p w14:paraId="1FEA3DF1" w14:textId="77777777" w:rsidR="00093922" w:rsidRPr="00E16CEB" w:rsidRDefault="00093922" w:rsidP="00093922">
      <w:pPr>
        <w:contextualSpacing/>
        <w:rPr>
          <w:rFonts w:cs="Arial"/>
          <w:color w:val="222222"/>
          <w:szCs w:val="24"/>
        </w:rPr>
      </w:pPr>
      <w:r w:rsidRPr="00E16CEB">
        <w:rPr>
          <w:rFonts w:cs="Arial"/>
          <w:color w:val="222222"/>
          <w:szCs w:val="24"/>
        </w:rPr>
        <w:t>Por su parte, la Suprema Corte de Justicia emitió la jurisprudencia con registro digital 203143</w:t>
      </w:r>
      <w:r w:rsidRPr="00E16CEB">
        <w:rPr>
          <w:rFonts w:ascii="Calibri" w:hAnsi="Calibri"/>
          <w:szCs w:val="24"/>
          <w:vertAlign w:val="superscript"/>
        </w:rPr>
        <w:footnoteReference w:id="4"/>
      </w:r>
      <w:r w:rsidRPr="00E16CEB">
        <w:rPr>
          <w:rFonts w:cs="Arial"/>
          <w:color w:val="222222"/>
          <w:szCs w:val="24"/>
        </w:rPr>
        <w:t xml:space="preserve"> en la que se establece qué debe entenderse por fundamentación y motivación, en la que estipula lo siguiente:</w:t>
      </w:r>
    </w:p>
    <w:p w14:paraId="78570E1B" w14:textId="77777777" w:rsidR="00093922" w:rsidRPr="00E16CEB" w:rsidRDefault="00093922" w:rsidP="00093922">
      <w:pPr>
        <w:jc w:val="left"/>
        <w:rPr>
          <w:szCs w:val="24"/>
        </w:rPr>
      </w:pPr>
    </w:p>
    <w:p w14:paraId="3EC50D8E" w14:textId="77777777" w:rsidR="00093922" w:rsidRPr="00E16CEB" w:rsidRDefault="00093922" w:rsidP="00093922">
      <w:pPr>
        <w:spacing w:line="240" w:lineRule="auto"/>
        <w:ind w:left="851" w:right="618"/>
        <w:contextualSpacing/>
        <w:rPr>
          <w:rFonts w:cs="Arial"/>
          <w:i/>
          <w:color w:val="000000"/>
          <w:sz w:val="22"/>
        </w:rPr>
      </w:pPr>
      <w:r w:rsidRPr="00E16CEB">
        <w:rPr>
          <w:rFonts w:cs="Arial"/>
          <w:b/>
          <w:i/>
          <w:color w:val="000000"/>
          <w:sz w:val="22"/>
        </w:rPr>
        <w:t>FUNDAMENTACIÓN Y MOTIVACIÓN.</w:t>
      </w:r>
      <w:r w:rsidRPr="00E16CEB">
        <w:rPr>
          <w:rFonts w:cs="Arial"/>
          <w:i/>
          <w:color w:val="000000"/>
          <w:sz w:val="22"/>
        </w:rPr>
        <w:t xml:space="preserve"> </w:t>
      </w:r>
    </w:p>
    <w:p w14:paraId="28A5E212" w14:textId="77777777" w:rsidR="00093922" w:rsidRPr="00E16CEB" w:rsidRDefault="00093922" w:rsidP="00093922">
      <w:pPr>
        <w:spacing w:line="240" w:lineRule="auto"/>
        <w:ind w:left="851" w:right="618"/>
        <w:contextualSpacing/>
        <w:rPr>
          <w:rFonts w:cs="Arial"/>
          <w:i/>
          <w:iCs/>
          <w:color w:val="000000"/>
          <w:sz w:val="22"/>
          <w:lang w:val="es-ES"/>
        </w:rPr>
      </w:pPr>
      <w:r w:rsidRPr="00E16CEB">
        <w:rPr>
          <w:rFonts w:cs="Arial"/>
          <w:i/>
          <w:iCs/>
          <w:color w:val="000000" w:themeColor="text1"/>
          <w:sz w:val="22"/>
          <w:lang w:val="es-E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EDE8C13" w14:textId="77777777" w:rsidR="00093922" w:rsidRPr="00E16CEB" w:rsidRDefault="00093922" w:rsidP="00093922">
      <w:pPr>
        <w:ind w:right="618"/>
        <w:contextualSpacing/>
        <w:rPr>
          <w:rFonts w:cs="Arial"/>
          <w:color w:val="000000"/>
          <w:szCs w:val="24"/>
        </w:rPr>
      </w:pPr>
    </w:p>
    <w:p w14:paraId="3AB0B64E" w14:textId="77777777" w:rsidR="00093922" w:rsidRPr="00E16CEB" w:rsidRDefault="00093922" w:rsidP="00093922">
      <w:pPr>
        <w:contextualSpacing/>
        <w:rPr>
          <w:rFonts w:cs="Arial"/>
          <w:color w:val="222222"/>
          <w:szCs w:val="24"/>
        </w:rPr>
      </w:pPr>
      <w:r w:rsidRPr="00E16CEB">
        <w:rPr>
          <w:rFonts w:cs="Arial"/>
          <w:color w:val="222222"/>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284E9C7D" w14:textId="77777777" w:rsidR="00093922" w:rsidRPr="00E16CEB" w:rsidRDefault="00093922" w:rsidP="00093922">
      <w:pPr>
        <w:contextualSpacing/>
        <w:rPr>
          <w:rFonts w:cs="Arial"/>
          <w:color w:val="222222"/>
          <w:szCs w:val="24"/>
        </w:rPr>
      </w:pPr>
    </w:p>
    <w:p w14:paraId="6AD62C31" w14:textId="77777777" w:rsidR="00093922" w:rsidRPr="00E16CEB" w:rsidRDefault="00093922" w:rsidP="00093922">
      <w:pPr>
        <w:contextualSpacing/>
        <w:rPr>
          <w:rFonts w:cs="Arial"/>
          <w:color w:val="222222"/>
          <w:szCs w:val="24"/>
        </w:rPr>
      </w:pPr>
      <w:r w:rsidRPr="00E16CEB">
        <w:rPr>
          <w:rFonts w:cs="Arial"/>
          <w:color w:val="222222"/>
          <w:szCs w:val="24"/>
        </w:rPr>
        <w:t xml:space="preserve">En consecuencia, la fundamentación y motivación implica que, en el acto de autoridad, además de contenerse los supuestos jurídicos aplicables se expliquen claramente por qué </w:t>
      </w:r>
      <w:r w:rsidRPr="00E16CEB">
        <w:rPr>
          <w:rFonts w:cs="Arial"/>
          <w:color w:val="222222"/>
          <w:szCs w:val="24"/>
        </w:rPr>
        <w:lastRenderedPageBreak/>
        <w:t>a través de la utilización de la norma se emitió el acto. De este modo, la persona que se sienta afectada pueda impugnar la decisión, permitiéndole una real y auténtica defensa.</w:t>
      </w:r>
    </w:p>
    <w:p w14:paraId="356A4A43" w14:textId="77777777" w:rsidR="00093922" w:rsidRPr="00E16CEB" w:rsidRDefault="00093922" w:rsidP="00093922">
      <w:pPr>
        <w:rPr>
          <w:noProof/>
          <w:lang w:val="es-MX"/>
        </w:rPr>
      </w:pPr>
    </w:p>
    <w:p w14:paraId="49AFCCEC" w14:textId="77777777" w:rsidR="00093922" w:rsidRPr="00E16CEB" w:rsidRDefault="00093922" w:rsidP="00093922">
      <w:pPr>
        <w:rPr>
          <w:i/>
          <w:szCs w:val="24"/>
        </w:rPr>
      </w:pPr>
      <w:r w:rsidRPr="00E16CEB">
        <w:rPr>
          <w:szCs w:val="24"/>
        </w:rPr>
        <w:t xml:space="preserve">En vista de las consideraciones señaladas, se advierte que el Sujeto Obligado, no justifica en ningún momento de forma fundada y motivada su cambio de modalidad de entrega de la información. </w:t>
      </w:r>
    </w:p>
    <w:p w14:paraId="785558BE" w14:textId="77777777" w:rsidR="00093922" w:rsidRPr="00E16CEB" w:rsidRDefault="00093922" w:rsidP="00093922"/>
    <w:p w14:paraId="7D3A5726" w14:textId="77777777" w:rsidR="00093922" w:rsidRPr="00E16CEB" w:rsidRDefault="00093922" w:rsidP="00093922">
      <w:r w:rsidRPr="00E16CEB">
        <w:t xml:space="preserve">No se omite resaltar que la necesidad de fundar y motivar es imperante en todos los actos que emite cualquier autoridad, por lo que constituye una restricción indirecta del derecho acceso a la información pública, dado que no proporciona la información que requirió el particular y que de manera libre el decidió sobre la vía de la modalidad de entrega de la misma situación que no se respetó. </w:t>
      </w:r>
    </w:p>
    <w:p w14:paraId="422E3CD3" w14:textId="77777777" w:rsidR="00093922" w:rsidRPr="00E16CEB" w:rsidRDefault="00093922" w:rsidP="00093922"/>
    <w:p w14:paraId="02E03369" w14:textId="77777777" w:rsidR="00093922" w:rsidRPr="00E16CEB" w:rsidRDefault="00093922" w:rsidP="00093922">
      <w:r w:rsidRPr="00E16CEB">
        <w:t xml:space="preserve">Ahora bien, la ley de la materia señala en su artículo 158, los casos en que de manera excepcional se puede proceder al cambio de modalidad: </w:t>
      </w:r>
    </w:p>
    <w:p w14:paraId="6E2104EE" w14:textId="77777777" w:rsidR="00093922" w:rsidRPr="00E16CEB" w:rsidRDefault="00093922" w:rsidP="00093922"/>
    <w:p w14:paraId="03C70ABD" w14:textId="77777777" w:rsidR="00093922" w:rsidRPr="00E16CEB" w:rsidRDefault="00093922" w:rsidP="00093922">
      <w:pPr>
        <w:pStyle w:val="Fundamentos"/>
      </w:pPr>
      <w:r w:rsidRPr="00E16CEB">
        <w:rPr>
          <w:b/>
        </w:rPr>
        <w:t>Artículo 158.</w:t>
      </w:r>
      <w:r w:rsidRPr="00E16CEB">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05F3AAD6" w14:textId="77777777" w:rsidR="00093922" w:rsidRPr="00E16CEB" w:rsidRDefault="00093922" w:rsidP="00093922"/>
    <w:p w14:paraId="6FED93BA" w14:textId="77777777" w:rsidR="00093922" w:rsidRPr="00E16CEB" w:rsidRDefault="00093922" w:rsidP="00093922">
      <w:r w:rsidRPr="00E16CEB">
        <w:t xml:space="preserve">En todo caso, se facilitará su copia simple o certificada, así como su reproducción por cualquier medio disponible en las instalaciones del sujeto obligado o que, en su caso, aporte el solicitante. Sobre lo anterior, es de señalar que el Instituto Nacional de </w:t>
      </w:r>
      <w:r w:rsidRPr="00E16CEB">
        <w:lastRenderedPageBreak/>
        <w:t>Transparencia, Acceso a la Información y Protección de Datos Personales (INAI), mediante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deben de buscar la posibilidad de proporcionarla en las otras formas que establecen en la Ley, ya sean electrónicas o físicas.</w:t>
      </w:r>
    </w:p>
    <w:p w14:paraId="08494B6C" w14:textId="77777777" w:rsidR="00093922" w:rsidRPr="00E16CEB" w:rsidRDefault="00093922" w:rsidP="00093922"/>
    <w:p w14:paraId="16DA23EF" w14:textId="6DCD21CE" w:rsidR="00093922" w:rsidRPr="00E16CEB" w:rsidRDefault="00093922" w:rsidP="00093922">
      <w:r w:rsidRPr="00E16CEB">
        <w:t>De lo anterior, se desprende que, el Sujeto Obligado no procedió al cambio de modalidad de manera fundada y motivada y es por ello que, en el presente asunto</w:t>
      </w:r>
      <w:r w:rsidR="00810A3B" w:rsidRPr="00E16CEB">
        <w:t>,</w:t>
      </w:r>
      <w:r w:rsidRPr="00E16CEB">
        <w:t xml:space="preserve"> no se justifica el cambio de modalidad, y con el objeto de reparar la afectación al derecho humano de acceso a la información tutelado por este Órgano Garante, deberá remitir la información solicitada por el ahora Recurrente</w:t>
      </w:r>
    </w:p>
    <w:p w14:paraId="49A1396D" w14:textId="77777777" w:rsidR="00093922" w:rsidRPr="00E16CEB" w:rsidRDefault="00093922" w:rsidP="00093922">
      <w:pPr>
        <w:pBdr>
          <w:top w:val="nil"/>
          <w:left w:val="nil"/>
          <w:bottom w:val="nil"/>
          <w:right w:val="nil"/>
          <w:between w:val="nil"/>
        </w:pBdr>
        <w:contextualSpacing/>
        <w:rPr>
          <w:rFonts w:eastAsia="Palatino Linotype" w:cs="Palatino Linotype"/>
          <w:color w:val="000000"/>
          <w:szCs w:val="24"/>
        </w:rPr>
      </w:pPr>
    </w:p>
    <w:p w14:paraId="4924EDE1" w14:textId="77777777" w:rsidR="00093922" w:rsidRPr="00E16CEB" w:rsidRDefault="00093922" w:rsidP="00093922">
      <w:r w:rsidRPr="00E16CEB">
        <w:t xml:space="preserve">Por tal razón, este Instituto en uso de las facultades que la propia legislación le otorga deberá ordenar la entrega de la información solicitada, dada la aceptación del Sujeto Obligado de generar, poseer o administrarla, es decir, de tener conocimiento de lo requerido. </w:t>
      </w:r>
    </w:p>
    <w:p w14:paraId="478AAB57" w14:textId="77777777" w:rsidR="00093922" w:rsidRPr="00E16CEB" w:rsidRDefault="00093922" w:rsidP="007B5841">
      <w:pPr>
        <w:rPr>
          <w:rFonts w:eastAsia="Palatino Linotype" w:cs="Palatino Linotype"/>
          <w:szCs w:val="24"/>
        </w:rPr>
      </w:pPr>
    </w:p>
    <w:p w14:paraId="40ED27AF" w14:textId="65FCDEAC" w:rsidR="00D97888" w:rsidRPr="00E16CEB" w:rsidRDefault="00D97888" w:rsidP="00D97888">
      <w:pPr>
        <w:rPr>
          <w:rFonts w:eastAsia="Palatino Linotype" w:cs="Palatino Linotype"/>
        </w:rPr>
      </w:pPr>
      <w:r w:rsidRPr="00E16CEB">
        <w:rPr>
          <w:rFonts w:eastAsia="Palatino Linotype" w:cs="Palatino Linotype"/>
        </w:rPr>
        <w:lastRenderedPageBreak/>
        <w:t xml:space="preserve">Por lo argumentado en párrafos anteriores, este Instituto estima que los motivos de inconformidad planteados por el Recurrente devienen fundados, por lo que es procedente revocar la respuesta y ordenar al Sujeto Obligado a que haga entrega de los documentos </w:t>
      </w:r>
      <w:r w:rsidR="006273C6" w:rsidRPr="00E16CEB">
        <w:rPr>
          <w:rFonts w:eastAsia="Palatino Linotype" w:cs="Palatino Linotype"/>
        </w:rPr>
        <w:t xml:space="preserve">en donde consten </w:t>
      </w:r>
      <w:r w:rsidR="00C419AF" w:rsidRPr="00E16CEB">
        <w:rPr>
          <w:rFonts w:eastAsiaTheme="minorEastAsia" w:cstheme="minorBidi"/>
          <w:lang w:val="es-ES" w:eastAsia="en-US"/>
        </w:rPr>
        <w:t xml:space="preserve">las facturas pagadas </w:t>
      </w:r>
      <w:r w:rsidR="00810A3B" w:rsidRPr="00E16CEB">
        <w:rPr>
          <w:rFonts w:eastAsiaTheme="minorEastAsia" w:cstheme="minorBidi"/>
          <w:lang w:val="es-ES" w:eastAsia="en-US"/>
        </w:rPr>
        <w:t xml:space="preserve">por un monto mayor a </w:t>
      </w:r>
      <w:r w:rsidR="00C419AF" w:rsidRPr="00E16CEB">
        <w:rPr>
          <w:rFonts w:eastAsiaTheme="minorEastAsia" w:cstheme="minorBidi"/>
          <w:lang w:val="es-ES" w:eastAsia="en-US"/>
        </w:rPr>
        <w:t>$100 000.00 (</w:t>
      </w:r>
      <w:r w:rsidR="003534B3" w:rsidRPr="00E16CEB">
        <w:rPr>
          <w:rFonts w:eastAsiaTheme="minorEastAsia" w:cstheme="minorBidi"/>
          <w:lang w:val="es-ES" w:eastAsia="en-US"/>
        </w:rPr>
        <w:t>cien mil</w:t>
      </w:r>
      <w:r w:rsidR="00C419AF" w:rsidRPr="00E16CEB">
        <w:rPr>
          <w:rFonts w:eastAsiaTheme="minorEastAsia" w:cstheme="minorBidi"/>
          <w:lang w:val="es-ES" w:eastAsia="en-US"/>
        </w:rPr>
        <w:t xml:space="preserve"> pesos 00/100 M.N.) </w:t>
      </w:r>
      <w:r w:rsidR="004D2E7D" w:rsidRPr="00E16CEB">
        <w:rPr>
          <w:rFonts w:eastAsiaTheme="minorEastAsia" w:cstheme="minorBidi"/>
          <w:lang w:val="es-ES" w:eastAsia="en-US"/>
        </w:rPr>
        <w:t xml:space="preserve">durante el ejercicio fiscal 2025, </w:t>
      </w:r>
      <w:r w:rsidRPr="00E16CEB">
        <w:rPr>
          <w:rFonts w:eastAsia="Palatino Linotype" w:cs="Palatino Linotype"/>
        </w:rPr>
        <w:t>en versión pública de ser procedente.</w:t>
      </w:r>
    </w:p>
    <w:p w14:paraId="65182948" w14:textId="77777777" w:rsidR="00D97888" w:rsidRPr="00E16CEB" w:rsidRDefault="00D97888" w:rsidP="00D97888"/>
    <w:p w14:paraId="6AF49EA6" w14:textId="77777777" w:rsidR="00D97888" w:rsidRPr="00E16CEB" w:rsidRDefault="00D97888" w:rsidP="00D97888">
      <w:pPr>
        <w:pStyle w:val="Ttulo3"/>
        <w:rPr>
          <w:rFonts w:eastAsia="Palatino Linotype"/>
        </w:rPr>
      </w:pPr>
      <w:r w:rsidRPr="00E16CEB">
        <w:rPr>
          <w:rFonts w:eastAsia="Palatino Linotype"/>
        </w:rPr>
        <w:t>DE LA VERSIÓN PÚBLICA</w:t>
      </w:r>
    </w:p>
    <w:p w14:paraId="45772AEF" w14:textId="4507A6F0" w:rsidR="00D97888" w:rsidRPr="00E16CEB" w:rsidRDefault="00D97888" w:rsidP="00D97888">
      <w:pPr>
        <w:rPr>
          <w:rFonts w:eastAsia="Palatino Linotype" w:cs="Palatino Linotype"/>
          <w:szCs w:val="24"/>
        </w:rPr>
      </w:pPr>
      <w:r w:rsidRPr="00E16CEB">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7B6EA92" w14:textId="77777777" w:rsidR="00D97888" w:rsidRPr="00E16CEB" w:rsidRDefault="00D97888" w:rsidP="00D97888">
      <w:pPr>
        <w:rPr>
          <w:rFonts w:eastAsia="Palatino Linotype" w:cs="Palatino Linotype"/>
          <w:szCs w:val="24"/>
        </w:rPr>
      </w:pPr>
    </w:p>
    <w:p w14:paraId="0F518B0E"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Artículo 3.</w:t>
      </w:r>
      <w:r w:rsidRPr="00E16CEB">
        <w:rPr>
          <w:rFonts w:eastAsia="Palatino Linotype" w:cs="Palatino Linotype"/>
          <w:i/>
          <w:color w:val="000000"/>
          <w:sz w:val="22"/>
          <w:szCs w:val="24"/>
        </w:rPr>
        <w:t xml:space="preserve"> Para los efectos de la presente Ley se entenderá por:</w:t>
      </w:r>
    </w:p>
    <w:p w14:paraId="46504B69"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i/>
          <w:color w:val="000000"/>
          <w:sz w:val="22"/>
          <w:szCs w:val="24"/>
        </w:rPr>
        <w:t>[…]</w:t>
      </w:r>
    </w:p>
    <w:p w14:paraId="1169E53F"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IX. Datos personales:</w:t>
      </w:r>
      <w:r w:rsidRPr="00E16CEB">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268C5D28"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XX.</w:t>
      </w:r>
      <w:r w:rsidRPr="00E16CEB">
        <w:rPr>
          <w:rFonts w:eastAsia="Palatino Linotype" w:cs="Palatino Linotype"/>
          <w:i/>
          <w:color w:val="000000"/>
          <w:sz w:val="22"/>
          <w:szCs w:val="24"/>
        </w:rPr>
        <w:t xml:space="preserve"> </w:t>
      </w:r>
      <w:r w:rsidRPr="00E16CEB">
        <w:rPr>
          <w:rFonts w:eastAsia="Palatino Linotype" w:cs="Palatino Linotype"/>
          <w:b/>
          <w:i/>
          <w:color w:val="000000"/>
          <w:sz w:val="22"/>
          <w:szCs w:val="24"/>
        </w:rPr>
        <w:t>Información clasificada:</w:t>
      </w:r>
      <w:r w:rsidRPr="00E16CEB">
        <w:rPr>
          <w:rFonts w:eastAsia="Palatino Linotype" w:cs="Palatino Linotype"/>
          <w:i/>
          <w:color w:val="000000"/>
          <w:sz w:val="22"/>
          <w:szCs w:val="24"/>
        </w:rPr>
        <w:t xml:space="preserve"> Aquella considerada por la presente Ley como reservada o confidencial;</w:t>
      </w:r>
    </w:p>
    <w:p w14:paraId="71DE9501"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XXI.</w:t>
      </w:r>
      <w:r w:rsidRPr="00E16CEB">
        <w:rPr>
          <w:rFonts w:eastAsia="Palatino Linotype" w:cs="Palatino Linotype"/>
          <w:i/>
          <w:color w:val="000000"/>
          <w:sz w:val="22"/>
          <w:szCs w:val="24"/>
        </w:rPr>
        <w:t xml:space="preserve"> </w:t>
      </w:r>
      <w:r w:rsidRPr="00E16CEB">
        <w:rPr>
          <w:rFonts w:eastAsia="Palatino Linotype" w:cs="Palatino Linotype"/>
          <w:b/>
          <w:i/>
          <w:color w:val="000000"/>
          <w:sz w:val="22"/>
          <w:szCs w:val="24"/>
        </w:rPr>
        <w:t>Información confidencial:</w:t>
      </w:r>
      <w:r w:rsidRPr="00E16CEB">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3074087"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w:t>
      </w:r>
    </w:p>
    <w:p w14:paraId="48432394"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XLV.</w:t>
      </w:r>
      <w:r w:rsidRPr="00E16CEB">
        <w:rPr>
          <w:rFonts w:eastAsia="Palatino Linotype" w:cs="Palatino Linotype"/>
          <w:i/>
          <w:color w:val="000000"/>
          <w:sz w:val="22"/>
          <w:szCs w:val="24"/>
        </w:rPr>
        <w:t xml:space="preserve"> </w:t>
      </w:r>
      <w:r w:rsidRPr="00E16CEB">
        <w:rPr>
          <w:rFonts w:eastAsia="Palatino Linotype" w:cs="Palatino Linotype"/>
          <w:b/>
          <w:i/>
          <w:color w:val="000000"/>
          <w:sz w:val="22"/>
          <w:szCs w:val="24"/>
        </w:rPr>
        <w:t>Versión pública:</w:t>
      </w:r>
      <w:r w:rsidRPr="00E16CEB">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52B8C8DF"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i/>
          <w:color w:val="000000"/>
          <w:sz w:val="22"/>
          <w:szCs w:val="24"/>
        </w:rPr>
        <w:t>[…]</w:t>
      </w:r>
    </w:p>
    <w:p w14:paraId="15FEF745"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160C6E3"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 xml:space="preserve">Artículo 91. </w:t>
      </w:r>
      <w:r w:rsidRPr="00E16CEB">
        <w:rPr>
          <w:rFonts w:eastAsia="Palatino Linotype" w:cs="Palatino Linotype"/>
          <w:i/>
          <w:color w:val="000000"/>
          <w:sz w:val="22"/>
          <w:szCs w:val="24"/>
        </w:rPr>
        <w:t>El acceso a la información pública será restringido excepcionalmente, cuando ésta sea clasificada como reservada o confidencial.</w:t>
      </w:r>
    </w:p>
    <w:p w14:paraId="28BAF4D8"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74FB80B"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Artículo 132.</w:t>
      </w:r>
      <w:r w:rsidRPr="00E16CEB">
        <w:rPr>
          <w:rFonts w:eastAsia="Palatino Linotype" w:cs="Palatino Linotype"/>
          <w:i/>
          <w:color w:val="000000"/>
          <w:sz w:val="22"/>
          <w:szCs w:val="24"/>
        </w:rPr>
        <w:t xml:space="preserve"> </w:t>
      </w:r>
      <w:r w:rsidRPr="00E16CEB">
        <w:rPr>
          <w:rFonts w:eastAsia="Palatino Linotype" w:cs="Palatino Linotype"/>
          <w:i/>
          <w:color w:val="000000"/>
          <w:sz w:val="22"/>
          <w:szCs w:val="24"/>
          <w:u w:val="single"/>
        </w:rPr>
        <w:t>La clasificación de la información se llevará a cabo en el momento en que</w:t>
      </w:r>
      <w:r w:rsidRPr="00E16CEB">
        <w:rPr>
          <w:rFonts w:eastAsia="Palatino Linotype" w:cs="Palatino Linotype"/>
          <w:i/>
          <w:color w:val="000000"/>
          <w:sz w:val="22"/>
          <w:szCs w:val="24"/>
        </w:rPr>
        <w:t>:</w:t>
      </w:r>
    </w:p>
    <w:p w14:paraId="385452F7"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I.</w:t>
      </w:r>
      <w:r w:rsidRPr="00E16CEB">
        <w:rPr>
          <w:rFonts w:eastAsia="Palatino Linotype" w:cs="Palatino Linotype"/>
          <w:i/>
          <w:color w:val="000000"/>
          <w:sz w:val="22"/>
          <w:szCs w:val="24"/>
        </w:rPr>
        <w:t xml:space="preserve"> Se reciba una solicitud de acceso a la información;</w:t>
      </w:r>
    </w:p>
    <w:p w14:paraId="15FFA6D3"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II.</w:t>
      </w:r>
      <w:r w:rsidRPr="00E16CEB">
        <w:rPr>
          <w:rFonts w:eastAsia="Palatino Linotype" w:cs="Palatino Linotype"/>
          <w:i/>
          <w:color w:val="000000"/>
          <w:sz w:val="22"/>
          <w:szCs w:val="24"/>
        </w:rPr>
        <w:t xml:space="preserve"> </w:t>
      </w:r>
      <w:r w:rsidRPr="00E16CEB">
        <w:rPr>
          <w:rFonts w:eastAsia="Palatino Linotype" w:cs="Palatino Linotype"/>
          <w:i/>
          <w:color w:val="000000"/>
          <w:sz w:val="22"/>
          <w:szCs w:val="24"/>
          <w:u w:val="single"/>
        </w:rPr>
        <w:t>Se determine mediante resolución de autoridad competente; o</w:t>
      </w:r>
    </w:p>
    <w:p w14:paraId="0BAF9F02"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E16CEB">
        <w:rPr>
          <w:rFonts w:eastAsia="Palatino Linotype" w:cs="Palatino Linotype"/>
          <w:b/>
          <w:i/>
          <w:color w:val="000000"/>
          <w:sz w:val="22"/>
          <w:szCs w:val="24"/>
        </w:rPr>
        <w:t>III.</w:t>
      </w:r>
      <w:r w:rsidRPr="00E16CEB">
        <w:rPr>
          <w:rFonts w:eastAsia="Palatino Linotype" w:cs="Palatino Linotype"/>
          <w:i/>
          <w:color w:val="000000"/>
          <w:sz w:val="22"/>
          <w:szCs w:val="24"/>
        </w:rPr>
        <w:t xml:space="preserve"> </w:t>
      </w:r>
      <w:r w:rsidRPr="00E16CEB">
        <w:rPr>
          <w:rFonts w:eastAsia="Palatino Linotype" w:cs="Palatino Linotype"/>
          <w:i/>
          <w:color w:val="000000"/>
          <w:sz w:val="22"/>
          <w:szCs w:val="24"/>
          <w:u w:val="single"/>
        </w:rPr>
        <w:t>Se generen versiones públicas para dar cumplimiento a las obligaciones de transparencia previstas en esta Ley.</w:t>
      </w:r>
    </w:p>
    <w:p w14:paraId="6B73C599"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i/>
          <w:color w:val="000000"/>
          <w:sz w:val="22"/>
          <w:szCs w:val="24"/>
        </w:rPr>
        <w:t>[…]</w:t>
      </w:r>
    </w:p>
    <w:p w14:paraId="53706F6C"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B6F7135"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Artículo 143.</w:t>
      </w:r>
      <w:r w:rsidRPr="00E16CEB">
        <w:rPr>
          <w:rFonts w:eastAsia="Palatino Linotype" w:cs="Palatino Linotype"/>
          <w:i/>
          <w:color w:val="000000"/>
          <w:sz w:val="22"/>
          <w:szCs w:val="24"/>
        </w:rPr>
        <w:t xml:space="preserve"> </w:t>
      </w:r>
      <w:r w:rsidRPr="00E16CEB">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E16CEB">
        <w:rPr>
          <w:rFonts w:eastAsia="Palatino Linotype" w:cs="Palatino Linotype"/>
          <w:i/>
          <w:color w:val="000000"/>
          <w:sz w:val="22"/>
          <w:szCs w:val="24"/>
        </w:rPr>
        <w:t>:</w:t>
      </w:r>
    </w:p>
    <w:p w14:paraId="1D56B21B"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I.</w:t>
      </w:r>
      <w:r w:rsidRPr="00E16CEB">
        <w:rPr>
          <w:rFonts w:eastAsia="Palatino Linotype" w:cs="Palatino Linotype"/>
          <w:i/>
          <w:color w:val="000000"/>
          <w:sz w:val="22"/>
          <w:szCs w:val="24"/>
        </w:rPr>
        <w:t xml:space="preserve"> </w:t>
      </w:r>
      <w:r w:rsidRPr="00E16CEB">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E16CEB">
        <w:rPr>
          <w:rFonts w:eastAsia="Palatino Linotype" w:cs="Palatino Linotype"/>
          <w:i/>
          <w:color w:val="000000"/>
          <w:sz w:val="22"/>
          <w:szCs w:val="24"/>
        </w:rPr>
        <w:t>;</w:t>
      </w:r>
    </w:p>
    <w:p w14:paraId="21FB83F6"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II.</w:t>
      </w:r>
      <w:r w:rsidRPr="00E16CEB">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E16CEB">
        <w:rPr>
          <w:rFonts w:eastAsia="Palatino Linotype" w:cs="Palatino Linotype"/>
          <w:i/>
          <w:color w:val="000000"/>
          <w:sz w:val="22"/>
          <w:szCs w:val="24"/>
        </w:rPr>
        <w:t>; y</w:t>
      </w:r>
    </w:p>
    <w:p w14:paraId="49023927"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III.</w:t>
      </w:r>
      <w:r w:rsidRPr="00E16CEB">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75575D43"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16CEB">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33A1DA36"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16CEB">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633D21A8" w14:textId="77777777" w:rsidR="00D97888" w:rsidRPr="00E16CEB" w:rsidRDefault="00D97888" w:rsidP="00D97888">
      <w:pPr>
        <w:rPr>
          <w:rFonts w:eastAsia="Palatino Linotype" w:cs="Palatino Linotype"/>
          <w:i/>
          <w:szCs w:val="24"/>
        </w:rPr>
      </w:pPr>
    </w:p>
    <w:p w14:paraId="3B411448" w14:textId="77777777" w:rsidR="00D97888" w:rsidRPr="00E16CEB" w:rsidRDefault="00D97888" w:rsidP="00D97888">
      <w:pPr>
        <w:rPr>
          <w:rFonts w:eastAsia="Palatino Linotype" w:cs="Palatino Linotype"/>
        </w:rPr>
      </w:pPr>
      <w:r w:rsidRPr="00E16CEB">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AB3D75C" w14:textId="77777777" w:rsidR="00D97888" w:rsidRPr="00E16CEB" w:rsidRDefault="00D97888" w:rsidP="00D97888">
      <w:pPr>
        <w:rPr>
          <w:rFonts w:eastAsia="Palatino Linotype" w:cs="Palatino Linotype"/>
          <w:szCs w:val="24"/>
        </w:rPr>
      </w:pPr>
    </w:p>
    <w:p w14:paraId="7059D004" w14:textId="77777777" w:rsidR="00D97888" w:rsidRPr="00E16CEB" w:rsidRDefault="00D97888" w:rsidP="00D97888">
      <w:pPr>
        <w:rPr>
          <w:rFonts w:eastAsia="Palatino Linotype" w:cs="Palatino Linotype"/>
          <w:szCs w:val="24"/>
        </w:rPr>
      </w:pPr>
      <w:r w:rsidRPr="00E16CEB">
        <w:rPr>
          <w:rFonts w:eastAsia="Palatino Linotype" w:cs="Palatino Linotype"/>
          <w:szCs w:val="24"/>
        </w:rPr>
        <w:t xml:space="preserve">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w:t>
      </w:r>
      <w:r w:rsidRPr="00E16CEB">
        <w:rPr>
          <w:rFonts w:eastAsia="Palatino Linotype" w:cs="Palatino Linotype"/>
          <w:szCs w:val="24"/>
        </w:rPr>
        <w:lastRenderedPageBreak/>
        <w:t>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08E235D" w14:textId="77777777" w:rsidR="00D97888" w:rsidRPr="00E16CEB" w:rsidRDefault="00D97888" w:rsidP="00D97888">
      <w:pPr>
        <w:rPr>
          <w:rFonts w:eastAsia="Palatino Linotype" w:cs="Palatino Linotype"/>
          <w:szCs w:val="24"/>
        </w:rPr>
      </w:pPr>
    </w:p>
    <w:p w14:paraId="27EF6EA5" w14:textId="77777777" w:rsidR="00D97888" w:rsidRPr="00E16CEB" w:rsidRDefault="00D97888" w:rsidP="00D97888">
      <w:pPr>
        <w:rPr>
          <w:rFonts w:eastAsia="Palatino Linotype" w:cs="Palatino Linotype"/>
          <w:szCs w:val="24"/>
        </w:rPr>
      </w:pPr>
      <w:r w:rsidRPr="00E16CEB">
        <w:rPr>
          <w:rFonts w:eastAsia="Palatino Linotype" w:cs="Palatino Linotype"/>
          <w:szCs w:val="24"/>
        </w:rPr>
        <w:t>Asimismo, los Lineamientos Quincuagésimo sexto, Quincuagésimo séptimo y Quincuagésimo octavo, establecen lo siguiente:</w:t>
      </w:r>
    </w:p>
    <w:p w14:paraId="27746AD6" w14:textId="77777777" w:rsidR="00D97888" w:rsidRPr="00E16CEB" w:rsidRDefault="00D97888" w:rsidP="00D97888">
      <w:pPr>
        <w:rPr>
          <w:rFonts w:eastAsia="Palatino Linotype" w:cs="Palatino Linotype"/>
        </w:rPr>
      </w:pPr>
    </w:p>
    <w:p w14:paraId="383364BE"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E16CEB">
        <w:rPr>
          <w:rFonts w:eastAsia="Palatino Linotype" w:cs="Palatino Linotype"/>
          <w:b/>
          <w:i/>
          <w:color w:val="000000"/>
          <w:sz w:val="22"/>
          <w:szCs w:val="24"/>
        </w:rPr>
        <w:t>Quincuagésimo sexto.</w:t>
      </w:r>
      <w:r w:rsidRPr="00E16CEB">
        <w:rPr>
          <w:rFonts w:eastAsia="Palatino Linotype" w:cs="Palatino Linotype"/>
          <w:i/>
          <w:color w:val="000000"/>
          <w:sz w:val="22"/>
          <w:szCs w:val="24"/>
        </w:rPr>
        <w:t xml:space="preserve"> </w:t>
      </w:r>
      <w:r w:rsidRPr="00E16CEB">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6AC8E10"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4D2C8C4"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b/>
          <w:i/>
          <w:color w:val="000000"/>
          <w:sz w:val="22"/>
          <w:szCs w:val="24"/>
        </w:rPr>
        <w:t>Quincuagésimo séptimo.</w:t>
      </w:r>
      <w:r w:rsidRPr="00E16CEB">
        <w:rPr>
          <w:rFonts w:eastAsia="Palatino Linotype" w:cs="Palatino Linotype"/>
          <w:i/>
          <w:color w:val="000000"/>
          <w:sz w:val="22"/>
          <w:szCs w:val="24"/>
        </w:rPr>
        <w:t xml:space="preserve"> Se considera, en principio, como información pública y no podrá omitirse de las versiones públicas la siguiente:</w:t>
      </w:r>
    </w:p>
    <w:p w14:paraId="656CCF95"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A6472CE"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A94FCFD"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0BA3992"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16CEB">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33F70B3"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3D37AFE"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6CEB">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33220E55"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C8CA53A" w14:textId="77777777" w:rsidR="00D97888" w:rsidRPr="00E16CEB"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16CEB">
        <w:rPr>
          <w:rFonts w:eastAsia="Palatino Linotype" w:cs="Palatino Linotype"/>
          <w:b/>
          <w:bCs/>
          <w:i/>
          <w:iCs/>
          <w:color w:val="000000" w:themeColor="text1"/>
          <w:sz w:val="22"/>
        </w:rPr>
        <w:t>Quincuagésimo octavo.</w:t>
      </w:r>
      <w:r w:rsidRPr="00E16CEB">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7AAB6D72" w14:textId="77777777" w:rsidR="00D97888" w:rsidRPr="00E16CEB" w:rsidRDefault="00D97888" w:rsidP="00D97888">
      <w:pPr>
        <w:rPr>
          <w:rFonts w:eastAsia="Palatino Linotype" w:cs="Palatino Linotype"/>
          <w:i/>
          <w:szCs w:val="24"/>
        </w:rPr>
      </w:pPr>
    </w:p>
    <w:p w14:paraId="1D92A447" w14:textId="77777777" w:rsidR="00D97888" w:rsidRPr="00E16CEB" w:rsidRDefault="00D97888" w:rsidP="00D97888">
      <w:pPr>
        <w:rPr>
          <w:rFonts w:eastAsia="Palatino Linotype" w:cs="Palatino Linotype"/>
          <w:szCs w:val="24"/>
        </w:rPr>
      </w:pPr>
      <w:r w:rsidRPr="00E16CEB">
        <w:rPr>
          <w:rFonts w:eastAsia="Palatino Linotype" w:cs="Palatino Linotype"/>
          <w:szCs w:val="24"/>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1DB506FF" w14:textId="77777777" w:rsidR="00D97888" w:rsidRPr="00E16CEB" w:rsidRDefault="00D97888" w:rsidP="00D97888">
      <w:pPr>
        <w:rPr>
          <w:rFonts w:eastAsia="Palatino Linotype" w:cs="Palatino Linotype"/>
          <w:szCs w:val="24"/>
        </w:rPr>
      </w:pPr>
    </w:p>
    <w:p w14:paraId="44DA17E3" w14:textId="77777777" w:rsidR="00D97888" w:rsidRPr="00E16CEB" w:rsidRDefault="00D97888" w:rsidP="00D97888">
      <w:pPr>
        <w:rPr>
          <w:rFonts w:eastAsia="Palatino Linotype" w:cs="Palatino Linotype"/>
        </w:rPr>
      </w:pPr>
      <w:r w:rsidRPr="00E16CEB">
        <w:rPr>
          <w:rFonts w:eastAsia="Palatino Linotype" w:cs="Palatino Linotype"/>
        </w:rPr>
        <w:t xml:space="preserve">Debe agregarse, que el Sujeto Obligado al entregar la referida documentación, debe dejar visible los datos del proveedor o contratistas, el registro federal de contribuyentes y el domicilio fiscal; es decir, no debe testarse dato alguno relacionado con el contribuyente aunque el proveedor o contratista sea una persona física. </w:t>
      </w:r>
    </w:p>
    <w:p w14:paraId="7DD34297" w14:textId="77777777" w:rsidR="00D97888" w:rsidRPr="00E16CEB" w:rsidRDefault="00D97888" w:rsidP="00D97888">
      <w:pPr>
        <w:rPr>
          <w:rFonts w:eastAsia="Palatino Linotype" w:cs="Palatino Linotype"/>
          <w:szCs w:val="24"/>
        </w:rPr>
      </w:pPr>
    </w:p>
    <w:p w14:paraId="2CAEA6F9" w14:textId="77777777" w:rsidR="00D97888" w:rsidRPr="00E16CEB" w:rsidRDefault="00D97888" w:rsidP="00D97888">
      <w:pPr>
        <w:rPr>
          <w:rFonts w:eastAsia="Palatino Linotype" w:cs="Palatino Linotype"/>
          <w:szCs w:val="24"/>
        </w:rPr>
      </w:pPr>
      <w:r w:rsidRPr="00E16CEB">
        <w:rPr>
          <w:rFonts w:eastAsia="Palatino Linotype" w:cs="Palatino Linotype"/>
          <w:szCs w:val="24"/>
        </w:rPr>
        <w:t xml:space="preserve">Lo anterior se debe a que, del ejercicio de ponderación entre el derecho a la protección de datos personales y el derecho de acceso a la información pública, es de mayor trascendencia el que cualquier persona pueda conocer en qué se gastan los recursos públicos, puesto que se trata de erogaciones de recursos públicos, por lo que se debe transparentar su ejercicio. </w:t>
      </w:r>
    </w:p>
    <w:p w14:paraId="43486B8F" w14:textId="77777777" w:rsidR="00D97888" w:rsidRPr="00E16CEB" w:rsidRDefault="00D97888" w:rsidP="00D97888">
      <w:pPr>
        <w:rPr>
          <w:rFonts w:eastAsia="Palatino Linotype" w:cs="Palatino Linotype"/>
          <w:szCs w:val="24"/>
        </w:rPr>
      </w:pPr>
    </w:p>
    <w:p w14:paraId="4C532344" w14:textId="77777777" w:rsidR="00D97888" w:rsidRPr="00E16CEB" w:rsidRDefault="00D97888" w:rsidP="00D97888">
      <w:pPr>
        <w:rPr>
          <w:rFonts w:eastAsia="Palatino Linotype" w:cs="Palatino Linotype"/>
          <w:szCs w:val="24"/>
        </w:rPr>
      </w:pPr>
      <w:r w:rsidRPr="00E16CEB">
        <w:rPr>
          <w:rFonts w:eastAsia="Palatino Linotype" w:cs="Palatino Linotype"/>
          <w:szCs w:val="24"/>
        </w:rPr>
        <w:t xml:space="preserve">Además, las personas físicas que realicen las actividades contratadas por las instituciones renuncian implícitamente a una parte de su derecho a la intimidad al obtener beneficios </w:t>
      </w:r>
      <w:r w:rsidRPr="00E16CEB">
        <w:rPr>
          <w:rFonts w:eastAsia="Palatino Linotype" w:cs="Palatino Linotype"/>
          <w:szCs w:val="24"/>
        </w:rPr>
        <w:lastRenderedPageBreak/>
        <w:t>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 esto es, se están realizando pagos a una persona que realiza una obra o presta un servicio, por la que se hizo un pago con dinero del erario público.</w:t>
      </w:r>
    </w:p>
    <w:p w14:paraId="2C7CCB22" w14:textId="77777777" w:rsidR="00D97888" w:rsidRPr="00E16CEB" w:rsidRDefault="00D97888" w:rsidP="00D97888">
      <w:pPr>
        <w:rPr>
          <w:rFonts w:eastAsia="Palatino Linotype" w:cs="Palatino Linotype"/>
          <w:szCs w:val="24"/>
        </w:rPr>
      </w:pPr>
    </w:p>
    <w:p w14:paraId="4A89B29D" w14:textId="77777777" w:rsidR="00D97888" w:rsidRPr="00E16CEB" w:rsidRDefault="00D97888" w:rsidP="00D97888">
      <w:pPr>
        <w:rPr>
          <w:rFonts w:eastAsia="Palatino Linotype" w:cs="Palatino Linotype"/>
          <w:szCs w:val="24"/>
        </w:rPr>
      </w:pPr>
      <w:r w:rsidRPr="00E16CEB">
        <w:rPr>
          <w:rFonts w:eastAsia="Palatino Linotype" w:cs="Palatino Linotype"/>
          <w:szCs w:val="24"/>
        </w:rPr>
        <w:t xml:space="preserve">Ahora bien, respecto de los números de cuentas bancarias, claves estandarizadas interbancarias (CLABES) y de tarjetas de los proveedores, este Pleno considera que es información que debe clasificarse como confidencial y por lo tanto debe elaborarse una versión en que ésta se teste. </w:t>
      </w:r>
    </w:p>
    <w:p w14:paraId="1F961405" w14:textId="77777777" w:rsidR="00D97888" w:rsidRPr="00E16CEB" w:rsidRDefault="00D97888" w:rsidP="00D97888">
      <w:pPr>
        <w:rPr>
          <w:rFonts w:eastAsia="Palatino Linotype" w:cs="Palatino Linotype"/>
          <w:szCs w:val="24"/>
        </w:rPr>
      </w:pPr>
    </w:p>
    <w:p w14:paraId="5B8AB545" w14:textId="77777777" w:rsidR="00D97888" w:rsidRPr="00E16CEB" w:rsidRDefault="00D97888" w:rsidP="00D97888">
      <w:pPr>
        <w:rPr>
          <w:rFonts w:eastAsia="Palatino Linotype" w:cs="Palatino Linotype"/>
        </w:rPr>
      </w:pPr>
      <w:r w:rsidRPr="00E16CEB">
        <w:rPr>
          <w:rFonts w:eastAsia="Palatino Linotype" w:cs="Palatino Linotype"/>
        </w:rPr>
        <w:t>Esto es así, ya que el número de cuenta bancaria se trata de información que sólo su titular o personas autorizadas poseen, entre otros elementos, para el acceso o consulta de información patrimonial, así como para la realización de operaciones bancarias de diversa índole, por lo que la difusión pública de dicha información facilitaría a cualquier persona interesada en afectar el patrimonio del titular de la cuenta; realice conductas tendientes a tal fin y tipificadas como delitos, con lo que se ocasionaría un serio perjuicio a su titular.</w:t>
      </w:r>
    </w:p>
    <w:p w14:paraId="7358ED68" w14:textId="77777777" w:rsidR="00D97888" w:rsidRPr="00E16CEB" w:rsidRDefault="00D97888" w:rsidP="00D97888">
      <w:pPr>
        <w:rPr>
          <w:rFonts w:eastAsia="Palatino Linotype" w:cs="Palatino Linotype"/>
          <w:szCs w:val="24"/>
        </w:rPr>
      </w:pPr>
    </w:p>
    <w:p w14:paraId="3598AAB7" w14:textId="77777777" w:rsidR="00D97888" w:rsidRPr="00E16CEB" w:rsidRDefault="00D97888" w:rsidP="00D97888">
      <w:pPr>
        <w:rPr>
          <w:rFonts w:eastAsia="Palatino Linotype" w:cs="Palatino Linotype"/>
        </w:rPr>
      </w:pPr>
      <w:r w:rsidRPr="00E16CEB">
        <w:rPr>
          <w:rFonts w:eastAsia="Palatino Linotype" w:cs="Palatino Linotype"/>
        </w:rPr>
        <w:t>Por lo anterior, el número de cuenta bancaria debe ser información confidencial en términos del artículo 143 de la Ley de Transparencia y Acceso a la Información Pública del Estado de México y Municipios, debido a que con su difusión se estaría revelando información de una persona física o jurídica colectiva.</w:t>
      </w:r>
    </w:p>
    <w:p w14:paraId="3CD9F297" w14:textId="77777777" w:rsidR="00D97888" w:rsidRPr="00E16CEB" w:rsidRDefault="00D97888" w:rsidP="00D97888">
      <w:pPr>
        <w:rPr>
          <w:rFonts w:eastAsia="Palatino Linotype" w:cs="Palatino Linotype"/>
          <w:szCs w:val="24"/>
        </w:rPr>
      </w:pPr>
    </w:p>
    <w:p w14:paraId="103C68F8" w14:textId="77777777" w:rsidR="00D97888" w:rsidRPr="00E16CEB" w:rsidRDefault="00D97888" w:rsidP="00D97888">
      <w:pPr>
        <w:rPr>
          <w:rFonts w:eastAsia="Palatino Linotype" w:cs="Palatino Linotype"/>
          <w:szCs w:val="24"/>
        </w:rPr>
      </w:pPr>
      <w:r w:rsidRPr="00E16CEB">
        <w:rPr>
          <w:rFonts w:eastAsia="Palatino Linotype" w:cs="Palatino Linotype"/>
          <w:szCs w:val="24"/>
        </w:rPr>
        <w:t xml:space="preserve">Adicional a lo anterior, la publicidad de los números de cuenta bancarios en nada contribuye a la rendición de cuentas o a la transparencia de la gestión gubernamental, sino por el contrario, dar a conocerlos hace vulnerable a su titular, en caso específico de la persona prestadora de bienes o servicios, al abrir la posibilidad de que terceros que cuenten con las posibilidades tecnológicas y/o económicas puedan realizar actos ilícitos mediante operaciones cibernéticas. </w:t>
      </w:r>
    </w:p>
    <w:p w14:paraId="7893AAF6" w14:textId="77777777" w:rsidR="00D97888" w:rsidRPr="00E16CEB" w:rsidRDefault="00D97888" w:rsidP="00D97888">
      <w:pPr>
        <w:rPr>
          <w:rFonts w:eastAsia="Palatino Linotype" w:cs="Palatino Linotype"/>
          <w:szCs w:val="24"/>
        </w:rPr>
      </w:pPr>
    </w:p>
    <w:p w14:paraId="54129A66" w14:textId="77777777" w:rsidR="00D97888" w:rsidRPr="00E16CEB" w:rsidRDefault="00D97888" w:rsidP="00D97888">
      <w:pPr>
        <w:rPr>
          <w:rFonts w:eastAsia="Palatino Linotype" w:cs="Palatino Linotype"/>
          <w:szCs w:val="24"/>
        </w:rPr>
      </w:pPr>
      <w:r w:rsidRPr="00E16CEB">
        <w:rPr>
          <w:rFonts w:eastAsia="Palatino Linotype" w:cs="Palatino Linotype"/>
          <w:szCs w:val="24"/>
        </w:rPr>
        <w:t>En esa virtud, este Pleno determina que dicha información no puede ser del dominio público, toda vez que se podría dar un uso inadecuado a la misma o cometer algún ilícito o fraude en contra de su patrimonio.</w:t>
      </w:r>
    </w:p>
    <w:p w14:paraId="68BA1EA2" w14:textId="77777777" w:rsidR="00D97888" w:rsidRPr="00E16CEB" w:rsidRDefault="00D97888" w:rsidP="00D97888">
      <w:pPr>
        <w:rPr>
          <w:rFonts w:eastAsia="Palatino Linotype" w:cs="Palatino Linotype"/>
          <w:szCs w:val="24"/>
        </w:rPr>
      </w:pPr>
    </w:p>
    <w:p w14:paraId="4736160D" w14:textId="77777777" w:rsidR="00D97888" w:rsidRPr="00E16CEB" w:rsidRDefault="00D97888" w:rsidP="00D97888">
      <w:pPr>
        <w:rPr>
          <w:rFonts w:eastAsia="Palatino Linotype" w:cs="Palatino Linotype"/>
          <w:szCs w:val="24"/>
        </w:rPr>
      </w:pPr>
      <w:r w:rsidRPr="00E16CEB">
        <w:rPr>
          <w:rFonts w:eastAsia="Palatino Linotype" w:cs="Palatino Linotype"/>
          <w:szCs w:val="24"/>
        </w:rPr>
        <w:t>De este modo, en las versiones públicas se deben testar únicamente los números de las cuentas bancarias, CLABES; si es que esta información se advierte en los documentos a otorgar; en caso contrario, se deben entregar en forma íntegra.</w:t>
      </w:r>
    </w:p>
    <w:p w14:paraId="00F8CB77" w14:textId="77777777" w:rsidR="00D97888" w:rsidRPr="00E16CEB" w:rsidRDefault="00D97888" w:rsidP="00D97888">
      <w:pPr>
        <w:rPr>
          <w:rFonts w:eastAsia="Palatino Linotype" w:cs="Palatino Linotype"/>
          <w:szCs w:val="24"/>
        </w:rPr>
      </w:pPr>
    </w:p>
    <w:p w14:paraId="63A2466E" w14:textId="76670259" w:rsidR="00D97888" w:rsidRPr="00E16CEB" w:rsidRDefault="00D97888" w:rsidP="00D97888">
      <w:pPr>
        <w:rPr>
          <w:rFonts w:eastAsia="Palatino Linotype" w:cs="Palatino Linotype"/>
        </w:rPr>
      </w:pPr>
      <w:r w:rsidRPr="00E16CEB">
        <w:rPr>
          <w:rFonts w:eastAsia="Palatino Linotype" w:cs="Palatino Linotype"/>
        </w:rPr>
        <w:t>Además de ello, se considera que se deberá testar el sello digital del contribuyente que lo expide y la cadena original de éste, en virtud de que estos se pueden vincular con la identidad de un sujeto o entidad, su cla</w:t>
      </w:r>
      <w:r w:rsidR="00064009" w:rsidRPr="00E16CEB">
        <w:rPr>
          <w:rFonts w:eastAsia="Palatino Linotype" w:cs="Palatino Linotype"/>
        </w:rPr>
        <w:t>b</w:t>
      </w:r>
      <w:r w:rsidRPr="00E16CEB">
        <w:rPr>
          <w:rFonts w:eastAsia="Palatino Linotype" w:cs="Palatino Linotype"/>
        </w:rPr>
        <w:t>e pública y la cla</w:t>
      </w:r>
      <w:r w:rsidR="00064009" w:rsidRPr="00E16CEB">
        <w:rPr>
          <w:rFonts w:eastAsia="Palatino Linotype" w:cs="Palatino Linotype"/>
        </w:rPr>
        <w:t>b</w:t>
      </w:r>
      <w:r w:rsidRPr="00E16CEB">
        <w:rPr>
          <w:rFonts w:eastAsia="Palatino Linotype" w:cs="Palatino Linotype"/>
        </w:rPr>
        <w:t>e pública del titular del certificado; datos que, se insiste, no son de acceso público, de ahí que deben protegerse mediante la versión pública correspondiente.</w:t>
      </w:r>
    </w:p>
    <w:p w14:paraId="6374DEA0" w14:textId="77777777" w:rsidR="00D97888" w:rsidRPr="00E16CEB" w:rsidRDefault="00D97888" w:rsidP="00D97888">
      <w:pPr>
        <w:rPr>
          <w:rFonts w:eastAsia="Palatino Linotype" w:cs="Palatino Linotype"/>
          <w:szCs w:val="24"/>
        </w:rPr>
      </w:pPr>
    </w:p>
    <w:p w14:paraId="158D7E50" w14:textId="77777777" w:rsidR="00D97888" w:rsidRPr="00E16CEB" w:rsidRDefault="00D97888" w:rsidP="00D97888">
      <w:pPr>
        <w:rPr>
          <w:rFonts w:eastAsia="Palatino Linotype" w:cs="Palatino Linotype"/>
          <w:szCs w:val="24"/>
        </w:rPr>
      </w:pPr>
      <w:r w:rsidRPr="00E16CEB">
        <w:rPr>
          <w:rFonts w:eastAsia="Palatino Linotype" w:cs="Palatino Linotype"/>
          <w:szCs w:val="24"/>
        </w:rPr>
        <w:t>Por lo que respecta al Acuerdo del Comité de Transparencia que sustente la versión pública de la documentación a entregar, deberá ser notificado mediante el SAIMEX.</w:t>
      </w:r>
    </w:p>
    <w:p w14:paraId="703382E6" w14:textId="77777777" w:rsidR="00D97888" w:rsidRPr="00E16CEB" w:rsidRDefault="00D97888" w:rsidP="00D97888">
      <w:pPr>
        <w:rPr>
          <w:rFonts w:eastAsia="Palatino Linotype" w:cs="Palatino Linotype"/>
          <w:szCs w:val="24"/>
        </w:rPr>
      </w:pPr>
    </w:p>
    <w:p w14:paraId="0331A878" w14:textId="77777777" w:rsidR="00D97888" w:rsidRPr="00E16CEB" w:rsidRDefault="00D97888" w:rsidP="00D97888">
      <w:pPr>
        <w:pBdr>
          <w:top w:val="nil"/>
          <w:left w:val="nil"/>
          <w:bottom w:val="nil"/>
          <w:right w:val="nil"/>
          <w:between w:val="nil"/>
        </w:pBdr>
        <w:rPr>
          <w:rFonts w:eastAsia="Palatino Linotype" w:cs="Palatino Linotype"/>
          <w:color w:val="000000"/>
          <w:szCs w:val="24"/>
        </w:rPr>
      </w:pPr>
      <w:r w:rsidRPr="00E16CEB">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BE6F763" w14:textId="77777777" w:rsidR="007856F3" w:rsidRPr="00E16CEB" w:rsidRDefault="007856F3" w:rsidP="00637679">
      <w:pPr>
        <w:rPr>
          <w:szCs w:val="24"/>
          <w:lang w:val="es-MX"/>
        </w:rPr>
      </w:pPr>
    </w:p>
    <w:p w14:paraId="07B920B4" w14:textId="35199C8D" w:rsidR="00581587" w:rsidRPr="00E16CEB" w:rsidRDefault="00581587" w:rsidP="00581587">
      <w:pPr>
        <w:pBdr>
          <w:top w:val="nil"/>
          <w:left w:val="nil"/>
          <w:bottom w:val="nil"/>
          <w:right w:val="nil"/>
          <w:between w:val="nil"/>
        </w:pBdr>
        <w:rPr>
          <w:rFonts w:eastAsia="Palatino Linotype" w:cs="Palatino Linotype"/>
          <w:color w:val="000000"/>
          <w:szCs w:val="24"/>
        </w:rPr>
      </w:pPr>
      <w:r w:rsidRPr="00E16CEB">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E16CEB">
        <w:rPr>
          <w:rFonts w:eastAsia="Palatino Linotype" w:cs="Palatino Linotype"/>
          <w:color w:val="000000" w:themeColor="text1"/>
          <w:szCs w:val="24"/>
        </w:rPr>
        <w:t>el</w:t>
      </w:r>
      <w:r w:rsidRPr="00E16CEB">
        <w:rPr>
          <w:rFonts w:eastAsia="Palatino Linotype" w:cs="Palatino Linotype"/>
          <w:color w:val="000000" w:themeColor="text1"/>
          <w:szCs w:val="24"/>
        </w:rPr>
        <w:t xml:space="preserve"> Recurrente resultan fundados en el recurso de revisión que es materia de esta resolución; por ello </w:t>
      </w:r>
      <w:r w:rsidRPr="00E16CEB">
        <w:rPr>
          <w:rFonts w:eastAsia="Palatino Linotype" w:cs="Palatino Linotype"/>
          <w:b/>
          <w:bCs/>
          <w:color w:val="000000" w:themeColor="text1"/>
          <w:szCs w:val="24"/>
        </w:rPr>
        <w:t>co</w:t>
      </w:r>
      <w:r w:rsidR="006451AD" w:rsidRPr="00E16CEB">
        <w:rPr>
          <w:rFonts w:eastAsia="Palatino Linotype" w:cs="Palatino Linotype"/>
          <w:b/>
          <w:bCs/>
          <w:color w:val="000000" w:themeColor="text1"/>
          <w:szCs w:val="24"/>
        </w:rPr>
        <w:t xml:space="preserve">n fundamento en la </w:t>
      </w:r>
      <w:r w:rsidR="00EC150E" w:rsidRPr="00E16CEB">
        <w:rPr>
          <w:rFonts w:eastAsia="Palatino Linotype" w:cs="Palatino Linotype"/>
          <w:b/>
          <w:bCs/>
          <w:color w:val="000000" w:themeColor="text1"/>
          <w:szCs w:val="24"/>
        </w:rPr>
        <w:t xml:space="preserve">primera </w:t>
      </w:r>
      <w:r w:rsidRPr="00E16CEB">
        <w:rPr>
          <w:rFonts w:eastAsia="Palatino Linotype" w:cs="Palatino Linotype"/>
          <w:b/>
          <w:bCs/>
          <w:color w:val="000000" w:themeColor="text1"/>
          <w:szCs w:val="24"/>
        </w:rPr>
        <w:t xml:space="preserve">hipótesis de la fracción III del artículo 186 </w:t>
      </w:r>
      <w:r w:rsidRPr="00E16CEB">
        <w:rPr>
          <w:rFonts w:eastAsia="Palatino Linotype" w:cs="Palatino Linotype"/>
          <w:color w:val="000000" w:themeColor="text1"/>
          <w:szCs w:val="24"/>
        </w:rPr>
        <w:t xml:space="preserve">de la Ley de Transparencia y Acceso a la Información Pública del Estado de México y Municipios, se </w:t>
      </w:r>
      <w:r w:rsidR="00EC150E" w:rsidRPr="00E16CEB">
        <w:rPr>
          <w:rFonts w:eastAsia="Palatino Linotype" w:cs="Palatino Linotype"/>
          <w:b/>
          <w:bCs/>
          <w:color w:val="000000" w:themeColor="text1"/>
          <w:szCs w:val="24"/>
        </w:rPr>
        <w:t>REVO</w:t>
      </w:r>
      <w:r w:rsidRPr="00E16CEB">
        <w:rPr>
          <w:rFonts w:eastAsia="Palatino Linotype" w:cs="Palatino Linotype"/>
          <w:b/>
          <w:bCs/>
          <w:color w:val="000000" w:themeColor="text1"/>
          <w:szCs w:val="24"/>
        </w:rPr>
        <w:t xml:space="preserve">CA </w:t>
      </w:r>
      <w:r w:rsidRPr="00E16CEB">
        <w:rPr>
          <w:rFonts w:eastAsia="Palatino Linotype" w:cs="Palatino Linotype"/>
          <w:color w:val="000000" w:themeColor="text1"/>
          <w:szCs w:val="24"/>
        </w:rPr>
        <w:t>la respuesta a la solicitud de información número</w:t>
      </w:r>
      <w:r w:rsidR="00642669" w:rsidRPr="00E16CEB">
        <w:rPr>
          <w:rFonts w:eastAsia="Palatino Linotype" w:cs="Palatino Linotype"/>
          <w:color w:val="000000"/>
          <w:szCs w:val="24"/>
        </w:rPr>
        <w:t xml:space="preserve"> </w:t>
      </w:r>
      <w:r w:rsidR="00971B7B" w:rsidRPr="00E16CEB">
        <w:rPr>
          <w:rFonts w:eastAsia="Palatino Linotype" w:cs="Palatino Linotype"/>
          <w:b/>
          <w:bCs/>
          <w:color w:val="000000"/>
          <w:szCs w:val="24"/>
        </w:rPr>
        <w:t>00030/IXTAPALU/IP/2026</w:t>
      </w:r>
      <w:r w:rsidRPr="00E16CEB">
        <w:rPr>
          <w:rFonts w:eastAsia="Palatino Linotype" w:cs="Palatino Linotype"/>
          <w:color w:val="000000" w:themeColor="text1"/>
          <w:szCs w:val="24"/>
        </w:rPr>
        <w:t>, que ha sido materia del presente estudio.</w:t>
      </w:r>
    </w:p>
    <w:p w14:paraId="33FB236F" w14:textId="259CAD64" w:rsidR="00581587" w:rsidRPr="00E16CEB" w:rsidRDefault="00581587" w:rsidP="008F50E6">
      <w:pPr>
        <w:rPr>
          <w:szCs w:val="24"/>
        </w:rPr>
      </w:pPr>
    </w:p>
    <w:p w14:paraId="34755541" w14:textId="77777777" w:rsidR="00581587" w:rsidRPr="00E16CEB" w:rsidRDefault="00581587" w:rsidP="00581587">
      <w:pPr>
        <w:pBdr>
          <w:top w:val="nil"/>
          <w:left w:val="nil"/>
          <w:bottom w:val="nil"/>
          <w:right w:val="nil"/>
          <w:between w:val="nil"/>
        </w:pBdr>
        <w:rPr>
          <w:rFonts w:eastAsia="Palatino Linotype" w:cs="Palatino Linotype"/>
          <w:color w:val="000000"/>
          <w:szCs w:val="24"/>
        </w:rPr>
      </w:pPr>
      <w:r w:rsidRPr="00E16CEB">
        <w:rPr>
          <w:rFonts w:eastAsia="Palatino Linotype" w:cs="Palatino Linotype"/>
          <w:color w:val="000000"/>
          <w:szCs w:val="24"/>
        </w:rPr>
        <w:t>Por lo antes expuesto y fundado es de resolverse y,</w:t>
      </w:r>
    </w:p>
    <w:p w14:paraId="3AF7767D" w14:textId="4DC74A1D" w:rsidR="00454915" w:rsidRPr="00E16CEB" w:rsidRDefault="00454915" w:rsidP="008F50E6">
      <w:pPr>
        <w:rPr>
          <w:szCs w:val="24"/>
        </w:rPr>
      </w:pPr>
    </w:p>
    <w:p w14:paraId="04F69938" w14:textId="77777777" w:rsidR="00581587" w:rsidRPr="00E16CEB" w:rsidRDefault="00581587" w:rsidP="00581587">
      <w:pPr>
        <w:pStyle w:val="Ttulo1"/>
        <w:rPr>
          <w:rFonts w:eastAsia="Palatino Linotype"/>
        </w:rPr>
      </w:pPr>
      <w:r w:rsidRPr="00E16CEB">
        <w:rPr>
          <w:rFonts w:eastAsia="Palatino Linotype"/>
        </w:rPr>
        <w:t>S E    R E S U E L V E</w:t>
      </w:r>
    </w:p>
    <w:p w14:paraId="0360AA6D" w14:textId="77777777" w:rsidR="00581587" w:rsidRPr="00E16CEB" w:rsidRDefault="00581587" w:rsidP="00581587">
      <w:pPr>
        <w:pBdr>
          <w:top w:val="nil"/>
          <w:left w:val="nil"/>
          <w:bottom w:val="nil"/>
          <w:right w:val="nil"/>
          <w:between w:val="nil"/>
        </w:pBdr>
        <w:rPr>
          <w:rFonts w:eastAsia="Palatino Linotype" w:cs="Palatino Linotype"/>
          <w:b/>
          <w:color w:val="000000"/>
          <w:szCs w:val="24"/>
        </w:rPr>
      </w:pPr>
    </w:p>
    <w:p w14:paraId="2E76CA1A" w14:textId="7E9206C0" w:rsidR="00581587" w:rsidRPr="00E16CEB" w:rsidRDefault="00581587" w:rsidP="00581587">
      <w:pPr>
        <w:pBdr>
          <w:top w:val="nil"/>
          <w:left w:val="nil"/>
          <w:bottom w:val="nil"/>
          <w:right w:val="nil"/>
          <w:between w:val="nil"/>
        </w:pBdr>
        <w:rPr>
          <w:rFonts w:eastAsia="Palatino Linotype" w:cs="Palatino Linotype"/>
          <w:color w:val="000000"/>
          <w:szCs w:val="24"/>
        </w:rPr>
      </w:pPr>
      <w:r w:rsidRPr="00E16CEB">
        <w:rPr>
          <w:rFonts w:eastAsia="Palatino Linotype" w:cs="Palatino Linotype"/>
          <w:b/>
          <w:bCs/>
          <w:color w:val="000000" w:themeColor="text1"/>
          <w:szCs w:val="24"/>
        </w:rPr>
        <w:t>PRIMERO.</w:t>
      </w:r>
      <w:r w:rsidRPr="00E16CEB">
        <w:rPr>
          <w:rFonts w:eastAsia="Palatino Linotype" w:cs="Palatino Linotype"/>
          <w:color w:val="000000" w:themeColor="text1"/>
          <w:szCs w:val="24"/>
        </w:rPr>
        <w:t xml:space="preserve"> Se </w:t>
      </w:r>
      <w:r w:rsidR="00B814ED" w:rsidRPr="00E16CEB">
        <w:rPr>
          <w:rFonts w:eastAsia="Palatino Linotype" w:cs="Palatino Linotype"/>
          <w:b/>
          <w:bCs/>
          <w:color w:val="000000" w:themeColor="text1"/>
          <w:szCs w:val="24"/>
        </w:rPr>
        <w:t>REVO</w:t>
      </w:r>
      <w:r w:rsidRPr="00E16CEB">
        <w:rPr>
          <w:rFonts w:eastAsia="Palatino Linotype" w:cs="Palatino Linotype"/>
          <w:b/>
          <w:bCs/>
          <w:color w:val="000000" w:themeColor="text1"/>
          <w:szCs w:val="24"/>
        </w:rPr>
        <w:t>CA</w:t>
      </w:r>
      <w:r w:rsidRPr="00E16CEB">
        <w:rPr>
          <w:rFonts w:eastAsia="Palatino Linotype" w:cs="Palatino Linotype"/>
          <w:color w:val="000000" w:themeColor="text1"/>
          <w:szCs w:val="24"/>
        </w:rPr>
        <w:t xml:space="preserve"> la respuesta entregada por el Sujeto Obligado</w:t>
      </w:r>
      <w:r w:rsidRPr="00E16CEB">
        <w:rPr>
          <w:rFonts w:eastAsia="Palatino Linotype" w:cs="Palatino Linotype"/>
          <w:b/>
          <w:bCs/>
          <w:color w:val="000000" w:themeColor="text1"/>
          <w:szCs w:val="24"/>
        </w:rPr>
        <w:t xml:space="preserve"> </w:t>
      </w:r>
      <w:r w:rsidRPr="00E16CEB">
        <w:rPr>
          <w:rFonts w:eastAsia="Palatino Linotype" w:cs="Palatino Linotype"/>
          <w:color w:val="000000" w:themeColor="text1"/>
          <w:szCs w:val="24"/>
        </w:rPr>
        <w:t>a la solicitud de información número</w:t>
      </w:r>
      <w:r w:rsidR="00642669" w:rsidRPr="00E16CEB">
        <w:rPr>
          <w:rFonts w:eastAsia="Palatino Linotype" w:cs="Palatino Linotype"/>
          <w:b/>
          <w:bCs/>
          <w:color w:val="000000"/>
          <w:szCs w:val="24"/>
        </w:rPr>
        <w:t xml:space="preserve"> </w:t>
      </w:r>
      <w:r w:rsidR="00971B7B" w:rsidRPr="00E16CEB">
        <w:rPr>
          <w:rFonts w:eastAsia="Palatino Linotype" w:cs="Palatino Linotype"/>
          <w:b/>
          <w:bCs/>
          <w:color w:val="000000"/>
          <w:szCs w:val="24"/>
        </w:rPr>
        <w:t>00030/IXTAPALU/IP/2026</w:t>
      </w:r>
      <w:r w:rsidR="000D3DC4" w:rsidRPr="00E16CEB">
        <w:rPr>
          <w:rFonts w:eastAsia="Palatino Linotype" w:cs="Palatino Linotype"/>
          <w:color w:val="000000" w:themeColor="text1"/>
          <w:szCs w:val="24"/>
        </w:rPr>
        <w:t>, al resultar</w:t>
      </w:r>
      <w:r w:rsidR="005D743E" w:rsidRPr="00E16CEB">
        <w:rPr>
          <w:rFonts w:eastAsia="Palatino Linotype" w:cs="Palatino Linotype"/>
          <w:color w:val="000000" w:themeColor="text1"/>
          <w:szCs w:val="24"/>
        </w:rPr>
        <w:t xml:space="preserve"> </w:t>
      </w:r>
      <w:r w:rsidRPr="00E16CEB">
        <w:rPr>
          <w:rFonts w:eastAsia="Palatino Linotype" w:cs="Palatino Linotype"/>
          <w:color w:val="000000" w:themeColor="text1"/>
          <w:szCs w:val="24"/>
        </w:rPr>
        <w:t xml:space="preserve">fundados los motivos de inconformidad argüidos por </w:t>
      </w:r>
      <w:r w:rsidR="008A7F39" w:rsidRPr="00E16CEB">
        <w:rPr>
          <w:rFonts w:eastAsia="Palatino Linotype" w:cs="Palatino Linotype"/>
          <w:color w:val="000000" w:themeColor="text1"/>
          <w:szCs w:val="24"/>
        </w:rPr>
        <w:t>el Recurrente</w:t>
      </w:r>
      <w:r w:rsidRPr="00E16CEB">
        <w:rPr>
          <w:rFonts w:eastAsia="Palatino Linotype" w:cs="Palatino Linotype"/>
          <w:color w:val="000000" w:themeColor="text1"/>
          <w:szCs w:val="24"/>
        </w:rPr>
        <w:t>, en términos del</w:t>
      </w:r>
      <w:r w:rsidRPr="00E16CEB">
        <w:rPr>
          <w:rFonts w:eastAsia="Palatino Linotype" w:cs="Palatino Linotype"/>
          <w:b/>
          <w:bCs/>
          <w:color w:val="000000" w:themeColor="text1"/>
          <w:szCs w:val="24"/>
        </w:rPr>
        <w:t xml:space="preserve"> Considerando </w:t>
      </w:r>
      <w:r w:rsidR="00FB1F7C" w:rsidRPr="00E16CEB">
        <w:rPr>
          <w:rFonts w:eastAsia="Palatino Linotype" w:cs="Palatino Linotype"/>
          <w:b/>
          <w:bCs/>
          <w:color w:val="000000" w:themeColor="text1"/>
          <w:szCs w:val="24"/>
        </w:rPr>
        <w:t>CUAR</w:t>
      </w:r>
      <w:r w:rsidRPr="00E16CEB">
        <w:rPr>
          <w:rFonts w:eastAsia="Palatino Linotype" w:cs="Palatino Linotype"/>
          <w:b/>
          <w:bCs/>
          <w:color w:val="000000" w:themeColor="text1"/>
          <w:szCs w:val="24"/>
        </w:rPr>
        <w:t xml:space="preserve">TO </w:t>
      </w:r>
      <w:r w:rsidRPr="00E16CEB">
        <w:rPr>
          <w:rFonts w:eastAsia="Palatino Linotype" w:cs="Palatino Linotype"/>
          <w:color w:val="000000" w:themeColor="text1"/>
          <w:szCs w:val="24"/>
        </w:rPr>
        <w:t xml:space="preserve">de la presente resolución. </w:t>
      </w:r>
    </w:p>
    <w:p w14:paraId="1E340B42" w14:textId="77777777" w:rsidR="00581587" w:rsidRPr="00E16CEB" w:rsidRDefault="00581587" w:rsidP="00581587">
      <w:pPr>
        <w:pBdr>
          <w:top w:val="nil"/>
          <w:left w:val="nil"/>
          <w:bottom w:val="nil"/>
          <w:right w:val="nil"/>
          <w:between w:val="nil"/>
        </w:pBdr>
        <w:rPr>
          <w:rFonts w:eastAsia="Palatino Linotype" w:cs="Palatino Linotype"/>
          <w:color w:val="000000"/>
          <w:szCs w:val="24"/>
        </w:rPr>
      </w:pPr>
    </w:p>
    <w:p w14:paraId="4DA0A536" w14:textId="04587933" w:rsidR="00581587" w:rsidRPr="00E16CEB" w:rsidRDefault="00581587" w:rsidP="00581587">
      <w:pPr>
        <w:pBdr>
          <w:top w:val="nil"/>
          <w:left w:val="nil"/>
          <w:bottom w:val="nil"/>
          <w:right w:val="nil"/>
          <w:between w:val="nil"/>
        </w:pBdr>
        <w:rPr>
          <w:rFonts w:eastAsia="Palatino Linotype" w:cs="Palatino Linotype"/>
          <w:color w:val="000000"/>
          <w:szCs w:val="24"/>
        </w:rPr>
      </w:pPr>
      <w:r w:rsidRPr="00E16CEB">
        <w:rPr>
          <w:rFonts w:eastAsia="Palatino Linotype" w:cs="Palatino Linotype"/>
          <w:b/>
          <w:color w:val="000000"/>
          <w:szCs w:val="24"/>
        </w:rPr>
        <w:lastRenderedPageBreak/>
        <w:t>SEGUNDO.</w:t>
      </w:r>
      <w:r w:rsidRPr="00E16CEB">
        <w:rPr>
          <w:rFonts w:eastAsia="Palatino Linotype" w:cs="Palatino Linotype"/>
          <w:color w:val="000000"/>
          <w:szCs w:val="24"/>
        </w:rPr>
        <w:t xml:space="preserve"> Se </w:t>
      </w:r>
      <w:r w:rsidRPr="00E16CEB">
        <w:rPr>
          <w:rFonts w:eastAsia="Palatino Linotype" w:cs="Palatino Linotype"/>
          <w:b/>
          <w:color w:val="000000"/>
          <w:szCs w:val="24"/>
        </w:rPr>
        <w:t>ORDENA</w:t>
      </w:r>
      <w:r w:rsidRPr="00E16CEB">
        <w:rPr>
          <w:rFonts w:eastAsia="Palatino Linotype" w:cs="Palatino Linotype"/>
          <w:color w:val="000000"/>
          <w:szCs w:val="24"/>
        </w:rPr>
        <w:t xml:space="preserve"> </w:t>
      </w:r>
      <w:r w:rsidR="007501B9" w:rsidRPr="00E16CEB">
        <w:rPr>
          <w:rFonts w:eastAsia="Palatino Linotype" w:cs="Palatino Linotype"/>
          <w:color w:val="000000"/>
          <w:szCs w:val="24"/>
        </w:rPr>
        <w:t>al Sujeto Obligado que</w:t>
      </w:r>
      <w:r w:rsidR="003A51C8" w:rsidRPr="00E16CEB">
        <w:rPr>
          <w:rFonts w:eastAsia="Palatino Linotype" w:cs="Palatino Linotype"/>
          <w:color w:val="000000"/>
          <w:szCs w:val="24"/>
        </w:rPr>
        <w:t xml:space="preserve"> </w:t>
      </w:r>
      <w:r w:rsidR="002B5CE9" w:rsidRPr="00E16CEB">
        <w:rPr>
          <w:rFonts w:eastAsia="Palatino Linotype" w:cs="Palatino Linotype"/>
          <w:color w:val="000000"/>
          <w:szCs w:val="24"/>
        </w:rPr>
        <w:t xml:space="preserve">haga </w:t>
      </w:r>
      <w:r w:rsidR="007501B9" w:rsidRPr="00E16CEB">
        <w:rPr>
          <w:rFonts w:eastAsia="Palatino Linotype" w:cs="Palatino Linotype"/>
          <w:color w:val="000000"/>
          <w:szCs w:val="24"/>
        </w:rPr>
        <w:t>entrega a</w:t>
      </w:r>
      <w:r w:rsidR="008A7F39" w:rsidRPr="00E16CEB">
        <w:rPr>
          <w:rFonts w:eastAsia="Palatino Linotype" w:cs="Palatino Linotype"/>
          <w:color w:val="000000"/>
          <w:szCs w:val="24"/>
        </w:rPr>
        <w:t>l Recurrente</w:t>
      </w:r>
      <w:r w:rsidR="007501B9" w:rsidRPr="00E16CEB">
        <w:rPr>
          <w:rFonts w:eastAsia="Palatino Linotype" w:cs="Palatino Linotype"/>
          <w:color w:val="000000"/>
          <w:szCs w:val="24"/>
        </w:rPr>
        <w:t xml:space="preserve"> mediante el Sistema de Acceso a la Información Mexiquense (SAIMEX)</w:t>
      </w:r>
      <w:r w:rsidR="00A01F4B" w:rsidRPr="00E16CEB">
        <w:rPr>
          <w:rFonts w:eastAsia="Palatino Linotype" w:cs="Palatino Linotype"/>
          <w:color w:val="000000"/>
          <w:szCs w:val="24"/>
        </w:rPr>
        <w:t>, en versión pública</w:t>
      </w:r>
      <w:r w:rsidR="003A51C8" w:rsidRPr="00E16CEB">
        <w:rPr>
          <w:rFonts w:eastAsia="Palatino Linotype" w:cs="Palatino Linotype"/>
          <w:color w:val="000000"/>
          <w:szCs w:val="24"/>
        </w:rPr>
        <w:t xml:space="preserve"> y </w:t>
      </w:r>
      <w:r w:rsidR="007501B9" w:rsidRPr="00E16CEB">
        <w:rPr>
          <w:rFonts w:eastAsia="Palatino Linotype" w:cs="Palatino Linotype"/>
          <w:color w:val="000000"/>
          <w:szCs w:val="24"/>
        </w:rPr>
        <w:t xml:space="preserve">en términos del </w:t>
      </w:r>
      <w:r w:rsidR="000D3DC4" w:rsidRPr="00E16CEB">
        <w:rPr>
          <w:rFonts w:eastAsia="Palatino Linotype" w:cs="Palatino Linotype"/>
          <w:b/>
          <w:color w:val="000000"/>
          <w:szCs w:val="24"/>
        </w:rPr>
        <w:t xml:space="preserve">Considerando </w:t>
      </w:r>
      <w:r w:rsidR="00FB1F7C" w:rsidRPr="00E16CEB">
        <w:rPr>
          <w:rFonts w:eastAsia="Palatino Linotype" w:cs="Palatino Linotype"/>
          <w:b/>
          <w:color w:val="000000"/>
          <w:szCs w:val="24"/>
        </w:rPr>
        <w:t>CUAR</w:t>
      </w:r>
      <w:r w:rsidR="007501B9" w:rsidRPr="00E16CEB">
        <w:rPr>
          <w:rFonts w:eastAsia="Palatino Linotype" w:cs="Palatino Linotype"/>
          <w:b/>
          <w:color w:val="000000"/>
          <w:szCs w:val="24"/>
        </w:rPr>
        <w:t>TO</w:t>
      </w:r>
      <w:r w:rsidR="00637878" w:rsidRPr="00E16CEB">
        <w:rPr>
          <w:rFonts w:eastAsia="Palatino Linotype" w:cs="Palatino Linotype"/>
          <w:color w:val="000000"/>
          <w:szCs w:val="24"/>
        </w:rPr>
        <w:t>, de</w:t>
      </w:r>
      <w:r w:rsidR="001A788F" w:rsidRPr="00E16CEB">
        <w:rPr>
          <w:rFonts w:eastAsia="Palatino Linotype" w:cs="Palatino Linotype"/>
          <w:color w:val="000000"/>
          <w:szCs w:val="24"/>
        </w:rPr>
        <w:t xml:space="preserve"> </w:t>
      </w:r>
      <w:r w:rsidR="00FB1F7C" w:rsidRPr="00E16CEB">
        <w:rPr>
          <w:rFonts w:eastAsia="Palatino Linotype" w:cs="Palatino Linotype"/>
          <w:color w:val="000000"/>
          <w:szCs w:val="24"/>
        </w:rPr>
        <w:t>l</w:t>
      </w:r>
      <w:r w:rsidR="001A788F" w:rsidRPr="00E16CEB">
        <w:rPr>
          <w:rFonts w:eastAsia="Palatino Linotype" w:cs="Palatino Linotype"/>
          <w:color w:val="000000"/>
          <w:szCs w:val="24"/>
        </w:rPr>
        <w:t>os</w:t>
      </w:r>
      <w:r w:rsidR="00FB1F7C" w:rsidRPr="00E16CEB">
        <w:rPr>
          <w:rFonts w:eastAsia="Palatino Linotype" w:cs="Palatino Linotype"/>
          <w:color w:val="000000"/>
          <w:szCs w:val="24"/>
        </w:rPr>
        <w:t xml:space="preserve"> documento</w:t>
      </w:r>
      <w:r w:rsidR="001A788F" w:rsidRPr="00E16CEB">
        <w:rPr>
          <w:rFonts w:eastAsia="Palatino Linotype" w:cs="Palatino Linotype"/>
          <w:color w:val="000000"/>
          <w:szCs w:val="24"/>
        </w:rPr>
        <w:t>s</w:t>
      </w:r>
      <w:r w:rsidR="00FB1F7C" w:rsidRPr="00E16CEB">
        <w:rPr>
          <w:rFonts w:eastAsia="Palatino Linotype" w:cs="Palatino Linotype"/>
          <w:color w:val="000000"/>
          <w:szCs w:val="24"/>
        </w:rPr>
        <w:t xml:space="preserve"> en donde conste</w:t>
      </w:r>
      <w:r w:rsidR="00637878" w:rsidRPr="00E16CEB">
        <w:rPr>
          <w:rFonts w:eastAsia="Palatino Linotype" w:cs="Palatino Linotype"/>
          <w:color w:val="000000"/>
          <w:szCs w:val="24"/>
        </w:rPr>
        <w:t xml:space="preserve"> lo siguiente:</w:t>
      </w:r>
    </w:p>
    <w:p w14:paraId="26EEF856" w14:textId="77777777" w:rsidR="00581587" w:rsidRPr="00E16CEB" w:rsidRDefault="00581587" w:rsidP="00581587">
      <w:pPr>
        <w:pBdr>
          <w:top w:val="nil"/>
          <w:left w:val="nil"/>
          <w:bottom w:val="nil"/>
          <w:right w:val="nil"/>
          <w:between w:val="nil"/>
        </w:pBdr>
        <w:rPr>
          <w:rFonts w:eastAsia="Palatino Linotype" w:cs="Palatino Linotype"/>
          <w:color w:val="000000"/>
          <w:szCs w:val="24"/>
        </w:rPr>
      </w:pPr>
    </w:p>
    <w:p w14:paraId="75A6886A" w14:textId="6CF6B72B" w:rsidR="00FD734D" w:rsidRPr="00E16CEB" w:rsidRDefault="00B814ED" w:rsidP="004D239F">
      <w:pPr>
        <w:pStyle w:val="NormalINFOEM"/>
        <w:numPr>
          <w:ilvl w:val="0"/>
          <w:numId w:val="51"/>
        </w:numPr>
        <w:spacing w:line="240" w:lineRule="auto"/>
        <w:rPr>
          <w:rFonts w:eastAsia="Palatino Linotype" w:cs="Palatino Linotype"/>
          <w:i/>
          <w:iCs/>
          <w:color w:val="000000"/>
          <w:szCs w:val="24"/>
          <w:lang w:val="es-ES" w:eastAsia="es-ES"/>
        </w:rPr>
      </w:pPr>
      <w:r w:rsidRPr="00E16CEB">
        <w:rPr>
          <w:rFonts w:eastAsia="Palatino Linotype" w:cs="Palatino Linotype"/>
          <w:i/>
          <w:iCs/>
          <w:color w:val="000000"/>
          <w:szCs w:val="24"/>
          <w:lang w:val="es-ES" w:eastAsia="es-ES"/>
        </w:rPr>
        <w:t>L</w:t>
      </w:r>
      <w:r w:rsidR="0094032A" w:rsidRPr="00E16CEB">
        <w:rPr>
          <w:rFonts w:eastAsia="Palatino Linotype" w:cs="Palatino Linotype"/>
          <w:i/>
          <w:iCs/>
          <w:color w:val="000000"/>
          <w:szCs w:val="24"/>
          <w:lang w:val="es-ES" w:eastAsia="es-ES"/>
        </w:rPr>
        <w:t>a</w:t>
      </w:r>
      <w:r w:rsidR="001A788F" w:rsidRPr="00E16CEB">
        <w:rPr>
          <w:rFonts w:eastAsia="Palatino Linotype" w:cs="Palatino Linotype"/>
          <w:i/>
          <w:iCs/>
          <w:color w:val="000000"/>
          <w:szCs w:val="24"/>
          <w:lang w:val="es-ES" w:eastAsia="es-ES"/>
        </w:rPr>
        <w:t>s</w:t>
      </w:r>
      <w:r w:rsidR="0094032A" w:rsidRPr="00E16CEB">
        <w:rPr>
          <w:rFonts w:eastAsia="Palatino Linotype" w:cs="Palatino Linotype"/>
          <w:i/>
          <w:iCs/>
          <w:color w:val="000000"/>
          <w:szCs w:val="24"/>
          <w:lang w:val="es-ES" w:eastAsia="es-ES"/>
        </w:rPr>
        <w:t xml:space="preserve"> </w:t>
      </w:r>
      <w:r w:rsidR="001A788F" w:rsidRPr="00E16CEB">
        <w:rPr>
          <w:rFonts w:eastAsia="Palatino Linotype" w:cs="Palatino Linotype"/>
          <w:i/>
          <w:iCs/>
          <w:color w:val="000000"/>
          <w:szCs w:val="24"/>
          <w:lang w:val="es-ES" w:eastAsia="es-ES"/>
        </w:rPr>
        <w:t xml:space="preserve">facturas pagadas </w:t>
      </w:r>
      <w:r w:rsidR="00C944A5" w:rsidRPr="00E16CEB">
        <w:rPr>
          <w:rFonts w:eastAsia="Palatino Linotype" w:cs="Palatino Linotype"/>
          <w:i/>
          <w:iCs/>
          <w:color w:val="000000"/>
          <w:szCs w:val="24"/>
          <w:lang w:val="es-ES" w:eastAsia="es-ES"/>
        </w:rPr>
        <w:t>por un monto mayo</w:t>
      </w:r>
      <w:r w:rsidR="005C4F9D" w:rsidRPr="00E16CEB">
        <w:rPr>
          <w:rFonts w:eastAsia="Palatino Linotype" w:cs="Palatino Linotype"/>
          <w:i/>
          <w:iCs/>
          <w:color w:val="000000"/>
          <w:szCs w:val="24"/>
          <w:lang w:val="es-ES" w:eastAsia="es-ES"/>
        </w:rPr>
        <w:t>r</w:t>
      </w:r>
      <w:r w:rsidR="00C944A5" w:rsidRPr="00E16CEB">
        <w:rPr>
          <w:rFonts w:eastAsia="Palatino Linotype" w:cs="Palatino Linotype"/>
          <w:i/>
          <w:iCs/>
          <w:color w:val="000000"/>
          <w:szCs w:val="24"/>
          <w:lang w:val="es-ES" w:eastAsia="es-ES"/>
        </w:rPr>
        <w:t xml:space="preserve"> a </w:t>
      </w:r>
      <w:r w:rsidR="001A788F" w:rsidRPr="00E16CEB">
        <w:rPr>
          <w:rFonts w:eastAsia="Palatino Linotype" w:cs="Palatino Linotype"/>
          <w:i/>
          <w:iCs/>
          <w:color w:val="000000"/>
          <w:szCs w:val="24"/>
          <w:lang w:val="es-ES" w:eastAsia="es-ES"/>
        </w:rPr>
        <w:t>$100 000.00 (</w:t>
      </w:r>
      <w:r w:rsidR="00E1575A" w:rsidRPr="00E16CEB">
        <w:rPr>
          <w:rFonts w:eastAsia="Palatino Linotype" w:cs="Palatino Linotype"/>
          <w:i/>
          <w:iCs/>
          <w:color w:val="000000"/>
          <w:szCs w:val="24"/>
          <w:lang w:val="es-ES" w:eastAsia="es-ES"/>
        </w:rPr>
        <w:t>cien mil</w:t>
      </w:r>
      <w:r w:rsidR="001A788F" w:rsidRPr="00E16CEB">
        <w:rPr>
          <w:rFonts w:eastAsia="Palatino Linotype" w:cs="Palatino Linotype"/>
          <w:i/>
          <w:iCs/>
          <w:color w:val="000000"/>
          <w:szCs w:val="24"/>
          <w:lang w:val="es-ES" w:eastAsia="es-ES"/>
        </w:rPr>
        <w:t xml:space="preserve"> pesos 00/100 M.N.) </w:t>
      </w:r>
      <w:r w:rsidR="00E1575A" w:rsidRPr="00E16CEB">
        <w:rPr>
          <w:rFonts w:eastAsia="Palatino Linotype" w:cs="Palatino Linotype"/>
          <w:i/>
          <w:iCs/>
          <w:color w:val="000000"/>
          <w:szCs w:val="24"/>
          <w:lang w:val="es-ES" w:eastAsia="es-ES"/>
        </w:rPr>
        <w:t>correspondientes al ejercicio fiscal 2025</w:t>
      </w:r>
      <w:r w:rsidR="00DF430D" w:rsidRPr="00E16CEB">
        <w:rPr>
          <w:rFonts w:eastAsia="Palatino Linotype" w:cs="Palatino Linotype"/>
          <w:i/>
          <w:iCs/>
          <w:color w:val="000000"/>
          <w:szCs w:val="24"/>
          <w:lang w:val="es-ES" w:eastAsia="es-ES"/>
        </w:rPr>
        <w:t>.</w:t>
      </w:r>
    </w:p>
    <w:p w14:paraId="5D3CABD2" w14:textId="77777777" w:rsidR="00637878" w:rsidRPr="00E16CEB" w:rsidRDefault="00637878" w:rsidP="00637878">
      <w:pPr>
        <w:pStyle w:val="NormalINFOEM"/>
        <w:rPr>
          <w:lang w:val="es-ES"/>
        </w:rPr>
      </w:pPr>
    </w:p>
    <w:p w14:paraId="455A0062" w14:textId="18D3DD39" w:rsidR="004161DA" w:rsidRPr="00E16CEB" w:rsidRDefault="00CE660F" w:rsidP="00637878">
      <w:pPr>
        <w:pStyle w:val="NormalINFOEM"/>
        <w:rPr>
          <w:szCs w:val="24"/>
        </w:rPr>
      </w:pPr>
      <w:r w:rsidRPr="00E16CEB">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0A1DAF4E" w14:textId="77777777" w:rsidR="009D3DA4" w:rsidRPr="00E16CEB" w:rsidRDefault="009D3DA4" w:rsidP="00637878">
      <w:pPr>
        <w:pStyle w:val="NormalINFOEM"/>
        <w:rPr>
          <w:szCs w:val="24"/>
        </w:rPr>
      </w:pPr>
    </w:p>
    <w:p w14:paraId="0BFBD801" w14:textId="343F5C80" w:rsidR="00581587" w:rsidRPr="00E16CEB" w:rsidRDefault="00581587" w:rsidP="00581587">
      <w:pPr>
        <w:pBdr>
          <w:top w:val="nil"/>
          <w:left w:val="nil"/>
          <w:bottom w:val="nil"/>
          <w:right w:val="nil"/>
          <w:between w:val="nil"/>
        </w:pBdr>
        <w:rPr>
          <w:rFonts w:eastAsia="Palatino Linotype" w:cs="Palatino Linotype"/>
          <w:color w:val="000000"/>
          <w:szCs w:val="24"/>
        </w:rPr>
      </w:pPr>
      <w:r w:rsidRPr="00E16CEB">
        <w:rPr>
          <w:rFonts w:eastAsia="Palatino Linotype" w:cs="Palatino Linotype"/>
          <w:b/>
          <w:color w:val="000000"/>
          <w:szCs w:val="24"/>
        </w:rPr>
        <w:t>TERCERO. Notifíquese</w:t>
      </w:r>
      <w:r w:rsidRPr="00E16CEB">
        <w:rPr>
          <w:rFonts w:eastAsia="Palatino Linotype" w:cs="Palatino Linotype"/>
          <w:b/>
          <w:i/>
          <w:color w:val="000000"/>
          <w:szCs w:val="24"/>
        </w:rPr>
        <w:t xml:space="preserve"> </w:t>
      </w:r>
      <w:r w:rsidRPr="00E16CEB">
        <w:rPr>
          <w:rFonts w:eastAsia="Palatino Linotype" w:cs="Palatino Linotype"/>
          <w:color w:val="000000"/>
          <w:szCs w:val="24"/>
        </w:rPr>
        <w:t xml:space="preserve">la presente resolución al Titular de la Unidad de Transparencia del Sujeto Obligado </w:t>
      </w:r>
      <w:r w:rsidR="0032659A" w:rsidRPr="00E16CEB">
        <w:rPr>
          <w:rFonts w:eastAsia="Palatino Linotype" w:cs="Palatino Linotype"/>
          <w:color w:val="000000"/>
          <w:szCs w:val="24"/>
        </w:rPr>
        <w:t xml:space="preserve">mediante el Sistema de Acceso a la Información Mexiquense (SAIMEX), </w:t>
      </w:r>
      <w:r w:rsidRPr="00E16CEB">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E16CEB"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E16CEB" w:rsidRDefault="00581587" w:rsidP="00581587">
      <w:pPr>
        <w:pBdr>
          <w:top w:val="nil"/>
          <w:left w:val="nil"/>
          <w:bottom w:val="nil"/>
          <w:right w:val="nil"/>
          <w:between w:val="nil"/>
        </w:pBdr>
        <w:rPr>
          <w:rFonts w:eastAsia="Palatino Linotype" w:cs="Palatino Linotype"/>
          <w:color w:val="000000"/>
          <w:szCs w:val="24"/>
        </w:rPr>
      </w:pPr>
      <w:r w:rsidRPr="00E16CEB">
        <w:rPr>
          <w:rFonts w:eastAsia="Palatino Linotype" w:cs="Palatino Linotype"/>
          <w:b/>
          <w:color w:val="000000"/>
          <w:szCs w:val="24"/>
        </w:rPr>
        <w:lastRenderedPageBreak/>
        <w:t xml:space="preserve">CUARTO. </w:t>
      </w:r>
      <w:r w:rsidRPr="00E16CEB">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E16CEB" w:rsidRDefault="00581587" w:rsidP="00581587">
      <w:pPr>
        <w:pBdr>
          <w:top w:val="nil"/>
          <w:left w:val="nil"/>
          <w:bottom w:val="nil"/>
          <w:right w:val="nil"/>
          <w:between w:val="nil"/>
        </w:pBdr>
        <w:rPr>
          <w:rFonts w:eastAsia="Palatino Linotype" w:cs="Palatino Linotype"/>
          <w:color w:val="000000"/>
          <w:szCs w:val="24"/>
        </w:rPr>
      </w:pPr>
    </w:p>
    <w:p w14:paraId="0DB49AA1" w14:textId="0205B58A" w:rsidR="00581587" w:rsidRPr="00E16CEB" w:rsidRDefault="00581587" w:rsidP="00581587">
      <w:pPr>
        <w:pBdr>
          <w:top w:val="nil"/>
          <w:left w:val="nil"/>
          <w:bottom w:val="nil"/>
          <w:right w:val="nil"/>
          <w:between w:val="nil"/>
        </w:pBdr>
        <w:rPr>
          <w:rFonts w:eastAsia="Palatino Linotype" w:cs="Palatino Linotype"/>
          <w:color w:val="000000"/>
          <w:szCs w:val="24"/>
        </w:rPr>
      </w:pPr>
      <w:r w:rsidRPr="00E16CEB">
        <w:rPr>
          <w:rFonts w:eastAsia="Palatino Linotype" w:cs="Palatino Linotype"/>
          <w:b/>
          <w:color w:val="000000"/>
          <w:szCs w:val="24"/>
        </w:rPr>
        <w:t xml:space="preserve">QUINTO. Notifíquese </w:t>
      </w:r>
      <w:r w:rsidRPr="00E16CEB">
        <w:rPr>
          <w:rFonts w:eastAsia="Palatino Linotype" w:cs="Palatino Linotype"/>
          <w:color w:val="000000"/>
          <w:szCs w:val="24"/>
        </w:rPr>
        <w:t>la presente resolución a</w:t>
      </w:r>
      <w:r w:rsidR="008A7F39" w:rsidRPr="00E16CEB">
        <w:rPr>
          <w:rFonts w:eastAsia="Palatino Linotype" w:cs="Palatino Linotype"/>
          <w:color w:val="000000"/>
          <w:szCs w:val="24"/>
        </w:rPr>
        <w:t>l Recurrente</w:t>
      </w:r>
      <w:r w:rsidRPr="00E16CEB">
        <w:rPr>
          <w:rFonts w:eastAsia="Palatino Linotype" w:cs="Palatino Linotype"/>
          <w:color w:val="000000"/>
          <w:szCs w:val="24"/>
        </w:rPr>
        <w:t xml:space="preserve"> mediante el Sistema de Acceso a la Información Mexiquense (SAIMEX)</w:t>
      </w:r>
      <w:r w:rsidR="00FB5BF2" w:rsidRPr="00E16CEB">
        <w:rPr>
          <w:rFonts w:eastAsia="Palatino Linotype" w:cs="Palatino Linotype"/>
          <w:color w:val="000000"/>
          <w:szCs w:val="24"/>
        </w:rPr>
        <w:t xml:space="preserve">, </w:t>
      </w:r>
      <w:r w:rsidRPr="00E16CEB">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E16CEB" w:rsidRDefault="00454915" w:rsidP="008F50E6">
      <w:pPr>
        <w:rPr>
          <w:szCs w:val="24"/>
        </w:rPr>
      </w:pPr>
    </w:p>
    <w:p w14:paraId="20573BFF" w14:textId="3B342C76" w:rsidR="00A970D5" w:rsidRPr="00E16CEB" w:rsidRDefault="00E16CEB" w:rsidP="003532D0">
      <w:pPr>
        <w:pBdr>
          <w:top w:val="nil"/>
          <w:left w:val="nil"/>
          <w:bottom w:val="nil"/>
          <w:right w:val="nil"/>
          <w:between w:val="nil"/>
        </w:pBdr>
        <w:contextualSpacing/>
        <w:rPr>
          <w:rFonts w:eastAsia="Palatino Linotype" w:cs="Palatino Linotype"/>
          <w:color w:val="000000"/>
          <w:szCs w:val="24"/>
        </w:rPr>
      </w:pPr>
      <w:r w:rsidRPr="00E16CEB">
        <w:rPr>
          <w:rFonts w:cs="Arial"/>
        </w:rPr>
        <w:t>ASÍ LO RESUELVE, POR UNANIMIDAD DE VOTOS, EL PLENO DEL</w:t>
      </w:r>
      <w:r w:rsidRPr="00E16CEB">
        <w:rPr>
          <w:rFonts w:eastAsia="Arial Unicode MS" w:cs="Arial"/>
        </w:rPr>
        <w:t xml:space="preserve"> INSTITUTO DE TRANSPARENCIA, ACCESO A LA INFORMACIÓN PÚBLICA Y PROTECCIÓN DE DATOS PERSONALES DEL ESTADO DE MÉXICO Y MUNICIPIOS</w:t>
      </w:r>
      <w:r w:rsidRPr="00E16CEB">
        <w:rPr>
          <w:rFonts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A970D5" w:rsidRPr="00E16CEB">
        <w:rPr>
          <w:rFonts w:eastAsia="Palatino Linotype" w:cs="Palatino Linotype"/>
          <w:color w:val="000000"/>
          <w:szCs w:val="24"/>
        </w:rPr>
        <w:t>.</w:t>
      </w:r>
      <w:r w:rsidR="001957CF" w:rsidRPr="00E16CEB">
        <w:rPr>
          <w:rFonts w:eastAsia="Palatino Linotype" w:cs="Palatino Linotype"/>
          <w:color w:val="000000"/>
          <w:szCs w:val="24"/>
        </w:rPr>
        <w:t>--------------</w:t>
      </w:r>
      <w:r w:rsidR="00C6512A" w:rsidRPr="00E16CEB">
        <w:rPr>
          <w:rFonts w:eastAsia="Palatino Linotype" w:cs="Palatino Linotype"/>
          <w:color w:val="000000"/>
          <w:szCs w:val="24"/>
        </w:rPr>
        <w:t>---------</w:t>
      </w:r>
      <w:r w:rsidR="00337FA1" w:rsidRPr="00E16CEB">
        <w:rPr>
          <w:rFonts w:eastAsia="Palatino Linotype" w:cs="Palatino Linotype"/>
          <w:color w:val="000000"/>
          <w:szCs w:val="24"/>
        </w:rPr>
        <w:t>-----</w:t>
      </w:r>
      <w:r w:rsidR="009033AE" w:rsidRPr="00E16CEB">
        <w:rPr>
          <w:rFonts w:eastAsia="Palatino Linotype" w:cs="Palatino Linotype"/>
          <w:color w:val="000000"/>
          <w:szCs w:val="24"/>
        </w:rPr>
        <w:t>-------------------------------------------------------------------------------------------------------------------</w:t>
      </w:r>
      <w:r w:rsidR="00C6457E" w:rsidRPr="00E16CEB">
        <w:rPr>
          <w:rFonts w:eastAsia="Palatino Linotype" w:cs="Palatino Linotype"/>
          <w:color w:val="000000"/>
          <w:szCs w:val="24"/>
        </w:rPr>
        <w:t>---------------------------------------------------------------------------------------------------------------------</w:t>
      </w:r>
      <w:r w:rsidR="00757731" w:rsidRPr="00E16CEB">
        <w:rPr>
          <w:rFonts w:eastAsia="Palatino Linotype" w:cs="Palatino Linotype"/>
          <w:color w:val="000000"/>
          <w:szCs w:val="24"/>
        </w:rPr>
        <w:t>--------------------------------------------------------</w:t>
      </w:r>
      <w:r w:rsidR="00154293" w:rsidRPr="00E16CEB">
        <w:rPr>
          <w:rFonts w:eastAsia="Palatino Linotype" w:cs="Palatino Linotype"/>
          <w:color w:val="000000"/>
          <w:szCs w:val="24"/>
        </w:rPr>
        <w:t>-----------------------------</w:t>
      </w:r>
      <w:r w:rsidR="00757731" w:rsidRPr="00E16CEB">
        <w:rPr>
          <w:rFonts w:eastAsia="Palatino Linotype" w:cs="Palatino Linotype"/>
          <w:color w:val="000000"/>
          <w:szCs w:val="24"/>
        </w:rPr>
        <w:t>--------------------</w:t>
      </w:r>
    </w:p>
    <w:p w14:paraId="4DA57669" w14:textId="77777777"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E16CEB">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26FDC" w14:textId="77777777" w:rsidR="00C170E1" w:rsidRDefault="00C170E1" w:rsidP="00F2498E">
      <w:pPr>
        <w:spacing w:line="240" w:lineRule="auto"/>
      </w:pPr>
      <w:r>
        <w:separator/>
      </w:r>
    </w:p>
  </w:endnote>
  <w:endnote w:type="continuationSeparator" w:id="0">
    <w:p w14:paraId="0B97FC60" w14:textId="77777777" w:rsidR="00C170E1" w:rsidRDefault="00C170E1" w:rsidP="00F2498E">
      <w:pPr>
        <w:spacing w:line="240" w:lineRule="auto"/>
      </w:pPr>
      <w:r>
        <w:continuationSeparator/>
      </w:r>
    </w:p>
  </w:endnote>
  <w:endnote w:type="continuationNotice" w:id="1">
    <w:p w14:paraId="4A7400F0" w14:textId="77777777" w:rsidR="00C170E1" w:rsidRDefault="00C17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F7D62">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F7D62">
      <w:rPr>
        <w:rFonts w:ascii="Palatino Linotype" w:hAnsi="Palatino Linotype"/>
        <w:b/>
        <w:bCs/>
        <w:noProof/>
        <w:sz w:val="20"/>
      </w:rPr>
      <w:t>33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F7D6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F7D62">
      <w:rPr>
        <w:rFonts w:ascii="Palatino Linotype" w:hAnsi="Palatino Linotype"/>
        <w:b/>
        <w:bCs/>
        <w:noProof/>
        <w:sz w:val="20"/>
      </w:rPr>
      <w:t>33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0594E" w14:textId="77777777" w:rsidR="00C170E1" w:rsidRDefault="00C170E1" w:rsidP="00F2498E">
      <w:pPr>
        <w:spacing w:line="240" w:lineRule="auto"/>
      </w:pPr>
      <w:r>
        <w:separator/>
      </w:r>
    </w:p>
  </w:footnote>
  <w:footnote w:type="continuationSeparator" w:id="0">
    <w:p w14:paraId="191FB73C" w14:textId="77777777" w:rsidR="00C170E1" w:rsidRDefault="00C170E1" w:rsidP="00F2498E">
      <w:pPr>
        <w:spacing w:line="240" w:lineRule="auto"/>
      </w:pPr>
      <w:r>
        <w:continuationSeparator/>
      </w:r>
    </w:p>
  </w:footnote>
  <w:footnote w:type="continuationNotice" w:id="1">
    <w:p w14:paraId="57A206B4" w14:textId="77777777" w:rsidR="00C170E1" w:rsidRDefault="00C170E1">
      <w:pPr>
        <w:spacing w:line="240" w:lineRule="auto"/>
      </w:pPr>
    </w:p>
  </w:footnote>
  <w:footnote w:id="2">
    <w:p w14:paraId="48CADB97"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BC1A3A" w:rsidRPr="0031280C" w:rsidRDefault="00BC1A3A"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BC1A3A" w:rsidRPr="0031280C" w:rsidRDefault="00BC1A3A"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05B201DA" w14:textId="293834B9" w:rsidR="00A33018" w:rsidRDefault="00A33018">
      <w:pPr>
        <w:pStyle w:val="Textonotapie"/>
      </w:pPr>
      <w:r>
        <w:rPr>
          <w:rStyle w:val="Refdenotaalpie"/>
        </w:rPr>
        <w:footnoteRef/>
      </w:r>
      <w:r>
        <w:t xml:space="preserve"> </w:t>
      </w:r>
      <w:r w:rsidR="00DA45D3">
        <w:t xml:space="preserve">Consultado el cuatro de junio de dos mil veintiséis en la página </w:t>
      </w:r>
      <w:hyperlink r:id="rId3" w:anchor="/info-fraccion/32/130/12" w:history="1">
        <w:r w:rsidR="00DA45D3" w:rsidRPr="0096112C">
          <w:rPr>
            <w:rStyle w:val="Hipervnculo"/>
          </w:rPr>
          <w:t>https://ipomex.org.mx/ipomex/#/info-fraccion/32/130/12</w:t>
        </w:r>
      </w:hyperlink>
      <w:r w:rsidR="00DA45D3">
        <w:t xml:space="preserve"> </w:t>
      </w:r>
    </w:p>
  </w:footnote>
  <w:footnote w:id="4">
    <w:p w14:paraId="28C69E11" w14:textId="77777777" w:rsidR="00093922" w:rsidRPr="00FC64D4" w:rsidRDefault="00093922" w:rsidP="00093922">
      <w:pPr>
        <w:pStyle w:val="Textonotapie"/>
        <w:rPr>
          <w:sz w:val="18"/>
        </w:rPr>
      </w:pPr>
      <w:r w:rsidRPr="00FC64D4">
        <w:rPr>
          <w:rStyle w:val="Refdenotaalpie"/>
          <w:sz w:val="18"/>
        </w:rPr>
        <w:footnoteRef/>
      </w:r>
      <w:r w:rsidRPr="00FC64D4">
        <w:rPr>
          <w:sz w:val="18"/>
        </w:rPr>
        <w:t xml:space="preserve"> Tesis VI.2o. J/43</w:t>
      </w:r>
      <w:r>
        <w:rPr>
          <w:sz w:val="18"/>
        </w:rPr>
        <w:t xml:space="preserve">, </w:t>
      </w:r>
      <w:r>
        <w:rPr>
          <w:i/>
          <w:sz w:val="18"/>
        </w:rPr>
        <w:t>Semanario Judicial de la Federación y su Gaceta</w:t>
      </w:r>
      <w:r>
        <w:rPr>
          <w:sz w:val="18"/>
        </w:rPr>
        <w:t>, Novena Época, Tomo III, marzo de 1996, pág. 769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C1A3A" w:rsidRDefault="00BC1A3A">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rsidRPr="00B17577" w14:paraId="37B9EBDE" w14:textId="77777777" w:rsidTr="226BB7D0">
      <w:trPr>
        <w:trHeight w:val="227"/>
      </w:trPr>
      <w:tc>
        <w:tcPr>
          <w:tcW w:w="5103" w:type="dxa"/>
          <w:hideMark/>
        </w:tcPr>
        <w:p w14:paraId="4964FBC5" w14:textId="54CDA645" w:rsidR="00BC1A3A" w:rsidRPr="00096248" w:rsidRDefault="00BC1A3A"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08928880" w:rsidR="00BC1A3A" w:rsidRPr="00096248" w:rsidRDefault="001E35CF" w:rsidP="00011C4D">
          <w:pPr>
            <w:spacing w:after="120" w:line="240" w:lineRule="auto"/>
            <w:ind w:right="71"/>
            <w:jc w:val="right"/>
            <w:rPr>
              <w:rFonts w:cs="Arial"/>
              <w:b/>
              <w:szCs w:val="24"/>
            </w:rPr>
          </w:pPr>
          <w:r>
            <w:rPr>
              <w:rFonts w:cs="Arial"/>
              <w:b/>
              <w:bCs/>
              <w:szCs w:val="24"/>
            </w:rPr>
            <w:t>03060/INFOEM/IP/RR/2026</w:t>
          </w:r>
        </w:p>
      </w:tc>
    </w:tr>
    <w:tr w:rsidR="00BC1A3A" w14:paraId="7591D3C9" w14:textId="77777777" w:rsidTr="226BB7D0">
      <w:trPr>
        <w:trHeight w:val="242"/>
      </w:trPr>
      <w:tc>
        <w:tcPr>
          <w:tcW w:w="5103" w:type="dxa"/>
          <w:hideMark/>
        </w:tcPr>
        <w:p w14:paraId="729A65A8" w14:textId="77777777" w:rsidR="00BC1A3A" w:rsidRPr="00096248" w:rsidRDefault="00BC1A3A"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5B7D2115" w:rsidR="00BC1A3A" w:rsidRPr="00096248" w:rsidRDefault="00971B7B" w:rsidP="226BB7D0">
          <w:pPr>
            <w:spacing w:after="120" w:line="240" w:lineRule="auto"/>
            <w:ind w:left="-81" w:right="71"/>
            <w:jc w:val="right"/>
            <w:rPr>
              <w:rFonts w:cs="Arial"/>
              <w:lang w:val="es-ES"/>
            </w:rPr>
          </w:pPr>
          <w:r>
            <w:rPr>
              <w:rFonts w:cs="Arial"/>
              <w:lang w:val="es-ES"/>
            </w:rPr>
            <w:t>Ayuntamiento de Ixtapaluca</w:t>
          </w:r>
        </w:p>
      </w:tc>
    </w:tr>
    <w:tr w:rsidR="00BC1A3A" w:rsidRPr="00F63239" w14:paraId="037E914D" w14:textId="77777777" w:rsidTr="226BB7D0">
      <w:trPr>
        <w:trHeight w:val="342"/>
      </w:trPr>
      <w:tc>
        <w:tcPr>
          <w:tcW w:w="5103" w:type="dxa"/>
          <w:hideMark/>
        </w:tcPr>
        <w:p w14:paraId="7676B68F" w14:textId="64D69EAF" w:rsidR="00BC1A3A" w:rsidRPr="00096248" w:rsidRDefault="00BC1A3A"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C1A3A" w:rsidRDefault="00BC1A3A"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C1A3A" w:rsidRPr="00711916" w:rsidRDefault="00BC1A3A" w:rsidP="00011C4D">
          <w:pPr>
            <w:spacing w:after="120" w:line="240" w:lineRule="auto"/>
            <w:ind w:left="-486" w:right="71" w:firstLine="567"/>
            <w:jc w:val="right"/>
            <w:rPr>
              <w:rFonts w:cs="Arial"/>
              <w:sz w:val="2"/>
              <w:szCs w:val="2"/>
            </w:rPr>
          </w:pPr>
        </w:p>
      </w:tc>
    </w:tr>
  </w:tbl>
  <w:p w14:paraId="2998DBFD" w14:textId="25A9F426" w:rsidR="00BC1A3A" w:rsidRPr="00871A91" w:rsidRDefault="00BC1A3A">
    <w:pPr>
      <w:pStyle w:val="Encabezado"/>
      <w:rPr>
        <w:sz w:val="2"/>
      </w:rPr>
    </w:pPr>
    <w:r>
      <w:rPr>
        <w:noProof/>
        <w:lang w:val="es-MX" w:eastAsia="es-MX"/>
      </w:rPr>
      <w:drawing>
        <wp:anchor distT="0" distB="0" distL="114300" distR="114300" simplePos="0" relativeHeight="251658241" behindDoc="1" locked="0" layoutInCell="0" allowOverlap="1" wp14:anchorId="0EB6CA90" wp14:editId="43B04525">
          <wp:simplePos x="0" y="0"/>
          <wp:positionH relativeFrom="margin">
            <wp:posOffset>-1040765</wp:posOffset>
          </wp:positionH>
          <wp:positionV relativeFrom="margin">
            <wp:posOffset>-1818005</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14:paraId="0F9FE9B6" w14:textId="77777777" w:rsidTr="226BB7D0">
      <w:trPr>
        <w:trHeight w:val="227"/>
      </w:trPr>
      <w:tc>
        <w:tcPr>
          <w:tcW w:w="5103" w:type="dxa"/>
          <w:hideMark/>
        </w:tcPr>
        <w:p w14:paraId="6D1D9D71" w14:textId="11150E5A" w:rsidR="00BC1A3A" w:rsidRPr="00663A37" w:rsidRDefault="00BC1A3A"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12CA0BAF" w:rsidR="00BC1A3A" w:rsidRPr="00C81ECD" w:rsidRDefault="001E35CF" w:rsidP="00011C4D">
          <w:pPr>
            <w:spacing w:after="120" w:line="240" w:lineRule="auto"/>
            <w:ind w:left="-486" w:right="68" w:firstLine="558"/>
            <w:jc w:val="right"/>
            <w:rPr>
              <w:rFonts w:cs="Arial"/>
              <w:b/>
              <w:szCs w:val="24"/>
            </w:rPr>
          </w:pPr>
          <w:r>
            <w:rPr>
              <w:rFonts w:cs="Arial"/>
              <w:b/>
              <w:bCs/>
              <w:szCs w:val="24"/>
            </w:rPr>
            <w:t>03060/INFOEM/IP/RR/2026</w:t>
          </w:r>
        </w:p>
      </w:tc>
    </w:tr>
    <w:tr w:rsidR="00BC1A3A" w:rsidRPr="001F57CD" w14:paraId="1377D264" w14:textId="77777777" w:rsidTr="226BB7D0">
      <w:trPr>
        <w:trHeight w:val="196"/>
      </w:trPr>
      <w:tc>
        <w:tcPr>
          <w:tcW w:w="5103" w:type="dxa"/>
          <w:hideMark/>
        </w:tcPr>
        <w:p w14:paraId="04D597A1" w14:textId="77777777" w:rsidR="00BC1A3A" w:rsidRPr="00663A37" w:rsidRDefault="00BC1A3A"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46106CEA" w:rsidR="00BC1A3A" w:rsidRPr="00663A37" w:rsidRDefault="00AF7D62" w:rsidP="70652167">
          <w:pPr>
            <w:spacing w:after="120" w:line="240" w:lineRule="auto"/>
            <w:ind w:right="68"/>
            <w:jc w:val="right"/>
            <w:rPr>
              <w:rFonts w:cs="Arial"/>
              <w:lang w:val="es-ES"/>
            </w:rPr>
          </w:pPr>
          <w:r>
            <w:rPr>
              <w:rFonts w:cs="Arial"/>
              <w:lang w:val="es-ES"/>
            </w:rPr>
            <w:t>XXXXXXXXXXXX</w:t>
          </w:r>
        </w:p>
      </w:tc>
    </w:tr>
    <w:tr w:rsidR="00BC1A3A" w14:paraId="4DC11993" w14:textId="77777777" w:rsidTr="226BB7D0">
      <w:trPr>
        <w:trHeight w:val="242"/>
      </w:trPr>
      <w:tc>
        <w:tcPr>
          <w:tcW w:w="5103" w:type="dxa"/>
          <w:hideMark/>
        </w:tcPr>
        <w:p w14:paraId="76CEF1B5" w14:textId="77777777" w:rsidR="00BC1A3A" w:rsidRPr="00663A37" w:rsidRDefault="00BC1A3A"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72D64B4" w:rsidR="00BC1A3A" w:rsidRPr="00663A37" w:rsidRDefault="00971B7B" w:rsidP="226BB7D0">
          <w:pPr>
            <w:spacing w:after="120" w:line="240" w:lineRule="auto"/>
            <w:ind w:left="-70" w:right="68"/>
            <w:jc w:val="right"/>
            <w:rPr>
              <w:rFonts w:cs="Arial"/>
              <w:lang w:val="es-ES"/>
            </w:rPr>
          </w:pPr>
          <w:r>
            <w:rPr>
              <w:rFonts w:cs="Arial"/>
              <w:lang w:val="es-ES"/>
            </w:rPr>
            <w:t>Ayuntamiento de Ixtapaluca</w:t>
          </w:r>
        </w:p>
      </w:tc>
    </w:tr>
    <w:tr w:rsidR="00BC1A3A" w14:paraId="5C2B511D" w14:textId="77777777" w:rsidTr="226BB7D0">
      <w:trPr>
        <w:trHeight w:val="342"/>
      </w:trPr>
      <w:tc>
        <w:tcPr>
          <w:tcW w:w="5103" w:type="dxa"/>
          <w:hideMark/>
        </w:tcPr>
        <w:p w14:paraId="03FEF68C" w14:textId="45E91CF4" w:rsidR="00BC1A3A" w:rsidRPr="00663A37" w:rsidRDefault="00BC1A3A"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C1A3A" w:rsidRPr="00663A37" w:rsidRDefault="00BC1A3A"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C1A3A" w:rsidRPr="00871A91" w:rsidRDefault="00BC1A3A">
    <w:pPr>
      <w:pStyle w:val="Encabezado"/>
      <w:rPr>
        <w:sz w:val="2"/>
      </w:rPr>
    </w:pPr>
    <w:r>
      <w:rPr>
        <w:noProof/>
        <w:lang w:val="es-MX" w:eastAsia="es-MX"/>
      </w:rPr>
      <w:drawing>
        <wp:anchor distT="0" distB="0" distL="114300" distR="114300" simplePos="0" relativeHeight="251658242" behindDoc="1" locked="0" layoutInCell="0" allowOverlap="1" wp14:anchorId="4E26ED4E" wp14:editId="35962251">
          <wp:simplePos x="0" y="0"/>
          <wp:positionH relativeFrom="margin">
            <wp:posOffset>-1029190</wp:posOffset>
          </wp:positionH>
          <wp:positionV relativeFrom="margin">
            <wp:posOffset>-1804035</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82239AC"/>
    <w:multiLevelType w:val="multilevel"/>
    <w:tmpl w:val="17907434"/>
    <w:lvl w:ilvl="0">
      <w:start w:val="1"/>
      <w:numFmt w:val="bullet"/>
      <w:lvlText w:val=""/>
      <w:lvlJc w:val="left"/>
      <w:pPr>
        <w:ind w:left="709" w:hanging="425"/>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5C494F"/>
    <w:multiLevelType w:val="multilevel"/>
    <w:tmpl w:val="78BC379E"/>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9A53B26"/>
    <w:multiLevelType w:val="multilevel"/>
    <w:tmpl w:val="5F0CB41E"/>
    <w:styleLink w:val="Listaactual48"/>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C812E1"/>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9"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0"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F945B5B"/>
    <w:multiLevelType w:val="multilevel"/>
    <w:tmpl w:val="CCDA4C54"/>
    <w:styleLink w:val="Listaactual49"/>
    <w:lvl w:ilvl="0">
      <w:start w:val="1"/>
      <w:numFmt w:val="bullet"/>
      <w:lvlText w:val=""/>
      <w:lvlJc w:val="left"/>
      <w:pPr>
        <w:ind w:left="644" w:hanging="360"/>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6"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0"/>
  </w:num>
  <w:num w:numId="2">
    <w:abstractNumId w:val="44"/>
  </w:num>
  <w:num w:numId="3">
    <w:abstractNumId w:val="17"/>
  </w:num>
  <w:num w:numId="4">
    <w:abstractNumId w:val="56"/>
  </w:num>
  <w:num w:numId="5">
    <w:abstractNumId w:val="7"/>
  </w:num>
  <w:num w:numId="6">
    <w:abstractNumId w:val="47"/>
  </w:num>
  <w:num w:numId="7">
    <w:abstractNumId w:val="14"/>
  </w:num>
  <w:num w:numId="8">
    <w:abstractNumId w:val="4"/>
  </w:num>
  <w:num w:numId="9">
    <w:abstractNumId w:val="25"/>
  </w:num>
  <w:num w:numId="10">
    <w:abstractNumId w:val="26"/>
  </w:num>
  <w:num w:numId="11">
    <w:abstractNumId w:val="63"/>
  </w:num>
  <w:num w:numId="12">
    <w:abstractNumId w:val="54"/>
  </w:num>
  <w:num w:numId="13">
    <w:abstractNumId w:val="36"/>
  </w:num>
  <w:num w:numId="14">
    <w:abstractNumId w:val="43"/>
  </w:num>
  <w:num w:numId="15">
    <w:abstractNumId w:val="22"/>
  </w:num>
  <w:num w:numId="16">
    <w:abstractNumId w:val="35"/>
  </w:num>
  <w:num w:numId="17">
    <w:abstractNumId w:val="20"/>
  </w:num>
  <w:num w:numId="18">
    <w:abstractNumId w:val="9"/>
  </w:num>
  <w:num w:numId="19">
    <w:abstractNumId w:val="10"/>
  </w:num>
  <w:num w:numId="20">
    <w:abstractNumId w:val="18"/>
  </w:num>
  <w:num w:numId="21">
    <w:abstractNumId w:val="30"/>
  </w:num>
  <w:num w:numId="22">
    <w:abstractNumId w:val="3"/>
  </w:num>
  <w:num w:numId="23">
    <w:abstractNumId w:val="41"/>
  </w:num>
  <w:num w:numId="24">
    <w:abstractNumId w:val="46"/>
  </w:num>
  <w:num w:numId="25">
    <w:abstractNumId w:val="55"/>
  </w:num>
  <w:num w:numId="26">
    <w:abstractNumId w:val="24"/>
  </w:num>
  <w:num w:numId="27">
    <w:abstractNumId w:val="51"/>
  </w:num>
  <w:num w:numId="28">
    <w:abstractNumId w:val="33"/>
  </w:num>
  <w:num w:numId="29">
    <w:abstractNumId w:val="28"/>
  </w:num>
  <w:num w:numId="30">
    <w:abstractNumId w:val="21"/>
  </w:num>
  <w:num w:numId="31">
    <w:abstractNumId w:val="42"/>
  </w:num>
  <w:num w:numId="32">
    <w:abstractNumId w:val="45"/>
  </w:num>
  <w:num w:numId="33">
    <w:abstractNumId w:val="8"/>
  </w:num>
  <w:num w:numId="34">
    <w:abstractNumId w:val="60"/>
  </w:num>
  <w:num w:numId="35">
    <w:abstractNumId w:val="66"/>
  </w:num>
  <w:num w:numId="36">
    <w:abstractNumId w:val="53"/>
  </w:num>
  <w:num w:numId="37">
    <w:abstractNumId w:val="11"/>
  </w:num>
  <w:num w:numId="38">
    <w:abstractNumId w:val="52"/>
  </w:num>
  <w:num w:numId="39">
    <w:abstractNumId w:val="12"/>
  </w:num>
  <w:num w:numId="40">
    <w:abstractNumId w:val="50"/>
  </w:num>
  <w:num w:numId="41">
    <w:abstractNumId w:val="59"/>
  </w:num>
  <w:num w:numId="42">
    <w:abstractNumId w:val="0"/>
  </w:num>
  <w:num w:numId="43">
    <w:abstractNumId w:val="2"/>
  </w:num>
  <w:num w:numId="44">
    <w:abstractNumId w:val="34"/>
  </w:num>
  <w:num w:numId="45">
    <w:abstractNumId w:val="23"/>
  </w:num>
  <w:num w:numId="46">
    <w:abstractNumId w:val="61"/>
  </w:num>
  <w:num w:numId="47">
    <w:abstractNumId w:val="32"/>
  </w:num>
  <w:num w:numId="48">
    <w:abstractNumId w:val="67"/>
  </w:num>
  <w:num w:numId="49">
    <w:abstractNumId w:val="13"/>
  </w:num>
  <w:num w:numId="50">
    <w:abstractNumId w:val="27"/>
  </w:num>
  <w:num w:numId="51">
    <w:abstractNumId w:val="1"/>
  </w:num>
  <w:num w:numId="52">
    <w:abstractNumId w:val="64"/>
  </w:num>
  <w:num w:numId="53">
    <w:abstractNumId w:val="57"/>
  </w:num>
  <w:num w:numId="54">
    <w:abstractNumId w:val="6"/>
  </w:num>
  <w:num w:numId="55">
    <w:abstractNumId w:val="39"/>
  </w:num>
  <w:num w:numId="56">
    <w:abstractNumId w:val="16"/>
  </w:num>
  <w:num w:numId="57">
    <w:abstractNumId w:val="19"/>
  </w:num>
  <w:num w:numId="58">
    <w:abstractNumId w:val="38"/>
  </w:num>
  <w:num w:numId="59">
    <w:abstractNumId w:val="29"/>
  </w:num>
  <w:num w:numId="60">
    <w:abstractNumId w:val="62"/>
  </w:num>
  <w:num w:numId="61">
    <w:abstractNumId w:val="37"/>
  </w:num>
  <w:num w:numId="62">
    <w:abstractNumId w:val="65"/>
  </w:num>
  <w:num w:numId="63">
    <w:abstractNumId w:val="49"/>
  </w:num>
  <w:num w:numId="64">
    <w:abstractNumId w:val="5"/>
  </w:num>
  <w:num w:numId="65">
    <w:abstractNumId w:val="15"/>
  </w:num>
  <w:num w:numId="66">
    <w:abstractNumId w:val="31"/>
  </w:num>
  <w:num w:numId="67">
    <w:abstractNumId w:val="48"/>
  </w:num>
  <w:num w:numId="68">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4CA"/>
    <w:rsid w:val="00001589"/>
    <w:rsid w:val="00001817"/>
    <w:rsid w:val="000024F0"/>
    <w:rsid w:val="00002C6A"/>
    <w:rsid w:val="00003412"/>
    <w:rsid w:val="000034AA"/>
    <w:rsid w:val="000037B8"/>
    <w:rsid w:val="00003F45"/>
    <w:rsid w:val="00004014"/>
    <w:rsid w:val="00004465"/>
    <w:rsid w:val="00004479"/>
    <w:rsid w:val="00004B62"/>
    <w:rsid w:val="00004E71"/>
    <w:rsid w:val="00005965"/>
    <w:rsid w:val="0000614F"/>
    <w:rsid w:val="0000665B"/>
    <w:rsid w:val="00007234"/>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A6D"/>
    <w:rsid w:val="00025560"/>
    <w:rsid w:val="00025773"/>
    <w:rsid w:val="00026582"/>
    <w:rsid w:val="00027CC1"/>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5D49"/>
    <w:rsid w:val="0003692B"/>
    <w:rsid w:val="000369F1"/>
    <w:rsid w:val="00036D5F"/>
    <w:rsid w:val="00036EFC"/>
    <w:rsid w:val="00037938"/>
    <w:rsid w:val="00040A10"/>
    <w:rsid w:val="00041421"/>
    <w:rsid w:val="00041670"/>
    <w:rsid w:val="000417BE"/>
    <w:rsid w:val="00041AE7"/>
    <w:rsid w:val="00041C7A"/>
    <w:rsid w:val="00041DEA"/>
    <w:rsid w:val="0004275B"/>
    <w:rsid w:val="000429D8"/>
    <w:rsid w:val="00042C8A"/>
    <w:rsid w:val="00042C95"/>
    <w:rsid w:val="00043780"/>
    <w:rsid w:val="00043DF8"/>
    <w:rsid w:val="00043E37"/>
    <w:rsid w:val="00043FE1"/>
    <w:rsid w:val="000452AA"/>
    <w:rsid w:val="00045F86"/>
    <w:rsid w:val="00046717"/>
    <w:rsid w:val="0004675D"/>
    <w:rsid w:val="00046A15"/>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34A0"/>
    <w:rsid w:val="00064009"/>
    <w:rsid w:val="000640DA"/>
    <w:rsid w:val="000643FB"/>
    <w:rsid w:val="000647FF"/>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35A"/>
    <w:rsid w:val="0008134D"/>
    <w:rsid w:val="00081F52"/>
    <w:rsid w:val="00082E5D"/>
    <w:rsid w:val="00083498"/>
    <w:rsid w:val="00083BFA"/>
    <w:rsid w:val="0008496A"/>
    <w:rsid w:val="00084D1A"/>
    <w:rsid w:val="000853F9"/>
    <w:rsid w:val="0008591E"/>
    <w:rsid w:val="00085EA2"/>
    <w:rsid w:val="000861C4"/>
    <w:rsid w:val="0008628E"/>
    <w:rsid w:val="000864CC"/>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922"/>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5F69"/>
    <w:rsid w:val="000A6945"/>
    <w:rsid w:val="000A6F53"/>
    <w:rsid w:val="000A7D80"/>
    <w:rsid w:val="000B0346"/>
    <w:rsid w:val="000B117C"/>
    <w:rsid w:val="000B1F27"/>
    <w:rsid w:val="000B2390"/>
    <w:rsid w:val="000B266E"/>
    <w:rsid w:val="000B28CF"/>
    <w:rsid w:val="000B29E0"/>
    <w:rsid w:val="000B350D"/>
    <w:rsid w:val="000B4159"/>
    <w:rsid w:val="000B4193"/>
    <w:rsid w:val="000B491D"/>
    <w:rsid w:val="000B503C"/>
    <w:rsid w:val="000B51CE"/>
    <w:rsid w:val="000B5296"/>
    <w:rsid w:val="000B5608"/>
    <w:rsid w:val="000B5690"/>
    <w:rsid w:val="000B65C3"/>
    <w:rsid w:val="000B74FB"/>
    <w:rsid w:val="000C0203"/>
    <w:rsid w:val="000C066A"/>
    <w:rsid w:val="000C0E5D"/>
    <w:rsid w:val="000C0F27"/>
    <w:rsid w:val="000C2504"/>
    <w:rsid w:val="000C2661"/>
    <w:rsid w:val="000C2D59"/>
    <w:rsid w:val="000C2E3B"/>
    <w:rsid w:val="000C3494"/>
    <w:rsid w:val="000C416A"/>
    <w:rsid w:val="000C500D"/>
    <w:rsid w:val="000C51AF"/>
    <w:rsid w:val="000C539D"/>
    <w:rsid w:val="000C568A"/>
    <w:rsid w:val="000C5E62"/>
    <w:rsid w:val="000C5F35"/>
    <w:rsid w:val="000C661C"/>
    <w:rsid w:val="000C703C"/>
    <w:rsid w:val="000C7472"/>
    <w:rsid w:val="000C7801"/>
    <w:rsid w:val="000C7BF9"/>
    <w:rsid w:val="000C7C21"/>
    <w:rsid w:val="000C7EB6"/>
    <w:rsid w:val="000C7F8F"/>
    <w:rsid w:val="000D08A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2E70"/>
    <w:rsid w:val="000F367A"/>
    <w:rsid w:val="000F3D79"/>
    <w:rsid w:val="000F44C1"/>
    <w:rsid w:val="000F4958"/>
    <w:rsid w:val="000F547D"/>
    <w:rsid w:val="000F54F6"/>
    <w:rsid w:val="000F5FFE"/>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17ED0"/>
    <w:rsid w:val="00121552"/>
    <w:rsid w:val="00121842"/>
    <w:rsid w:val="00121B19"/>
    <w:rsid w:val="00121F46"/>
    <w:rsid w:val="001235A0"/>
    <w:rsid w:val="00123D0B"/>
    <w:rsid w:val="00124B26"/>
    <w:rsid w:val="0012508E"/>
    <w:rsid w:val="00130C18"/>
    <w:rsid w:val="00131C40"/>
    <w:rsid w:val="00131C6C"/>
    <w:rsid w:val="00131F2D"/>
    <w:rsid w:val="001321ED"/>
    <w:rsid w:val="00132BAB"/>
    <w:rsid w:val="00133F26"/>
    <w:rsid w:val="001344F4"/>
    <w:rsid w:val="0013462D"/>
    <w:rsid w:val="001360B8"/>
    <w:rsid w:val="0013657B"/>
    <w:rsid w:val="00136A94"/>
    <w:rsid w:val="00137304"/>
    <w:rsid w:val="00137807"/>
    <w:rsid w:val="00140181"/>
    <w:rsid w:val="0014092A"/>
    <w:rsid w:val="00140A63"/>
    <w:rsid w:val="00141359"/>
    <w:rsid w:val="00142AF7"/>
    <w:rsid w:val="00142D35"/>
    <w:rsid w:val="00142D3B"/>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293"/>
    <w:rsid w:val="00154B4E"/>
    <w:rsid w:val="00154F75"/>
    <w:rsid w:val="00155CC6"/>
    <w:rsid w:val="00155CDF"/>
    <w:rsid w:val="00155F53"/>
    <w:rsid w:val="001564E3"/>
    <w:rsid w:val="00156699"/>
    <w:rsid w:val="001568D5"/>
    <w:rsid w:val="00156DAA"/>
    <w:rsid w:val="00156F4D"/>
    <w:rsid w:val="00157491"/>
    <w:rsid w:val="00157C91"/>
    <w:rsid w:val="00157D2B"/>
    <w:rsid w:val="00160608"/>
    <w:rsid w:val="001608D3"/>
    <w:rsid w:val="00161D85"/>
    <w:rsid w:val="001624E8"/>
    <w:rsid w:val="0016322B"/>
    <w:rsid w:val="0016339A"/>
    <w:rsid w:val="0016392B"/>
    <w:rsid w:val="001641EC"/>
    <w:rsid w:val="001643F2"/>
    <w:rsid w:val="00165898"/>
    <w:rsid w:val="00165CA1"/>
    <w:rsid w:val="00165E57"/>
    <w:rsid w:val="00166171"/>
    <w:rsid w:val="001666D5"/>
    <w:rsid w:val="001666D8"/>
    <w:rsid w:val="00166D47"/>
    <w:rsid w:val="00166F52"/>
    <w:rsid w:val="00167291"/>
    <w:rsid w:val="00167DF0"/>
    <w:rsid w:val="00171192"/>
    <w:rsid w:val="00171AAD"/>
    <w:rsid w:val="00171BBC"/>
    <w:rsid w:val="00171CF4"/>
    <w:rsid w:val="00171F77"/>
    <w:rsid w:val="0017292D"/>
    <w:rsid w:val="00172A87"/>
    <w:rsid w:val="00173E10"/>
    <w:rsid w:val="001748CB"/>
    <w:rsid w:val="0017523B"/>
    <w:rsid w:val="00175765"/>
    <w:rsid w:val="00175B42"/>
    <w:rsid w:val="0017606D"/>
    <w:rsid w:val="0017633C"/>
    <w:rsid w:val="00176522"/>
    <w:rsid w:val="00176CA8"/>
    <w:rsid w:val="0017702B"/>
    <w:rsid w:val="00177325"/>
    <w:rsid w:val="00177591"/>
    <w:rsid w:val="00177C5F"/>
    <w:rsid w:val="00177F85"/>
    <w:rsid w:val="001809A8"/>
    <w:rsid w:val="00180C5F"/>
    <w:rsid w:val="001819E8"/>
    <w:rsid w:val="00181A06"/>
    <w:rsid w:val="00181A9D"/>
    <w:rsid w:val="001823E3"/>
    <w:rsid w:val="00182CDB"/>
    <w:rsid w:val="00182FC0"/>
    <w:rsid w:val="001834D9"/>
    <w:rsid w:val="00183990"/>
    <w:rsid w:val="00183F45"/>
    <w:rsid w:val="00184AEA"/>
    <w:rsid w:val="0018577B"/>
    <w:rsid w:val="00185C61"/>
    <w:rsid w:val="0018697B"/>
    <w:rsid w:val="00186A90"/>
    <w:rsid w:val="00186D1D"/>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348"/>
    <w:rsid w:val="001A5B53"/>
    <w:rsid w:val="001A6849"/>
    <w:rsid w:val="001A720E"/>
    <w:rsid w:val="001A773B"/>
    <w:rsid w:val="001A788F"/>
    <w:rsid w:val="001A798F"/>
    <w:rsid w:val="001A7B18"/>
    <w:rsid w:val="001B0259"/>
    <w:rsid w:val="001B0262"/>
    <w:rsid w:val="001B0D9E"/>
    <w:rsid w:val="001B0FB9"/>
    <w:rsid w:val="001B11CB"/>
    <w:rsid w:val="001B236A"/>
    <w:rsid w:val="001B23FA"/>
    <w:rsid w:val="001B28D1"/>
    <w:rsid w:val="001B2A3F"/>
    <w:rsid w:val="001B3FD2"/>
    <w:rsid w:val="001B5693"/>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0EB"/>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35CF"/>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82E"/>
    <w:rsid w:val="001F5B07"/>
    <w:rsid w:val="001F5E58"/>
    <w:rsid w:val="001F6270"/>
    <w:rsid w:val="001F65BE"/>
    <w:rsid w:val="001F7890"/>
    <w:rsid w:val="001F7D76"/>
    <w:rsid w:val="001F7D9A"/>
    <w:rsid w:val="00200688"/>
    <w:rsid w:val="00200FAD"/>
    <w:rsid w:val="002015CF"/>
    <w:rsid w:val="00201765"/>
    <w:rsid w:val="0020182E"/>
    <w:rsid w:val="00201ABD"/>
    <w:rsid w:val="0020257F"/>
    <w:rsid w:val="00204436"/>
    <w:rsid w:val="00204AA1"/>
    <w:rsid w:val="00205357"/>
    <w:rsid w:val="002053B0"/>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691"/>
    <w:rsid w:val="00227A85"/>
    <w:rsid w:val="00227B4C"/>
    <w:rsid w:val="00227BB0"/>
    <w:rsid w:val="00227DBC"/>
    <w:rsid w:val="002300D7"/>
    <w:rsid w:val="00230284"/>
    <w:rsid w:val="00230E13"/>
    <w:rsid w:val="0023118D"/>
    <w:rsid w:val="00232621"/>
    <w:rsid w:val="0023293E"/>
    <w:rsid w:val="00232A7A"/>
    <w:rsid w:val="00232DA5"/>
    <w:rsid w:val="00232F2F"/>
    <w:rsid w:val="00232F87"/>
    <w:rsid w:val="00233889"/>
    <w:rsid w:val="002338B9"/>
    <w:rsid w:val="00233FF9"/>
    <w:rsid w:val="00234061"/>
    <w:rsid w:val="002349A9"/>
    <w:rsid w:val="00234E3C"/>
    <w:rsid w:val="0023573F"/>
    <w:rsid w:val="002361D0"/>
    <w:rsid w:val="00236B9A"/>
    <w:rsid w:val="002372F0"/>
    <w:rsid w:val="00240046"/>
    <w:rsid w:val="00240367"/>
    <w:rsid w:val="00241201"/>
    <w:rsid w:val="002423EA"/>
    <w:rsid w:val="00242971"/>
    <w:rsid w:val="002432E1"/>
    <w:rsid w:val="00243315"/>
    <w:rsid w:val="00243B44"/>
    <w:rsid w:val="00243D7F"/>
    <w:rsid w:val="002443AD"/>
    <w:rsid w:val="002451FD"/>
    <w:rsid w:val="002454DC"/>
    <w:rsid w:val="00245AC1"/>
    <w:rsid w:val="0024621D"/>
    <w:rsid w:val="00246269"/>
    <w:rsid w:val="00247320"/>
    <w:rsid w:val="00247588"/>
    <w:rsid w:val="002475C3"/>
    <w:rsid w:val="00247ED0"/>
    <w:rsid w:val="00247FE8"/>
    <w:rsid w:val="00250BB4"/>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06"/>
    <w:rsid w:val="00275F2C"/>
    <w:rsid w:val="002766AE"/>
    <w:rsid w:val="00277BEF"/>
    <w:rsid w:val="00280398"/>
    <w:rsid w:val="00281167"/>
    <w:rsid w:val="002811E0"/>
    <w:rsid w:val="002811E3"/>
    <w:rsid w:val="002813B2"/>
    <w:rsid w:val="00282431"/>
    <w:rsid w:val="00282E9E"/>
    <w:rsid w:val="00283408"/>
    <w:rsid w:val="00283965"/>
    <w:rsid w:val="00283BBD"/>
    <w:rsid w:val="00283D5E"/>
    <w:rsid w:val="00284245"/>
    <w:rsid w:val="00285028"/>
    <w:rsid w:val="00285034"/>
    <w:rsid w:val="0028564C"/>
    <w:rsid w:val="00285A72"/>
    <w:rsid w:val="00285A94"/>
    <w:rsid w:val="00286289"/>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5B10"/>
    <w:rsid w:val="00296073"/>
    <w:rsid w:val="00296626"/>
    <w:rsid w:val="00296DB8"/>
    <w:rsid w:val="00296E92"/>
    <w:rsid w:val="00297212"/>
    <w:rsid w:val="002972E8"/>
    <w:rsid w:val="00297791"/>
    <w:rsid w:val="002A02E8"/>
    <w:rsid w:val="002A0A88"/>
    <w:rsid w:val="002A1797"/>
    <w:rsid w:val="002A1DA3"/>
    <w:rsid w:val="002A2736"/>
    <w:rsid w:val="002A3211"/>
    <w:rsid w:val="002A3CE3"/>
    <w:rsid w:val="002A4174"/>
    <w:rsid w:val="002A4F85"/>
    <w:rsid w:val="002A51B8"/>
    <w:rsid w:val="002A564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E2"/>
    <w:rsid w:val="002B3EA9"/>
    <w:rsid w:val="002B40FF"/>
    <w:rsid w:val="002B44C4"/>
    <w:rsid w:val="002B44FD"/>
    <w:rsid w:val="002B5CE9"/>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40AD"/>
    <w:rsid w:val="002E41ED"/>
    <w:rsid w:val="002E55C9"/>
    <w:rsid w:val="002E5AFA"/>
    <w:rsid w:val="002E5D59"/>
    <w:rsid w:val="002E6B68"/>
    <w:rsid w:val="002E72F0"/>
    <w:rsid w:val="002E7D14"/>
    <w:rsid w:val="002E7F0E"/>
    <w:rsid w:val="002F07A0"/>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75F8"/>
    <w:rsid w:val="00327F95"/>
    <w:rsid w:val="003304AC"/>
    <w:rsid w:val="00330546"/>
    <w:rsid w:val="0033070B"/>
    <w:rsid w:val="00330748"/>
    <w:rsid w:val="00330C73"/>
    <w:rsid w:val="00331513"/>
    <w:rsid w:val="00331ECA"/>
    <w:rsid w:val="0033204C"/>
    <w:rsid w:val="003337B6"/>
    <w:rsid w:val="0033491A"/>
    <w:rsid w:val="00334F21"/>
    <w:rsid w:val="00335A61"/>
    <w:rsid w:val="0033687B"/>
    <w:rsid w:val="00337088"/>
    <w:rsid w:val="003370C2"/>
    <w:rsid w:val="003373B7"/>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6EBA"/>
    <w:rsid w:val="003471F0"/>
    <w:rsid w:val="00347B20"/>
    <w:rsid w:val="003505B2"/>
    <w:rsid w:val="0035063B"/>
    <w:rsid w:val="00350B04"/>
    <w:rsid w:val="00350B8B"/>
    <w:rsid w:val="00351DF7"/>
    <w:rsid w:val="00351FD1"/>
    <w:rsid w:val="00352677"/>
    <w:rsid w:val="003526EA"/>
    <w:rsid w:val="00353286"/>
    <w:rsid w:val="003532D0"/>
    <w:rsid w:val="003534B3"/>
    <w:rsid w:val="0035374E"/>
    <w:rsid w:val="0035393E"/>
    <w:rsid w:val="003540E4"/>
    <w:rsid w:val="00354255"/>
    <w:rsid w:val="003550D3"/>
    <w:rsid w:val="00355834"/>
    <w:rsid w:val="00355981"/>
    <w:rsid w:val="00355BFE"/>
    <w:rsid w:val="00356AA0"/>
    <w:rsid w:val="003573D2"/>
    <w:rsid w:val="003579CE"/>
    <w:rsid w:val="00357A38"/>
    <w:rsid w:val="00360189"/>
    <w:rsid w:val="00361791"/>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1027"/>
    <w:rsid w:val="0038157C"/>
    <w:rsid w:val="00381BAB"/>
    <w:rsid w:val="00381FE7"/>
    <w:rsid w:val="0038209B"/>
    <w:rsid w:val="003837A2"/>
    <w:rsid w:val="003839F9"/>
    <w:rsid w:val="00383D6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351"/>
    <w:rsid w:val="003C57BF"/>
    <w:rsid w:val="003C6226"/>
    <w:rsid w:val="003C66C3"/>
    <w:rsid w:val="003C744C"/>
    <w:rsid w:val="003D0AE2"/>
    <w:rsid w:val="003D17AF"/>
    <w:rsid w:val="003D21E7"/>
    <w:rsid w:val="003D2681"/>
    <w:rsid w:val="003D3447"/>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756"/>
    <w:rsid w:val="003E44DA"/>
    <w:rsid w:val="003E468A"/>
    <w:rsid w:val="003E4972"/>
    <w:rsid w:val="003E4BAA"/>
    <w:rsid w:val="003E5F8A"/>
    <w:rsid w:val="003E606D"/>
    <w:rsid w:val="003E674F"/>
    <w:rsid w:val="003E6C77"/>
    <w:rsid w:val="003E6E17"/>
    <w:rsid w:val="003E7594"/>
    <w:rsid w:val="003E7E83"/>
    <w:rsid w:val="003F04AB"/>
    <w:rsid w:val="003F0A58"/>
    <w:rsid w:val="003F1C2E"/>
    <w:rsid w:val="003F2491"/>
    <w:rsid w:val="003F308A"/>
    <w:rsid w:val="003F32E3"/>
    <w:rsid w:val="003F3A90"/>
    <w:rsid w:val="003F3BA5"/>
    <w:rsid w:val="003F4582"/>
    <w:rsid w:val="003F52FC"/>
    <w:rsid w:val="003F5B98"/>
    <w:rsid w:val="003F5D5C"/>
    <w:rsid w:val="003F6192"/>
    <w:rsid w:val="003F6A27"/>
    <w:rsid w:val="003F716E"/>
    <w:rsid w:val="003F7354"/>
    <w:rsid w:val="003F7DAF"/>
    <w:rsid w:val="003F7DBF"/>
    <w:rsid w:val="003F7E2F"/>
    <w:rsid w:val="00400374"/>
    <w:rsid w:val="00400915"/>
    <w:rsid w:val="0040187C"/>
    <w:rsid w:val="00401FA0"/>
    <w:rsid w:val="00402353"/>
    <w:rsid w:val="00402CBA"/>
    <w:rsid w:val="00403319"/>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AC4"/>
    <w:rsid w:val="00421B87"/>
    <w:rsid w:val="00421DD1"/>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218D"/>
    <w:rsid w:val="004325EA"/>
    <w:rsid w:val="004338C7"/>
    <w:rsid w:val="00433E65"/>
    <w:rsid w:val="00434171"/>
    <w:rsid w:val="00434C3F"/>
    <w:rsid w:val="00434EAD"/>
    <w:rsid w:val="0043556C"/>
    <w:rsid w:val="00435D81"/>
    <w:rsid w:val="00436BDA"/>
    <w:rsid w:val="00437085"/>
    <w:rsid w:val="004406B5"/>
    <w:rsid w:val="00441804"/>
    <w:rsid w:val="00441DAF"/>
    <w:rsid w:val="00442E5E"/>
    <w:rsid w:val="004431D5"/>
    <w:rsid w:val="004434CE"/>
    <w:rsid w:val="004436C5"/>
    <w:rsid w:val="00443B2D"/>
    <w:rsid w:val="00444DD3"/>
    <w:rsid w:val="00444E7F"/>
    <w:rsid w:val="00445514"/>
    <w:rsid w:val="00445853"/>
    <w:rsid w:val="0044675A"/>
    <w:rsid w:val="00446CC4"/>
    <w:rsid w:val="00447748"/>
    <w:rsid w:val="00447A90"/>
    <w:rsid w:val="00450D3E"/>
    <w:rsid w:val="00451C0A"/>
    <w:rsid w:val="00451E46"/>
    <w:rsid w:val="00453078"/>
    <w:rsid w:val="004533BE"/>
    <w:rsid w:val="0045354B"/>
    <w:rsid w:val="00453687"/>
    <w:rsid w:val="004536F3"/>
    <w:rsid w:val="00453BC4"/>
    <w:rsid w:val="00454915"/>
    <w:rsid w:val="00455885"/>
    <w:rsid w:val="004558BD"/>
    <w:rsid w:val="00455AD8"/>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6BEE"/>
    <w:rsid w:val="004874D8"/>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437"/>
    <w:rsid w:val="004A46BB"/>
    <w:rsid w:val="004A4A73"/>
    <w:rsid w:val="004A4CC8"/>
    <w:rsid w:val="004A584E"/>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69FA"/>
    <w:rsid w:val="004B7011"/>
    <w:rsid w:val="004B760C"/>
    <w:rsid w:val="004B79BE"/>
    <w:rsid w:val="004B7C52"/>
    <w:rsid w:val="004B7FD7"/>
    <w:rsid w:val="004C0469"/>
    <w:rsid w:val="004C0799"/>
    <w:rsid w:val="004C09C8"/>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399"/>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39F"/>
    <w:rsid w:val="004D2E7D"/>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4EA5"/>
    <w:rsid w:val="0050566F"/>
    <w:rsid w:val="005060E8"/>
    <w:rsid w:val="00506DB2"/>
    <w:rsid w:val="00507EFE"/>
    <w:rsid w:val="0051074E"/>
    <w:rsid w:val="0051081F"/>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F03"/>
    <w:rsid w:val="0055043F"/>
    <w:rsid w:val="00550C0E"/>
    <w:rsid w:val="00550ECE"/>
    <w:rsid w:val="005515F8"/>
    <w:rsid w:val="00552278"/>
    <w:rsid w:val="00552326"/>
    <w:rsid w:val="00553368"/>
    <w:rsid w:val="005538D4"/>
    <w:rsid w:val="00553B9B"/>
    <w:rsid w:val="00553E98"/>
    <w:rsid w:val="0055407F"/>
    <w:rsid w:val="005540B2"/>
    <w:rsid w:val="005543AF"/>
    <w:rsid w:val="00554BD4"/>
    <w:rsid w:val="00554C8C"/>
    <w:rsid w:val="0055572B"/>
    <w:rsid w:val="00555A84"/>
    <w:rsid w:val="00555CE3"/>
    <w:rsid w:val="0055603D"/>
    <w:rsid w:val="00556552"/>
    <w:rsid w:val="00556978"/>
    <w:rsid w:val="00557080"/>
    <w:rsid w:val="005600CD"/>
    <w:rsid w:val="00560523"/>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10B"/>
    <w:rsid w:val="005742BF"/>
    <w:rsid w:val="00574506"/>
    <w:rsid w:val="00574D31"/>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3D6"/>
    <w:rsid w:val="00587662"/>
    <w:rsid w:val="00587B1E"/>
    <w:rsid w:val="00587E84"/>
    <w:rsid w:val="005910E7"/>
    <w:rsid w:val="005913E6"/>
    <w:rsid w:val="00592125"/>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10CC"/>
    <w:rsid w:val="005B12BF"/>
    <w:rsid w:val="005B265D"/>
    <w:rsid w:val="005B32C9"/>
    <w:rsid w:val="005B3971"/>
    <w:rsid w:val="005B4D4A"/>
    <w:rsid w:val="005B4E14"/>
    <w:rsid w:val="005B4F40"/>
    <w:rsid w:val="005B52A0"/>
    <w:rsid w:val="005B538B"/>
    <w:rsid w:val="005B5434"/>
    <w:rsid w:val="005B5555"/>
    <w:rsid w:val="005B643F"/>
    <w:rsid w:val="005B6B8A"/>
    <w:rsid w:val="005B6FFD"/>
    <w:rsid w:val="005B72D5"/>
    <w:rsid w:val="005C0894"/>
    <w:rsid w:val="005C0F44"/>
    <w:rsid w:val="005C16D1"/>
    <w:rsid w:val="005C196C"/>
    <w:rsid w:val="005C27C8"/>
    <w:rsid w:val="005C2DFB"/>
    <w:rsid w:val="005C32BE"/>
    <w:rsid w:val="005C3756"/>
    <w:rsid w:val="005C3DF3"/>
    <w:rsid w:val="005C3F10"/>
    <w:rsid w:val="005C45A8"/>
    <w:rsid w:val="005C49D1"/>
    <w:rsid w:val="005C4F9D"/>
    <w:rsid w:val="005C53D7"/>
    <w:rsid w:val="005C5501"/>
    <w:rsid w:val="005C5AEA"/>
    <w:rsid w:val="005C629E"/>
    <w:rsid w:val="005C75AF"/>
    <w:rsid w:val="005C7AFE"/>
    <w:rsid w:val="005D01B4"/>
    <w:rsid w:val="005D0786"/>
    <w:rsid w:val="005D10B3"/>
    <w:rsid w:val="005D123D"/>
    <w:rsid w:val="005D158D"/>
    <w:rsid w:val="005D1D93"/>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AEC"/>
    <w:rsid w:val="005E21DE"/>
    <w:rsid w:val="005E24C2"/>
    <w:rsid w:val="005E34E9"/>
    <w:rsid w:val="005E35AB"/>
    <w:rsid w:val="005E3E29"/>
    <w:rsid w:val="005E40B7"/>
    <w:rsid w:val="005E57D8"/>
    <w:rsid w:val="005E5A8E"/>
    <w:rsid w:val="005E625F"/>
    <w:rsid w:val="005E68C5"/>
    <w:rsid w:val="005E7017"/>
    <w:rsid w:val="005E7E9F"/>
    <w:rsid w:val="005F06CD"/>
    <w:rsid w:val="005F0C31"/>
    <w:rsid w:val="005F1439"/>
    <w:rsid w:val="005F21B0"/>
    <w:rsid w:val="005F2320"/>
    <w:rsid w:val="005F24C4"/>
    <w:rsid w:val="005F30F1"/>
    <w:rsid w:val="005F3103"/>
    <w:rsid w:val="005F3144"/>
    <w:rsid w:val="005F33B2"/>
    <w:rsid w:val="005F43FF"/>
    <w:rsid w:val="005F4D3D"/>
    <w:rsid w:val="005F514E"/>
    <w:rsid w:val="005F5B10"/>
    <w:rsid w:val="005F6CAB"/>
    <w:rsid w:val="005F760D"/>
    <w:rsid w:val="0060049C"/>
    <w:rsid w:val="00601153"/>
    <w:rsid w:val="0060129A"/>
    <w:rsid w:val="00601A5B"/>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83A"/>
    <w:rsid w:val="00621EA3"/>
    <w:rsid w:val="00623275"/>
    <w:rsid w:val="00624255"/>
    <w:rsid w:val="00624E9E"/>
    <w:rsid w:val="0062573B"/>
    <w:rsid w:val="00625DD3"/>
    <w:rsid w:val="0062633E"/>
    <w:rsid w:val="006263D3"/>
    <w:rsid w:val="00626825"/>
    <w:rsid w:val="0062694E"/>
    <w:rsid w:val="006273C6"/>
    <w:rsid w:val="00630030"/>
    <w:rsid w:val="0063016D"/>
    <w:rsid w:val="00630426"/>
    <w:rsid w:val="0063057C"/>
    <w:rsid w:val="00631753"/>
    <w:rsid w:val="00631D03"/>
    <w:rsid w:val="00632B22"/>
    <w:rsid w:val="0063355F"/>
    <w:rsid w:val="00633CAC"/>
    <w:rsid w:val="006349BE"/>
    <w:rsid w:val="0063561E"/>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6BE2"/>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6C41"/>
    <w:rsid w:val="00667860"/>
    <w:rsid w:val="0067157E"/>
    <w:rsid w:val="00672247"/>
    <w:rsid w:val="006723F9"/>
    <w:rsid w:val="006726AD"/>
    <w:rsid w:val="006728CE"/>
    <w:rsid w:val="00672989"/>
    <w:rsid w:val="00672DF2"/>
    <w:rsid w:val="00672E0C"/>
    <w:rsid w:val="00673812"/>
    <w:rsid w:val="00673EAA"/>
    <w:rsid w:val="0067405E"/>
    <w:rsid w:val="006748F5"/>
    <w:rsid w:val="0067591D"/>
    <w:rsid w:val="00675950"/>
    <w:rsid w:val="00675B61"/>
    <w:rsid w:val="00675D66"/>
    <w:rsid w:val="006761F3"/>
    <w:rsid w:val="00676D1D"/>
    <w:rsid w:val="00676D91"/>
    <w:rsid w:val="00680659"/>
    <w:rsid w:val="00680D15"/>
    <w:rsid w:val="0068141C"/>
    <w:rsid w:val="00681544"/>
    <w:rsid w:val="006818D9"/>
    <w:rsid w:val="00681CF4"/>
    <w:rsid w:val="00682323"/>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657"/>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3B72"/>
    <w:rsid w:val="006B469F"/>
    <w:rsid w:val="006B4CA4"/>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1DF"/>
    <w:rsid w:val="006F0222"/>
    <w:rsid w:val="006F02CE"/>
    <w:rsid w:val="006F04A3"/>
    <w:rsid w:val="006F0EA2"/>
    <w:rsid w:val="006F114C"/>
    <w:rsid w:val="006F14EE"/>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C12"/>
    <w:rsid w:val="00701F34"/>
    <w:rsid w:val="007031A2"/>
    <w:rsid w:val="0070364A"/>
    <w:rsid w:val="00703D4D"/>
    <w:rsid w:val="00703E25"/>
    <w:rsid w:val="00703E4D"/>
    <w:rsid w:val="00703F3A"/>
    <w:rsid w:val="00704693"/>
    <w:rsid w:val="0070491A"/>
    <w:rsid w:val="00704AB9"/>
    <w:rsid w:val="007054D8"/>
    <w:rsid w:val="00706383"/>
    <w:rsid w:val="00706D47"/>
    <w:rsid w:val="00706E27"/>
    <w:rsid w:val="007070E1"/>
    <w:rsid w:val="007075A0"/>
    <w:rsid w:val="00707894"/>
    <w:rsid w:val="00707E9C"/>
    <w:rsid w:val="00711916"/>
    <w:rsid w:val="00711EE2"/>
    <w:rsid w:val="00712D71"/>
    <w:rsid w:val="007130DA"/>
    <w:rsid w:val="007131B1"/>
    <w:rsid w:val="00713380"/>
    <w:rsid w:val="00713DD5"/>
    <w:rsid w:val="007140E0"/>
    <w:rsid w:val="007143A2"/>
    <w:rsid w:val="007146CB"/>
    <w:rsid w:val="007147B9"/>
    <w:rsid w:val="00714CA9"/>
    <w:rsid w:val="007158FD"/>
    <w:rsid w:val="0071601C"/>
    <w:rsid w:val="007167AE"/>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065"/>
    <w:rsid w:val="0073686C"/>
    <w:rsid w:val="00736F47"/>
    <w:rsid w:val="00736F6B"/>
    <w:rsid w:val="007373BE"/>
    <w:rsid w:val="00737EBC"/>
    <w:rsid w:val="0074019C"/>
    <w:rsid w:val="007404B8"/>
    <w:rsid w:val="007406B0"/>
    <w:rsid w:val="00740ACC"/>
    <w:rsid w:val="00740D2C"/>
    <w:rsid w:val="00740DFE"/>
    <w:rsid w:val="007410C2"/>
    <w:rsid w:val="007411F0"/>
    <w:rsid w:val="0074208A"/>
    <w:rsid w:val="00742226"/>
    <w:rsid w:val="007425BA"/>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99E"/>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0C9"/>
    <w:rsid w:val="007833CB"/>
    <w:rsid w:val="00783618"/>
    <w:rsid w:val="00783B56"/>
    <w:rsid w:val="007843D9"/>
    <w:rsid w:val="007856F3"/>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7F3"/>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1AFE"/>
    <w:rsid w:val="007B24C4"/>
    <w:rsid w:val="007B2759"/>
    <w:rsid w:val="007B28CF"/>
    <w:rsid w:val="007B363B"/>
    <w:rsid w:val="007B3F26"/>
    <w:rsid w:val="007B4263"/>
    <w:rsid w:val="007B4416"/>
    <w:rsid w:val="007B44E0"/>
    <w:rsid w:val="007B46BF"/>
    <w:rsid w:val="007B57CD"/>
    <w:rsid w:val="007B5841"/>
    <w:rsid w:val="007B6263"/>
    <w:rsid w:val="007B6DD8"/>
    <w:rsid w:val="007B727C"/>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66C"/>
    <w:rsid w:val="007D2B20"/>
    <w:rsid w:val="007D31AD"/>
    <w:rsid w:val="007D4712"/>
    <w:rsid w:val="007D4AFF"/>
    <w:rsid w:val="007D5CDD"/>
    <w:rsid w:val="007D5D30"/>
    <w:rsid w:val="007D6294"/>
    <w:rsid w:val="007D6CF0"/>
    <w:rsid w:val="007D6E90"/>
    <w:rsid w:val="007D72D8"/>
    <w:rsid w:val="007D79C8"/>
    <w:rsid w:val="007D7C90"/>
    <w:rsid w:val="007E0ABB"/>
    <w:rsid w:val="007E0B5E"/>
    <w:rsid w:val="007E0C9C"/>
    <w:rsid w:val="007E0FE3"/>
    <w:rsid w:val="007E18F8"/>
    <w:rsid w:val="007E205A"/>
    <w:rsid w:val="007E307B"/>
    <w:rsid w:val="007E31EB"/>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489"/>
    <w:rsid w:val="007F1538"/>
    <w:rsid w:val="007F15FE"/>
    <w:rsid w:val="007F1ABC"/>
    <w:rsid w:val="007F1B42"/>
    <w:rsid w:val="007F2134"/>
    <w:rsid w:val="007F28C6"/>
    <w:rsid w:val="007F2A29"/>
    <w:rsid w:val="007F2A92"/>
    <w:rsid w:val="007F3189"/>
    <w:rsid w:val="007F3447"/>
    <w:rsid w:val="007F3D0C"/>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00"/>
    <w:rsid w:val="008040CE"/>
    <w:rsid w:val="00804C3B"/>
    <w:rsid w:val="0080575D"/>
    <w:rsid w:val="008058D0"/>
    <w:rsid w:val="008074C5"/>
    <w:rsid w:val="00807B2A"/>
    <w:rsid w:val="008101FB"/>
    <w:rsid w:val="008105EA"/>
    <w:rsid w:val="00810697"/>
    <w:rsid w:val="00810A3B"/>
    <w:rsid w:val="00810E97"/>
    <w:rsid w:val="0081123B"/>
    <w:rsid w:val="00811393"/>
    <w:rsid w:val="00811E61"/>
    <w:rsid w:val="008121E2"/>
    <w:rsid w:val="008126F0"/>
    <w:rsid w:val="008128A0"/>
    <w:rsid w:val="008140CE"/>
    <w:rsid w:val="00814488"/>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9D8"/>
    <w:rsid w:val="00830D47"/>
    <w:rsid w:val="00831867"/>
    <w:rsid w:val="00831A8D"/>
    <w:rsid w:val="00831D6C"/>
    <w:rsid w:val="00832CDC"/>
    <w:rsid w:val="00832F6C"/>
    <w:rsid w:val="008341ED"/>
    <w:rsid w:val="008356D0"/>
    <w:rsid w:val="0083573A"/>
    <w:rsid w:val="008362CE"/>
    <w:rsid w:val="00837584"/>
    <w:rsid w:val="0083796C"/>
    <w:rsid w:val="00837E77"/>
    <w:rsid w:val="008402CD"/>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5"/>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554"/>
    <w:rsid w:val="008647F5"/>
    <w:rsid w:val="00864D6E"/>
    <w:rsid w:val="00865058"/>
    <w:rsid w:val="008659A2"/>
    <w:rsid w:val="00866099"/>
    <w:rsid w:val="0086690B"/>
    <w:rsid w:val="00866973"/>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078"/>
    <w:rsid w:val="008835FF"/>
    <w:rsid w:val="0088370E"/>
    <w:rsid w:val="00883C16"/>
    <w:rsid w:val="00883D12"/>
    <w:rsid w:val="00883EFF"/>
    <w:rsid w:val="00884919"/>
    <w:rsid w:val="008853EC"/>
    <w:rsid w:val="00885F1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10D"/>
    <w:rsid w:val="00897AB4"/>
    <w:rsid w:val="008A06D7"/>
    <w:rsid w:val="008A0A35"/>
    <w:rsid w:val="008A0C9F"/>
    <w:rsid w:val="008A14F6"/>
    <w:rsid w:val="008A1645"/>
    <w:rsid w:val="008A2F8E"/>
    <w:rsid w:val="008A2FCB"/>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3EF"/>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345"/>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654"/>
    <w:rsid w:val="008E2AF5"/>
    <w:rsid w:val="008E2C34"/>
    <w:rsid w:val="008E35F3"/>
    <w:rsid w:val="008E4808"/>
    <w:rsid w:val="008E4929"/>
    <w:rsid w:val="008E4FF4"/>
    <w:rsid w:val="008E5682"/>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4D49"/>
    <w:rsid w:val="00905BA1"/>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735"/>
    <w:rsid w:val="00920835"/>
    <w:rsid w:val="00921287"/>
    <w:rsid w:val="0092131F"/>
    <w:rsid w:val="00921595"/>
    <w:rsid w:val="00922140"/>
    <w:rsid w:val="009249F3"/>
    <w:rsid w:val="00925D59"/>
    <w:rsid w:val="00926716"/>
    <w:rsid w:val="00927A60"/>
    <w:rsid w:val="009308DA"/>
    <w:rsid w:val="00931085"/>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53B"/>
    <w:rsid w:val="00937708"/>
    <w:rsid w:val="0094032A"/>
    <w:rsid w:val="00941538"/>
    <w:rsid w:val="00941D0E"/>
    <w:rsid w:val="00941FC5"/>
    <w:rsid w:val="0094290B"/>
    <w:rsid w:val="00942B33"/>
    <w:rsid w:val="00942EC6"/>
    <w:rsid w:val="00944024"/>
    <w:rsid w:val="00944E3F"/>
    <w:rsid w:val="009453A6"/>
    <w:rsid w:val="00945703"/>
    <w:rsid w:val="00945CE6"/>
    <w:rsid w:val="009461AB"/>
    <w:rsid w:val="009464A3"/>
    <w:rsid w:val="00946522"/>
    <w:rsid w:val="00946796"/>
    <w:rsid w:val="0094742A"/>
    <w:rsid w:val="00947EC4"/>
    <w:rsid w:val="00950042"/>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1B7B"/>
    <w:rsid w:val="00972340"/>
    <w:rsid w:val="009723DE"/>
    <w:rsid w:val="00973B9F"/>
    <w:rsid w:val="00974A7A"/>
    <w:rsid w:val="00975014"/>
    <w:rsid w:val="009752FA"/>
    <w:rsid w:val="009754C3"/>
    <w:rsid w:val="009755CD"/>
    <w:rsid w:val="009758B1"/>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24CB"/>
    <w:rsid w:val="009C3225"/>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2610"/>
    <w:rsid w:val="009E3DAE"/>
    <w:rsid w:val="009E426E"/>
    <w:rsid w:val="009E4339"/>
    <w:rsid w:val="009E439C"/>
    <w:rsid w:val="009E46F2"/>
    <w:rsid w:val="009E474B"/>
    <w:rsid w:val="009E620D"/>
    <w:rsid w:val="009E6652"/>
    <w:rsid w:val="009E7192"/>
    <w:rsid w:val="009E7F49"/>
    <w:rsid w:val="009F0B98"/>
    <w:rsid w:val="009F0BCA"/>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9D8"/>
    <w:rsid w:val="009F6EA2"/>
    <w:rsid w:val="009F75B3"/>
    <w:rsid w:val="009F79AE"/>
    <w:rsid w:val="009F7F22"/>
    <w:rsid w:val="00A004D3"/>
    <w:rsid w:val="00A00BD1"/>
    <w:rsid w:val="00A00FFB"/>
    <w:rsid w:val="00A01F4B"/>
    <w:rsid w:val="00A027DE"/>
    <w:rsid w:val="00A031FC"/>
    <w:rsid w:val="00A04222"/>
    <w:rsid w:val="00A046BB"/>
    <w:rsid w:val="00A04C7E"/>
    <w:rsid w:val="00A0565F"/>
    <w:rsid w:val="00A0616C"/>
    <w:rsid w:val="00A06672"/>
    <w:rsid w:val="00A06896"/>
    <w:rsid w:val="00A06CF6"/>
    <w:rsid w:val="00A06E20"/>
    <w:rsid w:val="00A07322"/>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B88"/>
    <w:rsid w:val="00A15E74"/>
    <w:rsid w:val="00A15FB5"/>
    <w:rsid w:val="00A161E0"/>
    <w:rsid w:val="00A164FB"/>
    <w:rsid w:val="00A16702"/>
    <w:rsid w:val="00A16BEA"/>
    <w:rsid w:val="00A16E1D"/>
    <w:rsid w:val="00A175E5"/>
    <w:rsid w:val="00A178C0"/>
    <w:rsid w:val="00A17EA1"/>
    <w:rsid w:val="00A17EDF"/>
    <w:rsid w:val="00A215DD"/>
    <w:rsid w:val="00A21746"/>
    <w:rsid w:val="00A22494"/>
    <w:rsid w:val="00A24265"/>
    <w:rsid w:val="00A24B55"/>
    <w:rsid w:val="00A24D3F"/>
    <w:rsid w:val="00A24F34"/>
    <w:rsid w:val="00A24F60"/>
    <w:rsid w:val="00A254EA"/>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3018"/>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09E"/>
    <w:rsid w:val="00A43347"/>
    <w:rsid w:val="00A43620"/>
    <w:rsid w:val="00A438B9"/>
    <w:rsid w:val="00A43944"/>
    <w:rsid w:val="00A43A45"/>
    <w:rsid w:val="00A43D2B"/>
    <w:rsid w:val="00A44044"/>
    <w:rsid w:val="00A44476"/>
    <w:rsid w:val="00A44BC3"/>
    <w:rsid w:val="00A4524B"/>
    <w:rsid w:val="00A45454"/>
    <w:rsid w:val="00A4637B"/>
    <w:rsid w:val="00A46BB9"/>
    <w:rsid w:val="00A47286"/>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6711"/>
    <w:rsid w:val="00A60841"/>
    <w:rsid w:val="00A61A4E"/>
    <w:rsid w:val="00A61EF8"/>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4B1"/>
    <w:rsid w:val="00AB45DB"/>
    <w:rsid w:val="00AB49EA"/>
    <w:rsid w:val="00AB4F00"/>
    <w:rsid w:val="00AB5C26"/>
    <w:rsid w:val="00AB5F3B"/>
    <w:rsid w:val="00AB7518"/>
    <w:rsid w:val="00AC004D"/>
    <w:rsid w:val="00AC09F1"/>
    <w:rsid w:val="00AC0C50"/>
    <w:rsid w:val="00AC265B"/>
    <w:rsid w:val="00AC2BD0"/>
    <w:rsid w:val="00AC2E4E"/>
    <w:rsid w:val="00AC2F14"/>
    <w:rsid w:val="00AC3260"/>
    <w:rsid w:val="00AC38A9"/>
    <w:rsid w:val="00AC3AD7"/>
    <w:rsid w:val="00AC4681"/>
    <w:rsid w:val="00AC4BF6"/>
    <w:rsid w:val="00AC4CAF"/>
    <w:rsid w:val="00AC51CD"/>
    <w:rsid w:val="00AC5375"/>
    <w:rsid w:val="00AC548C"/>
    <w:rsid w:val="00AC5601"/>
    <w:rsid w:val="00AC5AF0"/>
    <w:rsid w:val="00AC6797"/>
    <w:rsid w:val="00AC6A7A"/>
    <w:rsid w:val="00AC6F68"/>
    <w:rsid w:val="00AC7896"/>
    <w:rsid w:val="00AD09D5"/>
    <w:rsid w:val="00AD0E72"/>
    <w:rsid w:val="00AD104E"/>
    <w:rsid w:val="00AD1153"/>
    <w:rsid w:val="00AD124D"/>
    <w:rsid w:val="00AD1EAE"/>
    <w:rsid w:val="00AD2275"/>
    <w:rsid w:val="00AD2280"/>
    <w:rsid w:val="00AD26C0"/>
    <w:rsid w:val="00AD2B85"/>
    <w:rsid w:val="00AD3885"/>
    <w:rsid w:val="00AD3CC4"/>
    <w:rsid w:val="00AD4839"/>
    <w:rsid w:val="00AD4C7C"/>
    <w:rsid w:val="00AD714E"/>
    <w:rsid w:val="00AD76EF"/>
    <w:rsid w:val="00AD7EF5"/>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BCF"/>
    <w:rsid w:val="00AE7EBC"/>
    <w:rsid w:val="00AF115C"/>
    <w:rsid w:val="00AF218F"/>
    <w:rsid w:val="00AF2A87"/>
    <w:rsid w:val="00AF434D"/>
    <w:rsid w:val="00AF4EE4"/>
    <w:rsid w:val="00AF4F94"/>
    <w:rsid w:val="00AF5B98"/>
    <w:rsid w:val="00AF6B94"/>
    <w:rsid w:val="00AF7D62"/>
    <w:rsid w:val="00B0026B"/>
    <w:rsid w:val="00B0036F"/>
    <w:rsid w:val="00B00A28"/>
    <w:rsid w:val="00B00C8E"/>
    <w:rsid w:val="00B02674"/>
    <w:rsid w:val="00B02AA5"/>
    <w:rsid w:val="00B045EC"/>
    <w:rsid w:val="00B04DA9"/>
    <w:rsid w:val="00B04F50"/>
    <w:rsid w:val="00B05AE4"/>
    <w:rsid w:val="00B05CA6"/>
    <w:rsid w:val="00B07742"/>
    <w:rsid w:val="00B10224"/>
    <w:rsid w:val="00B1073D"/>
    <w:rsid w:val="00B1129B"/>
    <w:rsid w:val="00B11CD7"/>
    <w:rsid w:val="00B11FAE"/>
    <w:rsid w:val="00B1205D"/>
    <w:rsid w:val="00B1258A"/>
    <w:rsid w:val="00B128F0"/>
    <w:rsid w:val="00B13307"/>
    <w:rsid w:val="00B1367C"/>
    <w:rsid w:val="00B13B7B"/>
    <w:rsid w:val="00B15202"/>
    <w:rsid w:val="00B1553A"/>
    <w:rsid w:val="00B15920"/>
    <w:rsid w:val="00B16338"/>
    <w:rsid w:val="00B1688A"/>
    <w:rsid w:val="00B17577"/>
    <w:rsid w:val="00B17706"/>
    <w:rsid w:val="00B17CB2"/>
    <w:rsid w:val="00B209BF"/>
    <w:rsid w:val="00B217C6"/>
    <w:rsid w:val="00B21B6A"/>
    <w:rsid w:val="00B21CD1"/>
    <w:rsid w:val="00B2248D"/>
    <w:rsid w:val="00B23256"/>
    <w:rsid w:val="00B244AA"/>
    <w:rsid w:val="00B24CF5"/>
    <w:rsid w:val="00B25329"/>
    <w:rsid w:val="00B25441"/>
    <w:rsid w:val="00B26507"/>
    <w:rsid w:val="00B265AB"/>
    <w:rsid w:val="00B26814"/>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19C"/>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467B"/>
    <w:rsid w:val="00B4620E"/>
    <w:rsid w:val="00B46CB0"/>
    <w:rsid w:val="00B470FA"/>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76DBF"/>
    <w:rsid w:val="00B80785"/>
    <w:rsid w:val="00B814ED"/>
    <w:rsid w:val="00B8179C"/>
    <w:rsid w:val="00B81D3B"/>
    <w:rsid w:val="00B822DB"/>
    <w:rsid w:val="00B82D4E"/>
    <w:rsid w:val="00B82D8B"/>
    <w:rsid w:val="00B84191"/>
    <w:rsid w:val="00B84A8A"/>
    <w:rsid w:val="00B850A5"/>
    <w:rsid w:val="00B865A6"/>
    <w:rsid w:val="00B87C64"/>
    <w:rsid w:val="00B87E47"/>
    <w:rsid w:val="00B905EB"/>
    <w:rsid w:val="00B90AE3"/>
    <w:rsid w:val="00B90C40"/>
    <w:rsid w:val="00B91877"/>
    <w:rsid w:val="00B91A82"/>
    <w:rsid w:val="00B9279C"/>
    <w:rsid w:val="00B92BCE"/>
    <w:rsid w:val="00B934BE"/>
    <w:rsid w:val="00B93569"/>
    <w:rsid w:val="00B94160"/>
    <w:rsid w:val="00B94B37"/>
    <w:rsid w:val="00B95178"/>
    <w:rsid w:val="00B9576A"/>
    <w:rsid w:val="00B9609C"/>
    <w:rsid w:val="00B962BB"/>
    <w:rsid w:val="00B967A7"/>
    <w:rsid w:val="00B96B0F"/>
    <w:rsid w:val="00BA088E"/>
    <w:rsid w:val="00BA0A2D"/>
    <w:rsid w:val="00BA152C"/>
    <w:rsid w:val="00BA1C04"/>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B51"/>
    <w:rsid w:val="00BB2E4D"/>
    <w:rsid w:val="00BB3445"/>
    <w:rsid w:val="00BB36D5"/>
    <w:rsid w:val="00BB404F"/>
    <w:rsid w:val="00BB467E"/>
    <w:rsid w:val="00BB5301"/>
    <w:rsid w:val="00BB57E8"/>
    <w:rsid w:val="00BB58C8"/>
    <w:rsid w:val="00BB63A5"/>
    <w:rsid w:val="00BB63AD"/>
    <w:rsid w:val="00BB7349"/>
    <w:rsid w:val="00BB778D"/>
    <w:rsid w:val="00BB7DF0"/>
    <w:rsid w:val="00BB7F90"/>
    <w:rsid w:val="00BC0196"/>
    <w:rsid w:val="00BC0367"/>
    <w:rsid w:val="00BC1A3A"/>
    <w:rsid w:val="00BC1CAA"/>
    <w:rsid w:val="00BC219A"/>
    <w:rsid w:val="00BC2EA7"/>
    <w:rsid w:val="00BC357C"/>
    <w:rsid w:val="00BC3946"/>
    <w:rsid w:val="00BC42A8"/>
    <w:rsid w:val="00BC4869"/>
    <w:rsid w:val="00BC6627"/>
    <w:rsid w:val="00BC66EE"/>
    <w:rsid w:val="00BC69F2"/>
    <w:rsid w:val="00BC6F0D"/>
    <w:rsid w:val="00BC72BE"/>
    <w:rsid w:val="00BC7332"/>
    <w:rsid w:val="00BC7535"/>
    <w:rsid w:val="00BC7F3C"/>
    <w:rsid w:val="00BC7FFB"/>
    <w:rsid w:val="00BD034D"/>
    <w:rsid w:val="00BD099E"/>
    <w:rsid w:val="00BD0C09"/>
    <w:rsid w:val="00BD1211"/>
    <w:rsid w:val="00BD1C73"/>
    <w:rsid w:val="00BD3209"/>
    <w:rsid w:val="00BD323A"/>
    <w:rsid w:val="00BD361A"/>
    <w:rsid w:val="00BD3692"/>
    <w:rsid w:val="00BD3E45"/>
    <w:rsid w:val="00BD3ECE"/>
    <w:rsid w:val="00BD4218"/>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3A0"/>
    <w:rsid w:val="00BE27FB"/>
    <w:rsid w:val="00BE2D09"/>
    <w:rsid w:val="00BE346A"/>
    <w:rsid w:val="00BE365E"/>
    <w:rsid w:val="00BE42B0"/>
    <w:rsid w:val="00BE46DF"/>
    <w:rsid w:val="00BE4933"/>
    <w:rsid w:val="00BE496A"/>
    <w:rsid w:val="00BE4ADD"/>
    <w:rsid w:val="00BE576A"/>
    <w:rsid w:val="00BE59B8"/>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5945"/>
    <w:rsid w:val="00BF5C55"/>
    <w:rsid w:val="00BF5D6D"/>
    <w:rsid w:val="00BF5FB6"/>
    <w:rsid w:val="00BF5FDD"/>
    <w:rsid w:val="00BF6362"/>
    <w:rsid w:val="00BF7293"/>
    <w:rsid w:val="00BF7B4F"/>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601"/>
    <w:rsid w:val="00C11E89"/>
    <w:rsid w:val="00C125DC"/>
    <w:rsid w:val="00C134F6"/>
    <w:rsid w:val="00C138AA"/>
    <w:rsid w:val="00C13C38"/>
    <w:rsid w:val="00C1424F"/>
    <w:rsid w:val="00C14933"/>
    <w:rsid w:val="00C14D71"/>
    <w:rsid w:val="00C14E0B"/>
    <w:rsid w:val="00C14FC5"/>
    <w:rsid w:val="00C157FC"/>
    <w:rsid w:val="00C15F54"/>
    <w:rsid w:val="00C170D0"/>
    <w:rsid w:val="00C170E1"/>
    <w:rsid w:val="00C200F2"/>
    <w:rsid w:val="00C2027F"/>
    <w:rsid w:val="00C202FE"/>
    <w:rsid w:val="00C20B16"/>
    <w:rsid w:val="00C213C6"/>
    <w:rsid w:val="00C21537"/>
    <w:rsid w:val="00C216A8"/>
    <w:rsid w:val="00C21B3C"/>
    <w:rsid w:val="00C22169"/>
    <w:rsid w:val="00C226EB"/>
    <w:rsid w:val="00C233B3"/>
    <w:rsid w:val="00C2343D"/>
    <w:rsid w:val="00C235D5"/>
    <w:rsid w:val="00C238FB"/>
    <w:rsid w:val="00C23BF7"/>
    <w:rsid w:val="00C240FA"/>
    <w:rsid w:val="00C25B3F"/>
    <w:rsid w:val="00C2627B"/>
    <w:rsid w:val="00C266DC"/>
    <w:rsid w:val="00C27F6A"/>
    <w:rsid w:val="00C30699"/>
    <w:rsid w:val="00C31080"/>
    <w:rsid w:val="00C321AF"/>
    <w:rsid w:val="00C3227B"/>
    <w:rsid w:val="00C32484"/>
    <w:rsid w:val="00C32521"/>
    <w:rsid w:val="00C32ACE"/>
    <w:rsid w:val="00C32F37"/>
    <w:rsid w:val="00C33352"/>
    <w:rsid w:val="00C346DD"/>
    <w:rsid w:val="00C34DB4"/>
    <w:rsid w:val="00C34E9C"/>
    <w:rsid w:val="00C355D2"/>
    <w:rsid w:val="00C35A64"/>
    <w:rsid w:val="00C35E7C"/>
    <w:rsid w:val="00C35EAD"/>
    <w:rsid w:val="00C36835"/>
    <w:rsid w:val="00C36929"/>
    <w:rsid w:val="00C36B0D"/>
    <w:rsid w:val="00C3744C"/>
    <w:rsid w:val="00C37839"/>
    <w:rsid w:val="00C37C4D"/>
    <w:rsid w:val="00C37EA0"/>
    <w:rsid w:val="00C409F6"/>
    <w:rsid w:val="00C410D2"/>
    <w:rsid w:val="00C41479"/>
    <w:rsid w:val="00C419AF"/>
    <w:rsid w:val="00C41A6A"/>
    <w:rsid w:val="00C41E0F"/>
    <w:rsid w:val="00C43670"/>
    <w:rsid w:val="00C43810"/>
    <w:rsid w:val="00C438D3"/>
    <w:rsid w:val="00C439F1"/>
    <w:rsid w:val="00C44200"/>
    <w:rsid w:val="00C4452E"/>
    <w:rsid w:val="00C5042D"/>
    <w:rsid w:val="00C510A7"/>
    <w:rsid w:val="00C518EC"/>
    <w:rsid w:val="00C51D6A"/>
    <w:rsid w:val="00C52AC3"/>
    <w:rsid w:val="00C52FE5"/>
    <w:rsid w:val="00C532A4"/>
    <w:rsid w:val="00C5351E"/>
    <w:rsid w:val="00C536D2"/>
    <w:rsid w:val="00C54558"/>
    <w:rsid w:val="00C5499F"/>
    <w:rsid w:val="00C55359"/>
    <w:rsid w:val="00C558A4"/>
    <w:rsid w:val="00C559CD"/>
    <w:rsid w:val="00C576F8"/>
    <w:rsid w:val="00C57BAE"/>
    <w:rsid w:val="00C57E04"/>
    <w:rsid w:val="00C6060E"/>
    <w:rsid w:val="00C606E2"/>
    <w:rsid w:val="00C60938"/>
    <w:rsid w:val="00C617A0"/>
    <w:rsid w:val="00C61818"/>
    <w:rsid w:val="00C61B06"/>
    <w:rsid w:val="00C61FEC"/>
    <w:rsid w:val="00C62B4F"/>
    <w:rsid w:val="00C62FC2"/>
    <w:rsid w:val="00C63CD5"/>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9C3"/>
    <w:rsid w:val="00C73ED0"/>
    <w:rsid w:val="00C74ACA"/>
    <w:rsid w:val="00C74F2A"/>
    <w:rsid w:val="00C755F6"/>
    <w:rsid w:val="00C75C4F"/>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4348"/>
    <w:rsid w:val="00C8463B"/>
    <w:rsid w:val="00C856EA"/>
    <w:rsid w:val="00C8742E"/>
    <w:rsid w:val="00C8778D"/>
    <w:rsid w:val="00C87955"/>
    <w:rsid w:val="00C90FC8"/>
    <w:rsid w:val="00C91075"/>
    <w:rsid w:val="00C91D39"/>
    <w:rsid w:val="00C929B3"/>
    <w:rsid w:val="00C92A0D"/>
    <w:rsid w:val="00C93523"/>
    <w:rsid w:val="00C93568"/>
    <w:rsid w:val="00C9443B"/>
    <w:rsid w:val="00C944A5"/>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59E3"/>
    <w:rsid w:val="00CA5AF6"/>
    <w:rsid w:val="00CA5B91"/>
    <w:rsid w:val="00CA62C6"/>
    <w:rsid w:val="00CA6747"/>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4E22"/>
    <w:rsid w:val="00CB508B"/>
    <w:rsid w:val="00CB5223"/>
    <w:rsid w:val="00CB52E9"/>
    <w:rsid w:val="00CB57D3"/>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778"/>
    <w:rsid w:val="00CC67F2"/>
    <w:rsid w:val="00CC6BC0"/>
    <w:rsid w:val="00CC6EA8"/>
    <w:rsid w:val="00CC7706"/>
    <w:rsid w:val="00CD0915"/>
    <w:rsid w:val="00CD135D"/>
    <w:rsid w:val="00CD15AC"/>
    <w:rsid w:val="00CD19A8"/>
    <w:rsid w:val="00CD19DB"/>
    <w:rsid w:val="00CD1A48"/>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884"/>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652"/>
    <w:rsid w:val="00D00B10"/>
    <w:rsid w:val="00D01362"/>
    <w:rsid w:val="00D01DCF"/>
    <w:rsid w:val="00D01E03"/>
    <w:rsid w:val="00D01F15"/>
    <w:rsid w:val="00D02606"/>
    <w:rsid w:val="00D02A6F"/>
    <w:rsid w:val="00D04514"/>
    <w:rsid w:val="00D0465B"/>
    <w:rsid w:val="00D05D6D"/>
    <w:rsid w:val="00D062B1"/>
    <w:rsid w:val="00D06465"/>
    <w:rsid w:val="00D067C4"/>
    <w:rsid w:val="00D07171"/>
    <w:rsid w:val="00D076D9"/>
    <w:rsid w:val="00D07D33"/>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20835"/>
    <w:rsid w:val="00D208C2"/>
    <w:rsid w:val="00D20BF9"/>
    <w:rsid w:val="00D20D52"/>
    <w:rsid w:val="00D20EF6"/>
    <w:rsid w:val="00D219AA"/>
    <w:rsid w:val="00D21D01"/>
    <w:rsid w:val="00D2237A"/>
    <w:rsid w:val="00D22D3F"/>
    <w:rsid w:val="00D230E7"/>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9EF"/>
    <w:rsid w:val="00D44AD8"/>
    <w:rsid w:val="00D44B6E"/>
    <w:rsid w:val="00D4515E"/>
    <w:rsid w:val="00D4521D"/>
    <w:rsid w:val="00D45819"/>
    <w:rsid w:val="00D46397"/>
    <w:rsid w:val="00D464F2"/>
    <w:rsid w:val="00D50CCE"/>
    <w:rsid w:val="00D50F44"/>
    <w:rsid w:val="00D52933"/>
    <w:rsid w:val="00D52C36"/>
    <w:rsid w:val="00D52FF0"/>
    <w:rsid w:val="00D53395"/>
    <w:rsid w:val="00D537E5"/>
    <w:rsid w:val="00D538C9"/>
    <w:rsid w:val="00D549DF"/>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5F78"/>
    <w:rsid w:val="00D66182"/>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486E"/>
    <w:rsid w:val="00D84A04"/>
    <w:rsid w:val="00D84EA2"/>
    <w:rsid w:val="00D84F77"/>
    <w:rsid w:val="00D852CF"/>
    <w:rsid w:val="00D852EB"/>
    <w:rsid w:val="00D86103"/>
    <w:rsid w:val="00D8663B"/>
    <w:rsid w:val="00D86696"/>
    <w:rsid w:val="00D875BA"/>
    <w:rsid w:val="00D878B6"/>
    <w:rsid w:val="00D87FC0"/>
    <w:rsid w:val="00D90C1B"/>
    <w:rsid w:val="00D90FB3"/>
    <w:rsid w:val="00D910B9"/>
    <w:rsid w:val="00D91E87"/>
    <w:rsid w:val="00D92243"/>
    <w:rsid w:val="00D925D1"/>
    <w:rsid w:val="00D92668"/>
    <w:rsid w:val="00D92931"/>
    <w:rsid w:val="00D93AD4"/>
    <w:rsid w:val="00D94948"/>
    <w:rsid w:val="00D94BE4"/>
    <w:rsid w:val="00D94F27"/>
    <w:rsid w:val="00D9531F"/>
    <w:rsid w:val="00D956C2"/>
    <w:rsid w:val="00D95B37"/>
    <w:rsid w:val="00D9626D"/>
    <w:rsid w:val="00D96E32"/>
    <w:rsid w:val="00D97888"/>
    <w:rsid w:val="00D979CF"/>
    <w:rsid w:val="00D97DD9"/>
    <w:rsid w:val="00DA04CA"/>
    <w:rsid w:val="00DA0B8F"/>
    <w:rsid w:val="00DA17F7"/>
    <w:rsid w:val="00DA1A7B"/>
    <w:rsid w:val="00DA1DC6"/>
    <w:rsid w:val="00DA1F2A"/>
    <w:rsid w:val="00DA1FA8"/>
    <w:rsid w:val="00DA3BBA"/>
    <w:rsid w:val="00DA4093"/>
    <w:rsid w:val="00DA430B"/>
    <w:rsid w:val="00DA432C"/>
    <w:rsid w:val="00DA45D3"/>
    <w:rsid w:val="00DA4677"/>
    <w:rsid w:val="00DA5392"/>
    <w:rsid w:val="00DB0034"/>
    <w:rsid w:val="00DB0677"/>
    <w:rsid w:val="00DB08A2"/>
    <w:rsid w:val="00DB0D6D"/>
    <w:rsid w:val="00DB1035"/>
    <w:rsid w:val="00DB1F84"/>
    <w:rsid w:val="00DB2950"/>
    <w:rsid w:val="00DB2F12"/>
    <w:rsid w:val="00DB447B"/>
    <w:rsid w:val="00DB44A1"/>
    <w:rsid w:val="00DB5CD7"/>
    <w:rsid w:val="00DB6647"/>
    <w:rsid w:val="00DC0C9F"/>
    <w:rsid w:val="00DC1727"/>
    <w:rsid w:val="00DC1843"/>
    <w:rsid w:val="00DC26F5"/>
    <w:rsid w:val="00DC30E4"/>
    <w:rsid w:val="00DC3306"/>
    <w:rsid w:val="00DC33BA"/>
    <w:rsid w:val="00DC4064"/>
    <w:rsid w:val="00DC4957"/>
    <w:rsid w:val="00DC4959"/>
    <w:rsid w:val="00DC4AE2"/>
    <w:rsid w:val="00DC63B3"/>
    <w:rsid w:val="00DC6B6C"/>
    <w:rsid w:val="00DC772E"/>
    <w:rsid w:val="00DD2336"/>
    <w:rsid w:val="00DD2877"/>
    <w:rsid w:val="00DD29DC"/>
    <w:rsid w:val="00DD2EDE"/>
    <w:rsid w:val="00DD3144"/>
    <w:rsid w:val="00DD3886"/>
    <w:rsid w:val="00DD38A3"/>
    <w:rsid w:val="00DD406B"/>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B01"/>
    <w:rsid w:val="00DF7CFE"/>
    <w:rsid w:val="00DF7E4B"/>
    <w:rsid w:val="00E00957"/>
    <w:rsid w:val="00E00EC1"/>
    <w:rsid w:val="00E01B7A"/>
    <w:rsid w:val="00E01DDD"/>
    <w:rsid w:val="00E0232E"/>
    <w:rsid w:val="00E0349F"/>
    <w:rsid w:val="00E03FCB"/>
    <w:rsid w:val="00E0443E"/>
    <w:rsid w:val="00E0480A"/>
    <w:rsid w:val="00E05FCE"/>
    <w:rsid w:val="00E065CE"/>
    <w:rsid w:val="00E06901"/>
    <w:rsid w:val="00E076EA"/>
    <w:rsid w:val="00E0787C"/>
    <w:rsid w:val="00E07E93"/>
    <w:rsid w:val="00E1036B"/>
    <w:rsid w:val="00E10734"/>
    <w:rsid w:val="00E120FC"/>
    <w:rsid w:val="00E12997"/>
    <w:rsid w:val="00E12D07"/>
    <w:rsid w:val="00E145C0"/>
    <w:rsid w:val="00E14BA9"/>
    <w:rsid w:val="00E14CCB"/>
    <w:rsid w:val="00E14D96"/>
    <w:rsid w:val="00E1575A"/>
    <w:rsid w:val="00E16CEB"/>
    <w:rsid w:val="00E1701F"/>
    <w:rsid w:val="00E1736D"/>
    <w:rsid w:val="00E1746A"/>
    <w:rsid w:val="00E207AC"/>
    <w:rsid w:val="00E2095F"/>
    <w:rsid w:val="00E215E4"/>
    <w:rsid w:val="00E2168A"/>
    <w:rsid w:val="00E224FF"/>
    <w:rsid w:val="00E2254B"/>
    <w:rsid w:val="00E22FD4"/>
    <w:rsid w:val="00E2350E"/>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448"/>
    <w:rsid w:val="00E328C4"/>
    <w:rsid w:val="00E32B7F"/>
    <w:rsid w:val="00E3391B"/>
    <w:rsid w:val="00E33954"/>
    <w:rsid w:val="00E3486A"/>
    <w:rsid w:val="00E34A4E"/>
    <w:rsid w:val="00E35198"/>
    <w:rsid w:val="00E35AA6"/>
    <w:rsid w:val="00E3733B"/>
    <w:rsid w:val="00E40EDA"/>
    <w:rsid w:val="00E411A6"/>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BED"/>
    <w:rsid w:val="00E51D63"/>
    <w:rsid w:val="00E5259C"/>
    <w:rsid w:val="00E52624"/>
    <w:rsid w:val="00E5265D"/>
    <w:rsid w:val="00E528E2"/>
    <w:rsid w:val="00E540BC"/>
    <w:rsid w:val="00E5413A"/>
    <w:rsid w:val="00E545D0"/>
    <w:rsid w:val="00E546D8"/>
    <w:rsid w:val="00E55289"/>
    <w:rsid w:val="00E55480"/>
    <w:rsid w:val="00E55AC7"/>
    <w:rsid w:val="00E55C26"/>
    <w:rsid w:val="00E55C2D"/>
    <w:rsid w:val="00E55EA0"/>
    <w:rsid w:val="00E56AE4"/>
    <w:rsid w:val="00E56C8D"/>
    <w:rsid w:val="00E578FE"/>
    <w:rsid w:val="00E600CD"/>
    <w:rsid w:val="00E60219"/>
    <w:rsid w:val="00E61149"/>
    <w:rsid w:val="00E61239"/>
    <w:rsid w:val="00E62EF4"/>
    <w:rsid w:val="00E632EA"/>
    <w:rsid w:val="00E64613"/>
    <w:rsid w:val="00E650E0"/>
    <w:rsid w:val="00E654A0"/>
    <w:rsid w:val="00E65521"/>
    <w:rsid w:val="00E65D6D"/>
    <w:rsid w:val="00E66502"/>
    <w:rsid w:val="00E66CAF"/>
    <w:rsid w:val="00E67455"/>
    <w:rsid w:val="00E67936"/>
    <w:rsid w:val="00E67D4A"/>
    <w:rsid w:val="00E67FF3"/>
    <w:rsid w:val="00E701AC"/>
    <w:rsid w:val="00E719E2"/>
    <w:rsid w:val="00E71E0E"/>
    <w:rsid w:val="00E721DA"/>
    <w:rsid w:val="00E72497"/>
    <w:rsid w:val="00E728E6"/>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44DD"/>
    <w:rsid w:val="00E97C2F"/>
    <w:rsid w:val="00EA04FB"/>
    <w:rsid w:val="00EA0B80"/>
    <w:rsid w:val="00EA0E90"/>
    <w:rsid w:val="00EA1245"/>
    <w:rsid w:val="00EA1864"/>
    <w:rsid w:val="00EA1F76"/>
    <w:rsid w:val="00EA44FE"/>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B6D7F"/>
    <w:rsid w:val="00EC0F44"/>
    <w:rsid w:val="00EC115E"/>
    <w:rsid w:val="00EC1362"/>
    <w:rsid w:val="00EC14F5"/>
    <w:rsid w:val="00EC150E"/>
    <w:rsid w:val="00EC1C7D"/>
    <w:rsid w:val="00EC214F"/>
    <w:rsid w:val="00EC238F"/>
    <w:rsid w:val="00EC291E"/>
    <w:rsid w:val="00EC2EEA"/>
    <w:rsid w:val="00EC6033"/>
    <w:rsid w:val="00EC6527"/>
    <w:rsid w:val="00EC67DE"/>
    <w:rsid w:val="00EC6ABB"/>
    <w:rsid w:val="00EC747F"/>
    <w:rsid w:val="00EC7865"/>
    <w:rsid w:val="00EC7B44"/>
    <w:rsid w:val="00EC7B71"/>
    <w:rsid w:val="00ED0426"/>
    <w:rsid w:val="00ED0599"/>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6D30"/>
    <w:rsid w:val="00EE76B1"/>
    <w:rsid w:val="00EE7818"/>
    <w:rsid w:val="00EE78E1"/>
    <w:rsid w:val="00EF0700"/>
    <w:rsid w:val="00EF0B59"/>
    <w:rsid w:val="00EF0F59"/>
    <w:rsid w:val="00EF1196"/>
    <w:rsid w:val="00EF1A5A"/>
    <w:rsid w:val="00EF20D2"/>
    <w:rsid w:val="00EF2B23"/>
    <w:rsid w:val="00EF2E33"/>
    <w:rsid w:val="00EF3A01"/>
    <w:rsid w:val="00EF47C8"/>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A10"/>
    <w:rsid w:val="00F1523B"/>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498E"/>
    <w:rsid w:val="00F249C5"/>
    <w:rsid w:val="00F25865"/>
    <w:rsid w:val="00F26938"/>
    <w:rsid w:val="00F270F0"/>
    <w:rsid w:val="00F276A8"/>
    <w:rsid w:val="00F27882"/>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B3B"/>
    <w:rsid w:val="00F55CBC"/>
    <w:rsid w:val="00F55DCB"/>
    <w:rsid w:val="00F562AA"/>
    <w:rsid w:val="00F56426"/>
    <w:rsid w:val="00F5643F"/>
    <w:rsid w:val="00F56CB4"/>
    <w:rsid w:val="00F60198"/>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67BD3"/>
    <w:rsid w:val="00F70652"/>
    <w:rsid w:val="00F70B12"/>
    <w:rsid w:val="00F70F10"/>
    <w:rsid w:val="00F716BE"/>
    <w:rsid w:val="00F71849"/>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F4D"/>
    <w:rsid w:val="00F809C6"/>
    <w:rsid w:val="00F80D48"/>
    <w:rsid w:val="00F81408"/>
    <w:rsid w:val="00F81458"/>
    <w:rsid w:val="00F815F4"/>
    <w:rsid w:val="00F82E5F"/>
    <w:rsid w:val="00F832E4"/>
    <w:rsid w:val="00F84205"/>
    <w:rsid w:val="00F84294"/>
    <w:rsid w:val="00F86C5F"/>
    <w:rsid w:val="00F86D62"/>
    <w:rsid w:val="00F86F41"/>
    <w:rsid w:val="00F874BB"/>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C0481"/>
    <w:rsid w:val="00FC16AB"/>
    <w:rsid w:val="00FC3564"/>
    <w:rsid w:val="00FC37AD"/>
    <w:rsid w:val="00FC3FBD"/>
    <w:rsid w:val="00FC4A30"/>
    <w:rsid w:val="00FC54A4"/>
    <w:rsid w:val="00FC5909"/>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6FA"/>
    <w:rsid w:val="00FF47CD"/>
    <w:rsid w:val="00FF48BE"/>
    <w:rsid w:val="00FF4CA5"/>
    <w:rsid w:val="00FF5344"/>
    <w:rsid w:val="00FF5532"/>
    <w:rsid w:val="00FF5DBD"/>
    <w:rsid w:val="00FF6225"/>
    <w:rsid w:val="00FF67D7"/>
    <w:rsid w:val="00FF6EC7"/>
    <w:rsid w:val="0EE28084"/>
    <w:rsid w:val="226BB7D0"/>
    <w:rsid w:val="23740614"/>
    <w:rsid w:val="27EA7DDB"/>
    <w:rsid w:val="44E9108F"/>
    <w:rsid w:val="5257D7BA"/>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3C5351"/>
    <w:pPr>
      <w:numPr>
        <w:numId w:val="65"/>
      </w:numPr>
    </w:pPr>
  </w:style>
  <w:style w:type="numbering" w:customStyle="1" w:styleId="Listaactual48">
    <w:name w:val="Lista actual48"/>
    <w:uiPriority w:val="99"/>
    <w:rsid w:val="00E944DD"/>
    <w:pPr>
      <w:numPr>
        <w:numId w:val="66"/>
      </w:numPr>
    </w:pPr>
  </w:style>
  <w:style w:type="numbering" w:customStyle="1" w:styleId="Listaactual49">
    <w:name w:val="Lista actual49"/>
    <w:uiPriority w:val="99"/>
    <w:rsid w:val="00E728E6"/>
    <w:pPr>
      <w:numPr>
        <w:numId w:val="68"/>
      </w:numPr>
    </w:pPr>
  </w:style>
  <w:style w:type="character" w:customStyle="1" w:styleId="UnresolvedMention">
    <w:name w:val="Unresolved Mention"/>
    <w:basedOn w:val="Fuentedeprrafopredeter"/>
    <w:uiPriority w:val="99"/>
    <w:semiHidden/>
    <w:unhideWhenUsed/>
    <w:rsid w:val="00DA4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pomex.org.mx/ipomex/"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6F6AA-6928-4136-B47B-17D1E01A5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33</Pages>
  <Words>8018</Words>
  <Characters>44101</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190</cp:revision>
  <cp:lastPrinted>2026-06-18T02:15:00Z</cp:lastPrinted>
  <dcterms:created xsi:type="dcterms:W3CDTF">2026-04-22T22:57:00Z</dcterms:created>
  <dcterms:modified xsi:type="dcterms:W3CDTF">2026-06-23T19:01:00Z</dcterms:modified>
</cp:coreProperties>
</file>