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0D81" w:rsidRPr="002B68CD" w:rsidRDefault="0097559C">
      <w:pPr>
        <w:spacing w:line="360" w:lineRule="auto"/>
        <w:ind w:right="49" w:hanging="22"/>
        <w:jc w:val="both"/>
        <w:rPr>
          <w:rFonts w:ascii="Palatino Linotype" w:eastAsia="Palatino Linotype" w:hAnsi="Palatino Linotype" w:cs="Palatino Linotype"/>
          <w:sz w:val="22"/>
          <w:szCs w:val="22"/>
        </w:rPr>
      </w:pPr>
      <w:bookmarkStart w:id="0" w:name="_GoBack"/>
      <w:bookmarkEnd w:id="0"/>
      <w:r w:rsidRPr="002B68CD">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w:t>
      </w:r>
      <w:r w:rsidRPr="002B68CD">
        <w:rPr>
          <w:rFonts w:ascii="Palatino Linotype" w:eastAsia="Palatino Linotype" w:hAnsi="Palatino Linotype" w:cs="Palatino Linotype"/>
          <w:b/>
          <w:bCs/>
          <w:sz w:val="22"/>
          <w:szCs w:val="22"/>
        </w:rPr>
        <w:t>cinco de marzo</w:t>
      </w:r>
      <w:r w:rsidRPr="002B68CD">
        <w:rPr>
          <w:rFonts w:ascii="Palatino Linotype" w:eastAsia="Palatino Linotype" w:hAnsi="Palatino Linotype" w:cs="Palatino Linotype"/>
          <w:sz w:val="22"/>
          <w:szCs w:val="22"/>
        </w:rPr>
        <w:t xml:space="preserve"> </w:t>
      </w:r>
      <w:r w:rsidRPr="002B68CD">
        <w:rPr>
          <w:rFonts w:ascii="Palatino Linotype" w:eastAsia="Palatino Linotype" w:hAnsi="Palatino Linotype" w:cs="Palatino Linotype"/>
          <w:b/>
          <w:bCs/>
          <w:sz w:val="22"/>
          <w:szCs w:val="22"/>
        </w:rPr>
        <w:t>de dos mil veintiséis.</w:t>
      </w:r>
    </w:p>
    <w:p w:rsidR="00670D81" w:rsidRPr="002B68CD" w:rsidRDefault="00670D81">
      <w:pPr>
        <w:spacing w:line="360" w:lineRule="auto"/>
        <w:ind w:right="49"/>
        <w:jc w:val="both"/>
        <w:rPr>
          <w:rFonts w:ascii="Palatino Linotype" w:eastAsia="Palatino Linotype" w:hAnsi="Palatino Linotype" w:cs="Palatino Linotype"/>
          <w:sz w:val="22"/>
          <w:szCs w:val="22"/>
        </w:rPr>
      </w:pPr>
    </w:p>
    <w:p w:rsidR="00670D81" w:rsidRPr="002B68CD" w:rsidRDefault="0097559C">
      <w:pPr>
        <w:spacing w:line="360" w:lineRule="auto"/>
        <w:ind w:right="49"/>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b/>
          <w:bCs/>
          <w:sz w:val="22"/>
          <w:szCs w:val="22"/>
        </w:rPr>
        <w:t xml:space="preserve">VISTO </w:t>
      </w:r>
      <w:r w:rsidRPr="002B68CD">
        <w:rPr>
          <w:rFonts w:ascii="Palatino Linotype" w:eastAsia="Palatino Linotype" w:hAnsi="Palatino Linotype" w:cs="Palatino Linotype"/>
          <w:sz w:val="22"/>
          <w:szCs w:val="22"/>
        </w:rPr>
        <w:t xml:space="preserve">el expediente relativo al recurso de revisión </w:t>
      </w:r>
      <w:r w:rsidRPr="002B68CD">
        <w:rPr>
          <w:rFonts w:ascii="Palatino Linotype" w:eastAsia="Palatino Linotype" w:hAnsi="Palatino Linotype" w:cs="Palatino Linotype"/>
          <w:b/>
          <w:bCs/>
          <w:sz w:val="22"/>
          <w:szCs w:val="22"/>
        </w:rPr>
        <w:t xml:space="preserve">10389/INFOEM/IP/RR/2025, </w:t>
      </w:r>
      <w:r w:rsidRPr="002B68CD">
        <w:rPr>
          <w:rFonts w:ascii="Palatino Linotype" w:eastAsia="Palatino Linotype" w:hAnsi="Palatino Linotype" w:cs="Palatino Linotype"/>
          <w:sz w:val="22"/>
          <w:szCs w:val="22"/>
        </w:rPr>
        <w:t xml:space="preserve">interpuesto por un </w:t>
      </w:r>
      <w:r w:rsidRPr="002B68CD">
        <w:rPr>
          <w:rFonts w:ascii="Palatino Linotype" w:eastAsia="Palatino Linotype" w:hAnsi="Palatino Linotype" w:cs="Palatino Linotype"/>
          <w:b/>
          <w:bCs/>
          <w:sz w:val="22"/>
          <w:szCs w:val="22"/>
        </w:rPr>
        <w:t>Usuario que no proporcionó su nombre</w:t>
      </w:r>
      <w:r w:rsidRPr="002B68CD">
        <w:rPr>
          <w:rFonts w:ascii="Palatino Linotype" w:eastAsia="Palatino Linotype" w:hAnsi="Palatino Linotype" w:cs="Palatino Linotype"/>
          <w:sz w:val="22"/>
          <w:szCs w:val="22"/>
        </w:rPr>
        <w:t xml:space="preserve">, en lo sucesivo la parte </w:t>
      </w:r>
      <w:r w:rsidRPr="002B68CD">
        <w:rPr>
          <w:rFonts w:ascii="Palatino Linotype" w:eastAsia="Palatino Linotype" w:hAnsi="Palatino Linotype" w:cs="Palatino Linotype"/>
          <w:b/>
          <w:bCs/>
          <w:sz w:val="22"/>
          <w:szCs w:val="22"/>
        </w:rPr>
        <w:t>Recurrente</w:t>
      </w:r>
      <w:r w:rsidRPr="002B68CD">
        <w:rPr>
          <w:rFonts w:ascii="Palatino Linotype" w:eastAsia="Palatino Linotype" w:hAnsi="Palatino Linotype" w:cs="Palatino Linotype"/>
          <w:sz w:val="22"/>
          <w:szCs w:val="22"/>
        </w:rPr>
        <w:t xml:space="preserve">, en contra de la respuesta a la solicitud de información por parte del </w:t>
      </w:r>
      <w:r w:rsidRPr="002B68CD">
        <w:rPr>
          <w:rFonts w:ascii="Palatino Linotype" w:eastAsia="Palatino Linotype" w:hAnsi="Palatino Linotype" w:cs="Palatino Linotype"/>
          <w:b/>
          <w:bCs/>
          <w:sz w:val="22"/>
          <w:szCs w:val="22"/>
        </w:rPr>
        <w:t>Ayuntamiento de la Paz</w:t>
      </w:r>
      <w:r w:rsidRPr="002B68CD">
        <w:rPr>
          <w:rFonts w:ascii="Palatino Linotype" w:eastAsia="Palatino Linotype" w:hAnsi="Palatino Linotype" w:cs="Palatino Linotype"/>
          <w:sz w:val="22"/>
          <w:szCs w:val="22"/>
        </w:rPr>
        <w:t xml:space="preserve">, en lo sucesivo el </w:t>
      </w:r>
      <w:r w:rsidRPr="002B68CD">
        <w:rPr>
          <w:rFonts w:ascii="Palatino Linotype" w:eastAsia="Palatino Linotype" w:hAnsi="Palatino Linotype" w:cs="Palatino Linotype"/>
          <w:b/>
          <w:bCs/>
          <w:sz w:val="22"/>
          <w:szCs w:val="22"/>
        </w:rPr>
        <w:t xml:space="preserve">Sujeto Obligado; </w:t>
      </w:r>
      <w:r w:rsidRPr="002B68CD">
        <w:rPr>
          <w:rFonts w:ascii="Palatino Linotype" w:eastAsia="Palatino Linotype" w:hAnsi="Palatino Linotype" w:cs="Palatino Linotype"/>
          <w:sz w:val="22"/>
          <w:szCs w:val="22"/>
        </w:rPr>
        <w:t xml:space="preserve">se procede a dictar la presente resolución, con base en lo siguiente. </w:t>
      </w:r>
    </w:p>
    <w:p w:rsidR="00670D81" w:rsidRPr="002B68CD" w:rsidRDefault="00670D81">
      <w:pPr>
        <w:spacing w:line="360" w:lineRule="auto"/>
        <w:ind w:right="49"/>
        <w:jc w:val="both"/>
        <w:rPr>
          <w:rFonts w:ascii="Palatino Linotype" w:eastAsia="Palatino Linotype" w:hAnsi="Palatino Linotype" w:cs="Palatino Linotype"/>
          <w:sz w:val="22"/>
          <w:szCs w:val="22"/>
        </w:rPr>
      </w:pPr>
    </w:p>
    <w:p w:rsidR="00670D81" w:rsidRPr="002B68CD" w:rsidRDefault="0097559C">
      <w:pPr>
        <w:spacing w:line="360" w:lineRule="auto"/>
        <w:ind w:right="49"/>
        <w:jc w:val="center"/>
        <w:rPr>
          <w:rFonts w:ascii="Palatino Linotype" w:eastAsia="Palatino Linotype" w:hAnsi="Palatino Linotype" w:cs="Palatino Linotype"/>
          <w:b/>
          <w:bCs/>
          <w:sz w:val="22"/>
          <w:szCs w:val="22"/>
        </w:rPr>
      </w:pPr>
      <w:r w:rsidRPr="002B68CD">
        <w:rPr>
          <w:rFonts w:ascii="Palatino Linotype" w:eastAsia="Palatino Linotype" w:hAnsi="Palatino Linotype" w:cs="Palatino Linotype"/>
          <w:b/>
          <w:bCs/>
          <w:sz w:val="22"/>
          <w:szCs w:val="22"/>
        </w:rPr>
        <w:t>I.</w:t>
      </w:r>
      <w:r w:rsidRPr="002B68CD">
        <w:rPr>
          <w:rFonts w:ascii="Palatino Linotype" w:eastAsia="Palatino Linotype" w:hAnsi="Palatino Linotype" w:cs="Palatino Linotype"/>
          <w:b/>
          <w:bCs/>
          <w:sz w:val="22"/>
          <w:szCs w:val="22"/>
        </w:rPr>
        <w:tab/>
        <w:t xml:space="preserve">A N T E C E D E N T E S </w:t>
      </w:r>
    </w:p>
    <w:p w:rsidR="00670D81" w:rsidRPr="002B68CD" w:rsidRDefault="00670D81">
      <w:pPr>
        <w:spacing w:line="360" w:lineRule="auto"/>
        <w:ind w:right="49"/>
        <w:jc w:val="both"/>
        <w:rPr>
          <w:rFonts w:ascii="Palatino Linotype" w:eastAsia="Palatino Linotype" w:hAnsi="Palatino Linotype" w:cs="Palatino Linotype"/>
          <w:sz w:val="22"/>
          <w:szCs w:val="22"/>
        </w:rPr>
      </w:pP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b/>
          <w:bCs/>
          <w:sz w:val="22"/>
          <w:szCs w:val="22"/>
        </w:rPr>
        <w:t>1.</w:t>
      </w:r>
      <w:r w:rsidRPr="002B68CD">
        <w:rPr>
          <w:rFonts w:ascii="Palatino Linotype" w:eastAsia="Palatino Linotype" w:hAnsi="Palatino Linotype" w:cs="Palatino Linotype"/>
          <w:sz w:val="22"/>
          <w:szCs w:val="22"/>
        </w:rPr>
        <w:t xml:space="preserve"> </w:t>
      </w:r>
      <w:r w:rsidRPr="002B68CD">
        <w:rPr>
          <w:rFonts w:ascii="Palatino Linotype" w:eastAsia="Palatino Linotype" w:hAnsi="Palatino Linotype" w:cs="Palatino Linotype"/>
          <w:b/>
          <w:bCs/>
          <w:sz w:val="22"/>
          <w:szCs w:val="22"/>
        </w:rPr>
        <w:t>Solicitud de Acceso a la Información. El cuatro de agosto de dos mil veinticinco</w:t>
      </w:r>
      <w:r w:rsidRPr="002B68CD">
        <w:rPr>
          <w:rFonts w:ascii="Palatino Linotype" w:eastAsia="Palatino Linotype" w:hAnsi="Palatino Linotype" w:cs="Palatino Linotype"/>
          <w:sz w:val="22"/>
          <w:szCs w:val="22"/>
        </w:rPr>
        <w:t xml:space="preserve">, </w:t>
      </w:r>
      <w:r w:rsidRPr="002B68CD">
        <w:rPr>
          <w:rFonts w:ascii="Palatino Linotype" w:eastAsia="Palatino Linotype" w:hAnsi="Palatino Linotype" w:cs="Palatino Linotype"/>
          <w:b/>
          <w:bCs/>
          <w:sz w:val="22"/>
          <w:szCs w:val="22"/>
        </w:rPr>
        <w:t>LA PARTE</w:t>
      </w:r>
      <w:r w:rsidRPr="002B68CD">
        <w:rPr>
          <w:rFonts w:ascii="Palatino Linotype" w:eastAsia="Palatino Linotype" w:hAnsi="Palatino Linotype" w:cs="Palatino Linotype"/>
          <w:sz w:val="22"/>
          <w:szCs w:val="22"/>
        </w:rPr>
        <w:t xml:space="preserve"> </w:t>
      </w:r>
      <w:r w:rsidRPr="002B68CD">
        <w:rPr>
          <w:rFonts w:ascii="Palatino Linotype" w:eastAsia="Palatino Linotype" w:hAnsi="Palatino Linotype" w:cs="Palatino Linotype"/>
          <w:b/>
          <w:bCs/>
          <w:sz w:val="22"/>
          <w:szCs w:val="22"/>
        </w:rPr>
        <w:t>RECURRENTE</w:t>
      </w:r>
      <w:r w:rsidRPr="002B68CD">
        <w:rPr>
          <w:rFonts w:ascii="Palatino Linotype" w:eastAsia="Palatino Linotype" w:hAnsi="Palatino Linotype" w:cs="Palatino Linotype"/>
          <w:sz w:val="22"/>
          <w:szCs w:val="22"/>
        </w:rPr>
        <w:t xml:space="preserve"> formuló solicitud de acceso a información pública a través del </w:t>
      </w:r>
      <w:r w:rsidRPr="002B68CD">
        <w:rPr>
          <w:rFonts w:ascii="Palatino Linotype" w:eastAsia="Palatino Linotype" w:hAnsi="Palatino Linotype" w:cs="Palatino Linotype"/>
          <w:b/>
          <w:bCs/>
          <w:sz w:val="22"/>
          <w:szCs w:val="22"/>
        </w:rPr>
        <w:t>SAIMEX</w:t>
      </w:r>
      <w:r w:rsidRPr="002B68CD">
        <w:rPr>
          <w:rFonts w:ascii="Palatino Linotype" w:eastAsia="Palatino Linotype" w:hAnsi="Palatino Linotype" w:cs="Palatino Linotype"/>
          <w:sz w:val="22"/>
          <w:szCs w:val="22"/>
        </w:rPr>
        <w:t xml:space="preserve">, en la que requirió lo siguiente: </w:t>
      </w:r>
    </w:p>
    <w:p w:rsidR="00670D81" w:rsidRPr="002B68CD" w:rsidRDefault="00670D81">
      <w:pPr>
        <w:spacing w:line="360" w:lineRule="auto"/>
        <w:jc w:val="both"/>
        <w:rPr>
          <w:rFonts w:ascii="Palatino Linotype" w:eastAsia="Palatino Linotype" w:hAnsi="Palatino Linotype" w:cs="Palatino Linotype"/>
          <w:sz w:val="22"/>
          <w:szCs w:val="22"/>
        </w:rPr>
      </w:pPr>
    </w:p>
    <w:p w:rsidR="00670D81" w:rsidRPr="002B68CD" w:rsidRDefault="0097559C">
      <w:pPr>
        <w:numPr>
          <w:ilvl w:val="0"/>
          <w:numId w:val="3"/>
        </w:numPr>
        <w:pBdr>
          <w:top w:val="nil"/>
          <w:left w:val="nil"/>
          <w:bottom w:val="nil"/>
          <w:right w:val="nil"/>
          <w:between w:val="nil"/>
        </w:pBdr>
        <w:spacing w:line="360" w:lineRule="auto"/>
        <w:ind w:left="567" w:right="49"/>
        <w:jc w:val="both"/>
        <w:rPr>
          <w:rFonts w:ascii="Palatino Linotype" w:eastAsia="Palatino Linotype" w:hAnsi="Palatino Linotype" w:cs="Palatino Linotype"/>
          <w:b/>
          <w:bCs/>
          <w:sz w:val="22"/>
          <w:szCs w:val="22"/>
        </w:rPr>
      </w:pPr>
      <w:bookmarkStart w:id="1" w:name="_heading=h.3znysh7" w:colFirst="0" w:colLast="0"/>
      <w:bookmarkEnd w:id="1"/>
      <w:r w:rsidRPr="002B68CD">
        <w:rPr>
          <w:rFonts w:ascii="Palatino Linotype" w:eastAsia="Palatino Linotype" w:hAnsi="Palatino Linotype" w:cs="Palatino Linotype"/>
          <w:b/>
          <w:bCs/>
          <w:sz w:val="22"/>
          <w:szCs w:val="22"/>
        </w:rPr>
        <w:t>00473/LAPAZ/IP/2025</w:t>
      </w:r>
    </w:p>
    <w:p w:rsidR="00670D81" w:rsidRPr="002B68CD" w:rsidRDefault="0097559C">
      <w:pPr>
        <w:spacing w:line="276" w:lineRule="auto"/>
        <w:ind w:left="567" w:right="843"/>
        <w:jc w:val="both"/>
        <w:rPr>
          <w:rFonts w:ascii="Palatino Linotype" w:eastAsia="Palatino Linotype" w:hAnsi="Palatino Linotype" w:cs="Palatino Linotype"/>
          <w:b/>
          <w:bCs/>
          <w:i/>
          <w:iCs/>
          <w:sz w:val="22"/>
          <w:szCs w:val="22"/>
        </w:rPr>
      </w:pPr>
      <w:r w:rsidRPr="002B68CD">
        <w:rPr>
          <w:rFonts w:ascii="Palatino Linotype" w:eastAsia="Palatino Linotype" w:hAnsi="Palatino Linotype" w:cs="Palatino Linotype"/>
          <w:i/>
          <w:iCs/>
          <w:sz w:val="22"/>
          <w:szCs w:val="22"/>
        </w:rPr>
        <w:t xml:space="preserve">"copia del expediente completo de las auditorias realizadas por el órgano interno de control o similar,,en el año 2024 donde se identifique inicio </w:t>
      </w:r>
      <w:r w:rsidRPr="002B68CD">
        <w:rPr>
          <w:rFonts w:ascii="Palatino Linotype" w:eastAsia="Palatino Linotype" w:hAnsi="Palatino Linotype" w:cs="Palatino Linotype"/>
          <w:i/>
          <w:iCs/>
          <w:sz w:val="22"/>
          <w:szCs w:val="22"/>
          <w:u w:val="single"/>
        </w:rPr>
        <w:t>y fin de las miasmas</w:t>
      </w:r>
      <w:r w:rsidRPr="002B68CD">
        <w:rPr>
          <w:rFonts w:ascii="Palatino Linotype" w:eastAsia="Palatino Linotype" w:hAnsi="Palatino Linotype" w:cs="Palatino Linotype"/>
          <w:b/>
          <w:bCs/>
          <w:i/>
          <w:iCs/>
          <w:sz w:val="22"/>
          <w:szCs w:val="22"/>
        </w:rPr>
        <w:t>” (Sic.)</w:t>
      </w:r>
    </w:p>
    <w:p w:rsidR="00670D81" w:rsidRPr="002B68CD" w:rsidRDefault="00670D81">
      <w:pPr>
        <w:spacing w:line="360" w:lineRule="auto"/>
        <w:ind w:left="567" w:right="843"/>
        <w:jc w:val="both"/>
        <w:rPr>
          <w:rFonts w:ascii="Palatino Linotype" w:eastAsia="Palatino Linotype" w:hAnsi="Palatino Linotype" w:cs="Palatino Linotype"/>
          <w:i/>
          <w:iCs/>
          <w:sz w:val="22"/>
          <w:szCs w:val="22"/>
        </w:rPr>
      </w:pPr>
    </w:p>
    <w:p w:rsidR="00670D81" w:rsidRPr="002B68CD" w:rsidRDefault="0097559C">
      <w:pPr>
        <w:spacing w:line="360" w:lineRule="auto"/>
        <w:ind w:right="49"/>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b/>
          <w:bCs/>
          <w:sz w:val="22"/>
          <w:szCs w:val="22"/>
        </w:rPr>
        <w:t>Modalidad elegida para la entrega de la información:</w:t>
      </w:r>
      <w:r w:rsidRPr="002B68CD">
        <w:rPr>
          <w:rFonts w:ascii="Palatino Linotype" w:eastAsia="Palatino Linotype" w:hAnsi="Palatino Linotype" w:cs="Palatino Linotype"/>
          <w:sz w:val="22"/>
          <w:szCs w:val="22"/>
        </w:rPr>
        <w:t xml:space="preserve"> a través del Sistema de Acceso a la Información Mexiquense (SAIMEX).</w:t>
      </w:r>
    </w:p>
    <w:p w:rsidR="00670D81" w:rsidRPr="002B68CD" w:rsidRDefault="00670D81">
      <w:pPr>
        <w:widowControl w:val="0"/>
        <w:spacing w:line="360" w:lineRule="auto"/>
        <w:jc w:val="both"/>
        <w:rPr>
          <w:rFonts w:ascii="Palatino Linotype" w:eastAsia="Palatino Linotype" w:hAnsi="Palatino Linotype" w:cs="Palatino Linotype"/>
          <w:b/>
          <w:bCs/>
          <w:sz w:val="22"/>
          <w:szCs w:val="22"/>
        </w:rPr>
      </w:pPr>
    </w:p>
    <w:p w:rsidR="00670D81" w:rsidRPr="002B68CD" w:rsidRDefault="0097559C">
      <w:pPr>
        <w:widowControl w:val="0"/>
        <w:spacing w:line="360" w:lineRule="auto"/>
        <w:jc w:val="both"/>
        <w:rPr>
          <w:rFonts w:ascii="Palatino Linotype" w:eastAsia="Palatino Linotype" w:hAnsi="Palatino Linotype" w:cs="Palatino Linotype"/>
          <w:b/>
          <w:bCs/>
          <w:sz w:val="22"/>
          <w:szCs w:val="22"/>
        </w:rPr>
      </w:pPr>
      <w:r w:rsidRPr="002B68CD">
        <w:rPr>
          <w:rFonts w:ascii="Palatino Linotype" w:eastAsia="Palatino Linotype" w:hAnsi="Palatino Linotype" w:cs="Palatino Linotype"/>
          <w:b/>
          <w:bCs/>
          <w:sz w:val="22"/>
          <w:szCs w:val="22"/>
        </w:rPr>
        <w:t>2. Prórroga. El veintiuno de agosto de dos mil veinticinco el Sujeto Obligado solicitó una prórroga para dar respuesta a la solicitud en los siguientes términos:</w:t>
      </w:r>
    </w:p>
    <w:p w:rsidR="00670D81" w:rsidRPr="002B68CD" w:rsidRDefault="00670D81">
      <w:pPr>
        <w:widowControl w:val="0"/>
        <w:spacing w:line="360" w:lineRule="auto"/>
        <w:jc w:val="both"/>
        <w:rPr>
          <w:rFonts w:ascii="Palatino Linotype" w:eastAsia="Palatino Linotype" w:hAnsi="Palatino Linotype" w:cs="Palatino Linotype"/>
          <w:b/>
          <w:bCs/>
          <w:sz w:val="22"/>
          <w:szCs w:val="22"/>
        </w:rPr>
      </w:pPr>
    </w:p>
    <w:p w:rsidR="00670D81" w:rsidRPr="002B68CD" w:rsidRDefault="0097559C">
      <w:pPr>
        <w:widowControl w:val="0"/>
        <w:spacing w:line="360" w:lineRule="auto"/>
        <w:ind w:left="567" w:right="843"/>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rsidR="00670D81" w:rsidRPr="002B68CD" w:rsidRDefault="0097559C">
      <w:pPr>
        <w:widowControl w:val="0"/>
        <w:spacing w:line="360" w:lineRule="auto"/>
        <w:ind w:left="567" w:right="843"/>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w:t>
      </w:r>
    </w:p>
    <w:p w:rsidR="00670D81" w:rsidRPr="002B68CD" w:rsidRDefault="0097559C">
      <w:pPr>
        <w:widowControl w:val="0"/>
        <w:spacing w:line="360" w:lineRule="auto"/>
        <w:ind w:left="567" w:right="843"/>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MTRA. DERECHO MARÍA TERESA COLÍN RODRÍGUEZ</w:t>
      </w:r>
    </w:p>
    <w:p w:rsidR="00670D81" w:rsidRPr="002B68CD" w:rsidRDefault="0097559C">
      <w:pPr>
        <w:widowControl w:val="0"/>
        <w:spacing w:line="360" w:lineRule="auto"/>
        <w:ind w:left="567" w:right="843"/>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Responsable de la Unidad de Transparencia</w:t>
      </w:r>
    </w:p>
    <w:p w:rsidR="00670D81" w:rsidRPr="002B68CD" w:rsidRDefault="00670D81">
      <w:pPr>
        <w:widowControl w:val="0"/>
        <w:spacing w:line="360" w:lineRule="auto"/>
        <w:jc w:val="both"/>
        <w:rPr>
          <w:rFonts w:ascii="Palatino Linotype" w:eastAsia="Palatino Linotype" w:hAnsi="Palatino Linotype" w:cs="Palatino Linotype"/>
          <w:b/>
          <w:bCs/>
          <w:sz w:val="22"/>
          <w:szCs w:val="22"/>
        </w:rPr>
      </w:pPr>
    </w:p>
    <w:p w:rsidR="00670D81" w:rsidRPr="002B68CD" w:rsidRDefault="0097559C">
      <w:pPr>
        <w:widowControl w:val="0"/>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b/>
          <w:bCs/>
          <w:sz w:val="22"/>
          <w:szCs w:val="22"/>
        </w:rPr>
        <w:t>3. Respuesta.</w:t>
      </w:r>
      <w:r w:rsidRPr="002B68CD">
        <w:rPr>
          <w:rFonts w:ascii="Palatino Linotype" w:eastAsia="Palatino Linotype" w:hAnsi="Palatino Linotype" w:cs="Palatino Linotype"/>
          <w:sz w:val="22"/>
          <w:szCs w:val="22"/>
        </w:rPr>
        <w:t xml:space="preserve"> El </w:t>
      </w:r>
      <w:r w:rsidRPr="002B68CD">
        <w:rPr>
          <w:rFonts w:ascii="Palatino Linotype" w:eastAsia="Palatino Linotype" w:hAnsi="Palatino Linotype" w:cs="Palatino Linotype"/>
          <w:b/>
          <w:bCs/>
          <w:sz w:val="22"/>
          <w:szCs w:val="22"/>
        </w:rPr>
        <w:t>dos</w:t>
      </w:r>
      <w:r w:rsidRPr="002B68CD">
        <w:rPr>
          <w:rFonts w:ascii="Palatino Linotype" w:eastAsia="Palatino Linotype" w:hAnsi="Palatino Linotype" w:cs="Palatino Linotype"/>
          <w:sz w:val="22"/>
          <w:szCs w:val="22"/>
        </w:rPr>
        <w:t xml:space="preserve"> </w:t>
      </w:r>
      <w:r w:rsidRPr="002B68CD">
        <w:rPr>
          <w:rFonts w:ascii="Palatino Linotype" w:eastAsia="Palatino Linotype" w:hAnsi="Palatino Linotype" w:cs="Palatino Linotype"/>
          <w:b/>
          <w:bCs/>
          <w:sz w:val="22"/>
          <w:szCs w:val="22"/>
        </w:rPr>
        <w:t>de septiembre de dos mil veinticinco</w:t>
      </w:r>
      <w:r w:rsidRPr="002B68CD">
        <w:rPr>
          <w:rFonts w:ascii="Palatino Linotype" w:eastAsia="Palatino Linotype" w:hAnsi="Palatino Linotype" w:cs="Palatino Linotype"/>
          <w:sz w:val="22"/>
          <w:szCs w:val="22"/>
        </w:rPr>
        <w:t>, el Sujeto Obligado dio respuesta a la solicitud en los siguientes términos:</w:t>
      </w:r>
    </w:p>
    <w:p w:rsidR="00670D81" w:rsidRPr="002B68CD" w:rsidRDefault="00670D81">
      <w:pPr>
        <w:widowControl w:val="0"/>
        <w:spacing w:line="360" w:lineRule="auto"/>
        <w:jc w:val="both"/>
        <w:rPr>
          <w:rFonts w:ascii="Palatino Linotype" w:eastAsia="Palatino Linotype" w:hAnsi="Palatino Linotype" w:cs="Palatino Linotype"/>
          <w:sz w:val="22"/>
          <w:szCs w:val="22"/>
        </w:rPr>
      </w:pPr>
    </w:p>
    <w:p w:rsidR="00670D81" w:rsidRPr="002B68CD" w:rsidRDefault="0097559C">
      <w:pPr>
        <w:widowControl w:val="0"/>
        <w:spacing w:line="360" w:lineRule="auto"/>
        <w:ind w:left="567" w:right="843"/>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670D81" w:rsidRPr="002B68CD" w:rsidRDefault="0097559C">
      <w:pPr>
        <w:widowControl w:val="0"/>
        <w:spacing w:line="360" w:lineRule="auto"/>
        <w:ind w:left="567" w:right="843"/>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SE ANEXA</w:t>
      </w:r>
    </w:p>
    <w:p w:rsidR="00670D81" w:rsidRPr="002B68CD" w:rsidRDefault="0097559C">
      <w:pPr>
        <w:widowControl w:val="0"/>
        <w:spacing w:line="360" w:lineRule="auto"/>
        <w:ind w:left="567" w:right="843"/>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ATENTAMENTE</w:t>
      </w:r>
    </w:p>
    <w:p w:rsidR="00670D81" w:rsidRPr="002B68CD" w:rsidRDefault="0097559C">
      <w:pPr>
        <w:widowControl w:val="0"/>
        <w:spacing w:line="360" w:lineRule="auto"/>
        <w:ind w:left="567" w:right="843"/>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MTRA. DERECHO MARÍA TERESA COLÍN RODRÍGUEZ”</w:t>
      </w:r>
    </w:p>
    <w:p w:rsidR="00670D81" w:rsidRPr="002B68CD" w:rsidRDefault="00670D81">
      <w:pPr>
        <w:widowControl w:val="0"/>
        <w:spacing w:line="360" w:lineRule="auto"/>
        <w:ind w:left="567" w:right="843"/>
        <w:jc w:val="both"/>
        <w:rPr>
          <w:rFonts w:ascii="Palatino Linotype" w:eastAsia="Palatino Linotype" w:hAnsi="Palatino Linotype" w:cs="Palatino Linotype"/>
          <w:i/>
          <w:iCs/>
          <w:sz w:val="22"/>
          <w:szCs w:val="22"/>
        </w:rPr>
      </w:pPr>
    </w:p>
    <w:p w:rsidR="00670D81" w:rsidRPr="002B68CD" w:rsidRDefault="0097559C">
      <w:pPr>
        <w:widowControl w:val="0"/>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El Sujeto Obligado adjuntó los documentos electrónicos siguientes:</w:t>
      </w:r>
    </w:p>
    <w:p w:rsidR="00670D81" w:rsidRPr="002B68CD" w:rsidRDefault="00670D81">
      <w:pPr>
        <w:widowControl w:val="0"/>
        <w:spacing w:line="360" w:lineRule="auto"/>
        <w:jc w:val="both"/>
        <w:rPr>
          <w:rFonts w:ascii="Palatino Linotype" w:eastAsia="Palatino Linotype" w:hAnsi="Palatino Linotype" w:cs="Palatino Linotype"/>
          <w:sz w:val="22"/>
          <w:szCs w:val="22"/>
        </w:rPr>
      </w:pPr>
    </w:p>
    <w:p w:rsidR="00670D81" w:rsidRPr="002B68CD" w:rsidRDefault="0097559C">
      <w:pPr>
        <w:widowControl w:val="0"/>
        <w:numPr>
          <w:ilvl w:val="0"/>
          <w:numId w:val="4"/>
        </w:numPr>
        <w:pBdr>
          <w:top w:val="nil"/>
          <w:left w:val="nil"/>
          <w:bottom w:val="nil"/>
          <w:right w:val="nil"/>
          <w:between w:val="nil"/>
        </w:pBdr>
        <w:spacing w:line="360" w:lineRule="auto"/>
        <w:ind w:left="709"/>
        <w:jc w:val="both"/>
        <w:rPr>
          <w:rFonts w:ascii="Palatino Linotype" w:eastAsia="Palatino Linotype" w:hAnsi="Palatino Linotype" w:cs="Palatino Linotype"/>
          <w:b/>
          <w:bCs/>
          <w:sz w:val="22"/>
          <w:szCs w:val="22"/>
        </w:rPr>
      </w:pPr>
      <w:r w:rsidRPr="002B68CD">
        <w:rPr>
          <w:rFonts w:ascii="Palatino Linotype" w:eastAsia="Palatino Linotype" w:hAnsi="Palatino Linotype" w:cs="Palatino Linotype"/>
          <w:b/>
          <w:bCs/>
          <w:sz w:val="22"/>
          <w:szCs w:val="22"/>
        </w:rPr>
        <w:t xml:space="preserve">00473.pdf: </w:t>
      </w:r>
      <w:r w:rsidRPr="002B68CD">
        <w:rPr>
          <w:rFonts w:ascii="Palatino Linotype" w:eastAsia="Palatino Linotype" w:hAnsi="Palatino Linotype" w:cs="Palatino Linotype"/>
          <w:sz w:val="22"/>
          <w:szCs w:val="22"/>
        </w:rPr>
        <w:t>Documento emitido por el Contralor Municipal del Ayuntamiento mediante el cual refiere que</w:t>
      </w:r>
      <w:r w:rsidRPr="002B68CD">
        <w:rPr>
          <w:rFonts w:ascii="Palatino Linotype" w:eastAsia="Palatino Linotype" w:hAnsi="Palatino Linotype" w:cs="Palatino Linotype"/>
          <w:b/>
          <w:bCs/>
          <w:sz w:val="22"/>
          <w:szCs w:val="22"/>
        </w:rPr>
        <w:t xml:space="preserve"> en el oficio LAPAZ/PM/CONT/2025/0399 </w:t>
      </w:r>
      <w:r w:rsidRPr="002B68CD">
        <w:rPr>
          <w:rFonts w:ascii="Palatino Linotype" w:eastAsia="Palatino Linotype" w:hAnsi="Palatino Linotype" w:cs="Palatino Linotype"/>
          <w:sz w:val="22"/>
          <w:szCs w:val="22"/>
        </w:rPr>
        <w:t xml:space="preserve">de fecha seis de mayo de dos mil veinticinco, se solicitó la reserva de la información, la prueba de daño fue aprobada por el Comité de Transparencia. Además, contiene la prueba de daño a la solicitud número 00263/LAPAZ/IP/2025, donde se solicita el expediente de la última </w:t>
      </w:r>
      <w:r w:rsidRPr="002B68CD">
        <w:rPr>
          <w:rFonts w:ascii="Palatino Linotype" w:eastAsia="Palatino Linotype" w:hAnsi="Palatino Linotype" w:cs="Palatino Linotype"/>
          <w:sz w:val="22"/>
          <w:szCs w:val="22"/>
        </w:rPr>
        <w:lastRenderedPageBreak/>
        <w:t>auditoría administrativa realizada por la Contraloría Municipal en el periodo 2022-2024.</w:t>
      </w:r>
    </w:p>
    <w:p w:rsidR="00670D81" w:rsidRPr="002B68CD" w:rsidRDefault="0097559C">
      <w:pPr>
        <w:widowControl w:val="0"/>
        <w:numPr>
          <w:ilvl w:val="0"/>
          <w:numId w:val="4"/>
        </w:numPr>
        <w:pBdr>
          <w:top w:val="nil"/>
          <w:left w:val="nil"/>
          <w:bottom w:val="nil"/>
          <w:right w:val="nil"/>
          <w:between w:val="nil"/>
        </w:pBdr>
        <w:spacing w:line="360" w:lineRule="auto"/>
        <w:ind w:left="709"/>
        <w:jc w:val="both"/>
        <w:rPr>
          <w:rFonts w:ascii="Palatino Linotype" w:eastAsia="Palatino Linotype" w:hAnsi="Palatino Linotype" w:cs="Palatino Linotype"/>
          <w:b/>
          <w:bCs/>
          <w:sz w:val="22"/>
          <w:szCs w:val="22"/>
        </w:rPr>
      </w:pPr>
      <w:r w:rsidRPr="002B68CD">
        <w:rPr>
          <w:rFonts w:ascii="Palatino Linotype" w:eastAsia="Palatino Linotype" w:hAnsi="Palatino Linotype" w:cs="Palatino Linotype"/>
          <w:b/>
          <w:bCs/>
          <w:sz w:val="22"/>
          <w:szCs w:val="22"/>
        </w:rPr>
        <w:t xml:space="preserve">13 DECIMA TERC.pdf: </w:t>
      </w:r>
      <w:r w:rsidRPr="002B68CD">
        <w:rPr>
          <w:rFonts w:ascii="Palatino Linotype" w:eastAsia="Palatino Linotype" w:hAnsi="Palatino Linotype" w:cs="Palatino Linotype"/>
          <w:sz w:val="22"/>
          <w:szCs w:val="22"/>
        </w:rPr>
        <w:t>Acuerdo de la Décima Tercera Sesión Extraordinaria donde se aprobó la reserva de la información requerida en la solicitud 00263/LAPAZ/IP/2025.</w:t>
      </w:r>
    </w:p>
    <w:p w:rsidR="00670D81" w:rsidRPr="002B68CD" w:rsidRDefault="00670D81">
      <w:pPr>
        <w:widowControl w:val="0"/>
        <w:pBdr>
          <w:top w:val="nil"/>
          <w:left w:val="nil"/>
          <w:bottom w:val="nil"/>
          <w:right w:val="nil"/>
          <w:between w:val="nil"/>
        </w:pBdr>
        <w:spacing w:line="360" w:lineRule="auto"/>
        <w:ind w:left="709"/>
        <w:jc w:val="both"/>
        <w:rPr>
          <w:rFonts w:ascii="Palatino Linotype" w:eastAsia="Palatino Linotype" w:hAnsi="Palatino Linotype" w:cs="Palatino Linotype"/>
          <w:b/>
          <w:bCs/>
          <w:sz w:val="22"/>
          <w:szCs w:val="22"/>
        </w:rPr>
      </w:pP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b/>
          <w:bCs/>
          <w:sz w:val="22"/>
          <w:szCs w:val="22"/>
        </w:rPr>
        <w:t xml:space="preserve">4. Del Recurso de Revisión. </w:t>
      </w:r>
      <w:r w:rsidRPr="002B68CD">
        <w:rPr>
          <w:rFonts w:ascii="Palatino Linotype" w:eastAsia="Palatino Linotype" w:hAnsi="Palatino Linotype" w:cs="Palatino Linotype"/>
          <w:sz w:val="22"/>
          <w:szCs w:val="22"/>
        </w:rPr>
        <w:t>Inconforme con la respuesta del</w:t>
      </w:r>
      <w:r w:rsidRPr="002B68CD">
        <w:rPr>
          <w:rFonts w:ascii="Palatino Linotype" w:eastAsia="Palatino Linotype" w:hAnsi="Palatino Linotype" w:cs="Palatino Linotype"/>
          <w:b/>
          <w:bCs/>
          <w:sz w:val="22"/>
          <w:szCs w:val="22"/>
        </w:rPr>
        <w:t xml:space="preserve"> SUJETO OBLIGADO, </w:t>
      </w:r>
      <w:r w:rsidRPr="002B68CD">
        <w:rPr>
          <w:rFonts w:ascii="Palatino Linotype" w:eastAsia="Palatino Linotype" w:hAnsi="Palatino Linotype" w:cs="Palatino Linotype"/>
          <w:sz w:val="22"/>
          <w:szCs w:val="22"/>
        </w:rPr>
        <w:t xml:space="preserve">el </w:t>
      </w:r>
      <w:r w:rsidRPr="002B68CD">
        <w:rPr>
          <w:rFonts w:ascii="Palatino Linotype" w:eastAsia="Palatino Linotype" w:hAnsi="Palatino Linotype" w:cs="Palatino Linotype"/>
          <w:b/>
          <w:bCs/>
          <w:sz w:val="22"/>
          <w:szCs w:val="22"/>
        </w:rPr>
        <w:t>tres</w:t>
      </w:r>
      <w:r w:rsidRPr="002B68CD">
        <w:rPr>
          <w:rFonts w:ascii="Palatino Linotype" w:eastAsia="Palatino Linotype" w:hAnsi="Palatino Linotype" w:cs="Palatino Linotype"/>
          <w:sz w:val="22"/>
          <w:szCs w:val="22"/>
        </w:rPr>
        <w:t xml:space="preserve"> d</w:t>
      </w:r>
      <w:r w:rsidRPr="002B68CD">
        <w:rPr>
          <w:rFonts w:ascii="Palatino Linotype" w:eastAsia="Palatino Linotype" w:hAnsi="Palatino Linotype" w:cs="Palatino Linotype"/>
          <w:b/>
          <w:bCs/>
          <w:sz w:val="22"/>
          <w:szCs w:val="22"/>
        </w:rPr>
        <w:t xml:space="preserve">e septiembre de dos mil veinticinco, LA PARTE RECURRENTE </w:t>
      </w:r>
      <w:r w:rsidRPr="002B68CD">
        <w:rPr>
          <w:rFonts w:ascii="Palatino Linotype" w:eastAsia="Palatino Linotype" w:hAnsi="Palatino Linotype" w:cs="Palatino Linotype"/>
          <w:sz w:val="22"/>
          <w:szCs w:val="22"/>
        </w:rPr>
        <w:t xml:space="preserve">interpuso el recurso de revisión, mediante el cual y manifestó lo siguiente: </w:t>
      </w:r>
    </w:p>
    <w:p w:rsidR="00670D81" w:rsidRPr="002B68CD" w:rsidRDefault="00670D81">
      <w:pPr>
        <w:spacing w:line="360" w:lineRule="auto"/>
        <w:jc w:val="both"/>
        <w:rPr>
          <w:rFonts w:ascii="Palatino Linotype" w:eastAsia="Palatino Linotype" w:hAnsi="Palatino Linotype" w:cs="Palatino Linotype"/>
          <w:sz w:val="22"/>
          <w:szCs w:val="22"/>
        </w:rPr>
      </w:pPr>
    </w:p>
    <w:p w:rsidR="00670D81" w:rsidRPr="002B68CD" w:rsidRDefault="0097559C">
      <w:pPr>
        <w:numPr>
          <w:ilvl w:val="0"/>
          <w:numId w:val="1"/>
        </w:numPr>
        <w:pBdr>
          <w:top w:val="nil"/>
          <w:left w:val="nil"/>
          <w:bottom w:val="nil"/>
          <w:right w:val="nil"/>
          <w:between w:val="nil"/>
        </w:pBdr>
        <w:rPr>
          <w:rFonts w:ascii="Palatino Linotype" w:eastAsia="Palatino Linotype" w:hAnsi="Palatino Linotype" w:cs="Palatino Linotype"/>
          <w:sz w:val="22"/>
          <w:szCs w:val="22"/>
        </w:rPr>
      </w:pPr>
      <w:r w:rsidRPr="002B68CD">
        <w:rPr>
          <w:rFonts w:ascii="Palatino Linotype" w:eastAsia="Palatino Linotype" w:hAnsi="Palatino Linotype" w:cs="Palatino Linotype"/>
          <w:b/>
          <w:bCs/>
          <w:sz w:val="22"/>
          <w:szCs w:val="22"/>
        </w:rPr>
        <w:t>Acto Impugnado:</w:t>
      </w:r>
      <w:r w:rsidRPr="002B68CD">
        <w:rPr>
          <w:rFonts w:ascii="Palatino Linotype" w:eastAsia="Palatino Linotype" w:hAnsi="Palatino Linotype" w:cs="Palatino Linotype"/>
          <w:sz w:val="22"/>
          <w:szCs w:val="22"/>
        </w:rPr>
        <w:t xml:space="preserve"> “</w:t>
      </w:r>
      <w:r w:rsidRPr="002B68CD">
        <w:rPr>
          <w:rFonts w:ascii="Palatino Linotype" w:eastAsia="Palatino Linotype" w:hAnsi="Palatino Linotype" w:cs="Palatino Linotype"/>
          <w:i/>
          <w:iCs/>
          <w:sz w:val="22"/>
          <w:szCs w:val="22"/>
        </w:rPr>
        <w:t>No entrega la información</w:t>
      </w:r>
      <w:r w:rsidRPr="002B68CD">
        <w:rPr>
          <w:rFonts w:ascii="Palatino Linotype" w:eastAsia="Palatino Linotype" w:hAnsi="Palatino Linotype" w:cs="Palatino Linotype"/>
          <w:sz w:val="22"/>
          <w:szCs w:val="22"/>
        </w:rPr>
        <w:t>” (Sic.)</w:t>
      </w:r>
    </w:p>
    <w:p w:rsidR="00670D81" w:rsidRPr="002B68CD" w:rsidRDefault="00670D81">
      <w:pPr>
        <w:pBdr>
          <w:top w:val="nil"/>
          <w:left w:val="nil"/>
          <w:bottom w:val="nil"/>
          <w:right w:val="nil"/>
          <w:between w:val="nil"/>
        </w:pBdr>
        <w:spacing w:line="276" w:lineRule="auto"/>
        <w:ind w:left="720" w:right="560"/>
        <w:jc w:val="both"/>
        <w:rPr>
          <w:rFonts w:ascii="Palatino Linotype" w:eastAsia="Palatino Linotype" w:hAnsi="Palatino Linotype" w:cs="Palatino Linotype"/>
          <w:i/>
          <w:iCs/>
          <w:sz w:val="22"/>
          <w:szCs w:val="22"/>
        </w:rPr>
      </w:pPr>
    </w:p>
    <w:p w:rsidR="00670D81" w:rsidRPr="002B68CD" w:rsidRDefault="0097559C">
      <w:pPr>
        <w:numPr>
          <w:ilvl w:val="0"/>
          <w:numId w:val="1"/>
        </w:numPr>
        <w:pBdr>
          <w:top w:val="nil"/>
          <w:left w:val="nil"/>
          <w:bottom w:val="nil"/>
          <w:right w:val="nil"/>
          <w:between w:val="nil"/>
        </w:pBdr>
        <w:rPr>
          <w:rFonts w:ascii="Palatino Linotype" w:eastAsia="Palatino Linotype" w:hAnsi="Palatino Linotype" w:cs="Palatino Linotype"/>
          <w:sz w:val="22"/>
          <w:szCs w:val="22"/>
        </w:rPr>
      </w:pPr>
      <w:r w:rsidRPr="002B68CD">
        <w:rPr>
          <w:rFonts w:ascii="Palatino Linotype" w:eastAsia="Palatino Linotype" w:hAnsi="Palatino Linotype" w:cs="Palatino Linotype"/>
          <w:b/>
          <w:bCs/>
          <w:sz w:val="22"/>
          <w:szCs w:val="22"/>
        </w:rPr>
        <w:t>Motivo de inconformidad:</w:t>
      </w:r>
      <w:r w:rsidRPr="002B68CD">
        <w:rPr>
          <w:rFonts w:ascii="Palatino Linotype" w:eastAsia="Palatino Linotype" w:hAnsi="Palatino Linotype" w:cs="Palatino Linotype"/>
          <w:sz w:val="22"/>
          <w:szCs w:val="22"/>
        </w:rPr>
        <w:t xml:space="preserve"> “</w:t>
      </w:r>
      <w:r w:rsidRPr="002B68CD">
        <w:rPr>
          <w:rFonts w:ascii="Palatino Linotype" w:eastAsia="Palatino Linotype" w:hAnsi="Palatino Linotype" w:cs="Palatino Linotype"/>
          <w:i/>
          <w:iCs/>
          <w:sz w:val="22"/>
          <w:szCs w:val="22"/>
        </w:rPr>
        <w:t>Al ser auditoría del ejercicio fiscal 2022-2024, ya se tiene por concluida motivo por el cual no resulta fundada la prueba de daño presentada.</w:t>
      </w:r>
      <w:r w:rsidRPr="002B68CD">
        <w:rPr>
          <w:rFonts w:ascii="Palatino Linotype" w:eastAsia="Palatino Linotype" w:hAnsi="Palatino Linotype" w:cs="Palatino Linotype"/>
          <w:sz w:val="22"/>
          <w:szCs w:val="22"/>
        </w:rPr>
        <w:t>” (Sic.)</w:t>
      </w:r>
    </w:p>
    <w:p w:rsidR="00670D81" w:rsidRPr="002B68CD" w:rsidRDefault="00670D81">
      <w:pPr>
        <w:pBdr>
          <w:top w:val="nil"/>
          <w:left w:val="nil"/>
          <w:bottom w:val="nil"/>
          <w:right w:val="nil"/>
          <w:between w:val="nil"/>
        </w:pBdr>
        <w:ind w:left="720"/>
        <w:rPr>
          <w:rFonts w:ascii="Palatino Linotype" w:eastAsia="Palatino Linotype" w:hAnsi="Palatino Linotype" w:cs="Palatino Linotype"/>
          <w:i/>
          <w:iCs/>
          <w:sz w:val="22"/>
          <w:szCs w:val="22"/>
        </w:rPr>
      </w:pPr>
    </w:p>
    <w:p w:rsidR="00670D81" w:rsidRPr="002B68CD" w:rsidRDefault="00670D81">
      <w:pPr>
        <w:pBdr>
          <w:top w:val="nil"/>
          <w:left w:val="nil"/>
          <w:bottom w:val="nil"/>
          <w:right w:val="nil"/>
          <w:between w:val="nil"/>
        </w:pBdr>
        <w:ind w:left="720"/>
        <w:rPr>
          <w:rFonts w:ascii="Palatino Linotype" w:eastAsia="Palatino Linotype" w:hAnsi="Palatino Linotype" w:cs="Palatino Linotype"/>
          <w:i/>
          <w:iCs/>
          <w:sz w:val="22"/>
          <w:szCs w:val="22"/>
        </w:rPr>
      </w:pP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b/>
          <w:bCs/>
          <w:sz w:val="22"/>
          <w:szCs w:val="22"/>
        </w:rPr>
        <w:t xml:space="preserve">5. Turno. </w:t>
      </w:r>
      <w:r w:rsidRPr="002B68CD">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el recurso de revisión número </w:t>
      </w:r>
      <w:r w:rsidRPr="002B68CD">
        <w:rPr>
          <w:rFonts w:ascii="Palatino Linotype" w:eastAsia="Palatino Linotype" w:hAnsi="Palatino Linotype" w:cs="Palatino Linotype"/>
          <w:b/>
          <w:bCs/>
          <w:sz w:val="22"/>
          <w:szCs w:val="22"/>
        </w:rPr>
        <w:t>10389/INFOEM/IP/RR/2025</w:t>
      </w:r>
      <w:r w:rsidRPr="002B68CD">
        <w:rPr>
          <w:rFonts w:ascii="Palatino Linotype" w:eastAsia="Palatino Linotype" w:hAnsi="Palatino Linotype" w:cs="Palatino Linotype"/>
          <w:sz w:val="22"/>
          <w:szCs w:val="22"/>
        </w:rPr>
        <w:t xml:space="preserve">, se turnó por el sistema electrónico del Instituto de Transparencia, Acceso a la Información Pública y Protección de Datos Personales del Estado de México y Municipios, a la Comisionada </w:t>
      </w:r>
      <w:r w:rsidRPr="002B68CD">
        <w:rPr>
          <w:rFonts w:ascii="Palatino Linotype" w:eastAsia="Palatino Linotype" w:hAnsi="Palatino Linotype" w:cs="Palatino Linotype"/>
          <w:b/>
          <w:bCs/>
          <w:sz w:val="22"/>
          <w:szCs w:val="22"/>
        </w:rPr>
        <w:t>Guadalupe Ramírez Peña</w:t>
      </w:r>
      <w:r w:rsidRPr="002B68CD">
        <w:rPr>
          <w:rFonts w:ascii="Palatino Linotype" w:eastAsia="Palatino Linotype" w:hAnsi="Palatino Linotype" w:cs="Palatino Linotype"/>
          <w:sz w:val="22"/>
          <w:szCs w:val="22"/>
        </w:rPr>
        <w:t>, para su análisis, estudio, elaboración del proyecto y presentación ante el Pleno de este Instituto.</w:t>
      </w:r>
    </w:p>
    <w:p w:rsidR="00670D81" w:rsidRPr="002B68CD" w:rsidRDefault="00670D81">
      <w:pPr>
        <w:spacing w:line="360" w:lineRule="auto"/>
        <w:jc w:val="both"/>
        <w:rPr>
          <w:rFonts w:ascii="Palatino Linotype" w:eastAsia="Palatino Linotype" w:hAnsi="Palatino Linotype" w:cs="Palatino Linotype"/>
          <w:sz w:val="22"/>
          <w:szCs w:val="22"/>
        </w:rPr>
      </w:pPr>
    </w:p>
    <w:p w:rsidR="00670D81" w:rsidRPr="002B68CD" w:rsidRDefault="0097559C">
      <w:pPr>
        <w:spacing w:line="360" w:lineRule="auto"/>
        <w:jc w:val="both"/>
        <w:rPr>
          <w:rFonts w:ascii="Palatino Linotype" w:eastAsia="Palatino Linotype" w:hAnsi="Palatino Linotype" w:cs="Palatino Linotype"/>
          <w:b/>
          <w:bCs/>
          <w:sz w:val="22"/>
          <w:szCs w:val="22"/>
        </w:rPr>
      </w:pPr>
      <w:r w:rsidRPr="002B68CD">
        <w:rPr>
          <w:rFonts w:ascii="Palatino Linotype" w:eastAsia="Palatino Linotype" w:hAnsi="Palatino Linotype" w:cs="Palatino Linotype"/>
          <w:b/>
          <w:bCs/>
          <w:sz w:val="22"/>
          <w:szCs w:val="22"/>
        </w:rPr>
        <w:t xml:space="preserve">6. Admisión. </w:t>
      </w:r>
      <w:r w:rsidRPr="002B68CD">
        <w:rPr>
          <w:rFonts w:ascii="Palatino Linotype" w:eastAsia="Palatino Linotype" w:hAnsi="Palatino Linotype" w:cs="Palatino Linotype"/>
          <w:sz w:val="22"/>
          <w:szCs w:val="22"/>
        </w:rPr>
        <w:t xml:space="preserve">El </w:t>
      </w:r>
      <w:r w:rsidRPr="002B68CD">
        <w:rPr>
          <w:rFonts w:ascii="Palatino Linotype" w:eastAsia="Palatino Linotype" w:hAnsi="Palatino Linotype" w:cs="Palatino Linotype"/>
          <w:b/>
          <w:bCs/>
          <w:sz w:val="22"/>
          <w:szCs w:val="22"/>
        </w:rPr>
        <w:t>ocho de septiembre de dos mil veinticinco</w:t>
      </w:r>
      <w:r w:rsidRPr="002B68CD">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w:t>
      </w:r>
      <w:r w:rsidRPr="002B68CD">
        <w:rPr>
          <w:rFonts w:ascii="Palatino Linotype" w:eastAsia="Palatino Linotype" w:hAnsi="Palatino Linotype" w:cs="Palatino Linotype"/>
          <w:b/>
          <w:bCs/>
          <w:sz w:val="22"/>
          <w:szCs w:val="22"/>
        </w:rPr>
        <w:t xml:space="preserve">. </w:t>
      </w:r>
    </w:p>
    <w:p w:rsidR="00670D81" w:rsidRPr="002B68CD" w:rsidRDefault="00670D81">
      <w:pPr>
        <w:spacing w:line="360" w:lineRule="auto"/>
        <w:jc w:val="both"/>
        <w:rPr>
          <w:rFonts w:ascii="Palatino Linotype" w:eastAsia="Palatino Linotype" w:hAnsi="Palatino Linotype" w:cs="Palatino Linotype"/>
          <w:b/>
          <w:bCs/>
          <w:sz w:val="22"/>
          <w:szCs w:val="22"/>
        </w:rPr>
      </w:pP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b/>
          <w:bCs/>
          <w:sz w:val="22"/>
          <w:szCs w:val="22"/>
        </w:rPr>
        <w:t>7. Manifestaciones.</w:t>
      </w:r>
      <w:r w:rsidRPr="002B68CD">
        <w:rPr>
          <w:rFonts w:ascii="Palatino Linotype" w:eastAsia="Palatino Linotype" w:hAnsi="Palatino Linotype" w:cs="Palatino Linotype"/>
          <w:sz w:val="22"/>
          <w:szCs w:val="22"/>
        </w:rPr>
        <w:t xml:space="preserve"> De las constancias que obran en el expediente electrónico del SAIMEX, se advierte que el Sujeto Obligado rindió su informe justificado, el </w:t>
      </w:r>
      <w:r w:rsidRPr="002B68CD">
        <w:rPr>
          <w:rFonts w:ascii="Palatino Linotype" w:eastAsia="Palatino Linotype" w:hAnsi="Palatino Linotype" w:cs="Palatino Linotype"/>
          <w:b/>
          <w:bCs/>
          <w:sz w:val="22"/>
          <w:szCs w:val="22"/>
        </w:rPr>
        <w:t>diecisiete de septiembre</w:t>
      </w:r>
      <w:r w:rsidRPr="002B68CD">
        <w:rPr>
          <w:rFonts w:ascii="Palatino Linotype" w:eastAsia="Palatino Linotype" w:hAnsi="Palatino Linotype" w:cs="Palatino Linotype"/>
          <w:sz w:val="22"/>
          <w:szCs w:val="22"/>
        </w:rPr>
        <w:t xml:space="preserve"> </w:t>
      </w:r>
      <w:r w:rsidRPr="002B68CD">
        <w:rPr>
          <w:rFonts w:ascii="Palatino Linotype" w:eastAsia="Palatino Linotype" w:hAnsi="Palatino Linotype" w:cs="Palatino Linotype"/>
          <w:b/>
          <w:bCs/>
          <w:sz w:val="22"/>
          <w:szCs w:val="22"/>
        </w:rPr>
        <w:t>de dos mil veinticinco,</w:t>
      </w:r>
      <w:r w:rsidRPr="002B68CD">
        <w:rPr>
          <w:rFonts w:ascii="Palatino Linotype" w:eastAsia="Palatino Linotype" w:hAnsi="Palatino Linotype" w:cs="Palatino Linotype"/>
          <w:sz w:val="22"/>
          <w:szCs w:val="22"/>
        </w:rPr>
        <w:t xml:space="preserve"> a través de los documentos electrónicos denominados 00473 CONTRALORIA.pdf; VIGESIMA SEXTA SESIÓN.pdf que contienen la prueba de daño sobre la información requerida en la solicitud formulada por el Particular, la cual fue aprobada por el Comité de Transparencia. El contenido del informe justificado se puso a disposición del Recurrente el veinticinco de febrero de dos mil veintiséis.</w:t>
      </w:r>
    </w:p>
    <w:p w:rsidR="00670D81" w:rsidRPr="002B68CD" w:rsidRDefault="00670D81">
      <w:pPr>
        <w:spacing w:line="360" w:lineRule="auto"/>
        <w:jc w:val="both"/>
        <w:rPr>
          <w:rFonts w:ascii="Palatino Linotype" w:eastAsia="Palatino Linotype" w:hAnsi="Palatino Linotype" w:cs="Palatino Linotype"/>
          <w:sz w:val="22"/>
          <w:szCs w:val="22"/>
        </w:rPr>
      </w:pPr>
    </w:p>
    <w:p w:rsidR="00670D81" w:rsidRPr="002B68CD" w:rsidRDefault="0097559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b/>
          <w:bCs/>
          <w:sz w:val="22"/>
          <w:szCs w:val="22"/>
        </w:rPr>
        <w:t>8. Ampliación de plazo. El veinticinco de febrero de dos mil veintiséis</w:t>
      </w:r>
      <w:r w:rsidRPr="002B68CD">
        <w:rPr>
          <w:rFonts w:ascii="Palatino Linotype" w:eastAsia="Palatino Linotype" w:hAnsi="Palatino Linotype" w:cs="Palatino Linotype"/>
          <w:sz w:val="22"/>
          <w:szCs w:val="22"/>
        </w:rPr>
        <w:t>, se amplió el término para resolver el recurso de revisión en términos del artículo 181 párrafo tercero de la Ley de Transparencia y Acceso a la Información Pública del Estado de México y Municipios.</w:t>
      </w:r>
    </w:p>
    <w:p w:rsidR="00670D81" w:rsidRPr="002B68CD" w:rsidRDefault="0097559C">
      <w:pPr>
        <w:spacing w:before="240" w:after="240"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rsidR="00670D81" w:rsidRPr="002B68CD" w:rsidRDefault="0097559C">
      <w:pPr>
        <w:spacing w:before="240" w:after="240"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Por ello, es menester precisar que si bien se ha excedido el plazo para resolver el presente medio de impugnación, de conformidad con la ley de la materia, el plazo para emitir la resolución se encuentra justificada en los elementos para medir la razonabilidad de asuntos conforme a los parámetros establecidos por diversos órganos jurisdiccionales federales, aplicables también en procedimientos análogos, como el que nos ocupa.</w:t>
      </w:r>
    </w:p>
    <w:p w:rsidR="00670D81" w:rsidRPr="002B68CD" w:rsidRDefault="0097559C">
      <w:pPr>
        <w:spacing w:before="240" w:after="240"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rsidR="00670D81" w:rsidRPr="002B68CD" w:rsidRDefault="0097559C">
      <w:pPr>
        <w:spacing w:before="240" w:after="240"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rsidR="00670D81" w:rsidRPr="002B68CD" w:rsidRDefault="0097559C">
      <w:pPr>
        <w:spacing w:before="240" w:after="240"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rsidR="00670D81" w:rsidRPr="002B68CD" w:rsidRDefault="0097559C">
      <w:pPr>
        <w:numPr>
          <w:ilvl w:val="0"/>
          <w:numId w:val="8"/>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b/>
          <w:bCs/>
          <w:sz w:val="22"/>
          <w:szCs w:val="22"/>
        </w:rPr>
        <w:t>Complejidad del Asunto:</w:t>
      </w:r>
      <w:r w:rsidRPr="002B68CD">
        <w:rPr>
          <w:rFonts w:ascii="Palatino Linotype" w:eastAsia="Palatino Linotype" w:hAnsi="Palatino Linotype" w:cs="Palatino Linotype"/>
          <w:sz w:val="22"/>
          <w:szCs w:val="22"/>
        </w:rPr>
        <w:t xml:space="preserve"> La complejidad de la prueba, la pluralidad de sujetos procesales, el tiempo transcurrido, las características y contexto del recurso. </w:t>
      </w:r>
    </w:p>
    <w:p w:rsidR="00670D81" w:rsidRPr="002B68CD" w:rsidRDefault="0097559C">
      <w:pPr>
        <w:numPr>
          <w:ilvl w:val="0"/>
          <w:numId w:val="8"/>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b/>
          <w:bCs/>
          <w:sz w:val="22"/>
          <w:szCs w:val="22"/>
        </w:rPr>
        <w:t>Actividad Procesal del interesado</w:t>
      </w:r>
      <w:r w:rsidRPr="002B68CD">
        <w:rPr>
          <w:rFonts w:ascii="Palatino Linotype" w:eastAsia="Palatino Linotype" w:hAnsi="Palatino Linotype" w:cs="Palatino Linotype"/>
          <w:sz w:val="22"/>
          <w:szCs w:val="22"/>
        </w:rPr>
        <w:t>. Acciones u omisiones del interesado.</w:t>
      </w:r>
    </w:p>
    <w:p w:rsidR="00670D81" w:rsidRPr="002B68CD" w:rsidRDefault="0097559C">
      <w:pPr>
        <w:numPr>
          <w:ilvl w:val="0"/>
          <w:numId w:val="8"/>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b/>
          <w:bCs/>
          <w:sz w:val="22"/>
          <w:szCs w:val="22"/>
        </w:rPr>
        <w:t>Conducta de la Autoridad:</w:t>
      </w:r>
      <w:r w:rsidRPr="002B68CD">
        <w:rPr>
          <w:rFonts w:ascii="Palatino Linotype" w:eastAsia="Palatino Linotype" w:hAnsi="Palatino Linotype" w:cs="Palatino Linotype"/>
          <w:sz w:val="22"/>
          <w:szCs w:val="22"/>
        </w:rPr>
        <w:t xml:space="preserve"> Las Acciones u omisiones realizadas en el procedimiento. Así como si la autoridad actuó con la debida diligencia.</w:t>
      </w:r>
    </w:p>
    <w:p w:rsidR="00670D81" w:rsidRPr="002B68CD" w:rsidRDefault="0097559C">
      <w:pPr>
        <w:numPr>
          <w:ilvl w:val="0"/>
          <w:numId w:val="8"/>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b/>
          <w:bCs/>
          <w:sz w:val="22"/>
          <w:szCs w:val="22"/>
        </w:rPr>
        <w:t>La afectación generada en la situación jurídica de la persona involucrada en el proceso:</w:t>
      </w:r>
      <w:r w:rsidRPr="002B68CD">
        <w:rPr>
          <w:rFonts w:ascii="Palatino Linotype" w:eastAsia="Palatino Linotype" w:hAnsi="Palatino Linotype" w:cs="Palatino Linotype"/>
          <w:sz w:val="22"/>
          <w:szCs w:val="22"/>
        </w:rPr>
        <w:t xml:space="preserve"> Violación a sus derechos humanos.</w:t>
      </w:r>
    </w:p>
    <w:p w:rsidR="00670D81" w:rsidRPr="002B68CD" w:rsidRDefault="0097559C">
      <w:pPr>
        <w:spacing w:before="240" w:after="240"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rsidR="00670D81" w:rsidRPr="002B68CD" w:rsidRDefault="0097559C">
      <w:pPr>
        <w:spacing w:before="240" w:after="240"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w:t>
      </w:r>
      <w:r w:rsidRPr="002B68CD">
        <w:rPr>
          <w:rFonts w:ascii="Palatino Linotype" w:eastAsia="Palatino Linotype" w:hAnsi="Palatino Linotype" w:cs="Palatino Linotype"/>
          <w:i/>
          <w:iCs/>
          <w:sz w:val="22"/>
          <w:szCs w:val="22"/>
        </w:rPr>
        <w:t>“TÉRMINOS PROCESALES. PARA DETERMINAR SI UN FUNCIONARIO JUDICIAL ACTUÓ INDEBIDAMENTE POR NO RESPETARLOS SE DEBE ATENDER AL PRESUPUESTO QUE CONSIDERÓ EL LEGISLADOR AL FIJARLOS Y LAS CARACTERÍSTICAS DEL CASO.”</w:t>
      </w:r>
      <w:r w:rsidRPr="002B68CD">
        <w:rPr>
          <w:rFonts w:ascii="Palatino Linotype" w:eastAsia="Palatino Linotype" w:hAnsi="Palatino Linotype" w:cs="Palatino Linotype"/>
          <w:sz w:val="22"/>
          <w:szCs w:val="22"/>
        </w:rPr>
        <w:t>, visible en la Gaceta del Seminario Judicial de la Federación con el registro digital 205635.</w:t>
      </w:r>
    </w:p>
    <w:p w:rsidR="00670D81" w:rsidRPr="002B68CD" w:rsidRDefault="0097559C">
      <w:pPr>
        <w:spacing w:before="240" w:after="240"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rsidR="00670D81" w:rsidRPr="002B68CD" w:rsidRDefault="0097559C">
      <w:pPr>
        <w:spacing w:before="240" w:after="240"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Al respecto, también son de considerar los criterios sostenidos por el Cuarto Tribunal Colegiado en Materia Administrativa del Primer Circuito, cuyos rubros y datos de identificación son los siguientes:</w:t>
      </w:r>
    </w:p>
    <w:p w:rsidR="00670D81" w:rsidRPr="002B68CD" w:rsidRDefault="0097559C">
      <w:pPr>
        <w:spacing w:before="240" w:after="240" w:line="360" w:lineRule="auto"/>
        <w:ind w:left="851" w:right="900"/>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 xml:space="preserve"> </w:t>
      </w:r>
      <w:r w:rsidRPr="002B68CD">
        <w:rPr>
          <w:rFonts w:ascii="Palatino Linotype" w:eastAsia="Palatino Linotype" w:hAnsi="Palatino Linotype" w:cs="Palatino Linotype"/>
          <w:b/>
          <w:bCs/>
          <w:i/>
          <w:iCs/>
          <w:sz w:val="22"/>
          <w:szCs w:val="22"/>
        </w:rPr>
        <w:t>“PLAZO RAZONABLE PARA RESOLVER. DIMENSIÓN Y EFECTOS DE ESTE CONCEPTO CUANDO SE ADUCE EXCESIVA CARGA DE TRABAJO</w:t>
      </w:r>
      <w:r w:rsidRPr="002B68CD">
        <w:rPr>
          <w:rFonts w:ascii="Palatino Linotype" w:eastAsia="Palatino Linotype" w:hAnsi="Palatino Linotype" w:cs="Palatino Linotype"/>
          <w:i/>
          <w:iCs/>
          <w:sz w:val="22"/>
          <w:szCs w:val="22"/>
        </w:rPr>
        <w:t>.”</w:t>
      </w:r>
      <w:r w:rsidRPr="002B68CD">
        <w:rPr>
          <w:rFonts w:ascii="Palatino Linotype" w:eastAsia="Palatino Linotype" w:hAnsi="Palatino Linotype" w:cs="Palatino Linotype"/>
          <w:sz w:val="22"/>
          <w:szCs w:val="22"/>
        </w:rPr>
        <w:t xml:space="preserve"> consultable en el Seminario Judicial de la Federación y su gaceta, con el registro digital 2002351.</w:t>
      </w:r>
    </w:p>
    <w:p w:rsidR="00670D81" w:rsidRPr="002B68CD" w:rsidRDefault="0097559C">
      <w:pPr>
        <w:spacing w:before="240" w:after="240" w:line="360" w:lineRule="auto"/>
        <w:ind w:left="851" w:right="900"/>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b/>
          <w:bCs/>
          <w:i/>
          <w:iCs/>
          <w:sz w:val="22"/>
          <w:szCs w:val="22"/>
        </w:rPr>
        <w:t>“PLAZO RAZONABLE PARA RESOLVER. CONCEPTO Y ELEMENTOS QUE LO INTEGRAN A LA LUZ DEL DERECHO INTERNACIONAL DE LOS DERECHOS HUMANOS.”</w:t>
      </w:r>
      <w:r w:rsidRPr="002B68CD">
        <w:rPr>
          <w:rFonts w:ascii="Palatino Linotype" w:eastAsia="Palatino Linotype" w:hAnsi="Palatino Linotype" w:cs="Palatino Linotype"/>
          <w:sz w:val="22"/>
          <w:szCs w:val="22"/>
        </w:rPr>
        <w:t>, visible en el Seminario Judicial de la Federación y su gaceta, con el registro digital 2002350.</w:t>
      </w:r>
    </w:p>
    <w:p w:rsidR="00670D81" w:rsidRPr="002B68CD" w:rsidRDefault="0097559C">
      <w:pPr>
        <w:spacing w:before="240" w:after="240"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Por ello, este organismo garante comprometido con la tutela de los derechos humanos confiados, señala que este exceso del plazo legal para resolver el presente asunto, resulta de carácter excepcional.</w:t>
      </w:r>
    </w:p>
    <w:p w:rsidR="00670D81" w:rsidRPr="002B68CD" w:rsidRDefault="0097559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b/>
          <w:bCs/>
          <w:sz w:val="22"/>
          <w:szCs w:val="22"/>
        </w:rPr>
        <w:t>9. Cierre de instrucción</w:t>
      </w:r>
      <w:r w:rsidRPr="002B68CD">
        <w:rPr>
          <w:rFonts w:ascii="Palatino Linotype" w:eastAsia="Palatino Linotype" w:hAnsi="Palatino Linotype" w:cs="Palatino Linotype"/>
          <w:sz w:val="22"/>
          <w:szCs w:val="22"/>
        </w:rPr>
        <w:t xml:space="preserve">. En fecha </w:t>
      </w:r>
      <w:r w:rsidR="002B68CD" w:rsidRPr="002B68CD">
        <w:rPr>
          <w:rFonts w:ascii="Palatino Linotype" w:eastAsia="Palatino Linotype" w:hAnsi="Palatino Linotype" w:cs="Palatino Linotype"/>
          <w:b/>
          <w:bCs/>
          <w:sz w:val="22"/>
          <w:szCs w:val="22"/>
        </w:rPr>
        <w:t>cinco</w:t>
      </w:r>
      <w:r w:rsidRPr="002B68CD">
        <w:rPr>
          <w:rFonts w:ascii="Palatino Linotype" w:eastAsia="Palatino Linotype" w:hAnsi="Palatino Linotype" w:cs="Palatino Linotype"/>
          <w:sz w:val="22"/>
          <w:szCs w:val="22"/>
        </w:rPr>
        <w:t xml:space="preserve"> </w:t>
      </w:r>
      <w:r w:rsidRPr="002B68CD">
        <w:rPr>
          <w:rFonts w:ascii="Palatino Linotype" w:eastAsia="Palatino Linotype" w:hAnsi="Palatino Linotype" w:cs="Palatino Linotype"/>
          <w:b/>
          <w:bCs/>
          <w:sz w:val="22"/>
          <w:szCs w:val="22"/>
        </w:rPr>
        <w:t>de marzo de dos mil veintiséis</w:t>
      </w:r>
      <w:r w:rsidRPr="002B68CD">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rsidR="00670D81" w:rsidRPr="002B68CD" w:rsidRDefault="00670D81">
      <w:pPr>
        <w:spacing w:line="360" w:lineRule="auto"/>
        <w:ind w:right="49"/>
        <w:jc w:val="both"/>
        <w:rPr>
          <w:rFonts w:ascii="Palatino Linotype" w:eastAsia="Palatino Linotype" w:hAnsi="Palatino Linotype" w:cs="Palatino Linotype"/>
          <w:sz w:val="22"/>
          <w:szCs w:val="22"/>
        </w:rPr>
      </w:pPr>
    </w:p>
    <w:p w:rsidR="00670D81" w:rsidRPr="002B68CD" w:rsidRDefault="0097559C">
      <w:pPr>
        <w:spacing w:line="360" w:lineRule="auto"/>
        <w:ind w:right="49"/>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 xml:space="preserve">Debido a que fue debidamente sustanciado </w:t>
      </w:r>
      <w:r w:rsidRPr="002B68CD">
        <w:rPr>
          <w:rFonts w:ascii="Palatino Linotype" w:eastAsia="Palatino Linotype" w:hAnsi="Palatino Linotype" w:cs="Palatino Linotype"/>
          <w:sz w:val="22"/>
          <w:szCs w:val="22"/>
        </w:rPr>
        <w:tab/>
        <w:t xml:space="preserve">el expediente electrónico y no existe diligencia pendiente de desahogo, se emite la Resolución que conforme a Derecho proceda, de acuerdo con los siguientes: </w:t>
      </w:r>
    </w:p>
    <w:p w:rsidR="00670D81" w:rsidRPr="002B68CD" w:rsidRDefault="00670D81">
      <w:pPr>
        <w:spacing w:line="360" w:lineRule="auto"/>
        <w:ind w:right="49"/>
        <w:jc w:val="both"/>
        <w:rPr>
          <w:rFonts w:ascii="Palatino Linotype" w:eastAsia="Palatino Linotype" w:hAnsi="Palatino Linotype" w:cs="Palatino Linotype"/>
          <w:sz w:val="22"/>
          <w:szCs w:val="22"/>
        </w:rPr>
      </w:pPr>
    </w:p>
    <w:p w:rsidR="00670D81" w:rsidRPr="002B68CD" w:rsidRDefault="0097559C">
      <w:pPr>
        <w:spacing w:line="360" w:lineRule="auto"/>
        <w:ind w:left="720" w:right="49" w:hanging="720"/>
        <w:jc w:val="center"/>
        <w:rPr>
          <w:rFonts w:ascii="Palatino Linotype" w:eastAsia="Palatino Linotype" w:hAnsi="Palatino Linotype" w:cs="Palatino Linotype"/>
          <w:b/>
          <w:bCs/>
          <w:sz w:val="22"/>
          <w:szCs w:val="22"/>
        </w:rPr>
      </w:pPr>
      <w:r w:rsidRPr="002B68CD">
        <w:rPr>
          <w:rFonts w:ascii="Palatino Linotype" w:eastAsia="Palatino Linotype" w:hAnsi="Palatino Linotype" w:cs="Palatino Linotype"/>
          <w:b/>
          <w:bCs/>
          <w:sz w:val="22"/>
          <w:szCs w:val="22"/>
        </w:rPr>
        <w:t>II.</w:t>
      </w:r>
      <w:r w:rsidRPr="002B68CD">
        <w:rPr>
          <w:rFonts w:ascii="Palatino Linotype" w:eastAsia="Palatino Linotype" w:hAnsi="Palatino Linotype" w:cs="Palatino Linotype"/>
          <w:b/>
          <w:bCs/>
          <w:sz w:val="22"/>
          <w:szCs w:val="22"/>
        </w:rPr>
        <w:tab/>
        <w:t xml:space="preserve">C O N S I D E R A N D O: </w:t>
      </w:r>
    </w:p>
    <w:p w:rsidR="00670D81" w:rsidRPr="002B68CD" w:rsidRDefault="00670D81">
      <w:pPr>
        <w:spacing w:line="360" w:lineRule="auto"/>
        <w:ind w:right="49"/>
        <w:jc w:val="both"/>
        <w:rPr>
          <w:rFonts w:ascii="Palatino Linotype" w:eastAsia="Palatino Linotype" w:hAnsi="Palatino Linotype" w:cs="Palatino Linotype"/>
          <w:sz w:val="22"/>
          <w:szCs w:val="22"/>
        </w:rPr>
      </w:pP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b/>
          <w:bCs/>
          <w:sz w:val="22"/>
          <w:szCs w:val="22"/>
        </w:rPr>
        <w:t>Primero. Competencia.</w:t>
      </w:r>
      <w:r w:rsidRPr="002B68CD">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rsidR="00670D81" w:rsidRPr="002B68CD" w:rsidRDefault="0097559C">
      <w:pPr>
        <w:spacing w:before="240" w:after="240"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b/>
          <w:bCs/>
          <w:sz w:val="22"/>
          <w:szCs w:val="22"/>
        </w:rPr>
        <w:t xml:space="preserve">Segundo. Oportunidad y Procedibilidad del Recurso de Revisión. </w:t>
      </w:r>
      <w:r w:rsidRPr="002B68CD">
        <w:rPr>
          <w:rFonts w:ascii="Palatino Linotype" w:eastAsia="Palatino Linotype" w:hAnsi="Palatino Linotype" w:cs="Palatino Linotype"/>
          <w:sz w:val="22"/>
          <w:szCs w:val="22"/>
        </w:rPr>
        <w:t>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rsidR="00670D81" w:rsidRPr="002B68CD" w:rsidRDefault="0097559C">
      <w:pPr>
        <w:spacing w:before="240" w:after="240"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Al respecto la Ley de Transparencia y Acceso a la Información Pública del Estado de México y Municipios, establece lo siguiente:</w:t>
      </w:r>
    </w:p>
    <w:p w:rsidR="00670D81" w:rsidRPr="002B68CD" w:rsidRDefault="0097559C">
      <w:pPr>
        <w:spacing w:line="360" w:lineRule="auto"/>
        <w:ind w:left="851" w:right="900"/>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b/>
          <w:bCs/>
          <w:i/>
          <w:iCs/>
          <w:sz w:val="22"/>
          <w:szCs w:val="22"/>
        </w:rPr>
        <w:t xml:space="preserve">“Artículo 178. </w:t>
      </w:r>
      <w:r w:rsidRPr="002B68CD">
        <w:rPr>
          <w:rFonts w:ascii="Palatino Linotype" w:eastAsia="Palatino Linotype" w:hAnsi="Palatino Linotype" w:cs="Palatino Linotype"/>
          <w:i/>
          <w:iCs/>
          <w:sz w:val="22"/>
          <w:szCs w:val="22"/>
        </w:rPr>
        <w:t>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rsidR="00670D81" w:rsidRPr="002B68CD" w:rsidRDefault="0097559C">
      <w:pPr>
        <w:spacing w:before="240" w:after="240" w:line="360" w:lineRule="auto"/>
        <w:ind w:right="49"/>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 xml:space="preserve">Del precepto legal transcrito, se desprende que cuando los solicitantes de información en el ejercicio del derecho de acceso a la información no se encuentren satisfechos con la información entregada por los sujetos obligados, podrán interponer recurso de revisión de manera directa o por medios electrónicos dentro de los quince días hábiles siguientes a la fecha de notificación de la respuesta, y, toda vez que el </w:t>
      </w:r>
      <w:r w:rsidRPr="002B68CD">
        <w:rPr>
          <w:rFonts w:ascii="Palatino Linotype" w:eastAsia="Palatino Linotype" w:hAnsi="Palatino Linotype" w:cs="Palatino Linotype"/>
          <w:b/>
          <w:bCs/>
          <w:sz w:val="22"/>
          <w:szCs w:val="22"/>
        </w:rPr>
        <w:t>SUJETO OBLIGADO</w:t>
      </w:r>
      <w:r w:rsidRPr="002B68CD">
        <w:rPr>
          <w:rFonts w:ascii="Palatino Linotype" w:eastAsia="Palatino Linotype" w:hAnsi="Palatino Linotype" w:cs="Palatino Linotype"/>
          <w:sz w:val="22"/>
          <w:szCs w:val="22"/>
        </w:rPr>
        <w:t xml:space="preserve"> remitió la respuesta a la solicitud de información el día </w:t>
      </w:r>
      <w:r w:rsidRPr="002B68CD">
        <w:rPr>
          <w:rFonts w:ascii="Palatino Linotype" w:eastAsia="Palatino Linotype" w:hAnsi="Palatino Linotype" w:cs="Palatino Linotype"/>
          <w:b/>
          <w:bCs/>
          <w:sz w:val="22"/>
          <w:szCs w:val="22"/>
        </w:rPr>
        <w:t xml:space="preserve">dos de septiembre de dos mil veinticinco, </w:t>
      </w:r>
      <w:r w:rsidRPr="002B68CD">
        <w:rPr>
          <w:rFonts w:ascii="Palatino Linotype" w:eastAsia="Palatino Linotype" w:hAnsi="Palatino Linotype" w:cs="Palatino Linotype"/>
          <w:sz w:val="22"/>
          <w:szCs w:val="22"/>
        </w:rPr>
        <w:t xml:space="preserve">mientras que el recurso de revisión interpuesto por la parte </w:t>
      </w:r>
      <w:r w:rsidRPr="002B68CD">
        <w:rPr>
          <w:rFonts w:ascii="Palatino Linotype" w:eastAsia="Palatino Linotype" w:hAnsi="Palatino Linotype" w:cs="Palatino Linotype"/>
          <w:b/>
          <w:bCs/>
          <w:sz w:val="22"/>
          <w:szCs w:val="22"/>
        </w:rPr>
        <w:t>RECURRENTE</w:t>
      </w:r>
      <w:r w:rsidRPr="002B68CD">
        <w:rPr>
          <w:rFonts w:ascii="Palatino Linotype" w:eastAsia="Palatino Linotype" w:hAnsi="Palatino Linotype" w:cs="Palatino Linotype"/>
          <w:sz w:val="22"/>
          <w:szCs w:val="22"/>
        </w:rPr>
        <w:t xml:space="preserve">, se tuvo por presentado el </w:t>
      </w:r>
      <w:r w:rsidRPr="002B68CD">
        <w:rPr>
          <w:rFonts w:ascii="Palatino Linotype" w:eastAsia="Palatino Linotype" w:hAnsi="Palatino Linotype" w:cs="Palatino Linotype"/>
          <w:b/>
          <w:bCs/>
          <w:sz w:val="22"/>
          <w:szCs w:val="22"/>
        </w:rPr>
        <w:t>tres de septiembre del año dos mil veinticinco</w:t>
      </w:r>
      <w:r w:rsidRPr="002B68CD">
        <w:rPr>
          <w:rFonts w:ascii="Palatino Linotype" w:eastAsia="Palatino Linotype" w:hAnsi="Palatino Linotype" w:cs="Palatino Linotype"/>
          <w:sz w:val="22"/>
          <w:szCs w:val="22"/>
        </w:rPr>
        <w:t xml:space="preserve">; esto es, al </w:t>
      </w:r>
      <w:r w:rsidRPr="002B68CD">
        <w:rPr>
          <w:rFonts w:ascii="Palatino Linotype" w:eastAsia="Palatino Linotype" w:hAnsi="Palatino Linotype" w:cs="Palatino Linotype"/>
          <w:b/>
          <w:bCs/>
          <w:sz w:val="22"/>
          <w:szCs w:val="22"/>
        </w:rPr>
        <w:t xml:space="preserve">primer día hábil </w:t>
      </w:r>
      <w:r w:rsidRPr="002B68CD">
        <w:rPr>
          <w:rFonts w:ascii="Palatino Linotype" w:eastAsia="Palatino Linotype" w:hAnsi="Palatino Linotype" w:cs="Palatino Linotype"/>
          <w:sz w:val="22"/>
          <w:szCs w:val="22"/>
        </w:rPr>
        <w:t>siguiente al que se tuvo conocimiento de la respuesta respectivamente.</w:t>
      </w: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Por otro lado, es de suma importancia mencionar que, si bien la parte Recurrente no proporcionó nombre, como se advierte en el detalle de seguimiento del SAIMEX; sin embargo, el no proporcionar un nombre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670D81" w:rsidRPr="002B68CD" w:rsidRDefault="0097559C">
      <w:pPr>
        <w:ind w:left="426" w:right="701"/>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b/>
          <w:bCs/>
          <w:sz w:val="22"/>
          <w:szCs w:val="22"/>
        </w:rPr>
        <w:br/>
      </w:r>
      <w:r w:rsidRPr="002B68CD">
        <w:rPr>
          <w:rFonts w:ascii="Palatino Linotype" w:eastAsia="Palatino Linotype" w:hAnsi="Palatino Linotype" w:cs="Palatino Linotype"/>
          <w:b/>
          <w:bCs/>
          <w:i/>
          <w:iCs/>
          <w:sz w:val="22"/>
          <w:szCs w:val="22"/>
        </w:rPr>
        <w:t xml:space="preserve">"Las solicitudes anónimas, </w:t>
      </w:r>
      <w:r w:rsidRPr="002B68CD">
        <w:rPr>
          <w:rFonts w:ascii="Palatino Linotype" w:eastAsia="Palatino Linotype" w:hAnsi="Palatino Linotype" w:cs="Palatino Linotype"/>
          <w:i/>
          <w:iCs/>
          <w:sz w:val="22"/>
          <w:szCs w:val="22"/>
        </w:rPr>
        <w:t>con nombre incompleto o seudónimo </w:t>
      </w:r>
      <w:r w:rsidRPr="002B68CD">
        <w:rPr>
          <w:rFonts w:ascii="Palatino Linotype" w:eastAsia="Palatino Linotype" w:hAnsi="Palatino Linotype" w:cs="Palatino Linotype"/>
          <w:b/>
          <w:bCs/>
          <w:i/>
          <w:iCs/>
          <w:sz w:val="22"/>
          <w:szCs w:val="22"/>
        </w:rPr>
        <w:t>serán procedentes para su trámite por parte del sujeto obligado ante quien se presente.</w:t>
      </w:r>
      <w:r w:rsidRPr="002B68CD">
        <w:rPr>
          <w:rFonts w:ascii="Palatino Linotype" w:eastAsia="Palatino Linotype" w:hAnsi="Palatino Linotype" w:cs="Palatino Linotype"/>
          <w:i/>
          <w:iCs/>
          <w:sz w:val="22"/>
          <w:szCs w:val="22"/>
        </w:rPr>
        <w:t xml:space="preserve"> No podrá requerirse información adicional con motivo del nombre proporcionado por el solicitante."</w:t>
      </w:r>
    </w:p>
    <w:p w:rsidR="00670D81" w:rsidRPr="002B68CD" w:rsidRDefault="0097559C">
      <w:pPr>
        <w:spacing w:before="240" w:after="240" w:line="360" w:lineRule="auto"/>
        <w:ind w:right="49"/>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Así también, por cuanto hace a la procedibilidad del recurso de revisión, una vez realizado el análisis de los formatos de interposición del recurso, se concluye la acreditación plena de los elementos formales precisados por el artículo 180 de la Ley de Transparencia y Acceso a la Información Pública del Estado de México y Municipios, en atención a que fue presentado mediante el formato visible en el SAIMEX.</w:t>
      </w:r>
    </w:p>
    <w:p w:rsidR="00670D81" w:rsidRPr="002B68CD" w:rsidRDefault="0097559C">
      <w:pPr>
        <w:spacing w:before="240" w:after="240"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Asimismo, resulta procedente la interposición del recurso de revisión al rubro anotado, toda vez que se actualiza las hipótesis previstas en el artículo 179, fracción II de la ley de la materia, que a la letra dice:</w:t>
      </w:r>
    </w:p>
    <w:p w:rsidR="00670D81" w:rsidRPr="002B68CD" w:rsidRDefault="0097559C">
      <w:pPr>
        <w:spacing w:line="360" w:lineRule="auto"/>
        <w:ind w:left="851" w:right="1041"/>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w:t>
      </w:r>
      <w:r w:rsidRPr="002B68CD">
        <w:rPr>
          <w:rFonts w:ascii="Palatino Linotype" w:eastAsia="Palatino Linotype" w:hAnsi="Palatino Linotype" w:cs="Palatino Linotype"/>
          <w:b/>
          <w:bCs/>
          <w:i/>
          <w:iCs/>
          <w:sz w:val="22"/>
          <w:szCs w:val="22"/>
        </w:rPr>
        <w:t xml:space="preserve">Artículo 179. </w:t>
      </w:r>
      <w:r w:rsidRPr="002B68CD">
        <w:rPr>
          <w:rFonts w:ascii="Palatino Linotype" w:eastAsia="Palatino Linotype" w:hAnsi="Palatino Linotype" w:cs="Palatino Linotype"/>
          <w:i/>
          <w:iCs/>
          <w:sz w:val="22"/>
          <w:szCs w:val="22"/>
        </w:rPr>
        <w:t>El recurso de revisión es un medio de protección que la Ley otorga a los particulares, para hacer valer su derecho de acceso a la información pública, y procederá en contra de las siguientes causas:</w:t>
      </w:r>
    </w:p>
    <w:p w:rsidR="00670D81" w:rsidRPr="002B68CD" w:rsidRDefault="0097559C">
      <w:pPr>
        <w:spacing w:line="360" w:lineRule="auto"/>
        <w:ind w:left="851" w:right="1041"/>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w:t>
      </w:r>
    </w:p>
    <w:p w:rsidR="00670D81" w:rsidRPr="002B68CD" w:rsidRDefault="0097559C">
      <w:pPr>
        <w:spacing w:line="360" w:lineRule="auto"/>
        <w:ind w:left="851" w:right="1041"/>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II. La clasificación de la información;</w:t>
      </w:r>
    </w:p>
    <w:p w:rsidR="00670D81" w:rsidRPr="002B68CD" w:rsidRDefault="0097559C">
      <w:pPr>
        <w:spacing w:line="360" w:lineRule="auto"/>
        <w:ind w:left="851" w:right="1041"/>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w:t>
      </w:r>
    </w:p>
    <w:p w:rsidR="00670D81" w:rsidRPr="002B68CD" w:rsidRDefault="0097559C">
      <w:pPr>
        <w:spacing w:before="240" w:after="240"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b/>
          <w:bCs/>
          <w:sz w:val="22"/>
          <w:szCs w:val="22"/>
        </w:rPr>
        <w:t xml:space="preserve">Tercero. Materia de la revisión. </w:t>
      </w:r>
      <w:r w:rsidRPr="002B68CD">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2B68CD">
        <w:rPr>
          <w:rFonts w:ascii="Palatino Linotype" w:eastAsia="Palatino Linotype" w:hAnsi="Palatino Linotype" w:cs="Palatino Linotype"/>
          <w:b/>
          <w:bCs/>
          <w:sz w:val="22"/>
          <w:szCs w:val="22"/>
        </w:rPr>
        <w:t xml:space="preserve">verificar si la respuesta otorgada por el Sujeto Obligado es adecuada y suficiente para satisfacer el derecho de acceso a la información pública </w:t>
      </w:r>
      <w:r w:rsidRPr="002B68CD">
        <w:rPr>
          <w:rFonts w:ascii="Palatino Linotype" w:eastAsia="Palatino Linotype" w:hAnsi="Palatino Linotype" w:cs="Palatino Linotype"/>
          <w:sz w:val="22"/>
          <w:szCs w:val="22"/>
        </w:rPr>
        <w:t xml:space="preserve">de la parte </w:t>
      </w:r>
      <w:r w:rsidRPr="002B68CD">
        <w:rPr>
          <w:rFonts w:ascii="Palatino Linotype" w:eastAsia="Palatino Linotype" w:hAnsi="Palatino Linotype" w:cs="Palatino Linotype"/>
          <w:b/>
          <w:bCs/>
          <w:sz w:val="22"/>
          <w:szCs w:val="22"/>
        </w:rPr>
        <w:t>Recurrente</w:t>
      </w:r>
      <w:r w:rsidRPr="002B68CD">
        <w:rPr>
          <w:rFonts w:ascii="Palatino Linotype" w:eastAsia="Palatino Linotype" w:hAnsi="Palatino Linotype" w:cs="Palatino Linotype"/>
          <w:sz w:val="22"/>
          <w:szCs w:val="22"/>
        </w:rPr>
        <w:t>, o en su defecto, en caso de ser procedente, ordenar la entrega de información.</w:t>
      </w: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b/>
          <w:bCs/>
          <w:sz w:val="22"/>
          <w:szCs w:val="22"/>
        </w:rPr>
        <w:t xml:space="preserve">Cuarto. Estudio del asunto. </w:t>
      </w:r>
      <w:r w:rsidRPr="002B68CD">
        <w:rPr>
          <w:rFonts w:ascii="Palatino Linotype" w:eastAsia="Palatino Linotype" w:hAnsi="Palatino Linotype" w:cs="Palatino Linotype"/>
          <w:sz w:val="22"/>
          <w:szCs w:val="22"/>
        </w:rPr>
        <w:t xml:space="preserve">En principio, es conveniente analizar si la respuesta del </w:t>
      </w:r>
      <w:r w:rsidRPr="002B68CD">
        <w:rPr>
          <w:rFonts w:ascii="Palatino Linotype" w:eastAsia="Palatino Linotype" w:hAnsi="Palatino Linotype" w:cs="Palatino Linotype"/>
          <w:b/>
          <w:bCs/>
          <w:sz w:val="22"/>
          <w:szCs w:val="22"/>
        </w:rPr>
        <w:t>SUJETO OBLIGADO</w:t>
      </w:r>
      <w:r w:rsidRPr="002B68CD">
        <w:rPr>
          <w:rFonts w:ascii="Palatino Linotype" w:eastAsia="Palatino Linotype" w:hAnsi="Palatino Linotype" w:cs="Palatino Linotype"/>
          <w:sz w:val="22"/>
          <w:szCs w:val="22"/>
        </w:rPr>
        <w:t xml:space="preserve"> cumple con los requisitos y procedimientos del derecho de acceso a la información pública, en atención a que en la Ley de Transparencia y Acceso a la Información Pública del Estado de México y Municipios en su artículo 4, que dice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rsidR="00670D81" w:rsidRPr="002B68CD" w:rsidRDefault="00670D81">
      <w:pPr>
        <w:spacing w:line="360" w:lineRule="auto"/>
        <w:jc w:val="both"/>
        <w:rPr>
          <w:rFonts w:ascii="Palatino Linotype" w:eastAsia="Palatino Linotype" w:hAnsi="Palatino Linotype" w:cs="Palatino Linotype"/>
          <w:sz w:val="22"/>
          <w:szCs w:val="22"/>
        </w:rPr>
      </w:pPr>
    </w:p>
    <w:p w:rsidR="00670D81" w:rsidRPr="002B68CD" w:rsidRDefault="0097559C">
      <w:pPr>
        <w:spacing w:line="276" w:lineRule="auto"/>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w:t>
      </w:r>
      <w:r w:rsidRPr="002B68CD">
        <w:rPr>
          <w:rFonts w:ascii="Palatino Linotype" w:eastAsia="Palatino Linotype" w:hAnsi="Palatino Linotype" w:cs="Palatino Linotype"/>
          <w:b/>
          <w:bCs/>
          <w:i/>
          <w:iCs/>
          <w:sz w:val="22"/>
          <w:szCs w:val="22"/>
        </w:rPr>
        <w:t>Artículo 4</w:t>
      </w:r>
      <w:r w:rsidRPr="002B68CD">
        <w:rPr>
          <w:rFonts w:ascii="Palatino Linotype" w:eastAsia="Palatino Linotype" w:hAnsi="Palatino Linotype" w:cs="Palatino Linotype"/>
          <w:i/>
          <w:iCs/>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rsidR="00670D81" w:rsidRPr="002B68CD" w:rsidRDefault="0097559C">
      <w:pPr>
        <w:spacing w:line="276" w:lineRule="auto"/>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b/>
          <w:bCs/>
          <w:i/>
          <w:iCs/>
          <w:sz w:val="22"/>
          <w:szCs w:val="22"/>
        </w:rPr>
        <w:t>Toda la información generada, obtenida, adquirida, transformada, administrada o en posesión de los sujetos obligados es pública y accesible de manera permanente a cualquier persona</w:t>
      </w:r>
      <w:r w:rsidRPr="002B68CD">
        <w:rPr>
          <w:rFonts w:ascii="Palatino Linotype" w:eastAsia="Palatino Linotype" w:hAnsi="Palatino Linotype" w:cs="Palatino Linotype"/>
          <w:i/>
          <w:iCs/>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rsidR="00670D81" w:rsidRPr="002B68CD" w:rsidRDefault="0097559C">
      <w:pPr>
        <w:spacing w:line="276" w:lineRule="auto"/>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b/>
          <w:bCs/>
          <w:i/>
          <w:iCs/>
          <w:sz w:val="22"/>
          <w:szCs w:val="22"/>
        </w:rPr>
        <w:t>Los sujetos obligados deben poner en práctica, políticas y programas de acceso a la información que se apeguen a criterios de publicidad, veracidad, oportunidad, precisión y suficiencia en beneficio de los solicitantes</w:t>
      </w:r>
      <w:r w:rsidRPr="002B68CD">
        <w:rPr>
          <w:rFonts w:ascii="Palatino Linotype" w:eastAsia="Palatino Linotype" w:hAnsi="Palatino Linotype" w:cs="Palatino Linotype"/>
          <w:i/>
          <w:iCs/>
          <w:sz w:val="22"/>
          <w:szCs w:val="22"/>
        </w:rPr>
        <w:t>.”</w:t>
      </w:r>
    </w:p>
    <w:p w:rsidR="00670D81" w:rsidRPr="002B68CD" w:rsidRDefault="00670D81">
      <w:pPr>
        <w:spacing w:line="276" w:lineRule="auto"/>
        <w:jc w:val="both"/>
        <w:rPr>
          <w:rFonts w:ascii="Palatino Linotype" w:eastAsia="Palatino Linotype" w:hAnsi="Palatino Linotype" w:cs="Palatino Linotype"/>
          <w:sz w:val="22"/>
          <w:szCs w:val="22"/>
        </w:rPr>
      </w:pP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rsidR="00670D81" w:rsidRPr="002B68CD" w:rsidRDefault="00670D81">
      <w:pPr>
        <w:spacing w:line="360" w:lineRule="auto"/>
        <w:jc w:val="both"/>
        <w:rPr>
          <w:rFonts w:ascii="Palatino Linotype" w:eastAsia="Palatino Linotype" w:hAnsi="Palatino Linotype" w:cs="Palatino Linotype"/>
          <w:sz w:val="22"/>
          <w:szCs w:val="22"/>
        </w:rPr>
      </w:pPr>
    </w:p>
    <w:p w:rsidR="00670D81" w:rsidRPr="002B68CD" w:rsidRDefault="0097559C">
      <w:pPr>
        <w:spacing w:line="276" w:lineRule="auto"/>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b/>
          <w:bCs/>
          <w:i/>
          <w:iCs/>
          <w:sz w:val="22"/>
          <w:szCs w:val="22"/>
        </w:rPr>
        <w:t>“Artículo 12.-</w:t>
      </w:r>
      <w:r w:rsidRPr="002B68CD">
        <w:rPr>
          <w:rFonts w:ascii="Palatino Linotype" w:eastAsia="Palatino Linotype" w:hAnsi="Palatino Linotype" w:cs="Palatino Linotype"/>
          <w:i/>
          <w:iCs/>
          <w:sz w:val="22"/>
          <w:szCs w:val="22"/>
        </w:rPr>
        <w:t xml:space="preserve"> Quienes generen, recopilen, administren, manejen, procesen, archiven o conserven información pública serán responsables de la misma en los términos de las disposiciones jurídicas aplicables. </w:t>
      </w:r>
    </w:p>
    <w:p w:rsidR="00670D81" w:rsidRPr="002B68CD" w:rsidRDefault="00670D81">
      <w:pPr>
        <w:spacing w:line="276" w:lineRule="auto"/>
        <w:ind w:left="567" w:right="616"/>
        <w:jc w:val="both"/>
        <w:rPr>
          <w:rFonts w:ascii="Palatino Linotype" w:eastAsia="Palatino Linotype" w:hAnsi="Palatino Linotype" w:cs="Palatino Linotype"/>
          <w:i/>
          <w:iCs/>
          <w:sz w:val="22"/>
          <w:szCs w:val="22"/>
        </w:rPr>
      </w:pPr>
    </w:p>
    <w:p w:rsidR="00670D81" w:rsidRPr="002B68CD" w:rsidRDefault="0097559C">
      <w:pPr>
        <w:spacing w:line="276" w:lineRule="auto"/>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b/>
          <w:bCs/>
          <w:i/>
          <w:iCs/>
          <w:sz w:val="22"/>
          <w:szCs w:val="22"/>
        </w:rPr>
        <w:t>Los sujetos obligados sólo proporcionarán la información pública que se les requiera y que obre en sus archivos y en el estado en que ésta se encuentre</w:t>
      </w:r>
      <w:r w:rsidRPr="002B68CD">
        <w:rPr>
          <w:rFonts w:ascii="Palatino Linotype" w:eastAsia="Palatino Linotype" w:hAnsi="Palatino Linotype" w:cs="Palatino Linotype"/>
          <w:i/>
          <w:iCs/>
          <w:sz w:val="22"/>
          <w:szCs w:val="22"/>
        </w:rPr>
        <w:t xml:space="preserve">. </w:t>
      </w:r>
      <w:r w:rsidRPr="002B68CD">
        <w:rPr>
          <w:rFonts w:ascii="Palatino Linotype" w:eastAsia="Palatino Linotype" w:hAnsi="Palatino Linotype" w:cs="Palatino Linotype"/>
          <w:b/>
          <w:bCs/>
          <w:i/>
          <w:iCs/>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rsidR="00670D81" w:rsidRPr="002B68CD" w:rsidRDefault="00670D81">
      <w:pPr>
        <w:spacing w:line="360" w:lineRule="auto"/>
        <w:ind w:right="-93"/>
        <w:jc w:val="both"/>
        <w:rPr>
          <w:rFonts w:ascii="Palatino Linotype" w:eastAsia="Palatino Linotype" w:hAnsi="Palatino Linotype" w:cs="Palatino Linotype"/>
          <w:sz w:val="22"/>
          <w:szCs w:val="22"/>
        </w:rPr>
      </w:pPr>
    </w:p>
    <w:p w:rsidR="00670D81" w:rsidRPr="002B68CD" w:rsidRDefault="0097559C">
      <w:pPr>
        <w:spacing w:line="360" w:lineRule="auto"/>
        <w:ind w:right="-93"/>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sólo se concretaran a proporcionar la información solicitada que tengan en su poder en el estado que se encuentran, sin necesidad de concretarse al interés o términos específicos del solicitante.</w:t>
      </w:r>
    </w:p>
    <w:p w:rsidR="00670D81" w:rsidRPr="002B68CD" w:rsidRDefault="00670D81">
      <w:pPr>
        <w:spacing w:line="360" w:lineRule="auto"/>
        <w:ind w:right="-93"/>
        <w:jc w:val="both"/>
        <w:rPr>
          <w:rFonts w:ascii="Palatino Linotype" w:eastAsia="Palatino Linotype" w:hAnsi="Palatino Linotype" w:cs="Palatino Linotype"/>
          <w:sz w:val="22"/>
          <w:szCs w:val="22"/>
        </w:rPr>
      </w:pPr>
    </w:p>
    <w:p w:rsidR="00670D81" w:rsidRPr="002B68CD" w:rsidRDefault="0097559C">
      <w:pPr>
        <w:spacing w:line="360" w:lineRule="auto"/>
        <w:ind w:right="-93"/>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2B68CD">
        <w:rPr>
          <w:rFonts w:ascii="Palatino Linotype" w:eastAsia="Palatino Linotype" w:hAnsi="Palatino Linotype" w:cs="Palatino Linotype"/>
          <w:b/>
          <w:bCs/>
          <w:sz w:val="22"/>
          <w:szCs w:val="22"/>
        </w:rPr>
        <w:t xml:space="preserve"> </w:t>
      </w:r>
    </w:p>
    <w:p w:rsidR="00670D81" w:rsidRPr="002B68CD" w:rsidRDefault="00670D81">
      <w:pPr>
        <w:spacing w:line="360" w:lineRule="auto"/>
        <w:jc w:val="both"/>
        <w:rPr>
          <w:rFonts w:ascii="Palatino Linotype" w:eastAsia="Palatino Linotype" w:hAnsi="Palatino Linotype" w:cs="Palatino Linotype"/>
          <w:b/>
          <w:bCs/>
          <w:sz w:val="22"/>
          <w:szCs w:val="22"/>
        </w:rPr>
      </w:pP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w:t>
      </w:r>
      <w:r w:rsidRPr="002B68CD">
        <w:rPr>
          <w:rFonts w:ascii="Palatino Linotype" w:eastAsia="Palatino Linotype" w:hAnsi="Palatino Linotype" w:cs="Palatino Linotype"/>
          <w:b/>
          <w:bCs/>
          <w:i/>
          <w:iCs/>
          <w:sz w:val="22"/>
          <w:szCs w:val="22"/>
        </w:rPr>
        <w:t>No existe obligación de elaborar documentos ad hoc para atender las solicitudes de acceso a la información.</w:t>
      </w:r>
      <w:r w:rsidRPr="002B68CD">
        <w:rPr>
          <w:rFonts w:ascii="Palatino Linotype" w:eastAsia="Palatino Linotype" w:hAnsi="Palatino Linotype" w:cs="Palatino Linotype"/>
          <w:i/>
          <w:iCs/>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rsidR="00670D81" w:rsidRPr="002B68CD" w:rsidRDefault="00670D81">
      <w:pPr>
        <w:spacing w:line="360" w:lineRule="auto"/>
        <w:ind w:right="-93"/>
        <w:jc w:val="both"/>
        <w:rPr>
          <w:rFonts w:ascii="Palatino Linotype" w:eastAsia="Palatino Linotype" w:hAnsi="Palatino Linotype" w:cs="Palatino Linotype"/>
          <w:sz w:val="22"/>
          <w:szCs w:val="22"/>
        </w:rPr>
      </w:pP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670D81" w:rsidRPr="002B68CD" w:rsidRDefault="00670D81">
      <w:pPr>
        <w:spacing w:line="360" w:lineRule="auto"/>
        <w:jc w:val="both"/>
        <w:rPr>
          <w:rFonts w:ascii="Palatino Linotype" w:eastAsia="Palatino Linotype" w:hAnsi="Palatino Linotype" w:cs="Palatino Linotype"/>
          <w:sz w:val="22"/>
          <w:szCs w:val="22"/>
        </w:rPr>
      </w:pPr>
    </w:p>
    <w:p w:rsidR="00670D81" w:rsidRPr="002B68CD" w:rsidRDefault="0097559C">
      <w:pPr>
        <w:spacing w:line="360" w:lineRule="auto"/>
        <w:ind w:right="49"/>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rsidR="00670D81" w:rsidRPr="002B68CD" w:rsidRDefault="00670D81">
      <w:pPr>
        <w:spacing w:line="360" w:lineRule="auto"/>
        <w:ind w:right="49"/>
        <w:jc w:val="both"/>
        <w:rPr>
          <w:rFonts w:ascii="Palatino Linotype" w:eastAsia="Palatino Linotype" w:hAnsi="Palatino Linotype" w:cs="Palatino Linotype"/>
          <w:sz w:val="22"/>
          <w:szCs w:val="22"/>
        </w:rPr>
      </w:pP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rsidR="00670D81" w:rsidRPr="002B68CD" w:rsidRDefault="00670D81">
      <w:pPr>
        <w:spacing w:line="360" w:lineRule="auto"/>
        <w:ind w:left="567" w:right="616"/>
        <w:jc w:val="both"/>
        <w:rPr>
          <w:rFonts w:ascii="Palatino Linotype" w:eastAsia="Palatino Linotype" w:hAnsi="Palatino Linotype" w:cs="Palatino Linotype"/>
          <w:i/>
          <w:iCs/>
          <w:sz w:val="22"/>
          <w:szCs w:val="22"/>
        </w:rPr>
      </w:pP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w:t>
      </w:r>
      <w:r w:rsidRPr="002B68CD">
        <w:rPr>
          <w:rFonts w:ascii="Palatino Linotype" w:eastAsia="Palatino Linotype" w:hAnsi="Palatino Linotype" w:cs="Palatino Linotype"/>
          <w:b/>
          <w:bCs/>
          <w:i/>
          <w:iCs/>
          <w:sz w:val="22"/>
          <w:szCs w:val="22"/>
        </w:rPr>
        <w:t xml:space="preserve">Artículo 3. </w:t>
      </w:r>
      <w:r w:rsidRPr="002B68CD">
        <w:rPr>
          <w:rFonts w:ascii="Palatino Linotype" w:eastAsia="Palatino Linotype" w:hAnsi="Palatino Linotype" w:cs="Palatino Linotype"/>
          <w:i/>
          <w:iCs/>
          <w:sz w:val="22"/>
          <w:szCs w:val="22"/>
        </w:rPr>
        <w:t>Para los efectos de la presente Ley se entenderá por:</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b/>
          <w:bCs/>
          <w:i/>
          <w:iCs/>
          <w:sz w:val="22"/>
          <w:szCs w:val="22"/>
        </w:rPr>
        <w:t>XI. Documento:</w:t>
      </w:r>
      <w:r w:rsidRPr="002B68CD">
        <w:rPr>
          <w:rFonts w:ascii="Palatino Linotype" w:eastAsia="Palatino Linotype" w:hAnsi="Palatino Linotype" w:cs="Palatino Linotype"/>
          <w:i/>
          <w:iCs/>
          <w:sz w:val="22"/>
          <w:szCs w:val="22"/>
        </w:rPr>
        <w:t xml:space="preserve"> Los expedientes, reportes, estudios, actas</w:t>
      </w:r>
      <w:r w:rsidRPr="002B68CD">
        <w:rPr>
          <w:rFonts w:ascii="Palatino Linotype" w:eastAsia="Palatino Linotype" w:hAnsi="Palatino Linotype" w:cs="Palatino Linotype"/>
          <w:b/>
          <w:bCs/>
          <w:i/>
          <w:iCs/>
          <w:sz w:val="22"/>
          <w:szCs w:val="22"/>
        </w:rPr>
        <w:t>,</w:t>
      </w:r>
      <w:r w:rsidRPr="002B68CD">
        <w:rPr>
          <w:rFonts w:ascii="Palatino Linotype" w:eastAsia="Palatino Linotype" w:hAnsi="Palatino Linotype" w:cs="Palatino Linotype"/>
          <w:i/>
          <w:iCs/>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rsidR="00670D81" w:rsidRPr="002B68CD" w:rsidRDefault="00670D81">
      <w:pPr>
        <w:spacing w:line="360" w:lineRule="auto"/>
        <w:ind w:left="851" w:right="899"/>
        <w:jc w:val="both"/>
        <w:rPr>
          <w:rFonts w:ascii="Palatino Linotype" w:eastAsia="Palatino Linotype" w:hAnsi="Palatino Linotype" w:cs="Palatino Linotype"/>
          <w:sz w:val="22"/>
          <w:szCs w:val="22"/>
        </w:rPr>
      </w:pP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rsidR="00670D81" w:rsidRPr="002B68CD" w:rsidRDefault="00670D81">
      <w:pPr>
        <w:spacing w:line="360" w:lineRule="auto"/>
        <w:jc w:val="both"/>
        <w:rPr>
          <w:rFonts w:ascii="Palatino Linotype" w:eastAsia="Palatino Linotype" w:hAnsi="Palatino Linotype" w:cs="Palatino Linotype"/>
          <w:sz w:val="22"/>
          <w:szCs w:val="22"/>
        </w:rPr>
      </w:pPr>
    </w:p>
    <w:p w:rsidR="00670D81" w:rsidRPr="002B68CD" w:rsidRDefault="0097559C">
      <w:pPr>
        <w:ind w:left="567" w:right="616"/>
        <w:jc w:val="both"/>
        <w:rPr>
          <w:rFonts w:ascii="Palatino Linotype" w:eastAsia="Palatino Linotype" w:hAnsi="Palatino Linotype" w:cs="Palatino Linotype"/>
          <w:b/>
          <w:bCs/>
          <w:i/>
          <w:iCs/>
          <w:sz w:val="22"/>
          <w:szCs w:val="22"/>
        </w:rPr>
      </w:pPr>
      <w:r w:rsidRPr="002B68CD">
        <w:rPr>
          <w:rFonts w:ascii="Palatino Linotype" w:eastAsia="Palatino Linotype" w:hAnsi="Palatino Linotype" w:cs="Palatino Linotype"/>
          <w:b/>
          <w:bCs/>
          <w:sz w:val="22"/>
          <w:szCs w:val="22"/>
        </w:rPr>
        <w:t>“</w:t>
      </w:r>
      <w:r w:rsidRPr="002B68CD">
        <w:rPr>
          <w:rFonts w:ascii="Palatino Linotype" w:eastAsia="Palatino Linotype" w:hAnsi="Palatino Linotype" w:cs="Palatino Linotype"/>
          <w:b/>
          <w:bCs/>
          <w:i/>
          <w:iCs/>
          <w:sz w:val="22"/>
          <w:szCs w:val="22"/>
        </w:rPr>
        <w:t>CRITERIO 0002-11. INFORMACIÓN PÚBLICA, CONCEPTO DE, EN MATERIA DE TRANSPARENCIA. INTERPRETACIÓN SISTEMÁTICA DE LOS ARTÍCULOS 2°, FRACCIÓN V, XV, Y XVI, 3°, 4°, 11 Y 41.</w:t>
      </w:r>
      <w:r w:rsidRPr="002B68CD">
        <w:rPr>
          <w:rFonts w:ascii="Palatino Linotype" w:eastAsia="Palatino Linotype" w:hAnsi="Palatino Linotype" w:cs="Palatino Linotype"/>
          <w:i/>
          <w:iCs/>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En consecuencia el acceso a la información se refiere a que se cumplan cualquiera de los siguientes tres supuestos:</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1) Que se trate de información registrada en cualquier soporte documental, que en ejercicio de las atribuciones conferidas, sea generada por los Sujetos Obligados;</w:t>
      </w:r>
    </w:p>
    <w:p w:rsidR="00670D81" w:rsidRPr="002B68CD" w:rsidRDefault="0097559C">
      <w:pPr>
        <w:ind w:left="567" w:right="616"/>
        <w:jc w:val="both"/>
        <w:rPr>
          <w:rFonts w:ascii="Palatino Linotype" w:eastAsia="Palatino Linotype" w:hAnsi="Palatino Linotype" w:cs="Palatino Linotype"/>
          <w:b/>
          <w:bCs/>
          <w:i/>
          <w:iCs/>
          <w:sz w:val="22"/>
          <w:szCs w:val="22"/>
        </w:rPr>
      </w:pPr>
      <w:r w:rsidRPr="002B68CD">
        <w:rPr>
          <w:rFonts w:ascii="Palatino Linotype" w:eastAsia="Palatino Linotype" w:hAnsi="Palatino Linotype" w:cs="Palatino Linotype"/>
          <w:b/>
          <w:bCs/>
          <w:i/>
          <w:iCs/>
          <w:sz w:val="22"/>
          <w:szCs w:val="22"/>
        </w:rPr>
        <w:t>2) Que se trate de información registrada en cualquier soporte documental, que en ejercicio de las atribuciones conferidas, sea administrada por los Sujetos Obligados, y</w:t>
      </w:r>
    </w:p>
    <w:p w:rsidR="00670D81" w:rsidRPr="002B68CD" w:rsidRDefault="0097559C">
      <w:pPr>
        <w:ind w:left="567" w:right="616"/>
        <w:jc w:val="both"/>
        <w:rPr>
          <w:rFonts w:ascii="Palatino Linotype" w:eastAsia="Palatino Linotype" w:hAnsi="Palatino Linotype" w:cs="Palatino Linotype"/>
          <w:b/>
          <w:bCs/>
          <w:i/>
          <w:iCs/>
          <w:sz w:val="22"/>
          <w:szCs w:val="22"/>
        </w:rPr>
      </w:pPr>
      <w:r w:rsidRPr="002B68CD">
        <w:rPr>
          <w:rFonts w:ascii="Palatino Linotype" w:eastAsia="Palatino Linotype" w:hAnsi="Palatino Linotype" w:cs="Palatino Linotype"/>
          <w:b/>
          <w:bCs/>
          <w:i/>
          <w:iCs/>
          <w:sz w:val="22"/>
          <w:szCs w:val="22"/>
        </w:rPr>
        <w:t xml:space="preserve">3) Que se trate de información registrada en cualquier soporte documental, que en ejercicio de las atribuciones conferidas, se encuentre en posesión de los Sujetos Obligados.” </w:t>
      </w:r>
    </w:p>
    <w:p w:rsidR="00670D81" w:rsidRPr="002B68CD" w:rsidRDefault="00670D81">
      <w:pPr>
        <w:tabs>
          <w:tab w:val="left" w:pos="8647"/>
        </w:tabs>
        <w:spacing w:line="360" w:lineRule="auto"/>
        <w:jc w:val="both"/>
        <w:rPr>
          <w:rFonts w:ascii="Palatino Linotype" w:eastAsia="Palatino Linotype" w:hAnsi="Palatino Linotype" w:cs="Palatino Linotype"/>
          <w:b/>
          <w:bCs/>
          <w:sz w:val="22"/>
          <w:szCs w:val="22"/>
        </w:rPr>
      </w:pPr>
    </w:p>
    <w:p w:rsidR="00670D81" w:rsidRPr="002B68CD" w:rsidRDefault="0097559C">
      <w:pPr>
        <w:spacing w:after="240"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 xml:space="preserve">Del análisis de la solicitud de información motivo del recurso de revisión que ahora se resuelve, se tiene que el Recurrente solicitó al </w:t>
      </w:r>
      <w:r w:rsidRPr="002B68CD">
        <w:rPr>
          <w:rFonts w:ascii="Palatino Linotype" w:eastAsia="Palatino Linotype" w:hAnsi="Palatino Linotype" w:cs="Palatino Linotype"/>
          <w:b/>
          <w:bCs/>
          <w:sz w:val="22"/>
          <w:szCs w:val="22"/>
        </w:rPr>
        <w:t>Ayuntamiento de la Paz</w:t>
      </w:r>
      <w:r w:rsidRPr="002B68CD">
        <w:rPr>
          <w:rFonts w:ascii="Palatino Linotype" w:eastAsia="Palatino Linotype" w:hAnsi="Palatino Linotype" w:cs="Palatino Linotype"/>
          <w:sz w:val="22"/>
          <w:szCs w:val="22"/>
        </w:rPr>
        <w:t xml:space="preserve"> la siguiente información:</w:t>
      </w:r>
    </w:p>
    <w:p w:rsidR="00670D81" w:rsidRPr="002B68CD" w:rsidRDefault="0097559C">
      <w:pPr>
        <w:numPr>
          <w:ilvl w:val="0"/>
          <w:numId w:val="7"/>
        </w:numPr>
        <w:pBdr>
          <w:top w:val="nil"/>
          <w:left w:val="nil"/>
          <w:bottom w:val="nil"/>
          <w:right w:val="nil"/>
          <w:between w:val="nil"/>
        </w:pBdr>
        <w:spacing w:after="240" w:line="360" w:lineRule="auto"/>
        <w:ind w:right="843"/>
        <w:jc w:val="both"/>
        <w:rPr>
          <w:rFonts w:ascii="Palatino Linotype" w:eastAsia="Palatino Linotype" w:hAnsi="Palatino Linotype" w:cs="Palatino Linotype"/>
          <w:b/>
          <w:bCs/>
          <w:sz w:val="22"/>
          <w:szCs w:val="22"/>
        </w:rPr>
      </w:pPr>
      <w:r w:rsidRPr="002B68CD">
        <w:rPr>
          <w:rFonts w:ascii="Palatino Linotype" w:eastAsia="Palatino Linotype" w:hAnsi="Palatino Linotype" w:cs="Palatino Linotype"/>
          <w:b/>
          <w:bCs/>
          <w:sz w:val="22"/>
          <w:szCs w:val="22"/>
        </w:rPr>
        <w:t>Expediente completo de las auditorías realizadas por el Órgano Interno de Control o similar e</w:t>
      </w:r>
      <w:r w:rsidRPr="002B68CD">
        <w:rPr>
          <w:rFonts w:ascii="Palatino Linotype" w:eastAsia="Palatino Linotype" w:hAnsi="Palatino Linotype" w:cs="Palatino Linotype"/>
          <w:b/>
          <w:bCs/>
          <w:sz w:val="22"/>
          <w:szCs w:val="22"/>
          <w:u w:val="single"/>
        </w:rPr>
        <w:t>n el año 2024</w:t>
      </w:r>
      <w:r w:rsidRPr="002B68CD">
        <w:rPr>
          <w:rFonts w:ascii="Palatino Linotype" w:eastAsia="Palatino Linotype" w:hAnsi="Palatino Linotype" w:cs="Palatino Linotype"/>
          <w:b/>
          <w:bCs/>
          <w:sz w:val="22"/>
          <w:szCs w:val="22"/>
        </w:rPr>
        <w:t>, donde se identifique el inicio y fin de las mismas.</w:t>
      </w: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El Sujeto Obligado en respuesta entregó una prueba de daño y la aprobación de la clasificación de la información requerida en una solicitud de acceso a la información diversa, la cual versa sobre el expediente de la última auditoría realizada de la administración 2022-2024.</w:t>
      </w:r>
    </w:p>
    <w:p w:rsidR="00670D81" w:rsidRPr="002B68CD" w:rsidRDefault="00670D81">
      <w:pPr>
        <w:spacing w:line="360" w:lineRule="auto"/>
        <w:jc w:val="both"/>
        <w:rPr>
          <w:rFonts w:ascii="Palatino Linotype" w:eastAsia="Palatino Linotype" w:hAnsi="Palatino Linotype" w:cs="Palatino Linotype"/>
          <w:sz w:val="22"/>
          <w:szCs w:val="22"/>
        </w:rPr>
      </w:pP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 xml:space="preserve">Sin embargo, mediante el informe justificado emitió la prueba de daño y la aprobación del Comité de Transparencia de la solicitud que dio origen al presente recurso de revisión, donde se clasificó la información por un periodo de tres años. </w:t>
      </w:r>
    </w:p>
    <w:p w:rsidR="00670D81" w:rsidRPr="002B68CD" w:rsidRDefault="00670D81">
      <w:pPr>
        <w:spacing w:line="360" w:lineRule="auto"/>
        <w:jc w:val="both"/>
        <w:rPr>
          <w:rFonts w:ascii="Palatino Linotype" w:eastAsia="Palatino Linotype" w:hAnsi="Palatino Linotype" w:cs="Palatino Linotype"/>
          <w:sz w:val="22"/>
          <w:szCs w:val="22"/>
        </w:rPr>
      </w:pP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 xml:space="preserve"> Dicho lo anterior, debe mencionarse que la información que es materia de estudio se encuentra relacionada con la obligación de transparencia prevista en el artículo 92, fracción XXVIII, de la Ley de Transparencia y Acceso a la Información Pública del Estado de México y Municipios, al tener los Sujetos Obligados el deber de hacer de conocimiento público los informes de resultados de las auditorías y en su caso las aclaraciones que correspondan resultados de las auditorías a saber:</w:t>
      </w:r>
    </w:p>
    <w:p w:rsidR="00670D81" w:rsidRPr="002B68CD" w:rsidRDefault="00670D81">
      <w:pPr>
        <w:spacing w:line="360" w:lineRule="auto"/>
        <w:jc w:val="both"/>
        <w:rPr>
          <w:rFonts w:ascii="Palatino Linotype" w:eastAsia="Palatino Linotype" w:hAnsi="Palatino Linotype" w:cs="Palatino Linotype"/>
          <w:sz w:val="22"/>
          <w:szCs w:val="22"/>
        </w:rPr>
      </w:pPr>
    </w:p>
    <w:p w:rsidR="00670D81" w:rsidRPr="002B68CD" w:rsidRDefault="0097559C">
      <w:pPr>
        <w:spacing w:line="276" w:lineRule="auto"/>
        <w:ind w:left="851" w:right="902"/>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b/>
          <w:bCs/>
          <w:i/>
          <w:iCs/>
          <w:sz w:val="22"/>
          <w:szCs w:val="22"/>
        </w:rPr>
        <w:t>“Artículo 92</w:t>
      </w:r>
      <w:r w:rsidRPr="002B68CD">
        <w:rPr>
          <w:rFonts w:ascii="Palatino Linotype" w:eastAsia="Palatino Linotype" w:hAnsi="Palatino Linotype" w:cs="Palatino Linotype"/>
          <w:i/>
          <w:iCs/>
          <w:sz w:val="22"/>
          <w:szCs w:val="22"/>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670D81" w:rsidRPr="002B68CD" w:rsidRDefault="0097559C">
      <w:pPr>
        <w:spacing w:line="276" w:lineRule="auto"/>
        <w:ind w:left="1134" w:right="902"/>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w:t>
      </w:r>
    </w:p>
    <w:p w:rsidR="00670D81" w:rsidRPr="002B68CD" w:rsidRDefault="0097559C">
      <w:pPr>
        <w:spacing w:line="276" w:lineRule="auto"/>
        <w:ind w:left="1134" w:right="902"/>
        <w:jc w:val="both"/>
        <w:rPr>
          <w:rFonts w:ascii="Palatino Linotype" w:eastAsia="Palatino Linotype" w:hAnsi="Palatino Linotype" w:cs="Palatino Linotype"/>
          <w:b/>
          <w:bCs/>
          <w:i/>
          <w:iCs/>
          <w:sz w:val="22"/>
          <w:szCs w:val="22"/>
        </w:rPr>
      </w:pPr>
      <w:r w:rsidRPr="002B68CD">
        <w:rPr>
          <w:rFonts w:ascii="Palatino Linotype" w:eastAsia="Palatino Linotype" w:hAnsi="Palatino Linotype" w:cs="Palatino Linotype"/>
          <w:b/>
          <w:bCs/>
          <w:i/>
          <w:iCs/>
          <w:sz w:val="22"/>
          <w:szCs w:val="22"/>
        </w:rPr>
        <w:t>XXVIII.</w:t>
      </w:r>
      <w:r w:rsidRPr="002B68CD">
        <w:rPr>
          <w:rFonts w:ascii="Palatino Linotype" w:eastAsia="Palatino Linotype" w:hAnsi="Palatino Linotype" w:cs="Palatino Linotype"/>
          <w:i/>
          <w:iCs/>
          <w:sz w:val="22"/>
          <w:szCs w:val="22"/>
        </w:rPr>
        <w:t xml:space="preserve"> Los </w:t>
      </w:r>
      <w:r w:rsidRPr="002B68CD">
        <w:rPr>
          <w:rFonts w:ascii="Palatino Linotype" w:eastAsia="Palatino Linotype" w:hAnsi="Palatino Linotype" w:cs="Palatino Linotype"/>
          <w:b/>
          <w:bCs/>
          <w:i/>
          <w:iCs/>
          <w:sz w:val="22"/>
          <w:szCs w:val="22"/>
        </w:rPr>
        <w:t>informes de resultados de las auditorías</w:t>
      </w:r>
      <w:r w:rsidRPr="002B68CD">
        <w:rPr>
          <w:rFonts w:ascii="Palatino Linotype" w:eastAsia="Palatino Linotype" w:hAnsi="Palatino Linotype" w:cs="Palatino Linotype"/>
          <w:i/>
          <w:iCs/>
          <w:sz w:val="22"/>
          <w:szCs w:val="22"/>
        </w:rPr>
        <w:t xml:space="preserve"> al ejercicio presupuestal de cada sujeto obligado que se realicen y, en su caso, </w:t>
      </w:r>
      <w:r w:rsidRPr="002B68CD">
        <w:rPr>
          <w:rFonts w:ascii="Palatino Linotype" w:eastAsia="Palatino Linotype" w:hAnsi="Palatino Linotype" w:cs="Palatino Linotype"/>
          <w:b/>
          <w:bCs/>
          <w:i/>
          <w:iCs/>
          <w:sz w:val="22"/>
          <w:szCs w:val="22"/>
        </w:rPr>
        <w:t>las aclaraciones que correspondan;</w:t>
      </w:r>
    </w:p>
    <w:p w:rsidR="00670D81" w:rsidRPr="002B68CD" w:rsidRDefault="00670D81">
      <w:pPr>
        <w:spacing w:line="360" w:lineRule="auto"/>
        <w:ind w:left="1134" w:right="902"/>
        <w:jc w:val="both"/>
        <w:rPr>
          <w:rFonts w:ascii="Palatino Linotype" w:eastAsia="Palatino Linotype" w:hAnsi="Palatino Linotype" w:cs="Palatino Linotype"/>
          <w:b/>
          <w:bCs/>
          <w:i/>
          <w:iCs/>
          <w:sz w:val="22"/>
          <w:szCs w:val="22"/>
        </w:rPr>
      </w:pPr>
    </w:p>
    <w:p w:rsidR="00670D81" w:rsidRPr="002B68CD" w:rsidRDefault="0097559C">
      <w:pPr>
        <w:spacing w:line="360" w:lineRule="auto"/>
        <w:ind w:right="51"/>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 xml:space="preserve">Ahora bien, para dar cumplimiento a dicha obligación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difundir los Sujetos Obligados en los portales de internet y en la Plataforma Nacional de Transparencia señalan que los Sujetos Obligados </w:t>
      </w:r>
      <w:r w:rsidRPr="002B68CD">
        <w:rPr>
          <w:rFonts w:ascii="Palatino Linotype" w:eastAsia="Palatino Linotype" w:hAnsi="Palatino Linotype" w:cs="Palatino Linotype"/>
          <w:b/>
          <w:bCs/>
          <w:sz w:val="22"/>
          <w:szCs w:val="22"/>
        </w:rPr>
        <w:t>deberán publicar la información correspondiente a los resultados de las auditorías internas y externas realizadas a su ejercicio presupuestal,</w:t>
      </w:r>
      <w:r w:rsidRPr="002B68CD">
        <w:rPr>
          <w:rFonts w:ascii="Palatino Linotype" w:eastAsia="Palatino Linotype" w:hAnsi="Palatino Linotype" w:cs="Palatino Linotype"/>
          <w:sz w:val="22"/>
          <w:szCs w:val="22"/>
        </w:rPr>
        <w:t xml:space="preserve"> así como los hallazgos, observaciones, conclusiones, recomendaciones, dictámenes o documentos correspondientes, entregados por la instancia que las haya realizado y, en su caso, el seguimiento a cada una de ellas.</w:t>
      </w:r>
    </w:p>
    <w:p w:rsidR="00670D81" w:rsidRPr="002B68CD" w:rsidRDefault="00670D81">
      <w:pPr>
        <w:spacing w:line="360" w:lineRule="auto"/>
        <w:jc w:val="both"/>
        <w:rPr>
          <w:rFonts w:ascii="Palatino Linotype" w:eastAsia="Palatino Linotype" w:hAnsi="Palatino Linotype" w:cs="Palatino Linotype"/>
          <w:sz w:val="22"/>
          <w:szCs w:val="22"/>
        </w:rPr>
      </w:pPr>
    </w:p>
    <w:p w:rsidR="00670D81" w:rsidRPr="002B68CD" w:rsidRDefault="0097559C">
      <w:pPr>
        <w:spacing w:line="360" w:lineRule="auto"/>
        <w:ind w:right="51"/>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 xml:space="preserve">Asimismo, los Lineamientos señalan que las auditorías </w:t>
      </w:r>
      <w:r w:rsidRPr="002B68CD">
        <w:rPr>
          <w:rFonts w:ascii="Palatino Linotype" w:eastAsia="Palatino Linotype" w:hAnsi="Palatino Linotype" w:cs="Palatino Linotype"/>
          <w:b/>
          <w:bCs/>
          <w:sz w:val="22"/>
          <w:szCs w:val="22"/>
        </w:rPr>
        <w:t>son verificaciones a fin de comprobar el cumplimiento de objetivos fiscales;</w:t>
      </w:r>
      <w:r w:rsidRPr="002B68CD">
        <w:rPr>
          <w:rFonts w:ascii="Palatino Linotype" w:eastAsia="Palatino Linotype" w:hAnsi="Palatino Linotype" w:cs="Palatino Linotype"/>
          <w:sz w:val="22"/>
          <w:szCs w:val="22"/>
        </w:rPr>
        <w:t xml:space="preserve"> sirven para responsabilizar a los Sujetos Obligados y/o servidores públicos, integrantes y/o miembros, así como toda persona que desempeñe un empleo, cargo o comisión y/o ejerza actos de autoridad en los Sujetos Obligados, sobre el manejo de los recursos presupuestarios que utilizan para la realización de sus funciones y la prestación de servicios hacia la ciudadanía, de acuerdo con los documentos normativos que correspondan.</w:t>
      </w:r>
    </w:p>
    <w:p w:rsidR="00670D81" w:rsidRPr="002B68CD" w:rsidRDefault="00670D81">
      <w:pPr>
        <w:spacing w:line="360" w:lineRule="auto"/>
        <w:jc w:val="both"/>
        <w:rPr>
          <w:rFonts w:ascii="Palatino Linotype" w:eastAsia="Palatino Linotype" w:hAnsi="Palatino Linotype" w:cs="Palatino Linotype"/>
          <w:sz w:val="22"/>
          <w:szCs w:val="22"/>
        </w:rPr>
      </w:pP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Por lo tanto, es de especificar que las auditorías internas se refieren a las revisiones realizadas por los órganos internos de control, contralorías, comisiones u órganos de vigilancia, según corresponda, de cada Sujeto Obligado, los cuales actúan a lo largo de todo el año o durante la gestión del sujeto.</w:t>
      </w:r>
    </w:p>
    <w:p w:rsidR="00670D81" w:rsidRPr="002B68CD" w:rsidRDefault="00670D81">
      <w:pPr>
        <w:spacing w:line="360" w:lineRule="auto"/>
        <w:jc w:val="both"/>
        <w:rPr>
          <w:rFonts w:ascii="Palatino Linotype" w:eastAsia="Palatino Linotype" w:hAnsi="Palatino Linotype" w:cs="Palatino Linotype"/>
          <w:sz w:val="22"/>
          <w:szCs w:val="22"/>
        </w:rPr>
      </w:pP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La información deberá publicarse y actualizarse trimestralmente a más tardar 30 días naturales después de concluido el trimestre y se deberá mantener publicada en el sitio de Internet, la información generada en el ejercicio en curso y la correspondiente a los tres ejercicios anteriores.</w:t>
      </w:r>
    </w:p>
    <w:p w:rsidR="00670D81" w:rsidRPr="002B68CD" w:rsidRDefault="00670D81">
      <w:pPr>
        <w:spacing w:line="360" w:lineRule="auto"/>
        <w:jc w:val="both"/>
        <w:rPr>
          <w:rFonts w:ascii="Palatino Linotype" w:eastAsia="Palatino Linotype" w:hAnsi="Palatino Linotype" w:cs="Palatino Linotype"/>
          <w:sz w:val="22"/>
          <w:szCs w:val="22"/>
        </w:rPr>
      </w:pP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Para la publicación de la información se deben observar los Criterios sustantivos de contenido, los Criterios adjetivos de actualización y los Criterios adjetivos de contabilidad, y los Criterios adjetivos de formato que establecen los Lineamientos Técnicos Generales.</w:t>
      </w:r>
    </w:p>
    <w:p w:rsidR="00670D81" w:rsidRPr="002B68CD" w:rsidRDefault="00670D81">
      <w:pPr>
        <w:spacing w:line="360" w:lineRule="auto"/>
        <w:jc w:val="both"/>
        <w:rPr>
          <w:rFonts w:ascii="Palatino Linotype" w:eastAsia="Palatino Linotype" w:hAnsi="Palatino Linotype" w:cs="Palatino Linotype"/>
          <w:sz w:val="22"/>
          <w:szCs w:val="22"/>
        </w:rPr>
      </w:pP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Para el tema que nos ocupa es indispensable traer a contexto el formato mediante el cual se debe organizar la información publicada, en el que se incluyen todos los campos especificados en los criterios sustantivos de contenido:</w:t>
      </w: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 xml:space="preserve"> </w:t>
      </w:r>
    </w:p>
    <w:p w:rsidR="00670D81" w:rsidRPr="002B68CD" w:rsidRDefault="0097559C">
      <w:pPr>
        <w:spacing w:line="360" w:lineRule="auto"/>
        <w:ind w:left="567" w:right="843"/>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 xml:space="preserve">XXIV. Los informes de resultados de las auditorías al ejercicio presupuestal de cada sujeto obligado que se realicen, y, en su caso, las aclaraciones que correspondan </w:t>
      </w:r>
    </w:p>
    <w:p w:rsidR="00670D81" w:rsidRPr="002B68CD" w:rsidRDefault="00670D81">
      <w:pPr>
        <w:spacing w:line="360" w:lineRule="auto"/>
        <w:ind w:left="567" w:right="843"/>
        <w:jc w:val="both"/>
        <w:rPr>
          <w:rFonts w:ascii="Palatino Linotype" w:eastAsia="Palatino Linotype" w:hAnsi="Palatino Linotype" w:cs="Palatino Linotype"/>
          <w:i/>
          <w:iCs/>
          <w:sz w:val="22"/>
          <w:szCs w:val="22"/>
        </w:rPr>
      </w:pPr>
    </w:p>
    <w:p w:rsidR="00670D81" w:rsidRPr="002B68CD" w:rsidRDefault="0097559C">
      <w:pPr>
        <w:spacing w:line="360" w:lineRule="auto"/>
        <w:ind w:left="567" w:right="843"/>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 xml:space="preserve">Los sujetos obligados publicarán la información correspondiente a los resultados de las auditorías internas y externas realizadas a su ejercicio presupuestal, así como los hallazgos, observaciones, conclusiones, recomendaciones, dictámenes o documentos correspondientes, entregados por la instancia que las haya realizado y, en su caso, el seguimiento a cada una de ellas. </w:t>
      </w:r>
    </w:p>
    <w:p w:rsidR="00670D81" w:rsidRPr="002B68CD" w:rsidRDefault="00670D81">
      <w:pPr>
        <w:spacing w:line="360" w:lineRule="auto"/>
        <w:ind w:left="567" w:right="843"/>
        <w:jc w:val="both"/>
        <w:rPr>
          <w:rFonts w:ascii="Palatino Linotype" w:eastAsia="Palatino Linotype" w:hAnsi="Palatino Linotype" w:cs="Palatino Linotype"/>
          <w:i/>
          <w:iCs/>
          <w:sz w:val="22"/>
          <w:szCs w:val="22"/>
        </w:rPr>
      </w:pPr>
    </w:p>
    <w:p w:rsidR="00670D81" w:rsidRPr="002B68CD" w:rsidRDefault="0097559C">
      <w:pPr>
        <w:spacing w:line="360" w:lineRule="auto"/>
        <w:ind w:left="567" w:right="843"/>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El órgano fiscalizador de la federación y los de las entidades federativas tienen autonomía técnica y de gestión, por lo que desarrollan sus funciones conforme a los principios de legalidad, definitividad, imparcialidad y confiabilidad, además de que los informes de auditoría que realizan son públicos.</w:t>
      </w:r>
    </w:p>
    <w:p w:rsidR="00670D81" w:rsidRPr="002B68CD" w:rsidRDefault="00670D81">
      <w:pPr>
        <w:spacing w:line="360" w:lineRule="auto"/>
        <w:ind w:left="567" w:right="843"/>
        <w:jc w:val="both"/>
        <w:rPr>
          <w:rFonts w:ascii="Palatino Linotype" w:eastAsia="Palatino Linotype" w:hAnsi="Palatino Linotype" w:cs="Palatino Linotype"/>
          <w:i/>
          <w:iCs/>
          <w:sz w:val="22"/>
          <w:szCs w:val="22"/>
        </w:rPr>
      </w:pPr>
    </w:p>
    <w:p w:rsidR="00670D81" w:rsidRPr="002B68CD" w:rsidRDefault="0097559C">
      <w:pPr>
        <w:spacing w:line="360" w:lineRule="auto"/>
        <w:ind w:left="567" w:right="843"/>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w:t>
      </w:r>
    </w:p>
    <w:p w:rsidR="00670D81" w:rsidRPr="002B68CD" w:rsidRDefault="0097559C">
      <w:pPr>
        <w:spacing w:line="360" w:lineRule="auto"/>
        <w:ind w:left="567" w:right="843"/>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 xml:space="preserve">Las auditorías son verificaciones a fin de comprobar el cumplimiento de objetivos fiscales; sirven para responsabilizar a los sujetos obligados y/o servidores(as) públicos(as), integrantes y/o miembros, así como toda persona que desempeñe un empleo, cargo o comisión y/o ejerza actos de autoridad en los sujetos obligados, sobre el manejo de los recursos presupuestarios que utilizan para la realización de sus funciones y la prestación de servicios hacia la ciudadanía, de acuerdo con los documentos normativos que correspondan. </w:t>
      </w:r>
    </w:p>
    <w:p w:rsidR="00670D81" w:rsidRPr="002B68CD" w:rsidRDefault="00670D81">
      <w:pPr>
        <w:spacing w:line="360" w:lineRule="auto"/>
        <w:ind w:left="567" w:right="843"/>
        <w:jc w:val="both"/>
        <w:rPr>
          <w:rFonts w:ascii="Palatino Linotype" w:eastAsia="Palatino Linotype" w:hAnsi="Palatino Linotype" w:cs="Palatino Linotype"/>
          <w:i/>
          <w:iCs/>
          <w:sz w:val="22"/>
          <w:szCs w:val="22"/>
        </w:rPr>
      </w:pPr>
    </w:p>
    <w:p w:rsidR="00670D81" w:rsidRPr="002B68CD" w:rsidRDefault="0097559C">
      <w:pPr>
        <w:spacing w:line="360" w:lineRule="auto"/>
        <w:ind w:left="567" w:right="843"/>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 xml:space="preserve">Los resultados de estas verificaciones, mismos que emiten los órganos fiscalizadores, deben ser publicados por el sujeto obligado, así como las aclaraciones correspondientes aun cuando su seguimiento no esté concluido. El sujeto obligado deberá ordenar la información en dos rubros: </w:t>
      </w:r>
    </w:p>
    <w:p w:rsidR="00670D81" w:rsidRPr="002B68CD" w:rsidRDefault="00670D81">
      <w:pPr>
        <w:spacing w:line="360" w:lineRule="auto"/>
        <w:ind w:left="567" w:right="843"/>
        <w:jc w:val="both"/>
        <w:rPr>
          <w:rFonts w:ascii="Palatino Linotype" w:eastAsia="Palatino Linotype" w:hAnsi="Palatino Linotype" w:cs="Palatino Linotype"/>
          <w:i/>
          <w:iCs/>
          <w:sz w:val="22"/>
          <w:szCs w:val="22"/>
        </w:rPr>
      </w:pPr>
    </w:p>
    <w:p w:rsidR="00670D81" w:rsidRPr="002B68CD" w:rsidRDefault="0097559C">
      <w:pPr>
        <w:spacing w:line="360" w:lineRule="auto"/>
        <w:ind w:left="567" w:right="843"/>
        <w:jc w:val="both"/>
        <w:rPr>
          <w:rFonts w:ascii="Palatino Linotype" w:eastAsia="Palatino Linotype" w:hAnsi="Palatino Linotype" w:cs="Palatino Linotype"/>
          <w:b/>
          <w:bCs/>
          <w:i/>
          <w:iCs/>
          <w:sz w:val="22"/>
          <w:szCs w:val="22"/>
        </w:rPr>
      </w:pPr>
      <w:r w:rsidRPr="002B68CD">
        <w:rPr>
          <w:rFonts w:ascii="Palatino Linotype" w:eastAsia="Palatino Linotype" w:hAnsi="Palatino Linotype" w:cs="Palatino Linotype"/>
          <w:b/>
          <w:bCs/>
          <w:i/>
          <w:iCs/>
          <w:sz w:val="22"/>
          <w:szCs w:val="22"/>
        </w:rPr>
        <w:t xml:space="preserve">• Auditorías Internas </w:t>
      </w:r>
    </w:p>
    <w:p w:rsidR="00670D81" w:rsidRPr="002B68CD" w:rsidRDefault="0097559C">
      <w:pPr>
        <w:spacing w:line="360" w:lineRule="auto"/>
        <w:ind w:left="567" w:right="843"/>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 Auditorías Externas</w:t>
      </w:r>
    </w:p>
    <w:p w:rsidR="00670D81" w:rsidRPr="002B68CD" w:rsidRDefault="00670D81">
      <w:pPr>
        <w:spacing w:line="360" w:lineRule="auto"/>
        <w:jc w:val="both"/>
        <w:rPr>
          <w:rFonts w:ascii="Palatino Linotype" w:eastAsia="Palatino Linotype" w:hAnsi="Palatino Linotype" w:cs="Palatino Linotype"/>
          <w:sz w:val="22"/>
          <w:szCs w:val="22"/>
        </w:rPr>
      </w:pP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Además, los Sujetos Obligados deben publicar la siguiente información al respecto:</w:t>
      </w: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noProof/>
          <w:sz w:val="22"/>
          <w:szCs w:val="22"/>
        </w:rPr>
        <w:drawing>
          <wp:inline distT="0" distB="0" distL="0" distR="0">
            <wp:extent cx="5756275" cy="1450975"/>
            <wp:effectExtent l="0" t="0" r="0" b="0"/>
            <wp:docPr id="4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5756275" cy="1450975"/>
                    </a:xfrm>
                    <a:prstGeom prst="rect">
                      <a:avLst/>
                    </a:prstGeom>
                    <a:ln/>
                  </pic:spPr>
                </pic:pic>
              </a:graphicData>
            </a:graphic>
          </wp:inline>
        </w:drawing>
      </w: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noProof/>
          <w:sz w:val="22"/>
          <w:szCs w:val="22"/>
        </w:rPr>
        <w:drawing>
          <wp:inline distT="0" distB="0" distL="0" distR="0">
            <wp:extent cx="5687219" cy="3848637"/>
            <wp:effectExtent l="0" t="0" r="0" b="0"/>
            <wp:docPr id="4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687219" cy="3848637"/>
                    </a:xfrm>
                    <a:prstGeom prst="rect">
                      <a:avLst/>
                    </a:prstGeom>
                    <a:ln/>
                  </pic:spPr>
                </pic:pic>
              </a:graphicData>
            </a:graphic>
          </wp:inline>
        </w:drawing>
      </w:r>
    </w:p>
    <w:p w:rsidR="00670D81" w:rsidRPr="002B68CD" w:rsidRDefault="00670D81">
      <w:pPr>
        <w:spacing w:line="360" w:lineRule="auto"/>
        <w:jc w:val="both"/>
        <w:rPr>
          <w:rFonts w:ascii="Palatino Linotype" w:eastAsia="Palatino Linotype" w:hAnsi="Palatino Linotype" w:cs="Palatino Linotype"/>
          <w:sz w:val="22"/>
          <w:szCs w:val="22"/>
        </w:rPr>
      </w:pP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Como puede observarse, la información que debe publicarse en el portal de internet, debe incluir, entre otros datos, el ejercicio; periodo que se informa; ejercicio auditado; rubro: auditoría interna o externa; tipo de auditoría  con base en la clasificación hecha por el órgano fiscalizador correspondiente; número de auditoría o nomenclatura que la identifique; órgano que realizó la revisión o auditoría; objetivo(s) de la realización de la auditoría; rubros sujetos a revisión; número de oficio o documento de notificación de resultados; hipervínculo al oficio o documento de notificación de resultados; por rubro sujeto a revisión, el número total de hallazgos, observaciones, conclusiones, recomendaciones, o lo que derive;  hipervínculo a las recomendaciones, y/u observaciones hechas al Sujeto Obligado, hipervínculo a los informes finales, de revisión y/o dictamen, hipervínculo al informe sobre las aclaraciones realizadas por el sujeto obligado a las acciones promovidas por el órgano fiscalizador, hipervínculo al Programa anual de auditoría que corresponda, etcétera.</w:t>
      </w:r>
    </w:p>
    <w:p w:rsidR="00670D81" w:rsidRPr="002B68CD" w:rsidRDefault="00670D81">
      <w:pPr>
        <w:pBdr>
          <w:top w:val="nil"/>
          <w:left w:val="nil"/>
          <w:bottom w:val="nil"/>
          <w:right w:val="nil"/>
          <w:between w:val="nil"/>
        </w:pBdr>
        <w:spacing w:line="360" w:lineRule="auto"/>
        <w:ind w:left="720" w:hanging="360"/>
        <w:jc w:val="both"/>
        <w:rPr>
          <w:rFonts w:ascii="Palatino Linotype" w:eastAsia="Palatino Linotype" w:hAnsi="Palatino Linotype" w:cs="Palatino Linotype"/>
          <w:b/>
          <w:bCs/>
          <w:sz w:val="22"/>
          <w:szCs w:val="22"/>
        </w:rPr>
      </w:pPr>
    </w:p>
    <w:p w:rsidR="00670D81" w:rsidRPr="002B68CD" w:rsidRDefault="0097559C">
      <w:pPr>
        <w:widowControl w:val="0"/>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Lo anterior, demuestra la información que debe publicarse por cada una de las auditorías realizadas, mientras que, las que lleva a cabo la Contraloría Interna y que fueron requeridas por el particular, son las auditorías internas, debiendo integrar el expediente correspondiente.</w:t>
      </w:r>
    </w:p>
    <w:p w:rsidR="00670D81" w:rsidRPr="002B68CD" w:rsidRDefault="00670D81">
      <w:pPr>
        <w:widowControl w:val="0"/>
        <w:spacing w:line="360" w:lineRule="auto"/>
        <w:jc w:val="both"/>
        <w:rPr>
          <w:rFonts w:ascii="Palatino Linotype" w:eastAsia="Palatino Linotype" w:hAnsi="Palatino Linotype" w:cs="Palatino Linotype"/>
          <w:sz w:val="22"/>
          <w:szCs w:val="22"/>
        </w:rPr>
      </w:pPr>
    </w:p>
    <w:p w:rsidR="00670D81" w:rsidRPr="002B68CD" w:rsidRDefault="0097559C">
      <w:pPr>
        <w:widowControl w:val="0"/>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Además, de acuerdo a la Ley Orgánica Municipal del Estado de México, el Titular del Órgano Interno de Control tiene las siguientes atribuciones:</w:t>
      </w:r>
    </w:p>
    <w:p w:rsidR="00670D81" w:rsidRPr="002B68CD" w:rsidRDefault="00670D81">
      <w:pPr>
        <w:widowControl w:val="0"/>
        <w:spacing w:line="360" w:lineRule="auto"/>
        <w:jc w:val="both"/>
        <w:rPr>
          <w:rFonts w:ascii="Palatino Linotype" w:eastAsia="Palatino Linotype" w:hAnsi="Palatino Linotype" w:cs="Palatino Linotype"/>
          <w:sz w:val="22"/>
          <w:szCs w:val="22"/>
        </w:rPr>
      </w:pPr>
    </w:p>
    <w:p w:rsidR="00670D81" w:rsidRPr="002B68CD" w:rsidRDefault="0097559C">
      <w:pPr>
        <w:widowControl w:val="0"/>
        <w:spacing w:line="360" w:lineRule="auto"/>
        <w:ind w:left="567" w:right="843"/>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 xml:space="preserve">Artículo 112. El órgano interno de control municipal tendrá a su cargo las funciones siguientes: </w:t>
      </w:r>
    </w:p>
    <w:p w:rsidR="00670D81" w:rsidRPr="002B68CD" w:rsidRDefault="0097559C">
      <w:pPr>
        <w:widowControl w:val="0"/>
        <w:spacing w:line="360" w:lineRule="auto"/>
        <w:ind w:left="567" w:right="843"/>
        <w:jc w:val="both"/>
        <w:rPr>
          <w:rFonts w:ascii="Palatino Linotype" w:eastAsia="Palatino Linotype" w:hAnsi="Palatino Linotype" w:cs="Palatino Linotype"/>
          <w:b/>
          <w:bCs/>
          <w:i/>
          <w:iCs/>
          <w:sz w:val="22"/>
          <w:szCs w:val="22"/>
        </w:rPr>
      </w:pPr>
      <w:r w:rsidRPr="002B68CD">
        <w:rPr>
          <w:rFonts w:ascii="Palatino Linotype" w:eastAsia="Palatino Linotype" w:hAnsi="Palatino Linotype" w:cs="Palatino Linotype"/>
          <w:b/>
          <w:bCs/>
          <w:i/>
          <w:iCs/>
          <w:sz w:val="22"/>
          <w:szCs w:val="22"/>
        </w:rPr>
        <w:t xml:space="preserve">I. Planear, programar, organizar y coordinar el sistema de control y evaluación municipal; </w:t>
      </w:r>
    </w:p>
    <w:p w:rsidR="00670D81" w:rsidRPr="002B68CD" w:rsidRDefault="0097559C">
      <w:pPr>
        <w:widowControl w:val="0"/>
        <w:spacing w:line="360" w:lineRule="auto"/>
        <w:ind w:left="567" w:right="843"/>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 xml:space="preserve">II. Fiscalizar el ingreso y ejercicio del gasto público municipal y su congruencia con el presupuesto de egresos; </w:t>
      </w:r>
    </w:p>
    <w:p w:rsidR="00670D81" w:rsidRPr="002B68CD" w:rsidRDefault="0097559C">
      <w:pPr>
        <w:widowControl w:val="0"/>
        <w:spacing w:line="360" w:lineRule="auto"/>
        <w:ind w:left="567" w:right="843"/>
        <w:jc w:val="both"/>
        <w:rPr>
          <w:rFonts w:ascii="Palatino Linotype" w:eastAsia="Palatino Linotype" w:hAnsi="Palatino Linotype" w:cs="Palatino Linotype"/>
          <w:b/>
          <w:bCs/>
          <w:i/>
          <w:iCs/>
          <w:sz w:val="22"/>
          <w:szCs w:val="22"/>
        </w:rPr>
      </w:pPr>
      <w:r w:rsidRPr="002B68CD">
        <w:rPr>
          <w:rFonts w:ascii="Palatino Linotype" w:eastAsia="Palatino Linotype" w:hAnsi="Palatino Linotype" w:cs="Palatino Linotype"/>
          <w:b/>
          <w:bCs/>
          <w:i/>
          <w:iCs/>
          <w:sz w:val="22"/>
          <w:szCs w:val="22"/>
        </w:rPr>
        <w:t xml:space="preserve">III. Aplicar las normas y criterios en materia de control y evaluación; </w:t>
      </w:r>
    </w:p>
    <w:p w:rsidR="00670D81" w:rsidRPr="002B68CD" w:rsidRDefault="0097559C">
      <w:pPr>
        <w:widowControl w:val="0"/>
        <w:spacing w:line="360" w:lineRule="auto"/>
        <w:ind w:left="567" w:right="843"/>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 xml:space="preserve">IV. Asesorar a los órganos de control interno de los organismos auxiliares y fideicomisos de la administración pública municipal; </w:t>
      </w:r>
    </w:p>
    <w:p w:rsidR="00670D81" w:rsidRPr="002B68CD" w:rsidRDefault="0097559C">
      <w:pPr>
        <w:widowControl w:val="0"/>
        <w:spacing w:line="360" w:lineRule="auto"/>
        <w:ind w:left="567" w:right="843"/>
        <w:jc w:val="both"/>
        <w:rPr>
          <w:rFonts w:ascii="Palatino Linotype" w:eastAsia="Palatino Linotype" w:hAnsi="Palatino Linotype" w:cs="Palatino Linotype"/>
          <w:b/>
          <w:bCs/>
          <w:i/>
          <w:iCs/>
          <w:sz w:val="22"/>
          <w:szCs w:val="22"/>
        </w:rPr>
      </w:pPr>
      <w:r w:rsidRPr="002B68CD">
        <w:rPr>
          <w:rFonts w:ascii="Palatino Linotype" w:eastAsia="Palatino Linotype" w:hAnsi="Palatino Linotype" w:cs="Palatino Linotype"/>
          <w:b/>
          <w:bCs/>
          <w:i/>
          <w:iCs/>
          <w:sz w:val="22"/>
          <w:szCs w:val="22"/>
        </w:rPr>
        <w:t xml:space="preserve">V. Establecer las bases generales para la realización de auditorías e inspecciones; </w:t>
      </w:r>
    </w:p>
    <w:p w:rsidR="00670D81" w:rsidRPr="002B68CD" w:rsidRDefault="0097559C">
      <w:pPr>
        <w:widowControl w:val="0"/>
        <w:spacing w:line="360" w:lineRule="auto"/>
        <w:ind w:left="567" w:right="843"/>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 xml:space="preserve">VI. Vigilar que los recursos federales y estatales asignados a los ayuntamientos se apliquen en los términos estipulados en las leyes, los reglamentos y los convenios respectivos; </w:t>
      </w:r>
    </w:p>
    <w:p w:rsidR="00670D81" w:rsidRPr="002B68CD" w:rsidRDefault="0097559C">
      <w:pPr>
        <w:widowControl w:val="0"/>
        <w:spacing w:line="360" w:lineRule="auto"/>
        <w:ind w:left="567" w:right="843"/>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 xml:space="preserve">VII. Vigilar el cumplimiento de las obligaciones de proveedores y contratistas de la administración pública municipal; </w:t>
      </w:r>
    </w:p>
    <w:p w:rsidR="00670D81" w:rsidRPr="002B68CD" w:rsidRDefault="0097559C">
      <w:pPr>
        <w:widowControl w:val="0"/>
        <w:spacing w:line="360" w:lineRule="auto"/>
        <w:ind w:left="567" w:right="843"/>
        <w:jc w:val="both"/>
        <w:rPr>
          <w:rFonts w:ascii="Palatino Linotype" w:eastAsia="Palatino Linotype" w:hAnsi="Palatino Linotype" w:cs="Palatino Linotype"/>
          <w:b/>
          <w:bCs/>
          <w:i/>
          <w:iCs/>
          <w:sz w:val="22"/>
          <w:szCs w:val="22"/>
        </w:rPr>
      </w:pPr>
      <w:r w:rsidRPr="002B68CD">
        <w:rPr>
          <w:rFonts w:ascii="Palatino Linotype" w:eastAsia="Palatino Linotype" w:hAnsi="Palatino Linotype" w:cs="Palatino Linotype"/>
          <w:b/>
          <w:bCs/>
          <w:i/>
          <w:iCs/>
          <w:sz w:val="22"/>
          <w:szCs w:val="22"/>
        </w:rPr>
        <w:t xml:space="preserve">VIII. Coordinarse con el Órgano Superior de Fiscalización del Estado de México y la Contraloría del Poder Legislativo y con la Secretaría de la Contraloría del Estado para el cumplimiento de sus funciones; </w:t>
      </w:r>
    </w:p>
    <w:p w:rsidR="00670D81" w:rsidRPr="002B68CD" w:rsidRDefault="0097559C">
      <w:pPr>
        <w:widowControl w:val="0"/>
        <w:spacing w:line="360" w:lineRule="auto"/>
        <w:ind w:left="567" w:right="843"/>
        <w:jc w:val="both"/>
        <w:rPr>
          <w:rFonts w:ascii="Palatino Linotype" w:eastAsia="Palatino Linotype" w:hAnsi="Palatino Linotype" w:cs="Palatino Linotype"/>
          <w:b/>
          <w:bCs/>
          <w:i/>
          <w:iCs/>
          <w:sz w:val="22"/>
          <w:szCs w:val="22"/>
        </w:rPr>
      </w:pPr>
      <w:r w:rsidRPr="002B68CD">
        <w:rPr>
          <w:rFonts w:ascii="Palatino Linotype" w:eastAsia="Palatino Linotype" w:hAnsi="Palatino Linotype" w:cs="Palatino Linotype"/>
          <w:b/>
          <w:bCs/>
          <w:i/>
          <w:iCs/>
          <w:sz w:val="22"/>
          <w:szCs w:val="22"/>
        </w:rPr>
        <w:t xml:space="preserve">IX. Designar a los auditores externos y proponer al ayuntamiento, en su caso, a los Comisarios de los Organismos Auxiliares; </w:t>
      </w:r>
    </w:p>
    <w:p w:rsidR="00670D81" w:rsidRPr="002B68CD" w:rsidRDefault="0097559C">
      <w:pPr>
        <w:widowControl w:val="0"/>
        <w:spacing w:line="360" w:lineRule="auto"/>
        <w:ind w:left="567" w:right="843"/>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 xml:space="preserve">X. Establecer y operar un sistema de atención de quejas, denuncias y sugerencias; </w:t>
      </w:r>
    </w:p>
    <w:p w:rsidR="00670D81" w:rsidRPr="002B68CD" w:rsidRDefault="0097559C">
      <w:pPr>
        <w:widowControl w:val="0"/>
        <w:spacing w:line="360" w:lineRule="auto"/>
        <w:ind w:left="567" w:right="843"/>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XI. Realizar auditorías y evaluaciones e informar del resultado de las mismas al ayuntamiento; XII. Participar en la entrega-recepción de las unidades administrativas de las dependencias, organismos auxiliares y fideicomisos del municipio;</w:t>
      </w:r>
    </w:p>
    <w:p w:rsidR="00670D81" w:rsidRPr="002B68CD" w:rsidRDefault="00670D81">
      <w:pPr>
        <w:widowControl w:val="0"/>
        <w:spacing w:line="360" w:lineRule="auto"/>
        <w:jc w:val="both"/>
        <w:rPr>
          <w:rFonts w:ascii="Palatino Linotype" w:eastAsia="Palatino Linotype" w:hAnsi="Palatino Linotype" w:cs="Palatino Linotype"/>
          <w:sz w:val="22"/>
          <w:szCs w:val="22"/>
        </w:rPr>
      </w:pPr>
    </w:p>
    <w:p w:rsidR="00670D81" w:rsidRPr="002B68CD" w:rsidRDefault="0097559C">
      <w:pPr>
        <w:widowControl w:val="0"/>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Tal y como se advierte, es atribución de la Contraloría Interna realizar las auditorías e inspecciones, en este caso en particular, para el Ayuntamiento de la Paz.</w:t>
      </w:r>
    </w:p>
    <w:p w:rsidR="00670D81" w:rsidRPr="002B68CD" w:rsidRDefault="00670D81">
      <w:pPr>
        <w:widowControl w:val="0"/>
        <w:spacing w:line="360" w:lineRule="auto"/>
        <w:jc w:val="both"/>
        <w:rPr>
          <w:rFonts w:ascii="Palatino Linotype" w:eastAsia="Palatino Linotype" w:hAnsi="Palatino Linotype" w:cs="Palatino Linotype"/>
          <w:sz w:val="22"/>
          <w:szCs w:val="22"/>
        </w:rPr>
      </w:pP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 xml:space="preserve">De este modo se advierte que el </w:t>
      </w:r>
      <w:r w:rsidRPr="002B68CD">
        <w:rPr>
          <w:rFonts w:ascii="Palatino Linotype" w:eastAsia="Palatino Linotype" w:hAnsi="Palatino Linotype" w:cs="Palatino Linotype"/>
          <w:b/>
          <w:bCs/>
          <w:sz w:val="22"/>
          <w:szCs w:val="22"/>
        </w:rPr>
        <w:t>Sujeto Obligado</w:t>
      </w:r>
      <w:r w:rsidRPr="002B68CD">
        <w:rPr>
          <w:rFonts w:ascii="Palatino Linotype" w:eastAsia="Palatino Linotype" w:hAnsi="Palatino Linotype" w:cs="Palatino Linotype"/>
          <w:sz w:val="22"/>
          <w:szCs w:val="22"/>
        </w:rPr>
        <w:t xml:space="preserve"> turnó la solicitud de información al Órgano Interno de Control, de modo que, es necesario hacer referencia al procedimiento de búsqueda que deben de seguir los Sujetos Obligados para localizar la información, el cual se encuentra previsto en los artículos 160 y 162 de la Ley de Transparencia y Acceso a la Información Pública del Estado de México y Municipios, mismo que es el siguiente:</w:t>
      </w:r>
    </w:p>
    <w:p w:rsidR="00670D81" w:rsidRPr="002B68CD" w:rsidRDefault="00670D81">
      <w:pPr>
        <w:spacing w:line="360" w:lineRule="auto"/>
        <w:rPr>
          <w:rFonts w:ascii="Palatino Linotype" w:eastAsia="Palatino Linotype" w:hAnsi="Palatino Linotype" w:cs="Palatino Linotype"/>
          <w:sz w:val="22"/>
          <w:szCs w:val="22"/>
        </w:rPr>
      </w:pPr>
    </w:p>
    <w:p w:rsidR="00670D81" w:rsidRPr="002B68CD" w:rsidRDefault="0097559C">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w:t>
      </w:r>
    </w:p>
    <w:p w:rsidR="00670D81" w:rsidRPr="002B68CD" w:rsidRDefault="0097559C">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Los sujetos obligados otorgarán acceso a los documentos que se encuentren en sus archivos o que estén obligados a documentar de acuerdo con sus facultades, competencias o funciones, en el formato en que el solicitante manifieste, de entre aquellos formatos existentes.</w:t>
      </w:r>
    </w:p>
    <w:p w:rsidR="00670D81" w:rsidRPr="002B68CD" w:rsidRDefault="00670D81">
      <w:pPr>
        <w:tabs>
          <w:tab w:val="left" w:pos="4962"/>
        </w:tabs>
        <w:spacing w:line="360" w:lineRule="auto"/>
        <w:ind w:right="-28"/>
        <w:jc w:val="both"/>
        <w:rPr>
          <w:rFonts w:ascii="Palatino Linotype" w:eastAsia="Palatino Linotype" w:hAnsi="Palatino Linotype" w:cs="Palatino Linotype"/>
          <w:sz w:val="22"/>
          <w:szCs w:val="22"/>
        </w:rPr>
      </w:pP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 xml:space="preserve">De tal circunstancia, se logra colegir que el </w:t>
      </w:r>
      <w:r w:rsidRPr="002B68CD">
        <w:rPr>
          <w:rFonts w:ascii="Palatino Linotype" w:eastAsia="Palatino Linotype" w:hAnsi="Palatino Linotype" w:cs="Palatino Linotype"/>
          <w:b/>
          <w:bCs/>
          <w:sz w:val="22"/>
          <w:szCs w:val="22"/>
        </w:rPr>
        <w:t>Sujeto Obligado</w:t>
      </w:r>
      <w:r w:rsidRPr="002B68CD">
        <w:rPr>
          <w:rFonts w:ascii="Palatino Linotype" w:eastAsia="Palatino Linotype" w:hAnsi="Palatino Linotype" w:cs="Palatino Linotype"/>
          <w:sz w:val="22"/>
          <w:szCs w:val="22"/>
        </w:rPr>
        <w:t xml:space="preserve"> cumplió con el procedimiento de búsqueda establecido en el artículo 162 de la Ley de Transparencia y Acceso a la Información Pública del Estado de México y Municipios, toda vez que turnó la solicitud a la unidad administrativa que cuentan con atribuciones para conocer de la información solicitada.</w:t>
      </w:r>
    </w:p>
    <w:p w:rsidR="00670D81" w:rsidRPr="002B68CD" w:rsidRDefault="00670D81">
      <w:pPr>
        <w:widowControl w:val="0"/>
        <w:spacing w:line="360" w:lineRule="auto"/>
        <w:jc w:val="both"/>
        <w:rPr>
          <w:rFonts w:ascii="Palatino Linotype" w:eastAsia="Palatino Linotype" w:hAnsi="Palatino Linotype" w:cs="Palatino Linotype"/>
          <w:sz w:val="22"/>
          <w:szCs w:val="22"/>
        </w:rPr>
      </w:pPr>
    </w:p>
    <w:p w:rsidR="00670D81" w:rsidRPr="002B68CD" w:rsidRDefault="0097559C">
      <w:pPr>
        <w:widowControl w:val="0"/>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Establecido lo anterior, es de mencionar que la información remitida en respuesta no corresponde con la solicitud que dio origen al presente recurso de revisión. Si bien, la información que se requiere es similar, es de precisar que no es la misma, ya que si bien versa sobre auditorías, en la presente requiere todas las auditorías r</w:t>
      </w:r>
      <w:r w:rsidRPr="002B68CD">
        <w:rPr>
          <w:rFonts w:ascii="Palatino Linotype" w:eastAsia="Palatino Linotype" w:hAnsi="Palatino Linotype" w:cs="Palatino Linotype"/>
          <w:b/>
          <w:bCs/>
          <w:sz w:val="22"/>
          <w:szCs w:val="22"/>
          <w:u w:val="single"/>
        </w:rPr>
        <w:t xml:space="preserve">ealizadas en el año 2024; </w:t>
      </w:r>
      <w:r w:rsidRPr="002B68CD">
        <w:rPr>
          <w:rFonts w:ascii="Palatino Linotype" w:eastAsia="Palatino Linotype" w:hAnsi="Palatino Linotype" w:cs="Palatino Linotype"/>
          <w:sz w:val="22"/>
          <w:szCs w:val="22"/>
        </w:rPr>
        <w:t>mientras que en la solicitud referida en respuesta únicamente requiere la última auditoría realizada, por lo que, la prueba de daño y el acuerdo del Comité de Transparencia no corresponden con la información requerida por el particular en la presente solicitud.</w:t>
      </w:r>
    </w:p>
    <w:p w:rsidR="00670D81" w:rsidRPr="002B68CD" w:rsidRDefault="00670D81">
      <w:pPr>
        <w:widowControl w:val="0"/>
        <w:spacing w:line="360" w:lineRule="auto"/>
        <w:jc w:val="both"/>
        <w:rPr>
          <w:rFonts w:ascii="Palatino Linotype" w:eastAsia="Palatino Linotype" w:hAnsi="Palatino Linotype" w:cs="Palatino Linotype"/>
          <w:sz w:val="22"/>
          <w:szCs w:val="22"/>
        </w:rPr>
      </w:pPr>
    </w:p>
    <w:p w:rsidR="00670D81" w:rsidRPr="002B68CD" w:rsidRDefault="0097559C">
      <w:pPr>
        <w:widowControl w:val="0"/>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Ahora bien, mediante el informe justificado el Sujeto Obligado entregó la prueba de daño y el acuerdo del Comité de Transparencia que corresponden al presente asunto, en los cuales de manera general señaló lo siguiente:</w:t>
      </w:r>
    </w:p>
    <w:p w:rsidR="00670D81" w:rsidRPr="002B68CD" w:rsidRDefault="00670D81">
      <w:pPr>
        <w:widowControl w:val="0"/>
        <w:spacing w:line="360" w:lineRule="auto"/>
        <w:jc w:val="both"/>
        <w:rPr>
          <w:rFonts w:ascii="Palatino Linotype" w:eastAsia="Palatino Linotype" w:hAnsi="Palatino Linotype" w:cs="Palatino Linotype"/>
          <w:sz w:val="22"/>
          <w:szCs w:val="22"/>
        </w:rPr>
      </w:pPr>
    </w:p>
    <w:p w:rsidR="00670D81" w:rsidRPr="002B68CD" w:rsidRDefault="0097559C">
      <w:pPr>
        <w:widowControl w:val="0"/>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La difusión de los datos contenidos puede afectar las observaciones emitidas por la contraloría, resultando en un riesgo porque puede obstruir y perjudicar los actos de fiscalización e inspección.</w:t>
      </w:r>
    </w:p>
    <w:p w:rsidR="00670D81" w:rsidRPr="002B68CD" w:rsidRDefault="00670D81">
      <w:pPr>
        <w:widowControl w:val="0"/>
        <w:spacing w:line="360" w:lineRule="auto"/>
        <w:jc w:val="both"/>
        <w:rPr>
          <w:rFonts w:ascii="Palatino Linotype" w:eastAsia="Palatino Linotype" w:hAnsi="Palatino Linotype" w:cs="Palatino Linotype"/>
          <w:sz w:val="22"/>
          <w:szCs w:val="22"/>
        </w:rPr>
      </w:pPr>
    </w:p>
    <w:p w:rsidR="00670D81" w:rsidRPr="002B68CD" w:rsidRDefault="0097559C">
      <w:pPr>
        <w:widowControl w:val="0"/>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Se encuentran en proceso dos auditorías correspondientes al año fiscal 2023 y 2024;</w:t>
      </w:r>
    </w:p>
    <w:p w:rsidR="00670D81" w:rsidRPr="002B68CD" w:rsidRDefault="00670D81">
      <w:pPr>
        <w:widowControl w:val="0"/>
        <w:spacing w:line="360" w:lineRule="auto"/>
        <w:jc w:val="both"/>
        <w:rPr>
          <w:rFonts w:ascii="Palatino Linotype" w:eastAsia="Palatino Linotype" w:hAnsi="Palatino Linotype" w:cs="Palatino Linotype"/>
          <w:sz w:val="22"/>
          <w:szCs w:val="22"/>
        </w:rPr>
      </w:pPr>
    </w:p>
    <w:p w:rsidR="00670D81" w:rsidRPr="002B68CD" w:rsidRDefault="0097559C">
      <w:pPr>
        <w:widowControl w:val="0"/>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noProof/>
          <w:sz w:val="22"/>
          <w:szCs w:val="22"/>
        </w:rPr>
        <w:drawing>
          <wp:inline distT="0" distB="0" distL="0" distR="0">
            <wp:extent cx="5756275" cy="4328160"/>
            <wp:effectExtent l="0" t="0" r="0" b="0"/>
            <wp:docPr id="4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5756275" cy="4328160"/>
                    </a:xfrm>
                    <a:prstGeom prst="rect">
                      <a:avLst/>
                    </a:prstGeom>
                    <a:ln/>
                  </pic:spPr>
                </pic:pic>
              </a:graphicData>
            </a:graphic>
          </wp:inline>
        </w:drawing>
      </w:r>
    </w:p>
    <w:p w:rsidR="00670D81" w:rsidRPr="002B68CD" w:rsidRDefault="00670D81">
      <w:pPr>
        <w:widowControl w:val="0"/>
        <w:spacing w:line="360" w:lineRule="auto"/>
        <w:jc w:val="both"/>
        <w:rPr>
          <w:rFonts w:ascii="Palatino Linotype" w:eastAsia="Palatino Linotype" w:hAnsi="Palatino Linotype" w:cs="Palatino Linotype"/>
          <w:sz w:val="22"/>
          <w:szCs w:val="22"/>
        </w:rPr>
      </w:pPr>
    </w:p>
    <w:p w:rsidR="00670D81" w:rsidRPr="002B68CD" w:rsidRDefault="0097559C">
      <w:pPr>
        <w:widowControl w:val="0"/>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El documento remitido en informe justificado cumple algunos requisitos que dispone la normatividad en la materia, como lo son el señalar el folio de la solicitud, la materia de la misma, el fundamento legal tanto de la Ley Local y Ley General de Transparencia; es en el desarrollo de la prueba de daño que carece de fundamentación y motivación, ya que únicamente refieren el daño real, demostrable e identificable, sin considerar lo que disponen los Lineamientos Generales en Materia de Clasificación y Desclasificación de la Información, así como para la Elaboración de Versiones Públicas que al respecto señalan lo siguiente:</w:t>
      </w:r>
    </w:p>
    <w:p w:rsidR="00670D81" w:rsidRPr="002B68CD" w:rsidRDefault="0097559C">
      <w:pPr>
        <w:spacing w:before="240" w:after="240"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El  lineamiento Trigésimo Tercero, de los Lineamientos Generales en Materia de Clasificación y Desclasificación de la Información, señala:</w:t>
      </w:r>
    </w:p>
    <w:p w:rsidR="00670D81" w:rsidRPr="002B68CD" w:rsidRDefault="0097559C">
      <w:pPr>
        <w:spacing w:before="120" w:after="120"/>
        <w:ind w:left="851" w:right="758"/>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w:t>
      </w:r>
      <w:r w:rsidRPr="002B68CD">
        <w:rPr>
          <w:rFonts w:ascii="Palatino Linotype" w:eastAsia="Palatino Linotype" w:hAnsi="Palatino Linotype" w:cs="Palatino Linotype"/>
          <w:b/>
          <w:bCs/>
          <w:i/>
          <w:iCs/>
          <w:sz w:val="22"/>
          <w:szCs w:val="22"/>
        </w:rPr>
        <w:t>Trigésimo tercero</w:t>
      </w:r>
      <w:r w:rsidRPr="002B68CD">
        <w:rPr>
          <w:rFonts w:ascii="Palatino Linotype" w:eastAsia="Palatino Linotype" w:hAnsi="Palatino Linotype" w:cs="Palatino Linotype"/>
          <w:i/>
          <w:iCs/>
          <w:sz w:val="22"/>
          <w:szCs w:val="22"/>
        </w:rPr>
        <w:t>. Para la aplicación de la prueba de daño a la que hace referencia el artículo 104 de la Ley General, los sujetos obligados atenderán lo siguiente:</w:t>
      </w:r>
    </w:p>
    <w:p w:rsidR="00670D81" w:rsidRPr="002B68CD" w:rsidRDefault="0097559C">
      <w:pPr>
        <w:tabs>
          <w:tab w:val="left" w:pos="1701"/>
        </w:tabs>
        <w:spacing w:before="120" w:after="120"/>
        <w:ind w:left="851" w:right="760"/>
        <w:jc w:val="both"/>
        <w:rPr>
          <w:rFonts w:ascii="Palatino Linotype" w:eastAsia="Palatino Linotype" w:hAnsi="Palatino Linotype" w:cs="Palatino Linotype"/>
          <w:b/>
          <w:bCs/>
          <w:i/>
          <w:iCs/>
          <w:sz w:val="22"/>
          <w:szCs w:val="22"/>
        </w:rPr>
      </w:pPr>
      <w:r w:rsidRPr="002B68CD">
        <w:rPr>
          <w:rFonts w:ascii="Palatino Linotype" w:eastAsia="Palatino Linotype" w:hAnsi="Palatino Linotype" w:cs="Palatino Linotype"/>
          <w:b/>
          <w:bCs/>
          <w:i/>
          <w:iCs/>
          <w:sz w:val="22"/>
          <w:szCs w:val="22"/>
        </w:rPr>
        <w:t xml:space="preserve">I. </w:t>
      </w:r>
      <w:r w:rsidRPr="002B68CD">
        <w:rPr>
          <w:rFonts w:ascii="Palatino Linotype" w:eastAsia="Palatino Linotype" w:hAnsi="Palatino Linotype" w:cs="Palatino Linotype"/>
          <w:i/>
          <w:iCs/>
          <w:sz w:val="22"/>
          <w:szCs w:val="22"/>
        </w:rPr>
        <w:t>Se deberá fundar la clasificación, al citar la fracción y la hipótesis de la causal aplicable del artículo 113 de la Ley General, vinculándola con el Lineamiento específico del presente ordenamiento y cuando corresponda, el supuesto normativo que expresamente le otorga el carácter de información reservada;</w:t>
      </w:r>
    </w:p>
    <w:p w:rsidR="00670D81" w:rsidRPr="002B68CD" w:rsidRDefault="0097559C">
      <w:pPr>
        <w:tabs>
          <w:tab w:val="left" w:pos="1701"/>
        </w:tabs>
        <w:spacing w:before="120" w:after="120"/>
        <w:ind w:left="851" w:right="760"/>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b/>
          <w:bCs/>
          <w:i/>
          <w:iCs/>
          <w:sz w:val="22"/>
          <w:szCs w:val="22"/>
        </w:rPr>
        <w:t>II</w:t>
      </w:r>
      <w:r w:rsidRPr="002B68CD">
        <w:rPr>
          <w:rFonts w:ascii="Palatino Linotype" w:eastAsia="Palatino Linotype" w:hAnsi="Palatino Linotype" w:cs="Palatino Linotype"/>
          <w:i/>
          <w:iCs/>
          <w:sz w:val="22"/>
          <w:szCs w:val="22"/>
        </w:rPr>
        <w:t>. Se deberá motivar la clasificación, señalando las circunstancias de modo, tiempo y lugar que acrediten el vínculo entre la difusión de la información y la afectación al interés público o a la seguridad nacional;</w:t>
      </w:r>
    </w:p>
    <w:p w:rsidR="00670D81" w:rsidRPr="002B68CD" w:rsidRDefault="0097559C">
      <w:pPr>
        <w:tabs>
          <w:tab w:val="left" w:pos="1701"/>
        </w:tabs>
        <w:spacing w:before="120" w:after="120"/>
        <w:ind w:left="851" w:right="760"/>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b/>
          <w:bCs/>
          <w:i/>
          <w:iCs/>
          <w:sz w:val="22"/>
          <w:szCs w:val="22"/>
        </w:rPr>
        <w:t>III.</w:t>
      </w:r>
      <w:r w:rsidRPr="002B68CD">
        <w:rPr>
          <w:rFonts w:ascii="Palatino Linotype" w:eastAsia="Palatino Linotype" w:hAnsi="Palatino Linotype" w:cs="Palatino Linotype"/>
          <w:i/>
          <w:iCs/>
          <w:sz w:val="22"/>
          <w:szCs w:val="22"/>
        </w:rPr>
        <w:t xml:space="preserve"> Se deberán precisar las razones objetivas por las que la apertura de la información generaría un riesgo de perjuicio real, demostrable e identificable al interés jurídico tutelado de que se trate;</w:t>
      </w:r>
    </w:p>
    <w:p w:rsidR="00670D81" w:rsidRPr="002B68CD" w:rsidRDefault="0097559C">
      <w:pPr>
        <w:tabs>
          <w:tab w:val="left" w:pos="1701"/>
        </w:tabs>
        <w:spacing w:before="120" w:after="120"/>
        <w:ind w:left="851" w:right="760"/>
        <w:jc w:val="both"/>
        <w:rPr>
          <w:rFonts w:ascii="Palatino Linotype" w:eastAsia="Palatino Linotype" w:hAnsi="Palatino Linotype" w:cs="Palatino Linotype"/>
          <w:b/>
          <w:bCs/>
          <w:i/>
          <w:iCs/>
          <w:sz w:val="22"/>
          <w:szCs w:val="22"/>
        </w:rPr>
      </w:pPr>
      <w:r w:rsidRPr="002B68CD">
        <w:rPr>
          <w:rFonts w:ascii="Palatino Linotype" w:eastAsia="Palatino Linotype" w:hAnsi="Palatino Linotype" w:cs="Palatino Linotype"/>
          <w:b/>
          <w:bCs/>
          <w:i/>
          <w:iCs/>
          <w:sz w:val="22"/>
          <w:szCs w:val="22"/>
        </w:rPr>
        <w:t>IV.</w:t>
      </w:r>
      <w:r w:rsidRPr="002B68CD">
        <w:rPr>
          <w:rFonts w:ascii="Palatino Linotype" w:eastAsia="Palatino Linotype" w:hAnsi="Palatino Linotype" w:cs="Palatino Linotype"/>
          <w:i/>
          <w:iCs/>
          <w:sz w:val="22"/>
          <w:szCs w:val="22"/>
        </w:rPr>
        <w:t xml:space="preserve"> Mediante una ponderación entre la medida restrictiva y el derecho de acceso a la información, deberán justificar y probar objetivamente mediante los elementos señalados en la fracción anterior, que la publicidad de la información solicitada generaría un riesgo de perjuicio que supera al interés público de que la información se difunda;</w:t>
      </w:r>
      <w:r w:rsidRPr="002B68CD">
        <w:rPr>
          <w:rFonts w:ascii="Palatino Linotype" w:eastAsia="Palatino Linotype" w:hAnsi="Palatino Linotype" w:cs="Palatino Linotype"/>
          <w:b/>
          <w:bCs/>
          <w:i/>
          <w:iCs/>
          <w:sz w:val="22"/>
          <w:szCs w:val="22"/>
        </w:rPr>
        <w:t xml:space="preserve"> </w:t>
      </w:r>
    </w:p>
    <w:p w:rsidR="00670D81" w:rsidRPr="002B68CD" w:rsidRDefault="0097559C">
      <w:pPr>
        <w:tabs>
          <w:tab w:val="left" w:pos="1701"/>
        </w:tabs>
        <w:spacing w:before="120" w:after="120"/>
        <w:ind w:left="851" w:right="760"/>
        <w:jc w:val="both"/>
        <w:rPr>
          <w:rFonts w:ascii="Palatino Linotype" w:eastAsia="Palatino Linotype" w:hAnsi="Palatino Linotype" w:cs="Palatino Linotype"/>
          <w:b/>
          <w:bCs/>
          <w:i/>
          <w:iCs/>
          <w:sz w:val="22"/>
          <w:szCs w:val="22"/>
        </w:rPr>
      </w:pPr>
      <w:r w:rsidRPr="002B68CD">
        <w:rPr>
          <w:rFonts w:ascii="Palatino Linotype" w:eastAsia="Palatino Linotype" w:hAnsi="Palatino Linotype" w:cs="Palatino Linotype"/>
          <w:b/>
          <w:bCs/>
          <w:i/>
          <w:iCs/>
          <w:sz w:val="22"/>
          <w:szCs w:val="22"/>
        </w:rPr>
        <w:t>V</w:t>
      </w:r>
      <w:r w:rsidRPr="002B68CD">
        <w:rPr>
          <w:rFonts w:ascii="Palatino Linotype" w:eastAsia="Palatino Linotype" w:hAnsi="Palatino Linotype" w:cs="Palatino Linotype"/>
          <w:i/>
          <w:iCs/>
          <w:sz w:val="22"/>
          <w:szCs w:val="22"/>
        </w:rPr>
        <w:t>. Deberán elegir y justificar la opción de excepción al derecho de acceso a la información que menos lo restrinja y que sea adecuada y proporcional para evitar el perjuicio al interés público, evitando siempre que sea posible la reserva absoluta de documentos o expedientes; y</w:t>
      </w:r>
      <w:r w:rsidRPr="002B68CD">
        <w:rPr>
          <w:rFonts w:ascii="Palatino Linotype" w:eastAsia="Palatino Linotype" w:hAnsi="Palatino Linotype" w:cs="Palatino Linotype"/>
          <w:b/>
          <w:bCs/>
          <w:i/>
          <w:iCs/>
          <w:sz w:val="22"/>
          <w:szCs w:val="22"/>
        </w:rPr>
        <w:t xml:space="preserve"> </w:t>
      </w:r>
    </w:p>
    <w:p w:rsidR="00670D81" w:rsidRPr="002B68CD" w:rsidRDefault="0097559C">
      <w:pPr>
        <w:tabs>
          <w:tab w:val="left" w:pos="1701"/>
        </w:tabs>
        <w:spacing w:before="120" w:after="120"/>
        <w:ind w:left="851" w:right="760"/>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b/>
          <w:bCs/>
          <w:i/>
          <w:iCs/>
          <w:sz w:val="22"/>
          <w:szCs w:val="22"/>
        </w:rPr>
        <w:t>VI</w:t>
      </w:r>
      <w:r w:rsidRPr="002B68CD">
        <w:rPr>
          <w:rFonts w:ascii="Palatino Linotype" w:eastAsia="Palatino Linotype" w:hAnsi="Palatino Linotype" w:cs="Palatino Linotype"/>
          <w:i/>
          <w:iCs/>
          <w:sz w:val="22"/>
          <w:szCs w:val="22"/>
        </w:rPr>
        <w:t>. En los casos en que se determine la clasificación total de la información, se deberán especificar en la prueba de daño, con la mayor claridad y precisión posible, los aspectos relevantes de la información clasificada que ayuden a cumplir con el objetivo de brindar certeza al solicitante.”</w:t>
      </w:r>
    </w:p>
    <w:p w:rsidR="00670D81" w:rsidRPr="002B68CD" w:rsidRDefault="0097559C">
      <w:pPr>
        <w:spacing w:before="240" w:after="240"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No justificó de forma fundada y motivada la restricción al Derecho de acceso a la información, toda vez que se limitó a referir que toda la información debe ser clasificada como reservada, sin acreditar el cumplimiento de los elementos que prevé el lineamiento Vigésimo cuarto de los Lineamientos Generales en materia de clasificación, a saber:</w:t>
      </w:r>
    </w:p>
    <w:p w:rsidR="00670D81" w:rsidRPr="002B68CD" w:rsidRDefault="0097559C">
      <w:pPr>
        <w:spacing w:before="120" w:after="120"/>
        <w:ind w:left="851" w:right="902"/>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b/>
          <w:bCs/>
          <w:i/>
          <w:iCs/>
          <w:sz w:val="22"/>
          <w:szCs w:val="22"/>
        </w:rPr>
        <w:t>“Vigésimo cuarto</w:t>
      </w:r>
      <w:r w:rsidRPr="002B68CD">
        <w:rPr>
          <w:rFonts w:ascii="Palatino Linotype" w:eastAsia="Palatino Linotype" w:hAnsi="Palatino Linotype" w:cs="Palatino Linotype"/>
          <w:i/>
          <w:iCs/>
          <w:sz w:val="22"/>
          <w:szCs w:val="22"/>
        </w:rPr>
        <w:t>. De conformidad con el artículo 113, fracción VI de la Ley General, podrá considerarse como reservada, aquella información que obstruya las actividades de verificación, inspección y auditoría relativas al cumplimiento de las leyes, cuando se actualicen los siguientes elementos:</w:t>
      </w:r>
    </w:p>
    <w:p w:rsidR="00670D81" w:rsidRPr="002B68CD" w:rsidRDefault="0097559C">
      <w:pPr>
        <w:spacing w:before="120" w:after="120"/>
        <w:ind w:left="851" w:right="902"/>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b/>
          <w:bCs/>
          <w:i/>
          <w:iCs/>
          <w:sz w:val="22"/>
          <w:szCs w:val="22"/>
        </w:rPr>
        <w:t>I.</w:t>
      </w:r>
      <w:r w:rsidRPr="002B68CD">
        <w:rPr>
          <w:rFonts w:ascii="Palatino Linotype" w:eastAsia="Palatino Linotype" w:hAnsi="Palatino Linotype" w:cs="Palatino Linotype"/>
          <w:i/>
          <w:iCs/>
          <w:sz w:val="22"/>
          <w:szCs w:val="22"/>
        </w:rPr>
        <w:t xml:space="preserve"> La existencia de un procedimiento de verificación del cumplimiento de las leyes; </w:t>
      </w:r>
    </w:p>
    <w:p w:rsidR="00670D81" w:rsidRPr="002B68CD" w:rsidRDefault="0097559C">
      <w:pPr>
        <w:spacing w:before="120" w:after="120"/>
        <w:ind w:left="851" w:right="902"/>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b/>
          <w:bCs/>
          <w:i/>
          <w:iCs/>
          <w:sz w:val="22"/>
          <w:szCs w:val="22"/>
        </w:rPr>
        <w:t>II</w:t>
      </w:r>
      <w:r w:rsidRPr="002B68CD">
        <w:rPr>
          <w:rFonts w:ascii="Palatino Linotype" w:eastAsia="Palatino Linotype" w:hAnsi="Palatino Linotype" w:cs="Palatino Linotype"/>
          <w:i/>
          <w:iCs/>
          <w:sz w:val="22"/>
          <w:szCs w:val="22"/>
        </w:rPr>
        <w:t xml:space="preserve">. Que el procedimiento se encuentre en trámite; </w:t>
      </w:r>
    </w:p>
    <w:p w:rsidR="00670D81" w:rsidRPr="002B68CD" w:rsidRDefault="0097559C">
      <w:pPr>
        <w:spacing w:before="120" w:after="120"/>
        <w:ind w:left="851" w:right="902"/>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b/>
          <w:bCs/>
          <w:i/>
          <w:iCs/>
          <w:sz w:val="22"/>
          <w:szCs w:val="22"/>
        </w:rPr>
        <w:t>III</w:t>
      </w:r>
      <w:r w:rsidRPr="002B68CD">
        <w:rPr>
          <w:rFonts w:ascii="Palatino Linotype" w:eastAsia="Palatino Linotype" w:hAnsi="Palatino Linotype" w:cs="Palatino Linotype"/>
          <w:i/>
          <w:iCs/>
          <w:sz w:val="22"/>
          <w:szCs w:val="22"/>
        </w:rPr>
        <w:t xml:space="preserve">. La vinculación directa con las actividades que realiza la autoridad en el procedimiento de verificación del cumplimiento de las leyes, y </w:t>
      </w:r>
    </w:p>
    <w:p w:rsidR="00670D81" w:rsidRPr="002B68CD" w:rsidRDefault="0097559C">
      <w:pPr>
        <w:spacing w:before="120" w:after="120"/>
        <w:ind w:left="851" w:right="902"/>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b/>
          <w:bCs/>
          <w:i/>
          <w:iCs/>
          <w:sz w:val="22"/>
          <w:szCs w:val="22"/>
        </w:rPr>
        <w:t>IV</w:t>
      </w:r>
      <w:r w:rsidRPr="002B68CD">
        <w:rPr>
          <w:rFonts w:ascii="Palatino Linotype" w:eastAsia="Palatino Linotype" w:hAnsi="Palatino Linotype" w:cs="Palatino Linotype"/>
          <w:i/>
          <w:iCs/>
          <w:sz w:val="22"/>
          <w:szCs w:val="22"/>
        </w:rPr>
        <w:t>. Que la difusión de la información impida u obstaculice las actividades de inspección, supervisión o vigilancia que realicen las autoridades en el procedimiento de verificación del cumplimiento de las leyes.”</w:t>
      </w:r>
    </w:p>
    <w:p w:rsidR="00670D81" w:rsidRPr="002B68CD" w:rsidRDefault="00670D81">
      <w:pPr>
        <w:widowControl w:val="0"/>
        <w:spacing w:line="360" w:lineRule="auto"/>
        <w:jc w:val="both"/>
        <w:rPr>
          <w:rFonts w:ascii="Palatino Linotype" w:eastAsia="Palatino Linotype" w:hAnsi="Palatino Linotype" w:cs="Palatino Linotype"/>
          <w:sz w:val="22"/>
          <w:szCs w:val="22"/>
        </w:rPr>
      </w:pPr>
    </w:p>
    <w:p w:rsidR="00670D81" w:rsidRPr="002B68CD" w:rsidRDefault="0097559C">
      <w:pPr>
        <w:widowControl w:val="0"/>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Debe decirse que por regla general, toda la información que generen, administren y/o posean los Sujetos Obligados, es considerada información pública, pues al ser entes que ejercen recursos públicos tienen la obligación de rendir cuentas y asumir responsabilidades ante los ciudadanos derivado del ejercicio de sus atribuciones, garantizando así el Derecho humano de acceso a la información pública, sin embargo, dicho derecho puede ser restringido de manera excepcional por razones de interés público, en los términos de las causas legítimas y estrictamente necesarias previstas por la Ley, como se desprende del artículo 91 de la Ley de la Materia que es del tenor literal siguiente:</w:t>
      </w:r>
    </w:p>
    <w:p w:rsidR="00670D81" w:rsidRPr="002B68CD" w:rsidRDefault="00670D81">
      <w:pPr>
        <w:widowControl w:val="0"/>
        <w:spacing w:line="360" w:lineRule="auto"/>
        <w:jc w:val="both"/>
        <w:rPr>
          <w:rFonts w:ascii="Palatino Linotype" w:eastAsia="Palatino Linotype" w:hAnsi="Palatino Linotype" w:cs="Palatino Linotype"/>
          <w:sz w:val="22"/>
          <w:szCs w:val="22"/>
        </w:rPr>
      </w:pPr>
    </w:p>
    <w:p w:rsidR="00670D81" w:rsidRPr="002B68CD" w:rsidRDefault="0097559C">
      <w:pPr>
        <w:ind w:left="851" w:right="900"/>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b/>
          <w:bCs/>
          <w:i/>
          <w:iCs/>
          <w:sz w:val="22"/>
          <w:szCs w:val="22"/>
        </w:rPr>
        <w:t xml:space="preserve">“Artículo 91. </w:t>
      </w:r>
      <w:r w:rsidRPr="002B68CD">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rsidR="00670D81" w:rsidRPr="002B68CD" w:rsidRDefault="0097559C">
      <w:pPr>
        <w:spacing w:before="240" w:after="240"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Es importante mencionar que la restricción al derecho de acceso a la información implica necesariamente una clasificación la cual debe entenderse como el proceso mediante el cual el Sujeto Obligado determina que la información en su poder, actualiza alguno de los supuestos de reserva o confidencialidad, de conformidad con las normas aplicables.</w:t>
      </w:r>
    </w:p>
    <w:p w:rsidR="00670D81" w:rsidRPr="002B68CD" w:rsidRDefault="0097559C">
      <w:pPr>
        <w:spacing w:before="240" w:after="240"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 xml:space="preserve">La Ley de Transparencia y Acceso a la Información Pública del Estado de México y Municipios, define como </w:t>
      </w:r>
      <w:r w:rsidRPr="002B68CD">
        <w:rPr>
          <w:rFonts w:ascii="Palatino Linotype" w:eastAsia="Palatino Linotype" w:hAnsi="Palatino Linotype" w:cs="Palatino Linotype"/>
          <w:b/>
          <w:bCs/>
          <w:sz w:val="22"/>
          <w:szCs w:val="22"/>
        </w:rPr>
        <w:t xml:space="preserve">información reservada </w:t>
      </w:r>
      <w:r w:rsidRPr="002B68CD">
        <w:rPr>
          <w:rFonts w:ascii="Palatino Linotype" w:eastAsia="Palatino Linotype" w:hAnsi="Palatino Linotype" w:cs="Palatino Linotype"/>
          <w:sz w:val="22"/>
          <w:szCs w:val="22"/>
        </w:rPr>
        <w:t xml:space="preserve">a la información pública clasificada con este carácter de manera temporal por las disposiciones de la Ley de la Materia, cuya divulgación puede causar daños a las  seguridad pública, y como información confidencial, la relacionada con los secretos bancario, fiduciario, industrial, comercial, fiscal, bursátil y postal, cuya titularidad corresponda a particulares, sujetos de derecho internacional o sujetos obligados cuando no involucren el ejercicio de recursos públicos, así como la información privada contenida en documentos públicos o privados que refiera a la vida privada y/o los datos personales, que no son de acceso público. </w:t>
      </w:r>
    </w:p>
    <w:p w:rsidR="00670D81" w:rsidRPr="002B68CD" w:rsidRDefault="0097559C">
      <w:pPr>
        <w:spacing w:before="240" w:after="240" w:line="360" w:lineRule="auto"/>
        <w:ind w:right="139"/>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En relación con las implicaciones anteriores, cabe considerar que los titulares de las áreas son los responsables de clasificar la información mediante el Comité de Transparencia por ser la autoridad máxima al interior de los Sujetos Obligados, al ser éste un Cuerpo Colegiado que se integra para resolver sobre la información que debe clasificarse, así como para atender y resolver los requerimientos de las Unidades de Transparencia y del Instituto.</w:t>
      </w:r>
    </w:p>
    <w:p w:rsidR="00670D81" w:rsidRPr="002B68CD" w:rsidRDefault="0097559C">
      <w:pPr>
        <w:spacing w:before="240" w:after="240" w:line="360" w:lineRule="auto"/>
        <w:ind w:right="139"/>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La misma norma referida, considera en su artículo 140, fracción V, que el acceso a la información pública será restringido excepcionalmente bajo los siguientes elementos:</w:t>
      </w:r>
    </w:p>
    <w:p w:rsidR="00670D81" w:rsidRPr="002B68CD" w:rsidRDefault="0097559C">
      <w:pPr>
        <w:spacing w:before="240" w:after="240" w:line="360" w:lineRule="auto"/>
        <w:ind w:left="567" w:right="843"/>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Artículo 140. El acceso a la información pública será restringido excepcionalmente, cuando por razones de interés público, ésta sea clasificada como reservada, conforme a los criterios siguientes:</w:t>
      </w:r>
    </w:p>
    <w:p w:rsidR="00670D81" w:rsidRPr="002B68CD" w:rsidRDefault="0097559C">
      <w:pPr>
        <w:spacing w:before="240" w:after="240" w:line="360" w:lineRule="auto"/>
        <w:ind w:left="567" w:right="843"/>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w:t>
      </w:r>
    </w:p>
    <w:p w:rsidR="00670D81" w:rsidRPr="002B68CD" w:rsidRDefault="0097559C">
      <w:pPr>
        <w:spacing w:before="240" w:after="240" w:line="360" w:lineRule="auto"/>
        <w:ind w:left="567" w:right="843"/>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 xml:space="preserve">V. Aquella cuya divulgación obstruya o pueda causar un serio perjuicio a: </w:t>
      </w:r>
    </w:p>
    <w:p w:rsidR="00670D81" w:rsidRPr="002B68CD" w:rsidRDefault="0097559C">
      <w:pPr>
        <w:spacing w:before="240" w:after="240" w:line="360" w:lineRule="auto"/>
        <w:ind w:left="567" w:right="843"/>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1. Las actividades de fiscalización, verificación, inspección, comprobación y auditoría sobre el cumplimiento de las Leyes; o</w:t>
      </w:r>
    </w:p>
    <w:p w:rsidR="00670D81" w:rsidRPr="002B68CD" w:rsidRDefault="0097559C">
      <w:pPr>
        <w:spacing w:before="240" w:after="240" w:line="360" w:lineRule="auto"/>
        <w:ind w:right="139"/>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Asimismo, la Ley de la Materia establece que la clasificación de la información como reservada permanecerá con tal carácter hasta por un periodo de cinco años contados a partir de su clasificación, salvo que antes de su cumplimiento dejaran de existir los motivos de su reserva, pero excepcionalmente y con aprobación del Comité de Transparencia los Sujetos Obligados podrán ampliar el periodo de reserva hasta por un periodo de cinco años adicionales, por una sola vez, siempre y cuando justifiquen que subsistente las causas que dieron origen a su clasificación.</w:t>
      </w:r>
    </w:p>
    <w:p w:rsidR="00670D81" w:rsidRPr="002B68CD" w:rsidRDefault="0097559C">
      <w:pPr>
        <w:spacing w:before="240" w:after="240" w:line="360" w:lineRule="auto"/>
        <w:ind w:right="139"/>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Ahora bien, para motivar la clasificación de la información o en su caso, la ampliación del plazo de reserva, se deberán señalar las razones, motivos o circunstancias especiales que llevaron al Sujeto Obligado a concluir que el caso particular se ajusta a los supuestos previstos en el artículo 140 de la Ley de Transparencia en la entidad, debiendo en todo momento aplicar la prueba de daño y hacer mención del plazo al que estará sujeto la reserva.</w:t>
      </w:r>
    </w:p>
    <w:p w:rsidR="00670D81" w:rsidRPr="002B68CD" w:rsidRDefault="0097559C">
      <w:pPr>
        <w:spacing w:before="240" w:after="240"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Los Sujetos Obligados no podrán emitir acuerdos de carácter general ni particular que clasifiquen documentos o información como reservada, ya que dicha clasificación, ya sea parcial o total, debe estar acorde con la actualización de los supuestos definidos en la ley de la materia, resaltándose que se debe realizar conforme a un análisis caso por caso, mediante la aplicación de la enunciada prueba de daño.</w:t>
      </w:r>
    </w:p>
    <w:p w:rsidR="00670D81" w:rsidRPr="002B68CD" w:rsidRDefault="0097559C">
      <w:pPr>
        <w:spacing w:before="240" w:after="240"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En tal contexto, en términos generales, las Leyes de la materia disponen que, para proceder a realizar la reserva de la información, no basta que se refiera a alguno de los supuestos que enmarque la Ley, sino que es necesario que la autoridad demuestre que la divulgación de la información, puede afectar, poner en riesgo o dañar el interés público protegido, mediante elementos objetivos que evalúen si existe un riesgo actual e inminente los artículos 91, 128, 129, 140 y 141, de la Ley de Transparencia y Acceso a la Información Pública del Estado de México y Municipios, y los Capítulos II y V de los Lineamientos Generales de Clasificación y Desclasificación de la Información, así como para la Elaboración de Versiones Públicas.</w:t>
      </w:r>
    </w:p>
    <w:p w:rsidR="00670D81" w:rsidRPr="002B68CD" w:rsidRDefault="0097559C">
      <w:pPr>
        <w:spacing w:before="240" w:after="240"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Corolario a lo anterior, es de precisar que la clasificación de la información no se da por el simple mandato de la Ley, sino que es necesario que los Sujetos Obligados</w:t>
      </w:r>
      <w:r w:rsidRPr="002B68CD">
        <w:rPr>
          <w:rFonts w:ascii="Palatino Linotype" w:eastAsia="Palatino Linotype" w:hAnsi="Palatino Linotype" w:cs="Palatino Linotype"/>
          <w:b/>
          <w:bCs/>
          <w:sz w:val="22"/>
          <w:szCs w:val="22"/>
        </w:rPr>
        <w:t>,</w:t>
      </w:r>
      <w:r w:rsidRPr="002B68CD">
        <w:rPr>
          <w:rFonts w:ascii="Palatino Linotype" w:eastAsia="Palatino Linotype" w:hAnsi="Palatino Linotype" w:cs="Palatino Linotype"/>
          <w:sz w:val="22"/>
          <w:szCs w:val="22"/>
        </w:rPr>
        <w:t xml:space="preserve"> cuando clasifiquen algún documento o información, ya sea todo o en parte, atiendan lo dispuesto por la Ley de la materia, siendo que dicha clasificación es un trabajo en conjunto tanto de los Servidores Públicos Habilitados, de las Unidades de Transparencia y del Comité de Transparencia de los Sujetos Obligados, teniendo el deber los primeros de ellos de presentar ante la Unidad de Transparencia la propuesta de la clasificación de la información, para que luego, de así resultar procedente el proyecto de clasificación de la información se presente ante al Comité de Transparencia, y que finalmente, sea este último quien apruebe, modifique o revoque la misma, como se desprende de los artículos 49 fracciones II y VIII, 53 fracción X, y 59 fracción V, de la Ley de Transparencia y Acceso a la Información Pública del Estado de México y Municipios.</w:t>
      </w: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 xml:space="preserve">Entonces, en el presente asunto en particular, al señalar el Servidor Público Habilitado competente que se tienen dos auditorías </w:t>
      </w:r>
      <w:r w:rsidRPr="002B68CD">
        <w:rPr>
          <w:rFonts w:ascii="Palatino Linotype" w:eastAsia="Palatino Linotype" w:hAnsi="Palatino Linotype" w:cs="Palatino Linotype"/>
          <w:b/>
          <w:bCs/>
          <w:sz w:val="22"/>
          <w:szCs w:val="22"/>
          <w:u w:val="single"/>
        </w:rPr>
        <w:t>correspondientes al año 2023 y 2024</w:t>
      </w:r>
      <w:r w:rsidRPr="002B68CD">
        <w:rPr>
          <w:rFonts w:ascii="Palatino Linotype" w:eastAsia="Palatino Linotype" w:hAnsi="Palatino Linotype" w:cs="Palatino Linotype"/>
          <w:sz w:val="22"/>
          <w:szCs w:val="22"/>
        </w:rPr>
        <w:t>, se tiene que asume generar, administrar y poseer la información requerida por el particular; sin embargo, refirió que se encuentran en proceso.</w:t>
      </w:r>
    </w:p>
    <w:p w:rsidR="00670D81" w:rsidRPr="002B68CD" w:rsidRDefault="00670D81">
      <w:pPr>
        <w:spacing w:line="360" w:lineRule="auto"/>
        <w:jc w:val="both"/>
        <w:rPr>
          <w:rFonts w:ascii="Palatino Linotype" w:eastAsia="Palatino Linotype" w:hAnsi="Palatino Linotype" w:cs="Palatino Linotype"/>
          <w:sz w:val="22"/>
          <w:szCs w:val="22"/>
        </w:rPr>
      </w:pP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No obstante, este Organismo Garante localizó en el IPOMEX del Ayuntamiento de la Paz, en el apartado “Resultado de auditorías realizadas” la siguiente información:</w:t>
      </w:r>
    </w:p>
    <w:p w:rsidR="00670D81" w:rsidRPr="002B68CD" w:rsidRDefault="00670D81">
      <w:pPr>
        <w:spacing w:line="360" w:lineRule="auto"/>
        <w:jc w:val="both"/>
        <w:rPr>
          <w:rFonts w:ascii="Palatino Linotype" w:eastAsia="Palatino Linotype" w:hAnsi="Palatino Linotype" w:cs="Palatino Linotype"/>
          <w:sz w:val="22"/>
          <w:szCs w:val="22"/>
        </w:rPr>
      </w:pP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noProof/>
          <w:sz w:val="22"/>
          <w:szCs w:val="22"/>
        </w:rPr>
        <w:drawing>
          <wp:inline distT="0" distB="0" distL="0" distR="0">
            <wp:extent cx="5756275" cy="5981065"/>
            <wp:effectExtent l="0" t="0" r="0" b="0"/>
            <wp:docPr id="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756275" cy="5981065"/>
                    </a:xfrm>
                    <a:prstGeom prst="rect">
                      <a:avLst/>
                    </a:prstGeom>
                    <a:ln/>
                  </pic:spPr>
                </pic:pic>
              </a:graphicData>
            </a:graphic>
          </wp:inline>
        </w:drawing>
      </w:r>
    </w:p>
    <w:p w:rsidR="00670D81" w:rsidRPr="002B68CD" w:rsidRDefault="00670D81">
      <w:pPr>
        <w:spacing w:line="360" w:lineRule="auto"/>
        <w:jc w:val="both"/>
        <w:rPr>
          <w:rFonts w:ascii="Palatino Linotype" w:eastAsia="Palatino Linotype" w:hAnsi="Palatino Linotype" w:cs="Palatino Linotype"/>
          <w:sz w:val="22"/>
          <w:szCs w:val="22"/>
        </w:rPr>
      </w:pP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De lo anterior, se advierte que el Ayuntamiento de la Paz, a través de su Órgano Interno de Control ha llevado a cabo dos auditorías, las cuales se encuentran concluidas; se inserta imagen de referencia:</w:t>
      </w:r>
    </w:p>
    <w:p w:rsidR="00670D81" w:rsidRPr="002B68CD" w:rsidRDefault="0097559C">
      <w:pPr>
        <w:spacing w:line="360" w:lineRule="auto"/>
        <w:jc w:val="center"/>
        <w:rPr>
          <w:rFonts w:ascii="Palatino Linotype" w:eastAsia="Palatino Linotype" w:hAnsi="Palatino Linotype" w:cs="Palatino Linotype"/>
          <w:sz w:val="22"/>
          <w:szCs w:val="22"/>
        </w:rPr>
      </w:pPr>
      <w:r w:rsidRPr="002B68CD">
        <w:rPr>
          <w:rFonts w:ascii="Palatino Linotype" w:eastAsia="Palatino Linotype" w:hAnsi="Palatino Linotype" w:cs="Palatino Linotype"/>
          <w:noProof/>
          <w:sz w:val="22"/>
          <w:szCs w:val="22"/>
        </w:rPr>
        <w:drawing>
          <wp:inline distT="0" distB="0" distL="0" distR="0">
            <wp:extent cx="4725059" cy="7487695"/>
            <wp:effectExtent l="0" t="0" r="0" b="0"/>
            <wp:docPr id="5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4725059" cy="7487695"/>
                    </a:xfrm>
                    <a:prstGeom prst="rect">
                      <a:avLst/>
                    </a:prstGeom>
                    <a:ln/>
                  </pic:spPr>
                </pic:pic>
              </a:graphicData>
            </a:graphic>
          </wp:inline>
        </w:drawing>
      </w: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Es de recordar que, la Ley de Transparencia y Acceso a la Información Pública del Estado de México establece como obligación de transparencia común los informes de resultados de las auditorías, informes que se emiten una vez concluidas, lo cual se refuerza con las imágenes antes insertadas.</w:t>
      </w:r>
    </w:p>
    <w:p w:rsidR="00670D81" w:rsidRPr="002B68CD" w:rsidRDefault="00670D81">
      <w:pPr>
        <w:spacing w:line="360" w:lineRule="auto"/>
        <w:jc w:val="both"/>
        <w:rPr>
          <w:rFonts w:ascii="Palatino Linotype" w:eastAsia="Palatino Linotype" w:hAnsi="Palatino Linotype" w:cs="Palatino Linotype"/>
          <w:sz w:val="22"/>
          <w:szCs w:val="22"/>
        </w:rPr>
      </w:pP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Entonces, contrario a lo que refirió el Sujeto Obligado en su respuesta, las auditorías no se encuentran en trámite, sino que ya fueron concluidas en el tercer y cuarto trimestre del ejercicio fiscal dos mil veinticuatro, en consecuencia, no se advierte causal alguna para restringir el derecho del particular bajo causal de reserva.</w:t>
      </w:r>
    </w:p>
    <w:p w:rsidR="00670D81" w:rsidRPr="002B68CD" w:rsidRDefault="00670D81">
      <w:pPr>
        <w:spacing w:line="360" w:lineRule="auto"/>
        <w:jc w:val="both"/>
        <w:rPr>
          <w:rFonts w:ascii="Palatino Linotype" w:eastAsia="Palatino Linotype" w:hAnsi="Palatino Linotype" w:cs="Palatino Linotype"/>
          <w:sz w:val="22"/>
          <w:szCs w:val="22"/>
        </w:rPr>
      </w:pPr>
    </w:p>
    <w:p w:rsidR="00670D81" w:rsidRPr="002B68CD" w:rsidRDefault="0097559C">
      <w:pPr>
        <w:tabs>
          <w:tab w:val="left" w:pos="6060"/>
        </w:tabs>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Por lo anterior, se ORDENA al Sujeto Obligado entregar los expedientes de las auditorías realizadas por el Órgano Interno de Control durante el ejercicio fiscal dos mil veinticuatro, que se encuentren concluidas al cuatro de agosto de dos mil veinticinco. .</w:t>
      </w:r>
    </w:p>
    <w:p w:rsidR="00670D81" w:rsidRPr="002B68CD" w:rsidRDefault="00670D81">
      <w:pPr>
        <w:tabs>
          <w:tab w:val="left" w:pos="6060"/>
        </w:tabs>
        <w:spacing w:line="360" w:lineRule="auto"/>
        <w:jc w:val="both"/>
        <w:rPr>
          <w:rFonts w:ascii="Palatino Linotype" w:eastAsia="Palatino Linotype" w:hAnsi="Palatino Linotype" w:cs="Palatino Linotype"/>
          <w:sz w:val="22"/>
          <w:szCs w:val="22"/>
        </w:rPr>
      </w:pPr>
    </w:p>
    <w:p w:rsidR="00670D81" w:rsidRPr="002B68CD" w:rsidRDefault="0097559C">
      <w:pPr>
        <w:tabs>
          <w:tab w:val="left" w:pos="6060"/>
        </w:tabs>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Para la elaboración de las versiones públicas, el Sujeto Obligado estará a lo dispuesto en el Considerando Quinto de la presente resolución.</w:t>
      </w:r>
    </w:p>
    <w:p w:rsidR="00670D81" w:rsidRPr="002B68CD" w:rsidRDefault="00670D81">
      <w:pPr>
        <w:spacing w:line="360" w:lineRule="auto"/>
        <w:rPr>
          <w:rFonts w:ascii="Palatino Linotype" w:eastAsia="Palatino Linotype" w:hAnsi="Palatino Linotype" w:cs="Palatino Linotype"/>
          <w:sz w:val="22"/>
          <w:szCs w:val="22"/>
        </w:rPr>
      </w:pP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b/>
          <w:bCs/>
          <w:sz w:val="22"/>
          <w:szCs w:val="22"/>
        </w:rPr>
        <w:t xml:space="preserve">Quinto. Versión Pública. </w:t>
      </w:r>
      <w:r w:rsidRPr="002B68CD">
        <w:rPr>
          <w:rFonts w:ascii="Palatino Linotype" w:eastAsia="Palatino Linotype" w:hAnsi="Palatino Linotype" w:cs="Palatino Linotype"/>
          <w:sz w:val="22"/>
          <w:szCs w:val="22"/>
        </w:rPr>
        <w:t xml:space="preserve">Finalmente, para la entrega de la información que se determina ordenar, el Sujeto Obligado deberá realizar un análisis con la finalidad de advertir si esta contiene datos que deben ser clasificados en los términos que la misma Ley en la materia señala. </w:t>
      </w:r>
    </w:p>
    <w:p w:rsidR="00670D81" w:rsidRPr="002B68CD" w:rsidRDefault="00670D81">
      <w:pPr>
        <w:spacing w:line="360" w:lineRule="auto"/>
        <w:jc w:val="both"/>
        <w:rPr>
          <w:rFonts w:ascii="Palatino Linotype" w:eastAsia="Palatino Linotype" w:hAnsi="Palatino Linotype" w:cs="Palatino Linotype"/>
          <w:sz w:val="22"/>
          <w:szCs w:val="22"/>
        </w:rPr>
      </w:pP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 xml:space="preserve">En ese sentido, el Sujeto Obligado tendrá que elaborar la versión pública de los documentos que vaya a entregar para dar cumplimiento a esta resolución a fin de satisfacer el derecho de acceso a la información pública del recurrente sin menoscabar el derecho a la protección de los datos personales de terceros. </w:t>
      </w:r>
    </w:p>
    <w:p w:rsidR="00670D81" w:rsidRPr="002B68CD" w:rsidRDefault="00670D81">
      <w:pPr>
        <w:spacing w:line="360" w:lineRule="auto"/>
        <w:jc w:val="both"/>
        <w:rPr>
          <w:rFonts w:ascii="Palatino Linotype" w:eastAsia="Palatino Linotype" w:hAnsi="Palatino Linotype" w:cs="Palatino Linotype"/>
          <w:sz w:val="22"/>
          <w:szCs w:val="22"/>
        </w:rPr>
      </w:pPr>
    </w:p>
    <w:p w:rsidR="00670D81" w:rsidRPr="002B68CD" w:rsidRDefault="0097559C">
      <w:pPr>
        <w:spacing w:line="360" w:lineRule="auto"/>
        <w:ind w:right="50"/>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 xml:space="preserve">Lo anterior, de conformidad con lo que señalan los artículos 3 fracciones IX, XX, XXI y XLV, 91, 132 fracciones II y III, y 143 de la Ley de Transparencia y Acceso a la Información Pública del Estado de México y Municipios que establecen: </w:t>
      </w:r>
    </w:p>
    <w:p w:rsidR="00670D81" w:rsidRPr="002B68CD" w:rsidRDefault="00670D81">
      <w:pPr>
        <w:spacing w:line="360" w:lineRule="auto"/>
        <w:ind w:right="50"/>
        <w:jc w:val="both"/>
        <w:rPr>
          <w:rFonts w:ascii="Palatino Linotype" w:eastAsia="Palatino Linotype" w:hAnsi="Palatino Linotype" w:cs="Palatino Linotype"/>
          <w:sz w:val="22"/>
          <w:szCs w:val="22"/>
        </w:rPr>
      </w:pP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w:t>
      </w:r>
      <w:r w:rsidRPr="002B68CD">
        <w:rPr>
          <w:rFonts w:ascii="Palatino Linotype" w:eastAsia="Palatino Linotype" w:hAnsi="Palatino Linotype" w:cs="Palatino Linotype"/>
          <w:b/>
          <w:bCs/>
          <w:i/>
          <w:iCs/>
          <w:sz w:val="22"/>
          <w:szCs w:val="22"/>
        </w:rPr>
        <w:t>Artículo 3.</w:t>
      </w:r>
      <w:r w:rsidRPr="002B68CD">
        <w:rPr>
          <w:rFonts w:ascii="Palatino Linotype" w:eastAsia="Palatino Linotype" w:hAnsi="Palatino Linotype" w:cs="Palatino Linotype"/>
          <w:i/>
          <w:iCs/>
          <w:sz w:val="22"/>
          <w:szCs w:val="22"/>
        </w:rPr>
        <w:t xml:space="preserve"> Para los efectos de la presente Ley se entenderá por:</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 xml:space="preserve">IX. Datos personales: La información concerniente a una persona, identificada o identificable según lo dispuesto por la Ley de Protección de Datos Personales del Estado de México; </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XX. Información clasificada: Aquella considerada por la presente Ley como reservada o confidencial;</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XXI. 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XLV. Versión pública: Documento en el que se elimine, suprime o borra la información clasificada como reservada o confidencial para permitir su acceso.</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b/>
          <w:bCs/>
          <w:i/>
          <w:iCs/>
          <w:sz w:val="22"/>
          <w:szCs w:val="22"/>
        </w:rPr>
        <w:t>Artículo 91.</w:t>
      </w:r>
      <w:r w:rsidRPr="002B68CD">
        <w:rPr>
          <w:rFonts w:ascii="Palatino Linotype" w:eastAsia="Palatino Linotype" w:hAnsi="Palatino Linotype" w:cs="Palatino Linotype"/>
          <w:i/>
          <w:iCs/>
          <w:sz w:val="22"/>
          <w:szCs w:val="22"/>
        </w:rPr>
        <w:t xml:space="preserve"> El acceso a la información pública será restringido excepcionalmente, cuando ésta sea clasificada como reservada o confidencial.</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b/>
          <w:bCs/>
          <w:i/>
          <w:iCs/>
          <w:sz w:val="22"/>
          <w:szCs w:val="22"/>
        </w:rPr>
        <w:t>Artículo 132.</w:t>
      </w:r>
      <w:r w:rsidRPr="002B68CD">
        <w:rPr>
          <w:rFonts w:ascii="Palatino Linotype" w:eastAsia="Palatino Linotype" w:hAnsi="Palatino Linotype" w:cs="Palatino Linotype"/>
          <w:i/>
          <w:iCs/>
          <w:sz w:val="22"/>
          <w:szCs w:val="22"/>
        </w:rPr>
        <w:t xml:space="preserve"> La clasificación de la información se llevará a cabo en el momento en que:</w:t>
      </w:r>
    </w:p>
    <w:p w:rsidR="00670D81" w:rsidRPr="002B68CD" w:rsidRDefault="0097559C">
      <w:pPr>
        <w:tabs>
          <w:tab w:val="left" w:pos="1134"/>
        </w:tabs>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I. Se reciba una solicitud de acceso a la información;</w:t>
      </w:r>
    </w:p>
    <w:p w:rsidR="00670D81" w:rsidRPr="002B68CD" w:rsidRDefault="0097559C">
      <w:pPr>
        <w:tabs>
          <w:tab w:val="left" w:pos="1134"/>
        </w:tabs>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II. Se determine mediante resolución de autoridad competente; o</w:t>
      </w:r>
    </w:p>
    <w:p w:rsidR="00670D81" w:rsidRPr="002B68CD" w:rsidRDefault="0097559C">
      <w:pPr>
        <w:tabs>
          <w:tab w:val="left" w:pos="1134"/>
        </w:tabs>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III. Se generen versiones públicas para dar cumplimiento a las obligaciones de transparencia previstas en esta Ley.</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b/>
          <w:bCs/>
          <w:i/>
          <w:iCs/>
          <w:sz w:val="22"/>
          <w:szCs w:val="22"/>
        </w:rPr>
        <w:t>Artículo 143</w:t>
      </w:r>
      <w:r w:rsidRPr="002B68CD">
        <w:rPr>
          <w:rFonts w:ascii="Palatino Linotype" w:eastAsia="Palatino Linotype" w:hAnsi="Palatino Linotype" w:cs="Palatino Linotype"/>
          <w:i/>
          <w:iCs/>
          <w:sz w:val="22"/>
          <w:szCs w:val="22"/>
        </w:rPr>
        <w:t>. Para los efectos de esta Ley se considera información confidencial, la clasificada como tal, de manera permanente, por su naturaleza, cuando:</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I. Se refiera a la información privada y los datos personales concernientes a una persona física o jurídico colectiva identificada o identificable;</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II. Los secretos bancario, fiduciario, industrial, comercial, fiscal, bursátil y postal, cuya titularidad corresponda a particulares, sujetos de derecho internacional o a sujetos obligados cuando no involucren el ejercicio de recursos públicos; y</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III. La que presenten los particulares a los sujetos obligados, de conformidad con lo dispuesto por las leyes o los tratados internacionales.</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rsidR="00670D81" w:rsidRPr="002B68CD" w:rsidRDefault="00670D81">
      <w:pPr>
        <w:ind w:left="567" w:right="616"/>
        <w:jc w:val="both"/>
        <w:rPr>
          <w:rFonts w:ascii="Palatino Linotype" w:eastAsia="Palatino Linotype" w:hAnsi="Palatino Linotype" w:cs="Palatino Linotype"/>
          <w:i/>
          <w:iCs/>
          <w:sz w:val="22"/>
          <w:szCs w:val="22"/>
        </w:rPr>
      </w:pP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 xml:space="preserve">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vigentes a la fecha de la solicitud de información,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 </w:t>
      </w:r>
    </w:p>
    <w:p w:rsidR="00670D81" w:rsidRPr="002B68CD" w:rsidRDefault="00670D81">
      <w:pPr>
        <w:spacing w:line="360" w:lineRule="auto"/>
        <w:jc w:val="both"/>
        <w:rPr>
          <w:rFonts w:ascii="Palatino Linotype" w:eastAsia="Palatino Linotype" w:hAnsi="Palatino Linotype" w:cs="Palatino Linotype"/>
          <w:sz w:val="22"/>
          <w:szCs w:val="22"/>
        </w:rPr>
      </w:pP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Por otro lado, es de destacar que los artículos Quincuagésimo, Quincuagésimo primero, Quincuagésimo segundo, de los Lineamientos Generales en Materia de Clasificación y Desclasificación de la Información, así como para la Elaboración de Versiones Públicas vigentes a la fecha de la solicitud señalan las formalidades que deberá llevar el acuerdo de clasificación que deberá emitir el Sujeto Obligado, siendo estas las siguientes:</w:t>
      </w:r>
    </w:p>
    <w:p w:rsidR="00670D81" w:rsidRPr="002B68CD" w:rsidRDefault="00670D81">
      <w:pPr>
        <w:spacing w:line="360" w:lineRule="auto"/>
        <w:jc w:val="both"/>
        <w:rPr>
          <w:rFonts w:ascii="Palatino Linotype" w:eastAsia="Palatino Linotype" w:hAnsi="Palatino Linotype" w:cs="Palatino Linotype"/>
          <w:sz w:val="22"/>
          <w:szCs w:val="22"/>
        </w:rPr>
      </w:pP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 xml:space="preserve"> “</w:t>
      </w:r>
      <w:r w:rsidRPr="002B68CD">
        <w:rPr>
          <w:rFonts w:ascii="Palatino Linotype" w:eastAsia="Palatino Linotype" w:hAnsi="Palatino Linotype" w:cs="Palatino Linotype"/>
          <w:b/>
          <w:bCs/>
          <w:i/>
          <w:iCs/>
          <w:sz w:val="22"/>
          <w:szCs w:val="22"/>
        </w:rPr>
        <w:t>Quincuagésimo</w:t>
      </w:r>
      <w:r w:rsidRPr="002B68CD">
        <w:rPr>
          <w:rFonts w:ascii="Palatino Linotype" w:eastAsia="Palatino Linotype" w:hAnsi="Palatino Linotype" w:cs="Palatino Linotype"/>
          <w:i/>
          <w:iCs/>
          <w:sz w:val="22"/>
          <w:szCs w:val="22"/>
        </w:rPr>
        <w:t xml:space="preserve">. 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rsidR="00670D81" w:rsidRPr="002B68CD" w:rsidRDefault="0097559C">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b/>
          <w:bCs/>
          <w:i/>
          <w:iCs/>
          <w:sz w:val="22"/>
          <w:szCs w:val="22"/>
        </w:rPr>
        <w:t>Quincuagésimo primero.</w:t>
      </w:r>
      <w:r w:rsidRPr="002B68CD">
        <w:rPr>
          <w:rFonts w:ascii="Palatino Linotype" w:eastAsia="Palatino Linotype" w:hAnsi="Palatino Linotype" w:cs="Palatino Linotype"/>
          <w:i/>
          <w:iCs/>
          <w:sz w:val="22"/>
          <w:szCs w:val="22"/>
        </w:rPr>
        <w:t xml:space="preserve"> Toda acta del Comité de Transparencia deberá contener: </w:t>
      </w:r>
    </w:p>
    <w:p w:rsidR="00670D81" w:rsidRPr="002B68CD" w:rsidRDefault="0097559C">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 xml:space="preserve">I. El número de sesión y fecha; </w:t>
      </w:r>
    </w:p>
    <w:p w:rsidR="00670D81" w:rsidRPr="002B68CD" w:rsidRDefault="0097559C">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 xml:space="preserve">II. El nombre del área que solicitó la clasificación de información; </w:t>
      </w:r>
    </w:p>
    <w:p w:rsidR="00670D81" w:rsidRPr="002B68CD" w:rsidRDefault="0097559C">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 xml:space="preserve">III. La fundamentación legal y motivación correspondiente; </w:t>
      </w:r>
    </w:p>
    <w:p w:rsidR="00670D81" w:rsidRPr="002B68CD" w:rsidRDefault="0097559C">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 xml:space="preserve">IV. La resolución o resoluciones aprobadas; y </w:t>
      </w:r>
    </w:p>
    <w:p w:rsidR="00670D81" w:rsidRPr="002B68CD" w:rsidRDefault="0097559C">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 xml:space="preserve">V. La rúbrica o firma digital de cada integrante del Comité de Transparencia. </w:t>
      </w:r>
    </w:p>
    <w:p w:rsidR="00670D81" w:rsidRPr="002B68CD" w:rsidRDefault="0097559C">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 xml:space="preserve">Las resoluciones del Comité en las que se haya determinado confirmar o modificar la clasificación de información pública como reservada, deberán incluir, cuando menos: </w:t>
      </w:r>
    </w:p>
    <w:p w:rsidR="00670D81" w:rsidRPr="002B68CD" w:rsidRDefault="0097559C">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I. Los motivos y razonamientos que sustenten la confirmación o modificación de la prueba de daño;</w:t>
      </w:r>
    </w:p>
    <w:p w:rsidR="00670D81" w:rsidRPr="002B68CD" w:rsidRDefault="0097559C">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 xml:space="preserve">II. Descripción de las partes o secciones reservadas, en caso de clasificación parcial; </w:t>
      </w:r>
    </w:p>
    <w:p w:rsidR="00670D81" w:rsidRPr="002B68CD" w:rsidRDefault="0097559C">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 xml:space="preserve">III. El periodo por el que mantendrá su clasificación y fecha de expiración; y </w:t>
      </w:r>
    </w:p>
    <w:p w:rsidR="00670D81" w:rsidRPr="002B68CD" w:rsidRDefault="0097559C">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 xml:space="preserve">IV. El nombre del titular y área encargada de realizar la versión pública del documento, en su caso. </w:t>
      </w:r>
    </w:p>
    <w:p w:rsidR="00670D81" w:rsidRPr="002B68CD" w:rsidRDefault="0097559C">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 xml:space="preserve">En los casos en que se clasifique la información como reservada siempre se entregará o anexará la prueba de daño con la respuesta al solicitante. </w:t>
      </w:r>
    </w:p>
    <w:p w:rsidR="00670D81" w:rsidRPr="002B68CD" w:rsidRDefault="0097559C">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b/>
          <w:bCs/>
          <w:i/>
          <w:iCs/>
          <w:sz w:val="22"/>
          <w:szCs w:val="22"/>
        </w:rPr>
        <w:t>Quincuagésimo segundo.</w:t>
      </w:r>
      <w:r w:rsidRPr="002B68CD">
        <w:rPr>
          <w:rFonts w:ascii="Palatino Linotype" w:eastAsia="Palatino Linotype" w:hAnsi="Palatino Linotype" w:cs="Palatino Linotype"/>
          <w:i/>
          <w:iCs/>
          <w:sz w:val="22"/>
          <w:szCs w:val="22"/>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 xml:space="preserve">En el caso específico de la clasificación y elaboración de versiones públicas de documentos que contengan información confidencial, las áreas de los sujetos obligados deberán: </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I. Fijar la fecha en que se elaboró la versión pública y la fecha en la cual el Comité de Transparencia confirmó dicha versión;</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II. Señalar dentro del documento el tipo de información confidencial que fue testada en cada caso específico, de conformidad con el lineamiento trigésimo octavo; y</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III. Señalar las personas o instancias autorizadas a acceder a la información clasificada.</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En los documentos de difusión electrónica, señalar en la primera hoja y en el nombre del archivo, que la versión pública corresponde a un documento que contiene información confidencial.”</w:t>
      </w:r>
    </w:p>
    <w:p w:rsidR="00670D81" w:rsidRPr="002B68CD" w:rsidRDefault="00670D81">
      <w:pPr>
        <w:spacing w:line="360" w:lineRule="auto"/>
        <w:jc w:val="both"/>
        <w:rPr>
          <w:rFonts w:ascii="Palatino Linotype" w:eastAsia="Palatino Linotype" w:hAnsi="Palatino Linotype" w:cs="Palatino Linotype"/>
          <w:sz w:val="22"/>
          <w:szCs w:val="22"/>
        </w:rPr>
      </w:pP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 xml:space="preserve">De igual forma, deberá observar los Lineamientos Quincuagésimo cuarto, Quincuagésimo quinto, Quincuagésimo séptimo y Quincuagésimo octavo, vigentes a la fecha de la solicitud de información establecen lo siguiente: </w:t>
      </w:r>
    </w:p>
    <w:p w:rsidR="00670D81" w:rsidRPr="002B68CD" w:rsidRDefault="00670D81">
      <w:pPr>
        <w:spacing w:line="360" w:lineRule="auto"/>
        <w:jc w:val="both"/>
        <w:rPr>
          <w:rFonts w:ascii="Palatino Linotype" w:eastAsia="Palatino Linotype" w:hAnsi="Palatino Linotype" w:cs="Palatino Linotype"/>
          <w:sz w:val="22"/>
          <w:szCs w:val="22"/>
        </w:rPr>
      </w:pPr>
    </w:p>
    <w:p w:rsidR="00670D81" w:rsidRPr="002B68CD" w:rsidRDefault="0097559C">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w:t>
      </w:r>
      <w:r w:rsidRPr="002B68CD">
        <w:rPr>
          <w:rFonts w:ascii="Palatino Linotype" w:eastAsia="Palatino Linotype" w:hAnsi="Palatino Linotype" w:cs="Palatino Linotype"/>
          <w:b/>
          <w:bCs/>
          <w:i/>
          <w:iCs/>
          <w:sz w:val="22"/>
          <w:szCs w:val="22"/>
        </w:rPr>
        <w:t>Quincuagésimo cuarto.</w:t>
      </w:r>
      <w:r w:rsidRPr="002B68CD">
        <w:rPr>
          <w:rFonts w:ascii="Palatino Linotype" w:eastAsia="Palatino Linotype" w:hAnsi="Palatino Linotype" w:cs="Palatino Linotype"/>
          <w:i/>
          <w:iCs/>
          <w:sz w:val="22"/>
          <w:szCs w:val="22"/>
        </w:rPr>
        <w:t xml:space="preserve"> 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 </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b/>
          <w:bCs/>
          <w:i/>
          <w:iCs/>
          <w:sz w:val="22"/>
          <w:szCs w:val="22"/>
        </w:rPr>
        <w:t>Quincuagésimo quinto.</w:t>
      </w:r>
      <w:r w:rsidRPr="002B68CD">
        <w:rPr>
          <w:rFonts w:ascii="Palatino Linotype" w:eastAsia="Palatino Linotype" w:hAnsi="Palatino Linotype" w:cs="Palatino Linotype"/>
          <w:i/>
          <w:iCs/>
          <w:sz w:val="22"/>
          <w:szCs w:val="22"/>
        </w:rPr>
        <w:t xml:space="preserve"> 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b/>
          <w:bCs/>
          <w:i/>
          <w:iCs/>
          <w:sz w:val="22"/>
          <w:szCs w:val="22"/>
        </w:rPr>
        <w:t>Quincuagésimo séptimo.</w:t>
      </w:r>
      <w:r w:rsidRPr="002B68CD">
        <w:rPr>
          <w:rFonts w:ascii="Palatino Linotype" w:eastAsia="Palatino Linotype" w:hAnsi="Palatino Linotype" w:cs="Palatino Linotype"/>
          <w:i/>
          <w:iCs/>
          <w:sz w:val="22"/>
          <w:szCs w:val="22"/>
        </w:rPr>
        <w:t xml:space="preserve"> Se considera, en principio, como información pública y no podrá omitirse de las versiones públicas la siguiente: </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 xml:space="preserve">I. La relativa a las Obligaciones de Transparencia que contempla el Título V de la Ley General y las demás disposiciones legales aplicables; </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II. El nombre de los integrantes de los sujetos obligados en los documentos, y sus firmas autógrafas o digitales, cuando sean utilizados en el ejercicio de las facultades conferidas para el desempeño del servicio público, y</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 xml:space="preserve">Lo anterior, siempre y cuando no se acredite alguna causal de clasificación, prevista en las leyes o en los tratados internacionales suscritas por el Estado mexicano.  </w:t>
      </w:r>
    </w:p>
    <w:p w:rsidR="00670D81" w:rsidRPr="002B68CD" w:rsidRDefault="0097559C">
      <w:pPr>
        <w:ind w:left="567" w:right="616"/>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Quincuagésimo octavo. Los sujetos obligados garantizarán que los sistemas o medios empleados para eliminar la información en las versiones públicas sean irreversibles, de tal forma que no permitan su recuperación o la visualización de la misma.”</w:t>
      </w:r>
    </w:p>
    <w:p w:rsidR="00670D81" w:rsidRPr="002B68CD" w:rsidRDefault="00670D81">
      <w:pPr>
        <w:spacing w:line="360" w:lineRule="auto"/>
        <w:ind w:left="567" w:right="616"/>
        <w:jc w:val="both"/>
        <w:rPr>
          <w:rFonts w:ascii="Palatino Linotype" w:eastAsia="Palatino Linotype" w:hAnsi="Palatino Linotype" w:cs="Palatino Linotype"/>
          <w:i/>
          <w:iCs/>
          <w:sz w:val="22"/>
          <w:szCs w:val="22"/>
        </w:rPr>
      </w:pP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Es entonces que, la entrega de documentos en su versión pública debe acompañarse necesariamente del Acuerdo del Comité de Transparencia que la sustente, el cual debe estar debidamente fundado y motivado y, deberá exponer los fundamentos y razonamientos que llevaron al Sujeto Obligado a testar, suprimir o eliminar datos de dicho soporte documental, ya que de no hacerlo,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 qué no aparecen en la documentación respectiva.</w:t>
      </w:r>
    </w:p>
    <w:p w:rsidR="00670D81" w:rsidRPr="002B68CD" w:rsidRDefault="00670D81">
      <w:pPr>
        <w:spacing w:line="360" w:lineRule="auto"/>
        <w:jc w:val="both"/>
        <w:rPr>
          <w:rFonts w:ascii="Palatino Linotype" w:eastAsia="Palatino Linotype" w:hAnsi="Palatino Linotype" w:cs="Palatino Linotype"/>
          <w:sz w:val="22"/>
          <w:szCs w:val="22"/>
        </w:rPr>
      </w:pPr>
    </w:p>
    <w:p w:rsidR="00670D81" w:rsidRPr="002B68CD" w:rsidRDefault="0097559C">
      <w:pPr>
        <w:spacing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Es entonces que, la entrega de documentos en su versión pública debe acompañarse necesariamente del Acuerdo del Comité de Transparencia que la sustente, el cual debe estar debidamente fundado y motivado y, deberá exponer los fundamentos y razonamientos que llevaron al Sujeto Obligado a testar, suprimir o eliminar datos de dicho soporte documental, ya que de no hacerlo,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 qué no aparecen en la documentación respectiva.</w:t>
      </w:r>
    </w:p>
    <w:p w:rsidR="00670D81" w:rsidRPr="002B68CD" w:rsidRDefault="0097559C">
      <w:pPr>
        <w:spacing w:before="240" w:after="240"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Por lo anteriormente expuesto y con fundamento en lo prescrito en los artículos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y 186 fracción III de la Ley de Transparencia y Acceso a la Información Pública del Estado de México y Municipios, este Pleno:</w:t>
      </w:r>
    </w:p>
    <w:p w:rsidR="00670D81" w:rsidRPr="002B68CD" w:rsidRDefault="0097559C">
      <w:pPr>
        <w:pBdr>
          <w:top w:val="nil"/>
          <w:left w:val="nil"/>
          <w:bottom w:val="nil"/>
          <w:right w:val="nil"/>
          <w:between w:val="nil"/>
        </w:pBdr>
        <w:spacing w:before="240" w:after="240" w:line="360" w:lineRule="auto"/>
        <w:ind w:left="567"/>
        <w:jc w:val="center"/>
        <w:rPr>
          <w:rFonts w:ascii="Palatino Linotype" w:eastAsia="Palatino Linotype" w:hAnsi="Palatino Linotype" w:cs="Palatino Linotype"/>
          <w:b/>
          <w:bCs/>
          <w:sz w:val="22"/>
          <w:szCs w:val="22"/>
        </w:rPr>
      </w:pPr>
      <w:r w:rsidRPr="002B68CD">
        <w:rPr>
          <w:rFonts w:ascii="Palatino Linotype" w:eastAsia="Palatino Linotype" w:hAnsi="Palatino Linotype" w:cs="Palatino Linotype"/>
          <w:b/>
          <w:bCs/>
          <w:sz w:val="22"/>
          <w:szCs w:val="22"/>
        </w:rPr>
        <w:t>R E S U E L V E:</w:t>
      </w:r>
    </w:p>
    <w:p w:rsidR="00670D81" w:rsidRPr="002B68CD" w:rsidRDefault="0097559C">
      <w:pPr>
        <w:spacing w:before="240" w:after="240" w:line="360" w:lineRule="auto"/>
        <w:jc w:val="both"/>
        <w:rPr>
          <w:rFonts w:ascii="Palatino Linotype" w:eastAsia="Palatino Linotype" w:hAnsi="Palatino Linotype" w:cs="Palatino Linotype"/>
          <w:b/>
          <w:bCs/>
          <w:sz w:val="22"/>
          <w:szCs w:val="22"/>
        </w:rPr>
      </w:pPr>
      <w:r w:rsidRPr="002B68CD">
        <w:rPr>
          <w:rFonts w:ascii="Palatino Linotype" w:eastAsia="Palatino Linotype" w:hAnsi="Palatino Linotype" w:cs="Palatino Linotype"/>
          <w:b/>
          <w:bCs/>
          <w:sz w:val="22"/>
          <w:szCs w:val="22"/>
        </w:rPr>
        <w:t xml:space="preserve">Primero. </w:t>
      </w:r>
      <w:r w:rsidRPr="002B68CD">
        <w:rPr>
          <w:rFonts w:ascii="Palatino Linotype" w:eastAsia="Palatino Linotype" w:hAnsi="Palatino Linotype" w:cs="Palatino Linotype"/>
          <w:sz w:val="22"/>
          <w:szCs w:val="22"/>
        </w:rPr>
        <w:t>Resultan</w:t>
      </w:r>
      <w:r w:rsidRPr="002B68CD">
        <w:rPr>
          <w:rFonts w:ascii="Palatino Linotype" w:eastAsia="Palatino Linotype" w:hAnsi="Palatino Linotype" w:cs="Palatino Linotype"/>
          <w:b/>
          <w:bCs/>
          <w:sz w:val="22"/>
          <w:szCs w:val="22"/>
        </w:rPr>
        <w:t xml:space="preserve"> fundados </w:t>
      </w:r>
      <w:r w:rsidRPr="002B68CD">
        <w:rPr>
          <w:rFonts w:ascii="Palatino Linotype" w:eastAsia="Palatino Linotype" w:hAnsi="Palatino Linotype" w:cs="Palatino Linotype"/>
          <w:sz w:val="22"/>
          <w:szCs w:val="22"/>
        </w:rPr>
        <w:t xml:space="preserve">los motivos de inconformidad hechos valer por </w:t>
      </w:r>
      <w:r w:rsidRPr="002B68CD">
        <w:rPr>
          <w:rFonts w:ascii="Palatino Linotype" w:eastAsia="Palatino Linotype" w:hAnsi="Palatino Linotype" w:cs="Palatino Linotype"/>
          <w:b/>
          <w:bCs/>
          <w:sz w:val="22"/>
          <w:szCs w:val="22"/>
        </w:rPr>
        <w:t>la parte Recurrente</w:t>
      </w:r>
      <w:r w:rsidRPr="002B68CD">
        <w:rPr>
          <w:rFonts w:ascii="Palatino Linotype" w:eastAsia="Palatino Linotype" w:hAnsi="Palatino Linotype" w:cs="Palatino Linotype"/>
          <w:sz w:val="22"/>
          <w:szCs w:val="22"/>
        </w:rPr>
        <w:t xml:space="preserve"> en el Recurso de Revisión</w:t>
      </w:r>
      <w:r w:rsidRPr="002B68CD">
        <w:rPr>
          <w:rFonts w:ascii="Palatino Linotype" w:eastAsia="Palatino Linotype" w:hAnsi="Palatino Linotype" w:cs="Palatino Linotype"/>
          <w:b/>
          <w:bCs/>
          <w:sz w:val="22"/>
          <w:szCs w:val="22"/>
        </w:rPr>
        <w:t xml:space="preserve"> 10389/INFOEM/IP/RR/2025, </w:t>
      </w:r>
      <w:r w:rsidRPr="002B68CD">
        <w:rPr>
          <w:rFonts w:ascii="Palatino Linotype" w:eastAsia="Palatino Linotype" w:hAnsi="Palatino Linotype" w:cs="Palatino Linotype"/>
          <w:sz w:val="22"/>
          <w:szCs w:val="22"/>
        </w:rPr>
        <w:t>por lo que</w:t>
      </w:r>
      <w:r w:rsidRPr="002B68CD">
        <w:rPr>
          <w:rFonts w:ascii="Palatino Linotype" w:eastAsia="Palatino Linotype" w:hAnsi="Palatino Linotype" w:cs="Palatino Linotype"/>
          <w:b/>
          <w:bCs/>
          <w:sz w:val="22"/>
          <w:szCs w:val="22"/>
        </w:rPr>
        <w:t xml:space="preserve">, en términos del Considerando Cuarto </w:t>
      </w:r>
      <w:r w:rsidRPr="002B68CD">
        <w:rPr>
          <w:rFonts w:ascii="Palatino Linotype" w:eastAsia="Palatino Linotype" w:hAnsi="Palatino Linotype" w:cs="Palatino Linotype"/>
          <w:sz w:val="22"/>
          <w:szCs w:val="22"/>
        </w:rPr>
        <w:t>de la presente resolución</w:t>
      </w:r>
      <w:r w:rsidRPr="002B68CD">
        <w:rPr>
          <w:rFonts w:ascii="Palatino Linotype" w:eastAsia="Palatino Linotype" w:hAnsi="Palatino Linotype" w:cs="Palatino Linotype"/>
          <w:b/>
          <w:bCs/>
          <w:sz w:val="22"/>
          <w:szCs w:val="22"/>
        </w:rPr>
        <w:t>, se REVOCA l</w:t>
      </w:r>
      <w:r w:rsidRPr="002B68CD">
        <w:rPr>
          <w:rFonts w:ascii="Palatino Linotype" w:eastAsia="Palatino Linotype" w:hAnsi="Palatino Linotype" w:cs="Palatino Linotype"/>
          <w:sz w:val="22"/>
          <w:szCs w:val="22"/>
        </w:rPr>
        <w:t>a respuesta del</w:t>
      </w:r>
      <w:r w:rsidRPr="002B68CD">
        <w:rPr>
          <w:rFonts w:ascii="Palatino Linotype" w:eastAsia="Palatino Linotype" w:hAnsi="Palatino Linotype" w:cs="Palatino Linotype"/>
          <w:b/>
          <w:bCs/>
          <w:sz w:val="22"/>
          <w:szCs w:val="22"/>
        </w:rPr>
        <w:t xml:space="preserve"> Sujeto Obligado.</w:t>
      </w:r>
    </w:p>
    <w:p w:rsidR="00670D81" w:rsidRPr="002B68CD" w:rsidRDefault="0097559C">
      <w:pPr>
        <w:spacing w:before="240" w:after="240" w:line="360" w:lineRule="auto"/>
        <w:jc w:val="both"/>
        <w:rPr>
          <w:rFonts w:ascii="Palatino Linotype" w:eastAsia="Palatino Linotype" w:hAnsi="Palatino Linotype" w:cs="Palatino Linotype"/>
          <w:b/>
          <w:bCs/>
          <w:sz w:val="22"/>
          <w:szCs w:val="22"/>
        </w:rPr>
      </w:pPr>
      <w:bookmarkStart w:id="2" w:name="_heading=h.j3ppyxwlb1s2" w:colFirst="0" w:colLast="0"/>
      <w:bookmarkEnd w:id="2"/>
      <w:r w:rsidRPr="002B68CD">
        <w:rPr>
          <w:rFonts w:ascii="Palatino Linotype" w:eastAsia="Palatino Linotype" w:hAnsi="Palatino Linotype" w:cs="Palatino Linotype"/>
          <w:b/>
          <w:bCs/>
          <w:sz w:val="22"/>
          <w:szCs w:val="22"/>
        </w:rPr>
        <w:t xml:space="preserve">Segundo. Se Ordena al Sujeto Obligado </w:t>
      </w:r>
      <w:r w:rsidRPr="002B68CD">
        <w:rPr>
          <w:rFonts w:ascii="Palatino Linotype" w:eastAsia="Palatino Linotype" w:hAnsi="Palatino Linotype" w:cs="Palatino Linotype"/>
          <w:sz w:val="22"/>
          <w:szCs w:val="22"/>
        </w:rPr>
        <w:t>que en términos de los</w:t>
      </w:r>
      <w:r w:rsidRPr="002B68CD">
        <w:rPr>
          <w:rFonts w:ascii="Palatino Linotype" w:eastAsia="Palatino Linotype" w:hAnsi="Palatino Linotype" w:cs="Palatino Linotype"/>
          <w:b/>
          <w:bCs/>
          <w:sz w:val="22"/>
          <w:szCs w:val="22"/>
        </w:rPr>
        <w:t xml:space="preserve"> Considerandos Cuarto y Quinto </w:t>
      </w:r>
      <w:r w:rsidRPr="002B68CD">
        <w:rPr>
          <w:rFonts w:ascii="Palatino Linotype" w:eastAsia="Palatino Linotype" w:hAnsi="Palatino Linotype" w:cs="Palatino Linotype"/>
          <w:sz w:val="22"/>
          <w:szCs w:val="22"/>
        </w:rPr>
        <w:t xml:space="preserve">de esta resolución, haga entrega a </w:t>
      </w:r>
      <w:r w:rsidRPr="002B68CD">
        <w:rPr>
          <w:rFonts w:ascii="Palatino Linotype" w:eastAsia="Palatino Linotype" w:hAnsi="Palatino Linotype" w:cs="Palatino Linotype"/>
          <w:b/>
          <w:bCs/>
          <w:sz w:val="22"/>
          <w:szCs w:val="22"/>
        </w:rPr>
        <w:t xml:space="preserve">la parte Recurrente a través del SAIMEX, </w:t>
      </w:r>
      <w:r w:rsidRPr="002B68CD">
        <w:rPr>
          <w:rFonts w:ascii="Palatino Linotype" w:eastAsia="Palatino Linotype" w:hAnsi="Palatino Linotype" w:cs="Palatino Linotype"/>
          <w:sz w:val="22"/>
          <w:szCs w:val="22"/>
        </w:rPr>
        <w:t>en versión pública,</w:t>
      </w:r>
      <w:r w:rsidRPr="002B68CD">
        <w:rPr>
          <w:rFonts w:ascii="Palatino Linotype" w:eastAsia="Palatino Linotype" w:hAnsi="Palatino Linotype" w:cs="Palatino Linotype"/>
          <w:b/>
          <w:bCs/>
          <w:sz w:val="22"/>
          <w:szCs w:val="22"/>
        </w:rPr>
        <w:t xml:space="preserve"> </w:t>
      </w:r>
      <w:r w:rsidRPr="002B68CD">
        <w:rPr>
          <w:rFonts w:ascii="Palatino Linotype" w:eastAsia="Palatino Linotype" w:hAnsi="Palatino Linotype" w:cs="Palatino Linotype"/>
          <w:sz w:val="22"/>
          <w:szCs w:val="22"/>
        </w:rPr>
        <w:t>la siguiente información:</w:t>
      </w:r>
    </w:p>
    <w:p w:rsidR="00670D81" w:rsidRPr="002B68CD" w:rsidRDefault="0097559C">
      <w:pPr>
        <w:numPr>
          <w:ilvl w:val="0"/>
          <w:numId w:val="2"/>
        </w:numPr>
        <w:pBdr>
          <w:top w:val="nil"/>
          <w:left w:val="nil"/>
          <w:bottom w:val="nil"/>
          <w:right w:val="nil"/>
          <w:between w:val="nil"/>
        </w:pBdr>
        <w:spacing w:after="240" w:line="360" w:lineRule="auto"/>
        <w:ind w:right="843"/>
        <w:jc w:val="both"/>
        <w:rPr>
          <w:rFonts w:ascii="Palatino Linotype" w:eastAsia="Palatino Linotype" w:hAnsi="Palatino Linotype" w:cs="Palatino Linotype"/>
          <w:b/>
          <w:bCs/>
          <w:sz w:val="22"/>
          <w:szCs w:val="22"/>
        </w:rPr>
      </w:pPr>
      <w:bookmarkStart w:id="3" w:name="_heading=h.7k6wezscd4fb" w:colFirst="0" w:colLast="0"/>
      <w:bookmarkEnd w:id="3"/>
      <w:r w:rsidRPr="002B68CD">
        <w:rPr>
          <w:rFonts w:ascii="Palatino Linotype" w:eastAsia="Palatino Linotype" w:hAnsi="Palatino Linotype" w:cs="Palatino Linotype"/>
          <w:b/>
          <w:bCs/>
          <w:sz w:val="22"/>
          <w:szCs w:val="22"/>
        </w:rPr>
        <w:t xml:space="preserve">Expedientes de las auditorías, realizadas por el Órgano Interno de Control durante el ejercicio fiscal dos mil veinticuatro, que se encuentren concluidas al cuatro de agosto de dos mil veinticinco. </w:t>
      </w:r>
    </w:p>
    <w:p w:rsidR="00670D81" w:rsidRPr="002B68CD" w:rsidRDefault="0097559C">
      <w:pPr>
        <w:pBdr>
          <w:top w:val="nil"/>
          <w:left w:val="nil"/>
          <w:bottom w:val="nil"/>
          <w:right w:val="nil"/>
          <w:between w:val="nil"/>
        </w:pBdr>
        <w:spacing w:line="360" w:lineRule="auto"/>
        <w:ind w:left="360" w:right="560"/>
        <w:jc w:val="both"/>
        <w:rPr>
          <w:rFonts w:ascii="Palatino Linotype" w:eastAsia="Palatino Linotype" w:hAnsi="Palatino Linotype" w:cs="Palatino Linotype"/>
          <w:i/>
          <w:iCs/>
          <w:sz w:val="22"/>
          <w:szCs w:val="22"/>
        </w:rPr>
      </w:pPr>
      <w:r w:rsidRPr="002B68CD">
        <w:rPr>
          <w:rFonts w:ascii="Palatino Linotype" w:eastAsia="Palatino Linotype" w:hAnsi="Palatino Linotype" w:cs="Palatino Linotype"/>
          <w:i/>
          <w:iCs/>
          <w:sz w:val="22"/>
          <w:szCs w:val="22"/>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la parte Recurrente. </w:t>
      </w:r>
    </w:p>
    <w:p w:rsidR="00670D81" w:rsidRPr="002B68CD" w:rsidRDefault="0097559C">
      <w:pPr>
        <w:spacing w:before="240" w:after="240"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b/>
          <w:bCs/>
          <w:sz w:val="22"/>
          <w:szCs w:val="22"/>
        </w:rPr>
        <w:t xml:space="preserve">Tercero.  Notifíquese vía SAIMEX, </w:t>
      </w:r>
      <w:r w:rsidRPr="002B68CD">
        <w:rPr>
          <w:rFonts w:ascii="Palatino Linotype" w:eastAsia="Palatino Linotype" w:hAnsi="Palatino Linotype" w:cs="Palatino Linotype"/>
          <w:sz w:val="22"/>
          <w:szCs w:val="22"/>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670D81" w:rsidRPr="002B68CD" w:rsidRDefault="0097559C">
      <w:pPr>
        <w:spacing w:before="240" w:after="240" w:line="360" w:lineRule="auto"/>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b/>
          <w:bCs/>
          <w:sz w:val="22"/>
          <w:szCs w:val="22"/>
        </w:rPr>
        <w:t xml:space="preserve">Cuarto. </w:t>
      </w:r>
      <w:r w:rsidRPr="002B68CD">
        <w:rPr>
          <w:rFonts w:ascii="Palatino Linotype" w:eastAsia="Palatino Linotype" w:hAnsi="Palatino Linotype" w:cs="Palatino Linotype"/>
          <w:sz w:val="22"/>
          <w:szCs w:val="22"/>
        </w:rPr>
        <w:t xml:space="preserve">De conformidad con el artículo 198 de la Ley de Transparencia y Acceso a la Información Pública del Estado de México y Municipios, de considerarlo procedente, el </w:t>
      </w:r>
      <w:r w:rsidRPr="002B68CD">
        <w:rPr>
          <w:rFonts w:ascii="Palatino Linotype" w:eastAsia="Palatino Linotype" w:hAnsi="Palatino Linotype" w:cs="Palatino Linotype"/>
          <w:b/>
          <w:bCs/>
          <w:sz w:val="22"/>
          <w:szCs w:val="22"/>
        </w:rPr>
        <w:t>Sujeto Obligado</w:t>
      </w:r>
      <w:r w:rsidRPr="002B68CD">
        <w:rPr>
          <w:rFonts w:ascii="Palatino Linotype" w:eastAsia="Palatino Linotype" w:hAnsi="Palatino Linotype" w:cs="Palatino Linotype"/>
          <w:sz w:val="22"/>
          <w:szCs w:val="22"/>
        </w:rPr>
        <w:t xml:space="preserve"> de manera fundada y motivada, podrá solicitar una ampliación de plazo para el cumplimiento de la presente resolución.</w:t>
      </w:r>
    </w:p>
    <w:p w:rsidR="00670D81" w:rsidRPr="002B68CD" w:rsidRDefault="0097559C">
      <w:pPr>
        <w:spacing w:line="360" w:lineRule="auto"/>
        <w:jc w:val="both"/>
        <w:rPr>
          <w:rFonts w:ascii="Palatino Linotype" w:eastAsia="Palatino Linotype" w:hAnsi="Palatino Linotype" w:cs="Palatino Linotype"/>
          <w:sz w:val="22"/>
          <w:szCs w:val="22"/>
        </w:rPr>
      </w:pPr>
      <w:bookmarkStart w:id="4" w:name="_heading=h.tyjcwt" w:colFirst="0" w:colLast="0"/>
      <w:bookmarkEnd w:id="4"/>
      <w:r w:rsidRPr="002B68CD">
        <w:rPr>
          <w:rFonts w:ascii="Palatino Linotype" w:eastAsia="Palatino Linotype" w:hAnsi="Palatino Linotype" w:cs="Palatino Linotype"/>
          <w:b/>
          <w:bCs/>
          <w:sz w:val="22"/>
          <w:szCs w:val="22"/>
        </w:rPr>
        <w:t xml:space="preserve">Quinto. Notifíquese vía SAIMEX, </w:t>
      </w:r>
      <w:r w:rsidRPr="002B68CD">
        <w:rPr>
          <w:rFonts w:ascii="Palatino Linotype" w:eastAsia="Palatino Linotype" w:hAnsi="Palatino Linotype" w:cs="Palatino Linotype"/>
          <w:sz w:val="22"/>
          <w:szCs w:val="22"/>
        </w:rPr>
        <w:t>a</w:t>
      </w:r>
      <w:r w:rsidRPr="002B68CD">
        <w:rPr>
          <w:rFonts w:ascii="Palatino Linotype" w:eastAsia="Palatino Linotype" w:hAnsi="Palatino Linotype" w:cs="Palatino Linotype"/>
          <w:b/>
          <w:bCs/>
          <w:sz w:val="22"/>
          <w:szCs w:val="22"/>
        </w:rPr>
        <w:t xml:space="preserve"> la parte Recurrente</w:t>
      </w:r>
      <w:r w:rsidRPr="002B68CD">
        <w:rPr>
          <w:rFonts w:ascii="Palatino Linotype" w:eastAsia="Palatino Linotype" w:hAnsi="Palatino Linotype" w:cs="Palatino Linotype"/>
          <w:sz w:val="22"/>
          <w:szCs w:val="22"/>
        </w:rPr>
        <w:t xml:space="preserve"> la presente resolución, así como que podrá impugnar vía Juicio de Amparo en los términos de las leyes aplicables, de conformidad con lo establecido en el artículo 196 de la Ley de Transparencia y Acceso a la Información Pública del Estado de México y Municipios.</w:t>
      </w:r>
    </w:p>
    <w:p w:rsidR="00670D81" w:rsidRPr="002B68CD" w:rsidRDefault="00670D81">
      <w:pPr>
        <w:spacing w:line="360" w:lineRule="auto"/>
        <w:ind w:right="-93"/>
        <w:jc w:val="both"/>
        <w:rPr>
          <w:rFonts w:ascii="Palatino Linotype" w:eastAsia="Palatino Linotype" w:hAnsi="Palatino Linotype" w:cs="Palatino Linotype"/>
          <w:sz w:val="22"/>
          <w:szCs w:val="22"/>
        </w:rPr>
      </w:pPr>
      <w:bookmarkStart w:id="5" w:name="_heading=h.jl0dlasot4f" w:colFirst="0" w:colLast="0"/>
      <w:bookmarkEnd w:id="5"/>
    </w:p>
    <w:p w:rsidR="00670D81" w:rsidRPr="002B68CD" w:rsidRDefault="0097559C">
      <w:pPr>
        <w:spacing w:line="360" w:lineRule="auto"/>
        <w:ind w:right="-93"/>
        <w:jc w:val="both"/>
        <w:rPr>
          <w:rFonts w:ascii="Palatino Linotype" w:eastAsia="Palatino Linotype" w:hAnsi="Palatino Linotype" w:cs="Palatino Linotype"/>
          <w:sz w:val="22"/>
          <w:szCs w:val="22"/>
        </w:rPr>
      </w:pPr>
      <w:r w:rsidRPr="002B68CD">
        <w:rPr>
          <w:rFonts w:ascii="Palatino Linotype" w:eastAsia="Palatino Linotype" w:hAnsi="Palatino Linotype" w:cs="Palatino Linotype"/>
          <w:sz w:val="22"/>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p>
    <w:p w:rsidR="00670D81" w:rsidRPr="002B68CD" w:rsidRDefault="00670D81">
      <w:pPr>
        <w:spacing w:line="360" w:lineRule="auto"/>
        <w:ind w:right="-93"/>
        <w:jc w:val="both"/>
        <w:rPr>
          <w:rFonts w:ascii="Palatino Linotype" w:eastAsia="Palatino Linotype" w:hAnsi="Palatino Linotype" w:cs="Palatino Linotype"/>
          <w:sz w:val="22"/>
          <w:szCs w:val="22"/>
        </w:rPr>
      </w:pPr>
    </w:p>
    <w:p w:rsidR="00670D81" w:rsidRPr="002B68CD" w:rsidRDefault="00670D81">
      <w:pPr>
        <w:spacing w:line="360" w:lineRule="auto"/>
        <w:ind w:right="-93"/>
        <w:jc w:val="both"/>
        <w:rPr>
          <w:rFonts w:ascii="Palatino Linotype" w:eastAsia="Palatino Linotype" w:hAnsi="Palatino Linotype" w:cs="Palatino Linotype"/>
          <w:sz w:val="22"/>
          <w:szCs w:val="22"/>
        </w:rPr>
      </w:pPr>
    </w:p>
    <w:p w:rsidR="00670D81" w:rsidRPr="002B68CD" w:rsidRDefault="00670D81">
      <w:pPr>
        <w:spacing w:line="360" w:lineRule="auto"/>
        <w:ind w:right="-93"/>
        <w:jc w:val="both"/>
        <w:rPr>
          <w:rFonts w:ascii="Palatino Linotype" w:eastAsia="Palatino Linotype" w:hAnsi="Palatino Linotype" w:cs="Palatino Linotype"/>
          <w:sz w:val="22"/>
          <w:szCs w:val="22"/>
        </w:rPr>
      </w:pPr>
    </w:p>
    <w:p w:rsidR="00670D81" w:rsidRPr="002B68CD" w:rsidRDefault="00670D81">
      <w:pPr>
        <w:spacing w:line="360" w:lineRule="auto"/>
        <w:ind w:right="-93"/>
        <w:jc w:val="both"/>
        <w:rPr>
          <w:rFonts w:ascii="Palatino Linotype" w:eastAsia="Palatino Linotype" w:hAnsi="Palatino Linotype" w:cs="Palatino Linotype"/>
          <w:sz w:val="22"/>
          <w:szCs w:val="22"/>
        </w:rPr>
      </w:pPr>
    </w:p>
    <w:p w:rsidR="00670D81" w:rsidRPr="002B68CD" w:rsidRDefault="00670D81">
      <w:pPr>
        <w:spacing w:line="360" w:lineRule="auto"/>
        <w:ind w:right="-93"/>
        <w:jc w:val="both"/>
        <w:rPr>
          <w:rFonts w:ascii="Palatino Linotype" w:eastAsia="Palatino Linotype" w:hAnsi="Palatino Linotype" w:cs="Palatino Linotype"/>
          <w:sz w:val="22"/>
          <w:szCs w:val="22"/>
        </w:rPr>
      </w:pPr>
    </w:p>
    <w:p w:rsidR="00670D81" w:rsidRPr="002B68CD" w:rsidRDefault="00670D81">
      <w:pPr>
        <w:spacing w:line="360" w:lineRule="auto"/>
        <w:ind w:right="49"/>
        <w:jc w:val="both"/>
        <w:rPr>
          <w:rFonts w:ascii="Palatino Linotype" w:eastAsia="Palatino Linotype" w:hAnsi="Palatino Linotype" w:cs="Palatino Linotype"/>
          <w:sz w:val="22"/>
          <w:szCs w:val="22"/>
        </w:rPr>
      </w:pPr>
    </w:p>
    <w:p w:rsidR="002B68CD" w:rsidRPr="002B68CD" w:rsidRDefault="002B68CD">
      <w:pPr>
        <w:spacing w:line="360" w:lineRule="auto"/>
        <w:ind w:right="49"/>
        <w:jc w:val="both"/>
        <w:rPr>
          <w:rFonts w:ascii="Palatino Linotype" w:eastAsia="Palatino Linotype" w:hAnsi="Palatino Linotype" w:cs="Palatino Linotype"/>
          <w:sz w:val="22"/>
          <w:szCs w:val="22"/>
        </w:rPr>
      </w:pPr>
    </w:p>
    <w:p w:rsidR="002B68CD" w:rsidRPr="002B68CD" w:rsidRDefault="002B68CD">
      <w:pPr>
        <w:spacing w:line="360" w:lineRule="auto"/>
        <w:ind w:right="49"/>
        <w:jc w:val="both"/>
        <w:rPr>
          <w:rFonts w:ascii="Palatino Linotype" w:eastAsia="Palatino Linotype" w:hAnsi="Palatino Linotype" w:cs="Palatino Linotype"/>
          <w:sz w:val="22"/>
          <w:szCs w:val="22"/>
        </w:rPr>
      </w:pPr>
    </w:p>
    <w:p w:rsidR="002B68CD" w:rsidRPr="002B68CD" w:rsidRDefault="002B68CD">
      <w:pPr>
        <w:spacing w:line="360" w:lineRule="auto"/>
        <w:ind w:right="49"/>
        <w:jc w:val="both"/>
        <w:rPr>
          <w:rFonts w:ascii="Palatino Linotype" w:eastAsia="Palatino Linotype" w:hAnsi="Palatino Linotype" w:cs="Palatino Linotype"/>
          <w:sz w:val="22"/>
          <w:szCs w:val="22"/>
        </w:rPr>
      </w:pPr>
    </w:p>
    <w:p w:rsidR="002B68CD" w:rsidRPr="002B68CD" w:rsidRDefault="002B68CD">
      <w:pPr>
        <w:spacing w:line="360" w:lineRule="auto"/>
        <w:ind w:right="49"/>
        <w:jc w:val="both"/>
        <w:rPr>
          <w:rFonts w:ascii="Palatino Linotype" w:eastAsia="Palatino Linotype" w:hAnsi="Palatino Linotype" w:cs="Palatino Linotype"/>
          <w:sz w:val="22"/>
          <w:szCs w:val="22"/>
        </w:rPr>
      </w:pPr>
    </w:p>
    <w:p w:rsidR="002B68CD" w:rsidRPr="002B68CD" w:rsidRDefault="002B68CD">
      <w:pPr>
        <w:spacing w:line="360" w:lineRule="auto"/>
        <w:ind w:right="49"/>
        <w:jc w:val="both"/>
        <w:rPr>
          <w:rFonts w:ascii="Palatino Linotype" w:eastAsia="Palatino Linotype" w:hAnsi="Palatino Linotype" w:cs="Palatino Linotype"/>
          <w:sz w:val="22"/>
          <w:szCs w:val="22"/>
        </w:rPr>
      </w:pPr>
    </w:p>
    <w:p w:rsidR="002B68CD" w:rsidRPr="002B68CD" w:rsidRDefault="002B68CD">
      <w:pPr>
        <w:spacing w:line="360" w:lineRule="auto"/>
        <w:ind w:right="49"/>
        <w:jc w:val="both"/>
        <w:rPr>
          <w:rFonts w:ascii="Palatino Linotype" w:eastAsia="Palatino Linotype" w:hAnsi="Palatino Linotype" w:cs="Palatino Linotype"/>
          <w:sz w:val="22"/>
          <w:szCs w:val="22"/>
        </w:rPr>
      </w:pPr>
    </w:p>
    <w:p w:rsidR="002B68CD" w:rsidRPr="002B68CD" w:rsidRDefault="002B68CD">
      <w:pPr>
        <w:spacing w:line="360" w:lineRule="auto"/>
        <w:ind w:right="49"/>
        <w:jc w:val="both"/>
        <w:rPr>
          <w:rFonts w:ascii="Palatino Linotype" w:eastAsia="Palatino Linotype" w:hAnsi="Palatino Linotype" w:cs="Palatino Linotype"/>
          <w:sz w:val="22"/>
          <w:szCs w:val="22"/>
        </w:rPr>
      </w:pPr>
    </w:p>
    <w:p w:rsidR="002B68CD" w:rsidRPr="002B68CD" w:rsidRDefault="002B68CD">
      <w:pPr>
        <w:spacing w:line="360" w:lineRule="auto"/>
        <w:ind w:right="49"/>
        <w:jc w:val="both"/>
        <w:rPr>
          <w:rFonts w:ascii="Palatino Linotype" w:eastAsia="Palatino Linotype" w:hAnsi="Palatino Linotype" w:cs="Palatino Linotype"/>
          <w:sz w:val="22"/>
          <w:szCs w:val="22"/>
        </w:rPr>
      </w:pPr>
    </w:p>
    <w:p w:rsidR="002B68CD" w:rsidRPr="002B68CD" w:rsidRDefault="002B68CD">
      <w:pPr>
        <w:spacing w:line="360" w:lineRule="auto"/>
        <w:ind w:right="49"/>
        <w:jc w:val="both"/>
        <w:rPr>
          <w:rFonts w:ascii="Palatino Linotype" w:eastAsia="Palatino Linotype" w:hAnsi="Palatino Linotype" w:cs="Palatino Linotype"/>
          <w:sz w:val="22"/>
          <w:szCs w:val="22"/>
        </w:rPr>
      </w:pPr>
    </w:p>
    <w:p w:rsidR="002B68CD" w:rsidRPr="002B68CD" w:rsidRDefault="002B68CD">
      <w:pPr>
        <w:spacing w:line="360" w:lineRule="auto"/>
        <w:ind w:right="49"/>
        <w:jc w:val="both"/>
        <w:rPr>
          <w:rFonts w:ascii="Palatino Linotype" w:eastAsia="Palatino Linotype" w:hAnsi="Palatino Linotype" w:cs="Palatino Linotype"/>
          <w:sz w:val="22"/>
          <w:szCs w:val="22"/>
        </w:rPr>
      </w:pPr>
    </w:p>
    <w:p w:rsidR="002B68CD" w:rsidRPr="002B68CD" w:rsidRDefault="002B68CD">
      <w:pPr>
        <w:spacing w:line="360" w:lineRule="auto"/>
        <w:ind w:right="49"/>
        <w:jc w:val="both"/>
        <w:rPr>
          <w:rFonts w:ascii="Palatino Linotype" w:eastAsia="Palatino Linotype" w:hAnsi="Palatino Linotype" w:cs="Palatino Linotype"/>
          <w:sz w:val="22"/>
          <w:szCs w:val="22"/>
        </w:rPr>
      </w:pPr>
    </w:p>
    <w:p w:rsidR="002B68CD" w:rsidRPr="002B68CD" w:rsidRDefault="002B68CD">
      <w:pPr>
        <w:spacing w:line="360" w:lineRule="auto"/>
        <w:ind w:right="49"/>
        <w:jc w:val="both"/>
        <w:rPr>
          <w:rFonts w:ascii="Palatino Linotype" w:eastAsia="Palatino Linotype" w:hAnsi="Palatino Linotype" w:cs="Palatino Linotype"/>
          <w:sz w:val="22"/>
          <w:szCs w:val="22"/>
        </w:rPr>
      </w:pPr>
    </w:p>
    <w:sectPr w:rsidR="002B68CD" w:rsidRPr="002B68CD">
      <w:headerReference w:type="default" r:id="rId13"/>
      <w:footerReference w:type="default" r:id="rId14"/>
      <w:headerReference w:type="first" r:id="rId15"/>
      <w:footerReference w:type="first" r:id="rId16"/>
      <w:pgSz w:w="12240" w:h="15840"/>
      <w:pgMar w:top="2041" w:right="1474"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59C" w:rsidRDefault="0097559C">
      <w:r>
        <w:separator/>
      </w:r>
    </w:p>
  </w:endnote>
  <w:endnote w:type="continuationSeparator" w:id="0">
    <w:p w:rsidR="0097559C" w:rsidRDefault="00975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A67F8312-B96C-4163-9FFB-5F78298B7AA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621AF5D6-6357-49B9-A48F-23CC831197F5}"/>
    <w:embedBold r:id="rId3" w:fontKey="{1B627331-BA63-4257-B00A-991C2394829E}"/>
    <w:embedItalic r:id="rId4" w:fontKey="{F37CD1D2-ACDB-4A94-ABEA-AC976F7FE001}"/>
  </w:font>
  <w:font w:name="Palatino Linotype">
    <w:panose1 w:val="02040502050505030304"/>
    <w:charset w:val="00"/>
    <w:family w:val="roman"/>
    <w:pitch w:val="variable"/>
    <w:sig w:usb0="E0000287" w:usb1="40000013" w:usb2="00000000" w:usb3="00000000" w:csb0="0000019F" w:csb1="00000000"/>
    <w:embedRegular r:id="rId5" w:fontKey="{0F617471-CEF0-4734-9CDE-0C6B75ED3C92}"/>
    <w:embedBold r:id="rId6" w:fontKey="{92520477-A471-441A-A3F0-AA89B0FD4A34}"/>
    <w:embedItalic r:id="rId7" w:fontKey="{F742C781-3F64-4566-8007-A9FA892C96F6}"/>
    <w:embedBoldItalic r:id="rId8" w:fontKey="{407593E6-2366-4CCD-AF2E-DBD07EC803BB}"/>
  </w:font>
  <w:font w:name="Georgia">
    <w:panose1 w:val="02040502050405020303"/>
    <w:charset w:val="00"/>
    <w:family w:val="roman"/>
    <w:pitch w:val="variable"/>
    <w:sig w:usb0="00000287" w:usb1="00000000" w:usb2="00000000" w:usb3="00000000" w:csb0="0000009F" w:csb1="00000000"/>
    <w:embedItalic r:id="rId9" w:fontKey="{518E45CF-F48D-4642-AD1C-4FB333ECAAC5}"/>
  </w:font>
  <w:font w:name="Calibri Light">
    <w:panose1 w:val="020F0302020204030204"/>
    <w:charset w:val="00"/>
    <w:family w:val="swiss"/>
    <w:pitch w:val="variable"/>
    <w:sig w:usb0="E4002EFF" w:usb1="C200247B" w:usb2="00000009" w:usb3="00000000" w:csb0="000001FF" w:csb1="00000000"/>
    <w:embedRegular r:id="rId10" w:fontKey="{972B5CDC-3758-4D48-96E1-4C5F6552EDD7}"/>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D81" w:rsidRDefault="0097559C">
    <w:pPr>
      <w:pBdr>
        <w:top w:val="nil"/>
        <w:left w:val="nil"/>
        <w:bottom w:val="nil"/>
        <w:right w:val="nil"/>
        <w:between w:val="nil"/>
      </w:pBdr>
      <w:tabs>
        <w:tab w:val="center" w:pos="4419"/>
        <w:tab w:val="right" w:pos="8838"/>
      </w:tabs>
      <w:jc w:val="right"/>
      <w:rPr>
        <w:color w:val="000000"/>
      </w:rPr>
    </w:pPr>
    <w:r>
      <w:rPr>
        <w:color w:val="000000"/>
      </w:rPr>
      <w:t xml:space="preserve">Página </w:t>
    </w:r>
    <w:r>
      <w:rPr>
        <w:b/>
        <w:bCs/>
        <w:color w:val="000000"/>
      </w:rPr>
      <w:fldChar w:fldCharType="begin"/>
    </w:r>
    <w:r>
      <w:rPr>
        <w:b/>
        <w:bCs/>
        <w:color w:val="000000"/>
      </w:rPr>
      <w:instrText>PAGE</w:instrText>
    </w:r>
    <w:r>
      <w:rPr>
        <w:b/>
        <w:bCs/>
        <w:color w:val="000000"/>
      </w:rPr>
      <w:fldChar w:fldCharType="separate"/>
    </w:r>
    <w:r w:rsidR="00BB2158">
      <w:rPr>
        <w:b/>
        <w:bCs/>
        <w:noProof/>
        <w:color w:val="000000"/>
      </w:rPr>
      <w:t>2</w:t>
    </w:r>
    <w:r>
      <w:rPr>
        <w:b/>
        <w:bCs/>
        <w:color w:val="000000"/>
      </w:rPr>
      <w:fldChar w:fldCharType="end"/>
    </w:r>
    <w:r>
      <w:rPr>
        <w:color w:val="000000"/>
      </w:rPr>
      <w:t xml:space="preserve"> de </w:t>
    </w:r>
    <w:r>
      <w:rPr>
        <w:b/>
        <w:bCs/>
        <w:color w:val="000000"/>
      </w:rPr>
      <w:fldChar w:fldCharType="begin"/>
    </w:r>
    <w:r>
      <w:rPr>
        <w:b/>
        <w:bCs/>
        <w:color w:val="000000"/>
      </w:rPr>
      <w:instrText>NUMPAGES</w:instrText>
    </w:r>
    <w:r>
      <w:rPr>
        <w:b/>
        <w:bCs/>
        <w:color w:val="000000"/>
      </w:rPr>
      <w:fldChar w:fldCharType="separate"/>
    </w:r>
    <w:r w:rsidR="00BB2158">
      <w:rPr>
        <w:b/>
        <w:bCs/>
        <w:noProof/>
        <w:color w:val="000000"/>
      </w:rPr>
      <w:t>39</w:t>
    </w:r>
    <w:r>
      <w:rPr>
        <w:b/>
        <w:bCs/>
        <w:color w:val="000000"/>
      </w:rPr>
      <w:fldChar w:fldCharType="end"/>
    </w:r>
  </w:p>
  <w:p w:rsidR="00670D81" w:rsidRDefault="00670D81">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D81" w:rsidRDefault="0097559C">
    <w:pPr>
      <w:pBdr>
        <w:top w:val="nil"/>
        <w:left w:val="nil"/>
        <w:bottom w:val="nil"/>
        <w:right w:val="nil"/>
        <w:between w:val="nil"/>
      </w:pBdr>
      <w:tabs>
        <w:tab w:val="center" w:pos="4419"/>
        <w:tab w:val="right" w:pos="8838"/>
      </w:tabs>
      <w:jc w:val="right"/>
      <w:rPr>
        <w:color w:val="000000"/>
      </w:rPr>
    </w:pPr>
    <w:r>
      <w:rPr>
        <w:color w:val="000000"/>
      </w:rPr>
      <w:t xml:space="preserve">Página </w:t>
    </w:r>
    <w:r>
      <w:rPr>
        <w:b/>
        <w:bCs/>
        <w:color w:val="000000"/>
      </w:rPr>
      <w:fldChar w:fldCharType="begin"/>
    </w:r>
    <w:r>
      <w:rPr>
        <w:b/>
        <w:bCs/>
        <w:color w:val="000000"/>
      </w:rPr>
      <w:instrText>PAGE</w:instrText>
    </w:r>
    <w:r>
      <w:rPr>
        <w:b/>
        <w:bCs/>
        <w:color w:val="000000"/>
      </w:rPr>
      <w:fldChar w:fldCharType="separate"/>
    </w:r>
    <w:r w:rsidR="00BB2158">
      <w:rPr>
        <w:b/>
        <w:bCs/>
        <w:noProof/>
        <w:color w:val="000000"/>
      </w:rPr>
      <w:t>1</w:t>
    </w:r>
    <w:r>
      <w:rPr>
        <w:b/>
        <w:bCs/>
        <w:color w:val="000000"/>
      </w:rPr>
      <w:fldChar w:fldCharType="end"/>
    </w:r>
    <w:r>
      <w:rPr>
        <w:color w:val="000000"/>
      </w:rPr>
      <w:t xml:space="preserve"> de </w:t>
    </w:r>
    <w:r>
      <w:rPr>
        <w:b/>
        <w:bCs/>
        <w:color w:val="000000"/>
      </w:rPr>
      <w:fldChar w:fldCharType="begin"/>
    </w:r>
    <w:r>
      <w:rPr>
        <w:b/>
        <w:bCs/>
        <w:color w:val="000000"/>
      </w:rPr>
      <w:instrText>NUMPAGES</w:instrText>
    </w:r>
    <w:r>
      <w:rPr>
        <w:b/>
        <w:bCs/>
        <w:color w:val="000000"/>
      </w:rPr>
      <w:fldChar w:fldCharType="separate"/>
    </w:r>
    <w:r w:rsidR="00BB2158">
      <w:rPr>
        <w:b/>
        <w:bCs/>
        <w:noProof/>
        <w:color w:val="000000"/>
      </w:rPr>
      <w:t>39</w:t>
    </w:r>
    <w:r>
      <w:rPr>
        <w:b/>
        <w:bCs/>
        <w:color w:val="000000"/>
      </w:rPr>
      <w:fldChar w:fldCharType="end"/>
    </w:r>
  </w:p>
  <w:p w:rsidR="00670D81" w:rsidRDefault="00670D8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59C" w:rsidRDefault="0097559C">
      <w:r>
        <w:separator/>
      </w:r>
    </w:p>
  </w:footnote>
  <w:footnote w:type="continuationSeparator" w:id="0">
    <w:p w:rsidR="0097559C" w:rsidRDefault="0097559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D81" w:rsidRDefault="0097559C">
    <w:pPr>
      <w:widowControl w:val="0"/>
      <w:pBdr>
        <w:top w:val="nil"/>
        <w:left w:val="nil"/>
        <w:bottom w:val="nil"/>
        <w:right w:val="nil"/>
        <w:between w:val="nil"/>
      </w:pBdr>
      <w:rPr>
        <w:color w:val="000000"/>
      </w:rPr>
    </w:pPr>
    <w:r>
      <w:rPr>
        <w:noProof/>
      </w:rPr>
      <w:drawing>
        <wp:anchor distT="0" distB="0" distL="0" distR="0" simplePos="0" relativeHeight="251658240" behindDoc="1" locked="0" layoutInCell="1" hidden="0" allowOverlap="1">
          <wp:simplePos x="0" y="0"/>
          <wp:positionH relativeFrom="column">
            <wp:posOffset>0</wp:posOffset>
          </wp:positionH>
          <wp:positionV relativeFrom="paragraph">
            <wp:posOffset>-401952</wp:posOffset>
          </wp:positionV>
          <wp:extent cx="7809876" cy="10165823"/>
          <wp:effectExtent l="0" t="0" r="0" b="0"/>
          <wp:wrapNone/>
          <wp:docPr id="4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tbl>
    <w:tblPr>
      <w:tblStyle w:val="af8"/>
      <w:tblW w:w="5603" w:type="dxa"/>
      <w:tblInd w:w="3611" w:type="dxa"/>
      <w:tblLayout w:type="fixed"/>
      <w:tblLook w:val="0400" w:firstRow="0" w:lastRow="0" w:firstColumn="0" w:lastColumn="0" w:noHBand="0" w:noVBand="1"/>
    </w:tblPr>
    <w:tblGrid>
      <w:gridCol w:w="2551"/>
      <w:gridCol w:w="3052"/>
    </w:tblGrid>
    <w:tr w:rsidR="00670D81">
      <w:tc>
        <w:tcPr>
          <w:tcW w:w="2551" w:type="dxa"/>
          <w:vAlign w:val="center"/>
        </w:tcPr>
        <w:p w:rsidR="00670D81" w:rsidRDefault="0097559C">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Recurso de Revisión:</w:t>
          </w:r>
        </w:p>
        <w:p w:rsidR="00670D81" w:rsidRDefault="00670D81">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2"/>
              <w:szCs w:val="22"/>
            </w:rPr>
          </w:pPr>
        </w:p>
      </w:tc>
      <w:tc>
        <w:tcPr>
          <w:tcW w:w="3052" w:type="dxa"/>
          <w:vAlign w:val="center"/>
        </w:tcPr>
        <w:p w:rsidR="00670D81" w:rsidRDefault="0097559C">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sz w:val="22"/>
              <w:szCs w:val="22"/>
            </w:rPr>
            <w:t>10389</w:t>
          </w:r>
          <w:r>
            <w:rPr>
              <w:rFonts w:ascii="Palatino Linotype" w:eastAsia="Palatino Linotype" w:hAnsi="Palatino Linotype" w:cs="Palatino Linotype"/>
              <w:b/>
              <w:bCs/>
              <w:color w:val="000000"/>
              <w:sz w:val="22"/>
              <w:szCs w:val="22"/>
            </w:rPr>
            <w:t xml:space="preserve">/INFOEM/IP/RR/2025  </w:t>
          </w:r>
        </w:p>
      </w:tc>
    </w:tr>
    <w:tr w:rsidR="00670D81">
      <w:trPr>
        <w:trHeight w:val="217"/>
      </w:trPr>
      <w:tc>
        <w:tcPr>
          <w:tcW w:w="2551" w:type="dxa"/>
          <w:vAlign w:val="center"/>
        </w:tcPr>
        <w:p w:rsidR="00670D81" w:rsidRDefault="0097559C">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Sujeto obligado:</w:t>
          </w:r>
        </w:p>
      </w:tc>
      <w:tc>
        <w:tcPr>
          <w:tcW w:w="3052" w:type="dxa"/>
          <w:vAlign w:val="center"/>
        </w:tcPr>
        <w:p w:rsidR="00670D81" w:rsidRDefault="0097559C">
          <w:pPr>
            <w:pBdr>
              <w:top w:val="nil"/>
              <w:left w:val="nil"/>
              <w:bottom w:val="nil"/>
              <w:right w:val="nil"/>
              <w:between w:val="nil"/>
            </w:pBdr>
            <w:tabs>
              <w:tab w:val="center" w:pos="4419"/>
              <w:tab w:val="right" w:pos="8838"/>
            </w:tabs>
            <w:ind w:right="168"/>
            <w:jc w:val="both"/>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Ayuntamiento de la Paz</w:t>
          </w:r>
        </w:p>
      </w:tc>
    </w:tr>
    <w:tr w:rsidR="00670D81">
      <w:tc>
        <w:tcPr>
          <w:tcW w:w="2551" w:type="dxa"/>
          <w:vAlign w:val="center"/>
        </w:tcPr>
        <w:p w:rsidR="00670D81" w:rsidRDefault="0097559C">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Comisionada ponente:</w:t>
          </w:r>
        </w:p>
      </w:tc>
      <w:tc>
        <w:tcPr>
          <w:tcW w:w="3052" w:type="dxa"/>
          <w:vAlign w:val="center"/>
        </w:tcPr>
        <w:p w:rsidR="00670D81" w:rsidRDefault="0097559C">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Guadalupe Ramírez Peña</w:t>
          </w:r>
        </w:p>
      </w:tc>
    </w:tr>
  </w:tbl>
  <w:p w:rsidR="00670D81" w:rsidRDefault="00670D81">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D81" w:rsidRDefault="0097559C">
    <w:pPr>
      <w:widowControl w:val="0"/>
      <w:pBdr>
        <w:top w:val="nil"/>
        <w:left w:val="nil"/>
        <w:bottom w:val="nil"/>
        <w:right w:val="nil"/>
        <w:between w:val="nil"/>
      </w:pBdr>
      <w:rPr>
        <w:rFonts w:ascii="Palatino Linotype" w:eastAsia="Palatino Linotype" w:hAnsi="Palatino Linotype" w:cs="Palatino Linotype"/>
        <w:sz w:val="22"/>
        <w:szCs w:val="22"/>
      </w:rPr>
    </w:pPr>
    <w:r>
      <w:rPr>
        <w:noProof/>
      </w:rPr>
      <w:drawing>
        <wp:anchor distT="0" distB="0" distL="0" distR="0" simplePos="0" relativeHeight="251659264" behindDoc="1" locked="0" layoutInCell="1" hidden="0" allowOverlap="1">
          <wp:simplePos x="0" y="0"/>
          <wp:positionH relativeFrom="column">
            <wp:posOffset>-929003</wp:posOffset>
          </wp:positionH>
          <wp:positionV relativeFrom="paragraph">
            <wp:posOffset>-644523</wp:posOffset>
          </wp:positionV>
          <wp:extent cx="7809865" cy="10165715"/>
          <wp:effectExtent l="0" t="0" r="0" b="0"/>
          <wp:wrapNone/>
          <wp:docPr id="4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f9"/>
      <w:tblW w:w="5461" w:type="dxa"/>
      <w:tblInd w:w="3611" w:type="dxa"/>
      <w:tblLayout w:type="fixed"/>
      <w:tblLook w:val="0400" w:firstRow="0" w:lastRow="0" w:firstColumn="0" w:lastColumn="0" w:noHBand="0" w:noVBand="1"/>
    </w:tblPr>
    <w:tblGrid>
      <w:gridCol w:w="2343"/>
      <w:gridCol w:w="3118"/>
    </w:tblGrid>
    <w:tr w:rsidR="00670D81">
      <w:tc>
        <w:tcPr>
          <w:tcW w:w="2343" w:type="dxa"/>
          <w:vAlign w:val="center"/>
        </w:tcPr>
        <w:p w:rsidR="00670D81" w:rsidRDefault="0097559C">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0"/>
              <w:szCs w:val="20"/>
            </w:rPr>
          </w:pPr>
          <w:r>
            <w:rPr>
              <w:rFonts w:ascii="Palatino Linotype" w:eastAsia="Palatino Linotype" w:hAnsi="Palatino Linotype" w:cs="Palatino Linotype"/>
              <w:b/>
              <w:bCs/>
              <w:color w:val="000000"/>
              <w:sz w:val="20"/>
              <w:szCs w:val="20"/>
            </w:rPr>
            <w:t>Recurso de Revisión:</w:t>
          </w:r>
        </w:p>
        <w:p w:rsidR="00670D81" w:rsidRDefault="00670D81">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0"/>
              <w:szCs w:val="20"/>
            </w:rPr>
          </w:pPr>
        </w:p>
      </w:tc>
      <w:tc>
        <w:tcPr>
          <w:tcW w:w="3118" w:type="dxa"/>
          <w:vAlign w:val="center"/>
        </w:tcPr>
        <w:p w:rsidR="00670D81" w:rsidRDefault="0097559C">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0"/>
              <w:szCs w:val="20"/>
            </w:rPr>
          </w:pPr>
          <w:r>
            <w:rPr>
              <w:rFonts w:ascii="Palatino Linotype" w:eastAsia="Palatino Linotype" w:hAnsi="Palatino Linotype" w:cs="Palatino Linotype"/>
              <w:b/>
              <w:bCs/>
              <w:sz w:val="22"/>
              <w:szCs w:val="22"/>
            </w:rPr>
            <w:t>10389</w:t>
          </w:r>
          <w:r>
            <w:rPr>
              <w:rFonts w:ascii="Palatino Linotype" w:eastAsia="Palatino Linotype" w:hAnsi="Palatino Linotype" w:cs="Palatino Linotype"/>
              <w:b/>
              <w:bCs/>
              <w:color w:val="000000"/>
              <w:sz w:val="22"/>
              <w:szCs w:val="22"/>
            </w:rPr>
            <w:t>/INFOEM/IP/RR/2025</w:t>
          </w:r>
        </w:p>
      </w:tc>
    </w:tr>
    <w:tr w:rsidR="00670D81">
      <w:tc>
        <w:tcPr>
          <w:tcW w:w="2343" w:type="dxa"/>
          <w:vAlign w:val="center"/>
        </w:tcPr>
        <w:p w:rsidR="00670D81" w:rsidRDefault="0097559C">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0"/>
              <w:szCs w:val="20"/>
            </w:rPr>
          </w:pPr>
          <w:r>
            <w:rPr>
              <w:rFonts w:ascii="Palatino Linotype" w:eastAsia="Palatino Linotype" w:hAnsi="Palatino Linotype" w:cs="Palatino Linotype"/>
              <w:b/>
              <w:bCs/>
              <w:color w:val="000000"/>
              <w:sz w:val="20"/>
              <w:szCs w:val="20"/>
            </w:rPr>
            <w:t>Recurrente:</w:t>
          </w:r>
        </w:p>
      </w:tc>
      <w:tc>
        <w:tcPr>
          <w:tcW w:w="3118" w:type="dxa"/>
          <w:vAlign w:val="center"/>
        </w:tcPr>
        <w:p w:rsidR="00670D81" w:rsidRDefault="00670D81">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0"/>
              <w:szCs w:val="20"/>
            </w:rPr>
          </w:pPr>
        </w:p>
      </w:tc>
    </w:tr>
    <w:tr w:rsidR="00670D81">
      <w:trPr>
        <w:trHeight w:val="152"/>
      </w:trPr>
      <w:tc>
        <w:tcPr>
          <w:tcW w:w="2343" w:type="dxa"/>
          <w:vAlign w:val="center"/>
        </w:tcPr>
        <w:p w:rsidR="00670D81" w:rsidRDefault="0097559C">
          <w:pPr>
            <w:tabs>
              <w:tab w:val="center" w:pos="4419"/>
              <w:tab w:val="right" w:pos="8838"/>
            </w:tabs>
            <w:rPr>
              <w:rFonts w:ascii="Palatino Linotype" w:eastAsia="Palatino Linotype" w:hAnsi="Palatino Linotype" w:cs="Palatino Linotype"/>
              <w:b/>
              <w:bCs/>
              <w:color w:val="000000"/>
              <w:sz w:val="20"/>
              <w:szCs w:val="20"/>
            </w:rPr>
          </w:pPr>
          <w:r>
            <w:rPr>
              <w:rFonts w:ascii="Palatino Linotype" w:eastAsia="Palatino Linotype" w:hAnsi="Palatino Linotype" w:cs="Palatino Linotype"/>
              <w:b/>
              <w:bCs/>
              <w:color w:val="000000"/>
              <w:sz w:val="20"/>
              <w:szCs w:val="20"/>
            </w:rPr>
            <w:t>Sujeto obligado:</w:t>
          </w:r>
        </w:p>
        <w:p w:rsidR="00670D81" w:rsidRDefault="00670D81">
          <w:pPr>
            <w:tabs>
              <w:tab w:val="center" w:pos="4419"/>
              <w:tab w:val="right" w:pos="8838"/>
            </w:tabs>
            <w:rPr>
              <w:rFonts w:ascii="Palatino Linotype" w:eastAsia="Palatino Linotype" w:hAnsi="Palatino Linotype" w:cs="Palatino Linotype"/>
              <w:b/>
              <w:bCs/>
              <w:color w:val="000000"/>
              <w:sz w:val="20"/>
              <w:szCs w:val="20"/>
            </w:rPr>
          </w:pPr>
        </w:p>
      </w:tc>
      <w:tc>
        <w:tcPr>
          <w:tcW w:w="3118" w:type="dxa"/>
          <w:vAlign w:val="center"/>
        </w:tcPr>
        <w:p w:rsidR="00670D81" w:rsidRDefault="0097559C">
          <w:pPr>
            <w:pBdr>
              <w:top w:val="nil"/>
              <w:left w:val="nil"/>
              <w:bottom w:val="nil"/>
              <w:right w:val="nil"/>
              <w:between w:val="nil"/>
            </w:pBdr>
            <w:tabs>
              <w:tab w:val="center" w:pos="4419"/>
              <w:tab w:val="right" w:pos="8838"/>
            </w:tabs>
            <w:jc w:val="both"/>
            <w:rPr>
              <w:rFonts w:ascii="Palatino Linotype" w:eastAsia="Palatino Linotype" w:hAnsi="Palatino Linotype" w:cs="Palatino Linotype"/>
              <w:b/>
              <w:bCs/>
              <w:color w:val="000000"/>
              <w:sz w:val="20"/>
              <w:szCs w:val="20"/>
            </w:rPr>
          </w:pPr>
          <w:r>
            <w:rPr>
              <w:rFonts w:ascii="Palatino Linotype" w:eastAsia="Palatino Linotype" w:hAnsi="Palatino Linotype" w:cs="Palatino Linotype"/>
              <w:b/>
              <w:bCs/>
              <w:color w:val="000000"/>
              <w:sz w:val="22"/>
              <w:szCs w:val="22"/>
            </w:rPr>
            <w:t>Ayuntamiento de la Paz</w:t>
          </w:r>
        </w:p>
      </w:tc>
    </w:tr>
    <w:tr w:rsidR="00670D81">
      <w:tc>
        <w:tcPr>
          <w:tcW w:w="2343" w:type="dxa"/>
          <w:vAlign w:val="center"/>
        </w:tcPr>
        <w:p w:rsidR="00670D81" w:rsidRDefault="0097559C">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0"/>
              <w:szCs w:val="20"/>
            </w:rPr>
          </w:pPr>
          <w:r>
            <w:rPr>
              <w:rFonts w:ascii="Palatino Linotype" w:eastAsia="Palatino Linotype" w:hAnsi="Palatino Linotype" w:cs="Palatino Linotype"/>
              <w:b/>
              <w:bCs/>
              <w:color w:val="000000"/>
              <w:sz w:val="20"/>
              <w:szCs w:val="20"/>
            </w:rPr>
            <w:t>Comisionada ponente:</w:t>
          </w:r>
        </w:p>
      </w:tc>
      <w:tc>
        <w:tcPr>
          <w:tcW w:w="3118" w:type="dxa"/>
          <w:vAlign w:val="center"/>
        </w:tcPr>
        <w:p w:rsidR="00670D81" w:rsidRDefault="0097559C">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0"/>
              <w:szCs w:val="20"/>
            </w:rPr>
          </w:pPr>
          <w:r>
            <w:rPr>
              <w:rFonts w:ascii="Palatino Linotype" w:eastAsia="Palatino Linotype" w:hAnsi="Palatino Linotype" w:cs="Palatino Linotype"/>
              <w:b/>
              <w:bCs/>
              <w:color w:val="000000"/>
              <w:sz w:val="20"/>
              <w:szCs w:val="20"/>
            </w:rPr>
            <w:t>Guadalupe Ramírez Peña</w:t>
          </w:r>
        </w:p>
      </w:tc>
    </w:tr>
  </w:tbl>
  <w:p w:rsidR="00670D81" w:rsidRDefault="0097559C">
    <w:pPr>
      <w:rPr>
        <w:color w:val="000000"/>
        <w:sz w:val="22"/>
        <w:szCs w:val="22"/>
      </w:rPr>
    </w:pPr>
    <w:r>
      <w:rPr>
        <w:color w:val="000000"/>
        <w:sz w:val="22"/>
        <w:szCs w:val="22"/>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0702DD"/>
    <w:multiLevelType w:val="multilevel"/>
    <w:tmpl w:val="0DF27E36"/>
    <w:lvl w:ilvl="0">
      <w:start w:val="1"/>
      <w:numFmt w:val="bullet"/>
      <w:pStyle w:val="Listaconvietas3"/>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A30281F"/>
    <w:multiLevelType w:val="multilevel"/>
    <w:tmpl w:val="C18EE9C4"/>
    <w:lvl w:ilvl="0">
      <w:start w:val="1"/>
      <w:numFmt w:val="lowerLetter"/>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B8832D3"/>
    <w:multiLevelType w:val="multilevel"/>
    <w:tmpl w:val="EE526F5C"/>
    <w:lvl w:ilvl="0">
      <w:start w:val="1"/>
      <w:numFmt w:val="lowerLetter"/>
      <w:lvlText w:val="%1)"/>
      <w:lvlJc w:val="left"/>
      <w:pPr>
        <w:ind w:left="927" w:hanging="360"/>
      </w:pPr>
      <w:rPr>
        <w:b/>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3B526F40"/>
    <w:multiLevelType w:val="multilevel"/>
    <w:tmpl w:val="5E00A34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56F08E8"/>
    <w:multiLevelType w:val="multilevel"/>
    <w:tmpl w:val="ACA2759A"/>
    <w:lvl w:ilvl="0">
      <w:start w:val="1"/>
      <w:numFmt w:val="bullet"/>
      <w:pStyle w:val="Listaconvieta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42D0EA8"/>
    <w:multiLevelType w:val="multilevel"/>
    <w:tmpl w:val="035A13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B68764D"/>
    <w:multiLevelType w:val="multilevel"/>
    <w:tmpl w:val="4F865996"/>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94E6F16"/>
    <w:multiLevelType w:val="multilevel"/>
    <w:tmpl w:val="E30CE07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0"/>
  </w:num>
  <w:num w:numId="2">
    <w:abstractNumId w:val="1"/>
  </w:num>
  <w:num w:numId="3">
    <w:abstractNumId w:val="4"/>
  </w:num>
  <w:num w:numId="4">
    <w:abstractNumId w:val="7"/>
  </w:num>
  <w:num w:numId="5">
    <w:abstractNumId w:val="3"/>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D81"/>
    <w:rsid w:val="002B68CD"/>
    <w:rsid w:val="00670D81"/>
    <w:rsid w:val="0097559C"/>
    <w:rsid w:val="00BB21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B5594E-0E95-4F92-B665-F27244EB9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CD74AE"/>
    <w:pPr>
      <w:tabs>
        <w:tab w:val="center" w:pos="4419"/>
        <w:tab w:val="right" w:pos="8838"/>
      </w:tabs>
    </w:pPr>
  </w:style>
  <w:style w:type="character" w:customStyle="1" w:styleId="EncabezadoCar">
    <w:name w:val="Encabezado Car"/>
    <w:basedOn w:val="Fuentedeprrafopredeter"/>
    <w:link w:val="Encabezado"/>
    <w:uiPriority w:val="99"/>
    <w:rsid w:val="00CD74AE"/>
  </w:style>
  <w:style w:type="paragraph" w:styleId="Piedepgina">
    <w:name w:val="footer"/>
    <w:basedOn w:val="Normal"/>
    <w:link w:val="PiedepginaCar"/>
    <w:uiPriority w:val="99"/>
    <w:unhideWhenUsed/>
    <w:rsid w:val="00CD74AE"/>
    <w:pPr>
      <w:tabs>
        <w:tab w:val="center" w:pos="4419"/>
        <w:tab w:val="right" w:pos="8838"/>
      </w:tabs>
    </w:pPr>
  </w:style>
  <w:style w:type="character" w:customStyle="1" w:styleId="PiedepginaCar">
    <w:name w:val="Pie de página Car"/>
    <w:basedOn w:val="Fuentedeprrafopredeter"/>
    <w:link w:val="Piedepgina"/>
    <w:uiPriority w:val="99"/>
    <w:rsid w:val="00CD74AE"/>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CD74AE"/>
    <w:pPr>
      <w:ind w:left="720"/>
      <w:contextualSpacing/>
    </w:pPr>
  </w:style>
  <w:style w:type="character" w:styleId="Hipervnculo">
    <w:name w:val="Hyperlink"/>
    <w:aliases w:val="Hipervínculo1,Hipervínculo11,Hipervínculo12,Hipervínculo13,Hipervínculo14,Hipervínculo15"/>
    <w:basedOn w:val="Fuentedeprrafopredeter"/>
    <w:uiPriority w:val="99"/>
    <w:unhideWhenUsed/>
    <w:qFormat/>
    <w:rsid w:val="00CD74AE"/>
    <w:rPr>
      <w:color w:val="0563C1" w:themeColor="hyperlink"/>
      <w:u w:val="single"/>
    </w:rPr>
  </w:style>
  <w:style w:type="table" w:styleId="Tablaconcuadrcula">
    <w:name w:val="Table Grid"/>
    <w:basedOn w:val="Tablanormal"/>
    <w:uiPriority w:val="39"/>
    <w:rsid w:val="009C1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D2AA5"/>
    <w:pPr>
      <w:spacing w:before="100" w:beforeAutospacing="1" w:after="100" w:afterAutospacing="1"/>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F3FE6"/>
  </w:style>
  <w:style w:type="table" w:customStyle="1" w:styleId="6">
    <w:name w:val="6"/>
    <w:basedOn w:val="TableNormal10"/>
    <w:tblPr>
      <w:tblStyleRowBandSize w:val="1"/>
      <w:tblStyleColBandSize w:val="1"/>
      <w:tblCellMar>
        <w:top w:w="15" w:type="dxa"/>
        <w:left w:w="15" w:type="dxa"/>
        <w:bottom w:w="15" w:type="dxa"/>
        <w:right w:w="15" w:type="dxa"/>
      </w:tblCellMar>
    </w:tblPr>
  </w:style>
  <w:style w:type="table" w:customStyle="1" w:styleId="5">
    <w:name w:val="5"/>
    <w:basedOn w:val="TableNormal10"/>
    <w:tblPr>
      <w:tblStyleRowBandSize w:val="1"/>
      <w:tblStyleColBandSize w:val="1"/>
      <w:tblCellMar>
        <w:left w:w="115" w:type="dxa"/>
        <w:right w:w="115" w:type="dxa"/>
      </w:tblCellMar>
    </w:tblPr>
  </w:style>
  <w:style w:type="table" w:customStyle="1" w:styleId="4">
    <w:name w:val="4"/>
    <w:basedOn w:val="TableNormal10"/>
    <w:tblPr>
      <w:tblStyleRowBandSize w:val="1"/>
      <w:tblStyleColBandSize w:val="1"/>
      <w:tblCellMar>
        <w:left w:w="115" w:type="dxa"/>
        <w:right w:w="115" w:type="dxa"/>
      </w:tblCellMar>
    </w:tblPr>
  </w:style>
  <w:style w:type="table" w:customStyle="1" w:styleId="3">
    <w:name w:val="3"/>
    <w:basedOn w:val="TableNormal10"/>
    <w:tblPr>
      <w:tblStyleRowBandSize w:val="1"/>
      <w:tblStyleColBandSize w:val="1"/>
      <w:tblCellMar>
        <w:top w:w="15" w:type="dxa"/>
        <w:left w:w="115" w:type="dxa"/>
        <w:bottom w:w="15" w:type="dxa"/>
        <w:right w:w="115" w:type="dxa"/>
      </w:tblCellMar>
    </w:tblPr>
  </w:style>
  <w:style w:type="table" w:customStyle="1" w:styleId="2">
    <w:name w:val="2"/>
    <w:basedOn w:val="TableNormal10"/>
    <w:tblPr>
      <w:tblStyleRowBandSize w:val="1"/>
      <w:tblStyleColBandSize w:val="1"/>
      <w:tblCellMar>
        <w:top w:w="15" w:type="dxa"/>
        <w:left w:w="115" w:type="dxa"/>
        <w:bottom w:w="15" w:type="dxa"/>
        <w:right w:w="115" w:type="dxa"/>
      </w:tblCellMar>
    </w:tblPr>
  </w:style>
  <w:style w:type="table" w:customStyle="1" w:styleId="1">
    <w:name w:val="1"/>
    <w:basedOn w:val="TableNormal10"/>
    <w:tblPr>
      <w:tblStyleRowBandSize w:val="1"/>
      <w:tblStyleColBandSize w:val="1"/>
      <w:tblCellMar>
        <w:top w:w="15" w:type="dxa"/>
        <w:left w:w="115" w:type="dxa"/>
        <w:bottom w:w="15" w:type="dxa"/>
        <w:right w:w="115" w:type="dxa"/>
      </w:tblCellMar>
    </w:tblPr>
  </w:style>
  <w:style w:type="character" w:customStyle="1" w:styleId="Mencinsinresolver1">
    <w:name w:val="Mención sin resolver1"/>
    <w:basedOn w:val="Fuentedeprrafopredeter"/>
    <w:uiPriority w:val="99"/>
    <w:semiHidden/>
    <w:unhideWhenUsed/>
    <w:rsid w:val="00B63FC6"/>
    <w:rPr>
      <w:color w:val="605E5C"/>
      <w:shd w:val="clear" w:color="auto" w:fill="E1DFDD"/>
    </w:rPr>
  </w:style>
  <w:style w:type="character" w:customStyle="1" w:styleId="Mencinsinresolver2">
    <w:name w:val="Mención sin resolver2"/>
    <w:basedOn w:val="Fuentedeprrafopredeter"/>
    <w:uiPriority w:val="99"/>
    <w:semiHidden/>
    <w:unhideWhenUsed/>
    <w:rsid w:val="00AC79ED"/>
    <w:rPr>
      <w:color w:val="605E5C"/>
      <w:shd w:val="clear" w:color="auto" w:fill="E1DFDD"/>
    </w:rPr>
  </w:style>
  <w:style w:type="paragraph" w:customStyle="1" w:styleId="Default">
    <w:name w:val="Default"/>
    <w:rsid w:val="00A27592"/>
    <w:pPr>
      <w:autoSpaceDE w:val="0"/>
      <w:autoSpaceDN w:val="0"/>
      <w:adjustRightInd w:val="0"/>
    </w:pPr>
    <w:rPr>
      <w:rFonts w:ascii="Arial" w:hAnsi="Arial" w:cs="Arial"/>
      <w:color w:val="000000"/>
    </w:rPr>
  </w:style>
  <w:style w:type="character" w:customStyle="1" w:styleId="normaltextrun">
    <w:name w:val="normaltextrun"/>
    <w:basedOn w:val="Fuentedeprrafopredeter"/>
    <w:rsid w:val="002F3C2D"/>
  </w:style>
  <w:style w:type="paragraph" w:styleId="Sinespaciado">
    <w:name w:val="No Spacing"/>
    <w:aliases w:val="Francesa,INAI"/>
    <w:link w:val="SinespaciadoCar"/>
    <w:uiPriority w:val="1"/>
    <w:qFormat/>
    <w:rsid w:val="00F01E4E"/>
    <w:rPr>
      <w:lang w:val="es-ES" w:eastAsia="es-ES"/>
    </w:rPr>
  </w:style>
  <w:style w:type="character" w:customStyle="1" w:styleId="SinespaciadoCar">
    <w:name w:val="Sin espaciado Car"/>
    <w:aliases w:val="Francesa Car,INAI Car"/>
    <w:link w:val="Sinespaciado"/>
    <w:uiPriority w:val="1"/>
    <w:locked/>
    <w:rsid w:val="00F01E4E"/>
    <w:rPr>
      <w:rFonts w:ascii="Times New Roman" w:eastAsia="Times New Roman" w:hAnsi="Times New Roman" w:cs="Times New Roman"/>
      <w:sz w:val="24"/>
      <w:szCs w:val="24"/>
      <w:lang w:val="es-ES" w:eastAsia="es-ES"/>
    </w:rPr>
  </w:style>
  <w:style w:type="table" w:customStyle="1" w:styleId="9">
    <w:name w:val="9"/>
    <w:basedOn w:val="TableNormal20"/>
    <w:tblPr>
      <w:tblStyleRowBandSize w:val="1"/>
      <w:tblStyleColBandSize w:val="1"/>
      <w:tblCellMar>
        <w:left w:w="108" w:type="dxa"/>
        <w:right w:w="108" w:type="dxa"/>
      </w:tblCellMar>
    </w:tblPr>
  </w:style>
  <w:style w:type="table" w:customStyle="1" w:styleId="8">
    <w:name w:val="8"/>
    <w:basedOn w:val="TableNormal20"/>
    <w:tblPr>
      <w:tblStyleRowBandSize w:val="1"/>
      <w:tblStyleColBandSize w:val="1"/>
      <w:tblCellMar>
        <w:top w:w="15" w:type="dxa"/>
        <w:left w:w="115" w:type="dxa"/>
        <w:bottom w:w="15" w:type="dxa"/>
        <w:right w:w="115" w:type="dxa"/>
      </w:tblCellMar>
    </w:tblPr>
  </w:style>
  <w:style w:type="table" w:customStyle="1" w:styleId="7">
    <w:name w:val="7"/>
    <w:basedOn w:val="TableNormal20"/>
    <w:tblPr>
      <w:tblStyleRowBandSize w:val="1"/>
      <w:tblStyleColBandSize w:val="1"/>
      <w:tblCellMar>
        <w:top w:w="15" w:type="dxa"/>
        <w:left w:w="115" w:type="dxa"/>
        <w:bottom w:w="15" w:type="dxa"/>
        <w:right w:w="115" w:type="dxa"/>
      </w:tblCellMar>
    </w:tblPr>
  </w:style>
  <w:style w:type="character" w:customStyle="1" w:styleId="Mencinsinresolver3">
    <w:name w:val="Mención sin resolver3"/>
    <w:basedOn w:val="Fuentedeprrafopredeter"/>
    <w:uiPriority w:val="99"/>
    <w:semiHidden/>
    <w:unhideWhenUsed/>
    <w:rsid w:val="00B91EC4"/>
    <w:rPr>
      <w:color w:val="605E5C"/>
      <w:shd w:val="clear" w:color="auto" w:fill="E1DFDD"/>
    </w:rPr>
  </w:style>
  <w:style w:type="character" w:styleId="Refdecomentario">
    <w:name w:val="annotation reference"/>
    <w:basedOn w:val="Fuentedeprrafopredeter"/>
    <w:uiPriority w:val="99"/>
    <w:semiHidden/>
    <w:unhideWhenUsed/>
    <w:rsid w:val="007266CA"/>
    <w:rPr>
      <w:sz w:val="16"/>
      <w:szCs w:val="16"/>
    </w:rPr>
  </w:style>
  <w:style w:type="paragraph" w:styleId="Textocomentario">
    <w:name w:val="annotation text"/>
    <w:basedOn w:val="Normal"/>
    <w:link w:val="TextocomentarioCar"/>
    <w:uiPriority w:val="99"/>
    <w:semiHidden/>
    <w:unhideWhenUsed/>
    <w:rsid w:val="007266CA"/>
    <w:rPr>
      <w:sz w:val="20"/>
      <w:szCs w:val="20"/>
    </w:rPr>
  </w:style>
  <w:style w:type="character" w:customStyle="1" w:styleId="TextocomentarioCar">
    <w:name w:val="Texto comentario Car"/>
    <w:basedOn w:val="Fuentedeprrafopredeter"/>
    <w:link w:val="Textocomentario"/>
    <w:uiPriority w:val="99"/>
    <w:semiHidden/>
    <w:rsid w:val="007266CA"/>
    <w:rPr>
      <w:rFonts w:eastAsia="Times New Roman" w:cs="Times New Roman"/>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7266CA"/>
    <w:rPr>
      <w:b/>
      <w:bCs/>
    </w:rPr>
  </w:style>
  <w:style w:type="character" w:customStyle="1" w:styleId="AsuntodelcomentarioCar">
    <w:name w:val="Asunto del comentario Car"/>
    <w:basedOn w:val="TextocomentarioCar"/>
    <w:link w:val="Asuntodelcomentario"/>
    <w:uiPriority w:val="99"/>
    <w:semiHidden/>
    <w:rsid w:val="007266CA"/>
    <w:rPr>
      <w:rFonts w:eastAsia="Times New Roman" w:cs="Times New Roman"/>
      <w:b/>
      <w:bCs/>
      <w:sz w:val="20"/>
      <w:szCs w:val="20"/>
      <w:lang w:eastAsia="en-US"/>
    </w:rPr>
  </w:style>
  <w:style w:type="character" w:styleId="Textodelmarcadordeposicin">
    <w:name w:val="Placeholder Text"/>
    <w:basedOn w:val="Fuentedeprrafopredeter"/>
    <w:uiPriority w:val="99"/>
    <w:semiHidden/>
    <w:rsid w:val="007266CA"/>
    <w:rPr>
      <w:color w:val="808080"/>
    </w:rPr>
  </w:style>
  <w:style w:type="character" w:styleId="Hipervnculovisitado">
    <w:name w:val="FollowedHyperlink"/>
    <w:basedOn w:val="Fuentedeprrafopredeter"/>
    <w:uiPriority w:val="99"/>
    <w:semiHidden/>
    <w:unhideWhenUsed/>
    <w:rsid w:val="00FC1F2B"/>
    <w:rPr>
      <w:color w:val="954F72" w:themeColor="followed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C1F2B"/>
    <w:rPr>
      <w:rFonts w:asciiTheme="minorHAnsi" w:eastAsiaTheme="minorHAnsi" w:hAnsiTheme="minorHAnsi" w:cstheme="minorBidi"/>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C1F2B"/>
    <w:rPr>
      <w:rFonts w:asciiTheme="minorHAnsi" w:eastAsiaTheme="minorHAnsi" w:hAnsiTheme="minorHAnsi" w:cstheme="minorBidi"/>
      <w:sz w:val="20"/>
      <w:szCs w:val="20"/>
      <w:lang w:eastAsia="en-U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FC1F2B"/>
    <w:rPr>
      <w:vertAlign w:val="superscript"/>
    </w:rPr>
  </w:style>
  <w:style w:type="character" w:customStyle="1" w:styleId="PuestoCar">
    <w:name w:val="Puesto Car"/>
    <w:aliases w:val="Cita textual Car"/>
    <w:basedOn w:val="Fuentedeprrafopredeter"/>
    <w:uiPriority w:val="10"/>
    <w:rsid w:val="00EC101D"/>
    <w:rPr>
      <w:rFonts w:eastAsia="Times New Roman" w:cs="Times New Roman"/>
      <w:b/>
      <w:sz w:val="72"/>
      <w:szCs w:val="72"/>
      <w:lang w:eastAsia="en-US"/>
    </w:rPr>
  </w:style>
  <w:style w:type="table" w:customStyle="1" w:styleId="Tablanormal11">
    <w:name w:val="Tabla normal 11"/>
    <w:basedOn w:val="Tablanormal"/>
    <w:uiPriority w:val="41"/>
    <w:rsid w:val="009A0A8D"/>
    <w:rPr>
      <w:rFonts w:asciiTheme="minorHAnsi" w:eastAsiaTheme="minorHAnsi" w:hAnsiTheme="minorHAnsi" w:cstheme="minorBid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a">
    <w:basedOn w:val="TableNormal5"/>
    <w:tblPr>
      <w:tblStyleRowBandSize w:val="1"/>
      <w:tblStyleColBandSize w:val="1"/>
      <w:tblCellMar>
        <w:left w:w="115" w:type="dxa"/>
        <w:right w:w="115" w:type="dxa"/>
      </w:tblCellMar>
    </w:tblPr>
  </w:style>
  <w:style w:type="table" w:customStyle="1" w:styleId="a0">
    <w:basedOn w:val="TableNormal5"/>
    <w:tblPr>
      <w:tblStyleRowBandSize w:val="1"/>
      <w:tblStyleColBandSize w:val="1"/>
      <w:tblCellMar>
        <w:left w:w="115" w:type="dxa"/>
        <w:right w:w="115" w:type="dxa"/>
      </w:tblCellMar>
    </w:tblPr>
  </w:style>
  <w:style w:type="table" w:customStyle="1" w:styleId="a1">
    <w:basedOn w:val="TableNormal5"/>
    <w:tblPr>
      <w:tblStyleRowBandSize w:val="1"/>
      <w:tblStyleColBandSize w:val="1"/>
      <w:tblCellMar>
        <w:left w:w="115" w:type="dxa"/>
        <w:right w:w="115" w:type="dxa"/>
      </w:tblCellMar>
    </w:tblPr>
  </w:style>
  <w:style w:type="table" w:customStyle="1" w:styleId="a2">
    <w:basedOn w:val="TableNormal5"/>
    <w:tblPr>
      <w:tblStyleRowBandSize w:val="1"/>
      <w:tblStyleColBandSize w:val="1"/>
      <w:tblCellMar>
        <w:left w:w="115" w:type="dxa"/>
        <w:right w:w="115" w:type="dxa"/>
      </w:tblCellMar>
    </w:tblPr>
  </w:style>
  <w:style w:type="table" w:customStyle="1" w:styleId="a3">
    <w:basedOn w:val="TableNormal5"/>
    <w:tblPr>
      <w:tblStyleRowBandSize w:val="1"/>
      <w:tblStyleColBandSize w:val="1"/>
      <w:tblCellMar>
        <w:top w:w="15" w:type="dxa"/>
        <w:left w:w="115" w:type="dxa"/>
        <w:bottom w:w="15" w:type="dxa"/>
        <w:right w:w="115" w:type="dxa"/>
      </w:tblCellMar>
    </w:tblPr>
  </w:style>
  <w:style w:type="table" w:customStyle="1" w:styleId="a4">
    <w:basedOn w:val="TableNormal5"/>
    <w:tblPr>
      <w:tblStyleRowBandSize w:val="1"/>
      <w:tblStyleColBandSize w:val="1"/>
      <w:tblCellMar>
        <w:top w:w="15" w:type="dxa"/>
        <w:left w:w="115" w:type="dxa"/>
        <w:bottom w:w="15" w:type="dxa"/>
        <w:right w:w="115" w:type="dxa"/>
      </w:tblCellMar>
    </w:tblPr>
  </w:style>
  <w:style w:type="table" w:customStyle="1" w:styleId="a5">
    <w:basedOn w:val="TableNormal4"/>
    <w:tblPr>
      <w:tblStyleRowBandSize w:val="1"/>
      <w:tblStyleColBandSize w:val="1"/>
      <w:tblCellMar>
        <w:left w:w="115" w:type="dxa"/>
        <w:right w:w="115" w:type="dxa"/>
      </w:tblCellMar>
    </w:tblPr>
  </w:style>
  <w:style w:type="table" w:customStyle="1" w:styleId="a6">
    <w:basedOn w:val="TableNormal4"/>
    <w:tblPr>
      <w:tblStyleRowBandSize w:val="1"/>
      <w:tblStyleColBandSize w:val="1"/>
      <w:tblCellMar>
        <w:left w:w="115" w:type="dxa"/>
        <w:right w:w="115" w:type="dxa"/>
      </w:tblCellMar>
    </w:tblPr>
  </w:style>
  <w:style w:type="table" w:customStyle="1" w:styleId="a7">
    <w:basedOn w:val="TableNormal4"/>
    <w:tblPr>
      <w:tblStyleRowBandSize w:val="1"/>
      <w:tblStyleColBandSize w:val="1"/>
      <w:tblCellMar>
        <w:left w:w="115" w:type="dxa"/>
        <w:right w:w="115" w:type="dxa"/>
      </w:tblCellMar>
    </w:tblPr>
  </w:style>
  <w:style w:type="table" w:customStyle="1" w:styleId="a8">
    <w:basedOn w:val="TableNormal4"/>
    <w:tblPr>
      <w:tblStyleRowBandSize w:val="1"/>
      <w:tblStyleColBandSize w:val="1"/>
      <w:tblCellMar>
        <w:left w:w="115" w:type="dxa"/>
        <w:right w:w="115" w:type="dxa"/>
      </w:tblCellMar>
    </w:tblPr>
  </w:style>
  <w:style w:type="table" w:customStyle="1" w:styleId="a9">
    <w:basedOn w:val="TableNormal4"/>
    <w:tblPr>
      <w:tblStyleRowBandSize w:val="1"/>
      <w:tblStyleColBandSize w:val="1"/>
      <w:tblCellMar>
        <w:top w:w="15" w:type="dxa"/>
        <w:left w:w="115" w:type="dxa"/>
        <w:bottom w:w="15" w:type="dxa"/>
        <w:right w:w="115" w:type="dxa"/>
      </w:tblCellMar>
    </w:tblPr>
  </w:style>
  <w:style w:type="table" w:customStyle="1" w:styleId="aa">
    <w:basedOn w:val="TableNormal4"/>
    <w:tblPr>
      <w:tblStyleRowBandSize w:val="1"/>
      <w:tblStyleColBandSize w:val="1"/>
      <w:tblCellMar>
        <w:top w:w="15" w:type="dxa"/>
        <w:left w:w="115" w:type="dxa"/>
        <w:bottom w:w="15" w:type="dxa"/>
        <w:right w:w="115"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tblPr>
      <w:tblStyleRowBandSize w:val="1"/>
      <w:tblStyleColBandSize w:val="1"/>
      <w:tblCellMar>
        <w:left w:w="115" w:type="dxa"/>
        <w:right w:w="115" w:type="dxa"/>
      </w:tblCellMar>
    </w:tblPr>
  </w:style>
  <w:style w:type="table" w:customStyle="1" w:styleId="ad">
    <w:basedOn w:val="TableNormal3"/>
    <w:tblPr>
      <w:tblStyleRowBandSize w:val="1"/>
      <w:tblStyleColBandSize w:val="1"/>
      <w:tblCellMar>
        <w:left w:w="115" w:type="dxa"/>
        <w:right w:w="115" w:type="dxa"/>
      </w:tblCellMar>
    </w:tblPr>
  </w:style>
  <w:style w:type="table" w:customStyle="1" w:styleId="ae">
    <w:basedOn w:val="TableNormal3"/>
    <w:tblPr>
      <w:tblStyleRowBandSize w:val="1"/>
      <w:tblStyleColBandSize w:val="1"/>
      <w:tblCellMar>
        <w:left w:w="115" w:type="dxa"/>
        <w:right w:w="115" w:type="dxa"/>
      </w:tblCellMar>
    </w:tblPr>
  </w:style>
  <w:style w:type="table" w:customStyle="1" w:styleId="af">
    <w:basedOn w:val="TableNormal3"/>
    <w:tblPr>
      <w:tblStyleRowBandSize w:val="1"/>
      <w:tblStyleColBandSize w:val="1"/>
      <w:tblCellMar>
        <w:left w:w="108" w:type="dxa"/>
        <w:right w:w="108" w:type="dxa"/>
      </w:tblCellMar>
    </w:tblPr>
  </w:style>
  <w:style w:type="table" w:customStyle="1" w:styleId="af0">
    <w:basedOn w:val="TableNormal3"/>
    <w:tblPr>
      <w:tblStyleRowBandSize w:val="1"/>
      <w:tblStyleColBandSize w:val="1"/>
      <w:tblCellMar>
        <w:left w:w="108" w:type="dxa"/>
        <w:right w:w="108" w:type="dxa"/>
      </w:tblCellMar>
    </w:tblPr>
  </w:style>
  <w:style w:type="table" w:customStyle="1" w:styleId="af1">
    <w:basedOn w:val="TableNormal3"/>
    <w:tblPr>
      <w:tblStyleRowBandSize w:val="1"/>
      <w:tblStyleColBandSize w:val="1"/>
      <w:tblCellMar>
        <w:top w:w="15" w:type="dxa"/>
        <w:left w:w="115" w:type="dxa"/>
        <w:bottom w:w="15" w:type="dxa"/>
        <w:right w:w="115" w:type="dxa"/>
      </w:tblCellMar>
    </w:tblPr>
  </w:style>
  <w:style w:type="table" w:customStyle="1" w:styleId="af2">
    <w:basedOn w:val="TableNormal3"/>
    <w:tblPr>
      <w:tblStyleRowBandSize w:val="1"/>
      <w:tblStyleColBandSize w:val="1"/>
      <w:tblCellMar>
        <w:top w:w="15" w:type="dxa"/>
        <w:left w:w="115" w:type="dxa"/>
        <w:bottom w:w="15" w:type="dxa"/>
        <w:right w:w="115" w:type="dxa"/>
      </w:tblCellMar>
    </w:tblPr>
  </w:style>
  <w:style w:type="character" w:styleId="Textoennegrita">
    <w:name w:val="Strong"/>
    <w:basedOn w:val="Fuentedeprrafopredeter"/>
    <w:uiPriority w:val="22"/>
    <w:qFormat/>
    <w:rsid w:val="00AC6527"/>
    <w:rPr>
      <w:b/>
      <w:bCs/>
    </w:rPr>
  </w:style>
  <w:style w:type="character" w:customStyle="1" w:styleId="apple-tab-span">
    <w:name w:val="apple-tab-span"/>
    <w:basedOn w:val="Fuentedeprrafopredeter"/>
    <w:rsid w:val="00EB58F7"/>
  </w:style>
  <w:style w:type="paragraph" w:styleId="Listaconvietas3">
    <w:name w:val="List Bullet 3"/>
    <w:basedOn w:val="Normal"/>
    <w:uiPriority w:val="99"/>
    <w:unhideWhenUsed/>
    <w:rsid w:val="00AF720B"/>
    <w:pPr>
      <w:numPr>
        <w:numId w:val="1"/>
      </w:numPr>
      <w:contextualSpacing/>
    </w:pPr>
  </w:style>
  <w:style w:type="table" w:customStyle="1" w:styleId="af3">
    <w:basedOn w:val="TableNormal2"/>
    <w:tblPr>
      <w:tblStyleRowBandSize w:val="1"/>
      <w:tblStyleColBandSize w:val="1"/>
      <w:tblCellMar>
        <w:left w:w="115" w:type="dxa"/>
        <w:right w:w="115" w:type="dxa"/>
      </w:tblCellMar>
    </w:tblPr>
  </w:style>
  <w:style w:type="table" w:customStyle="1" w:styleId="af4">
    <w:basedOn w:val="TableNormal2"/>
    <w:tblPr>
      <w:tblStyleRowBandSize w:val="1"/>
      <w:tblStyleColBandSize w:val="1"/>
      <w:tblCellMar>
        <w:top w:w="15" w:type="dxa"/>
        <w:left w:w="115" w:type="dxa"/>
        <w:bottom w:w="15" w:type="dxa"/>
        <w:right w:w="115" w:type="dxa"/>
      </w:tblCellMar>
    </w:tblPr>
  </w:style>
  <w:style w:type="table" w:customStyle="1" w:styleId="af5">
    <w:basedOn w:val="TableNormal2"/>
    <w:tblPr>
      <w:tblStyleRowBandSize w:val="1"/>
      <w:tblStyleColBandSize w:val="1"/>
      <w:tblCellMar>
        <w:top w:w="15" w:type="dxa"/>
        <w:left w:w="115" w:type="dxa"/>
        <w:bottom w:w="15" w:type="dxa"/>
        <w:right w:w="115" w:type="dxa"/>
      </w:tblCellMar>
    </w:tblPr>
  </w:style>
  <w:style w:type="paragraph" w:styleId="Listaconvietas">
    <w:name w:val="List Bullet"/>
    <w:basedOn w:val="Normal"/>
    <w:uiPriority w:val="99"/>
    <w:unhideWhenUsed/>
    <w:rsid w:val="00E97D6F"/>
    <w:pPr>
      <w:numPr>
        <w:numId w:val="3"/>
      </w:numPr>
      <w:contextualSpacing/>
    </w:pPr>
    <w:rPr>
      <w:lang w:val="es-ES"/>
    </w:rPr>
  </w:style>
  <w:style w:type="character" w:customStyle="1" w:styleId="Mencinsinresolver4">
    <w:name w:val="Mención sin resolver4"/>
    <w:basedOn w:val="Fuentedeprrafopredeter"/>
    <w:uiPriority w:val="99"/>
    <w:semiHidden/>
    <w:unhideWhenUsed/>
    <w:rsid w:val="00E8288F"/>
    <w:rPr>
      <w:color w:val="605E5C"/>
      <w:shd w:val="clear" w:color="auto" w:fill="E1DFDD"/>
    </w:rPr>
  </w:style>
  <w:style w:type="paragraph" w:customStyle="1" w:styleId="xgmail-msonormal">
    <w:name w:val="x_gmail-msonormal"/>
    <w:basedOn w:val="Normal"/>
    <w:rsid w:val="009B2050"/>
    <w:pPr>
      <w:spacing w:before="100" w:beforeAutospacing="1" w:after="100" w:afterAutospacing="1"/>
    </w:pPr>
    <w:rPr>
      <w:lang w:val="en-US" w:eastAsia="en-US"/>
    </w:rPr>
  </w:style>
  <w:style w:type="table" w:customStyle="1" w:styleId="11">
    <w:name w:val="11"/>
    <w:basedOn w:val="Tablanormal"/>
    <w:rsid w:val="0087332C"/>
    <w:rPr>
      <w:lang w:val="es-ES"/>
    </w:rPr>
    <w:tblPr>
      <w:tblStyleRowBandSize w:val="1"/>
      <w:tblStyleColBandSize w:val="1"/>
      <w:tblInd w:w="0" w:type="nil"/>
      <w:tblCellMar>
        <w:left w:w="115" w:type="dxa"/>
        <w:right w:w="115" w:type="dxa"/>
      </w:tblCellMar>
    </w:tblPr>
  </w:style>
  <w:style w:type="table" w:customStyle="1" w:styleId="10">
    <w:name w:val="10"/>
    <w:basedOn w:val="Tablanormal"/>
    <w:rsid w:val="0087332C"/>
    <w:rPr>
      <w:lang w:val="es-ES"/>
    </w:rPr>
    <w:tblPr>
      <w:tblStyleRowBandSize w:val="1"/>
      <w:tblStyleColBandSize w:val="1"/>
      <w:tblInd w:w="0" w:type="nil"/>
      <w:tblCellMar>
        <w:left w:w="115" w:type="dxa"/>
        <w:right w:w="115" w:type="dxa"/>
      </w:tblCellMar>
    </w:tblPr>
  </w:style>
  <w:style w:type="table" w:customStyle="1" w:styleId="af6">
    <w:basedOn w:val="TableNormal1"/>
    <w:tblPr>
      <w:tblStyleRowBandSize w:val="1"/>
      <w:tblStyleColBandSize w:val="1"/>
      <w:tblCellMar>
        <w:top w:w="15" w:type="dxa"/>
        <w:left w:w="115" w:type="dxa"/>
        <w:bottom w:w="15" w:type="dxa"/>
        <w:right w:w="115" w:type="dxa"/>
      </w:tblCellMar>
    </w:tblPr>
  </w:style>
  <w:style w:type="table" w:customStyle="1" w:styleId="af7">
    <w:basedOn w:val="TableNormal1"/>
    <w:tblPr>
      <w:tblStyleRowBandSize w:val="1"/>
      <w:tblStyleColBandSize w:val="1"/>
      <w:tblCellMar>
        <w:top w:w="15" w:type="dxa"/>
        <w:left w:w="115" w:type="dxa"/>
        <w:bottom w:w="15" w:type="dxa"/>
        <w:right w:w="115" w:type="dxa"/>
      </w:tblCellMar>
    </w:tblPr>
  </w:style>
  <w:style w:type="paragraph" w:styleId="Textoindependiente">
    <w:name w:val="Body Text"/>
    <w:basedOn w:val="Normal"/>
    <w:link w:val="TextoindependienteCar"/>
    <w:uiPriority w:val="99"/>
    <w:unhideWhenUsed/>
    <w:rsid w:val="00FB389B"/>
    <w:pPr>
      <w:spacing w:after="120"/>
    </w:pPr>
    <w:rPr>
      <w:lang w:val="es-ES" w:eastAsia="es-ES"/>
    </w:rPr>
  </w:style>
  <w:style w:type="character" w:customStyle="1" w:styleId="TextoindependienteCar">
    <w:name w:val="Texto independiente Car"/>
    <w:basedOn w:val="Fuentedeprrafopredeter"/>
    <w:link w:val="Textoindependiente"/>
    <w:uiPriority w:val="99"/>
    <w:rsid w:val="00FB389B"/>
    <w:rPr>
      <w:lang w:val="es-ES" w:eastAsia="es-ES"/>
    </w:rPr>
  </w:style>
  <w:style w:type="paragraph" w:customStyle="1" w:styleId="INFOEM">
    <w:name w:val="INFOEM"/>
    <w:basedOn w:val="Normal"/>
    <w:qFormat/>
    <w:rsid w:val="00D5108C"/>
    <w:pPr>
      <w:spacing w:before="240" w:after="160" w:line="360" w:lineRule="auto"/>
      <w:ind w:left="851" w:right="851"/>
      <w:jc w:val="both"/>
    </w:pPr>
    <w:rPr>
      <w:rFonts w:ascii="Palatino Linotype" w:eastAsiaTheme="minorHAnsi" w:hAnsi="Palatino Linotype" w:cstheme="minorBidi"/>
      <w:i/>
      <w:sz w:val="22"/>
      <w:szCs w:val="14"/>
      <w:lang w:eastAsia="en-US"/>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f8">
    <w:basedOn w:val="TableNormal0"/>
    <w:tblPr>
      <w:tblStyleRowBandSize w:val="1"/>
      <w:tblStyleColBandSize w:val="1"/>
      <w:tblCellMar>
        <w:top w:w="15" w:type="dxa"/>
        <w:left w:w="115" w:type="dxa"/>
        <w:bottom w:w="15" w:type="dxa"/>
        <w:right w:w="115" w:type="dxa"/>
      </w:tblCellMar>
    </w:tblPr>
  </w:style>
  <w:style w:type="table" w:customStyle="1" w:styleId="af9">
    <w:basedOn w:val="TableNormal0"/>
    <w:tblPr>
      <w:tblStyleRowBandSize w:val="1"/>
      <w:tblStyleColBandSize w:val="1"/>
      <w:tblCellMar>
        <w:top w:w="15" w:type="dxa"/>
        <w:left w:w="115" w:type="dxa"/>
        <w:bottom w:w="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XJ2Xkye8qJRtLAyiO52gmoyclA==">CgMxLjAyCWguM3pueXNoNzIOaC5qM3BweXh3bGIxczIyDmguN2s2d2V6c2NkNGZiMghoLnR5amN3dDINaC5qbDBkbGFzb3Q0ZjgAciExb0lKQnMycGR0T3dNZG1tSHB5NWhCVEFXcmRNMVNHd2k=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9416</Words>
  <Characters>51789</Characters>
  <Application>Microsoft Office Word</Application>
  <DocSecurity>0</DocSecurity>
  <Lines>431</Lines>
  <Paragraphs>122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Maricela Villagómez Martínez</cp:lastModifiedBy>
  <cp:revision>2</cp:revision>
  <dcterms:created xsi:type="dcterms:W3CDTF">2026-04-07T18:28:00Z</dcterms:created>
  <dcterms:modified xsi:type="dcterms:W3CDTF">2026-04-07T18:28:00Z</dcterms:modified>
</cp:coreProperties>
</file>