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14EED" w14:textId="408D1ACC" w:rsidR="0084142B" w:rsidRPr="00B634FB" w:rsidRDefault="00CF1CC3">
      <w:pPr>
        <w:tabs>
          <w:tab w:val="left" w:pos="3465"/>
        </w:tabs>
        <w:spacing w:line="360" w:lineRule="auto"/>
        <w:jc w:val="both"/>
        <w:rPr>
          <w:rFonts w:ascii="Palatino Linotype" w:eastAsia="Palatino Linotype" w:hAnsi="Palatino Linotype" w:cs="Palatino Linotype"/>
          <w:b/>
          <w:sz w:val="24"/>
          <w:szCs w:val="24"/>
        </w:rPr>
      </w:pPr>
      <w:bookmarkStart w:id="0" w:name="_GoBack"/>
      <w:bookmarkEnd w:id="0"/>
      <w:r w:rsidRPr="00B634FB">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w:t>
      </w:r>
      <w:r w:rsidR="003E7A6D">
        <w:rPr>
          <w:rFonts w:ascii="Palatino Linotype" w:eastAsia="Palatino Linotype" w:hAnsi="Palatino Linotype" w:cs="Palatino Linotype"/>
          <w:sz w:val="24"/>
          <w:szCs w:val="24"/>
        </w:rPr>
        <w:t xml:space="preserve"> fecha</w:t>
      </w:r>
      <w:r w:rsidRPr="00B634FB">
        <w:rPr>
          <w:rFonts w:ascii="Palatino Linotype" w:eastAsia="Palatino Linotype" w:hAnsi="Palatino Linotype" w:cs="Palatino Linotype"/>
          <w:sz w:val="24"/>
          <w:szCs w:val="24"/>
        </w:rPr>
        <w:t xml:space="preserve"> </w:t>
      </w:r>
      <w:r w:rsidR="00716DA0" w:rsidRPr="00B634FB">
        <w:rPr>
          <w:rFonts w:ascii="Palatino Linotype" w:eastAsia="Palatino Linotype" w:hAnsi="Palatino Linotype" w:cs="Palatino Linotype"/>
          <w:b/>
          <w:sz w:val="24"/>
          <w:szCs w:val="24"/>
        </w:rPr>
        <w:t xml:space="preserve">veintiuno </w:t>
      </w:r>
      <w:r w:rsidR="003E7A6D">
        <w:rPr>
          <w:rFonts w:ascii="Palatino Linotype" w:eastAsia="Palatino Linotype" w:hAnsi="Palatino Linotype" w:cs="Palatino Linotype"/>
          <w:b/>
          <w:sz w:val="24"/>
          <w:szCs w:val="24"/>
        </w:rPr>
        <w:t xml:space="preserve">(21) </w:t>
      </w:r>
      <w:r w:rsidR="00716DA0" w:rsidRPr="00B634FB">
        <w:rPr>
          <w:rFonts w:ascii="Palatino Linotype" w:eastAsia="Palatino Linotype" w:hAnsi="Palatino Linotype" w:cs="Palatino Linotype"/>
          <w:b/>
          <w:sz w:val="24"/>
          <w:szCs w:val="24"/>
        </w:rPr>
        <w:t xml:space="preserve">de enero de dos mil </w:t>
      </w:r>
      <w:r w:rsidR="001452E6" w:rsidRPr="00B634FB">
        <w:rPr>
          <w:rFonts w:ascii="Palatino Linotype" w:eastAsia="Palatino Linotype" w:hAnsi="Palatino Linotype" w:cs="Palatino Linotype"/>
          <w:b/>
          <w:sz w:val="24"/>
          <w:szCs w:val="24"/>
        </w:rPr>
        <w:t>veintiséis</w:t>
      </w:r>
      <w:r w:rsidR="002822B6" w:rsidRPr="00B634FB">
        <w:rPr>
          <w:rFonts w:ascii="Palatino Linotype" w:eastAsia="Palatino Linotype" w:hAnsi="Palatino Linotype" w:cs="Palatino Linotype"/>
          <w:b/>
          <w:sz w:val="24"/>
          <w:szCs w:val="24"/>
        </w:rPr>
        <w:t>.</w:t>
      </w:r>
    </w:p>
    <w:p w14:paraId="168DA421" w14:textId="77777777" w:rsidR="0084142B" w:rsidRPr="00B634FB" w:rsidRDefault="0084142B">
      <w:pPr>
        <w:tabs>
          <w:tab w:val="left" w:pos="3465"/>
        </w:tabs>
        <w:spacing w:line="360" w:lineRule="auto"/>
        <w:jc w:val="both"/>
        <w:rPr>
          <w:rFonts w:ascii="Palatino Linotype" w:eastAsia="Palatino Linotype" w:hAnsi="Palatino Linotype" w:cs="Palatino Linotype"/>
          <w:b/>
          <w:sz w:val="24"/>
          <w:szCs w:val="24"/>
        </w:rPr>
      </w:pPr>
    </w:p>
    <w:p w14:paraId="52DE4B25" w14:textId="705A865B" w:rsidR="0084142B" w:rsidRPr="00B634FB" w:rsidRDefault="00CF1CC3">
      <w:pPr>
        <w:spacing w:line="360" w:lineRule="auto"/>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b/>
          <w:sz w:val="24"/>
          <w:szCs w:val="24"/>
        </w:rPr>
        <w:t>VISTO</w:t>
      </w:r>
      <w:r w:rsidRPr="00B634FB">
        <w:rPr>
          <w:rFonts w:ascii="Palatino Linotype" w:eastAsia="Palatino Linotype" w:hAnsi="Palatino Linotype" w:cs="Palatino Linotype"/>
          <w:sz w:val="24"/>
          <w:szCs w:val="24"/>
        </w:rPr>
        <w:t xml:space="preserve"> el expediente electrónico formado con motivo del recurso de revisión </w:t>
      </w:r>
      <w:r w:rsidRPr="00B634FB">
        <w:rPr>
          <w:rFonts w:ascii="Palatino Linotype" w:eastAsia="Palatino Linotype" w:hAnsi="Palatino Linotype" w:cs="Palatino Linotype"/>
          <w:b/>
          <w:sz w:val="24"/>
          <w:szCs w:val="24"/>
        </w:rPr>
        <w:t xml:space="preserve">  </w:t>
      </w:r>
      <w:r w:rsidR="002822B6" w:rsidRPr="00B634FB">
        <w:rPr>
          <w:rFonts w:ascii="Palatino Linotype" w:eastAsia="Palatino Linotype" w:hAnsi="Palatino Linotype" w:cs="Palatino Linotype"/>
          <w:b/>
          <w:bCs/>
          <w:sz w:val="24"/>
          <w:szCs w:val="24"/>
        </w:rPr>
        <w:t>08643/INFOEM/IP/RR/2025</w:t>
      </w:r>
      <w:r w:rsidRPr="00B634FB">
        <w:rPr>
          <w:rFonts w:ascii="Palatino Linotype" w:eastAsia="Palatino Linotype" w:hAnsi="Palatino Linotype" w:cs="Palatino Linotype"/>
          <w:sz w:val="24"/>
          <w:szCs w:val="24"/>
        </w:rPr>
        <w:t>,</w:t>
      </w:r>
      <w:r w:rsidRPr="00B634FB">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sz w:val="24"/>
          <w:szCs w:val="24"/>
        </w:rPr>
        <w:t xml:space="preserve">promovido por </w:t>
      </w:r>
      <w:r w:rsidR="00C3079C">
        <w:rPr>
          <w:rFonts w:ascii="Palatino Linotype" w:eastAsia="Palatino Linotype" w:hAnsi="Palatino Linotype" w:cs="Palatino Linotype"/>
          <w:sz w:val="24"/>
          <w:szCs w:val="24"/>
        </w:rPr>
        <w:t xml:space="preserve">una persona que </w:t>
      </w:r>
      <w:r w:rsidR="00350C93" w:rsidRPr="00B634FB">
        <w:rPr>
          <w:rFonts w:ascii="Palatino Linotype" w:eastAsia="Palatino Linotype" w:hAnsi="Palatino Linotype" w:cs="Palatino Linotype"/>
          <w:b/>
          <w:sz w:val="24"/>
          <w:szCs w:val="24"/>
        </w:rPr>
        <w:t>no dio información</w:t>
      </w:r>
      <w:r w:rsidRPr="00B634FB">
        <w:rPr>
          <w:rFonts w:ascii="Palatino Linotype" w:eastAsia="Palatino Linotype" w:hAnsi="Palatino Linotype" w:cs="Palatino Linotype"/>
          <w:b/>
          <w:sz w:val="24"/>
          <w:szCs w:val="24"/>
        </w:rPr>
        <w:t>,</w:t>
      </w:r>
      <w:r w:rsidRPr="00B634FB">
        <w:rPr>
          <w:rFonts w:ascii="Palatino Linotype" w:eastAsia="Palatino Linotype" w:hAnsi="Palatino Linotype" w:cs="Palatino Linotype"/>
          <w:sz w:val="24"/>
          <w:szCs w:val="24"/>
        </w:rPr>
        <w:t xml:space="preserve"> a quien en lo sucesivo se le identificará como </w:t>
      </w:r>
      <w:r w:rsidRPr="00B634FB">
        <w:rPr>
          <w:rFonts w:ascii="Palatino Linotype" w:eastAsia="Palatino Linotype" w:hAnsi="Palatino Linotype" w:cs="Palatino Linotype"/>
          <w:b/>
          <w:sz w:val="24"/>
          <w:szCs w:val="24"/>
        </w:rPr>
        <w:t>EL RECURRENTE</w:t>
      </w:r>
      <w:r w:rsidRPr="00B634FB">
        <w:rPr>
          <w:rFonts w:ascii="Palatino Linotype" w:eastAsia="Palatino Linotype" w:hAnsi="Palatino Linotype" w:cs="Palatino Linotype"/>
          <w:sz w:val="24"/>
          <w:szCs w:val="24"/>
        </w:rPr>
        <w:t xml:space="preserve">, en contra de la respuesta del </w:t>
      </w:r>
      <w:r w:rsidRPr="00B634FB">
        <w:rPr>
          <w:rFonts w:ascii="Palatino Linotype" w:eastAsia="Palatino Linotype" w:hAnsi="Palatino Linotype" w:cs="Palatino Linotype"/>
          <w:b/>
          <w:sz w:val="24"/>
          <w:szCs w:val="24"/>
        </w:rPr>
        <w:t xml:space="preserve">Ayuntamiento de </w:t>
      </w:r>
      <w:r w:rsidR="00350C93" w:rsidRPr="00B634FB">
        <w:rPr>
          <w:rFonts w:ascii="Palatino Linotype" w:eastAsia="Palatino Linotype" w:hAnsi="Palatino Linotype" w:cs="Palatino Linotype"/>
          <w:b/>
          <w:sz w:val="24"/>
          <w:szCs w:val="24"/>
        </w:rPr>
        <w:t>Aculco</w:t>
      </w:r>
      <w:r w:rsidRPr="00B634FB">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sz w:val="24"/>
          <w:szCs w:val="24"/>
        </w:rPr>
        <w:t xml:space="preserve">en </w:t>
      </w:r>
      <w:r w:rsidR="003E7A6D">
        <w:rPr>
          <w:rFonts w:ascii="Palatino Linotype" w:eastAsia="Palatino Linotype" w:hAnsi="Palatino Linotype" w:cs="Palatino Linotype"/>
          <w:sz w:val="24"/>
          <w:szCs w:val="24"/>
        </w:rPr>
        <w:t>adelante</w:t>
      </w:r>
      <w:r w:rsidRPr="00B634FB">
        <w:rPr>
          <w:rFonts w:ascii="Palatino Linotype" w:eastAsia="Palatino Linotype" w:hAnsi="Palatino Linotype" w:cs="Palatino Linotype"/>
          <w:sz w:val="24"/>
          <w:szCs w:val="24"/>
        </w:rPr>
        <w:t xml:space="preserve"> el</w:t>
      </w:r>
      <w:r w:rsidRPr="00B634FB">
        <w:rPr>
          <w:rFonts w:ascii="Palatino Linotype" w:eastAsia="Palatino Linotype" w:hAnsi="Palatino Linotype" w:cs="Palatino Linotype"/>
          <w:b/>
          <w:sz w:val="24"/>
          <w:szCs w:val="24"/>
        </w:rPr>
        <w:t xml:space="preserve"> SUJETO OBLIGADO</w:t>
      </w:r>
      <w:r w:rsidRPr="00B634FB">
        <w:rPr>
          <w:rFonts w:ascii="Palatino Linotype" w:eastAsia="Palatino Linotype" w:hAnsi="Palatino Linotype" w:cs="Palatino Linotype"/>
          <w:sz w:val="24"/>
          <w:szCs w:val="24"/>
        </w:rPr>
        <w:t>, se procede a dictar la presente resolución, con base en los siguientes:</w:t>
      </w:r>
    </w:p>
    <w:p w14:paraId="34F5BD62" w14:textId="77777777" w:rsidR="0084142B" w:rsidRPr="00B634FB" w:rsidRDefault="0084142B">
      <w:pPr>
        <w:spacing w:line="360" w:lineRule="auto"/>
        <w:jc w:val="both"/>
        <w:rPr>
          <w:rFonts w:ascii="Palatino Linotype" w:eastAsia="Palatino Linotype" w:hAnsi="Palatino Linotype" w:cs="Palatino Linotype"/>
          <w:b/>
          <w:sz w:val="24"/>
          <w:szCs w:val="24"/>
        </w:rPr>
      </w:pPr>
    </w:p>
    <w:p w14:paraId="526F2481" w14:textId="2C200A09" w:rsidR="0084142B" w:rsidRDefault="00CF1CC3">
      <w:pPr>
        <w:pStyle w:val="Ttulo1"/>
        <w:spacing w:before="0" w:line="360" w:lineRule="auto"/>
        <w:jc w:val="center"/>
        <w:rPr>
          <w:rFonts w:ascii="Palatino Linotype" w:eastAsia="Palatino Linotype" w:hAnsi="Palatino Linotype" w:cs="Palatino Linotype"/>
          <w:b/>
          <w:color w:val="000000"/>
          <w:sz w:val="24"/>
          <w:szCs w:val="24"/>
        </w:rPr>
      </w:pPr>
      <w:bookmarkStart w:id="1" w:name="_heading=h.k5tjtga1gtwn" w:colFirst="0" w:colLast="0"/>
      <w:bookmarkEnd w:id="1"/>
      <w:r w:rsidRPr="00B634FB">
        <w:rPr>
          <w:rFonts w:ascii="Palatino Linotype" w:eastAsia="Palatino Linotype" w:hAnsi="Palatino Linotype" w:cs="Palatino Linotype"/>
          <w:b/>
          <w:color w:val="000000"/>
          <w:sz w:val="24"/>
          <w:szCs w:val="24"/>
        </w:rPr>
        <w:t>A</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N</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T</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E</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C</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E</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D</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E</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N</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T</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E</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S</w:t>
      </w:r>
    </w:p>
    <w:p w14:paraId="5BE1457F" w14:textId="77777777" w:rsidR="003E7A6D" w:rsidRPr="003E7A6D" w:rsidRDefault="003E7A6D" w:rsidP="003E7A6D">
      <w:pPr>
        <w:rPr>
          <w:lang w:val="es-ES_tradnl" w:eastAsia="es-ES"/>
        </w:rPr>
      </w:pPr>
    </w:p>
    <w:p w14:paraId="5F86A4EE" w14:textId="708EA193" w:rsidR="0084142B" w:rsidRPr="00B634FB"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El</w:t>
      </w:r>
      <w:r w:rsidRPr="00B634FB">
        <w:rPr>
          <w:rFonts w:ascii="Palatino Linotype" w:eastAsia="Palatino Linotype" w:hAnsi="Palatino Linotype" w:cs="Palatino Linotype"/>
          <w:b/>
          <w:color w:val="000000"/>
          <w:sz w:val="24"/>
          <w:szCs w:val="24"/>
        </w:rPr>
        <w:t xml:space="preserve"> </w:t>
      </w:r>
      <w:r w:rsidR="002822B6" w:rsidRPr="00B634FB">
        <w:rPr>
          <w:rFonts w:ascii="Palatino Linotype" w:eastAsia="Palatino Linotype" w:hAnsi="Palatino Linotype" w:cs="Palatino Linotype"/>
          <w:b/>
          <w:color w:val="000000"/>
          <w:sz w:val="24"/>
          <w:szCs w:val="24"/>
        </w:rPr>
        <w:t>doce de junio</w:t>
      </w:r>
      <w:r w:rsidR="00350C93" w:rsidRPr="00B634FB">
        <w:rPr>
          <w:rFonts w:ascii="Palatino Linotype" w:eastAsia="Palatino Linotype" w:hAnsi="Palatino Linotype" w:cs="Palatino Linotype"/>
          <w:b/>
          <w:color w:val="000000"/>
          <w:sz w:val="24"/>
          <w:szCs w:val="24"/>
        </w:rPr>
        <w:t xml:space="preserve"> de dos mil veinticinco</w:t>
      </w:r>
      <w:r w:rsidRPr="00B634FB">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color w:val="000000"/>
          <w:sz w:val="24"/>
          <w:szCs w:val="24"/>
        </w:rPr>
        <w:t xml:space="preserve">se presentó ante el </w:t>
      </w:r>
      <w:r w:rsidRPr="00B634FB">
        <w:rPr>
          <w:rFonts w:ascii="Palatino Linotype" w:eastAsia="Palatino Linotype" w:hAnsi="Palatino Linotype" w:cs="Palatino Linotype"/>
          <w:b/>
          <w:color w:val="000000"/>
          <w:sz w:val="24"/>
          <w:szCs w:val="24"/>
        </w:rPr>
        <w:t>SUJETO OBLIGADO</w:t>
      </w:r>
      <w:r w:rsidRPr="00B634FB">
        <w:rPr>
          <w:rFonts w:ascii="Palatino Linotype" w:eastAsia="Palatino Linotype" w:hAnsi="Palatino Linotype" w:cs="Palatino Linotype"/>
          <w:color w:val="000000"/>
          <w:sz w:val="24"/>
          <w:szCs w:val="24"/>
        </w:rPr>
        <w:t xml:space="preserve"> a través del SAIMEX, la solicitud de información pública registrada con el número</w:t>
      </w:r>
      <w:r w:rsidR="002822B6" w:rsidRPr="00B634FB">
        <w:rPr>
          <w:rFonts w:ascii="Palatino Linotype" w:eastAsia="Palatino Linotype" w:hAnsi="Palatino Linotype" w:cs="Palatino Linotype"/>
          <w:b/>
          <w:color w:val="000000"/>
          <w:sz w:val="24"/>
          <w:szCs w:val="24"/>
        </w:rPr>
        <w:t xml:space="preserve"> </w:t>
      </w:r>
      <w:r w:rsidR="002822B6" w:rsidRPr="00B634FB">
        <w:rPr>
          <w:rFonts w:ascii="Palatino Linotype" w:eastAsia="Palatino Linotype" w:hAnsi="Palatino Linotype" w:cs="Palatino Linotype"/>
          <w:b/>
          <w:bCs/>
          <w:color w:val="000000"/>
          <w:sz w:val="24"/>
          <w:szCs w:val="24"/>
        </w:rPr>
        <w:t>00112/ACULCO/IP/2025</w:t>
      </w:r>
      <w:r w:rsidRPr="00B634FB">
        <w:rPr>
          <w:rFonts w:ascii="Palatino Linotype" w:eastAsia="Palatino Linotype" w:hAnsi="Palatino Linotype" w:cs="Palatino Linotype"/>
          <w:b/>
          <w:color w:val="000000"/>
          <w:sz w:val="24"/>
          <w:szCs w:val="24"/>
        </w:rPr>
        <w:t xml:space="preserve">; </w:t>
      </w:r>
      <w:r w:rsidR="003E7A6D">
        <w:rPr>
          <w:rFonts w:ascii="Palatino Linotype" w:eastAsia="Palatino Linotype" w:hAnsi="Palatino Linotype" w:cs="Palatino Linotype"/>
          <w:color w:val="000000"/>
          <w:sz w:val="24"/>
          <w:szCs w:val="24"/>
        </w:rPr>
        <w:t>en la que</w:t>
      </w:r>
      <w:r w:rsidRPr="00B634FB">
        <w:rPr>
          <w:rFonts w:ascii="Palatino Linotype" w:eastAsia="Palatino Linotype" w:hAnsi="Palatino Linotype" w:cs="Palatino Linotype"/>
          <w:color w:val="000000"/>
          <w:sz w:val="24"/>
          <w:szCs w:val="24"/>
        </w:rPr>
        <w:t xml:space="preserve"> se solicitó la siguiente información:</w:t>
      </w:r>
    </w:p>
    <w:p w14:paraId="4B723A18" w14:textId="77777777" w:rsidR="0084142B" w:rsidRPr="00B634FB"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82B7951" w14:textId="77777777" w:rsidR="0084142B" w:rsidRPr="00B634FB" w:rsidRDefault="00CF1CC3" w:rsidP="002822B6">
      <w:pPr>
        <w:pBdr>
          <w:top w:val="nil"/>
          <w:left w:val="nil"/>
          <w:bottom w:val="nil"/>
          <w:right w:val="nil"/>
          <w:between w:val="nil"/>
        </w:pBdr>
        <w:spacing w:after="0" w:line="360" w:lineRule="auto"/>
        <w:ind w:left="709" w:right="476"/>
        <w:jc w:val="both"/>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w:t>
      </w:r>
      <w:r w:rsidR="002822B6" w:rsidRPr="00B634FB">
        <w:rPr>
          <w:rFonts w:ascii="Palatino Linotype" w:eastAsia="Palatino Linotype" w:hAnsi="Palatino Linotype" w:cs="Palatino Linotype"/>
          <w:i/>
          <w:color w:val="000000"/>
          <w:sz w:val="24"/>
          <w:szCs w:val="24"/>
        </w:rPr>
        <w:t>Presupuesto ejercido y desglosado del 01 de enero 2025 a la fecha</w:t>
      </w:r>
      <w:r w:rsidRPr="00B634FB">
        <w:rPr>
          <w:rFonts w:ascii="Palatino Linotype" w:eastAsia="Palatino Linotype" w:hAnsi="Palatino Linotype" w:cs="Palatino Linotype"/>
          <w:i/>
          <w:color w:val="000000"/>
          <w:sz w:val="24"/>
          <w:szCs w:val="24"/>
        </w:rPr>
        <w:t>” (Sic)</w:t>
      </w:r>
    </w:p>
    <w:p w14:paraId="36DA0705" w14:textId="77777777" w:rsidR="0084142B" w:rsidRDefault="0084142B">
      <w:pPr>
        <w:pBdr>
          <w:top w:val="nil"/>
          <w:left w:val="nil"/>
          <w:bottom w:val="nil"/>
          <w:right w:val="nil"/>
          <w:between w:val="nil"/>
        </w:pBdr>
        <w:spacing w:after="0" w:line="360" w:lineRule="auto"/>
        <w:ind w:left="851" w:right="34"/>
        <w:jc w:val="both"/>
        <w:rPr>
          <w:rFonts w:ascii="Palatino Linotype" w:eastAsia="Palatino Linotype" w:hAnsi="Palatino Linotype" w:cs="Palatino Linotype"/>
          <w:color w:val="000000"/>
          <w:sz w:val="24"/>
          <w:szCs w:val="24"/>
        </w:rPr>
      </w:pPr>
    </w:p>
    <w:p w14:paraId="2AD97A44" w14:textId="77777777" w:rsidR="003E7A6D" w:rsidRPr="00B634FB" w:rsidRDefault="003E7A6D">
      <w:pPr>
        <w:pBdr>
          <w:top w:val="nil"/>
          <w:left w:val="nil"/>
          <w:bottom w:val="nil"/>
          <w:right w:val="nil"/>
          <w:between w:val="nil"/>
        </w:pBdr>
        <w:spacing w:after="0" w:line="360" w:lineRule="auto"/>
        <w:ind w:left="851" w:right="34"/>
        <w:jc w:val="both"/>
        <w:rPr>
          <w:rFonts w:ascii="Palatino Linotype" w:eastAsia="Palatino Linotype" w:hAnsi="Palatino Linotype" w:cs="Palatino Linotype"/>
          <w:color w:val="000000"/>
          <w:sz w:val="24"/>
          <w:szCs w:val="24"/>
        </w:rPr>
      </w:pPr>
    </w:p>
    <w:p w14:paraId="654C288D" w14:textId="77777777" w:rsidR="0084142B" w:rsidRPr="00B634FB" w:rsidRDefault="00CF1CC3" w:rsidP="003E7A6D">
      <w:pPr>
        <w:numPr>
          <w:ilvl w:val="0"/>
          <w:numId w:val="3"/>
        </w:numPr>
        <w:pBdr>
          <w:top w:val="nil"/>
          <w:left w:val="nil"/>
          <w:bottom w:val="nil"/>
          <w:right w:val="nil"/>
          <w:between w:val="nil"/>
        </w:pBdr>
        <w:spacing w:after="0" w:line="360" w:lineRule="auto"/>
        <w:ind w:left="0" w:right="474"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Se eligió como modalidad de entrega de la información: A través del </w:t>
      </w:r>
      <w:r w:rsidRPr="00B634FB">
        <w:rPr>
          <w:rFonts w:ascii="Palatino Linotype" w:eastAsia="Palatino Linotype" w:hAnsi="Palatino Linotype" w:cs="Palatino Linotype"/>
          <w:b/>
          <w:color w:val="000000"/>
          <w:sz w:val="24"/>
          <w:szCs w:val="24"/>
        </w:rPr>
        <w:t>SAIMEX.</w:t>
      </w:r>
    </w:p>
    <w:p w14:paraId="0F457D6E" w14:textId="77777777" w:rsidR="0084142B" w:rsidRPr="00B634FB" w:rsidRDefault="0084142B">
      <w:pPr>
        <w:rPr>
          <w:rFonts w:ascii="Palatino Linotype" w:eastAsia="Palatino Linotype" w:hAnsi="Palatino Linotype" w:cs="Palatino Linotype"/>
          <w:sz w:val="24"/>
          <w:szCs w:val="24"/>
        </w:rPr>
      </w:pPr>
    </w:p>
    <w:p w14:paraId="77E9930A" w14:textId="77777777" w:rsidR="00350C93" w:rsidRPr="00B634FB"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634FB">
        <w:rPr>
          <w:rFonts w:ascii="Palatino Linotype" w:eastAsia="Palatino Linotype" w:hAnsi="Palatino Linotype" w:cs="Palatino Linotype"/>
          <w:color w:val="000000"/>
          <w:sz w:val="24"/>
          <w:szCs w:val="24"/>
        </w:rPr>
        <w:lastRenderedPageBreak/>
        <w:t>El</w:t>
      </w:r>
      <w:r w:rsidR="00350C93" w:rsidRPr="00B634FB">
        <w:rPr>
          <w:rFonts w:ascii="Palatino Linotype" w:eastAsia="Palatino Linotype" w:hAnsi="Palatino Linotype" w:cs="Palatino Linotype"/>
          <w:color w:val="000000"/>
          <w:sz w:val="24"/>
          <w:szCs w:val="24"/>
        </w:rPr>
        <w:t xml:space="preserve"> </w:t>
      </w:r>
      <w:r w:rsidR="002822B6" w:rsidRPr="00B634FB">
        <w:rPr>
          <w:rFonts w:ascii="Palatino Linotype" w:eastAsia="Palatino Linotype" w:hAnsi="Palatino Linotype" w:cs="Palatino Linotype"/>
          <w:b/>
          <w:color w:val="000000"/>
          <w:sz w:val="24"/>
          <w:szCs w:val="24"/>
        </w:rPr>
        <w:t>catorce de junio</w:t>
      </w:r>
      <w:r w:rsidR="00350C93" w:rsidRPr="00B634FB">
        <w:rPr>
          <w:rFonts w:ascii="Palatino Linotype" w:eastAsia="Palatino Linotype" w:hAnsi="Palatino Linotype" w:cs="Palatino Linotype"/>
          <w:b/>
          <w:color w:val="000000"/>
          <w:sz w:val="24"/>
          <w:szCs w:val="24"/>
        </w:rPr>
        <w:t xml:space="preserve"> de dos mil veinticinco, </w:t>
      </w:r>
      <w:r w:rsidR="00350C93" w:rsidRPr="00B634FB">
        <w:rPr>
          <w:rFonts w:ascii="Palatino Linotype" w:eastAsia="Palatino Linotype" w:hAnsi="Palatino Linotype" w:cs="Palatino Linotype"/>
          <w:color w:val="000000"/>
          <w:sz w:val="24"/>
          <w:szCs w:val="24"/>
        </w:rPr>
        <w:t xml:space="preserve">se autorizó prórroga al </w:t>
      </w:r>
      <w:r w:rsidR="00350C93" w:rsidRPr="00B634FB">
        <w:rPr>
          <w:rFonts w:ascii="Palatino Linotype" w:eastAsia="Palatino Linotype" w:hAnsi="Palatino Linotype" w:cs="Palatino Linotype"/>
          <w:b/>
          <w:color w:val="000000"/>
          <w:sz w:val="24"/>
          <w:szCs w:val="24"/>
        </w:rPr>
        <w:t xml:space="preserve">SUJETO OBLIGADO, </w:t>
      </w:r>
      <w:r w:rsidR="00350C93" w:rsidRPr="00B634FB">
        <w:rPr>
          <w:rFonts w:ascii="Palatino Linotype" w:eastAsia="Palatino Linotype" w:hAnsi="Palatino Linotype" w:cs="Palatino Linotype"/>
          <w:color w:val="000000"/>
          <w:sz w:val="24"/>
          <w:szCs w:val="24"/>
        </w:rPr>
        <w:t>para dar respuesta a la solicitud de información que nos ocupa, en el tenor siguiente:</w:t>
      </w:r>
    </w:p>
    <w:p w14:paraId="598A24D5" w14:textId="77777777" w:rsidR="002822B6" w:rsidRPr="00B634FB" w:rsidRDefault="00350C93" w:rsidP="002822B6">
      <w:pPr>
        <w:pBdr>
          <w:top w:val="nil"/>
          <w:left w:val="nil"/>
          <w:bottom w:val="nil"/>
          <w:right w:val="nil"/>
          <w:between w:val="nil"/>
        </w:pBdr>
        <w:spacing w:after="0" w:line="276" w:lineRule="auto"/>
        <w:ind w:left="851" w:right="616"/>
        <w:jc w:val="right"/>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w:t>
      </w:r>
      <w:r w:rsidR="002822B6" w:rsidRPr="00B634FB">
        <w:rPr>
          <w:rFonts w:ascii="Palatino Linotype" w:eastAsia="Palatino Linotype" w:hAnsi="Palatino Linotype" w:cs="Palatino Linotype"/>
          <w:i/>
          <w:color w:val="000000"/>
          <w:sz w:val="24"/>
          <w:szCs w:val="24"/>
        </w:rPr>
        <w:t>Aculco, México a 03 de Julio de 2025</w:t>
      </w:r>
    </w:p>
    <w:p w14:paraId="23B3E6EF" w14:textId="77777777" w:rsidR="002822B6" w:rsidRPr="00B634FB" w:rsidRDefault="002822B6" w:rsidP="002822B6">
      <w:pPr>
        <w:pBdr>
          <w:top w:val="nil"/>
          <w:left w:val="nil"/>
          <w:bottom w:val="nil"/>
          <w:right w:val="nil"/>
          <w:between w:val="nil"/>
        </w:pBdr>
        <w:spacing w:after="0" w:line="276" w:lineRule="auto"/>
        <w:ind w:left="851" w:right="616"/>
        <w:jc w:val="right"/>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Nombre del solicitante: C. Solicitante</w:t>
      </w:r>
    </w:p>
    <w:p w14:paraId="47AF1359" w14:textId="77777777" w:rsidR="002822B6" w:rsidRPr="00B634FB" w:rsidRDefault="002822B6" w:rsidP="002822B6">
      <w:pPr>
        <w:pBdr>
          <w:top w:val="nil"/>
          <w:left w:val="nil"/>
          <w:bottom w:val="nil"/>
          <w:right w:val="nil"/>
          <w:between w:val="nil"/>
        </w:pBdr>
        <w:spacing w:after="0" w:line="276" w:lineRule="auto"/>
        <w:ind w:left="851" w:right="616"/>
        <w:jc w:val="right"/>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Folio de la solicitud: 00112/ACULCO/IP/2025</w:t>
      </w:r>
    </w:p>
    <w:p w14:paraId="228623D6" w14:textId="77777777" w:rsidR="002822B6" w:rsidRPr="00B634FB" w:rsidRDefault="002822B6" w:rsidP="002822B6">
      <w:pPr>
        <w:pBdr>
          <w:top w:val="nil"/>
          <w:left w:val="nil"/>
          <w:bottom w:val="nil"/>
          <w:right w:val="nil"/>
          <w:between w:val="nil"/>
        </w:pBdr>
        <w:spacing w:after="0" w:line="276" w:lineRule="auto"/>
        <w:ind w:left="851" w:right="616"/>
        <w:jc w:val="right"/>
        <w:rPr>
          <w:rFonts w:ascii="Palatino Linotype" w:eastAsia="Palatino Linotype" w:hAnsi="Palatino Linotype" w:cs="Palatino Linotype"/>
          <w:i/>
          <w:color w:val="000000"/>
          <w:sz w:val="24"/>
          <w:szCs w:val="24"/>
        </w:rPr>
      </w:pPr>
    </w:p>
    <w:p w14:paraId="0F198ECE" w14:textId="77777777" w:rsidR="002822B6" w:rsidRPr="00B634FB" w:rsidRDefault="002822B6" w:rsidP="002822B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28821F1" w14:textId="77777777" w:rsidR="002822B6" w:rsidRPr="00B634FB" w:rsidRDefault="002822B6" w:rsidP="002822B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color w:val="000000"/>
          <w:sz w:val="24"/>
          <w:szCs w:val="24"/>
        </w:rPr>
      </w:pPr>
    </w:p>
    <w:p w14:paraId="1B8B01BB" w14:textId="77777777" w:rsidR="002822B6" w:rsidRPr="00B634FB" w:rsidRDefault="002822B6" w:rsidP="002822B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Se aprueba la prorroga</w:t>
      </w:r>
    </w:p>
    <w:p w14:paraId="3ECE1AFB" w14:textId="77777777" w:rsidR="002822B6" w:rsidRPr="00B634FB" w:rsidRDefault="002822B6" w:rsidP="002822B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color w:val="000000"/>
          <w:sz w:val="24"/>
          <w:szCs w:val="24"/>
        </w:rPr>
      </w:pPr>
    </w:p>
    <w:p w14:paraId="03EDE3EE" w14:textId="77777777" w:rsidR="002822B6" w:rsidRPr="00B634FB" w:rsidRDefault="002822B6" w:rsidP="002822B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Ing. Brenda Crisanta Vilchis Rivera</w:t>
      </w:r>
    </w:p>
    <w:p w14:paraId="584DE5A5" w14:textId="77777777" w:rsidR="00350C93" w:rsidRPr="00B634FB" w:rsidRDefault="002822B6" w:rsidP="002822B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t xml:space="preserve">Responsable de la Unidad de Transparencia </w:t>
      </w:r>
      <w:r w:rsidR="00350C93" w:rsidRPr="00B634FB">
        <w:rPr>
          <w:rFonts w:ascii="Palatino Linotype" w:eastAsia="Palatino Linotype" w:hAnsi="Palatino Linotype" w:cs="Palatino Linotype"/>
          <w:i/>
          <w:color w:val="000000"/>
          <w:sz w:val="24"/>
          <w:szCs w:val="24"/>
        </w:rPr>
        <w:t>“</w:t>
      </w:r>
    </w:p>
    <w:p w14:paraId="3F6FD005" w14:textId="77777777" w:rsidR="00350C93" w:rsidRPr="00B634FB" w:rsidRDefault="00350C93" w:rsidP="00350C9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3F8C2AEE" w14:textId="77777777" w:rsidR="00350C93" w:rsidRPr="00B634FB" w:rsidRDefault="00350C93" w:rsidP="00350C9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F57C180" w14:textId="77777777" w:rsidR="00350C93" w:rsidRPr="00B634FB" w:rsidRDefault="00350C93" w:rsidP="00716D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El </w:t>
      </w:r>
      <w:r w:rsidR="002822B6" w:rsidRPr="00B634FB">
        <w:rPr>
          <w:rFonts w:ascii="Palatino Linotype" w:eastAsia="Palatino Linotype" w:hAnsi="Palatino Linotype" w:cs="Palatino Linotype"/>
          <w:b/>
          <w:color w:val="000000"/>
          <w:sz w:val="24"/>
          <w:szCs w:val="24"/>
        </w:rPr>
        <w:t>catorce de julio</w:t>
      </w:r>
      <w:r w:rsidRPr="00B634FB">
        <w:rPr>
          <w:rFonts w:ascii="Palatino Linotype" w:eastAsia="Palatino Linotype" w:hAnsi="Palatino Linotype" w:cs="Palatino Linotype"/>
          <w:b/>
          <w:color w:val="000000"/>
          <w:sz w:val="24"/>
          <w:szCs w:val="24"/>
        </w:rPr>
        <w:t xml:space="preserve"> de dos mil veinticinco</w:t>
      </w:r>
      <w:r w:rsidR="00CF1CC3" w:rsidRPr="00B634FB">
        <w:rPr>
          <w:rFonts w:ascii="Palatino Linotype" w:eastAsia="Palatino Linotype" w:hAnsi="Palatino Linotype" w:cs="Palatino Linotype"/>
          <w:b/>
          <w:color w:val="000000"/>
          <w:sz w:val="24"/>
          <w:szCs w:val="24"/>
        </w:rPr>
        <w:t>,</w:t>
      </w:r>
      <w:r w:rsidR="00CF1CC3" w:rsidRPr="00B634FB">
        <w:rPr>
          <w:rFonts w:ascii="Palatino Linotype" w:eastAsia="Palatino Linotype" w:hAnsi="Palatino Linotype" w:cs="Palatino Linotype"/>
          <w:color w:val="000000"/>
          <w:sz w:val="24"/>
          <w:szCs w:val="24"/>
        </w:rPr>
        <w:t xml:space="preserve"> el </w:t>
      </w:r>
      <w:r w:rsidR="00CF1CC3" w:rsidRPr="00B634FB">
        <w:rPr>
          <w:rFonts w:ascii="Palatino Linotype" w:eastAsia="Palatino Linotype" w:hAnsi="Palatino Linotype" w:cs="Palatino Linotype"/>
          <w:b/>
          <w:color w:val="000000"/>
          <w:sz w:val="24"/>
          <w:szCs w:val="24"/>
        </w:rPr>
        <w:t xml:space="preserve">SUJETO OBLIGADO, </w:t>
      </w:r>
      <w:r w:rsidR="002822B6" w:rsidRPr="00B634FB">
        <w:rPr>
          <w:rFonts w:ascii="Palatino Linotype" w:eastAsia="Palatino Linotype" w:hAnsi="Palatino Linotype" w:cs="Palatino Linotype"/>
          <w:color w:val="000000"/>
          <w:sz w:val="24"/>
          <w:szCs w:val="24"/>
        </w:rPr>
        <w:t xml:space="preserve">dio respuesta a través del archivo </w:t>
      </w:r>
      <w:hyperlink r:id="rId9" w:tgtFrame="_blank" w:history="1">
        <w:r w:rsidR="002822B6" w:rsidRPr="00B634FB">
          <w:rPr>
            <w:rStyle w:val="Hipervnculo"/>
            <w:rFonts w:ascii="Palatino Linotype" w:eastAsia="Palatino Linotype" w:hAnsi="Palatino Linotype" w:cs="Palatino Linotype"/>
            <w:b/>
            <w:bCs/>
            <w:i/>
            <w:color w:val="auto"/>
            <w:sz w:val="24"/>
            <w:szCs w:val="24"/>
            <w:u w:val="none"/>
          </w:rPr>
          <w:t>SOLICITUD 00112.pdf</w:t>
        </w:r>
      </w:hyperlink>
      <w:r w:rsidR="002822B6" w:rsidRPr="00B634FB">
        <w:rPr>
          <w:rFonts w:ascii="Palatino Linotype" w:eastAsia="Palatino Linotype" w:hAnsi="Palatino Linotype" w:cs="Palatino Linotype"/>
          <w:b/>
          <w:i/>
          <w:sz w:val="24"/>
          <w:szCs w:val="24"/>
        </w:rPr>
        <w:t xml:space="preserve">, </w:t>
      </w:r>
      <w:r w:rsidR="002822B6" w:rsidRPr="00B634FB">
        <w:rPr>
          <w:rFonts w:ascii="Palatino Linotype" w:eastAsia="Palatino Linotype" w:hAnsi="Palatino Linotype" w:cs="Palatino Linotype"/>
          <w:sz w:val="24"/>
          <w:szCs w:val="24"/>
        </w:rPr>
        <w:t>del que se desprende un oficio el cual se observa de manera ilegible.</w:t>
      </w:r>
    </w:p>
    <w:p w14:paraId="64A751EB" w14:textId="77777777" w:rsidR="00350C93" w:rsidRPr="00B634FB" w:rsidRDefault="00350C93" w:rsidP="002822B6">
      <w:pPr>
        <w:pBdr>
          <w:top w:val="nil"/>
          <w:left w:val="nil"/>
          <w:bottom w:val="nil"/>
          <w:right w:val="nil"/>
          <w:between w:val="nil"/>
        </w:pBdr>
        <w:spacing w:after="0" w:line="276" w:lineRule="auto"/>
        <w:ind w:left="567" w:right="333"/>
        <w:jc w:val="right"/>
        <w:rPr>
          <w:rFonts w:ascii="Palatino Linotype" w:eastAsia="Palatino Linotype" w:hAnsi="Palatino Linotype" w:cs="Palatino Linotype"/>
          <w:color w:val="000000"/>
          <w:sz w:val="24"/>
          <w:szCs w:val="24"/>
        </w:rPr>
      </w:pPr>
    </w:p>
    <w:p w14:paraId="443D2ABB" w14:textId="77777777" w:rsidR="0084142B" w:rsidRPr="00B634FB"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color w:val="000000"/>
          <w:sz w:val="24"/>
          <w:szCs w:val="24"/>
        </w:rPr>
        <w:t xml:space="preserve">Inconforme con lo anterior, el </w:t>
      </w:r>
      <w:r w:rsidR="002822B6" w:rsidRPr="00B634FB">
        <w:rPr>
          <w:rFonts w:ascii="Palatino Linotype" w:eastAsia="Palatino Linotype" w:hAnsi="Palatino Linotype" w:cs="Palatino Linotype"/>
          <w:b/>
          <w:color w:val="000000"/>
          <w:sz w:val="24"/>
          <w:szCs w:val="24"/>
        </w:rPr>
        <w:t xml:space="preserve">dieciséis de julio </w:t>
      </w:r>
      <w:r w:rsidRPr="00B634FB">
        <w:rPr>
          <w:rFonts w:ascii="Palatino Linotype" w:eastAsia="Palatino Linotype" w:hAnsi="Palatino Linotype" w:cs="Palatino Linotype"/>
          <w:b/>
          <w:color w:val="000000"/>
          <w:sz w:val="24"/>
          <w:szCs w:val="24"/>
        </w:rPr>
        <w:t>de dos mil veinticinco</w:t>
      </w:r>
      <w:r w:rsidRPr="00B634FB">
        <w:rPr>
          <w:rFonts w:ascii="Palatino Linotype" w:eastAsia="Palatino Linotype" w:hAnsi="Palatino Linotype" w:cs="Palatino Linotype"/>
          <w:color w:val="000000"/>
          <w:sz w:val="24"/>
          <w:szCs w:val="24"/>
        </w:rPr>
        <w:t xml:space="preserve">, el hoy </w:t>
      </w:r>
      <w:r w:rsidRPr="00B634FB">
        <w:rPr>
          <w:rFonts w:ascii="Palatino Linotype" w:eastAsia="Palatino Linotype" w:hAnsi="Palatino Linotype" w:cs="Palatino Linotype"/>
          <w:b/>
          <w:color w:val="000000"/>
          <w:sz w:val="24"/>
          <w:szCs w:val="24"/>
        </w:rPr>
        <w:t xml:space="preserve">RECURRENTE, </w:t>
      </w:r>
      <w:r w:rsidRPr="00B634FB">
        <w:rPr>
          <w:rFonts w:ascii="Palatino Linotype" w:eastAsia="Palatino Linotype" w:hAnsi="Palatino Linotype" w:cs="Palatino Linotype"/>
          <w:color w:val="000000"/>
          <w:sz w:val="24"/>
          <w:szCs w:val="24"/>
        </w:rPr>
        <w:t xml:space="preserve">interpuso recurso de revisión en contra de la respuesta emitida por el </w:t>
      </w:r>
      <w:r w:rsidRPr="00B634FB">
        <w:rPr>
          <w:rFonts w:ascii="Palatino Linotype" w:eastAsia="Palatino Linotype" w:hAnsi="Palatino Linotype" w:cs="Palatino Linotype"/>
          <w:b/>
          <w:color w:val="000000"/>
          <w:sz w:val="24"/>
          <w:szCs w:val="24"/>
        </w:rPr>
        <w:t>SUJETO OBLIGADO</w:t>
      </w:r>
      <w:r w:rsidRPr="00B634FB">
        <w:rPr>
          <w:rFonts w:ascii="Palatino Linotype" w:eastAsia="Palatino Linotype" w:hAnsi="Palatino Linotype" w:cs="Palatino Linotype"/>
          <w:color w:val="000000"/>
          <w:sz w:val="24"/>
          <w:szCs w:val="24"/>
        </w:rPr>
        <w:t>, manifestando las siguientes razones o motivos de inconformidad:</w:t>
      </w:r>
    </w:p>
    <w:p w14:paraId="799D13AF" w14:textId="77777777" w:rsidR="0084142B" w:rsidRPr="00B634FB" w:rsidRDefault="0084142B">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i/>
          <w:color w:val="000000"/>
          <w:sz w:val="24"/>
          <w:szCs w:val="24"/>
        </w:rPr>
      </w:pPr>
    </w:p>
    <w:p w14:paraId="1A0912EB" w14:textId="01904D12" w:rsidR="0084142B" w:rsidRPr="00B634FB" w:rsidRDefault="003E7A6D" w:rsidP="003E7A6D">
      <w:pPr>
        <w:numPr>
          <w:ilvl w:val="0"/>
          <w:numId w:val="3"/>
        </w:numPr>
        <w:pBdr>
          <w:top w:val="nil"/>
          <w:left w:val="nil"/>
          <w:bottom w:val="nil"/>
          <w:right w:val="nil"/>
          <w:between w:val="nil"/>
        </w:pBdr>
        <w:spacing w:after="0" w:line="360" w:lineRule="auto"/>
        <w:ind w:left="0" w:right="333" w:firstLine="0"/>
        <w:jc w:val="both"/>
        <w:rPr>
          <w:rFonts w:ascii="Palatino Linotype" w:eastAsia="Palatino Linotype" w:hAnsi="Palatino Linotype" w:cs="Palatino Linotype"/>
          <w:i/>
          <w:color w:val="000000"/>
          <w:sz w:val="24"/>
          <w:szCs w:val="24"/>
        </w:rPr>
      </w:pPr>
      <w:bookmarkStart w:id="2" w:name="_heading=h.sz4sngxvcrxd" w:colFirst="0" w:colLast="0"/>
      <w:bookmarkEnd w:id="2"/>
      <w:r w:rsidRPr="00B634FB">
        <w:rPr>
          <w:rFonts w:ascii="Palatino Linotype" w:eastAsia="Palatino Linotype" w:hAnsi="Palatino Linotype" w:cs="Palatino Linotype"/>
          <w:b/>
          <w:color w:val="000000"/>
          <w:sz w:val="24"/>
          <w:szCs w:val="24"/>
        </w:rPr>
        <w:t>ACTO IMPUGNADO</w:t>
      </w:r>
      <w:r w:rsidR="00CF1CC3" w:rsidRPr="00B634FB">
        <w:rPr>
          <w:rFonts w:ascii="Palatino Linotype" w:eastAsia="Palatino Linotype" w:hAnsi="Palatino Linotype" w:cs="Palatino Linotype"/>
          <w:b/>
          <w:color w:val="000000"/>
          <w:sz w:val="24"/>
          <w:szCs w:val="24"/>
        </w:rPr>
        <w:t xml:space="preserve">: </w:t>
      </w:r>
      <w:r w:rsidR="00CF1CC3" w:rsidRPr="00B634FB">
        <w:rPr>
          <w:rFonts w:ascii="Palatino Linotype" w:eastAsia="Palatino Linotype" w:hAnsi="Palatino Linotype" w:cs="Palatino Linotype"/>
          <w:i/>
          <w:color w:val="000000"/>
          <w:sz w:val="24"/>
          <w:szCs w:val="24"/>
        </w:rPr>
        <w:t>“</w:t>
      </w:r>
      <w:r w:rsidR="00AE33E0" w:rsidRPr="00B634FB">
        <w:rPr>
          <w:rFonts w:ascii="Palatino Linotype" w:eastAsia="Palatino Linotype" w:hAnsi="Palatino Linotype" w:cs="Palatino Linotype"/>
          <w:i/>
          <w:color w:val="000000"/>
          <w:sz w:val="24"/>
          <w:szCs w:val="24"/>
        </w:rPr>
        <w:t>Información incompleta e ilegible</w:t>
      </w:r>
      <w:r w:rsidR="00CF1CC3" w:rsidRPr="00B634FB">
        <w:rPr>
          <w:rFonts w:ascii="Palatino Linotype" w:eastAsia="Palatino Linotype" w:hAnsi="Palatino Linotype" w:cs="Palatino Linotype"/>
          <w:i/>
          <w:color w:val="000000"/>
          <w:sz w:val="24"/>
          <w:szCs w:val="24"/>
        </w:rPr>
        <w:t>”</w:t>
      </w:r>
    </w:p>
    <w:p w14:paraId="69277C0A" w14:textId="6FEBE2BE" w:rsidR="0084142B" w:rsidRPr="00B634FB" w:rsidRDefault="003E7A6D" w:rsidP="003E7A6D">
      <w:pPr>
        <w:numPr>
          <w:ilvl w:val="0"/>
          <w:numId w:val="3"/>
        </w:numPr>
        <w:pBdr>
          <w:top w:val="nil"/>
          <w:left w:val="nil"/>
          <w:bottom w:val="nil"/>
          <w:right w:val="nil"/>
          <w:between w:val="nil"/>
        </w:pBdr>
        <w:spacing w:after="0" w:line="360" w:lineRule="auto"/>
        <w:ind w:left="0" w:right="333" w:firstLine="0"/>
        <w:jc w:val="both"/>
        <w:rPr>
          <w:rFonts w:ascii="Palatino Linotype" w:eastAsia="Palatino Linotype" w:hAnsi="Palatino Linotype" w:cs="Palatino Linotype"/>
          <w:i/>
          <w:color w:val="000000"/>
          <w:sz w:val="24"/>
          <w:szCs w:val="24"/>
        </w:rPr>
      </w:pPr>
      <w:bookmarkStart w:id="3" w:name="_heading=h.q4ny55z1g6bu" w:colFirst="0" w:colLast="0"/>
      <w:bookmarkEnd w:id="3"/>
      <w:r w:rsidRPr="00B634FB">
        <w:rPr>
          <w:rFonts w:ascii="Palatino Linotype" w:eastAsia="Palatino Linotype" w:hAnsi="Palatino Linotype" w:cs="Palatino Linotype"/>
          <w:b/>
          <w:color w:val="000000"/>
          <w:sz w:val="24"/>
          <w:szCs w:val="24"/>
        </w:rPr>
        <w:t>RAZONES O MOTIVOS DE INCONFORMIDAD</w:t>
      </w:r>
      <w:r w:rsidR="00CF1CC3" w:rsidRPr="00B634FB">
        <w:rPr>
          <w:rFonts w:ascii="Palatino Linotype" w:eastAsia="Palatino Linotype" w:hAnsi="Palatino Linotype" w:cs="Palatino Linotype"/>
          <w:b/>
          <w:color w:val="000000"/>
          <w:sz w:val="24"/>
          <w:szCs w:val="24"/>
        </w:rPr>
        <w:t>: “</w:t>
      </w:r>
      <w:r w:rsidR="00AE33E0" w:rsidRPr="00B634FB">
        <w:rPr>
          <w:rFonts w:ascii="Palatino Linotype" w:eastAsia="Palatino Linotype" w:hAnsi="Palatino Linotype" w:cs="Palatino Linotype"/>
          <w:i/>
          <w:color w:val="000000"/>
          <w:sz w:val="24"/>
          <w:szCs w:val="24"/>
        </w:rPr>
        <w:t>Incompleta e ilegible</w:t>
      </w:r>
      <w:r w:rsidR="00CF1CC3" w:rsidRPr="00B634FB">
        <w:rPr>
          <w:rFonts w:ascii="Palatino Linotype" w:eastAsia="Palatino Linotype" w:hAnsi="Palatino Linotype" w:cs="Palatino Linotype"/>
          <w:color w:val="000000"/>
          <w:sz w:val="24"/>
          <w:szCs w:val="24"/>
        </w:rPr>
        <w:t>”</w:t>
      </w:r>
    </w:p>
    <w:p w14:paraId="6EB51F4D" w14:textId="341C5375" w:rsidR="0084142B" w:rsidRPr="00B634FB" w:rsidRDefault="003E7A6D">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lastRenderedPageBreak/>
        <w:t>La Comisionada p</w:t>
      </w:r>
      <w:r w:rsidR="00CF1CC3" w:rsidRPr="00B634FB">
        <w:rPr>
          <w:rFonts w:ascii="Palatino Linotype" w:eastAsia="Palatino Linotype" w:hAnsi="Palatino Linotype" w:cs="Palatino Linotype"/>
          <w:color w:val="000000"/>
          <w:sz w:val="24"/>
          <w:szCs w:val="24"/>
        </w:rPr>
        <w:t xml:space="preserve">onente con fundamento en lo dispuesto por el artículo 185 fracción II de la ley de la materia, a través del acuerdo de admisión notificado el </w:t>
      </w:r>
      <w:r w:rsidR="00716DA0" w:rsidRPr="00B634FB">
        <w:rPr>
          <w:rFonts w:ascii="Palatino Linotype" w:eastAsia="Palatino Linotype" w:hAnsi="Palatino Linotype" w:cs="Palatino Linotype"/>
          <w:b/>
          <w:color w:val="000000"/>
          <w:sz w:val="24"/>
          <w:szCs w:val="24"/>
        </w:rPr>
        <w:t>cinco de agosto</w:t>
      </w:r>
      <w:r w:rsidR="00CF1CC3" w:rsidRPr="00B634FB">
        <w:rPr>
          <w:rFonts w:ascii="Palatino Linotype" w:eastAsia="Palatino Linotype" w:hAnsi="Palatino Linotype" w:cs="Palatino Linotype"/>
          <w:b/>
          <w:color w:val="000000"/>
          <w:sz w:val="24"/>
          <w:szCs w:val="24"/>
        </w:rPr>
        <w:t xml:space="preserve"> de dos mil veinticinco</w:t>
      </w:r>
      <w:r w:rsidR="00CF1CC3" w:rsidRPr="00B634FB">
        <w:rPr>
          <w:rFonts w:ascii="Palatino Linotype" w:eastAsia="Palatino Linotype" w:hAnsi="Palatino Linotype" w:cs="Palatino Linotype"/>
          <w:color w:val="000000"/>
          <w:sz w:val="24"/>
          <w:szCs w:val="24"/>
        </w:rPr>
        <w:t xml:space="preserve">, puso a disposición de las partes el expediente electrónico vía </w:t>
      </w:r>
      <w:r w:rsidR="00CF1CC3" w:rsidRPr="00B634FB">
        <w:rPr>
          <w:rFonts w:ascii="Palatino Linotype" w:eastAsia="Palatino Linotype" w:hAnsi="Palatino Linotype" w:cs="Palatino Linotype"/>
          <w:b/>
          <w:color w:val="000000"/>
          <w:sz w:val="24"/>
          <w:szCs w:val="24"/>
        </w:rPr>
        <w:t xml:space="preserve">SAIMEX </w:t>
      </w:r>
      <w:r w:rsidR="00CF1CC3" w:rsidRPr="00B634FB">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00CF1CC3" w:rsidRPr="00B634FB">
        <w:rPr>
          <w:rFonts w:ascii="Palatino Linotype" w:eastAsia="Palatino Linotype" w:hAnsi="Palatino Linotype" w:cs="Palatino Linotype"/>
          <w:b/>
          <w:color w:val="000000"/>
          <w:sz w:val="24"/>
          <w:szCs w:val="24"/>
        </w:rPr>
        <w:t>SUJETO OBLIGADO</w:t>
      </w:r>
      <w:r w:rsidR="00CF1CC3" w:rsidRPr="00B634FB">
        <w:rPr>
          <w:rFonts w:ascii="Palatino Linotype" w:eastAsia="Palatino Linotype" w:hAnsi="Palatino Linotype" w:cs="Palatino Linotype"/>
          <w:color w:val="000000"/>
          <w:sz w:val="24"/>
          <w:szCs w:val="24"/>
        </w:rPr>
        <w:t xml:space="preserve"> presentará el Informe Justificado procedente.</w:t>
      </w:r>
    </w:p>
    <w:p w14:paraId="357EC648" w14:textId="77777777" w:rsidR="0084142B" w:rsidRPr="00B634FB"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8994FE" w14:textId="77777777" w:rsidR="0084142B"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El </w:t>
      </w:r>
      <w:r w:rsidRPr="00B634FB">
        <w:rPr>
          <w:rFonts w:ascii="Palatino Linotype" w:eastAsia="Palatino Linotype" w:hAnsi="Palatino Linotype" w:cs="Palatino Linotype"/>
          <w:b/>
          <w:color w:val="000000"/>
          <w:sz w:val="24"/>
          <w:szCs w:val="24"/>
        </w:rPr>
        <w:t xml:space="preserve">SUJETO OBLIGADO </w:t>
      </w:r>
      <w:r w:rsidRPr="00B634FB">
        <w:rPr>
          <w:rFonts w:ascii="Palatino Linotype" w:eastAsia="Palatino Linotype" w:hAnsi="Palatino Linotype" w:cs="Palatino Linotype"/>
          <w:color w:val="000000"/>
          <w:sz w:val="24"/>
          <w:szCs w:val="24"/>
        </w:rPr>
        <w:t xml:space="preserve">y el </w:t>
      </w:r>
      <w:r w:rsidRPr="00B634FB">
        <w:rPr>
          <w:rFonts w:ascii="Palatino Linotype" w:eastAsia="Palatino Linotype" w:hAnsi="Palatino Linotype" w:cs="Palatino Linotype"/>
          <w:b/>
          <w:color w:val="000000"/>
          <w:sz w:val="24"/>
          <w:szCs w:val="24"/>
        </w:rPr>
        <w:t xml:space="preserve">PARTICULAR </w:t>
      </w:r>
      <w:r w:rsidRPr="00B634FB">
        <w:rPr>
          <w:rFonts w:ascii="Palatino Linotype" w:eastAsia="Palatino Linotype" w:hAnsi="Palatino Linotype" w:cs="Palatino Linotype"/>
          <w:color w:val="000000"/>
          <w:sz w:val="24"/>
          <w:szCs w:val="24"/>
        </w:rPr>
        <w:t>fueron omisos en realizar manifestación alguna que a su derecho conviniera y asistiera.</w:t>
      </w:r>
    </w:p>
    <w:p w14:paraId="3DBA9170" w14:textId="77777777" w:rsidR="003E7A6D" w:rsidRPr="00B634FB" w:rsidRDefault="003E7A6D" w:rsidP="003E7A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05D5B0" w14:textId="77777777" w:rsidR="00716DA0" w:rsidRPr="003E7A6D" w:rsidRDefault="00716DA0" w:rsidP="0067698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4" w:name="_heading=h.jnpr9qdalaue" w:colFirst="0" w:colLast="0"/>
      <w:bookmarkEnd w:id="4"/>
      <w:r w:rsidRPr="00B634FB">
        <w:rPr>
          <w:rFonts w:ascii="Palatino Linotype" w:eastAsia="Palatino Linotype" w:hAnsi="Palatino Linotype" w:cs="Palatino Linotype"/>
          <w:color w:val="000000"/>
          <w:sz w:val="24"/>
          <w:szCs w:val="24"/>
        </w:rPr>
        <w:t xml:space="preserve">El </w:t>
      </w:r>
      <w:r w:rsidRPr="00B634FB">
        <w:rPr>
          <w:rFonts w:ascii="Palatino Linotype" w:eastAsia="Palatino Linotype" w:hAnsi="Palatino Linotype" w:cs="Palatino Linotype"/>
          <w:b/>
          <w:color w:val="000000"/>
          <w:sz w:val="24"/>
          <w:szCs w:val="24"/>
        </w:rPr>
        <w:t xml:space="preserve">quince de enero de dos mil veintiséis, </w:t>
      </w:r>
      <w:r w:rsidRPr="00B634FB">
        <w:rPr>
          <w:rFonts w:ascii="Palatino Linotype" w:eastAsia="Palatino Linotype" w:hAnsi="Palatino Linotype" w:cs="Palatino Linotype"/>
          <w:color w:val="000000"/>
          <w:sz w:val="24"/>
          <w:szCs w:val="24"/>
        </w:rPr>
        <w:t>se notificó el acuerdo por el que se aprobó la ampliación del plazo para resolver el recurso de revisión que nos ocupa.</w:t>
      </w:r>
    </w:p>
    <w:p w14:paraId="3B0D0729" w14:textId="77777777" w:rsidR="003E7A6D" w:rsidRPr="00B634FB" w:rsidRDefault="003E7A6D" w:rsidP="003E7A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D3BD656" w14:textId="3CDDF572" w:rsidR="0084142B" w:rsidRPr="003E7A6D" w:rsidRDefault="00716DA0" w:rsidP="0067698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634FB">
        <w:rPr>
          <w:rFonts w:ascii="Palatino Linotype" w:eastAsia="Palatino Linotype" w:hAnsi="Palatino Linotype" w:cs="Palatino Linotype"/>
          <w:color w:val="000000"/>
          <w:sz w:val="24"/>
          <w:szCs w:val="24"/>
        </w:rPr>
        <w:t>M</w:t>
      </w:r>
      <w:r w:rsidR="00CF1CC3" w:rsidRPr="00B634FB">
        <w:rPr>
          <w:rFonts w:ascii="Palatino Linotype" w:eastAsia="Palatino Linotype" w:hAnsi="Palatino Linotype" w:cs="Palatino Linotype"/>
          <w:color w:val="000000"/>
          <w:sz w:val="24"/>
          <w:szCs w:val="24"/>
        </w:rPr>
        <w:t xml:space="preserve">ediante acuerdo de </w:t>
      </w:r>
      <w:r w:rsidRPr="00B634FB">
        <w:rPr>
          <w:rFonts w:ascii="Palatino Linotype" w:eastAsia="Palatino Linotype" w:hAnsi="Palatino Linotype" w:cs="Palatino Linotype"/>
          <w:b/>
          <w:color w:val="000000"/>
          <w:sz w:val="24"/>
          <w:szCs w:val="24"/>
        </w:rPr>
        <w:t>quince de enero de dos mil veintiséis</w:t>
      </w:r>
      <w:r w:rsidR="00CF1CC3" w:rsidRPr="00B634FB">
        <w:rPr>
          <w:rFonts w:ascii="Palatino Linotype" w:eastAsia="Palatino Linotype" w:hAnsi="Palatino Linotype" w:cs="Palatino Linotype"/>
          <w:b/>
          <w:color w:val="000000"/>
          <w:sz w:val="24"/>
          <w:szCs w:val="24"/>
        </w:rPr>
        <w:t xml:space="preserve">, </w:t>
      </w:r>
      <w:r w:rsidR="00CF1CC3" w:rsidRPr="00B634FB">
        <w:rPr>
          <w:rFonts w:ascii="Palatino Linotype" w:eastAsia="Palatino Linotype" w:hAnsi="Palatino Linotype" w:cs="Palatino Linotype"/>
          <w:color w:val="000000"/>
          <w:sz w:val="24"/>
          <w:szCs w:val="24"/>
        </w:rPr>
        <w:t>se  decretó el cierre de instrucción, por lo que no habiendo más que hacer constar, y</w:t>
      </w:r>
    </w:p>
    <w:p w14:paraId="5785D714" w14:textId="77777777" w:rsidR="003E7A6D" w:rsidRDefault="003E7A6D" w:rsidP="003E7A6D">
      <w:pPr>
        <w:pStyle w:val="Prrafodelista"/>
        <w:rPr>
          <w:rFonts w:ascii="Palatino Linotype" w:eastAsia="Palatino Linotype" w:hAnsi="Palatino Linotype" w:cs="Palatino Linotype"/>
          <w:b/>
          <w:color w:val="000000"/>
        </w:rPr>
      </w:pPr>
    </w:p>
    <w:p w14:paraId="2A1DE278" w14:textId="77777777" w:rsidR="003E7A6D" w:rsidRPr="00B634FB" w:rsidRDefault="003E7A6D" w:rsidP="003E7A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B9A8054" w14:textId="374D88B8" w:rsidR="0084142B" w:rsidRPr="00B634FB" w:rsidRDefault="00CF1CC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B634FB">
        <w:rPr>
          <w:rFonts w:ascii="Palatino Linotype" w:eastAsia="Palatino Linotype" w:hAnsi="Palatino Linotype" w:cs="Palatino Linotype"/>
          <w:b/>
          <w:color w:val="000000"/>
          <w:sz w:val="24"/>
          <w:szCs w:val="24"/>
        </w:rPr>
        <w:t>C</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O</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N</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S</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I</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D</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E</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R</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A</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N</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D</w:t>
      </w:r>
      <w:r w:rsidR="003E7A6D">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b/>
          <w:color w:val="000000"/>
          <w:sz w:val="24"/>
          <w:szCs w:val="24"/>
        </w:rPr>
        <w:t>O</w:t>
      </w:r>
      <w:r w:rsidR="003E7A6D">
        <w:rPr>
          <w:rFonts w:ascii="Palatino Linotype" w:eastAsia="Palatino Linotype" w:hAnsi="Palatino Linotype" w:cs="Palatino Linotype"/>
          <w:b/>
          <w:color w:val="000000"/>
          <w:sz w:val="24"/>
          <w:szCs w:val="24"/>
        </w:rPr>
        <w:t xml:space="preserve"> </w:t>
      </w:r>
    </w:p>
    <w:p w14:paraId="6139DD52" w14:textId="77777777" w:rsidR="0084142B" w:rsidRPr="00B634FB" w:rsidRDefault="0084142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14:paraId="03EC8595" w14:textId="77777777" w:rsidR="0084142B" w:rsidRPr="00B634FB" w:rsidRDefault="00CF1CC3">
      <w:pPr>
        <w:pStyle w:val="Ttulo2"/>
        <w:spacing w:before="0" w:line="360" w:lineRule="auto"/>
        <w:rPr>
          <w:rFonts w:ascii="Palatino Linotype" w:eastAsia="Palatino Linotype" w:hAnsi="Palatino Linotype" w:cs="Palatino Linotype"/>
          <w:b/>
          <w:color w:val="000000"/>
          <w:sz w:val="24"/>
          <w:szCs w:val="24"/>
        </w:rPr>
      </w:pPr>
      <w:bookmarkStart w:id="5" w:name="_heading=h.qvthlr518szq" w:colFirst="0" w:colLast="0"/>
      <w:bookmarkEnd w:id="5"/>
      <w:r w:rsidRPr="00B634FB">
        <w:rPr>
          <w:rFonts w:ascii="Palatino Linotype" w:eastAsia="Palatino Linotype" w:hAnsi="Palatino Linotype" w:cs="Palatino Linotype"/>
          <w:b/>
          <w:color w:val="000000"/>
          <w:sz w:val="24"/>
          <w:szCs w:val="24"/>
        </w:rPr>
        <w:t>PRIMERO. De la competencia</w:t>
      </w:r>
    </w:p>
    <w:p w14:paraId="23CD6319" w14:textId="77777777" w:rsidR="0084142B" w:rsidRPr="00B634FB"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w:t>
      </w:r>
      <w:r w:rsidRPr="00B634FB">
        <w:rPr>
          <w:rFonts w:ascii="Palatino Linotype" w:eastAsia="Palatino Linotype" w:hAnsi="Palatino Linotype" w:cs="Palatino Linotype"/>
          <w:color w:val="000000"/>
          <w:sz w:val="24"/>
          <w:szCs w:val="24"/>
        </w:rPr>
        <w:lastRenderedPageBreak/>
        <w:t>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95F71E1" w14:textId="77777777" w:rsidR="0084142B" w:rsidRPr="00B634FB"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A07643" w14:textId="77777777" w:rsidR="0084142B" w:rsidRPr="00B634FB" w:rsidRDefault="00CF1CC3">
      <w:pPr>
        <w:pStyle w:val="Ttulo2"/>
        <w:spacing w:before="0" w:line="360" w:lineRule="auto"/>
        <w:rPr>
          <w:rFonts w:ascii="Palatino Linotype" w:eastAsia="Palatino Linotype" w:hAnsi="Palatino Linotype" w:cs="Palatino Linotype"/>
          <w:b/>
          <w:color w:val="000000"/>
          <w:sz w:val="24"/>
          <w:szCs w:val="24"/>
        </w:rPr>
      </w:pPr>
      <w:bookmarkStart w:id="6" w:name="_heading=h.yxepb6g6s82q" w:colFirst="0" w:colLast="0"/>
      <w:bookmarkEnd w:id="6"/>
      <w:r w:rsidRPr="00B634FB">
        <w:rPr>
          <w:rFonts w:ascii="Palatino Linotype" w:eastAsia="Palatino Linotype" w:hAnsi="Palatino Linotype" w:cs="Palatino Linotype"/>
          <w:b/>
          <w:color w:val="000000"/>
          <w:sz w:val="24"/>
          <w:szCs w:val="24"/>
        </w:rPr>
        <w:t>SEGUNDO. De la oportunidad y procedencia.</w:t>
      </w:r>
    </w:p>
    <w:p w14:paraId="0275C9E7" w14:textId="77777777" w:rsidR="0084142B" w:rsidRPr="00B634FB" w:rsidRDefault="00CF1CC3" w:rsidP="00716DA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El medio de impugnación fue presentado a través del </w:t>
      </w:r>
      <w:r w:rsidRPr="00B634FB">
        <w:rPr>
          <w:rFonts w:ascii="Palatino Linotype" w:eastAsia="Palatino Linotype" w:hAnsi="Palatino Linotype" w:cs="Palatino Linotype"/>
          <w:b/>
          <w:color w:val="000000"/>
          <w:sz w:val="24"/>
          <w:szCs w:val="24"/>
        </w:rPr>
        <w:t>SAIMEX,</w:t>
      </w:r>
      <w:r w:rsidRPr="00B634FB">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B634FB">
        <w:rPr>
          <w:rFonts w:ascii="Palatino Linotype" w:eastAsia="Palatino Linotype" w:hAnsi="Palatino Linotype" w:cs="Palatino Linotype"/>
          <w:b/>
          <w:color w:val="000000"/>
          <w:sz w:val="24"/>
          <w:szCs w:val="24"/>
        </w:rPr>
        <w:t>SUJETO OBLIGADO</w:t>
      </w:r>
      <w:r w:rsidRPr="00B634FB">
        <w:rPr>
          <w:rFonts w:ascii="Palatino Linotype" w:eastAsia="Palatino Linotype" w:hAnsi="Palatino Linotype" w:cs="Palatino Linotype"/>
          <w:color w:val="000000"/>
          <w:sz w:val="24"/>
          <w:szCs w:val="24"/>
        </w:rPr>
        <w:t xml:space="preserve"> entregó su respuesta el </w:t>
      </w:r>
      <w:r w:rsidR="00716DA0" w:rsidRPr="00B634FB">
        <w:rPr>
          <w:rFonts w:ascii="Palatino Linotype" w:eastAsia="Palatino Linotype" w:hAnsi="Palatino Linotype" w:cs="Palatino Linotype"/>
          <w:b/>
          <w:color w:val="000000"/>
          <w:sz w:val="24"/>
          <w:szCs w:val="24"/>
        </w:rPr>
        <w:t>catorce de julio</w:t>
      </w:r>
      <w:r w:rsidRPr="00B634FB">
        <w:rPr>
          <w:rFonts w:ascii="Palatino Linotype" w:eastAsia="Palatino Linotype" w:hAnsi="Palatino Linotype" w:cs="Palatino Linotype"/>
          <w:b/>
          <w:color w:val="000000"/>
          <w:sz w:val="24"/>
          <w:szCs w:val="24"/>
        </w:rPr>
        <w:t xml:space="preserve"> de dos mil veinticinco</w:t>
      </w:r>
      <w:r w:rsidRPr="00B634FB">
        <w:rPr>
          <w:rFonts w:ascii="Palatino Linotype" w:eastAsia="Palatino Linotype" w:hAnsi="Palatino Linotype" w:cs="Palatino Linotype"/>
          <w:color w:val="000000"/>
          <w:sz w:val="24"/>
          <w:szCs w:val="24"/>
        </w:rPr>
        <w:t>, de tal forma que el plazo para interponer el recurso de revisión transcurrió del</w:t>
      </w:r>
      <w:r w:rsidRPr="00B634FB">
        <w:rPr>
          <w:rFonts w:ascii="Palatino Linotype" w:eastAsia="Palatino Linotype" w:hAnsi="Palatino Linotype" w:cs="Palatino Linotype"/>
          <w:b/>
          <w:color w:val="000000"/>
          <w:sz w:val="24"/>
          <w:szCs w:val="24"/>
        </w:rPr>
        <w:t xml:space="preserve"> </w:t>
      </w:r>
      <w:r w:rsidR="00716DA0" w:rsidRPr="00B634FB">
        <w:rPr>
          <w:rFonts w:ascii="Palatino Linotype" w:eastAsia="Palatino Linotype" w:hAnsi="Palatino Linotype" w:cs="Palatino Linotype"/>
          <w:b/>
          <w:color w:val="000000"/>
          <w:sz w:val="24"/>
          <w:szCs w:val="24"/>
        </w:rPr>
        <w:t xml:space="preserve">quince de julio al </w:t>
      </w:r>
      <w:r w:rsidR="001D1F0F" w:rsidRPr="00B634FB">
        <w:rPr>
          <w:rFonts w:ascii="Palatino Linotype" w:eastAsia="Palatino Linotype" w:hAnsi="Palatino Linotype" w:cs="Palatino Linotype"/>
          <w:b/>
          <w:color w:val="000000"/>
          <w:sz w:val="24"/>
          <w:szCs w:val="24"/>
        </w:rPr>
        <w:t xml:space="preserve"> </w:t>
      </w:r>
      <w:r w:rsidR="00716DA0" w:rsidRPr="00B634FB">
        <w:rPr>
          <w:rFonts w:ascii="Palatino Linotype" w:eastAsia="Palatino Linotype" w:hAnsi="Palatino Linotype" w:cs="Palatino Linotype"/>
          <w:b/>
          <w:color w:val="000000"/>
          <w:sz w:val="24"/>
          <w:szCs w:val="24"/>
        </w:rPr>
        <w:t xml:space="preserve">dieciocho de agosto </w:t>
      </w:r>
      <w:r w:rsidRPr="00B634FB">
        <w:rPr>
          <w:rFonts w:ascii="Palatino Linotype" w:eastAsia="Palatino Linotype" w:hAnsi="Palatino Linotype" w:cs="Palatino Linotype"/>
          <w:b/>
          <w:color w:val="000000"/>
          <w:sz w:val="24"/>
          <w:szCs w:val="24"/>
        </w:rPr>
        <w:t>de dos mil veinticinco,</w:t>
      </w:r>
      <w:r w:rsidRPr="00B634FB">
        <w:rPr>
          <w:rFonts w:ascii="Palatino Linotype" w:eastAsia="Palatino Linotype" w:hAnsi="Palatino Linotype" w:cs="Palatino Linotype"/>
          <w:color w:val="000000"/>
          <w:sz w:val="24"/>
          <w:szCs w:val="24"/>
        </w:rPr>
        <w:t xml:space="preserve"> en consecuencia, el ahora </w:t>
      </w:r>
      <w:r w:rsidRPr="00B634FB">
        <w:rPr>
          <w:rFonts w:ascii="Palatino Linotype" w:eastAsia="Palatino Linotype" w:hAnsi="Palatino Linotype" w:cs="Palatino Linotype"/>
          <w:b/>
          <w:color w:val="000000"/>
          <w:sz w:val="24"/>
          <w:szCs w:val="24"/>
        </w:rPr>
        <w:t>RECURRENTE</w:t>
      </w:r>
      <w:r w:rsidRPr="00B634FB">
        <w:rPr>
          <w:rFonts w:ascii="Palatino Linotype" w:eastAsia="Palatino Linotype" w:hAnsi="Palatino Linotype" w:cs="Palatino Linotype"/>
          <w:color w:val="000000"/>
          <w:sz w:val="24"/>
          <w:szCs w:val="24"/>
        </w:rPr>
        <w:t xml:space="preserve"> presentó su inconformidad el </w:t>
      </w:r>
      <w:r w:rsidR="00716DA0" w:rsidRPr="00B634FB">
        <w:rPr>
          <w:rFonts w:ascii="Palatino Linotype" w:eastAsia="Palatino Linotype" w:hAnsi="Palatino Linotype" w:cs="Palatino Linotype"/>
          <w:b/>
          <w:color w:val="000000"/>
          <w:sz w:val="24"/>
          <w:szCs w:val="24"/>
        </w:rPr>
        <w:t>dieciséis de julio</w:t>
      </w:r>
      <w:r w:rsidRPr="00B634FB">
        <w:rPr>
          <w:rFonts w:ascii="Palatino Linotype" w:eastAsia="Palatino Linotype" w:hAnsi="Palatino Linotype" w:cs="Palatino Linotype"/>
          <w:b/>
          <w:color w:val="000000"/>
          <w:sz w:val="24"/>
          <w:szCs w:val="24"/>
        </w:rPr>
        <w:t xml:space="preserve"> de dos mil veinticinco</w:t>
      </w:r>
      <w:r w:rsidRPr="00B634FB">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14:paraId="3482D356" w14:textId="670561B9" w:rsidR="003E7A6D" w:rsidRDefault="00CF1CC3" w:rsidP="003E7A6D">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482EEC4" w14:textId="77777777" w:rsidR="003E7A6D" w:rsidRPr="003E7A6D" w:rsidRDefault="003E7A6D" w:rsidP="003E7A6D">
      <w:pPr>
        <w:spacing w:before="240" w:after="240" w:line="360" w:lineRule="auto"/>
        <w:ind w:right="48"/>
        <w:jc w:val="both"/>
        <w:rPr>
          <w:rFonts w:ascii="Palatino Linotype" w:eastAsia="Palatino Linotype" w:hAnsi="Palatino Linotype" w:cs="Palatino Linotype"/>
          <w:sz w:val="24"/>
          <w:szCs w:val="24"/>
        </w:rPr>
      </w:pPr>
    </w:p>
    <w:p w14:paraId="5EBEB502" w14:textId="77777777" w:rsidR="0084142B" w:rsidRPr="00B634FB" w:rsidRDefault="00CF1CC3">
      <w:pPr>
        <w:pStyle w:val="Ttulo1"/>
        <w:spacing w:before="0" w:line="360" w:lineRule="auto"/>
        <w:rPr>
          <w:rFonts w:ascii="Palatino Linotype" w:eastAsia="Palatino Linotype" w:hAnsi="Palatino Linotype" w:cs="Palatino Linotype"/>
          <w:b/>
          <w:color w:val="000000"/>
          <w:sz w:val="24"/>
          <w:szCs w:val="24"/>
        </w:rPr>
      </w:pPr>
      <w:bookmarkStart w:id="7" w:name="_heading=h.eyseha2nnyzo" w:colFirst="0" w:colLast="0"/>
      <w:bookmarkEnd w:id="7"/>
      <w:r w:rsidRPr="00B634FB">
        <w:rPr>
          <w:rFonts w:ascii="Palatino Linotype" w:eastAsia="Palatino Linotype" w:hAnsi="Palatino Linotype" w:cs="Palatino Linotype"/>
          <w:b/>
          <w:color w:val="000000"/>
          <w:sz w:val="24"/>
          <w:szCs w:val="24"/>
        </w:rPr>
        <w:t xml:space="preserve">TERCERO. Del planteamiento de la </w:t>
      </w:r>
      <w:r w:rsidRPr="00B634FB">
        <w:rPr>
          <w:rFonts w:ascii="Palatino Linotype" w:eastAsia="Palatino Linotype" w:hAnsi="Palatino Linotype" w:cs="Palatino Linotype"/>
          <w:b/>
          <w:i/>
          <w:color w:val="000000"/>
          <w:sz w:val="24"/>
          <w:szCs w:val="24"/>
        </w:rPr>
        <w:t>Litis</w:t>
      </w:r>
      <w:r w:rsidRPr="00B634FB">
        <w:rPr>
          <w:rFonts w:ascii="Palatino Linotype" w:eastAsia="Palatino Linotype" w:hAnsi="Palatino Linotype" w:cs="Palatino Linotype"/>
          <w:b/>
          <w:color w:val="000000"/>
          <w:sz w:val="24"/>
          <w:szCs w:val="24"/>
        </w:rPr>
        <w:t>.</w:t>
      </w:r>
    </w:p>
    <w:p w14:paraId="1E1569E6" w14:textId="77777777" w:rsidR="0084142B" w:rsidRPr="00B634FB"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Se solicitó tener acceso, a la información que a continuación se desagrega:</w:t>
      </w:r>
    </w:p>
    <w:p w14:paraId="368C6F5A" w14:textId="77777777" w:rsidR="0084142B" w:rsidRPr="00B634FB" w:rsidRDefault="0084142B">
      <w:pPr>
        <w:pBdr>
          <w:top w:val="nil"/>
          <w:left w:val="nil"/>
          <w:bottom w:val="nil"/>
          <w:right w:val="nil"/>
          <w:between w:val="nil"/>
        </w:pBdr>
        <w:spacing w:after="0" w:line="360" w:lineRule="auto"/>
        <w:ind w:left="720" w:right="616"/>
        <w:jc w:val="both"/>
        <w:rPr>
          <w:rFonts w:ascii="Palatino Linotype" w:eastAsia="Palatino Linotype" w:hAnsi="Palatino Linotype" w:cs="Palatino Linotype"/>
          <w:color w:val="000000"/>
          <w:sz w:val="24"/>
          <w:szCs w:val="24"/>
        </w:rPr>
      </w:pPr>
    </w:p>
    <w:p w14:paraId="44989E85" w14:textId="77777777" w:rsidR="0084142B" w:rsidRPr="00B634FB" w:rsidRDefault="00CF1CC3" w:rsidP="00716DA0">
      <w:pPr>
        <w:pBdr>
          <w:top w:val="nil"/>
          <w:left w:val="nil"/>
          <w:bottom w:val="nil"/>
          <w:right w:val="nil"/>
          <w:between w:val="nil"/>
        </w:pBdr>
        <w:spacing w:after="0" w:line="360" w:lineRule="auto"/>
        <w:ind w:left="778" w:right="616"/>
        <w:jc w:val="both"/>
        <w:rPr>
          <w:rFonts w:ascii="Palatino Linotype" w:eastAsia="Palatino Linotype" w:hAnsi="Palatino Linotype" w:cs="Palatino Linotype"/>
          <w:i/>
          <w:color w:val="000000"/>
          <w:sz w:val="24"/>
          <w:szCs w:val="24"/>
        </w:rPr>
      </w:pPr>
      <w:r w:rsidRPr="00B634FB">
        <w:rPr>
          <w:rFonts w:ascii="Palatino Linotype" w:eastAsia="Palatino Linotype" w:hAnsi="Palatino Linotype" w:cs="Palatino Linotype"/>
          <w:i/>
          <w:color w:val="000000"/>
          <w:sz w:val="24"/>
          <w:szCs w:val="24"/>
        </w:rPr>
        <w:lastRenderedPageBreak/>
        <w:t>“</w:t>
      </w:r>
      <w:r w:rsidR="00716DA0" w:rsidRPr="00B634FB">
        <w:rPr>
          <w:rFonts w:ascii="Palatino Linotype" w:eastAsia="Palatino Linotype" w:hAnsi="Palatino Linotype" w:cs="Palatino Linotype"/>
          <w:i/>
          <w:color w:val="000000"/>
          <w:sz w:val="24"/>
          <w:szCs w:val="24"/>
        </w:rPr>
        <w:t>Presupuesto ejercido y desglosado del 01 de enero 2025 a la fecha</w:t>
      </w:r>
      <w:r w:rsidR="001D1F0F" w:rsidRPr="00B634FB">
        <w:rPr>
          <w:rFonts w:ascii="Palatino Linotype" w:eastAsia="Palatino Linotype" w:hAnsi="Palatino Linotype" w:cs="Palatino Linotype"/>
          <w:i/>
          <w:color w:val="000000"/>
          <w:sz w:val="24"/>
          <w:szCs w:val="24"/>
        </w:rPr>
        <w:t>”</w:t>
      </w:r>
    </w:p>
    <w:p w14:paraId="2E063174" w14:textId="77777777" w:rsidR="001D1F0F" w:rsidRPr="00B634FB" w:rsidRDefault="001D1F0F" w:rsidP="001D1F0F">
      <w:pPr>
        <w:pBdr>
          <w:top w:val="nil"/>
          <w:left w:val="nil"/>
          <w:bottom w:val="nil"/>
          <w:right w:val="nil"/>
          <w:between w:val="nil"/>
        </w:pBdr>
        <w:spacing w:after="0" w:line="360" w:lineRule="auto"/>
        <w:ind w:left="778" w:right="616"/>
        <w:jc w:val="both"/>
        <w:rPr>
          <w:rFonts w:ascii="Palatino Linotype" w:eastAsia="Palatino Linotype" w:hAnsi="Palatino Linotype" w:cs="Palatino Linotype"/>
          <w:i/>
          <w:color w:val="000000"/>
          <w:sz w:val="24"/>
          <w:szCs w:val="24"/>
        </w:rPr>
      </w:pPr>
    </w:p>
    <w:p w14:paraId="3EA40083" w14:textId="77777777" w:rsidR="0084142B" w:rsidRPr="00B634FB" w:rsidRDefault="00CF1CC3" w:rsidP="0067698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634FB">
        <w:rPr>
          <w:rFonts w:ascii="Palatino Linotype" w:eastAsia="Palatino Linotype" w:hAnsi="Palatino Linotype" w:cs="Palatino Linotype"/>
          <w:color w:val="000000"/>
          <w:sz w:val="24"/>
          <w:szCs w:val="24"/>
        </w:rPr>
        <w:t xml:space="preserve">En respuesta, el </w:t>
      </w:r>
      <w:r w:rsidRPr="00B634FB">
        <w:rPr>
          <w:rFonts w:ascii="Palatino Linotype" w:eastAsia="Palatino Linotype" w:hAnsi="Palatino Linotype" w:cs="Palatino Linotype"/>
          <w:b/>
          <w:color w:val="000000"/>
          <w:sz w:val="24"/>
          <w:szCs w:val="24"/>
        </w:rPr>
        <w:t>SUJETO OBLIGADO</w:t>
      </w:r>
      <w:r w:rsidRPr="00B634FB">
        <w:rPr>
          <w:rFonts w:ascii="Palatino Linotype" w:eastAsia="Palatino Linotype" w:hAnsi="Palatino Linotype" w:cs="Palatino Linotype"/>
          <w:color w:val="000000"/>
          <w:sz w:val="24"/>
          <w:szCs w:val="24"/>
        </w:rPr>
        <w:t xml:space="preserve">, </w:t>
      </w:r>
      <w:r w:rsidR="00716DA0" w:rsidRPr="00B634FB">
        <w:rPr>
          <w:rFonts w:ascii="Palatino Linotype" w:eastAsia="Palatino Linotype" w:hAnsi="Palatino Linotype" w:cs="Palatino Linotype"/>
          <w:color w:val="000000"/>
          <w:sz w:val="24"/>
          <w:szCs w:val="24"/>
        </w:rPr>
        <w:t>dio respuesta mediante un oficio el cual se observa ilegible.</w:t>
      </w:r>
    </w:p>
    <w:p w14:paraId="34B48578" w14:textId="77777777" w:rsidR="004B039F" w:rsidRPr="00B634FB" w:rsidRDefault="004B039F" w:rsidP="004B039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C712B4E" w14:textId="77777777" w:rsidR="004B039F" w:rsidRPr="00B634FB" w:rsidRDefault="004B039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Inconforme, el </w:t>
      </w:r>
      <w:r w:rsidRPr="00B634FB">
        <w:rPr>
          <w:rFonts w:ascii="Palatino Linotype" w:eastAsia="Palatino Linotype" w:hAnsi="Palatino Linotype" w:cs="Palatino Linotype"/>
          <w:b/>
          <w:color w:val="000000"/>
          <w:sz w:val="24"/>
          <w:szCs w:val="24"/>
        </w:rPr>
        <w:t xml:space="preserve">PARTICULAR., </w:t>
      </w:r>
      <w:r w:rsidRPr="00B634FB">
        <w:rPr>
          <w:rFonts w:ascii="Palatino Linotype" w:eastAsia="Palatino Linotype" w:hAnsi="Palatino Linotype" w:cs="Palatino Linotype"/>
          <w:color w:val="000000"/>
          <w:sz w:val="24"/>
          <w:szCs w:val="24"/>
        </w:rPr>
        <w:t xml:space="preserve">interpuso recurso de revisión arguyendo que </w:t>
      </w:r>
      <w:r w:rsidR="00716DA0" w:rsidRPr="00B634FB">
        <w:rPr>
          <w:rFonts w:ascii="Palatino Linotype" w:eastAsia="Palatino Linotype" w:hAnsi="Palatino Linotype" w:cs="Palatino Linotype"/>
          <w:color w:val="000000"/>
          <w:sz w:val="24"/>
          <w:szCs w:val="24"/>
        </w:rPr>
        <w:t xml:space="preserve">la información se encuentra incompleta e ilegible. </w:t>
      </w:r>
    </w:p>
    <w:p w14:paraId="6C971996" w14:textId="77777777" w:rsidR="004B039F" w:rsidRPr="00B634FB" w:rsidRDefault="004B039F" w:rsidP="004B039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BBD8FEA" w14:textId="77777777" w:rsidR="0084142B" w:rsidRPr="00B634FB"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 En la etapa de manifestaciones el </w:t>
      </w:r>
      <w:r w:rsidRPr="00B634FB">
        <w:rPr>
          <w:rFonts w:ascii="Palatino Linotype" w:eastAsia="Palatino Linotype" w:hAnsi="Palatino Linotype" w:cs="Palatino Linotype"/>
          <w:b/>
          <w:color w:val="000000"/>
          <w:sz w:val="24"/>
          <w:szCs w:val="24"/>
        </w:rPr>
        <w:t>SUJETO OBLIGADO</w:t>
      </w:r>
      <w:r w:rsidRPr="00B634FB">
        <w:rPr>
          <w:rFonts w:ascii="Palatino Linotype" w:eastAsia="Palatino Linotype" w:hAnsi="Palatino Linotype" w:cs="Palatino Linotype"/>
          <w:color w:val="000000"/>
          <w:sz w:val="24"/>
          <w:szCs w:val="24"/>
        </w:rPr>
        <w:t xml:space="preserve"> y el </w:t>
      </w:r>
      <w:r w:rsidRPr="00B634FB">
        <w:rPr>
          <w:rFonts w:ascii="Palatino Linotype" w:eastAsia="Palatino Linotype" w:hAnsi="Palatino Linotype" w:cs="Palatino Linotype"/>
          <w:b/>
          <w:color w:val="000000"/>
          <w:sz w:val="24"/>
          <w:szCs w:val="24"/>
        </w:rPr>
        <w:t xml:space="preserve">PARTICULAR¸ </w:t>
      </w:r>
      <w:r w:rsidRPr="00B634FB">
        <w:rPr>
          <w:rFonts w:ascii="Palatino Linotype" w:eastAsia="Palatino Linotype" w:hAnsi="Palatino Linotype" w:cs="Palatino Linotype"/>
          <w:color w:val="000000"/>
          <w:sz w:val="24"/>
          <w:szCs w:val="24"/>
        </w:rPr>
        <w:t xml:space="preserve">no realizaron pronunciamiento alguno. </w:t>
      </w:r>
    </w:p>
    <w:p w14:paraId="32471119" w14:textId="77777777" w:rsidR="0084142B" w:rsidRPr="00B634FB" w:rsidRDefault="00CF1CC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ab/>
      </w:r>
    </w:p>
    <w:p w14:paraId="6B67C71E" w14:textId="77777777" w:rsidR="0084142B" w:rsidRPr="00B634FB" w:rsidRDefault="00CF1CC3">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En dichas condiciones, la </w:t>
      </w:r>
      <w:r w:rsidRPr="00B634FB">
        <w:rPr>
          <w:rFonts w:ascii="Palatino Linotype" w:eastAsia="Palatino Linotype" w:hAnsi="Palatino Linotype" w:cs="Palatino Linotype"/>
          <w:i/>
          <w:sz w:val="24"/>
          <w:szCs w:val="24"/>
        </w:rPr>
        <w:t>Litis</w:t>
      </w:r>
      <w:r w:rsidRPr="00B634FB">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00716DA0" w:rsidRPr="00B634FB">
        <w:rPr>
          <w:rFonts w:ascii="Palatino Linotype" w:eastAsia="Palatino Linotype" w:hAnsi="Palatino Linotype" w:cs="Palatino Linotype"/>
          <w:b/>
          <w:sz w:val="24"/>
          <w:szCs w:val="24"/>
        </w:rPr>
        <w:t xml:space="preserve">fracción V </w:t>
      </w:r>
      <w:r w:rsidR="00716DA0" w:rsidRPr="00B634FB">
        <w:rPr>
          <w:rFonts w:ascii="Palatino Linotype" w:eastAsia="Palatino Linotype" w:hAnsi="Palatino Linotype" w:cs="Palatino Linotype"/>
          <w:sz w:val="24"/>
          <w:szCs w:val="24"/>
        </w:rPr>
        <w:t xml:space="preserve">y </w:t>
      </w:r>
      <w:r w:rsidR="00716DA0" w:rsidRPr="00B634FB">
        <w:rPr>
          <w:rFonts w:ascii="Palatino Linotype" w:eastAsia="Palatino Linotype" w:hAnsi="Palatino Linotype" w:cs="Palatino Linotype"/>
          <w:b/>
          <w:sz w:val="24"/>
          <w:szCs w:val="24"/>
        </w:rPr>
        <w:t>IX</w:t>
      </w:r>
      <w:r w:rsidRPr="00B634FB">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sz w:val="24"/>
          <w:szCs w:val="24"/>
        </w:rPr>
        <w:t xml:space="preserve">de la </w:t>
      </w:r>
      <w:r w:rsidRPr="00B634FB">
        <w:rPr>
          <w:rFonts w:ascii="Palatino Linotype" w:eastAsia="Palatino Linotype" w:hAnsi="Palatino Linotype" w:cs="Palatino Linotype"/>
          <w:b/>
          <w:sz w:val="24"/>
          <w:szCs w:val="24"/>
        </w:rPr>
        <w:t xml:space="preserve">Ley de Transparencia y Acceso a la Información Pública del Estado de </w:t>
      </w:r>
      <w:r w:rsidRPr="00B634FB">
        <w:rPr>
          <w:rFonts w:ascii="Palatino Linotype" w:eastAsia="Palatino Linotype" w:hAnsi="Palatino Linotype" w:cs="Palatino Linotype"/>
          <w:sz w:val="24"/>
          <w:szCs w:val="24"/>
        </w:rPr>
        <w:t>México</w:t>
      </w:r>
      <w:r w:rsidRPr="00B634FB">
        <w:rPr>
          <w:rFonts w:ascii="Palatino Linotype" w:eastAsia="Palatino Linotype" w:hAnsi="Palatino Linotype" w:cs="Palatino Linotype"/>
          <w:b/>
          <w:sz w:val="24"/>
          <w:szCs w:val="24"/>
        </w:rPr>
        <w:t xml:space="preserve"> y </w:t>
      </w:r>
      <w:r w:rsidRPr="00B634FB">
        <w:rPr>
          <w:rFonts w:ascii="Palatino Linotype" w:eastAsia="Palatino Linotype" w:hAnsi="Palatino Linotype" w:cs="Palatino Linotype"/>
          <w:sz w:val="24"/>
          <w:szCs w:val="24"/>
        </w:rPr>
        <w:t xml:space="preserve">Municipios; </w:t>
      </w:r>
      <w:r w:rsidRPr="00B634FB">
        <w:rPr>
          <w:rFonts w:ascii="Palatino Linotype" w:eastAsia="Palatino Linotype" w:hAnsi="Palatino Linotype" w:cs="Palatino Linotype"/>
          <w:color w:val="000000"/>
          <w:sz w:val="24"/>
          <w:szCs w:val="24"/>
        </w:rPr>
        <w:t xml:space="preserve">fracción que determina la hipótesis jurídica relativa a </w:t>
      </w:r>
      <w:r w:rsidR="00716DA0" w:rsidRPr="00B634FB">
        <w:rPr>
          <w:rFonts w:ascii="Palatino Linotype" w:eastAsia="Palatino Linotype" w:hAnsi="Palatino Linotype" w:cs="Palatino Linotype"/>
          <w:color w:val="000000"/>
          <w:sz w:val="24"/>
          <w:szCs w:val="24"/>
        </w:rPr>
        <w:t>la entrega de información incompleta y la entrega o puesta a disposición de información en un formato incomprensible y/o no accesible para el solicitante</w:t>
      </w:r>
      <w:r w:rsidRPr="00B634FB">
        <w:rPr>
          <w:rFonts w:ascii="Palatino Linotype" w:eastAsia="Palatino Linotype" w:hAnsi="Palatino Linotype" w:cs="Palatino Linotype"/>
          <w:color w:val="000000"/>
          <w:sz w:val="24"/>
          <w:szCs w:val="24"/>
        </w:rPr>
        <w:t xml:space="preserve">; </w:t>
      </w:r>
      <w:r w:rsidRPr="00B634FB">
        <w:rPr>
          <w:rFonts w:ascii="Palatino Linotype" w:eastAsia="Palatino Linotype" w:hAnsi="Palatino Linotype" w:cs="Palatino Linotype"/>
          <w:sz w:val="24"/>
          <w:szCs w:val="24"/>
        </w:rPr>
        <w:t xml:space="preserve">contexto del cual se dolió </w:t>
      </w:r>
      <w:r w:rsidRPr="00B634FB">
        <w:rPr>
          <w:rFonts w:ascii="Palatino Linotype" w:eastAsia="Palatino Linotype" w:hAnsi="Palatino Linotype" w:cs="Palatino Linotype"/>
          <w:b/>
          <w:sz w:val="24"/>
          <w:szCs w:val="24"/>
        </w:rPr>
        <w:t xml:space="preserve">EL RECURRENTE </w:t>
      </w:r>
      <w:r w:rsidRPr="00B634FB">
        <w:rPr>
          <w:rFonts w:ascii="Palatino Linotype" w:eastAsia="Palatino Linotype" w:hAnsi="Palatino Linotype" w:cs="Palatino Linotype"/>
          <w:sz w:val="24"/>
          <w:szCs w:val="24"/>
        </w:rPr>
        <w:t>al momento de interponer su inconformidad.</w:t>
      </w:r>
      <w:r w:rsidRPr="00B634FB">
        <w:rPr>
          <w:rFonts w:ascii="Palatino Linotype" w:eastAsia="Palatino Linotype" w:hAnsi="Palatino Linotype" w:cs="Palatino Linotype"/>
          <w:color w:val="000000"/>
          <w:sz w:val="24"/>
          <w:szCs w:val="24"/>
        </w:rPr>
        <w:t xml:space="preserve"> </w:t>
      </w:r>
    </w:p>
    <w:p w14:paraId="074EBE57" w14:textId="77777777" w:rsidR="0084142B" w:rsidRPr="00B634FB" w:rsidRDefault="0084142B">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14:paraId="72E8CD92" w14:textId="77777777" w:rsidR="0084142B" w:rsidRPr="00B634FB" w:rsidRDefault="00CF1CC3">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color w:val="000000"/>
          <w:sz w:val="24"/>
          <w:szCs w:val="24"/>
        </w:rPr>
        <w:t xml:space="preserve">De modo tal que el presente recurso de revisión se abocara en determinar si el </w:t>
      </w:r>
      <w:r w:rsidRPr="00B634FB">
        <w:rPr>
          <w:rFonts w:ascii="Palatino Linotype" w:eastAsia="Palatino Linotype" w:hAnsi="Palatino Linotype" w:cs="Palatino Linotype"/>
          <w:b/>
          <w:color w:val="000000"/>
          <w:sz w:val="24"/>
          <w:szCs w:val="24"/>
        </w:rPr>
        <w:t>SUJETO</w:t>
      </w:r>
      <w:r w:rsidRPr="00B634FB">
        <w:rPr>
          <w:rFonts w:ascii="Palatino Linotype" w:eastAsia="Palatino Linotype" w:hAnsi="Palatino Linotype" w:cs="Palatino Linotype"/>
          <w:color w:val="000000"/>
          <w:sz w:val="24"/>
          <w:szCs w:val="24"/>
        </w:rPr>
        <w:t xml:space="preserve"> </w:t>
      </w:r>
      <w:r w:rsidRPr="00B634FB">
        <w:rPr>
          <w:rFonts w:ascii="Palatino Linotype" w:eastAsia="Palatino Linotype" w:hAnsi="Palatino Linotype" w:cs="Palatino Linotype"/>
          <w:b/>
          <w:color w:val="000000"/>
          <w:sz w:val="24"/>
          <w:szCs w:val="24"/>
        </w:rPr>
        <w:t>OBLIGADO</w:t>
      </w:r>
      <w:r w:rsidRPr="00B634FB">
        <w:rPr>
          <w:rFonts w:ascii="Palatino Linotype" w:eastAsia="Palatino Linotype" w:hAnsi="Palatino Linotype" w:cs="Palatino Linotype"/>
          <w:color w:val="000000"/>
          <w:sz w:val="24"/>
          <w:szCs w:val="24"/>
        </w:rPr>
        <w:t xml:space="preserve"> con su respuesta ciertamente actualiza la causal de procedencia</w:t>
      </w:r>
      <w:r w:rsidRPr="00B634FB">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color w:val="000000"/>
          <w:sz w:val="24"/>
          <w:szCs w:val="24"/>
        </w:rPr>
        <w:t xml:space="preserve">antes señalada. </w:t>
      </w:r>
    </w:p>
    <w:p w14:paraId="68233C31" w14:textId="77777777" w:rsidR="0084142B" w:rsidRPr="00B634FB" w:rsidRDefault="0084142B">
      <w:pPr>
        <w:spacing w:after="0" w:line="360" w:lineRule="auto"/>
        <w:jc w:val="both"/>
        <w:rPr>
          <w:rFonts w:ascii="Palatino Linotype" w:eastAsia="Palatino Linotype" w:hAnsi="Palatino Linotype" w:cs="Palatino Linotype"/>
          <w:sz w:val="24"/>
          <w:szCs w:val="24"/>
        </w:rPr>
      </w:pPr>
    </w:p>
    <w:p w14:paraId="2AC92235" w14:textId="77777777" w:rsidR="0084142B" w:rsidRPr="00B634FB" w:rsidRDefault="00CF1CC3">
      <w:pPr>
        <w:pStyle w:val="Ttulo2"/>
        <w:spacing w:before="0" w:line="360" w:lineRule="auto"/>
        <w:rPr>
          <w:rFonts w:ascii="Palatino Linotype" w:eastAsia="Palatino Linotype" w:hAnsi="Palatino Linotype" w:cs="Palatino Linotype"/>
          <w:b/>
          <w:color w:val="000000"/>
          <w:sz w:val="24"/>
          <w:szCs w:val="24"/>
        </w:rPr>
      </w:pPr>
      <w:bookmarkStart w:id="8" w:name="_heading=h.l0qb12bvm7pp" w:colFirst="0" w:colLast="0"/>
      <w:bookmarkEnd w:id="8"/>
      <w:r w:rsidRPr="00B634FB">
        <w:rPr>
          <w:rFonts w:ascii="Palatino Linotype" w:eastAsia="Palatino Linotype" w:hAnsi="Palatino Linotype" w:cs="Palatino Linotype"/>
          <w:b/>
          <w:color w:val="000000"/>
          <w:sz w:val="24"/>
          <w:szCs w:val="24"/>
        </w:rPr>
        <w:lastRenderedPageBreak/>
        <w:t>CUARTO. Del estudio y resolución del asunto.</w:t>
      </w:r>
    </w:p>
    <w:p w14:paraId="787BA148" w14:textId="7B1AE43D" w:rsidR="0084142B" w:rsidRPr="003E7A6D" w:rsidRDefault="00CF1CC3" w:rsidP="003E7A6D">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3E7A6D">
        <w:rPr>
          <w:rFonts w:ascii="Palatino Linotype" w:eastAsia="Palatino Linotype" w:hAnsi="Palatino Linotype" w:cs="Palatino Linotype"/>
          <w:color w:val="000000"/>
        </w:rPr>
        <w:t xml:space="preserve">Acotada la </w:t>
      </w:r>
      <w:r w:rsidRPr="003E7A6D">
        <w:rPr>
          <w:rFonts w:ascii="Palatino Linotype" w:eastAsia="Palatino Linotype" w:hAnsi="Palatino Linotype" w:cs="Palatino Linotype"/>
          <w:i/>
          <w:color w:val="000000"/>
        </w:rPr>
        <w:t>Litis</w:t>
      </w:r>
      <w:r w:rsidRPr="003E7A6D">
        <w:rPr>
          <w:rFonts w:ascii="Palatino Linotype" w:eastAsia="Palatino Linotype" w:hAnsi="Palatino Linotype" w:cs="Palatino Linotype"/>
          <w:color w:val="000000"/>
        </w:rPr>
        <w:t xml:space="preserve"> del presente asunto, respecto de la información solicitada y la resp</w:t>
      </w:r>
      <w:r w:rsidR="004B039F" w:rsidRPr="003E7A6D">
        <w:rPr>
          <w:rFonts w:ascii="Palatino Linotype" w:eastAsia="Palatino Linotype" w:hAnsi="Palatino Linotype" w:cs="Palatino Linotype"/>
          <w:color w:val="000000"/>
        </w:rPr>
        <w:t xml:space="preserve">uesta, se advierte que el </w:t>
      </w:r>
      <w:r w:rsidR="004B039F" w:rsidRPr="003E7A6D">
        <w:rPr>
          <w:rFonts w:ascii="Palatino Linotype" w:eastAsia="Palatino Linotype" w:hAnsi="Palatino Linotype" w:cs="Palatino Linotype"/>
          <w:b/>
          <w:color w:val="000000"/>
        </w:rPr>
        <w:t>SUJETO OBLIGADO,</w:t>
      </w:r>
      <w:r w:rsidR="004B039F" w:rsidRPr="003E7A6D">
        <w:rPr>
          <w:rFonts w:ascii="Palatino Linotype" w:hAnsi="Palatino Linotype"/>
        </w:rPr>
        <w:t xml:space="preserve"> asume que genera, posee y/o administra la información solicitada, tan es así que </w:t>
      </w:r>
      <w:r w:rsidR="00716DA0" w:rsidRPr="003E7A6D">
        <w:rPr>
          <w:rFonts w:ascii="Palatino Linotype" w:hAnsi="Palatino Linotype"/>
        </w:rPr>
        <w:t>remite la información informando que “</w:t>
      </w:r>
      <w:r w:rsidR="00716DA0" w:rsidRPr="003E7A6D">
        <w:rPr>
          <w:rFonts w:ascii="Palatino Linotype" w:hAnsi="Palatino Linotype"/>
          <w:i/>
        </w:rPr>
        <w:t xml:space="preserve">se adjunta información al primer trimestre 2025 el cual fue entregado al Órgano Superior de Fiscalización el día 7 de mayo del año en curso. </w:t>
      </w:r>
    </w:p>
    <w:p w14:paraId="39E732C1" w14:textId="77777777" w:rsidR="004B039F" w:rsidRPr="00B634FB" w:rsidRDefault="004B039F" w:rsidP="004B039F">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14:paraId="7592F532" w14:textId="77777777" w:rsidR="004B039F" w:rsidRPr="00B634FB" w:rsidRDefault="004B039F">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Es por lo anterior que, no se realiza el estudio respecto la fuente obligacional, pues se insiste, este asumió contar con la información solicitada. </w:t>
      </w:r>
    </w:p>
    <w:p w14:paraId="21D56C43" w14:textId="77777777" w:rsidR="00716DA0" w:rsidRPr="00B634FB" w:rsidRDefault="00716DA0" w:rsidP="00716DA0">
      <w:pPr>
        <w:spacing w:after="0" w:line="360" w:lineRule="auto"/>
        <w:jc w:val="both"/>
        <w:rPr>
          <w:rFonts w:ascii="Palatino Linotype" w:eastAsia="Palatino Linotype" w:hAnsi="Palatino Linotype" w:cs="Palatino Linotype"/>
          <w:sz w:val="24"/>
          <w:szCs w:val="24"/>
        </w:rPr>
      </w:pPr>
    </w:p>
    <w:p w14:paraId="13A70BCD" w14:textId="77777777" w:rsidR="00716DA0" w:rsidRPr="00B634FB" w:rsidRDefault="00716DA0">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Ahora bien, se advierte que la temporalidad de la información solicita es del uno de enero al doce de junio de dos mil veinticinco, sin embargo el </w:t>
      </w:r>
      <w:r w:rsidRPr="00B634FB">
        <w:rPr>
          <w:rFonts w:ascii="Palatino Linotype" w:eastAsia="Palatino Linotype" w:hAnsi="Palatino Linotype" w:cs="Palatino Linotype"/>
          <w:b/>
          <w:sz w:val="24"/>
          <w:szCs w:val="24"/>
        </w:rPr>
        <w:t xml:space="preserve">SUJETO OBLIGADO, </w:t>
      </w:r>
      <w:r w:rsidRPr="00B634FB">
        <w:rPr>
          <w:rFonts w:ascii="Palatino Linotype" w:eastAsia="Palatino Linotype" w:hAnsi="Palatino Linotype" w:cs="Palatino Linotype"/>
          <w:sz w:val="24"/>
          <w:szCs w:val="24"/>
        </w:rPr>
        <w:t>informo que se remite la infor</w:t>
      </w:r>
      <w:r w:rsidR="000C2725" w:rsidRPr="00B634FB">
        <w:rPr>
          <w:rFonts w:ascii="Palatino Linotype" w:eastAsia="Palatino Linotype" w:hAnsi="Palatino Linotype" w:cs="Palatino Linotype"/>
          <w:sz w:val="24"/>
          <w:szCs w:val="24"/>
        </w:rPr>
        <w:t>mación del primer trimestre el cual fue entregado al Órgano Superior de Fiscalización el siete de mayo de dos mil veinticinco.</w:t>
      </w:r>
    </w:p>
    <w:p w14:paraId="0A7C7990" w14:textId="77777777" w:rsidR="000C2725" w:rsidRPr="00B634FB" w:rsidRDefault="000C2725" w:rsidP="000C2725">
      <w:pPr>
        <w:spacing w:after="0" w:line="360" w:lineRule="auto"/>
        <w:jc w:val="both"/>
        <w:rPr>
          <w:rFonts w:ascii="Palatino Linotype" w:eastAsia="Palatino Linotype" w:hAnsi="Palatino Linotype" w:cs="Palatino Linotype"/>
          <w:sz w:val="24"/>
          <w:szCs w:val="24"/>
        </w:rPr>
      </w:pPr>
    </w:p>
    <w:p w14:paraId="645044BB"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Precisado lo anterior, </w:t>
      </w:r>
      <w:r w:rsidRPr="00B634FB">
        <w:rPr>
          <w:rFonts w:ascii="Palatino Linotype" w:eastAsia="Palatino Linotype" w:hAnsi="Palatino Linotype" w:cs="Palatino Linotype"/>
          <w:color w:val="000000"/>
          <w:sz w:val="24"/>
          <w:szCs w:val="24"/>
        </w:rPr>
        <w:t xml:space="preserve">es importante destacar que </w:t>
      </w:r>
      <w:r w:rsidRPr="00B634FB">
        <w:rPr>
          <w:rFonts w:ascii="Palatino Linotype" w:eastAsia="Palatino Linotype" w:hAnsi="Palatino Linotype" w:cs="Palatino Linotype"/>
          <w:sz w:val="24"/>
          <w:szCs w:val="24"/>
        </w:rPr>
        <w:t xml:space="preserve">Manual para la Planeación, Programación y Presupuesto de Egresos Municipal para el </w:t>
      </w:r>
      <w:r w:rsidR="00B634FB">
        <w:rPr>
          <w:rFonts w:ascii="Palatino Linotype" w:eastAsia="Palatino Linotype" w:hAnsi="Palatino Linotype" w:cs="Palatino Linotype"/>
          <w:sz w:val="24"/>
          <w:szCs w:val="24"/>
        </w:rPr>
        <w:t xml:space="preserve">ejercicio fiscal de 2025, </w:t>
      </w:r>
      <w:r w:rsidRPr="00B634FB">
        <w:rPr>
          <w:rFonts w:ascii="Palatino Linotype" w:eastAsia="Palatino Linotype" w:hAnsi="Palatino Linotype" w:cs="Palatino Linotype"/>
          <w:sz w:val="24"/>
          <w:szCs w:val="24"/>
        </w:rPr>
        <w:t xml:space="preserve">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4B9341E3"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lastRenderedPageBreak/>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6B53711C" w14:textId="77777777" w:rsidR="000C2725" w:rsidRPr="00B634FB" w:rsidRDefault="000C2725" w:rsidP="000C2725">
      <w:pPr>
        <w:spacing w:line="360" w:lineRule="auto"/>
        <w:ind w:left="502"/>
        <w:jc w:val="both"/>
        <w:rPr>
          <w:rFonts w:ascii="Palatino Linotype" w:eastAsia="Palatino Linotype" w:hAnsi="Palatino Linotype" w:cs="Palatino Linotype"/>
          <w:sz w:val="24"/>
          <w:szCs w:val="24"/>
        </w:rPr>
      </w:pPr>
    </w:p>
    <w:p w14:paraId="7B274298"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B634FB">
        <w:rPr>
          <w:rFonts w:ascii="Palatino Linotype" w:eastAsia="Palatino Linotype" w:hAnsi="Palatino Linotype" w:cs="Palatino Linotype"/>
          <w:b/>
          <w:sz w:val="24"/>
          <w:szCs w:val="24"/>
        </w:rPr>
        <w:t>para que éstos cuenten con un catálogo de partidas presupuestarias que se alinean al Clasificador por Objeto del Gasto autorizado por el CONAC</w:t>
      </w:r>
      <w:r w:rsidRPr="00B634FB">
        <w:rPr>
          <w:rFonts w:ascii="Palatino Linotype" w:eastAsia="Palatino Linotype" w:hAnsi="Palatino Linotype" w:cs="Palatino Linotype"/>
          <w:sz w:val="24"/>
          <w:szCs w:val="24"/>
        </w:rPr>
        <w:t xml:space="preserve"> en la reunión celebrada el 28 de mayo del 2010 y que fue publicado en Gaceta del Gobierno del estado de México No. 118 del 23 de junio de 2010, el cual se integra por Capítulo, Concepto y Partida Genérica.</w:t>
      </w:r>
    </w:p>
    <w:p w14:paraId="2C32B223" w14:textId="77777777" w:rsidR="000C2725" w:rsidRPr="00B634FB" w:rsidRDefault="000C2725" w:rsidP="000C2725">
      <w:pPr>
        <w:spacing w:line="360" w:lineRule="auto"/>
        <w:ind w:left="502"/>
        <w:jc w:val="both"/>
        <w:rPr>
          <w:rFonts w:ascii="Palatino Linotype" w:eastAsia="Palatino Linotype" w:hAnsi="Palatino Linotype" w:cs="Palatino Linotype"/>
          <w:sz w:val="24"/>
          <w:szCs w:val="24"/>
        </w:rPr>
      </w:pPr>
    </w:p>
    <w:p w14:paraId="2FE8B85D"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0DF5A4D9" w14:textId="77777777" w:rsidR="000C2725" w:rsidRPr="00B634FB" w:rsidRDefault="000C2725" w:rsidP="00B634FB">
      <w:pPr>
        <w:spacing w:after="0" w:line="276" w:lineRule="auto"/>
        <w:jc w:val="both"/>
        <w:rPr>
          <w:rFonts w:ascii="Palatino Linotype" w:eastAsia="Palatino Linotype" w:hAnsi="Palatino Linotype" w:cs="Palatino Linotype"/>
          <w:sz w:val="24"/>
          <w:szCs w:val="24"/>
        </w:rPr>
      </w:pPr>
    </w:p>
    <w:p w14:paraId="23C1E33D" w14:textId="77777777" w:rsidR="000C2725" w:rsidRPr="00B634FB" w:rsidRDefault="000C2725" w:rsidP="00B634FB">
      <w:pPr>
        <w:numPr>
          <w:ilvl w:val="0"/>
          <w:numId w:val="14"/>
        </w:numPr>
        <w:pBdr>
          <w:top w:val="nil"/>
          <w:left w:val="nil"/>
          <w:bottom w:val="nil"/>
          <w:right w:val="nil"/>
          <w:between w:val="nil"/>
        </w:pBdr>
        <w:spacing w:after="0" w:line="276" w:lineRule="auto"/>
        <w:ind w:right="539" w:hanging="152"/>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lastRenderedPageBreak/>
        <w:t>Ofrecer información valiosa de la demanda de bienes y servicios que realiza el Sector Público.</w:t>
      </w:r>
    </w:p>
    <w:p w14:paraId="46EFDC72" w14:textId="77777777" w:rsidR="000C2725" w:rsidRPr="00B634FB" w:rsidRDefault="000C2725" w:rsidP="00B634FB">
      <w:pPr>
        <w:numPr>
          <w:ilvl w:val="0"/>
          <w:numId w:val="14"/>
        </w:numPr>
        <w:pBdr>
          <w:top w:val="nil"/>
          <w:left w:val="nil"/>
          <w:bottom w:val="nil"/>
          <w:right w:val="nil"/>
          <w:between w:val="nil"/>
        </w:pBdr>
        <w:spacing w:after="0" w:line="276" w:lineRule="auto"/>
        <w:ind w:right="539" w:hanging="152"/>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Permite identificar con claridad y transparencia los bienes y servicios que se adquieren, las transferencias que se realizan y las aplicaciones previstas en el presupuesto.</w:t>
      </w:r>
    </w:p>
    <w:p w14:paraId="7AE8CF30" w14:textId="77777777" w:rsidR="000C2725" w:rsidRPr="00B634FB" w:rsidRDefault="000C2725" w:rsidP="00B634FB">
      <w:pPr>
        <w:numPr>
          <w:ilvl w:val="0"/>
          <w:numId w:val="14"/>
        </w:numPr>
        <w:pBdr>
          <w:top w:val="nil"/>
          <w:left w:val="nil"/>
          <w:bottom w:val="nil"/>
          <w:right w:val="nil"/>
          <w:between w:val="nil"/>
        </w:pBdr>
        <w:spacing w:after="0" w:line="276" w:lineRule="auto"/>
        <w:ind w:right="539" w:hanging="152"/>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Facilitar la programación de las adquisiciones de bienes y servicios y otras acciones relacionadas con administración de bienes del Estado.</w:t>
      </w:r>
    </w:p>
    <w:p w14:paraId="40BE1796" w14:textId="77777777" w:rsidR="000C2725" w:rsidRPr="00B634FB" w:rsidRDefault="000C2725" w:rsidP="00B634FB">
      <w:pPr>
        <w:numPr>
          <w:ilvl w:val="0"/>
          <w:numId w:val="14"/>
        </w:numPr>
        <w:pBdr>
          <w:top w:val="nil"/>
          <w:left w:val="nil"/>
          <w:bottom w:val="nil"/>
          <w:right w:val="nil"/>
          <w:between w:val="nil"/>
        </w:pBdr>
        <w:spacing w:after="0" w:line="276" w:lineRule="auto"/>
        <w:ind w:right="539" w:hanging="152"/>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En el marco del sistema de cuentas gubernamentales, integradas e interrelacionadas, el Clasificador por Objeto del Gasto es uno de los principales elementos para obtener clasificaciones agregadas.</w:t>
      </w:r>
    </w:p>
    <w:p w14:paraId="0C656D40" w14:textId="77777777" w:rsidR="000C2725" w:rsidRPr="00B634FB" w:rsidRDefault="000C2725" w:rsidP="00B634FB">
      <w:pPr>
        <w:numPr>
          <w:ilvl w:val="0"/>
          <w:numId w:val="14"/>
        </w:numPr>
        <w:pBdr>
          <w:top w:val="nil"/>
          <w:left w:val="nil"/>
          <w:bottom w:val="nil"/>
          <w:right w:val="nil"/>
          <w:between w:val="nil"/>
        </w:pBdr>
        <w:spacing w:after="0" w:line="276" w:lineRule="auto"/>
        <w:ind w:right="539" w:hanging="152"/>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Facilitar el ejercicio del control interno y externo de las transacciones de los entes públicos.</w:t>
      </w:r>
    </w:p>
    <w:p w14:paraId="320E4019" w14:textId="77777777" w:rsidR="000C2725" w:rsidRPr="00B634FB" w:rsidRDefault="000C2725" w:rsidP="00B634FB">
      <w:pPr>
        <w:numPr>
          <w:ilvl w:val="0"/>
          <w:numId w:val="14"/>
        </w:numPr>
        <w:pBdr>
          <w:top w:val="nil"/>
          <w:left w:val="nil"/>
          <w:bottom w:val="nil"/>
          <w:right w:val="nil"/>
          <w:between w:val="nil"/>
        </w:pBdr>
        <w:spacing w:after="0" w:line="276" w:lineRule="auto"/>
        <w:ind w:right="539" w:hanging="152"/>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Promover el desarrollo y aplicación de los sistemas de programación y gestión del gasto público.</w:t>
      </w:r>
    </w:p>
    <w:p w14:paraId="74BCBB01" w14:textId="77777777" w:rsidR="000C2725" w:rsidRPr="00B634FB" w:rsidRDefault="000C2725" w:rsidP="00B634FB">
      <w:pPr>
        <w:numPr>
          <w:ilvl w:val="0"/>
          <w:numId w:val="14"/>
        </w:numPr>
        <w:pBdr>
          <w:top w:val="nil"/>
          <w:left w:val="nil"/>
          <w:bottom w:val="nil"/>
          <w:right w:val="nil"/>
          <w:between w:val="nil"/>
        </w:pBdr>
        <w:spacing w:after="0" w:line="276" w:lineRule="auto"/>
        <w:ind w:right="539" w:hanging="152"/>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Permitir el análisis de los efectos del gasto público y la proyección del mismo.</w:t>
      </w:r>
    </w:p>
    <w:p w14:paraId="075F0FCD" w14:textId="77777777" w:rsidR="000C2725" w:rsidRPr="00B634FB" w:rsidRDefault="000C2725" w:rsidP="000C2725">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p>
    <w:p w14:paraId="64EDD774" w14:textId="77777777" w:rsidR="000C2725"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w:t>
      </w:r>
    </w:p>
    <w:p w14:paraId="7F5C224F" w14:textId="77777777" w:rsidR="003E7A6D" w:rsidRPr="00B634FB" w:rsidRDefault="003E7A6D" w:rsidP="003E7A6D">
      <w:pPr>
        <w:spacing w:after="0" w:line="360" w:lineRule="auto"/>
        <w:jc w:val="both"/>
        <w:rPr>
          <w:rFonts w:ascii="Palatino Linotype" w:eastAsia="Palatino Linotype" w:hAnsi="Palatino Linotype" w:cs="Palatino Linotype"/>
          <w:sz w:val="24"/>
          <w:szCs w:val="24"/>
        </w:rPr>
      </w:pPr>
    </w:p>
    <w:p w14:paraId="34FDA39A" w14:textId="77777777" w:rsidR="000C2725" w:rsidRPr="00B634FB" w:rsidRDefault="000C2725" w:rsidP="000C2725">
      <w:pPr>
        <w:pBdr>
          <w:top w:val="nil"/>
          <w:left w:val="nil"/>
          <w:bottom w:val="nil"/>
          <w:right w:val="nil"/>
          <w:between w:val="nil"/>
        </w:pBdr>
        <w:spacing w:line="360" w:lineRule="auto"/>
        <w:jc w:val="center"/>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noProof/>
          <w:color w:val="000000"/>
          <w:sz w:val="24"/>
          <w:szCs w:val="24"/>
        </w:rPr>
        <w:drawing>
          <wp:inline distT="0" distB="0" distL="0" distR="0" wp14:anchorId="2AF9864A" wp14:editId="41A17C2E">
            <wp:extent cx="5000776" cy="931517"/>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9440" t="43798" r="20464" b="36291"/>
                    <a:stretch>
                      <a:fillRect/>
                    </a:stretch>
                  </pic:blipFill>
                  <pic:spPr>
                    <a:xfrm>
                      <a:off x="0" y="0"/>
                      <a:ext cx="5000776" cy="931517"/>
                    </a:xfrm>
                    <a:prstGeom prst="rect">
                      <a:avLst/>
                    </a:prstGeom>
                    <a:ln/>
                  </pic:spPr>
                </pic:pic>
              </a:graphicData>
            </a:graphic>
          </wp:inline>
        </w:drawing>
      </w:r>
    </w:p>
    <w:p w14:paraId="017A1A13" w14:textId="77777777" w:rsidR="000C2725" w:rsidRPr="00B634FB" w:rsidRDefault="000C2725" w:rsidP="000C2725">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p>
    <w:p w14:paraId="4446F72F" w14:textId="77777777" w:rsidR="000C2725"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lastRenderedPageBreak/>
        <w:t>Debiendo definir cada una de las partes que lo integran como sigue:</w:t>
      </w:r>
    </w:p>
    <w:p w14:paraId="305739FF" w14:textId="77777777" w:rsidR="000C2725" w:rsidRPr="00B634FB" w:rsidRDefault="000C2725" w:rsidP="000C2725">
      <w:pPr>
        <w:numPr>
          <w:ilvl w:val="0"/>
          <w:numId w:val="13"/>
        </w:numPr>
        <w:pBdr>
          <w:top w:val="nil"/>
          <w:left w:val="nil"/>
          <w:bottom w:val="nil"/>
          <w:right w:val="nil"/>
          <w:between w:val="nil"/>
        </w:pBdr>
        <w:spacing w:after="0" w:line="240" w:lineRule="auto"/>
        <w:ind w:right="1106"/>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b/>
          <w:color w:val="000000"/>
          <w:sz w:val="24"/>
          <w:szCs w:val="24"/>
        </w:rPr>
        <w:t>Capítulo:</w:t>
      </w:r>
      <w:r w:rsidRPr="00B634FB">
        <w:rPr>
          <w:rFonts w:ascii="Palatino Linotype" w:eastAsia="Palatino Linotype" w:hAnsi="Palatino Linotype" w:cs="Palatino Linotype"/>
          <w:color w:val="000000"/>
          <w:sz w:val="24"/>
          <w:szCs w:val="24"/>
        </w:rPr>
        <w:t xml:space="preserve"> Es el mayor nivel de agregación que identifica el conjunto homogéneo y ordenado de los bienes y servicios requeridos por los entes públicos.</w:t>
      </w:r>
    </w:p>
    <w:p w14:paraId="1D58B465" w14:textId="77777777" w:rsidR="000C2725" w:rsidRPr="00B634FB" w:rsidRDefault="000C2725" w:rsidP="000C2725">
      <w:pPr>
        <w:numPr>
          <w:ilvl w:val="0"/>
          <w:numId w:val="13"/>
        </w:numPr>
        <w:pBdr>
          <w:top w:val="nil"/>
          <w:left w:val="nil"/>
          <w:bottom w:val="nil"/>
          <w:right w:val="nil"/>
          <w:between w:val="nil"/>
        </w:pBdr>
        <w:spacing w:after="0" w:line="240" w:lineRule="auto"/>
        <w:ind w:right="1106"/>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b/>
          <w:color w:val="000000"/>
          <w:sz w:val="24"/>
          <w:szCs w:val="24"/>
        </w:rPr>
        <w:t>Concepto:</w:t>
      </w:r>
      <w:r w:rsidRPr="00B634FB">
        <w:rPr>
          <w:rFonts w:ascii="Palatino Linotype" w:eastAsia="Palatino Linotype" w:hAnsi="Palatino Linotype" w:cs="Palatino Linotype"/>
          <w:color w:val="000000"/>
          <w:sz w:val="24"/>
          <w:szCs w:val="24"/>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6F0D487A" w14:textId="77777777" w:rsidR="000C2725" w:rsidRPr="00B634FB" w:rsidRDefault="000C2725" w:rsidP="000C2725">
      <w:pPr>
        <w:pBdr>
          <w:top w:val="nil"/>
          <w:left w:val="nil"/>
          <w:bottom w:val="nil"/>
          <w:right w:val="nil"/>
          <w:between w:val="nil"/>
        </w:pBdr>
        <w:ind w:left="720" w:right="1106"/>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b/>
          <w:color w:val="000000"/>
          <w:sz w:val="24"/>
          <w:szCs w:val="24"/>
        </w:rPr>
        <w:t>a) La Partida Genérica</w:t>
      </w:r>
      <w:r w:rsidRPr="00B634FB">
        <w:rPr>
          <w:rFonts w:ascii="Palatino Linotype" w:eastAsia="Palatino Linotype" w:hAnsi="Palatino Linotype" w:cs="Palatino Linotype"/>
          <w:color w:val="000000"/>
          <w:sz w:val="24"/>
          <w:szCs w:val="24"/>
        </w:rPr>
        <w:t xml:space="preserve"> se refiere al tercer dígito, el cual logrará la armonización </w:t>
      </w:r>
      <w:r w:rsidRPr="00B634FB">
        <w:rPr>
          <w:rFonts w:ascii="Palatino Linotype" w:eastAsia="Palatino Linotype" w:hAnsi="Palatino Linotype" w:cs="Palatino Linotype"/>
          <w:sz w:val="24"/>
          <w:szCs w:val="24"/>
        </w:rPr>
        <w:t>de todos</w:t>
      </w:r>
      <w:r w:rsidRPr="00B634FB">
        <w:rPr>
          <w:rFonts w:ascii="Palatino Linotype" w:eastAsia="Palatino Linotype" w:hAnsi="Palatino Linotype" w:cs="Palatino Linotype"/>
          <w:color w:val="000000"/>
          <w:sz w:val="24"/>
          <w:szCs w:val="24"/>
        </w:rPr>
        <w:t xml:space="preserve"> los niveles de gobierno. </w:t>
      </w:r>
    </w:p>
    <w:p w14:paraId="6BA25C97" w14:textId="77777777" w:rsidR="000C2725" w:rsidRPr="00B634FB" w:rsidRDefault="000C2725" w:rsidP="000C2725">
      <w:pPr>
        <w:pBdr>
          <w:top w:val="nil"/>
          <w:left w:val="nil"/>
          <w:bottom w:val="nil"/>
          <w:right w:val="nil"/>
          <w:between w:val="nil"/>
        </w:pBdr>
        <w:ind w:left="720" w:right="1106"/>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b/>
          <w:color w:val="000000"/>
          <w:sz w:val="24"/>
          <w:szCs w:val="24"/>
        </w:rPr>
        <w:t>b) La Partida Específica</w:t>
      </w:r>
      <w:r w:rsidRPr="00B634FB">
        <w:rPr>
          <w:rFonts w:ascii="Palatino Linotype" w:eastAsia="Palatino Linotype" w:hAnsi="Palatino Linotype" w:cs="Palatino Linotype"/>
          <w:color w:val="000000"/>
          <w:sz w:val="24"/>
          <w:szCs w:val="24"/>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4EC6F8D4" w14:textId="77777777" w:rsidR="000C2725" w:rsidRPr="00B634FB" w:rsidRDefault="000C2725" w:rsidP="000C2725">
      <w:pPr>
        <w:pBdr>
          <w:top w:val="nil"/>
          <w:left w:val="nil"/>
          <w:bottom w:val="nil"/>
          <w:right w:val="nil"/>
          <w:between w:val="nil"/>
        </w:pBdr>
        <w:ind w:left="720" w:right="1106"/>
        <w:jc w:val="both"/>
        <w:rPr>
          <w:rFonts w:ascii="Palatino Linotype" w:eastAsia="Palatino Linotype" w:hAnsi="Palatino Linotype" w:cs="Palatino Linotype"/>
          <w:color w:val="000000"/>
          <w:sz w:val="24"/>
          <w:szCs w:val="24"/>
        </w:rPr>
      </w:pPr>
    </w:p>
    <w:p w14:paraId="4244AD1D"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 Ahora bien, los artículos 31, fracciones XVIII y XIX y 95, fracciones I y IV de la Ley Orgánica Municipal del Estado de México disponen lo siguiente:</w:t>
      </w:r>
    </w:p>
    <w:p w14:paraId="5FB2120B" w14:textId="77777777" w:rsidR="000C2725" w:rsidRPr="00B634FB" w:rsidRDefault="000C2725" w:rsidP="000C2725">
      <w:pPr>
        <w:ind w:left="567" w:right="901"/>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“Artículo 31.-</w:t>
      </w:r>
      <w:r w:rsidRPr="00B634FB">
        <w:rPr>
          <w:rFonts w:ascii="Palatino Linotype" w:eastAsia="Palatino Linotype" w:hAnsi="Palatino Linotype" w:cs="Palatino Linotype"/>
          <w:i/>
          <w:sz w:val="24"/>
          <w:szCs w:val="24"/>
        </w:rPr>
        <w:t xml:space="preserve"> Son </w:t>
      </w:r>
      <w:r w:rsidRPr="00B634FB">
        <w:rPr>
          <w:rFonts w:ascii="Palatino Linotype" w:eastAsia="Palatino Linotype" w:hAnsi="Palatino Linotype" w:cs="Palatino Linotype"/>
          <w:b/>
          <w:i/>
          <w:sz w:val="24"/>
          <w:szCs w:val="24"/>
        </w:rPr>
        <w:t>atribuciones de los ayuntamientos</w:t>
      </w:r>
      <w:r w:rsidRPr="00B634FB">
        <w:rPr>
          <w:rFonts w:ascii="Palatino Linotype" w:eastAsia="Palatino Linotype" w:hAnsi="Palatino Linotype" w:cs="Palatino Linotype"/>
          <w:i/>
          <w:sz w:val="24"/>
          <w:szCs w:val="24"/>
        </w:rPr>
        <w:t>:</w:t>
      </w:r>
    </w:p>
    <w:p w14:paraId="4D6B0809"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1E202B85"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XVIII.</w:t>
      </w:r>
      <w:r w:rsidRPr="00B634FB">
        <w:rPr>
          <w:rFonts w:ascii="Palatino Linotype" w:eastAsia="Palatino Linotype" w:hAnsi="Palatino Linotype" w:cs="Palatino Linotype"/>
          <w:i/>
          <w:sz w:val="24"/>
          <w:szCs w:val="24"/>
        </w:rPr>
        <w:t xml:space="preserve"> Administrar su hacienda en términos de ley, y </w:t>
      </w:r>
      <w:r w:rsidRPr="00B634FB">
        <w:rPr>
          <w:rFonts w:ascii="Palatino Linotype" w:eastAsia="Palatino Linotype" w:hAnsi="Palatino Linotype" w:cs="Palatino Linotype"/>
          <w:b/>
          <w:i/>
          <w:sz w:val="24"/>
          <w:szCs w:val="24"/>
        </w:rPr>
        <w:t>controlar a través del presidente y síndico la aplicación del presupuesto de egresos del municipio</w:t>
      </w:r>
      <w:r w:rsidRPr="00B634FB">
        <w:rPr>
          <w:rFonts w:ascii="Palatino Linotype" w:eastAsia="Palatino Linotype" w:hAnsi="Palatino Linotype" w:cs="Palatino Linotype"/>
          <w:i/>
          <w:sz w:val="24"/>
          <w:szCs w:val="24"/>
        </w:rPr>
        <w:t>;</w:t>
      </w:r>
    </w:p>
    <w:p w14:paraId="53325685" w14:textId="77777777" w:rsidR="000C2725" w:rsidRPr="00B634FB" w:rsidRDefault="000C2725" w:rsidP="000C2725">
      <w:pPr>
        <w:ind w:left="567" w:right="539"/>
        <w:jc w:val="both"/>
        <w:rPr>
          <w:rFonts w:ascii="Palatino Linotype" w:eastAsia="Palatino Linotype" w:hAnsi="Palatino Linotype" w:cs="Palatino Linotype"/>
          <w:b/>
          <w:i/>
          <w:sz w:val="24"/>
          <w:szCs w:val="24"/>
        </w:rPr>
      </w:pPr>
      <w:r w:rsidRPr="00B634FB">
        <w:rPr>
          <w:rFonts w:ascii="Palatino Linotype" w:eastAsia="Palatino Linotype" w:hAnsi="Palatino Linotype" w:cs="Palatino Linotype"/>
          <w:b/>
          <w:i/>
          <w:sz w:val="24"/>
          <w:szCs w:val="24"/>
        </w:rPr>
        <w:t>(…)</w:t>
      </w:r>
    </w:p>
    <w:p w14:paraId="4D2E17EA"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XIX.</w:t>
      </w:r>
      <w:r w:rsidRPr="00B634FB">
        <w:rPr>
          <w:rFonts w:ascii="Palatino Linotype" w:eastAsia="Palatino Linotype" w:hAnsi="Palatino Linotype" w:cs="Palatino Linotype"/>
          <w:i/>
          <w:sz w:val="24"/>
          <w:szCs w:val="24"/>
        </w:rPr>
        <w:t xml:space="preserve"> </w:t>
      </w:r>
      <w:r w:rsidRPr="00B634FB">
        <w:rPr>
          <w:rFonts w:ascii="Palatino Linotype" w:eastAsia="Palatino Linotype" w:hAnsi="Palatino Linotype" w:cs="Palatino Linotype"/>
          <w:b/>
          <w:i/>
          <w:sz w:val="24"/>
          <w:szCs w:val="24"/>
        </w:rPr>
        <w:t>Aprobar anualmente a más tardar el 20 de diciembre, su Presupuesto de Egresos, en base a los ingresos presupuestados para el ejercicio que corresponda</w:t>
      </w:r>
      <w:r w:rsidRPr="00B634FB">
        <w:rPr>
          <w:rFonts w:ascii="Palatino Linotype" w:eastAsia="Palatino Linotype" w:hAnsi="Palatino Linotype" w:cs="Palatino Linotype"/>
          <w:i/>
          <w:sz w:val="24"/>
          <w:szCs w:val="24"/>
        </w:rPr>
        <w:t>, el cual podrá ser adecuado en función de las implicaciones que deriven de la aprobación de la Ley de Ingresos Municipal que haga la Legislatura, así como por la asignación de las participaciones y aportaciones federales y estatales</w:t>
      </w:r>
    </w:p>
    <w:p w14:paraId="7C583F8D"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lastRenderedPageBreak/>
        <w:t>(…)</w:t>
      </w:r>
    </w:p>
    <w:p w14:paraId="608AF25E"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 xml:space="preserve">Artículo 95.- Son </w:t>
      </w:r>
      <w:r w:rsidRPr="00B634FB">
        <w:rPr>
          <w:rFonts w:ascii="Palatino Linotype" w:eastAsia="Palatino Linotype" w:hAnsi="Palatino Linotype" w:cs="Palatino Linotype"/>
          <w:b/>
          <w:i/>
          <w:sz w:val="24"/>
          <w:szCs w:val="24"/>
        </w:rPr>
        <w:t>atribuciones del tesorero municipal</w:t>
      </w:r>
      <w:r w:rsidRPr="00B634FB">
        <w:rPr>
          <w:rFonts w:ascii="Palatino Linotype" w:eastAsia="Palatino Linotype" w:hAnsi="Palatino Linotype" w:cs="Palatino Linotype"/>
          <w:i/>
          <w:sz w:val="24"/>
          <w:szCs w:val="24"/>
        </w:rPr>
        <w:t>:</w:t>
      </w:r>
    </w:p>
    <w:p w14:paraId="4D80DA96"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 xml:space="preserve">I. </w:t>
      </w:r>
      <w:r w:rsidRPr="00B634FB">
        <w:rPr>
          <w:rFonts w:ascii="Palatino Linotype" w:eastAsia="Palatino Linotype" w:hAnsi="Palatino Linotype" w:cs="Palatino Linotype"/>
          <w:b/>
          <w:i/>
          <w:sz w:val="24"/>
          <w:szCs w:val="24"/>
        </w:rPr>
        <w:t>Administrar la hacienda pública municipal</w:t>
      </w:r>
      <w:r w:rsidRPr="00B634FB">
        <w:rPr>
          <w:rFonts w:ascii="Palatino Linotype" w:eastAsia="Palatino Linotype" w:hAnsi="Palatino Linotype" w:cs="Palatino Linotype"/>
          <w:i/>
          <w:sz w:val="24"/>
          <w:szCs w:val="24"/>
        </w:rPr>
        <w:t>, de conformidad con las disposiciones legales aplicables;</w:t>
      </w:r>
    </w:p>
    <w:p w14:paraId="634E8F8C"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57E5CCA4"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IV. Llevar los registros contables, financieros y administrativos de los ingresos, egresos, e inventarios;</w:t>
      </w:r>
    </w:p>
    <w:p w14:paraId="25E8A72A" w14:textId="77777777" w:rsidR="000C2725" w:rsidRPr="00B634FB" w:rsidRDefault="000C2725" w:rsidP="000C2725">
      <w:pPr>
        <w:ind w:left="567" w:right="539"/>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6961CC33" w14:textId="77777777" w:rsidR="000C2725" w:rsidRPr="00B634FB" w:rsidRDefault="000C2725" w:rsidP="000C2725">
      <w:pPr>
        <w:ind w:left="567" w:right="539"/>
        <w:jc w:val="both"/>
        <w:rPr>
          <w:rFonts w:ascii="Palatino Linotype" w:eastAsia="Palatino Linotype" w:hAnsi="Palatino Linotype" w:cs="Palatino Linotype"/>
          <w:i/>
          <w:sz w:val="24"/>
          <w:szCs w:val="24"/>
        </w:rPr>
      </w:pPr>
    </w:p>
    <w:p w14:paraId="67E3A77A" w14:textId="77777777" w:rsidR="000C2725" w:rsidRPr="00B634FB" w:rsidRDefault="000C2725" w:rsidP="000C2725">
      <w:pPr>
        <w:ind w:left="567" w:right="539"/>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(Énfasis añadido)</w:t>
      </w:r>
    </w:p>
    <w:p w14:paraId="239CE331" w14:textId="77777777" w:rsidR="000C2725" w:rsidRPr="00B634FB" w:rsidRDefault="000C2725" w:rsidP="00B634FB">
      <w:pPr>
        <w:pBdr>
          <w:top w:val="nil"/>
          <w:left w:val="nil"/>
          <w:bottom w:val="nil"/>
          <w:right w:val="nil"/>
          <w:between w:val="nil"/>
        </w:pBdr>
        <w:rPr>
          <w:rFonts w:ascii="Palatino Linotype" w:eastAsia="Palatino Linotype" w:hAnsi="Palatino Linotype" w:cs="Palatino Linotype"/>
          <w:color w:val="000000"/>
          <w:sz w:val="24"/>
          <w:szCs w:val="24"/>
        </w:rPr>
      </w:pPr>
    </w:p>
    <w:p w14:paraId="54C4898B"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Al respecto de lo anterior,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12DD82EC"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r w:rsidRPr="00B634FB">
        <w:rPr>
          <w:rFonts w:ascii="Palatino Linotype" w:eastAsia="Palatino Linotype" w:hAnsi="Palatino Linotype" w:cs="Palatino Linotype"/>
          <w:b/>
          <w:i/>
          <w:sz w:val="24"/>
          <w:szCs w:val="24"/>
        </w:rPr>
        <w:t>Artículo 342</w:t>
      </w:r>
      <w:r w:rsidRPr="00B634FB">
        <w:rPr>
          <w:rFonts w:ascii="Palatino Linotype" w:eastAsia="Palatino Linotype" w:hAnsi="Palatino Linotype" w:cs="Palatino Linotype"/>
          <w:i/>
          <w:sz w:val="24"/>
          <w:szCs w:val="24"/>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56F46103"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783AA2A7"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Artículo 343</w:t>
      </w:r>
      <w:r w:rsidRPr="00B634FB">
        <w:rPr>
          <w:rFonts w:ascii="Palatino Linotype" w:eastAsia="Palatino Linotype" w:hAnsi="Palatino Linotype" w:cs="Palatino Linotype"/>
          <w:i/>
          <w:sz w:val="24"/>
          <w:szCs w:val="24"/>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C7ED674"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lastRenderedPageBreak/>
        <w:t xml:space="preserve">El sistema de contabilidad sobre base acumulativa total se sustentará en los postulados básicos y el marco conceptual de la contabilidad gubernamental. </w:t>
      </w:r>
    </w:p>
    <w:p w14:paraId="28F60EA9"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Artículo 344</w:t>
      </w:r>
      <w:r w:rsidRPr="00B634FB">
        <w:rPr>
          <w:rFonts w:ascii="Palatino Linotype" w:eastAsia="Palatino Linotype" w:hAnsi="Palatino Linotype" w:cs="Palatino Linotype"/>
          <w:i/>
          <w:sz w:val="24"/>
          <w:szCs w:val="24"/>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w:t>
      </w:r>
      <w:r w:rsidRPr="00B634FB">
        <w:rPr>
          <w:rFonts w:ascii="Palatino Linotype" w:eastAsia="Palatino Linotype" w:hAnsi="Palatino Linotype" w:cs="Palatino Linotype"/>
          <w:i/>
          <w:sz w:val="24"/>
          <w:szCs w:val="24"/>
          <w:u w:val="single"/>
        </w:rPr>
        <w:t xml:space="preserve">en el caso de los Municipios se hará por la Tesorería. </w:t>
      </w:r>
    </w:p>
    <w:p w14:paraId="029D403E"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5B62BA4"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18B5175D"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Artículo 345</w:t>
      </w:r>
      <w:r w:rsidRPr="00B634FB">
        <w:rPr>
          <w:rFonts w:ascii="Palatino Linotype" w:eastAsia="Palatino Linotype" w:hAnsi="Palatino Linotype" w:cs="Palatino Linotype"/>
          <w:i/>
          <w:sz w:val="24"/>
          <w:szCs w:val="24"/>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764DFAA9"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 xml:space="preserve">El plazo señalado en este artículo empezará a contar a partir de la publicación en el Periódico Oficial, del decreto correspondiente. “ (Sic) </w:t>
      </w:r>
    </w:p>
    <w:p w14:paraId="28962839" w14:textId="77777777" w:rsidR="000C2725" w:rsidRPr="00B634FB" w:rsidRDefault="000C2725" w:rsidP="000C2725">
      <w:pPr>
        <w:spacing w:before="240" w:after="240" w:line="276" w:lineRule="auto"/>
        <w:ind w:left="708" w:right="822"/>
        <w:jc w:val="both"/>
        <w:rPr>
          <w:rFonts w:ascii="Palatino Linotype" w:eastAsia="Palatino Linotype" w:hAnsi="Palatino Linotype" w:cs="Palatino Linotype"/>
          <w:i/>
          <w:sz w:val="24"/>
          <w:szCs w:val="24"/>
        </w:rPr>
      </w:pPr>
    </w:p>
    <w:p w14:paraId="2391CBE1"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De la interpretación sistemática de los artículos transcritos, se desprende primeramente que el registro contable del efecto patrimonial y presupuestal de las </w:t>
      </w:r>
      <w:r w:rsidRPr="00B634FB">
        <w:rPr>
          <w:rFonts w:ascii="Palatino Linotype" w:eastAsia="Palatino Linotype" w:hAnsi="Palatino Linotype" w:cs="Palatino Linotype"/>
          <w:sz w:val="24"/>
          <w:szCs w:val="24"/>
        </w:rPr>
        <w:lastRenderedPageBreak/>
        <w:t>operaciones financieras se realizará conforme al sistema y a las disposiciones que se aprueben en materia de planeación, programación, presupuestación, evaluación y contabilidad gubernamental.</w:t>
      </w:r>
    </w:p>
    <w:p w14:paraId="2B4740EB" w14:textId="77777777" w:rsidR="000C2725" w:rsidRPr="00B634FB" w:rsidRDefault="000C2725" w:rsidP="000C2725">
      <w:pPr>
        <w:spacing w:line="360" w:lineRule="auto"/>
        <w:ind w:left="502"/>
        <w:jc w:val="both"/>
        <w:rPr>
          <w:rFonts w:ascii="Palatino Linotype" w:eastAsia="Palatino Linotype" w:hAnsi="Palatino Linotype" w:cs="Palatino Linotype"/>
          <w:sz w:val="24"/>
          <w:szCs w:val="24"/>
        </w:rPr>
      </w:pPr>
    </w:p>
    <w:p w14:paraId="67924A77" w14:textId="77777777" w:rsidR="000C2725" w:rsidRDefault="000C2725" w:rsidP="00B634FB">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723FA1ED" w14:textId="77777777" w:rsidR="00B634FB" w:rsidRPr="00B634FB" w:rsidRDefault="00B634FB" w:rsidP="00B634FB">
      <w:pPr>
        <w:spacing w:after="0" w:line="360" w:lineRule="auto"/>
        <w:jc w:val="both"/>
        <w:rPr>
          <w:rFonts w:ascii="Palatino Linotype" w:eastAsia="Palatino Linotype" w:hAnsi="Palatino Linotype" w:cs="Palatino Linotype"/>
          <w:sz w:val="24"/>
          <w:szCs w:val="24"/>
        </w:rPr>
      </w:pPr>
    </w:p>
    <w:p w14:paraId="0E33F41E"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w:t>
      </w:r>
    </w:p>
    <w:p w14:paraId="7A28CF7A" w14:textId="77777777" w:rsidR="000C2725" w:rsidRPr="00B634FB" w:rsidRDefault="000C2725" w:rsidP="000C2725">
      <w:pPr>
        <w:spacing w:line="360" w:lineRule="auto"/>
        <w:ind w:left="502"/>
        <w:jc w:val="both"/>
        <w:rPr>
          <w:rFonts w:ascii="Palatino Linotype" w:eastAsia="Palatino Linotype" w:hAnsi="Palatino Linotype" w:cs="Palatino Linotype"/>
          <w:sz w:val="24"/>
          <w:szCs w:val="24"/>
        </w:rPr>
      </w:pPr>
    </w:p>
    <w:p w14:paraId="0AAC7E73"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Por su parte el </w:t>
      </w:r>
      <w:r w:rsidRPr="00B634FB">
        <w:rPr>
          <w:rFonts w:ascii="Palatino Linotype" w:eastAsia="Palatino Linotype" w:hAnsi="Palatino Linotype" w:cs="Palatino Linotype"/>
          <w:b/>
          <w:sz w:val="24"/>
          <w:szCs w:val="24"/>
        </w:rPr>
        <w:t>Código Financiero del Estado de México</w:t>
      </w:r>
      <w:r w:rsidRPr="00B634FB">
        <w:rPr>
          <w:rFonts w:ascii="Palatino Linotype" w:eastAsia="Palatino Linotype" w:hAnsi="Palatino Linotype" w:cs="Palatino Linotype"/>
          <w:sz w:val="24"/>
          <w:szCs w:val="24"/>
        </w:rPr>
        <w:t xml:space="preserve"> prevé lo siguiente:</w:t>
      </w:r>
    </w:p>
    <w:p w14:paraId="167BB076" w14:textId="77777777" w:rsidR="000C2725" w:rsidRPr="00B634FB" w:rsidRDefault="000C2725" w:rsidP="000C2725">
      <w:pPr>
        <w:tabs>
          <w:tab w:val="left" w:pos="8647"/>
        </w:tabs>
        <w:spacing w:line="256" w:lineRule="auto"/>
        <w:ind w:left="851" w:right="851"/>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r w:rsidRPr="00B634FB">
        <w:rPr>
          <w:rFonts w:ascii="Palatino Linotype" w:eastAsia="Palatino Linotype" w:hAnsi="Palatino Linotype" w:cs="Palatino Linotype"/>
          <w:b/>
          <w:i/>
          <w:sz w:val="24"/>
          <w:szCs w:val="24"/>
        </w:rPr>
        <w:t>Artículo 285</w:t>
      </w:r>
      <w:r w:rsidRPr="00B634FB">
        <w:rPr>
          <w:rFonts w:ascii="Palatino Linotype" w:eastAsia="Palatino Linotype" w:hAnsi="Palatino Linotype" w:cs="Palatino Linotype"/>
          <w:i/>
          <w:sz w:val="24"/>
          <w:szCs w:val="24"/>
        </w:rPr>
        <w:t>.- El Presupuesto de Egresos del Estado es el instrumento jurídico, de política económica y de política de gasto, que aprueba la Legislatura conforme a la iniciativa que presenta el Gobernador, en el cual se establece el ejercicio, control del gasto público evaluación del desempeño de los Entes Públicos, de acuerdo con su naturaleza jurídica y según corresponda, con base en los objetivos, parámetros e indicadores de desempeño y programas derivados del Plan de Desarrollo del Estado de México, durante el ejercicio fiscal correspondiente y en apego a lo establecido en la legislación aplicable.</w:t>
      </w:r>
    </w:p>
    <w:p w14:paraId="222D5890" w14:textId="77777777" w:rsidR="000C2725" w:rsidRPr="00B634FB" w:rsidRDefault="000C2725" w:rsidP="000C2725">
      <w:pPr>
        <w:tabs>
          <w:tab w:val="left" w:pos="8647"/>
        </w:tabs>
        <w:spacing w:line="256" w:lineRule="auto"/>
        <w:ind w:left="851" w:right="851"/>
        <w:jc w:val="both"/>
        <w:rPr>
          <w:rFonts w:ascii="Palatino Linotype" w:eastAsia="Palatino Linotype" w:hAnsi="Palatino Linotype" w:cs="Palatino Linotype"/>
          <w:i/>
          <w:sz w:val="24"/>
          <w:szCs w:val="24"/>
        </w:rPr>
      </w:pPr>
    </w:p>
    <w:p w14:paraId="40AB60E8" w14:textId="77777777" w:rsidR="000C2725" w:rsidRPr="00B634FB" w:rsidRDefault="000C2725" w:rsidP="000C2725">
      <w:pPr>
        <w:tabs>
          <w:tab w:val="left" w:pos="8647"/>
        </w:tabs>
        <w:spacing w:line="256" w:lineRule="auto"/>
        <w:ind w:left="851" w:right="851"/>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lastRenderedPageBreak/>
        <w:t>El gasto total aprobado en el Presupuesto de Egresos, no podrá exceder al total de los ingresos autorizados en la Ley de Ingresos, de tal forma que contribuya a un balance presupuestario sostenible.</w:t>
      </w:r>
    </w:p>
    <w:p w14:paraId="09B180E5" w14:textId="77777777" w:rsidR="000C2725" w:rsidRPr="00B634FB" w:rsidRDefault="000C2725" w:rsidP="000C2725">
      <w:pPr>
        <w:tabs>
          <w:tab w:val="left" w:pos="8647"/>
        </w:tabs>
        <w:spacing w:line="256" w:lineRule="auto"/>
        <w:ind w:left="851" w:right="851"/>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79AA9825" w14:textId="77777777" w:rsidR="000C2725" w:rsidRPr="00B634FB" w:rsidRDefault="000C2725" w:rsidP="000C2725">
      <w:pPr>
        <w:tabs>
          <w:tab w:val="left" w:pos="8647"/>
        </w:tabs>
        <w:spacing w:line="256" w:lineRule="auto"/>
        <w:ind w:left="851" w:right="851"/>
        <w:jc w:val="both"/>
        <w:rPr>
          <w:rFonts w:ascii="Palatino Linotype" w:eastAsia="Palatino Linotype" w:hAnsi="Palatino Linotype" w:cs="Palatino Linotype"/>
          <w:i/>
          <w:sz w:val="24"/>
          <w:szCs w:val="24"/>
        </w:rPr>
      </w:pPr>
    </w:p>
    <w:p w14:paraId="209BC42C" w14:textId="77777777" w:rsidR="000C2725" w:rsidRPr="00B634FB" w:rsidRDefault="000C2725" w:rsidP="000C2725">
      <w:pPr>
        <w:tabs>
          <w:tab w:val="left" w:pos="709"/>
        </w:tabs>
        <w:spacing w:before="240" w:line="276" w:lineRule="auto"/>
        <w:ind w:left="851" w:right="76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r w:rsidRPr="00B634FB">
        <w:rPr>
          <w:rFonts w:ascii="Palatino Linotype" w:eastAsia="Palatino Linotype" w:hAnsi="Palatino Linotype" w:cs="Palatino Linotype"/>
          <w:b/>
          <w:i/>
          <w:sz w:val="24"/>
          <w:szCs w:val="24"/>
        </w:rPr>
        <w:t>Artículo 290</w:t>
      </w:r>
      <w:r w:rsidRPr="00B634FB">
        <w:rPr>
          <w:rFonts w:ascii="Palatino Linotype" w:eastAsia="Palatino Linotype" w:hAnsi="Palatino Linotype" w:cs="Palatino Linotype"/>
          <w:i/>
          <w:sz w:val="24"/>
          <w:szCs w:val="24"/>
        </w:rPr>
        <w:t>…</w:t>
      </w:r>
    </w:p>
    <w:p w14:paraId="12C181DC" w14:textId="77777777" w:rsidR="000C2725" w:rsidRPr="00B634FB" w:rsidRDefault="000C2725" w:rsidP="000C2725">
      <w:pPr>
        <w:tabs>
          <w:tab w:val="left" w:pos="709"/>
        </w:tabs>
        <w:spacing w:before="240" w:line="276" w:lineRule="auto"/>
        <w:ind w:left="851" w:right="76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 xml:space="preserve">La Secretaría será la responsable de integrar y someter a consideración del Gobernador el </w:t>
      </w:r>
      <w:r w:rsidRPr="00B634FB">
        <w:rPr>
          <w:rFonts w:ascii="Palatino Linotype" w:eastAsia="Palatino Linotype" w:hAnsi="Palatino Linotype" w:cs="Palatino Linotype"/>
          <w:b/>
          <w:i/>
          <w:sz w:val="24"/>
          <w:szCs w:val="24"/>
        </w:rPr>
        <w:t>proyecto de Presupuesto de Egresos del Estado</w:t>
      </w:r>
      <w:r w:rsidRPr="00B634FB">
        <w:rPr>
          <w:rFonts w:ascii="Palatino Linotype" w:eastAsia="Palatino Linotype" w:hAnsi="Palatino Linotype" w:cs="Palatino Linotype"/>
          <w:i/>
          <w:sz w:val="24"/>
          <w:szCs w:val="24"/>
        </w:rPr>
        <w:t xml:space="preserve">, bajo los lineamientos y herramientas que ésta determine, considerando para su elaboración el marco de referencia para las finanzas públicas estatales y/o en los criterios generales de política económica emitidos por el Gobierno Federal, debiendo mantener la congruencia con el Plan de Desarrollo del Estado de México y de los diversos programas que se deriven de dichos instrumentos y </w:t>
      </w:r>
      <w:r w:rsidRPr="00B634FB">
        <w:rPr>
          <w:rFonts w:ascii="Palatino Linotype" w:eastAsia="Palatino Linotype" w:hAnsi="Palatino Linotype" w:cs="Palatino Linotype"/>
          <w:b/>
          <w:i/>
          <w:sz w:val="24"/>
          <w:szCs w:val="24"/>
        </w:rPr>
        <w:t xml:space="preserve">deberá ser armónico con las disposiciones de carácter contable establecidos en la Ley General de Contabilidad Gubernamental, así como a los preceptos del </w:t>
      </w:r>
      <w:r w:rsidRPr="00B634FB">
        <w:rPr>
          <w:rFonts w:ascii="Palatino Linotype" w:eastAsia="Palatino Linotype" w:hAnsi="Palatino Linotype" w:cs="Palatino Linotype"/>
          <w:b/>
          <w:i/>
          <w:sz w:val="24"/>
          <w:szCs w:val="24"/>
          <w:u w:val="single"/>
        </w:rPr>
        <w:t>Presupuesto basado en Resultados</w:t>
      </w:r>
      <w:r w:rsidRPr="00B634FB">
        <w:rPr>
          <w:rFonts w:ascii="Palatino Linotype" w:eastAsia="Palatino Linotype" w:hAnsi="Palatino Linotype" w:cs="Palatino Linotype"/>
          <w:i/>
          <w:sz w:val="24"/>
          <w:szCs w:val="24"/>
        </w:rPr>
        <w:t>, del Sistema de Evaluación del Desempeño, de transparencia y difusión de la información financiera que establecen las disposiciones normativas aplicables.</w:t>
      </w:r>
    </w:p>
    <w:p w14:paraId="249F9F67" w14:textId="77777777" w:rsidR="000C2725" w:rsidRPr="00B634FB" w:rsidRDefault="000C2725" w:rsidP="000C2725">
      <w:pPr>
        <w:tabs>
          <w:tab w:val="left" w:pos="709"/>
        </w:tabs>
        <w:spacing w:before="240" w:line="276" w:lineRule="auto"/>
        <w:ind w:left="851" w:right="76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1AB2FB07" w14:textId="77777777" w:rsidR="000C2725" w:rsidRPr="00B634FB" w:rsidRDefault="000C2725" w:rsidP="000C2725">
      <w:pPr>
        <w:tabs>
          <w:tab w:val="left" w:pos="709"/>
        </w:tabs>
        <w:spacing w:before="240" w:line="276" w:lineRule="auto"/>
        <w:ind w:left="851" w:right="76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Artículo 293</w:t>
      </w:r>
      <w:r w:rsidRPr="00B634FB">
        <w:rPr>
          <w:rFonts w:ascii="Palatino Linotype" w:eastAsia="Palatino Linotype" w:hAnsi="Palatino Linotype" w:cs="Palatino Linotype"/>
          <w:i/>
          <w:sz w:val="24"/>
          <w:szCs w:val="24"/>
        </w:rPr>
        <w:t xml:space="preserve">.- Los capítulos de gasto se </w:t>
      </w:r>
      <w:r w:rsidRPr="00B634FB">
        <w:rPr>
          <w:rFonts w:ascii="Palatino Linotype" w:eastAsia="Palatino Linotype" w:hAnsi="Palatino Linotype" w:cs="Palatino Linotype"/>
          <w:b/>
          <w:i/>
          <w:sz w:val="24"/>
          <w:szCs w:val="24"/>
        </w:rPr>
        <w:t>dividirán en concepto, partida genérica y partida específica, que representarán las autorizaciones específicas del presupuesto</w:t>
      </w:r>
      <w:r w:rsidRPr="00B634FB">
        <w:rPr>
          <w:rFonts w:ascii="Palatino Linotype" w:eastAsia="Palatino Linotype" w:hAnsi="Palatino Linotype" w:cs="Palatino Linotype"/>
          <w:i/>
          <w:sz w:val="24"/>
          <w:szCs w:val="24"/>
        </w:rPr>
        <w:t>, las cuales se encuentran contenidas en el clasificador por objeto de gasto que emita el Consejo Nacional de Armonización Contable y el Consejo de Armonización Contable del Estado de México.</w:t>
      </w:r>
    </w:p>
    <w:p w14:paraId="5F54EF64" w14:textId="77777777" w:rsidR="000C2725" w:rsidRPr="00B634FB" w:rsidRDefault="000C2725" w:rsidP="000C2725">
      <w:pPr>
        <w:tabs>
          <w:tab w:val="left" w:pos="709"/>
        </w:tabs>
        <w:spacing w:before="240" w:line="276" w:lineRule="auto"/>
        <w:ind w:left="851" w:right="76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w:t>
      </w:r>
    </w:p>
    <w:p w14:paraId="5870C3D7" w14:textId="77777777" w:rsidR="000C2725" w:rsidRPr="00B634FB" w:rsidRDefault="000C2725" w:rsidP="000C2725">
      <w:pPr>
        <w:tabs>
          <w:tab w:val="left" w:pos="709"/>
        </w:tabs>
        <w:spacing w:before="240" w:line="276" w:lineRule="auto"/>
        <w:ind w:left="851" w:right="760"/>
        <w:jc w:val="both"/>
        <w:rPr>
          <w:rFonts w:ascii="Palatino Linotype" w:eastAsia="Palatino Linotype" w:hAnsi="Palatino Linotype" w:cs="Palatino Linotype"/>
          <w:i/>
          <w:sz w:val="24"/>
          <w:szCs w:val="24"/>
        </w:rPr>
      </w:pPr>
    </w:p>
    <w:p w14:paraId="7915FA40" w14:textId="77777777" w:rsidR="000C2725"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lastRenderedPageBreak/>
        <w:t xml:space="preserve">De los preceptos en cita, se advierte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debe estar basado en resultados (PbR).  </w:t>
      </w:r>
    </w:p>
    <w:p w14:paraId="5B2E5FB6" w14:textId="77777777" w:rsidR="00B634FB" w:rsidRPr="00B634FB" w:rsidRDefault="00B634FB" w:rsidP="00B634FB">
      <w:pPr>
        <w:spacing w:after="0" w:line="360" w:lineRule="auto"/>
        <w:jc w:val="both"/>
        <w:rPr>
          <w:rFonts w:ascii="Palatino Linotype" w:eastAsia="Palatino Linotype" w:hAnsi="Palatino Linotype" w:cs="Palatino Linotype"/>
          <w:sz w:val="24"/>
          <w:szCs w:val="24"/>
        </w:rPr>
      </w:pPr>
    </w:p>
    <w:p w14:paraId="1D1AA9B4" w14:textId="59C0CDD3" w:rsidR="000C2725" w:rsidRPr="003E7A6D" w:rsidRDefault="000C2725" w:rsidP="003E7A6D">
      <w:pPr>
        <w:pStyle w:val="Prrafodelista"/>
        <w:numPr>
          <w:ilvl w:val="0"/>
          <w:numId w:val="1"/>
        </w:numPr>
        <w:spacing w:line="360" w:lineRule="auto"/>
        <w:ind w:left="0" w:firstLine="0"/>
        <w:jc w:val="both"/>
        <w:rPr>
          <w:rFonts w:ascii="Palatino Linotype" w:eastAsia="Palatino Linotype" w:hAnsi="Palatino Linotype" w:cs="Palatino Linotype"/>
        </w:rPr>
      </w:pPr>
      <w:r w:rsidRPr="003E7A6D">
        <w:rPr>
          <w:rFonts w:ascii="Palatino Linotype" w:eastAsia="Palatino Linotype" w:hAnsi="Palatino Linotype" w:cs="Palatino Linotype"/>
        </w:rPr>
        <w:t xml:space="preserve">Determinado lo anterior, es procedente definir qué es el </w:t>
      </w:r>
      <w:r w:rsidRPr="003E7A6D">
        <w:rPr>
          <w:rFonts w:ascii="Palatino Linotype" w:eastAsia="Palatino Linotype" w:hAnsi="Palatino Linotype" w:cs="Palatino Linotype"/>
          <w:i/>
        </w:rPr>
        <w:t>“presupuesto ejercido”</w:t>
      </w:r>
      <w:r w:rsidRPr="003E7A6D">
        <w:rPr>
          <w:rFonts w:ascii="Palatino Linotype" w:eastAsia="Palatino Linotype" w:hAnsi="Palatino Linotype" w:cs="Palatino Linotype"/>
        </w:rPr>
        <w:t xml:space="preserve"> y el “</w:t>
      </w:r>
      <w:r w:rsidRPr="003E7A6D">
        <w:rPr>
          <w:rFonts w:ascii="Palatino Linotype" w:eastAsia="Palatino Linotype" w:hAnsi="Palatino Linotype" w:cs="Palatino Linotype"/>
          <w:i/>
        </w:rPr>
        <w:t>subejercicio del gasto”</w:t>
      </w:r>
      <w:r w:rsidRPr="003E7A6D">
        <w:rPr>
          <w:rFonts w:ascii="Palatino Linotype" w:eastAsia="Palatino Linotype" w:hAnsi="Palatino Linotype" w:cs="Palatino Linotype"/>
        </w:rPr>
        <w:t>, tal como lo define del Glosario de Términos más Usuales en la Administración Pública Federal de la Secretaría de Hacienda y Crédito Público de la forma siguiente:</w:t>
      </w:r>
    </w:p>
    <w:p w14:paraId="7C999A65" w14:textId="77777777" w:rsidR="000C2725" w:rsidRPr="00B634FB" w:rsidRDefault="000C2725" w:rsidP="000C2725">
      <w:pPr>
        <w:spacing w:line="256" w:lineRule="auto"/>
        <w:ind w:left="851" w:right="851"/>
        <w:jc w:val="both"/>
        <w:rPr>
          <w:rFonts w:ascii="Palatino Linotype" w:eastAsia="Palatino Linotype" w:hAnsi="Palatino Linotype" w:cs="Palatino Linotype"/>
          <w:b/>
          <w:i/>
          <w:sz w:val="24"/>
          <w:szCs w:val="24"/>
        </w:rPr>
      </w:pPr>
      <w:r w:rsidRPr="00B634FB">
        <w:rPr>
          <w:rFonts w:ascii="Palatino Linotype" w:eastAsia="Palatino Linotype" w:hAnsi="Palatino Linotype" w:cs="Palatino Linotype"/>
          <w:b/>
          <w:i/>
          <w:sz w:val="24"/>
          <w:szCs w:val="24"/>
        </w:rPr>
        <w:t>“PRESUPUESTO EJERCIDO.</w:t>
      </w:r>
    </w:p>
    <w:p w14:paraId="2BC504A3" w14:textId="77777777" w:rsidR="000C2725" w:rsidRPr="00B634FB" w:rsidRDefault="000C2725" w:rsidP="000C2725">
      <w:pPr>
        <w:spacing w:line="256" w:lineRule="auto"/>
        <w:ind w:left="851" w:right="851"/>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Importe de las erogaciones realizadas respaldado por los documentos comprobatorios (facturas, notas, nominas, etc.) presentados a la dependencia o entidad una vez autorizadas para su pago, con cargo al presupuesto autorizado.”</w:t>
      </w:r>
    </w:p>
    <w:p w14:paraId="4A300324" w14:textId="77777777" w:rsidR="000C2725" w:rsidRPr="00B634FB" w:rsidRDefault="000C2725" w:rsidP="000C2725">
      <w:pPr>
        <w:spacing w:line="256" w:lineRule="auto"/>
        <w:ind w:left="851" w:right="851"/>
        <w:jc w:val="both"/>
        <w:rPr>
          <w:rFonts w:ascii="Palatino Linotype" w:eastAsia="Palatino Linotype" w:hAnsi="Palatino Linotype" w:cs="Palatino Linotype"/>
          <w:b/>
          <w:i/>
          <w:sz w:val="24"/>
          <w:szCs w:val="24"/>
        </w:rPr>
      </w:pPr>
      <w:r w:rsidRPr="00B634FB">
        <w:rPr>
          <w:rFonts w:ascii="Palatino Linotype" w:eastAsia="Palatino Linotype" w:hAnsi="Palatino Linotype" w:cs="Palatino Linotype"/>
          <w:b/>
          <w:i/>
          <w:sz w:val="24"/>
          <w:szCs w:val="24"/>
        </w:rPr>
        <w:t>“SUBEJERCICIO</w:t>
      </w:r>
    </w:p>
    <w:p w14:paraId="2EF563DB" w14:textId="77777777" w:rsidR="000C2725" w:rsidRPr="00B634FB" w:rsidRDefault="000C2725" w:rsidP="000C2725">
      <w:pPr>
        <w:spacing w:line="256" w:lineRule="auto"/>
        <w:ind w:left="851" w:right="851"/>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i/>
          <w:sz w:val="24"/>
          <w:szCs w:val="24"/>
        </w:rPr>
        <w:t>Gasto realizado en menor cantidad en relación a su presupuesto original, independientemente de que el pago se realice dentro del año por el cual fue formulado este último, o en el siguiente.”</w:t>
      </w:r>
    </w:p>
    <w:p w14:paraId="170491FE" w14:textId="77777777" w:rsidR="000C2725" w:rsidRPr="00B634FB" w:rsidRDefault="000C2725" w:rsidP="000C2725">
      <w:pPr>
        <w:rPr>
          <w:rFonts w:ascii="Palatino Linotype" w:eastAsia="Palatino Linotype" w:hAnsi="Palatino Linotype" w:cs="Palatino Linotype"/>
          <w:sz w:val="24"/>
          <w:szCs w:val="24"/>
        </w:rPr>
      </w:pPr>
    </w:p>
    <w:p w14:paraId="2561710D"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De los conceptos anteriores se aprecia que el presupuesto ejercido es el importe de las erogaciones autorizadas para su pago con cargo al presupuesto autorizado, mientras que el subejercicio del gasto son gastos de menor cantidad, en relación con el presupuesto original, cuyo pago puede realizarse dentro del año formulado o en el siguiente.</w:t>
      </w:r>
    </w:p>
    <w:p w14:paraId="263AC6E8" w14:textId="77777777" w:rsidR="000C2725" w:rsidRPr="00B634FB" w:rsidRDefault="000C2725" w:rsidP="000C2725">
      <w:pPr>
        <w:spacing w:line="360" w:lineRule="auto"/>
        <w:ind w:left="502"/>
        <w:jc w:val="both"/>
        <w:rPr>
          <w:rFonts w:ascii="Palatino Linotype" w:eastAsia="Palatino Linotype" w:hAnsi="Palatino Linotype" w:cs="Palatino Linotype"/>
          <w:sz w:val="24"/>
          <w:szCs w:val="24"/>
        </w:rPr>
      </w:pPr>
    </w:p>
    <w:p w14:paraId="37ED7B30" w14:textId="77777777" w:rsidR="000C2725" w:rsidRPr="00B634FB"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lastRenderedPageBreak/>
        <w:t xml:space="preserve">Por cuanto a la integración  y contenido del presupuesto, los artículos 290, 292 y 293, del mismo ordenamiento Financiero, prevén  en lo sustancial que, el presupuesto de egresos se integrará con los recursos que se destinen a los poderes Ejecutivo, Legislativo 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Pr="00B634FB">
        <w:rPr>
          <w:rFonts w:ascii="Palatino Linotype" w:eastAsia="Palatino Linotype" w:hAnsi="Palatino Linotype" w:cs="Palatino Linotype"/>
          <w:b/>
          <w:sz w:val="24"/>
          <w:szCs w:val="24"/>
        </w:rPr>
        <w:t>clasificado por objeto de gasto y demás clasificaciones</w:t>
      </w:r>
      <w:r w:rsidRPr="00B634FB">
        <w:rPr>
          <w:rFonts w:ascii="Palatino Linotype" w:eastAsia="Palatino Linotype" w:hAnsi="Palatino Linotype" w:cs="Palatino Linotype"/>
          <w:sz w:val="24"/>
          <w:szCs w:val="24"/>
        </w:rPr>
        <w:t>, así como otras previsiones que se estimen necesarias. De tal forma, el Presupuesto se integrará con los recursos que se destinen a los Entes Públicos; su distribución será conforme a lo siguiente:</w:t>
      </w:r>
    </w:p>
    <w:p w14:paraId="2C9BB02A" w14:textId="77777777" w:rsidR="000C2725" w:rsidRPr="00B634FB" w:rsidRDefault="000C2725" w:rsidP="000C2725">
      <w:pPr>
        <w:spacing w:line="360" w:lineRule="auto"/>
        <w:ind w:left="284" w:right="51"/>
        <w:jc w:val="both"/>
        <w:rPr>
          <w:rFonts w:ascii="Palatino Linotype" w:eastAsia="Palatino Linotype" w:hAnsi="Palatino Linotype" w:cs="Palatino Linotype"/>
          <w:b/>
          <w:sz w:val="24"/>
          <w:szCs w:val="24"/>
          <w:u w:val="single"/>
        </w:rPr>
      </w:pPr>
      <w:r w:rsidRPr="00B634FB">
        <w:rPr>
          <w:rFonts w:ascii="Palatino Linotype" w:eastAsia="Palatino Linotype" w:hAnsi="Palatino Linotype" w:cs="Palatino Linotype"/>
          <w:b/>
          <w:sz w:val="24"/>
          <w:szCs w:val="24"/>
          <w:u w:val="single"/>
        </w:rPr>
        <w:t>I. El gasto programable comprende los siguientes capítulos:</w:t>
      </w:r>
    </w:p>
    <w:p w14:paraId="6BC1F8EC"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a) 1000 Servicios Personales.</w:t>
      </w:r>
    </w:p>
    <w:p w14:paraId="0B776262"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b) 2000 Materiales y Suministros.</w:t>
      </w:r>
    </w:p>
    <w:p w14:paraId="7E060BC3"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c) 3000 Servicios Generales.</w:t>
      </w:r>
    </w:p>
    <w:p w14:paraId="48FE2097"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d) 4000 Transferencias, Asignaciones, Subsidios y otras ayudas.</w:t>
      </w:r>
    </w:p>
    <w:p w14:paraId="5835184C"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e) 5000 Bienes Muebles, Inmuebles e Intangibles.</w:t>
      </w:r>
    </w:p>
    <w:p w14:paraId="07F1F47A"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f) 6000 Inversión Pública.</w:t>
      </w:r>
    </w:p>
    <w:p w14:paraId="683CB021"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g) 7000 Inversiones Financieras y otras provisiones.</w:t>
      </w:r>
    </w:p>
    <w:p w14:paraId="7B3DCA96" w14:textId="77777777" w:rsidR="000C2725" w:rsidRPr="00B634FB" w:rsidRDefault="000C2725" w:rsidP="000C2725">
      <w:pPr>
        <w:spacing w:line="360" w:lineRule="auto"/>
        <w:ind w:left="284" w:right="51"/>
        <w:jc w:val="both"/>
        <w:rPr>
          <w:rFonts w:ascii="Palatino Linotype" w:eastAsia="Palatino Linotype" w:hAnsi="Palatino Linotype" w:cs="Palatino Linotype"/>
          <w:b/>
          <w:sz w:val="24"/>
          <w:szCs w:val="24"/>
          <w:u w:val="single"/>
        </w:rPr>
      </w:pPr>
      <w:r w:rsidRPr="00B634FB">
        <w:rPr>
          <w:rFonts w:ascii="Palatino Linotype" w:eastAsia="Palatino Linotype" w:hAnsi="Palatino Linotype" w:cs="Palatino Linotype"/>
          <w:b/>
          <w:sz w:val="24"/>
          <w:szCs w:val="24"/>
          <w:u w:val="single"/>
        </w:rPr>
        <w:t>II. El gasto no programable comprende los siguientes capítulos:</w:t>
      </w:r>
    </w:p>
    <w:p w14:paraId="0C91CC37"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a). 8000 Participaciones y Aportaciones.</w:t>
      </w:r>
    </w:p>
    <w:p w14:paraId="505406DD" w14:textId="77777777" w:rsidR="000C2725" w:rsidRPr="00B634FB" w:rsidRDefault="000C2725" w:rsidP="000C2725">
      <w:pPr>
        <w:spacing w:line="360" w:lineRule="auto"/>
        <w:ind w:left="567" w:right="51"/>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b). 9000 Deuda Pública.</w:t>
      </w:r>
    </w:p>
    <w:p w14:paraId="60D9185B" w14:textId="77777777" w:rsidR="000C2725" w:rsidRDefault="000C2725" w:rsidP="000C272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lastRenderedPageBreak/>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2024”;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203355BF"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 xml:space="preserve">1000 SERVICIOS PERSONALES. </w:t>
      </w:r>
      <w:r w:rsidRPr="00B634FB">
        <w:rPr>
          <w:rFonts w:ascii="Palatino Linotype" w:eastAsia="Palatino Linotype" w:hAnsi="Palatino Linotype" w:cs="Palatino Linotype"/>
          <w:i/>
          <w:sz w:val="24"/>
          <w:szCs w:val="24"/>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399E5B14"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 xml:space="preserve">2000 MATERIALES Y SUMINISTROS. </w:t>
      </w:r>
      <w:r w:rsidRPr="00B634FB">
        <w:rPr>
          <w:rFonts w:ascii="Palatino Linotype" w:eastAsia="Palatino Linotype" w:hAnsi="Palatino Linotype" w:cs="Palatino Linotype"/>
          <w:i/>
          <w:sz w:val="24"/>
          <w:szCs w:val="24"/>
        </w:rPr>
        <w:t xml:space="preserve">Agrupa las asignaciones destinadas a la adquisición de toda clase de insumos y suministros requeridos para la prestación de bienes y servicios públicos y para el desempeño de las actividades administrativas. </w:t>
      </w:r>
    </w:p>
    <w:p w14:paraId="5702D4AB"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 xml:space="preserve">3000 SERVICIOS GENERALES. </w:t>
      </w:r>
      <w:r w:rsidRPr="00B634FB">
        <w:rPr>
          <w:rFonts w:ascii="Palatino Linotype" w:eastAsia="Palatino Linotype" w:hAnsi="Palatino Linotype" w:cs="Palatino Linotype"/>
          <w:i/>
          <w:sz w:val="24"/>
          <w:szCs w:val="24"/>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Pr="00B634FB">
        <w:rPr>
          <w:rFonts w:ascii="Palatino Linotype" w:eastAsia="Palatino Linotype" w:hAnsi="Palatino Linotype" w:cs="Palatino Linotype"/>
          <w:i/>
          <w:sz w:val="24"/>
          <w:szCs w:val="24"/>
          <w:u w:val="single"/>
        </w:rPr>
        <w:t>.</w:t>
      </w:r>
      <w:r w:rsidRPr="00B634FB">
        <w:rPr>
          <w:rFonts w:ascii="Palatino Linotype" w:eastAsia="Palatino Linotype" w:hAnsi="Palatino Linotype" w:cs="Palatino Linotype"/>
          <w:i/>
          <w:sz w:val="24"/>
          <w:szCs w:val="24"/>
        </w:rPr>
        <w:t xml:space="preserve"> </w:t>
      </w:r>
    </w:p>
    <w:p w14:paraId="4200967D"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 xml:space="preserve">4000 TRANSFERENCIAS, ASIGNACIONES, SUBSIDIOS Y OTRAS AYUDAS. </w:t>
      </w:r>
      <w:r w:rsidRPr="00B634FB">
        <w:rPr>
          <w:rFonts w:ascii="Palatino Linotype" w:eastAsia="Palatino Linotype" w:hAnsi="Palatino Linotype" w:cs="Palatino Linotype"/>
          <w:i/>
          <w:sz w:val="24"/>
          <w:szCs w:val="24"/>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4F26A3D6"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 xml:space="preserve">5000 BIENES MUEBLES, INMUEBLES E INTANGIBLES. </w:t>
      </w:r>
      <w:r w:rsidRPr="00B634FB">
        <w:rPr>
          <w:rFonts w:ascii="Palatino Linotype" w:eastAsia="Palatino Linotype" w:hAnsi="Palatino Linotype" w:cs="Palatino Linotype"/>
          <w:i/>
          <w:sz w:val="24"/>
          <w:szCs w:val="24"/>
        </w:rPr>
        <w:t xml:space="preserve">Agrupa las asignaciones destinadas a la adquisición de toda clase de bienes muebles e inmuebles requeridos en el desempeño de las actividades de los entes públicos. Incluye los pagos </w:t>
      </w:r>
      <w:r w:rsidRPr="00B634FB">
        <w:rPr>
          <w:rFonts w:ascii="Palatino Linotype" w:eastAsia="Palatino Linotype" w:hAnsi="Palatino Linotype" w:cs="Palatino Linotype"/>
          <w:i/>
          <w:sz w:val="24"/>
          <w:szCs w:val="24"/>
        </w:rPr>
        <w:lastRenderedPageBreak/>
        <w:t>por adjudicación, expropiación e indemnización de bienes muebles e inmuebles a favor del Gobierno.</w:t>
      </w:r>
    </w:p>
    <w:p w14:paraId="71115C9F"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 xml:space="preserve">6000 INVERSIÓN PÚBLICA. </w:t>
      </w:r>
      <w:r w:rsidRPr="00B634FB">
        <w:rPr>
          <w:rFonts w:ascii="Palatino Linotype" w:eastAsia="Palatino Linotype" w:hAnsi="Palatino Linotype" w:cs="Palatino Linotype"/>
          <w:i/>
          <w:sz w:val="24"/>
          <w:szCs w:val="24"/>
        </w:rPr>
        <w:t xml:space="preserve">Asignaciones destinadas a obras por contrato y proyectos productivos y acciones de fomento. Incluye los gastos en estudios de pre‐inversión y preparación del proyecto. </w:t>
      </w:r>
    </w:p>
    <w:p w14:paraId="291E87BD"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i/>
          <w:sz w:val="24"/>
          <w:szCs w:val="24"/>
        </w:rPr>
      </w:pPr>
      <w:r w:rsidRPr="00B634FB">
        <w:rPr>
          <w:rFonts w:ascii="Palatino Linotype" w:eastAsia="Palatino Linotype" w:hAnsi="Palatino Linotype" w:cs="Palatino Linotype"/>
          <w:b/>
          <w:i/>
          <w:sz w:val="24"/>
          <w:szCs w:val="24"/>
        </w:rPr>
        <w:t xml:space="preserve">7000 INVERSIONES FINANCIERAS Y OTRAS PROVISIONES. </w:t>
      </w:r>
      <w:r w:rsidRPr="00B634FB">
        <w:rPr>
          <w:rFonts w:ascii="Palatino Linotype" w:eastAsia="Palatino Linotype" w:hAnsi="Palatino Linotype" w:cs="Palatino Linotype"/>
          <w:i/>
          <w:sz w:val="24"/>
          <w:szCs w:val="24"/>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205CE564"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b/>
          <w:i/>
          <w:sz w:val="24"/>
          <w:szCs w:val="24"/>
        </w:rPr>
        <w:t xml:space="preserve">8000 PARTICIPACIONES Y APORTACIONES. </w:t>
      </w:r>
      <w:r w:rsidRPr="00B634FB">
        <w:rPr>
          <w:rFonts w:ascii="Palatino Linotype" w:eastAsia="Palatino Linotype" w:hAnsi="Palatino Linotype" w:cs="Palatino Linotype"/>
          <w:i/>
          <w:sz w:val="24"/>
          <w:szCs w:val="24"/>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6BEF9114" w14:textId="77777777" w:rsidR="000C2725" w:rsidRPr="00B634FB" w:rsidRDefault="000C2725" w:rsidP="000C2725">
      <w:pPr>
        <w:numPr>
          <w:ilvl w:val="0"/>
          <w:numId w:val="15"/>
        </w:numPr>
        <w:spacing w:after="0" w:line="240" w:lineRule="auto"/>
        <w:ind w:left="851" w:right="851" w:firstLine="0"/>
        <w:jc w:val="both"/>
        <w:rPr>
          <w:rFonts w:ascii="Palatino Linotype" w:eastAsia="Palatino Linotype" w:hAnsi="Palatino Linotype" w:cs="Palatino Linotype"/>
          <w:b/>
          <w:i/>
          <w:sz w:val="24"/>
          <w:szCs w:val="24"/>
        </w:rPr>
      </w:pPr>
      <w:r w:rsidRPr="00B634FB">
        <w:rPr>
          <w:rFonts w:ascii="Palatino Linotype" w:eastAsia="Palatino Linotype" w:hAnsi="Palatino Linotype" w:cs="Palatino Linotype"/>
          <w:b/>
          <w:i/>
          <w:sz w:val="24"/>
          <w:szCs w:val="24"/>
        </w:rPr>
        <w:t xml:space="preserve">9000 DEUDA PÚBLICA. </w:t>
      </w:r>
      <w:r w:rsidRPr="00B634FB">
        <w:rPr>
          <w:rFonts w:ascii="Palatino Linotype" w:eastAsia="Palatino Linotype" w:hAnsi="Palatino Linotype" w:cs="Palatino Linotype"/>
          <w:i/>
          <w:sz w:val="24"/>
          <w:szCs w:val="24"/>
        </w:rPr>
        <w:t>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w:t>
      </w:r>
    </w:p>
    <w:p w14:paraId="609DA80C" w14:textId="77777777" w:rsidR="000C2725" w:rsidRPr="00B634FB" w:rsidRDefault="000C2725" w:rsidP="000C2725">
      <w:pPr>
        <w:pStyle w:val="Prrafodelista"/>
        <w:rPr>
          <w:rFonts w:ascii="Palatino Linotype" w:eastAsia="Palatino Linotype" w:hAnsi="Palatino Linotype" w:cs="Palatino Linotype"/>
          <w:b/>
          <w:i/>
        </w:rPr>
      </w:pPr>
    </w:p>
    <w:p w14:paraId="1B44B0E6" w14:textId="77777777" w:rsidR="000C2725" w:rsidRPr="00B634FB" w:rsidRDefault="000C2725" w:rsidP="000C2725">
      <w:pPr>
        <w:spacing w:after="0" w:line="240" w:lineRule="auto"/>
        <w:ind w:left="851" w:right="851"/>
        <w:jc w:val="both"/>
        <w:rPr>
          <w:rFonts w:ascii="Palatino Linotype" w:eastAsia="Palatino Linotype" w:hAnsi="Palatino Linotype" w:cs="Palatino Linotype"/>
          <w:b/>
          <w:i/>
          <w:sz w:val="24"/>
          <w:szCs w:val="24"/>
        </w:rPr>
      </w:pPr>
    </w:p>
    <w:p w14:paraId="3543278B" w14:textId="77777777" w:rsidR="008A3665" w:rsidRDefault="00B634FB" w:rsidP="008A3665">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 xml:space="preserve">Precisado lo anterior, resulta importante referir que la información solicitada se integra por trimestre, es decir, el primer trimestre comprende de enero-marzo y el segundo de abril a junio del año dos mil </w:t>
      </w:r>
      <w:r w:rsidR="008A3665">
        <w:rPr>
          <w:rFonts w:ascii="Palatino Linotype" w:eastAsia="Palatino Linotype" w:hAnsi="Palatino Linotype" w:cs="Palatino Linotype"/>
          <w:sz w:val="24"/>
          <w:szCs w:val="24"/>
        </w:rPr>
        <w:t>veinticinco.</w:t>
      </w:r>
    </w:p>
    <w:p w14:paraId="6C50DDFA" w14:textId="77777777" w:rsidR="008A3665" w:rsidRDefault="008A3665" w:rsidP="008A3665">
      <w:pPr>
        <w:spacing w:after="0" w:line="360" w:lineRule="auto"/>
        <w:jc w:val="both"/>
        <w:rPr>
          <w:rFonts w:ascii="Palatino Linotype" w:eastAsia="Palatino Linotype" w:hAnsi="Palatino Linotype" w:cs="Palatino Linotype"/>
          <w:sz w:val="24"/>
          <w:szCs w:val="24"/>
        </w:rPr>
      </w:pPr>
    </w:p>
    <w:p w14:paraId="7560C1E5" w14:textId="77777777" w:rsidR="00BE08CA" w:rsidRPr="003E7A6D" w:rsidRDefault="008A3665" w:rsidP="0008325A">
      <w:pPr>
        <w:numPr>
          <w:ilvl w:val="0"/>
          <w:numId w:val="1"/>
        </w:numPr>
        <w:spacing w:after="0" w:line="360" w:lineRule="auto"/>
        <w:ind w:left="0" w:firstLine="0"/>
        <w:jc w:val="both"/>
        <w:rPr>
          <w:rFonts w:ascii="Palatino Linotype" w:eastAsia="Palatino Linotype" w:hAnsi="Palatino Linotype" w:cs="Palatino Linotype"/>
          <w:sz w:val="24"/>
          <w:szCs w:val="24"/>
        </w:rPr>
      </w:pPr>
      <w:r w:rsidRPr="003E7A6D">
        <w:rPr>
          <w:rFonts w:ascii="Palatino Linotype" w:eastAsia="Palatino Linotype" w:hAnsi="Palatino Linotype" w:cs="Palatino Linotype"/>
          <w:sz w:val="24"/>
          <w:szCs w:val="24"/>
        </w:rPr>
        <w:t xml:space="preserve">Es así que el </w:t>
      </w:r>
      <w:r w:rsidRPr="003E7A6D">
        <w:rPr>
          <w:rFonts w:ascii="Palatino Linotype" w:eastAsia="Palatino Linotype" w:hAnsi="Palatino Linotype" w:cs="Palatino Linotype"/>
          <w:b/>
          <w:sz w:val="24"/>
          <w:szCs w:val="24"/>
        </w:rPr>
        <w:t xml:space="preserve">SUJETO OBLIGADO </w:t>
      </w:r>
      <w:r w:rsidRPr="003E7A6D">
        <w:rPr>
          <w:rFonts w:ascii="Palatino Linotype" w:eastAsia="Palatino Linotype" w:hAnsi="Palatino Linotype" w:cs="Palatino Linotype"/>
          <w:sz w:val="24"/>
          <w:szCs w:val="24"/>
        </w:rPr>
        <w:t xml:space="preserve">remitió únicamente la información del primer trimestre, </w:t>
      </w:r>
      <w:r w:rsidR="00533038" w:rsidRPr="003E7A6D">
        <w:rPr>
          <w:rFonts w:ascii="Palatino Linotype" w:eastAsia="Palatino Linotype" w:hAnsi="Palatino Linotype" w:cs="Palatino Linotype"/>
          <w:sz w:val="24"/>
          <w:szCs w:val="24"/>
        </w:rPr>
        <w:t>ahora bien</w:t>
      </w:r>
      <w:r w:rsidRPr="003E7A6D">
        <w:rPr>
          <w:rFonts w:ascii="Palatino Linotype" w:eastAsia="Palatino Linotype" w:hAnsi="Palatino Linotype" w:cs="Palatino Linotype"/>
          <w:sz w:val="24"/>
          <w:szCs w:val="24"/>
        </w:rPr>
        <w:t xml:space="preserve">, </w:t>
      </w:r>
      <w:r w:rsidR="00533038" w:rsidRPr="003E7A6D">
        <w:rPr>
          <w:rFonts w:ascii="Palatino Linotype" w:eastAsia="Palatino Linotype" w:hAnsi="Palatino Linotype" w:cs="Palatino Linotype"/>
          <w:sz w:val="24"/>
          <w:szCs w:val="24"/>
        </w:rPr>
        <w:t>si bien es cierto</w:t>
      </w:r>
      <w:r w:rsidR="00B634FB" w:rsidRPr="003E7A6D">
        <w:rPr>
          <w:rFonts w:ascii="Palatino Linotype" w:eastAsia="Palatino Linotype" w:hAnsi="Palatino Linotype" w:cs="Palatino Linotype"/>
          <w:sz w:val="24"/>
          <w:szCs w:val="24"/>
        </w:rPr>
        <w:t xml:space="preserve">, </w:t>
      </w:r>
      <w:r w:rsidR="00533038" w:rsidRPr="003E7A6D">
        <w:rPr>
          <w:rFonts w:ascii="Palatino Linotype" w:eastAsia="Palatino Linotype" w:hAnsi="Palatino Linotype" w:cs="Palatino Linotype"/>
          <w:sz w:val="24"/>
          <w:szCs w:val="24"/>
        </w:rPr>
        <w:t>en atención</w:t>
      </w:r>
      <w:r w:rsidR="003A50AF" w:rsidRPr="003E7A6D">
        <w:rPr>
          <w:rFonts w:ascii="Palatino Linotype" w:eastAsia="Palatino Linotype" w:hAnsi="Palatino Linotype" w:cs="Palatino Linotype"/>
          <w:sz w:val="24"/>
          <w:szCs w:val="24"/>
        </w:rPr>
        <w:t xml:space="preserve"> al</w:t>
      </w:r>
      <w:r w:rsidRPr="003E7A6D">
        <w:rPr>
          <w:rFonts w:ascii="Palatino Linotype" w:eastAsia="Palatino Linotype" w:hAnsi="Palatino Linotype" w:cs="Palatino Linotype"/>
          <w:sz w:val="24"/>
          <w:szCs w:val="24"/>
        </w:rPr>
        <w:t xml:space="preserve"> Acuerdo 7/2025, publicado en el Periódico Oficial “Gaceta del Gobierno” y firmado por la Auditora Superior de Fiscalización, Liliana Dávalos Ham, el segundo informe trimestral, será </w:t>
      </w:r>
      <w:r w:rsidR="00533038" w:rsidRPr="003E7A6D">
        <w:rPr>
          <w:rFonts w:ascii="Palatino Linotype" w:eastAsia="Palatino Linotype" w:hAnsi="Palatino Linotype" w:cs="Palatino Linotype"/>
          <w:sz w:val="24"/>
          <w:szCs w:val="24"/>
        </w:rPr>
        <w:t xml:space="preserve">remitido </w:t>
      </w:r>
      <w:r w:rsidRPr="003E7A6D">
        <w:rPr>
          <w:rFonts w:ascii="Palatino Linotype" w:eastAsia="Palatino Linotype" w:hAnsi="Palatino Linotype" w:cs="Palatino Linotype"/>
          <w:sz w:val="24"/>
          <w:szCs w:val="24"/>
        </w:rPr>
        <w:t xml:space="preserve">del cuatro </w:t>
      </w:r>
      <w:r w:rsidRPr="003E7A6D">
        <w:rPr>
          <w:rFonts w:ascii="Palatino Linotype" w:eastAsia="Palatino Linotype" w:hAnsi="Palatino Linotype" w:cs="Palatino Linotype"/>
          <w:sz w:val="24"/>
          <w:szCs w:val="24"/>
        </w:rPr>
        <w:lastRenderedPageBreak/>
        <w:t>al once de agosto de dos mil veinticinco y el envío/recepción solo el once de agosto</w:t>
      </w:r>
      <w:r w:rsidR="00533038" w:rsidRPr="003E7A6D">
        <w:rPr>
          <w:rFonts w:ascii="Palatino Linotype" w:eastAsia="Palatino Linotype" w:hAnsi="Palatino Linotype" w:cs="Palatino Linotype"/>
          <w:sz w:val="24"/>
          <w:szCs w:val="24"/>
        </w:rPr>
        <w:t xml:space="preserve"> del mismo año; sin embargo, </w:t>
      </w:r>
      <w:r w:rsidR="0008325A" w:rsidRPr="003E7A6D">
        <w:rPr>
          <w:rFonts w:ascii="Palatino Linotype" w:eastAsia="Palatino Linotype" w:hAnsi="Palatino Linotype" w:cs="Palatino Linotype"/>
          <w:sz w:val="24"/>
          <w:szCs w:val="24"/>
        </w:rPr>
        <w:t xml:space="preserve">dada la temporalidad de la solicitud, (doce de junio de dos mil veinticinco), el </w:t>
      </w:r>
      <w:r w:rsidR="0008325A" w:rsidRPr="003E7A6D">
        <w:rPr>
          <w:rFonts w:ascii="Palatino Linotype" w:eastAsia="Palatino Linotype" w:hAnsi="Palatino Linotype" w:cs="Palatino Linotype"/>
          <w:b/>
          <w:sz w:val="24"/>
          <w:szCs w:val="24"/>
        </w:rPr>
        <w:t xml:space="preserve">SUJETO OBLIGADO, </w:t>
      </w:r>
      <w:r w:rsidR="0008325A" w:rsidRPr="003E7A6D">
        <w:rPr>
          <w:rFonts w:ascii="Palatino Linotype" w:eastAsia="Palatino Linotype" w:hAnsi="Palatino Linotype" w:cs="Palatino Linotype"/>
          <w:sz w:val="24"/>
          <w:szCs w:val="24"/>
        </w:rPr>
        <w:t>ya debe contar con los documentos presupuestales con los que ha de integrar el segundo trimestre</w:t>
      </w:r>
      <w:r w:rsidR="00B72D4C" w:rsidRPr="003E7A6D">
        <w:rPr>
          <w:rFonts w:ascii="Palatino Linotype" w:eastAsia="Palatino Linotype" w:hAnsi="Palatino Linotype" w:cs="Palatino Linotype"/>
          <w:sz w:val="24"/>
          <w:szCs w:val="24"/>
        </w:rPr>
        <w:t>.</w:t>
      </w:r>
    </w:p>
    <w:p w14:paraId="1BFB549F" w14:textId="77777777" w:rsidR="0008325A" w:rsidRPr="003E7A6D" w:rsidRDefault="0008325A" w:rsidP="0008325A">
      <w:pPr>
        <w:spacing w:after="0" w:line="360" w:lineRule="auto"/>
        <w:jc w:val="both"/>
        <w:rPr>
          <w:rFonts w:ascii="Palatino Linotype" w:eastAsia="Palatino Linotype" w:hAnsi="Palatino Linotype" w:cs="Palatino Linotype"/>
          <w:sz w:val="24"/>
          <w:szCs w:val="24"/>
        </w:rPr>
      </w:pPr>
    </w:p>
    <w:p w14:paraId="13EA16EE" w14:textId="77777777" w:rsidR="00E30756" w:rsidRPr="003E7A6D" w:rsidRDefault="00BE08CA" w:rsidP="00716DA0">
      <w:pPr>
        <w:numPr>
          <w:ilvl w:val="0"/>
          <w:numId w:val="1"/>
        </w:numPr>
        <w:spacing w:after="0" w:line="360" w:lineRule="auto"/>
        <w:ind w:left="0" w:firstLine="0"/>
        <w:jc w:val="both"/>
        <w:rPr>
          <w:rFonts w:ascii="Palatino Linotype" w:eastAsia="Palatino Linotype" w:hAnsi="Palatino Linotype" w:cs="Palatino Linotype"/>
          <w:sz w:val="24"/>
          <w:szCs w:val="24"/>
        </w:rPr>
      </w:pPr>
      <w:r w:rsidRPr="003E7A6D">
        <w:rPr>
          <w:rFonts w:ascii="Palatino Linotype" w:eastAsia="Palatino Linotype" w:hAnsi="Palatino Linotype" w:cs="Palatino Linotype"/>
          <w:sz w:val="24"/>
          <w:szCs w:val="24"/>
        </w:rPr>
        <w:t xml:space="preserve">Ahora bien, relativo a los motivos de inconformidad, se advierte que los mismos devienen fundados, ya que efectivamente, como lo refirió el ahora </w:t>
      </w:r>
      <w:r w:rsidRPr="003E7A6D">
        <w:rPr>
          <w:rFonts w:ascii="Palatino Linotype" w:eastAsia="Palatino Linotype" w:hAnsi="Palatino Linotype" w:cs="Palatino Linotype"/>
          <w:b/>
          <w:sz w:val="24"/>
          <w:szCs w:val="24"/>
        </w:rPr>
        <w:t xml:space="preserve">RECURRENTE, </w:t>
      </w:r>
      <w:r w:rsidRPr="003E7A6D">
        <w:rPr>
          <w:rFonts w:ascii="Palatino Linotype" w:eastAsia="Palatino Linotype" w:hAnsi="Palatino Linotype" w:cs="Palatino Linotype"/>
          <w:sz w:val="24"/>
          <w:szCs w:val="24"/>
        </w:rPr>
        <w:t>la misma se observa parcialmente ilegible</w:t>
      </w:r>
      <w:r w:rsidR="0066076F" w:rsidRPr="003E7A6D">
        <w:rPr>
          <w:rFonts w:ascii="Palatino Linotype" w:eastAsia="Palatino Linotype" w:hAnsi="Palatino Linotype" w:cs="Palatino Linotype"/>
          <w:sz w:val="24"/>
          <w:szCs w:val="24"/>
        </w:rPr>
        <w:t xml:space="preserve"> e incompleta, ya que no se observan todos los capítulos por objeto de gasto que marca la legislación</w:t>
      </w:r>
      <w:r w:rsidR="0008325A" w:rsidRPr="003E7A6D">
        <w:rPr>
          <w:rFonts w:ascii="Palatino Linotype" w:eastAsia="Palatino Linotype" w:hAnsi="Palatino Linotype" w:cs="Palatino Linotype"/>
          <w:sz w:val="24"/>
          <w:szCs w:val="24"/>
        </w:rPr>
        <w:t>, aunado a que no se remitió la información que atienda a la temporalidad de la solicitud de información, en consecuencia</w:t>
      </w:r>
      <w:r w:rsidRPr="003E7A6D">
        <w:rPr>
          <w:rFonts w:ascii="Palatino Linotype" w:eastAsia="Palatino Linotype" w:hAnsi="Palatino Linotype" w:cs="Palatino Linotype"/>
          <w:sz w:val="24"/>
          <w:szCs w:val="24"/>
        </w:rPr>
        <w:t xml:space="preserve"> no se puede tener por colmada en su totalidad la solicitud de información</w:t>
      </w:r>
      <w:r w:rsidR="00E30756" w:rsidRPr="003E7A6D">
        <w:rPr>
          <w:rFonts w:ascii="Palatino Linotype" w:eastAsia="Palatino Linotype" w:hAnsi="Palatino Linotype" w:cs="Palatino Linotype"/>
          <w:sz w:val="24"/>
          <w:szCs w:val="24"/>
        </w:rPr>
        <w:t xml:space="preserve"> que nos ocupa.</w:t>
      </w:r>
    </w:p>
    <w:p w14:paraId="167E60A9" w14:textId="77777777" w:rsidR="00E30756" w:rsidRDefault="00E30756" w:rsidP="00E30756">
      <w:pPr>
        <w:spacing w:after="0" w:line="360" w:lineRule="auto"/>
        <w:jc w:val="both"/>
        <w:rPr>
          <w:rFonts w:ascii="Palatino Linotype" w:eastAsia="Palatino Linotype" w:hAnsi="Palatino Linotype" w:cs="Palatino Linotype"/>
          <w:sz w:val="24"/>
          <w:szCs w:val="24"/>
        </w:rPr>
      </w:pPr>
    </w:p>
    <w:p w14:paraId="094EEFB7" w14:textId="77777777" w:rsidR="00716DA0" w:rsidRPr="00BE08CA" w:rsidRDefault="00E30756" w:rsidP="00716DA0">
      <w:pPr>
        <w:numPr>
          <w:ilvl w:val="0"/>
          <w:numId w:val="1"/>
        </w:numPr>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lo anterior, que resulta</w:t>
      </w:r>
      <w:r w:rsidR="00BE08CA">
        <w:rPr>
          <w:rFonts w:ascii="Palatino Linotype" w:eastAsia="Palatino Linotype" w:hAnsi="Palatino Linotype" w:cs="Palatino Linotype"/>
          <w:sz w:val="24"/>
          <w:szCs w:val="24"/>
        </w:rPr>
        <w:t xml:space="preserve"> dable ordenar la entrega de la información </w:t>
      </w:r>
      <w:r w:rsidR="0066076F">
        <w:rPr>
          <w:rFonts w:ascii="Palatino Linotype" w:eastAsia="Palatino Linotype" w:hAnsi="Palatino Linotype" w:cs="Palatino Linotype"/>
          <w:sz w:val="24"/>
          <w:szCs w:val="24"/>
        </w:rPr>
        <w:t>en donde conste o se advierta la información solicitada de manera completa y legible</w:t>
      </w:r>
      <w:r w:rsidR="0008325A">
        <w:rPr>
          <w:rFonts w:ascii="Palatino Linotype" w:eastAsia="Palatino Linotype" w:hAnsi="Palatino Linotype" w:cs="Palatino Linotype"/>
          <w:sz w:val="24"/>
          <w:szCs w:val="24"/>
        </w:rPr>
        <w:t>.</w:t>
      </w:r>
      <w:r w:rsidR="0066076F">
        <w:rPr>
          <w:rFonts w:ascii="Palatino Linotype" w:eastAsia="Palatino Linotype" w:hAnsi="Palatino Linotype" w:cs="Palatino Linotype"/>
          <w:b/>
          <w:sz w:val="24"/>
          <w:szCs w:val="24"/>
        </w:rPr>
        <w:t xml:space="preserve"> </w:t>
      </w:r>
    </w:p>
    <w:p w14:paraId="344EFB6D" w14:textId="77777777" w:rsidR="00C43F6B" w:rsidRPr="00B634FB" w:rsidRDefault="00C43F6B" w:rsidP="00C43F6B">
      <w:pPr>
        <w:spacing w:after="0" w:line="360" w:lineRule="auto"/>
        <w:jc w:val="both"/>
        <w:rPr>
          <w:rFonts w:ascii="Palatino Linotype" w:eastAsia="Palatino Linotype" w:hAnsi="Palatino Linotype" w:cs="Palatino Linotype"/>
          <w:sz w:val="24"/>
          <w:szCs w:val="24"/>
        </w:rPr>
      </w:pPr>
    </w:p>
    <w:p w14:paraId="55104410" w14:textId="77777777" w:rsidR="005925EA" w:rsidRPr="00B634FB" w:rsidRDefault="005925EA" w:rsidP="005925EA">
      <w:pPr>
        <w:numPr>
          <w:ilvl w:val="0"/>
          <w:numId w:val="1"/>
        </w:numPr>
        <w:spacing w:after="0" w:line="360" w:lineRule="auto"/>
        <w:ind w:left="0" w:firstLine="0"/>
        <w:jc w:val="both"/>
        <w:rPr>
          <w:rFonts w:ascii="Palatino Linotype" w:eastAsia="Times New Roman" w:hAnsi="Palatino Linotype" w:cs="Times New Roman"/>
          <w:sz w:val="24"/>
          <w:szCs w:val="24"/>
          <w:lang w:eastAsia="es-ES"/>
        </w:rPr>
      </w:pPr>
      <w:r w:rsidRPr="00B634FB">
        <w:rPr>
          <w:rFonts w:ascii="Palatino Linotype" w:eastAsia="Times New Roman" w:hAnsi="Palatino Linotype" w:cs="Times New Roman"/>
          <w:sz w:val="24"/>
          <w:szCs w:val="24"/>
          <w:lang w:eastAsia="es-ES"/>
        </w:rPr>
        <w:t xml:space="preserve">De lo anterior, se desprende que los Sujetos Obligados están compelidos a poner a disposición del público de manera constante y actualizada, de forma sencilla, precisa y entendible, en los respectivos medios electrónicos, la información </w:t>
      </w:r>
      <w:r w:rsidR="00BE08CA">
        <w:rPr>
          <w:rFonts w:ascii="Palatino Linotype" w:eastAsia="Times New Roman" w:hAnsi="Palatino Linotype" w:cs="Times New Roman"/>
          <w:sz w:val="24"/>
          <w:szCs w:val="24"/>
          <w:lang w:eastAsia="es-ES"/>
        </w:rPr>
        <w:t>relativa al presupuesto ejercido y desglosado referido en la solicitud de información</w:t>
      </w:r>
      <w:r w:rsidRPr="00B634FB">
        <w:rPr>
          <w:rFonts w:ascii="Palatino Linotype" w:eastAsia="Times New Roman" w:hAnsi="Palatino Linotype" w:cs="Times New Roman"/>
          <w:sz w:val="24"/>
          <w:szCs w:val="24"/>
          <w:lang w:eastAsia="es-ES"/>
        </w:rPr>
        <w:t xml:space="preserve">. En conclusión, se observa que el </w:t>
      </w:r>
      <w:r w:rsidRPr="00B634FB">
        <w:rPr>
          <w:rFonts w:ascii="Palatino Linotype" w:eastAsia="Times New Roman" w:hAnsi="Palatino Linotype" w:cs="Times New Roman"/>
          <w:b/>
          <w:sz w:val="24"/>
          <w:szCs w:val="24"/>
          <w:lang w:eastAsia="es-ES"/>
        </w:rPr>
        <w:t>SUJETO OBLIGADO</w:t>
      </w:r>
      <w:r w:rsidRPr="00B634FB">
        <w:rPr>
          <w:rFonts w:ascii="Palatino Linotype" w:eastAsia="Times New Roman" w:hAnsi="Palatino Linotype" w:cs="Times New Roman"/>
          <w:sz w:val="24"/>
          <w:szCs w:val="24"/>
          <w:lang w:eastAsia="es-ES"/>
        </w:rPr>
        <w:t xml:space="preserve"> está facultado para poseer, generar o administrar la información relacionada con la deuda municipal, así como el presupuesto, independientemente del soporte documental donde este se encuentre. </w:t>
      </w:r>
    </w:p>
    <w:p w14:paraId="6C0FEDE1" w14:textId="77777777" w:rsidR="00C43F6B" w:rsidRPr="00B634FB" w:rsidRDefault="00C43F6B" w:rsidP="00676980">
      <w:pPr>
        <w:spacing w:after="0" w:line="360" w:lineRule="auto"/>
        <w:jc w:val="both"/>
        <w:rPr>
          <w:rFonts w:ascii="Palatino Linotype" w:eastAsia="Palatino Linotype" w:hAnsi="Palatino Linotype" w:cs="Palatino Linotype"/>
          <w:sz w:val="24"/>
          <w:szCs w:val="24"/>
        </w:rPr>
      </w:pPr>
    </w:p>
    <w:p w14:paraId="3A25C94C" w14:textId="77777777" w:rsidR="003B7378" w:rsidRPr="00B634FB" w:rsidRDefault="003B7378">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lastRenderedPageBreak/>
        <w:t xml:space="preserve">En consecuencia de lo anterior, se arriba a la conclusión de no tenerse por colmada la solicitud de información </w:t>
      </w:r>
      <w:r w:rsidR="00BE08CA" w:rsidRPr="00BE08CA">
        <w:rPr>
          <w:rFonts w:ascii="Palatino Linotype" w:eastAsia="Palatino Linotype" w:hAnsi="Palatino Linotype" w:cs="Palatino Linotype"/>
          <w:b/>
          <w:bCs/>
          <w:sz w:val="24"/>
          <w:szCs w:val="24"/>
        </w:rPr>
        <w:t>00112/ACULCO/IP/2025</w:t>
      </w:r>
      <w:r w:rsidRPr="00B634FB">
        <w:rPr>
          <w:rFonts w:ascii="Palatino Linotype" w:eastAsia="Palatino Linotype" w:hAnsi="Palatino Linotype" w:cs="Palatino Linotype"/>
          <w:b/>
          <w:bCs/>
          <w:sz w:val="24"/>
          <w:szCs w:val="24"/>
        </w:rPr>
        <w:t xml:space="preserve">, </w:t>
      </w:r>
      <w:r w:rsidRPr="00B634FB">
        <w:rPr>
          <w:rFonts w:ascii="Palatino Linotype" w:eastAsia="Palatino Linotype" w:hAnsi="Palatino Linotype" w:cs="Palatino Linotype"/>
          <w:bCs/>
          <w:sz w:val="24"/>
          <w:szCs w:val="24"/>
        </w:rPr>
        <w:t xml:space="preserve">por lo que resulta dable ordenar el soporte documental que dé cuenta de lo solicitado. </w:t>
      </w:r>
    </w:p>
    <w:p w14:paraId="56A84C7D" w14:textId="77777777" w:rsidR="0084142B" w:rsidRPr="00B634FB" w:rsidRDefault="0084142B">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p>
    <w:p w14:paraId="118B361F" w14:textId="710BD8FF" w:rsidR="0084142B" w:rsidRPr="00B634FB" w:rsidRDefault="00CF1CC3" w:rsidP="003B7378">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bookmarkStart w:id="9" w:name="_heading=h.firw1nit5saq" w:colFirst="0" w:colLast="0"/>
      <w:bookmarkEnd w:id="9"/>
      <w:r w:rsidRPr="00B634FB">
        <w:rPr>
          <w:rFonts w:ascii="Palatino Linotype" w:eastAsia="Palatino Linotype" w:hAnsi="Palatino Linotype" w:cs="Palatino Linotype"/>
          <w:color w:val="000000"/>
          <w:sz w:val="24"/>
          <w:szCs w:val="24"/>
        </w:rPr>
        <w:t xml:space="preserve">Debido a lo anteriormente expuesto, este Instituto estima que las razones o motivos de inconformidad hechos valer por </w:t>
      </w:r>
      <w:r w:rsidRPr="00B634FB">
        <w:rPr>
          <w:rFonts w:ascii="Palatino Linotype" w:eastAsia="Palatino Linotype" w:hAnsi="Palatino Linotype" w:cs="Palatino Linotype"/>
          <w:b/>
          <w:color w:val="000000"/>
          <w:sz w:val="24"/>
          <w:szCs w:val="24"/>
        </w:rPr>
        <w:t>EL RECURRENTE</w:t>
      </w:r>
      <w:r w:rsidRPr="00B634FB">
        <w:rPr>
          <w:rFonts w:ascii="Palatino Linotype" w:eastAsia="Palatino Linotype" w:hAnsi="Palatino Linotype" w:cs="Palatino Linotype"/>
          <w:color w:val="000000"/>
          <w:sz w:val="24"/>
          <w:szCs w:val="24"/>
        </w:rPr>
        <w:t xml:space="preserve"> devienen fundadas y suficientes para</w:t>
      </w:r>
      <w:r w:rsidRPr="00B634FB">
        <w:rPr>
          <w:rFonts w:ascii="Palatino Linotype" w:eastAsia="Palatino Linotype" w:hAnsi="Palatino Linotype" w:cs="Palatino Linotype"/>
          <w:b/>
          <w:color w:val="000000"/>
          <w:sz w:val="24"/>
          <w:szCs w:val="24"/>
        </w:rPr>
        <w:t xml:space="preserve"> REVOCAR</w:t>
      </w:r>
      <w:r w:rsidRPr="00B634FB">
        <w:rPr>
          <w:rFonts w:ascii="Palatino Linotype" w:eastAsia="Palatino Linotype" w:hAnsi="Palatino Linotype" w:cs="Palatino Linotype"/>
          <w:color w:val="000000"/>
          <w:sz w:val="24"/>
          <w:szCs w:val="24"/>
        </w:rPr>
        <w:t xml:space="preserve"> la res</w:t>
      </w:r>
      <w:r w:rsidR="00C3079C">
        <w:rPr>
          <w:rFonts w:ascii="Palatino Linotype" w:eastAsia="Palatino Linotype" w:hAnsi="Palatino Linotype" w:cs="Palatino Linotype"/>
          <w:color w:val="000000"/>
          <w:sz w:val="24"/>
          <w:szCs w:val="24"/>
        </w:rPr>
        <w:t>puesta a la solicitud de acceso</w:t>
      </w:r>
      <w:r w:rsidR="00BE08CA" w:rsidRPr="00BE08CA">
        <w:rPr>
          <w:rFonts w:ascii="Palatino Linotype" w:eastAsia="Palatino Linotype" w:hAnsi="Palatino Linotype" w:cs="Palatino Linotype"/>
          <w:b/>
          <w:bCs/>
          <w:color w:val="000000"/>
          <w:sz w:val="24"/>
          <w:szCs w:val="24"/>
        </w:rPr>
        <w:t> 00112/ACULCO/IP/2025</w:t>
      </w:r>
      <w:r w:rsidRPr="00B634FB">
        <w:rPr>
          <w:rFonts w:ascii="Palatino Linotype" w:eastAsia="Palatino Linotype" w:hAnsi="Palatino Linotype" w:cs="Palatino Linotype"/>
          <w:b/>
          <w:color w:val="000000"/>
          <w:sz w:val="24"/>
          <w:szCs w:val="24"/>
        </w:rPr>
        <w:t xml:space="preserve">, </w:t>
      </w:r>
      <w:r w:rsidRPr="00B634FB">
        <w:rPr>
          <w:rFonts w:ascii="Palatino Linotype" w:eastAsia="Palatino Linotype" w:hAnsi="Palatino Linotype" w:cs="Palatino Linotype"/>
          <w:color w:val="000000"/>
          <w:sz w:val="24"/>
          <w:szCs w:val="24"/>
        </w:rPr>
        <w:t xml:space="preserve">que origino el Recurso de Revisión </w:t>
      </w:r>
      <w:r w:rsidR="00BE08CA" w:rsidRPr="00BE08CA">
        <w:rPr>
          <w:rFonts w:ascii="Palatino Linotype" w:eastAsia="Palatino Linotype" w:hAnsi="Palatino Linotype" w:cs="Palatino Linotype"/>
          <w:b/>
          <w:bCs/>
          <w:color w:val="000000"/>
          <w:sz w:val="24"/>
          <w:szCs w:val="24"/>
        </w:rPr>
        <w:t>08643/INFOEM/IP/RR/2025</w:t>
      </w:r>
      <w:r w:rsidRPr="00B634FB">
        <w:rPr>
          <w:rFonts w:ascii="Palatino Linotype" w:eastAsia="Palatino Linotype" w:hAnsi="Palatino Linotype" w:cs="Palatino Linotype"/>
          <w:color w:val="000000"/>
          <w:sz w:val="24"/>
          <w:szCs w:val="24"/>
        </w:rPr>
        <w:t>.</w:t>
      </w:r>
    </w:p>
    <w:p w14:paraId="24A80D85" w14:textId="77777777" w:rsidR="0084142B" w:rsidRPr="00B634FB" w:rsidRDefault="0084142B">
      <w:pPr>
        <w:spacing w:after="0" w:line="360" w:lineRule="auto"/>
        <w:jc w:val="both"/>
        <w:rPr>
          <w:rFonts w:ascii="Palatino Linotype" w:eastAsia="Palatino Linotype" w:hAnsi="Palatino Linotype" w:cs="Palatino Linotype"/>
          <w:color w:val="000000"/>
          <w:sz w:val="24"/>
          <w:szCs w:val="24"/>
        </w:rPr>
      </w:pPr>
    </w:p>
    <w:p w14:paraId="5E1B5B04" w14:textId="77777777" w:rsidR="0084142B" w:rsidRPr="00B634FB" w:rsidRDefault="00CF1CC3">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color w:val="000000"/>
          <w:sz w:val="24"/>
          <w:szCs w:val="24"/>
        </w:rPr>
        <w:t xml:space="preserve">Así, con fundamento en lo previsto en los artículos 5, </w:t>
      </w:r>
      <w:r w:rsidRPr="00B634FB">
        <w:rPr>
          <w:rFonts w:ascii="Palatino Linotype" w:eastAsia="Palatino Linotype" w:hAnsi="Palatino Linotype" w:cs="Palatino Linotype"/>
          <w:sz w:val="24"/>
          <w:szCs w:val="24"/>
        </w:rPr>
        <w:t>párrafo trigésimo segundo, trigésimo tercero y trigésimo cuarto</w:t>
      </w:r>
      <w:r w:rsidRPr="00B634FB">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A7F8F07" w14:textId="77777777" w:rsidR="0084142B" w:rsidRPr="00B634FB" w:rsidRDefault="0084142B">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6A9EF2EE" w14:textId="23B8241D" w:rsidR="0084142B" w:rsidRPr="00B634FB" w:rsidRDefault="00CF1CC3">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B634FB">
        <w:rPr>
          <w:rFonts w:ascii="Palatino Linotype" w:eastAsia="Palatino Linotype" w:hAnsi="Palatino Linotype" w:cs="Palatino Linotype"/>
          <w:b/>
          <w:sz w:val="24"/>
          <w:szCs w:val="24"/>
        </w:rPr>
        <w:t>R</w:t>
      </w:r>
      <w:r w:rsidR="003E7A6D">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b/>
          <w:sz w:val="24"/>
          <w:szCs w:val="24"/>
        </w:rPr>
        <w:t>E</w:t>
      </w:r>
      <w:r w:rsidR="003E7A6D">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b/>
          <w:sz w:val="24"/>
          <w:szCs w:val="24"/>
        </w:rPr>
        <w:t>S</w:t>
      </w:r>
      <w:r w:rsidR="003E7A6D">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b/>
          <w:sz w:val="24"/>
          <w:szCs w:val="24"/>
        </w:rPr>
        <w:t>U</w:t>
      </w:r>
      <w:r w:rsidR="003E7A6D">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b/>
          <w:sz w:val="24"/>
          <w:szCs w:val="24"/>
        </w:rPr>
        <w:t>E</w:t>
      </w:r>
      <w:r w:rsidR="003E7A6D">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b/>
          <w:sz w:val="24"/>
          <w:szCs w:val="24"/>
        </w:rPr>
        <w:t>L</w:t>
      </w:r>
      <w:r w:rsidR="003E7A6D">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b/>
          <w:sz w:val="24"/>
          <w:szCs w:val="24"/>
        </w:rPr>
        <w:t>V</w:t>
      </w:r>
      <w:r w:rsidR="003E7A6D">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b/>
          <w:sz w:val="24"/>
          <w:szCs w:val="24"/>
        </w:rPr>
        <w:t>E</w:t>
      </w:r>
    </w:p>
    <w:p w14:paraId="6EDA8A2C" w14:textId="77777777" w:rsidR="00BE08CA" w:rsidRDefault="00CF1CC3">
      <w:pPr>
        <w:spacing w:line="360" w:lineRule="auto"/>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b/>
          <w:color w:val="000000"/>
          <w:sz w:val="24"/>
          <w:szCs w:val="24"/>
        </w:rPr>
        <w:t>PRIMERO</w:t>
      </w:r>
      <w:r w:rsidRPr="00B634FB">
        <w:rPr>
          <w:rFonts w:ascii="Palatino Linotype" w:eastAsia="Palatino Linotype" w:hAnsi="Palatino Linotype" w:cs="Palatino Linotype"/>
          <w:color w:val="000000"/>
          <w:sz w:val="24"/>
          <w:szCs w:val="24"/>
        </w:rPr>
        <w:t xml:space="preserve">. Resultan </w:t>
      </w:r>
      <w:r w:rsidRPr="00B634FB">
        <w:rPr>
          <w:rFonts w:ascii="Palatino Linotype" w:eastAsia="Palatino Linotype" w:hAnsi="Palatino Linotype" w:cs="Palatino Linotype"/>
          <w:b/>
          <w:color w:val="000000"/>
          <w:sz w:val="24"/>
          <w:szCs w:val="24"/>
        </w:rPr>
        <w:t>fundadas</w:t>
      </w:r>
      <w:r w:rsidRPr="00B634FB">
        <w:rPr>
          <w:rFonts w:ascii="Palatino Linotype" w:eastAsia="Palatino Linotype" w:hAnsi="Palatino Linotype" w:cs="Palatino Linotype"/>
          <w:color w:val="000000"/>
          <w:sz w:val="24"/>
          <w:szCs w:val="24"/>
        </w:rPr>
        <w:t xml:space="preserve"> las razones o motivos de inconformidad planteadas por </w:t>
      </w:r>
      <w:r w:rsidRPr="00B634FB">
        <w:rPr>
          <w:rFonts w:ascii="Palatino Linotype" w:eastAsia="Palatino Linotype" w:hAnsi="Palatino Linotype" w:cs="Palatino Linotype"/>
          <w:b/>
          <w:color w:val="000000"/>
          <w:sz w:val="24"/>
          <w:szCs w:val="24"/>
        </w:rPr>
        <w:t>EL RECURRENTE</w:t>
      </w:r>
      <w:r w:rsidRPr="00B634FB">
        <w:rPr>
          <w:rFonts w:ascii="Palatino Linotype" w:eastAsia="Palatino Linotype" w:hAnsi="Palatino Linotype" w:cs="Palatino Linotype"/>
          <w:color w:val="000000"/>
          <w:sz w:val="24"/>
          <w:szCs w:val="24"/>
        </w:rPr>
        <w:t xml:space="preserve">, en términos del Considerando </w:t>
      </w:r>
      <w:r w:rsidRPr="00B634FB">
        <w:rPr>
          <w:rFonts w:ascii="Palatino Linotype" w:eastAsia="Palatino Linotype" w:hAnsi="Palatino Linotype" w:cs="Palatino Linotype"/>
          <w:b/>
          <w:color w:val="000000"/>
          <w:sz w:val="24"/>
          <w:szCs w:val="24"/>
        </w:rPr>
        <w:t>CUARTO</w:t>
      </w:r>
      <w:r w:rsidRPr="00B634FB">
        <w:rPr>
          <w:rFonts w:ascii="Palatino Linotype" w:eastAsia="Palatino Linotype" w:hAnsi="Palatino Linotype" w:cs="Palatino Linotype"/>
          <w:color w:val="000000"/>
          <w:sz w:val="24"/>
          <w:szCs w:val="24"/>
        </w:rPr>
        <w:t xml:space="preserve"> de la presente resolución.</w:t>
      </w:r>
    </w:p>
    <w:p w14:paraId="50F3A189" w14:textId="77777777" w:rsidR="00BE08CA" w:rsidRPr="00B634FB" w:rsidRDefault="00BE08CA">
      <w:pPr>
        <w:spacing w:line="360" w:lineRule="auto"/>
        <w:jc w:val="both"/>
        <w:rPr>
          <w:rFonts w:ascii="Palatino Linotype" w:eastAsia="Palatino Linotype" w:hAnsi="Palatino Linotype" w:cs="Palatino Linotype"/>
          <w:color w:val="000000"/>
          <w:sz w:val="24"/>
          <w:szCs w:val="24"/>
        </w:rPr>
      </w:pPr>
    </w:p>
    <w:p w14:paraId="2D88DFCF" w14:textId="77777777" w:rsidR="008916F1" w:rsidRDefault="00CF1CC3">
      <w:pPr>
        <w:spacing w:line="360" w:lineRule="auto"/>
        <w:jc w:val="both"/>
        <w:rPr>
          <w:rFonts w:ascii="Palatino Linotype" w:eastAsia="Palatino Linotype" w:hAnsi="Palatino Linotype" w:cs="Palatino Linotype"/>
          <w:color w:val="000000"/>
          <w:sz w:val="24"/>
          <w:szCs w:val="24"/>
        </w:rPr>
      </w:pPr>
      <w:r w:rsidRPr="00B634FB">
        <w:rPr>
          <w:rFonts w:ascii="Palatino Linotype" w:eastAsia="Palatino Linotype" w:hAnsi="Palatino Linotype" w:cs="Palatino Linotype"/>
          <w:b/>
          <w:color w:val="000000"/>
          <w:sz w:val="24"/>
          <w:szCs w:val="24"/>
        </w:rPr>
        <w:t>SEGUNDO</w:t>
      </w:r>
      <w:r w:rsidRPr="00B634FB">
        <w:rPr>
          <w:rFonts w:ascii="Palatino Linotype" w:eastAsia="Palatino Linotype" w:hAnsi="Palatino Linotype" w:cs="Palatino Linotype"/>
          <w:color w:val="000000"/>
          <w:sz w:val="24"/>
          <w:szCs w:val="24"/>
        </w:rPr>
        <w:t xml:space="preserve">. Se </w:t>
      </w:r>
      <w:r w:rsidRPr="00B634FB">
        <w:rPr>
          <w:rFonts w:ascii="Palatino Linotype" w:eastAsia="Palatino Linotype" w:hAnsi="Palatino Linotype" w:cs="Palatino Linotype"/>
          <w:b/>
          <w:color w:val="000000"/>
          <w:sz w:val="24"/>
          <w:szCs w:val="24"/>
        </w:rPr>
        <w:t xml:space="preserve">REVOCA </w:t>
      </w:r>
      <w:r w:rsidRPr="00B634FB">
        <w:rPr>
          <w:rFonts w:ascii="Palatino Linotype" w:eastAsia="Palatino Linotype" w:hAnsi="Palatino Linotype" w:cs="Palatino Linotype"/>
          <w:color w:val="000000"/>
          <w:sz w:val="24"/>
          <w:szCs w:val="24"/>
        </w:rPr>
        <w:t>la respuesta proporcionada por el</w:t>
      </w:r>
      <w:r w:rsidR="003B7378" w:rsidRPr="00B634FB">
        <w:rPr>
          <w:rFonts w:ascii="Palatino Linotype" w:eastAsia="Palatino Linotype" w:hAnsi="Palatino Linotype" w:cs="Palatino Linotype"/>
          <w:b/>
          <w:color w:val="000000"/>
          <w:sz w:val="24"/>
          <w:szCs w:val="24"/>
        </w:rPr>
        <w:t xml:space="preserve"> Ayuntamiento de Aculco</w:t>
      </w:r>
      <w:r w:rsidR="003B7378" w:rsidRPr="00B634FB">
        <w:rPr>
          <w:rFonts w:ascii="Palatino Linotype" w:eastAsia="Palatino Linotype" w:hAnsi="Palatino Linotype" w:cs="Palatino Linotype"/>
          <w:color w:val="000000"/>
          <w:sz w:val="24"/>
          <w:szCs w:val="24"/>
        </w:rPr>
        <w:t xml:space="preserve"> a la solicitud de información </w:t>
      </w:r>
      <w:r w:rsidR="00BE08CA" w:rsidRPr="00BE08CA">
        <w:rPr>
          <w:rFonts w:ascii="Palatino Linotype" w:eastAsia="Palatino Linotype" w:hAnsi="Palatino Linotype" w:cs="Palatino Linotype"/>
          <w:b/>
          <w:bCs/>
          <w:color w:val="000000"/>
          <w:sz w:val="24"/>
          <w:szCs w:val="24"/>
        </w:rPr>
        <w:t>00112/ACULCO/IP/2025</w:t>
      </w:r>
      <w:r w:rsidRPr="00B634FB">
        <w:rPr>
          <w:rFonts w:ascii="Palatino Linotype" w:eastAsia="Palatino Linotype" w:hAnsi="Palatino Linotype" w:cs="Palatino Linotype"/>
          <w:b/>
          <w:sz w:val="24"/>
          <w:szCs w:val="24"/>
        </w:rPr>
        <w:t xml:space="preserve">, </w:t>
      </w:r>
      <w:r w:rsidRPr="00B634FB">
        <w:rPr>
          <w:rFonts w:ascii="Palatino Linotype" w:eastAsia="Palatino Linotype" w:hAnsi="Palatino Linotype" w:cs="Palatino Linotype"/>
          <w:color w:val="000000"/>
          <w:sz w:val="24"/>
          <w:szCs w:val="24"/>
        </w:rPr>
        <w:t>en términos del considerando</w:t>
      </w:r>
      <w:r w:rsidRPr="00B634FB">
        <w:rPr>
          <w:rFonts w:ascii="Palatino Linotype" w:eastAsia="Palatino Linotype" w:hAnsi="Palatino Linotype" w:cs="Palatino Linotype"/>
          <w:b/>
          <w:color w:val="000000"/>
          <w:sz w:val="24"/>
          <w:szCs w:val="24"/>
        </w:rPr>
        <w:t xml:space="preserve"> CUARTO </w:t>
      </w:r>
      <w:r w:rsidRPr="00B634FB">
        <w:rPr>
          <w:rFonts w:ascii="Palatino Linotype" w:eastAsia="Palatino Linotype" w:hAnsi="Palatino Linotype" w:cs="Palatino Linotype"/>
          <w:color w:val="000000"/>
          <w:sz w:val="24"/>
          <w:szCs w:val="24"/>
        </w:rPr>
        <w:t xml:space="preserve">de la presente resolución y se </w:t>
      </w:r>
      <w:r w:rsidRPr="00B634FB">
        <w:rPr>
          <w:rFonts w:ascii="Palatino Linotype" w:eastAsia="Palatino Linotype" w:hAnsi="Palatino Linotype" w:cs="Palatino Linotype"/>
          <w:b/>
          <w:color w:val="000000"/>
          <w:sz w:val="24"/>
          <w:szCs w:val="24"/>
        </w:rPr>
        <w:t>ORDENA</w:t>
      </w:r>
      <w:r w:rsidRPr="00B634FB">
        <w:rPr>
          <w:rFonts w:ascii="Palatino Linotype" w:eastAsia="Palatino Linotype" w:hAnsi="Palatino Linotype" w:cs="Palatino Linotype"/>
          <w:color w:val="000000"/>
          <w:sz w:val="24"/>
          <w:szCs w:val="24"/>
        </w:rPr>
        <w:t xml:space="preserve"> entregue al</w:t>
      </w:r>
      <w:r w:rsidRPr="00B634FB">
        <w:rPr>
          <w:rFonts w:ascii="Palatino Linotype" w:eastAsia="Palatino Linotype" w:hAnsi="Palatino Linotype" w:cs="Palatino Linotype"/>
          <w:b/>
          <w:color w:val="000000"/>
          <w:sz w:val="24"/>
          <w:szCs w:val="24"/>
        </w:rPr>
        <w:t xml:space="preserve"> RECURRENTE, </w:t>
      </w:r>
      <w:r w:rsidRPr="00B634FB">
        <w:rPr>
          <w:rFonts w:ascii="Palatino Linotype" w:eastAsia="Palatino Linotype" w:hAnsi="Palatino Linotype" w:cs="Palatino Linotype"/>
          <w:color w:val="000000"/>
          <w:sz w:val="24"/>
          <w:szCs w:val="24"/>
        </w:rPr>
        <w:t xml:space="preserve">a través del Sistema de Acceso a la Información Mexiquense </w:t>
      </w:r>
      <w:r w:rsidRPr="00B634FB">
        <w:rPr>
          <w:rFonts w:ascii="Palatino Linotype" w:eastAsia="Palatino Linotype" w:hAnsi="Palatino Linotype" w:cs="Palatino Linotype"/>
          <w:b/>
          <w:color w:val="000000"/>
          <w:sz w:val="24"/>
          <w:szCs w:val="24"/>
        </w:rPr>
        <w:t>(SAIMEX)</w:t>
      </w:r>
      <w:r w:rsidRPr="00B634FB">
        <w:rPr>
          <w:rFonts w:ascii="Palatino Linotype" w:eastAsia="Palatino Linotype" w:hAnsi="Palatino Linotype" w:cs="Palatino Linotype"/>
          <w:color w:val="000000"/>
          <w:sz w:val="24"/>
          <w:szCs w:val="24"/>
        </w:rPr>
        <w:t xml:space="preserve">, lo siguiente: </w:t>
      </w:r>
    </w:p>
    <w:p w14:paraId="296F1F9C" w14:textId="4399A95A" w:rsidR="004156DA" w:rsidRPr="003E7A6D" w:rsidRDefault="008916F1" w:rsidP="00533038">
      <w:pPr>
        <w:pStyle w:val="Prrafodelista"/>
        <w:numPr>
          <w:ilvl w:val="0"/>
          <w:numId w:val="12"/>
        </w:numPr>
        <w:spacing w:line="276" w:lineRule="auto"/>
        <w:ind w:right="758"/>
        <w:jc w:val="both"/>
        <w:rPr>
          <w:rFonts w:ascii="Palatino Linotype" w:eastAsia="Palatino Linotype" w:hAnsi="Palatino Linotype" w:cs="Palatino Linotype"/>
          <w:b/>
        </w:rPr>
      </w:pPr>
      <w:r w:rsidRPr="003E7A6D">
        <w:rPr>
          <w:rFonts w:ascii="Palatino Linotype" w:eastAsia="Palatino Linotype" w:hAnsi="Palatino Linotype" w:cs="Palatino Linotype"/>
          <w:b/>
        </w:rPr>
        <w:lastRenderedPageBreak/>
        <w:t>Documento en donde conste o se advierta el p</w:t>
      </w:r>
      <w:r w:rsidR="00BE08CA" w:rsidRPr="003E7A6D">
        <w:rPr>
          <w:rFonts w:ascii="Palatino Linotype" w:eastAsia="Palatino Linotype" w:hAnsi="Palatino Linotype" w:cs="Palatino Linotype"/>
          <w:b/>
        </w:rPr>
        <w:t xml:space="preserve">resupuesto ejercido y desglosado </w:t>
      </w:r>
      <w:r w:rsidRPr="003E7A6D">
        <w:rPr>
          <w:rFonts w:ascii="Palatino Linotype" w:eastAsia="Palatino Linotype" w:hAnsi="Palatino Linotype" w:cs="Palatino Linotype"/>
          <w:b/>
        </w:rPr>
        <w:t xml:space="preserve">del </w:t>
      </w:r>
      <w:r w:rsidR="0056219B" w:rsidRPr="003E7A6D">
        <w:rPr>
          <w:rFonts w:ascii="Palatino Linotype" w:eastAsia="Palatino Linotype" w:hAnsi="Palatino Linotype" w:cs="Palatino Linotype"/>
          <w:b/>
        </w:rPr>
        <w:t xml:space="preserve">periodo </w:t>
      </w:r>
      <w:r w:rsidRPr="003E7A6D">
        <w:rPr>
          <w:rFonts w:ascii="Palatino Linotype" w:eastAsia="Palatino Linotype" w:hAnsi="Palatino Linotype" w:cs="Palatino Linotype"/>
          <w:b/>
        </w:rPr>
        <w:t xml:space="preserve">comprendido del </w:t>
      </w:r>
      <w:r w:rsidR="0056219B" w:rsidRPr="003E7A6D">
        <w:rPr>
          <w:rFonts w:ascii="Palatino Linotype" w:eastAsia="Palatino Linotype" w:hAnsi="Palatino Linotype" w:cs="Palatino Linotype"/>
          <w:b/>
        </w:rPr>
        <w:t xml:space="preserve">primero de enero </w:t>
      </w:r>
      <w:r w:rsidRPr="003E7A6D">
        <w:rPr>
          <w:rFonts w:ascii="Palatino Linotype" w:eastAsia="Palatino Linotype" w:hAnsi="Palatino Linotype" w:cs="Palatino Linotype"/>
          <w:b/>
        </w:rPr>
        <w:t>a</w:t>
      </w:r>
      <w:r w:rsidR="00C3079C" w:rsidRPr="003E7A6D">
        <w:rPr>
          <w:rFonts w:ascii="Palatino Linotype" w:eastAsia="Palatino Linotype" w:hAnsi="Palatino Linotype" w:cs="Palatino Linotype"/>
          <w:b/>
        </w:rPr>
        <w:t>l doce de junio</w:t>
      </w:r>
      <w:r w:rsidRPr="003E7A6D">
        <w:rPr>
          <w:rFonts w:ascii="Palatino Linotype" w:eastAsia="Palatino Linotype" w:hAnsi="Palatino Linotype" w:cs="Palatino Linotype"/>
          <w:b/>
        </w:rPr>
        <w:t xml:space="preserve"> de dos mil veinticinco.</w:t>
      </w:r>
    </w:p>
    <w:p w14:paraId="271C77F8" w14:textId="77777777" w:rsidR="00533038" w:rsidRDefault="00533038" w:rsidP="00533038">
      <w:pPr>
        <w:pStyle w:val="Prrafodelista"/>
        <w:spacing w:line="276" w:lineRule="auto"/>
        <w:ind w:left="900" w:right="758"/>
        <w:jc w:val="both"/>
        <w:rPr>
          <w:rFonts w:ascii="Palatino Linotype" w:eastAsia="Palatino Linotype" w:hAnsi="Palatino Linotype" w:cs="Palatino Linotype"/>
          <w:b/>
        </w:rPr>
      </w:pPr>
    </w:p>
    <w:p w14:paraId="673F33D1" w14:textId="77777777" w:rsidR="00BE08CA" w:rsidRPr="008916F1" w:rsidRDefault="00BE08CA" w:rsidP="008916F1">
      <w:pPr>
        <w:spacing w:line="276" w:lineRule="auto"/>
        <w:ind w:left="540" w:right="333"/>
        <w:jc w:val="both"/>
        <w:rPr>
          <w:rFonts w:ascii="Palatino Linotype" w:eastAsia="Palatino Linotype" w:hAnsi="Palatino Linotype" w:cs="Palatino Linotype"/>
        </w:rPr>
      </w:pPr>
    </w:p>
    <w:p w14:paraId="7EB3D827" w14:textId="77777777" w:rsidR="0084142B" w:rsidRPr="00B634FB" w:rsidRDefault="00CF1CC3">
      <w:pPr>
        <w:spacing w:line="360" w:lineRule="auto"/>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b/>
          <w:sz w:val="24"/>
          <w:szCs w:val="24"/>
        </w:rPr>
        <w:t>TERCERO</w:t>
      </w:r>
      <w:r w:rsidRPr="00B634FB">
        <w:rPr>
          <w:rFonts w:ascii="Palatino Linotype" w:eastAsia="Palatino Linotype" w:hAnsi="Palatino Linotype" w:cs="Palatino Linotype"/>
          <w:sz w:val="24"/>
          <w:szCs w:val="24"/>
        </w:rPr>
        <w:t xml:space="preserve">. </w:t>
      </w:r>
      <w:r w:rsidRPr="00B634FB">
        <w:rPr>
          <w:rFonts w:ascii="Palatino Linotype" w:eastAsia="Palatino Linotype" w:hAnsi="Palatino Linotype" w:cs="Palatino Linotype"/>
          <w:b/>
          <w:sz w:val="24"/>
          <w:szCs w:val="24"/>
        </w:rPr>
        <w:t>NOTIFÍQUESE</w:t>
      </w:r>
      <w:r w:rsidRPr="00B634FB">
        <w:rPr>
          <w:rFonts w:ascii="Palatino Linotype" w:eastAsia="Palatino Linotype" w:hAnsi="Palatino Linotype" w:cs="Palatino Linotype"/>
          <w:sz w:val="24"/>
          <w:szCs w:val="24"/>
        </w:rPr>
        <w:t xml:space="preserve"> la presente resolución al Titular de la Unidad de Transparencia del Sujeto Obligado </w:t>
      </w:r>
      <w:r w:rsidRPr="00B634FB">
        <w:rPr>
          <w:rFonts w:ascii="Palatino Linotype" w:eastAsia="Palatino Linotype" w:hAnsi="Palatino Linotype" w:cs="Palatino Linotype"/>
          <w:b/>
          <w:sz w:val="24"/>
          <w:szCs w:val="24"/>
        </w:rPr>
        <w:t>vía SAIMEX</w:t>
      </w:r>
      <w:r w:rsidRPr="00B634F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C3079C">
        <w:rPr>
          <w:rFonts w:ascii="Palatino Linotype" w:eastAsia="Palatino Linotype" w:hAnsi="Palatino Linotype" w:cs="Palatino Linotype"/>
          <w:b/>
          <w:sz w:val="24"/>
          <w:szCs w:val="24"/>
        </w:rPr>
        <w:t>dé cumplimiento a lo ordenado dentro del plazo de diez días hábiles</w:t>
      </w:r>
      <w:r w:rsidRPr="00B634FB">
        <w:rPr>
          <w:rFonts w:ascii="Palatino Linotype" w:eastAsia="Palatino Linotype" w:hAnsi="Palatino Linotype" w:cs="Palatino Linotype"/>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783A57" w14:textId="77777777" w:rsidR="0084142B" w:rsidRPr="00B634FB" w:rsidRDefault="0084142B">
      <w:pPr>
        <w:spacing w:line="360" w:lineRule="auto"/>
        <w:jc w:val="both"/>
        <w:rPr>
          <w:rFonts w:ascii="Palatino Linotype" w:eastAsia="Palatino Linotype" w:hAnsi="Palatino Linotype" w:cs="Palatino Linotype"/>
          <w:sz w:val="24"/>
          <w:szCs w:val="24"/>
        </w:rPr>
      </w:pPr>
    </w:p>
    <w:p w14:paraId="23630448" w14:textId="77777777" w:rsidR="0084142B" w:rsidRDefault="00CF1CC3">
      <w:pPr>
        <w:spacing w:line="360" w:lineRule="auto"/>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b/>
          <w:sz w:val="24"/>
          <w:szCs w:val="24"/>
        </w:rPr>
        <w:t xml:space="preserve">CUARTO. </w:t>
      </w:r>
      <w:r w:rsidRPr="00B634FB">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B634FB">
        <w:rPr>
          <w:rFonts w:ascii="Palatino Linotype" w:eastAsia="Palatino Linotype" w:hAnsi="Palatino Linotype" w:cs="Palatino Linotype"/>
          <w:b/>
          <w:sz w:val="24"/>
          <w:szCs w:val="24"/>
        </w:rPr>
        <w:t>SUJETO OBLIGADO</w:t>
      </w:r>
      <w:r w:rsidRPr="00B634FB">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7902BDA1" w14:textId="77777777" w:rsidR="00C3079C" w:rsidRPr="00B634FB" w:rsidRDefault="00C3079C">
      <w:pPr>
        <w:spacing w:line="360" w:lineRule="auto"/>
        <w:jc w:val="both"/>
        <w:rPr>
          <w:rFonts w:ascii="Palatino Linotype" w:eastAsia="Palatino Linotype" w:hAnsi="Palatino Linotype" w:cs="Palatino Linotype"/>
          <w:sz w:val="24"/>
          <w:szCs w:val="24"/>
        </w:rPr>
      </w:pPr>
    </w:p>
    <w:p w14:paraId="28A80E7B" w14:textId="77777777" w:rsidR="0084142B" w:rsidRDefault="00CF1CC3">
      <w:pPr>
        <w:spacing w:line="360" w:lineRule="auto"/>
        <w:jc w:val="both"/>
        <w:rPr>
          <w:rFonts w:ascii="Palatino Linotype" w:eastAsia="Palatino Linotype" w:hAnsi="Palatino Linotype" w:cs="Palatino Linotype"/>
          <w:b/>
          <w:sz w:val="24"/>
          <w:szCs w:val="24"/>
        </w:rPr>
      </w:pPr>
      <w:bookmarkStart w:id="10" w:name="_heading=h.lnxbz9" w:colFirst="0" w:colLast="0"/>
      <w:bookmarkEnd w:id="10"/>
      <w:r w:rsidRPr="00B634FB">
        <w:rPr>
          <w:rFonts w:ascii="Palatino Linotype" w:eastAsia="Palatino Linotype" w:hAnsi="Palatino Linotype" w:cs="Palatino Linotype"/>
          <w:b/>
          <w:sz w:val="24"/>
          <w:szCs w:val="24"/>
        </w:rPr>
        <w:t xml:space="preserve">QUINTO. </w:t>
      </w:r>
      <w:r w:rsidRPr="00B634FB">
        <w:rPr>
          <w:rFonts w:ascii="Palatino Linotype" w:eastAsia="Palatino Linotype" w:hAnsi="Palatino Linotype" w:cs="Palatino Linotype"/>
          <w:sz w:val="24"/>
          <w:szCs w:val="24"/>
        </w:rPr>
        <w:t xml:space="preserve">Notifíquese a </w:t>
      </w:r>
      <w:r w:rsidRPr="00B634FB">
        <w:rPr>
          <w:rFonts w:ascii="Palatino Linotype" w:eastAsia="Palatino Linotype" w:hAnsi="Palatino Linotype" w:cs="Palatino Linotype"/>
          <w:b/>
          <w:sz w:val="24"/>
          <w:szCs w:val="24"/>
        </w:rPr>
        <w:t>EL RECURRENTE</w:t>
      </w:r>
      <w:r w:rsidRPr="00B634FB">
        <w:rPr>
          <w:rFonts w:ascii="Palatino Linotype" w:eastAsia="Palatino Linotype" w:hAnsi="Palatino Linotype" w:cs="Palatino Linotype"/>
          <w:sz w:val="24"/>
          <w:szCs w:val="24"/>
        </w:rPr>
        <w:t xml:space="preserve"> la presente resolución, </w:t>
      </w:r>
      <w:r w:rsidRPr="00B634FB">
        <w:rPr>
          <w:rFonts w:ascii="Palatino Linotype" w:eastAsia="Palatino Linotype" w:hAnsi="Palatino Linotype" w:cs="Palatino Linotype"/>
          <w:b/>
          <w:sz w:val="24"/>
          <w:szCs w:val="24"/>
        </w:rPr>
        <w:t>vía SAIMEX.</w:t>
      </w:r>
    </w:p>
    <w:p w14:paraId="7931C4D1" w14:textId="77777777" w:rsidR="00C3079C" w:rsidRPr="008916F1" w:rsidRDefault="00C3079C">
      <w:pPr>
        <w:spacing w:line="360" w:lineRule="auto"/>
        <w:jc w:val="both"/>
        <w:rPr>
          <w:rFonts w:ascii="Palatino Linotype" w:eastAsia="Palatino Linotype" w:hAnsi="Palatino Linotype" w:cs="Palatino Linotype"/>
          <w:b/>
          <w:sz w:val="24"/>
          <w:szCs w:val="24"/>
        </w:rPr>
      </w:pPr>
    </w:p>
    <w:p w14:paraId="524053BB" w14:textId="77777777" w:rsidR="0084142B" w:rsidRPr="00B634FB" w:rsidRDefault="00CF1CC3">
      <w:pPr>
        <w:tabs>
          <w:tab w:val="left" w:pos="8080"/>
        </w:tabs>
        <w:spacing w:after="0" w:line="360" w:lineRule="auto"/>
        <w:ind w:right="49"/>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b/>
          <w:sz w:val="24"/>
          <w:szCs w:val="24"/>
        </w:rPr>
        <w:lastRenderedPageBreak/>
        <w:t>SEXTO.</w:t>
      </w:r>
      <w:r w:rsidRPr="00B634FB">
        <w:rPr>
          <w:rFonts w:ascii="Palatino Linotype" w:eastAsia="Palatino Linotype" w:hAnsi="Palatino Linotype" w:cs="Palatino Linotype"/>
          <w:sz w:val="24"/>
          <w:szCs w:val="24"/>
        </w:rPr>
        <w:t xml:space="preserve"> Se hace del conocimiento del </w:t>
      </w:r>
      <w:r w:rsidRPr="00B634FB">
        <w:rPr>
          <w:rFonts w:ascii="Palatino Linotype" w:eastAsia="Palatino Linotype" w:hAnsi="Palatino Linotype" w:cs="Palatino Linotype"/>
          <w:b/>
          <w:sz w:val="24"/>
          <w:szCs w:val="24"/>
        </w:rPr>
        <w:t>RECURRENTE</w:t>
      </w:r>
      <w:r w:rsidRPr="00B634FB">
        <w:rPr>
          <w:rFonts w:ascii="Palatino Linotype" w:eastAsia="Palatino Linotype" w:hAnsi="Palatino Linotype" w:cs="Palatino Linotype"/>
          <w:sz w:val="24"/>
          <w:szCs w:val="24"/>
        </w:rPr>
        <w:t xml:space="preserve"> que de conformidad con lo establecido en el artículo 196 de la Ley de Transparencia y Acceso a la Información</w:t>
      </w:r>
    </w:p>
    <w:p w14:paraId="08D91EFA" w14:textId="77777777" w:rsidR="0084142B" w:rsidRPr="00B634FB" w:rsidRDefault="00CF1CC3">
      <w:pPr>
        <w:shd w:val="clear" w:color="auto" w:fill="FFFFFF"/>
        <w:spacing w:after="0" w:line="360" w:lineRule="auto"/>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Pública del Estado de México y Municipios, en caso de que considere que la resolución le cause algún perjuicio podrá impugnarla, vía juicio de amparo en los</w:t>
      </w:r>
    </w:p>
    <w:p w14:paraId="0C8621D5" w14:textId="77777777" w:rsidR="0084142B" w:rsidRPr="00B634FB" w:rsidRDefault="00CF1CC3">
      <w:pPr>
        <w:shd w:val="clear" w:color="auto" w:fill="FFFFFF"/>
        <w:spacing w:after="0" w:line="360" w:lineRule="auto"/>
        <w:jc w:val="both"/>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Términos de las Leyes aplicables.</w:t>
      </w:r>
    </w:p>
    <w:p w14:paraId="10CCA706" w14:textId="77777777" w:rsidR="0084142B" w:rsidRPr="00B634FB" w:rsidRDefault="0084142B">
      <w:pPr>
        <w:shd w:val="clear" w:color="auto" w:fill="FFFFFF"/>
        <w:spacing w:after="0" w:line="360" w:lineRule="auto"/>
        <w:jc w:val="both"/>
        <w:rPr>
          <w:rFonts w:ascii="Palatino Linotype" w:eastAsia="Palatino Linotype" w:hAnsi="Palatino Linotype" w:cs="Palatino Linotype"/>
          <w:sz w:val="24"/>
          <w:szCs w:val="24"/>
        </w:rPr>
      </w:pPr>
    </w:p>
    <w:p w14:paraId="21AD1DAD" w14:textId="77777777" w:rsidR="00C3079C" w:rsidRPr="00C3079C" w:rsidRDefault="00C3079C" w:rsidP="00C3079C">
      <w:pPr>
        <w:spacing w:before="240" w:after="240" w:line="360" w:lineRule="auto"/>
        <w:ind w:firstLine="1"/>
        <w:jc w:val="both"/>
        <w:rPr>
          <w:rFonts w:ascii="Palatino Linotype" w:hAnsi="Palatino Linotype"/>
          <w:sz w:val="24"/>
        </w:rPr>
      </w:pPr>
      <w:bookmarkStart w:id="11" w:name="_heading=h.35nkun2" w:colFirst="0" w:colLast="0"/>
      <w:bookmarkStart w:id="12" w:name="_Hlk99014733"/>
      <w:bookmarkEnd w:id="11"/>
      <w:r w:rsidRPr="00C3079C">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C3079C">
        <w:rPr>
          <w:rFonts w:ascii="Palatino Linotype" w:hAnsi="Palatino Linotype" w:cs="Palatino Linotype"/>
          <w:color w:val="000000" w:themeColor="text1"/>
          <w:sz w:val="24"/>
        </w:rPr>
        <w:t>ALEXIS TAPIA RAMÍREZ.</w:t>
      </w:r>
    </w:p>
    <w:bookmarkEnd w:id="12"/>
    <w:p w14:paraId="4882C22F" w14:textId="77777777" w:rsidR="0084142B" w:rsidRPr="00B634FB" w:rsidRDefault="0084142B">
      <w:pPr>
        <w:spacing w:line="360" w:lineRule="auto"/>
        <w:jc w:val="both"/>
        <w:rPr>
          <w:rFonts w:ascii="Palatino Linotype" w:eastAsia="Palatino Linotype" w:hAnsi="Palatino Linotype" w:cs="Palatino Linotype"/>
          <w:sz w:val="24"/>
          <w:szCs w:val="24"/>
        </w:rPr>
      </w:pPr>
    </w:p>
    <w:p w14:paraId="5B6053AC" w14:textId="77777777" w:rsidR="0084142B" w:rsidRPr="00B634FB" w:rsidRDefault="0084142B">
      <w:pPr>
        <w:spacing w:line="360" w:lineRule="auto"/>
        <w:jc w:val="both"/>
        <w:rPr>
          <w:rFonts w:ascii="Palatino Linotype" w:eastAsia="Palatino Linotype" w:hAnsi="Palatino Linotype" w:cs="Palatino Linotype"/>
          <w:sz w:val="24"/>
          <w:szCs w:val="24"/>
        </w:rPr>
      </w:pPr>
    </w:p>
    <w:p w14:paraId="1976DC15" w14:textId="77777777" w:rsidR="0084142B" w:rsidRPr="00B634FB" w:rsidRDefault="0084142B">
      <w:pPr>
        <w:spacing w:line="360" w:lineRule="auto"/>
        <w:jc w:val="both"/>
        <w:rPr>
          <w:rFonts w:ascii="Palatino Linotype" w:eastAsia="Palatino Linotype" w:hAnsi="Palatino Linotype" w:cs="Palatino Linotype"/>
          <w:sz w:val="24"/>
          <w:szCs w:val="24"/>
        </w:rPr>
      </w:pPr>
    </w:p>
    <w:p w14:paraId="7FE5C8FF" w14:textId="77777777" w:rsidR="0084142B" w:rsidRPr="00B634FB" w:rsidRDefault="0084142B">
      <w:pPr>
        <w:spacing w:line="360" w:lineRule="auto"/>
        <w:rPr>
          <w:rFonts w:ascii="Palatino Linotype" w:eastAsia="Palatino Linotype" w:hAnsi="Palatino Linotype" w:cs="Palatino Linotype"/>
          <w:sz w:val="24"/>
          <w:szCs w:val="24"/>
        </w:rPr>
      </w:pPr>
    </w:p>
    <w:p w14:paraId="2D5CE7C2" w14:textId="77777777" w:rsidR="0084142B" w:rsidRPr="00B634FB" w:rsidRDefault="0084142B">
      <w:pPr>
        <w:spacing w:line="360" w:lineRule="auto"/>
        <w:rPr>
          <w:rFonts w:ascii="Palatino Linotype" w:eastAsia="Palatino Linotype" w:hAnsi="Palatino Linotype" w:cs="Palatino Linotype"/>
          <w:sz w:val="24"/>
          <w:szCs w:val="24"/>
        </w:rPr>
      </w:pPr>
    </w:p>
    <w:p w14:paraId="6033C089" w14:textId="77777777" w:rsidR="0084142B" w:rsidRPr="00B634FB" w:rsidRDefault="0084142B">
      <w:pPr>
        <w:spacing w:line="360" w:lineRule="auto"/>
        <w:rPr>
          <w:rFonts w:ascii="Palatino Linotype" w:eastAsia="Palatino Linotype" w:hAnsi="Palatino Linotype" w:cs="Palatino Linotype"/>
          <w:sz w:val="24"/>
          <w:szCs w:val="24"/>
        </w:rPr>
      </w:pPr>
    </w:p>
    <w:p w14:paraId="3C6E376A" w14:textId="77777777" w:rsidR="0084142B" w:rsidRPr="00B634FB" w:rsidRDefault="0084142B">
      <w:pPr>
        <w:spacing w:line="360" w:lineRule="auto"/>
        <w:rPr>
          <w:rFonts w:ascii="Palatino Linotype" w:eastAsia="Palatino Linotype" w:hAnsi="Palatino Linotype" w:cs="Palatino Linotype"/>
          <w:sz w:val="24"/>
          <w:szCs w:val="24"/>
        </w:rPr>
      </w:pPr>
    </w:p>
    <w:p w14:paraId="6B50A9B5" w14:textId="77777777" w:rsidR="0084142B" w:rsidRPr="00B634FB" w:rsidRDefault="0084142B">
      <w:pPr>
        <w:spacing w:line="360" w:lineRule="auto"/>
        <w:rPr>
          <w:rFonts w:ascii="Palatino Linotype" w:eastAsia="Palatino Linotype" w:hAnsi="Palatino Linotype" w:cs="Palatino Linotype"/>
          <w:sz w:val="24"/>
          <w:szCs w:val="24"/>
        </w:rPr>
      </w:pPr>
    </w:p>
    <w:p w14:paraId="108B7A8B" w14:textId="77777777" w:rsidR="0084142B" w:rsidRPr="00B634FB" w:rsidRDefault="0084142B">
      <w:pPr>
        <w:spacing w:line="360" w:lineRule="auto"/>
        <w:rPr>
          <w:rFonts w:ascii="Palatino Linotype" w:eastAsia="Palatino Linotype" w:hAnsi="Palatino Linotype" w:cs="Palatino Linotype"/>
          <w:sz w:val="24"/>
          <w:szCs w:val="24"/>
        </w:rPr>
      </w:pPr>
    </w:p>
    <w:p w14:paraId="51E8EEA7" w14:textId="77777777" w:rsidR="0084142B" w:rsidRPr="00B634FB" w:rsidRDefault="0084142B">
      <w:pPr>
        <w:spacing w:line="360" w:lineRule="auto"/>
        <w:rPr>
          <w:rFonts w:ascii="Palatino Linotype" w:eastAsia="Palatino Linotype" w:hAnsi="Palatino Linotype" w:cs="Palatino Linotype"/>
          <w:sz w:val="24"/>
          <w:szCs w:val="24"/>
        </w:rPr>
      </w:pPr>
    </w:p>
    <w:p w14:paraId="7018536F" w14:textId="77777777" w:rsidR="0084142B" w:rsidRPr="00B634FB" w:rsidRDefault="00CF1CC3">
      <w:pPr>
        <w:tabs>
          <w:tab w:val="left" w:pos="3374"/>
        </w:tabs>
        <w:spacing w:line="360" w:lineRule="auto"/>
        <w:rPr>
          <w:rFonts w:ascii="Palatino Linotype" w:eastAsia="Palatino Linotype" w:hAnsi="Palatino Linotype" w:cs="Palatino Linotype"/>
          <w:sz w:val="24"/>
          <w:szCs w:val="24"/>
        </w:rPr>
      </w:pPr>
      <w:r w:rsidRPr="00B634FB">
        <w:rPr>
          <w:rFonts w:ascii="Palatino Linotype" w:eastAsia="Palatino Linotype" w:hAnsi="Palatino Linotype" w:cs="Palatino Linotype"/>
          <w:sz w:val="24"/>
          <w:szCs w:val="24"/>
        </w:rPr>
        <w:tab/>
      </w:r>
    </w:p>
    <w:p w14:paraId="7045B033" w14:textId="77777777" w:rsidR="0084142B" w:rsidRPr="00B634FB" w:rsidRDefault="0084142B">
      <w:pPr>
        <w:tabs>
          <w:tab w:val="left" w:pos="3374"/>
        </w:tabs>
        <w:spacing w:line="360" w:lineRule="auto"/>
        <w:rPr>
          <w:rFonts w:ascii="Palatino Linotype" w:eastAsia="Palatino Linotype" w:hAnsi="Palatino Linotype" w:cs="Palatino Linotype"/>
          <w:sz w:val="24"/>
          <w:szCs w:val="24"/>
        </w:rPr>
      </w:pPr>
    </w:p>
    <w:p w14:paraId="3C857D81" w14:textId="77777777" w:rsidR="0084142B" w:rsidRPr="00B634FB" w:rsidRDefault="0084142B">
      <w:pPr>
        <w:tabs>
          <w:tab w:val="left" w:pos="3374"/>
        </w:tabs>
        <w:spacing w:line="360" w:lineRule="auto"/>
        <w:rPr>
          <w:rFonts w:ascii="Palatino Linotype" w:eastAsia="Palatino Linotype" w:hAnsi="Palatino Linotype" w:cs="Palatino Linotype"/>
          <w:sz w:val="24"/>
          <w:szCs w:val="24"/>
        </w:rPr>
      </w:pPr>
    </w:p>
    <w:p w14:paraId="682C83C5" w14:textId="77777777" w:rsidR="0084142B" w:rsidRPr="00B634FB" w:rsidRDefault="0084142B">
      <w:pPr>
        <w:tabs>
          <w:tab w:val="left" w:pos="3374"/>
        </w:tabs>
        <w:spacing w:line="360" w:lineRule="auto"/>
        <w:rPr>
          <w:rFonts w:ascii="Palatino Linotype" w:eastAsia="Palatino Linotype" w:hAnsi="Palatino Linotype" w:cs="Palatino Linotype"/>
          <w:sz w:val="24"/>
          <w:szCs w:val="24"/>
        </w:rPr>
      </w:pPr>
    </w:p>
    <w:p w14:paraId="0EC80877" w14:textId="77777777" w:rsidR="0084142B" w:rsidRPr="00B634FB" w:rsidRDefault="0084142B">
      <w:pPr>
        <w:rPr>
          <w:rFonts w:ascii="Palatino Linotype" w:eastAsia="Palatino Linotype" w:hAnsi="Palatino Linotype" w:cs="Palatino Linotype"/>
          <w:sz w:val="24"/>
          <w:szCs w:val="24"/>
        </w:rPr>
      </w:pPr>
    </w:p>
    <w:sectPr w:rsidR="0084142B" w:rsidRPr="00B634FB" w:rsidSect="003E7A6D">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1E3C9" w14:textId="77777777" w:rsidR="00BE7400" w:rsidRDefault="00BE7400">
      <w:pPr>
        <w:spacing w:after="0" w:line="240" w:lineRule="auto"/>
      </w:pPr>
      <w:r>
        <w:separator/>
      </w:r>
    </w:p>
  </w:endnote>
  <w:endnote w:type="continuationSeparator" w:id="0">
    <w:p w14:paraId="6771E6BC" w14:textId="77777777" w:rsidR="00BE7400" w:rsidRDefault="00BE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787E" w14:textId="77777777" w:rsidR="0066076F" w:rsidRPr="003E7A6D" w:rsidRDefault="0066076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E7A6D">
      <w:rPr>
        <w:rFonts w:ascii="Palatino Linotype" w:eastAsia="Palatino Linotype" w:hAnsi="Palatino Linotype" w:cs="Palatino Linotype"/>
        <w:color w:val="000000"/>
        <w:szCs w:val="20"/>
      </w:rPr>
      <w:t xml:space="preserve">Página </w:t>
    </w:r>
    <w:r w:rsidRPr="003E7A6D">
      <w:rPr>
        <w:rFonts w:ascii="Palatino Linotype" w:eastAsia="Palatino Linotype" w:hAnsi="Palatino Linotype" w:cs="Palatino Linotype"/>
        <w:color w:val="000000"/>
        <w:szCs w:val="20"/>
      </w:rPr>
      <w:fldChar w:fldCharType="begin"/>
    </w:r>
    <w:r w:rsidRPr="003E7A6D">
      <w:rPr>
        <w:rFonts w:ascii="Palatino Linotype" w:eastAsia="Palatino Linotype" w:hAnsi="Palatino Linotype" w:cs="Palatino Linotype"/>
        <w:color w:val="000000"/>
        <w:szCs w:val="20"/>
      </w:rPr>
      <w:instrText>PAGE</w:instrText>
    </w:r>
    <w:r w:rsidRPr="003E7A6D">
      <w:rPr>
        <w:rFonts w:ascii="Palatino Linotype" w:eastAsia="Palatino Linotype" w:hAnsi="Palatino Linotype" w:cs="Palatino Linotype"/>
        <w:color w:val="000000"/>
        <w:szCs w:val="20"/>
      </w:rPr>
      <w:fldChar w:fldCharType="separate"/>
    </w:r>
    <w:r w:rsidR="003E7A6D">
      <w:rPr>
        <w:rFonts w:ascii="Palatino Linotype" w:eastAsia="Palatino Linotype" w:hAnsi="Palatino Linotype" w:cs="Palatino Linotype"/>
        <w:noProof/>
        <w:color w:val="000000"/>
        <w:szCs w:val="20"/>
      </w:rPr>
      <w:t>21</w:t>
    </w:r>
    <w:r w:rsidRPr="003E7A6D">
      <w:rPr>
        <w:rFonts w:ascii="Palatino Linotype" w:eastAsia="Palatino Linotype" w:hAnsi="Palatino Linotype" w:cs="Palatino Linotype"/>
        <w:color w:val="000000"/>
        <w:szCs w:val="20"/>
      </w:rPr>
      <w:fldChar w:fldCharType="end"/>
    </w:r>
    <w:r w:rsidRPr="003E7A6D">
      <w:rPr>
        <w:rFonts w:ascii="Palatino Linotype" w:eastAsia="Palatino Linotype" w:hAnsi="Palatino Linotype" w:cs="Palatino Linotype"/>
        <w:color w:val="000000"/>
        <w:szCs w:val="20"/>
      </w:rPr>
      <w:t xml:space="preserve"> de </w:t>
    </w:r>
    <w:r w:rsidRPr="003E7A6D">
      <w:rPr>
        <w:rFonts w:ascii="Palatino Linotype" w:eastAsia="Palatino Linotype" w:hAnsi="Palatino Linotype" w:cs="Palatino Linotype"/>
        <w:color w:val="000000"/>
        <w:szCs w:val="20"/>
      </w:rPr>
      <w:fldChar w:fldCharType="begin"/>
    </w:r>
    <w:r w:rsidRPr="003E7A6D">
      <w:rPr>
        <w:rFonts w:ascii="Palatino Linotype" w:eastAsia="Palatino Linotype" w:hAnsi="Palatino Linotype" w:cs="Palatino Linotype"/>
        <w:color w:val="000000"/>
        <w:szCs w:val="20"/>
      </w:rPr>
      <w:instrText>NUMPAGES</w:instrText>
    </w:r>
    <w:r w:rsidRPr="003E7A6D">
      <w:rPr>
        <w:rFonts w:ascii="Palatino Linotype" w:eastAsia="Palatino Linotype" w:hAnsi="Palatino Linotype" w:cs="Palatino Linotype"/>
        <w:color w:val="000000"/>
        <w:szCs w:val="20"/>
      </w:rPr>
      <w:fldChar w:fldCharType="separate"/>
    </w:r>
    <w:r w:rsidR="003E7A6D">
      <w:rPr>
        <w:rFonts w:ascii="Palatino Linotype" w:eastAsia="Palatino Linotype" w:hAnsi="Palatino Linotype" w:cs="Palatino Linotype"/>
        <w:noProof/>
        <w:color w:val="000000"/>
        <w:szCs w:val="20"/>
      </w:rPr>
      <w:t>22</w:t>
    </w:r>
    <w:r w:rsidRPr="003E7A6D">
      <w:rPr>
        <w:rFonts w:ascii="Palatino Linotype" w:eastAsia="Palatino Linotype" w:hAnsi="Palatino Linotype" w:cs="Palatino Linotype"/>
        <w:color w:val="000000"/>
        <w:szCs w:val="20"/>
      </w:rPr>
      <w:fldChar w:fldCharType="end"/>
    </w:r>
  </w:p>
  <w:p w14:paraId="28E030C6" w14:textId="77777777" w:rsidR="0066076F" w:rsidRDefault="0066076F">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85D3" w14:textId="77777777" w:rsidR="0066076F" w:rsidRPr="003E7A6D" w:rsidRDefault="0066076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3E7A6D">
      <w:rPr>
        <w:rFonts w:ascii="Palatino Linotype" w:eastAsia="Palatino Linotype" w:hAnsi="Palatino Linotype" w:cs="Palatino Linotype"/>
        <w:b/>
        <w:color w:val="000000"/>
        <w:szCs w:val="20"/>
      </w:rPr>
      <w:t xml:space="preserve">Página </w:t>
    </w:r>
    <w:r w:rsidRPr="003E7A6D">
      <w:rPr>
        <w:rFonts w:ascii="Palatino Linotype" w:eastAsia="Palatino Linotype" w:hAnsi="Palatino Linotype" w:cs="Palatino Linotype"/>
        <w:b/>
        <w:color w:val="000000"/>
        <w:szCs w:val="20"/>
      </w:rPr>
      <w:fldChar w:fldCharType="begin"/>
    </w:r>
    <w:r w:rsidRPr="003E7A6D">
      <w:rPr>
        <w:rFonts w:ascii="Palatino Linotype" w:eastAsia="Palatino Linotype" w:hAnsi="Palatino Linotype" w:cs="Palatino Linotype"/>
        <w:b/>
        <w:color w:val="000000"/>
        <w:szCs w:val="20"/>
      </w:rPr>
      <w:instrText>PAGE</w:instrText>
    </w:r>
    <w:r w:rsidRPr="003E7A6D">
      <w:rPr>
        <w:rFonts w:ascii="Palatino Linotype" w:eastAsia="Palatino Linotype" w:hAnsi="Palatino Linotype" w:cs="Palatino Linotype"/>
        <w:b/>
        <w:color w:val="000000"/>
        <w:szCs w:val="20"/>
      </w:rPr>
      <w:fldChar w:fldCharType="separate"/>
    </w:r>
    <w:r w:rsidR="003E7A6D">
      <w:rPr>
        <w:rFonts w:ascii="Palatino Linotype" w:eastAsia="Palatino Linotype" w:hAnsi="Palatino Linotype" w:cs="Palatino Linotype"/>
        <w:b/>
        <w:noProof/>
        <w:color w:val="000000"/>
        <w:szCs w:val="20"/>
      </w:rPr>
      <w:t>1</w:t>
    </w:r>
    <w:r w:rsidRPr="003E7A6D">
      <w:rPr>
        <w:rFonts w:ascii="Palatino Linotype" w:eastAsia="Palatino Linotype" w:hAnsi="Palatino Linotype" w:cs="Palatino Linotype"/>
        <w:b/>
        <w:color w:val="000000"/>
        <w:szCs w:val="20"/>
      </w:rPr>
      <w:fldChar w:fldCharType="end"/>
    </w:r>
    <w:r w:rsidRPr="003E7A6D">
      <w:rPr>
        <w:rFonts w:ascii="Palatino Linotype" w:eastAsia="Palatino Linotype" w:hAnsi="Palatino Linotype" w:cs="Palatino Linotype"/>
        <w:b/>
        <w:color w:val="000000"/>
        <w:szCs w:val="20"/>
      </w:rPr>
      <w:t xml:space="preserve"> de </w:t>
    </w:r>
    <w:r w:rsidRPr="003E7A6D">
      <w:rPr>
        <w:rFonts w:ascii="Palatino Linotype" w:eastAsia="Palatino Linotype" w:hAnsi="Palatino Linotype" w:cs="Palatino Linotype"/>
        <w:b/>
        <w:color w:val="000000"/>
        <w:szCs w:val="20"/>
      </w:rPr>
      <w:fldChar w:fldCharType="begin"/>
    </w:r>
    <w:r w:rsidRPr="003E7A6D">
      <w:rPr>
        <w:rFonts w:ascii="Palatino Linotype" w:eastAsia="Palatino Linotype" w:hAnsi="Palatino Linotype" w:cs="Palatino Linotype"/>
        <w:b/>
        <w:color w:val="000000"/>
        <w:szCs w:val="20"/>
      </w:rPr>
      <w:instrText>NUMPAGES</w:instrText>
    </w:r>
    <w:r w:rsidRPr="003E7A6D">
      <w:rPr>
        <w:rFonts w:ascii="Palatino Linotype" w:eastAsia="Palatino Linotype" w:hAnsi="Palatino Linotype" w:cs="Palatino Linotype"/>
        <w:b/>
        <w:color w:val="000000"/>
        <w:szCs w:val="20"/>
      </w:rPr>
      <w:fldChar w:fldCharType="separate"/>
    </w:r>
    <w:r w:rsidR="003E7A6D">
      <w:rPr>
        <w:rFonts w:ascii="Palatino Linotype" w:eastAsia="Palatino Linotype" w:hAnsi="Palatino Linotype" w:cs="Palatino Linotype"/>
        <w:b/>
        <w:noProof/>
        <w:color w:val="000000"/>
        <w:szCs w:val="20"/>
      </w:rPr>
      <w:t>22</w:t>
    </w:r>
    <w:r w:rsidRPr="003E7A6D">
      <w:rPr>
        <w:rFonts w:ascii="Palatino Linotype" w:eastAsia="Palatino Linotype" w:hAnsi="Palatino Linotype" w:cs="Palatino Linotype"/>
        <w:b/>
        <w:color w:val="000000"/>
        <w:szCs w:val="20"/>
      </w:rPr>
      <w:fldChar w:fldCharType="end"/>
    </w:r>
  </w:p>
  <w:p w14:paraId="0CF8E0DF" w14:textId="77777777" w:rsidR="0066076F" w:rsidRDefault="0066076F">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0D969" w14:textId="77777777" w:rsidR="00BE7400" w:rsidRDefault="00BE7400">
      <w:pPr>
        <w:spacing w:after="0" w:line="240" w:lineRule="auto"/>
      </w:pPr>
      <w:r>
        <w:separator/>
      </w:r>
    </w:p>
  </w:footnote>
  <w:footnote w:type="continuationSeparator" w:id="0">
    <w:p w14:paraId="2E15E9C6" w14:textId="77777777" w:rsidR="00BE7400" w:rsidRDefault="00BE7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43DB3" w14:textId="77777777" w:rsidR="0066076F" w:rsidRDefault="00BE7400">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6295C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519" w:type="dxa"/>
      <w:tblInd w:w="3544" w:type="dxa"/>
      <w:tblLayout w:type="fixed"/>
      <w:tblLook w:val="0400" w:firstRow="0" w:lastRow="0" w:firstColumn="0" w:lastColumn="0" w:noHBand="0" w:noVBand="1"/>
    </w:tblPr>
    <w:tblGrid>
      <w:gridCol w:w="2976"/>
      <w:gridCol w:w="3543"/>
    </w:tblGrid>
    <w:tr w:rsidR="0066076F" w14:paraId="7E4D21CC" w14:textId="77777777" w:rsidTr="003E7A6D">
      <w:trPr>
        <w:trHeight w:val="227"/>
      </w:trPr>
      <w:tc>
        <w:tcPr>
          <w:tcW w:w="2976" w:type="dxa"/>
          <w:vAlign w:val="center"/>
        </w:tcPr>
        <w:p w14:paraId="33F669E3" w14:textId="77777777" w:rsidR="0066076F" w:rsidRPr="003E7A6D" w:rsidRDefault="0066076F">
          <w:pPr>
            <w:spacing w:after="0"/>
            <w:ind w:right="34"/>
            <w:jc w:val="right"/>
            <w:rPr>
              <w:rFonts w:ascii="Palatino Linotype" w:eastAsia="Palatino Linotype" w:hAnsi="Palatino Linotype" w:cs="Palatino Linotype"/>
              <w:b/>
              <w:sz w:val="24"/>
            </w:rPr>
          </w:pPr>
          <w:r w:rsidRPr="003E7A6D">
            <w:rPr>
              <w:rFonts w:ascii="Palatino Linotype" w:eastAsia="Palatino Linotype" w:hAnsi="Palatino Linotype" w:cs="Palatino Linotype"/>
              <w:b/>
              <w:sz w:val="24"/>
            </w:rPr>
            <w:t>Recurso de Revisión:</w:t>
          </w:r>
        </w:p>
      </w:tc>
      <w:tc>
        <w:tcPr>
          <w:tcW w:w="3543" w:type="dxa"/>
          <w:vAlign w:val="center"/>
        </w:tcPr>
        <w:p w14:paraId="0F48FE36" w14:textId="77777777" w:rsidR="0066076F" w:rsidRPr="003E7A6D" w:rsidRDefault="0066076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rPr>
          </w:pPr>
          <w:r w:rsidRPr="003E7A6D">
            <w:rPr>
              <w:rFonts w:ascii="Palatino Linotype" w:eastAsia="Palatino Linotype" w:hAnsi="Palatino Linotype" w:cs="Palatino Linotype"/>
              <w:color w:val="000000"/>
              <w:sz w:val="24"/>
            </w:rPr>
            <w:t> </w:t>
          </w:r>
          <w:r w:rsidRPr="003E7A6D">
            <w:rPr>
              <w:rFonts w:ascii="Palatino Linotype" w:eastAsia="Palatino Linotype" w:hAnsi="Palatino Linotype" w:cs="Palatino Linotype"/>
              <w:bCs/>
              <w:color w:val="000000"/>
              <w:sz w:val="24"/>
            </w:rPr>
            <w:t>08643/INFOEM/IP/RR/2025</w:t>
          </w:r>
        </w:p>
      </w:tc>
    </w:tr>
    <w:tr w:rsidR="0066076F" w14:paraId="194E0E3C" w14:textId="77777777" w:rsidTr="003E7A6D">
      <w:trPr>
        <w:trHeight w:val="242"/>
      </w:trPr>
      <w:tc>
        <w:tcPr>
          <w:tcW w:w="2976" w:type="dxa"/>
          <w:vAlign w:val="center"/>
        </w:tcPr>
        <w:p w14:paraId="70169A8C" w14:textId="77777777" w:rsidR="0066076F" w:rsidRPr="003E7A6D" w:rsidRDefault="0066076F">
          <w:pPr>
            <w:spacing w:after="0"/>
            <w:ind w:right="34"/>
            <w:jc w:val="right"/>
            <w:rPr>
              <w:rFonts w:ascii="Palatino Linotype" w:eastAsia="Palatino Linotype" w:hAnsi="Palatino Linotype" w:cs="Palatino Linotype"/>
              <w:b/>
              <w:sz w:val="24"/>
            </w:rPr>
          </w:pPr>
          <w:r w:rsidRPr="003E7A6D">
            <w:rPr>
              <w:rFonts w:ascii="Palatino Linotype" w:eastAsia="Palatino Linotype" w:hAnsi="Palatino Linotype" w:cs="Palatino Linotype"/>
              <w:b/>
              <w:sz w:val="24"/>
            </w:rPr>
            <w:t>Sujeto Obligado:</w:t>
          </w:r>
        </w:p>
      </w:tc>
      <w:tc>
        <w:tcPr>
          <w:tcW w:w="3543" w:type="dxa"/>
          <w:vAlign w:val="center"/>
        </w:tcPr>
        <w:p w14:paraId="2E33EE69" w14:textId="77777777" w:rsidR="0066076F" w:rsidRPr="003E7A6D" w:rsidRDefault="0066076F" w:rsidP="00350C9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rPr>
          </w:pPr>
          <w:r w:rsidRPr="003E7A6D">
            <w:rPr>
              <w:rFonts w:ascii="Palatino Linotype" w:eastAsia="Palatino Linotype" w:hAnsi="Palatino Linotype" w:cs="Palatino Linotype"/>
              <w:color w:val="000000"/>
              <w:sz w:val="24"/>
            </w:rPr>
            <w:t>Ayuntamiento de Aculco</w:t>
          </w:r>
        </w:p>
      </w:tc>
    </w:tr>
    <w:tr w:rsidR="0066076F" w14:paraId="61B5BD9A" w14:textId="77777777" w:rsidTr="003E7A6D">
      <w:trPr>
        <w:trHeight w:val="342"/>
      </w:trPr>
      <w:tc>
        <w:tcPr>
          <w:tcW w:w="2976" w:type="dxa"/>
          <w:vAlign w:val="center"/>
        </w:tcPr>
        <w:p w14:paraId="6284D056" w14:textId="77777777" w:rsidR="0066076F" w:rsidRPr="003E7A6D" w:rsidRDefault="0066076F">
          <w:pPr>
            <w:spacing w:after="0"/>
            <w:ind w:right="34"/>
            <w:jc w:val="right"/>
            <w:rPr>
              <w:rFonts w:ascii="Palatino Linotype" w:eastAsia="Palatino Linotype" w:hAnsi="Palatino Linotype" w:cs="Palatino Linotype"/>
              <w:b/>
              <w:sz w:val="24"/>
            </w:rPr>
          </w:pPr>
          <w:r w:rsidRPr="003E7A6D">
            <w:rPr>
              <w:rFonts w:ascii="Palatino Linotype" w:eastAsia="Palatino Linotype" w:hAnsi="Palatino Linotype" w:cs="Palatino Linotype"/>
              <w:b/>
              <w:sz w:val="24"/>
            </w:rPr>
            <w:t>Comisionada Ponente:</w:t>
          </w:r>
        </w:p>
      </w:tc>
      <w:tc>
        <w:tcPr>
          <w:tcW w:w="3543" w:type="dxa"/>
          <w:vAlign w:val="center"/>
        </w:tcPr>
        <w:p w14:paraId="1C396A75" w14:textId="77777777" w:rsidR="0066076F" w:rsidRPr="003E7A6D" w:rsidRDefault="0066076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rPr>
          </w:pPr>
          <w:r w:rsidRPr="003E7A6D">
            <w:rPr>
              <w:rFonts w:ascii="Palatino Linotype" w:eastAsia="Palatino Linotype" w:hAnsi="Palatino Linotype" w:cs="Palatino Linotype"/>
              <w:color w:val="000000"/>
              <w:sz w:val="24"/>
            </w:rPr>
            <w:t>María del Rosario Mejía Ayala</w:t>
          </w:r>
        </w:p>
      </w:tc>
    </w:tr>
  </w:tbl>
  <w:p w14:paraId="1437B881" w14:textId="77777777" w:rsidR="0066076F" w:rsidRDefault="00BE7400">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w14:anchorId="26954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801" w:type="dxa"/>
      <w:tblInd w:w="3119" w:type="dxa"/>
      <w:tblLayout w:type="fixed"/>
      <w:tblLook w:val="0400" w:firstRow="0" w:lastRow="0" w:firstColumn="0" w:lastColumn="0" w:noHBand="0" w:noVBand="1"/>
    </w:tblPr>
    <w:tblGrid>
      <w:gridCol w:w="3118"/>
      <w:gridCol w:w="3683"/>
    </w:tblGrid>
    <w:tr w:rsidR="0066076F" w14:paraId="226721DC" w14:textId="77777777" w:rsidTr="003E7A6D">
      <w:trPr>
        <w:trHeight w:val="227"/>
      </w:trPr>
      <w:tc>
        <w:tcPr>
          <w:tcW w:w="3118" w:type="dxa"/>
          <w:vAlign w:val="center"/>
        </w:tcPr>
        <w:p w14:paraId="2CAAD762" w14:textId="77777777" w:rsidR="0066076F" w:rsidRPr="003E7A6D" w:rsidRDefault="0066076F" w:rsidP="003E7A6D">
          <w:pPr>
            <w:spacing w:after="0" w:line="240" w:lineRule="auto"/>
            <w:jc w:val="right"/>
            <w:rPr>
              <w:rFonts w:ascii="Palatino Linotype" w:eastAsia="Palatino Linotype" w:hAnsi="Palatino Linotype" w:cs="Palatino Linotype"/>
              <w:b/>
              <w:sz w:val="24"/>
            </w:rPr>
          </w:pPr>
          <w:r w:rsidRPr="003E7A6D">
            <w:rPr>
              <w:rFonts w:ascii="Palatino Linotype" w:eastAsia="Palatino Linotype" w:hAnsi="Palatino Linotype" w:cs="Palatino Linotype"/>
              <w:b/>
              <w:sz w:val="24"/>
            </w:rPr>
            <w:t>Recurso de Revisión:</w:t>
          </w:r>
        </w:p>
      </w:tc>
      <w:tc>
        <w:tcPr>
          <w:tcW w:w="3683" w:type="dxa"/>
          <w:vAlign w:val="center"/>
        </w:tcPr>
        <w:p w14:paraId="31158A4B" w14:textId="77777777" w:rsidR="0066076F" w:rsidRPr="003E7A6D" w:rsidRDefault="0066076F" w:rsidP="003E7A6D">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3E7A6D">
            <w:rPr>
              <w:rFonts w:ascii="Palatino Linotype" w:eastAsia="Palatino Linotype" w:hAnsi="Palatino Linotype" w:cs="Palatino Linotype"/>
              <w:bCs/>
              <w:color w:val="000000"/>
              <w:sz w:val="24"/>
            </w:rPr>
            <w:t>08643/INFOEM/IP/RR/2025</w:t>
          </w:r>
        </w:p>
      </w:tc>
    </w:tr>
    <w:tr w:rsidR="0066076F" w14:paraId="3D836A2C" w14:textId="77777777" w:rsidTr="003E7A6D">
      <w:trPr>
        <w:trHeight w:val="242"/>
      </w:trPr>
      <w:tc>
        <w:tcPr>
          <w:tcW w:w="3118" w:type="dxa"/>
          <w:vAlign w:val="center"/>
        </w:tcPr>
        <w:p w14:paraId="698ABAC1" w14:textId="77777777" w:rsidR="0066076F" w:rsidRPr="003E7A6D" w:rsidRDefault="0066076F" w:rsidP="003E7A6D">
          <w:pPr>
            <w:spacing w:after="0" w:line="240" w:lineRule="auto"/>
            <w:jc w:val="right"/>
            <w:rPr>
              <w:rFonts w:ascii="Palatino Linotype" w:eastAsia="Palatino Linotype" w:hAnsi="Palatino Linotype" w:cs="Palatino Linotype"/>
              <w:b/>
              <w:sz w:val="24"/>
            </w:rPr>
          </w:pPr>
          <w:r w:rsidRPr="003E7A6D">
            <w:rPr>
              <w:rFonts w:ascii="Palatino Linotype" w:eastAsia="Palatino Linotype" w:hAnsi="Palatino Linotype" w:cs="Palatino Linotype"/>
              <w:b/>
              <w:sz w:val="24"/>
            </w:rPr>
            <w:t>Recurrente:</w:t>
          </w:r>
        </w:p>
      </w:tc>
      <w:tc>
        <w:tcPr>
          <w:tcW w:w="3683" w:type="dxa"/>
        </w:tcPr>
        <w:p w14:paraId="0A2B630C" w14:textId="683541B5" w:rsidR="0066076F" w:rsidRPr="003E7A6D" w:rsidRDefault="0066076F" w:rsidP="003E7A6D">
          <w:pPr>
            <w:pBdr>
              <w:top w:val="nil"/>
              <w:left w:val="nil"/>
              <w:bottom w:val="nil"/>
              <w:right w:val="nil"/>
              <w:between w:val="nil"/>
            </w:pBdr>
            <w:tabs>
              <w:tab w:val="center" w:pos="4419"/>
              <w:tab w:val="right" w:pos="8838"/>
              <w:tab w:val="left" w:pos="521"/>
            </w:tabs>
            <w:spacing w:after="0" w:line="276" w:lineRule="auto"/>
            <w:rPr>
              <w:rFonts w:ascii="Palatino Linotype" w:eastAsia="Palatino Linotype" w:hAnsi="Palatino Linotype" w:cs="Palatino Linotype"/>
              <w:color w:val="000000"/>
              <w:sz w:val="24"/>
            </w:rPr>
          </w:pPr>
        </w:p>
      </w:tc>
    </w:tr>
    <w:tr w:rsidR="0066076F" w14:paraId="0B96CB84" w14:textId="77777777" w:rsidTr="003E7A6D">
      <w:trPr>
        <w:trHeight w:val="342"/>
      </w:trPr>
      <w:tc>
        <w:tcPr>
          <w:tcW w:w="3118" w:type="dxa"/>
          <w:vAlign w:val="center"/>
        </w:tcPr>
        <w:p w14:paraId="758CF744" w14:textId="77777777" w:rsidR="0066076F" w:rsidRPr="003E7A6D" w:rsidRDefault="0066076F" w:rsidP="003E7A6D">
          <w:pPr>
            <w:spacing w:after="0" w:line="240" w:lineRule="auto"/>
            <w:jc w:val="right"/>
            <w:rPr>
              <w:rFonts w:ascii="Palatino Linotype" w:eastAsia="Palatino Linotype" w:hAnsi="Palatino Linotype" w:cs="Palatino Linotype"/>
              <w:b/>
              <w:sz w:val="24"/>
            </w:rPr>
          </w:pPr>
          <w:r w:rsidRPr="003E7A6D">
            <w:rPr>
              <w:rFonts w:ascii="Palatino Linotype" w:eastAsia="Palatino Linotype" w:hAnsi="Palatino Linotype" w:cs="Palatino Linotype"/>
              <w:b/>
              <w:sz w:val="24"/>
            </w:rPr>
            <w:t>Sujeto Obligado:</w:t>
          </w:r>
        </w:p>
      </w:tc>
      <w:tc>
        <w:tcPr>
          <w:tcW w:w="3683" w:type="dxa"/>
          <w:vAlign w:val="center"/>
        </w:tcPr>
        <w:p w14:paraId="3BF6F160" w14:textId="77777777" w:rsidR="0066076F" w:rsidRPr="003E7A6D" w:rsidRDefault="0066076F" w:rsidP="003E7A6D">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sz w:val="24"/>
            </w:rPr>
          </w:pPr>
          <w:r w:rsidRPr="003E7A6D">
            <w:rPr>
              <w:rFonts w:ascii="Palatino Linotype" w:eastAsia="Palatino Linotype" w:hAnsi="Palatino Linotype" w:cs="Palatino Linotype"/>
              <w:color w:val="000000"/>
              <w:sz w:val="24"/>
            </w:rPr>
            <w:t>Ayuntamiento de Aculco</w:t>
          </w:r>
        </w:p>
      </w:tc>
    </w:tr>
    <w:tr w:rsidR="0066076F" w14:paraId="02B2A90B" w14:textId="77777777" w:rsidTr="003E7A6D">
      <w:trPr>
        <w:trHeight w:val="342"/>
      </w:trPr>
      <w:tc>
        <w:tcPr>
          <w:tcW w:w="3118" w:type="dxa"/>
          <w:vAlign w:val="center"/>
        </w:tcPr>
        <w:p w14:paraId="330A400D" w14:textId="77777777" w:rsidR="0066076F" w:rsidRPr="003E7A6D" w:rsidRDefault="0066076F" w:rsidP="003E7A6D">
          <w:pPr>
            <w:spacing w:after="0" w:line="240" w:lineRule="auto"/>
            <w:jc w:val="right"/>
            <w:rPr>
              <w:rFonts w:ascii="Palatino Linotype" w:eastAsia="Palatino Linotype" w:hAnsi="Palatino Linotype" w:cs="Palatino Linotype"/>
              <w:b/>
              <w:sz w:val="24"/>
            </w:rPr>
          </w:pPr>
          <w:r w:rsidRPr="003E7A6D">
            <w:rPr>
              <w:rFonts w:ascii="Palatino Linotype" w:eastAsia="Palatino Linotype" w:hAnsi="Palatino Linotype" w:cs="Palatino Linotype"/>
              <w:b/>
              <w:sz w:val="24"/>
            </w:rPr>
            <w:t>Comisionada Ponente:</w:t>
          </w:r>
        </w:p>
      </w:tc>
      <w:tc>
        <w:tcPr>
          <w:tcW w:w="3683" w:type="dxa"/>
          <w:vAlign w:val="center"/>
        </w:tcPr>
        <w:p w14:paraId="2B47F5EF" w14:textId="77777777" w:rsidR="0066076F" w:rsidRPr="003E7A6D" w:rsidRDefault="0066076F" w:rsidP="003E7A6D">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rPr>
          </w:pPr>
          <w:r w:rsidRPr="003E7A6D">
            <w:rPr>
              <w:rFonts w:ascii="Palatino Linotype" w:eastAsia="Palatino Linotype" w:hAnsi="Palatino Linotype" w:cs="Palatino Linotype"/>
              <w:color w:val="000000"/>
              <w:sz w:val="24"/>
            </w:rPr>
            <w:t>María del Rosario Mejía Ayala</w:t>
          </w:r>
        </w:p>
      </w:tc>
    </w:tr>
  </w:tbl>
  <w:p w14:paraId="1B0BCEF5" w14:textId="77777777" w:rsidR="0066076F" w:rsidRDefault="00BE7400">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488D6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ADD66CD"/>
    <w:multiLevelType w:val="multilevel"/>
    <w:tmpl w:val="2B248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C3005"/>
    <w:multiLevelType w:val="hybridMultilevel"/>
    <w:tmpl w:val="3AEA93DC"/>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CE20C2E"/>
    <w:multiLevelType w:val="multilevel"/>
    <w:tmpl w:val="D57C9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3BD47505"/>
    <w:multiLevelType w:val="multilevel"/>
    <w:tmpl w:val="301E38E4"/>
    <w:lvl w:ilvl="0">
      <w:start w:val="9000"/>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C9157B"/>
    <w:multiLevelType w:val="multilevel"/>
    <w:tmpl w:val="9AE4820E"/>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65447C"/>
    <w:multiLevelType w:val="multilevel"/>
    <w:tmpl w:val="075A7630"/>
    <w:lvl w:ilvl="0">
      <w:start w:val="12"/>
      <w:numFmt w:val="decimal"/>
      <w:lvlText w:val="%1."/>
      <w:lvlJc w:val="left"/>
      <w:pPr>
        <w:ind w:left="3054" w:hanging="360"/>
      </w:pPr>
      <w:rPr>
        <w:b w:val="0"/>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5" w15:restartNumberingAfterBreak="0">
    <w:nsid w:val="6682489C"/>
    <w:multiLevelType w:val="multilevel"/>
    <w:tmpl w:val="B3B258A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8"/>
  </w:num>
  <w:num w:numId="4">
    <w:abstractNumId w:val="14"/>
  </w:num>
  <w:num w:numId="5">
    <w:abstractNumId w:val="11"/>
  </w:num>
  <w:num w:numId="6">
    <w:abstractNumId w:val="6"/>
  </w:num>
  <w:num w:numId="7">
    <w:abstractNumId w:val="10"/>
  </w:num>
  <w:num w:numId="8">
    <w:abstractNumId w:val="0"/>
  </w:num>
  <w:num w:numId="9">
    <w:abstractNumId w:val="13"/>
  </w:num>
  <w:num w:numId="10">
    <w:abstractNumId w:val="5"/>
  </w:num>
  <w:num w:numId="11">
    <w:abstractNumId w:val="15"/>
  </w:num>
  <w:num w:numId="12">
    <w:abstractNumId w:val="3"/>
  </w:num>
  <w:num w:numId="13">
    <w:abstractNumId w:val="7"/>
  </w:num>
  <w:num w:numId="14">
    <w:abstractNumId w:val="2"/>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8325A"/>
    <w:rsid w:val="000C2725"/>
    <w:rsid w:val="000D62F1"/>
    <w:rsid w:val="001452E6"/>
    <w:rsid w:val="001D1F0F"/>
    <w:rsid w:val="002822B6"/>
    <w:rsid w:val="00350C93"/>
    <w:rsid w:val="003A50AF"/>
    <w:rsid w:val="003B7378"/>
    <w:rsid w:val="003E7A6D"/>
    <w:rsid w:val="003F7934"/>
    <w:rsid w:val="004156DA"/>
    <w:rsid w:val="00430078"/>
    <w:rsid w:val="004A44F5"/>
    <w:rsid w:val="004B039F"/>
    <w:rsid w:val="00533038"/>
    <w:rsid w:val="0056219B"/>
    <w:rsid w:val="005925EA"/>
    <w:rsid w:val="0066076F"/>
    <w:rsid w:val="0066519D"/>
    <w:rsid w:val="00676980"/>
    <w:rsid w:val="00716DA0"/>
    <w:rsid w:val="007404AD"/>
    <w:rsid w:val="007A402B"/>
    <w:rsid w:val="0084142B"/>
    <w:rsid w:val="008916F1"/>
    <w:rsid w:val="008A3665"/>
    <w:rsid w:val="00926C82"/>
    <w:rsid w:val="00A63887"/>
    <w:rsid w:val="00AE33E0"/>
    <w:rsid w:val="00B634FB"/>
    <w:rsid w:val="00B72D4C"/>
    <w:rsid w:val="00BE08CA"/>
    <w:rsid w:val="00BE7400"/>
    <w:rsid w:val="00BF2FFE"/>
    <w:rsid w:val="00C3079C"/>
    <w:rsid w:val="00C43F6B"/>
    <w:rsid w:val="00CF072D"/>
    <w:rsid w:val="00CF1CC3"/>
    <w:rsid w:val="00D01940"/>
    <w:rsid w:val="00DC1162"/>
    <w:rsid w:val="00E2067C"/>
    <w:rsid w:val="00E30756"/>
    <w:rsid w:val="00F06F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616E8"/>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50C93"/>
    <w:rPr>
      <w:sz w:val="16"/>
      <w:szCs w:val="16"/>
    </w:rPr>
  </w:style>
  <w:style w:type="paragraph" w:styleId="Textocomentario">
    <w:name w:val="annotation text"/>
    <w:basedOn w:val="Normal"/>
    <w:link w:val="TextocomentarioCar"/>
    <w:uiPriority w:val="99"/>
    <w:semiHidden/>
    <w:unhideWhenUsed/>
    <w:rsid w:val="0035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93"/>
    <w:rPr>
      <w:sz w:val="20"/>
      <w:szCs w:val="20"/>
    </w:rPr>
  </w:style>
  <w:style w:type="paragraph" w:styleId="Asuntodelcomentario">
    <w:name w:val="annotation subject"/>
    <w:basedOn w:val="Textocomentario"/>
    <w:next w:val="Textocomentario"/>
    <w:link w:val="AsuntodelcomentarioCar"/>
    <w:uiPriority w:val="99"/>
    <w:semiHidden/>
    <w:unhideWhenUsed/>
    <w:rsid w:val="00350C93"/>
    <w:rPr>
      <w:b/>
      <w:bCs/>
    </w:rPr>
  </w:style>
  <w:style w:type="character" w:customStyle="1" w:styleId="AsuntodelcomentarioCar">
    <w:name w:val="Asunto del comentario Car"/>
    <w:basedOn w:val="TextocomentarioCar"/>
    <w:link w:val="Asuntodelcomentario"/>
    <w:uiPriority w:val="99"/>
    <w:semiHidden/>
    <w:rsid w:val="00350C93"/>
    <w:rPr>
      <w:b/>
      <w:bCs/>
      <w:sz w:val="20"/>
      <w:szCs w:val="20"/>
    </w:rPr>
  </w:style>
  <w:style w:type="paragraph" w:styleId="Textodeglobo">
    <w:name w:val="Balloon Text"/>
    <w:basedOn w:val="Normal"/>
    <w:link w:val="TextodegloboCar"/>
    <w:uiPriority w:val="99"/>
    <w:semiHidden/>
    <w:unhideWhenUsed/>
    <w:rsid w:val="00350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6022">
      <w:bodyDiv w:val="1"/>
      <w:marLeft w:val="0"/>
      <w:marRight w:val="0"/>
      <w:marTop w:val="0"/>
      <w:marBottom w:val="0"/>
      <w:divBdr>
        <w:top w:val="none" w:sz="0" w:space="0" w:color="auto"/>
        <w:left w:val="none" w:sz="0" w:space="0" w:color="auto"/>
        <w:bottom w:val="none" w:sz="0" w:space="0" w:color="auto"/>
        <w:right w:val="none" w:sz="0" w:space="0" w:color="auto"/>
      </w:divBdr>
    </w:div>
    <w:div w:id="331683182">
      <w:bodyDiv w:val="1"/>
      <w:marLeft w:val="0"/>
      <w:marRight w:val="0"/>
      <w:marTop w:val="0"/>
      <w:marBottom w:val="0"/>
      <w:divBdr>
        <w:top w:val="none" w:sz="0" w:space="0" w:color="auto"/>
        <w:left w:val="none" w:sz="0" w:space="0" w:color="auto"/>
        <w:bottom w:val="none" w:sz="0" w:space="0" w:color="auto"/>
        <w:right w:val="none" w:sz="0" w:space="0" w:color="auto"/>
      </w:divBdr>
    </w:div>
    <w:div w:id="1550916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saimex.org.mx/saimex/solicitud/downloadAttach/249941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BD9FE2-162B-433D-ACEB-6684D35E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4844</Words>
  <Characters>26647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cp:revision>
  <dcterms:created xsi:type="dcterms:W3CDTF">2026-01-19T18:45:00Z</dcterms:created>
  <dcterms:modified xsi:type="dcterms:W3CDTF">2026-02-04T00:20:00Z</dcterms:modified>
</cp:coreProperties>
</file>