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4DC7" w:rsidRPr="0098786D" w:rsidRDefault="00936BF5">
      <w:pPr>
        <w:tabs>
          <w:tab w:val="left" w:pos="3465"/>
        </w:tabs>
        <w:spacing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sz w:val="24"/>
          <w:szCs w:val="24"/>
        </w:rPr>
        <w:t>R</w:t>
      </w:r>
      <w:bookmarkStart w:id="0" w:name="_GoBack"/>
      <w:bookmarkEnd w:id="0"/>
      <w:r w:rsidRPr="0098786D">
        <w:rPr>
          <w:rFonts w:ascii="Palatino Linotype" w:eastAsia="Palatino Linotype" w:hAnsi="Palatino Linotype" w:cs="Palatino Linotype"/>
          <w:sz w:val="24"/>
          <w:szCs w:val="24"/>
        </w:rPr>
        <w:t>esolución del Pleno del Instituto de Transparencia, Acceso a la Información Pública y Protección de Datos Personales del Estado de México y Municipios, con domicilio en Metepec, Estado de México; de</w:t>
      </w:r>
      <w:r w:rsidR="0098786D" w:rsidRPr="0098786D">
        <w:rPr>
          <w:rFonts w:ascii="Palatino Linotype" w:eastAsia="Palatino Linotype" w:hAnsi="Palatino Linotype" w:cs="Palatino Linotype"/>
          <w:sz w:val="24"/>
          <w:szCs w:val="24"/>
        </w:rPr>
        <w:t xml:space="preserve"> fecha</w:t>
      </w:r>
      <w:r w:rsidRPr="0098786D">
        <w:rPr>
          <w:rFonts w:ascii="Palatino Linotype" w:eastAsia="Palatino Linotype" w:hAnsi="Palatino Linotype" w:cs="Palatino Linotype"/>
          <w:sz w:val="24"/>
          <w:szCs w:val="24"/>
        </w:rPr>
        <w:t xml:space="preserve"> </w:t>
      </w:r>
      <w:r w:rsidRPr="0098786D">
        <w:rPr>
          <w:rFonts w:ascii="Palatino Linotype" w:eastAsia="Palatino Linotype" w:hAnsi="Palatino Linotype" w:cs="Palatino Linotype"/>
          <w:b/>
          <w:bCs/>
          <w:sz w:val="24"/>
          <w:szCs w:val="24"/>
        </w:rPr>
        <w:t xml:space="preserve">veintiuno </w:t>
      </w:r>
      <w:r w:rsidR="0098786D" w:rsidRPr="0098786D">
        <w:rPr>
          <w:rFonts w:ascii="Palatino Linotype" w:eastAsia="Palatino Linotype" w:hAnsi="Palatino Linotype" w:cs="Palatino Linotype"/>
          <w:b/>
          <w:bCs/>
          <w:sz w:val="24"/>
          <w:szCs w:val="24"/>
        </w:rPr>
        <w:t xml:space="preserve">(21) </w:t>
      </w:r>
      <w:r w:rsidRPr="0098786D">
        <w:rPr>
          <w:rFonts w:ascii="Palatino Linotype" w:eastAsia="Palatino Linotype" w:hAnsi="Palatino Linotype" w:cs="Palatino Linotype"/>
          <w:b/>
          <w:bCs/>
          <w:sz w:val="24"/>
          <w:szCs w:val="24"/>
        </w:rPr>
        <w:t>de enero de dos mil veintiséis.</w:t>
      </w:r>
    </w:p>
    <w:p w:rsidR="005C4DC7" w:rsidRPr="0098786D" w:rsidRDefault="005C4DC7">
      <w:pPr>
        <w:tabs>
          <w:tab w:val="left" w:pos="3465"/>
        </w:tabs>
        <w:spacing w:line="360" w:lineRule="auto"/>
        <w:ind w:right="-518"/>
        <w:jc w:val="both"/>
        <w:rPr>
          <w:rFonts w:ascii="Palatino Linotype" w:eastAsia="Palatino Linotype" w:hAnsi="Palatino Linotype" w:cs="Palatino Linotype"/>
          <w:b/>
          <w:bCs/>
          <w:sz w:val="24"/>
          <w:szCs w:val="24"/>
        </w:rPr>
      </w:pPr>
    </w:p>
    <w:p w:rsidR="005C4DC7" w:rsidRPr="0098786D" w:rsidRDefault="00936BF5">
      <w:pPr>
        <w:spacing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VISTO</w:t>
      </w:r>
      <w:r w:rsidRPr="0098786D">
        <w:rPr>
          <w:rFonts w:ascii="Palatino Linotype" w:eastAsia="Palatino Linotype" w:hAnsi="Palatino Linotype" w:cs="Palatino Linotype"/>
          <w:sz w:val="24"/>
          <w:szCs w:val="24"/>
        </w:rPr>
        <w:t xml:space="preserve"> el expediente electrónico formado con motivo del recurso de revisión</w:t>
      </w:r>
      <w:r w:rsidRPr="0098786D">
        <w:rPr>
          <w:rFonts w:ascii="Palatino Linotype" w:eastAsia="Palatino Linotype" w:hAnsi="Palatino Linotype" w:cs="Palatino Linotype"/>
          <w:b/>
          <w:bCs/>
          <w:sz w:val="24"/>
          <w:szCs w:val="24"/>
        </w:rPr>
        <w:t xml:space="preserve"> 08163/INFOEM/IP/RR/2025</w:t>
      </w:r>
      <w:r w:rsidRPr="0098786D">
        <w:rPr>
          <w:rFonts w:ascii="Palatino Linotype" w:eastAsia="Palatino Linotype" w:hAnsi="Palatino Linotype" w:cs="Palatino Linotype"/>
          <w:sz w:val="24"/>
          <w:szCs w:val="24"/>
        </w:rPr>
        <w:t>,</w:t>
      </w:r>
      <w:r w:rsidRPr="0098786D">
        <w:rPr>
          <w:rFonts w:ascii="Palatino Linotype" w:eastAsia="Palatino Linotype" w:hAnsi="Palatino Linotype" w:cs="Palatino Linotype"/>
          <w:b/>
          <w:bCs/>
          <w:sz w:val="24"/>
          <w:szCs w:val="24"/>
        </w:rPr>
        <w:t xml:space="preserve"> </w:t>
      </w:r>
      <w:r w:rsidRPr="0098786D">
        <w:rPr>
          <w:rFonts w:ascii="Palatino Linotype" w:eastAsia="Palatino Linotype" w:hAnsi="Palatino Linotype" w:cs="Palatino Linotype"/>
          <w:sz w:val="24"/>
          <w:szCs w:val="24"/>
        </w:rPr>
        <w:t>promovido por</w:t>
      </w:r>
      <w:r w:rsidRPr="0098786D">
        <w:rPr>
          <w:rFonts w:ascii="Palatino Linotype" w:eastAsia="Palatino Linotype" w:hAnsi="Palatino Linotype" w:cs="Palatino Linotype"/>
          <w:b/>
          <w:bCs/>
          <w:sz w:val="24"/>
          <w:szCs w:val="24"/>
        </w:rPr>
        <w:t xml:space="preserve"> una persona que no proporcionó datos de identificación</w:t>
      </w:r>
      <w:r w:rsidRPr="0098786D">
        <w:rPr>
          <w:rFonts w:ascii="Palatino Linotype" w:eastAsia="Palatino Linotype" w:hAnsi="Palatino Linotype" w:cs="Palatino Linotype"/>
          <w:sz w:val="24"/>
          <w:szCs w:val="24"/>
        </w:rPr>
        <w:t xml:space="preserve"> a quien en lo sucesivo se le identificará como </w:t>
      </w:r>
      <w:r w:rsidRPr="0098786D">
        <w:rPr>
          <w:rFonts w:ascii="Palatino Linotype" w:eastAsia="Palatino Linotype" w:hAnsi="Palatino Linotype" w:cs="Palatino Linotype"/>
          <w:b/>
          <w:bCs/>
          <w:sz w:val="24"/>
          <w:szCs w:val="24"/>
        </w:rPr>
        <w:t>EL RECURRENTE</w:t>
      </w:r>
      <w:r w:rsidRPr="0098786D">
        <w:rPr>
          <w:rFonts w:ascii="Palatino Linotype" w:eastAsia="Palatino Linotype" w:hAnsi="Palatino Linotype" w:cs="Palatino Linotype"/>
          <w:sz w:val="24"/>
          <w:szCs w:val="24"/>
        </w:rPr>
        <w:t xml:space="preserve">, en contra de la respuesta del </w:t>
      </w:r>
      <w:r w:rsidRPr="0098786D">
        <w:rPr>
          <w:rFonts w:ascii="Palatino Linotype" w:eastAsia="Palatino Linotype" w:hAnsi="Palatino Linotype" w:cs="Palatino Linotype"/>
          <w:b/>
          <w:bCs/>
          <w:sz w:val="24"/>
          <w:szCs w:val="24"/>
        </w:rPr>
        <w:t xml:space="preserve">Ayuntamiento de Toluca, </w:t>
      </w:r>
      <w:r w:rsidRPr="0098786D">
        <w:rPr>
          <w:rFonts w:ascii="Palatino Linotype" w:eastAsia="Palatino Linotype" w:hAnsi="Palatino Linotype" w:cs="Palatino Linotype"/>
          <w:sz w:val="24"/>
          <w:szCs w:val="24"/>
        </w:rPr>
        <w:t>en lo sucesivo el</w:t>
      </w:r>
      <w:r w:rsidRPr="0098786D">
        <w:rPr>
          <w:rFonts w:ascii="Palatino Linotype" w:eastAsia="Palatino Linotype" w:hAnsi="Palatino Linotype" w:cs="Palatino Linotype"/>
          <w:b/>
          <w:bCs/>
          <w:sz w:val="24"/>
          <w:szCs w:val="24"/>
        </w:rPr>
        <w:t xml:space="preserve"> SUJETO OBLIGADO</w:t>
      </w:r>
      <w:r w:rsidRPr="0098786D">
        <w:rPr>
          <w:rFonts w:ascii="Palatino Linotype" w:eastAsia="Palatino Linotype" w:hAnsi="Palatino Linotype" w:cs="Palatino Linotype"/>
          <w:sz w:val="24"/>
          <w:szCs w:val="24"/>
        </w:rPr>
        <w:t>, se procede a dictar la presente resolución, con base en los siguientes:</w:t>
      </w:r>
    </w:p>
    <w:p w:rsidR="005C4DC7" w:rsidRPr="0098786D" w:rsidRDefault="005C4DC7">
      <w:pPr>
        <w:spacing w:line="360" w:lineRule="auto"/>
        <w:ind w:right="-518"/>
        <w:jc w:val="both"/>
        <w:rPr>
          <w:rFonts w:ascii="Palatino Linotype" w:eastAsia="Palatino Linotype" w:hAnsi="Palatino Linotype" w:cs="Palatino Linotype"/>
          <w:b/>
          <w:bCs/>
          <w:sz w:val="24"/>
          <w:szCs w:val="24"/>
        </w:rPr>
      </w:pPr>
    </w:p>
    <w:p w:rsidR="005C4DC7" w:rsidRPr="0098786D" w:rsidRDefault="00936BF5">
      <w:pPr>
        <w:pStyle w:val="Ttulo1"/>
        <w:spacing w:before="0" w:line="360" w:lineRule="auto"/>
        <w:ind w:right="-518"/>
        <w:jc w:val="center"/>
        <w:rPr>
          <w:rFonts w:ascii="Palatino Linotype" w:eastAsia="Palatino Linotype" w:hAnsi="Palatino Linotype" w:cs="Palatino Linotype"/>
          <w:b/>
          <w:bCs/>
          <w:color w:val="000000"/>
          <w:sz w:val="24"/>
          <w:szCs w:val="24"/>
        </w:rPr>
      </w:pPr>
      <w:bookmarkStart w:id="1" w:name="_heading=h.fd1kmlwr8y1m" w:colFirst="0" w:colLast="0"/>
      <w:bookmarkEnd w:id="1"/>
      <w:r w:rsidRPr="0098786D">
        <w:rPr>
          <w:rFonts w:ascii="Palatino Linotype" w:eastAsia="Palatino Linotype" w:hAnsi="Palatino Linotype" w:cs="Palatino Linotype"/>
          <w:b/>
          <w:bCs/>
          <w:color w:val="000000"/>
          <w:sz w:val="24"/>
          <w:szCs w:val="24"/>
        </w:rPr>
        <w:t>A</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N</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T</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E</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C</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E</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D</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E</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N</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T</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E</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S</w:t>
      </w:r>
    </w:p>
    <w:p w:rsidR="0098786D" w:rsidRPr="0098786D" w:rsidRDefault="0098786D" w:rsidP="0098786D">
      <w:pPr>
        <w:rPr>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El</w:t>
      </w:r>
      <w:r w:rsidRPr="0098786D">
        <w:rPr>
          <w:rFonts w:ascii="Palatino Linotype" w:eastAsia="Palatino Linotype" w:hAnsi="Palatino Linotype" w:cs="Palatino Linotype"/>
          <w:b/>
          <w:bCs/>
          <w:color w:val="000000"/>
          <w:sz w:val="24"/>
          <w:szCs w:val="24"/>
        </w:rPr>
        <w:t xml:space="preserve"> veintidós de mayo de dos mil veinticinco, </w:t>
      </w:r>
      <w:r w:rsidRPr="0098786D">
        <w:rPr>
          <w:rFonts w:ascii="Palatino Linotype" w:eastAsia="Palatino Linotype" w:hAnsi="Palatino Linotype" w:cs="Palatino Linotype"/>
          <w:color w:val="000000"/>
          <w:sz w:val="24"/>
          <w:szCs w:val="24"/>
        </w:rPr>
        <w:t xml:space="preserve">se presentó ante el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a través del Sistema de Acceso la Información Mexiquense, la solicitud de información pública registrada con el número</w:t>
      </w:r>
      <w:r w:rsidRPr="0098786D">
        <w:rPr>
          <w:rFonts w:ascii="Palatino Linotype" w:eastAsia="Palatino Linotype" w:hAnsi="Palatino Linotype" w:cs="Palatino Linotype"/>
          <w:b/>
          <w:bCs/>
          <w:color w:val="000000"/>
          <w:sz w:val="24"/>
          <w:szCs w:val="24"/>
        </w:rPr>
        <w:t xml:space="preserve">  02974/TOLUCA/IP/2025; </w:t>
      </w:r>
      <w:r w:rsidR="0098786D" w:rsidRPr="0098786D">
        <w:rPr>
          <w:rFonts w:ascii="Palatino Linotype" w:eastAsia="Palatino Linotype" w:hAnsi="Palatino Linotype" w:cs="Palatino Linotype"/>
          <w:color w:val="000000"/>
          <w:sz w:val="24"/>
          <w:szCs w:val="24"/>
        </w:rPr>
        <w:t>en la que</w:t>
      </w:r>
      <w:r w:rsidRPr="0098786D">
        <w:rPr>
          <w:rFonts w:ascii="Palatino Linotype" w:eastAsia="Palatino Linotype" w:hAnsi="Palatino Linotype" w:cs="Palatino Linotype"/>
          <w:color w:val="000000"/>
          <w:sz w:val="24"/>
          <w:szCs w:val="24"/>
        </w:rPr>
        <w:t xml:space="preserve"> se solicitó la siguiente información:</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spacing w:after="0" w:line="276" w:lineRule="auto"/>
        <w:ind w:left="426"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“Todas las acta de conciliación edectiadas en su actual administración el nombre y expediente de los mediadores de su administración”(Sic)</w:t>
      </w:r>
    </w:p>
    <w:p w:rsidR="005C4DC7" w:rsidRPr="0098786D" w:rsidRDefault="005C4DC7">
      <w:pPr>
        <w:pBdr>
          <w:top w:val="nil"/>
          <w:left w:val="nil"/>
          <w:bottom w:val="nil"/>
          <w:right w:val="nil"/>
          <w:between w:val="nil"/>
        </w:pBdr>
        <w:spacing w:after="0" w:line="360" w:lineRule="auto"/>
        <w:ind w:left="426" w:right="-518"/>
        <w:jc w:val="center"/>
        <w:rPr>
          <w:rFonts w:ascii="Palatino Linotype" w:eastAsia="Palatino Linotype" w:hAnsi="Palatino Linotype" w:cs="Palatino Linotype"/>
          <w:i/>
          <w:iCs/>
          <w:color w:val="000000"/>
          <w:sz w:val="24"/>
          <w:szCs w:val="24"/>
        </w:rPr>
      </w:pPr>
    </w:p>
    <w:p w:rsidR="0098786D" w:rsidRPr="0098786D" w:rsidRDefault="0098786D">
      <w:pPr>
        <w:pBdr>
          <w:top w:val="nil"/>
          <w:left w:val="nil"/>
          <w:bottom w:val="nil"/>
          <w:right w:val="nil"/>
          <w:between w:val="nil"/>
        </w:pBdr>
        <w:spacing w:after="0" w:line="360" w:lineRule="auto"/>
        <w:ind w:left="426" w:right="-518"/>
        <w:jc w:val="center"/>
        <w:rPr>
          <w:rFonts w:ascii="Palatino Linotype" w:eastAsia="Palatino Linotype" w:hAnsi="Palatino Linotype" w:cs="Palatino Linotype"/>
          <w:i/>
          <w:iCs/>
          <w:color w:val="000000"/>
          <w:sz w:val="24"/>
          <w:szCs w:val="24"/>
        </w:rPr>
      </w:pPr>
    </w:p>
    <w:p w:rsidR="005C4DC7" w:rsidRPr="0098786D" w:rsidRDefault="00936BF5" w:rsidP="0098786D">
      <w:pPr>
        <w:numPr>
          <w:ilvl w:val="0"/>
          <w:numId w:val="8"/>
        </w:numPr>
        <w:pBdr>
          <w:top w:val="nil"/>
          <w:left w:val="nil"/>
          <w:bottom w:val="nil"/>
          <w:right w:val="nil"/>
          <w:between w:val="nil"/>
        </w:pBdr>
        <w:spacing w:after="0" w:line="360" w:lineRule="auto"/>
        <w:ind w:left="0" w:right="474"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Se eligió como modalidad de entrega de la información: A través del </w:t>
      </w:r>
      <w:r w:rsidRPr="0098786D">
        <w:rPr>
          <w:rFonts w:ascii="Palatino Linotype" w:eastAsia="Palatino Linotype" w:hAnsi="Palatino Linotype" w:cs="Palatino Linotype"/>
          <w:b/>
          <w:bCs/>
          <w:color w:val="000000"/>
          <w:sz w:val="24"/>
          <w:szCs w:val="24"/>
        </w:rPr>
        <w:t>SAIMEX.</w:t>
      </w: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color w:val="000000"/>
          <w:sz w:val="24"/>
          <w:szCs w:val="24"/>
        </w:rPr>
        <w:lastRenderedPageBreak/>
        <w:t xml:space="preserve">El </w:t>
      </w:r>
      <w:r w:rsidRPr="0098786D">
        <w:rPr>
          <w:rFonts w:ascii="Palatino Linotype" w:eastAsia="Palatino Linotype" w:hAnsi="Palatino Linotype" w:cs="Palatino Linotype"/>
          <w:b/>
          <w:bCs/>
          <w:color w:val="000000"/>
          <w:sz w:val="24"/>
          <w:szCs w:val="24"/>
        </w:rPr>
        <w:t>doce de junio de dos mil veinticinco,</w:t>
      </w:r>
      <w:r w:rsidRPr="0098786D">
        <w:rPr>
          <w:rFonts w:ascii="Palatino Linotype" w:eastAsia="Palatino Linotype" w:hAnsi="Palatino Linotype" w:cs="Palatino Linotype"/>
          <w:color w:val="000000"/>
          <w:sz w:val="24"/>
          <w:szCs w:val="24"/>
        </w:rPr>
        <w:t xml:space="preserve">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dio respuesta a través del archivo siguiente:</w:t>
      </w:r>
    </w:p>
    <w:p w:rsidR="005C4DC7" w:rsidRPr="0098786D" w:rsidRDefault="005C4DC7">
      <w:pPr>
        <w:pBdr>
          <w:top w:val="nil"/>
          <w:left w:val="nil"/>
          <w:bottom w:val="nil"/>
          <w:right w:val="nil"/>
          <w:between w:val="nil"/>
        </w:pBdr>
        <w:spacing w:after="0" w:line="276" w:lineRule="auto"/>
        <w:ind w:right="-518"/>
        <w:jc w:val="both"/>
        <w:rPr>
          <w:rFonts w:ascii="Palatino Linotype" w:eastAsia="Palatino Linotype" w:hAnsi="Palatino Linotype" w:cs="Palatino Linotype"/>
          <w:b/>
          <w:bCs/>
          <w:i/>
          <w:iCs/>
          <w:color w:val="000000"/>
          <w:sz w:val="24"/>
          <w:szCs w:val="24"/>
        </w:rPr>
      </w:pPr>
    </w:p>
    <w:p w:rsidR="005C4DC7" w:rsidRPr="0098786D" w:rsidRDefault="00936BF5">
      <w:pPr>
        <w:spacing w:line="240" w:lineRule="auto"/>
        <w:ind w:left="426" w:right="191"/>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2 BRN94DDF80242C2_005405-----2BUENO DEFINITIVO.pdf:</w:t>
      </w:r>
    </w:p>
    <w:p w:rsidR="005C4DC7" w:rsidRPr="0098786D" w:rsidRDefault="00936BF5">
      <w:pPr>
        <w:spacing w:line="240" w:lineRule="auto"/>
        <w:ind w:left="426" w:right="191"/>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Expedientes de conciliación, con datos testados de manera incorrecta.</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OMC2/391/2025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OMC2/387/2025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OMC2/456/2025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OMC2/495/2025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OMC2/531/2025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OMC2/528/2025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OMC2/637/2025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OMC2/676/2025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OMC2/681/2025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OMC2/686/2025</w:t>
      </w:r>
    </w:p>
    <w:p w:rsidR="005C4DC7" w:rsidRPr="0098786D" w:rsidRDefault="005C4DC7">
      <w:pPr>
        <w:spacing w:line="240" w:lineRule="auto"/>
        <w:ind w:left="426" w:right="191"/>
        <w:jc w:val="both"/>
        <w:rPr>
          <w:rFonts w:ascii="Palatino Linotype" w:eastAsia="Palatino Linotype" w:hAnsi="Palatino Linotype" w:cs="Palatino Linotype"/>
          <w:sz w:val="24"/>
          <w:szCs w:val="24"/>
        </w:rPr>
      </w:pPr>
    </w:p>
    <w:p w:rsidR="005C4DC7" w:rsidRPr="0098786D" w:rsidRDefault="00936BF5">
      <w:pPr>
        <w:spacing w:line="240" w:lineRule="auto"/>
        <w:ind w:left="426" w:right="191"/>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1 BRN94DDF80242C2_005385----1BUENO DEFINITIVO.pdf:</w:t>
      </w:r>
    </w:p>
    <w:p w:rsidR="005C4DC7" w:rsidRPr="0098786D" w:rsidRDefault="00936BF5">
      <w:pPr>
        <w:spacing w:line="240" w:lineRule="auto"/>
        <w:ind w:left="426" w:right="191"/>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Expedientes de conciliación, con datos testados de manera incorrecta.</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OMC2/37/2025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OMC2/193/2025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OMC2/112/2025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OMC2/216/2025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OMC2/263/2025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OMC2/267/2025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OMC2/307/2025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OMC2/342/2025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OMC2/366/2025</w:t>
      </w:r>
    </w:p>
    <w:p w:rsidR="005C4DC7" w:rsidRPr="0098786D" w:rsidRDefault="00936BF5">
      <w:pPr>
        <w:numPr>
          <w:ilvl w:val="0"/>
          <w:numId w:val="8"/>
        </w:numPr>
        <w:pBdr>
          <w:top w:val="nil"/>
          <w:left w:val="nil"/>
          <w:bottom w:val="nil"/>
          <w:right w:val="nil"/>
          <w:between w:val="nil"/>
        </w:pBdr>
        <w:spacing w:after="0" w:line="240"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OMC2/356/2025</w:t>
      </w:r>
    </w:p>
    <w:p w:rsidR="005C4DC7" w:rsidRPr="0098786D" w:rsidRDefault="005C4DC7">
      <w:pPr>
        <w:spacing w:line="240" w:lineRule="auto"/>
        <w:ind w:left="426" w:right="191"/>
        <w:jc w:val="both"/>
        <w:rPr>
          <w:rFonts w:ascii="Palatino Linotype" w:eastAsia="Palatino Linotype" w:hAnsi="Palatino Linotype" w:cs="Palatino Linotype"/>
          <w:sz w:val="24"/>
          <w:szCs w:val="24"/>
        </w:rPr>
      </w:pPr>
    </w:p>
    <w:p w:rsidR="005C4DC7" w:rsidRPr="0098786D" w:rsidRDefault="00936BF5">
      <w:pPr>
        <w:spacing w:line="240" w:lineRule="auto"/>
        <w:ind w:left="426" w:right="191"/>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SAIMEX Centro de Mediación.pdf:</w:t>
      </w:r>
    </w:p>
    <w:p w:rsidR="005C4DC7" w:rsidRPr="0098786D" w:rsidRDefault="00936BF5">
      <w:pPr>
        <w:spacing w:line="240" w:lineRule="auto"/>
        <w:ind w:left="426" w:right="191"/>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Litado de expediente de la Oficialía </w:t>
      </w:r>
      <w:r w:rsidR="00DB69AE" w:rsidRPr="0098786D">
        <w:rPr>
          <w:rFonts w:ascii="Palatino Linotype" w:eastAsia="Palatino Linotype" w:hAnsi="Palatino Linotype" w:cs="Palatino Linotype"/>
          <w:sz w:val="24"/>
          <w:szCs w:val="24"/>
        </w:rPr>
        <w:t>número</w:t>
      </w:r>
      <w:r w:rsidRPr="0098786D">
        <w:rPr>
          <w:rFonts w:ascii="Palatino Linotype" w:eastAsia="Palatino Linotype" w:hAnsi="Palatino Linotype" w:cs="Palatino Linotype"/>
          <w:sz w:val="24"/>
          <w:szCs w:val="24"/>
        </w:rPr>
        <w:t xml:space="preserve"> uno y número dos. </w:t>
      </w:r>
    </w:p>
    <w:p w:rsidR="005C4DC7" w:rsidRPr="0098786D" w:rsidRDefault="005C4DC7">
      <w:pPr>
        <w:spacing w:line="240" w:lineRule="auto"/>
        <w:ind w:right="191"/>
        <w:jc w:val="both"/>
        <w:rPr>
          <w:rFonts w:ascii="Palatino Linotype" w:eastAsia="Palatino Linotype" w:hAnsi="Palatino Linotype" w:cs="Palatino Linotype"/>
          <w:sz w:val="24"/>
          <w:szCs w:val="24"/>
        </w:rPr>
      </w:pPr>
    </w:p>
    <w:p w:rsidR="005C4DC7" w:rsidRPr="0098786D" w:rsidRDefault="00936BF5">
      <w:pPr>
        <w:spacing w:line="240" w:lineRule="auto"/>
        <w:ind w:left="426" w:right="191"/>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R. 02974. 2025.pdf:</w:t>
      </w:r>
    </w:p>
    <w:p w:rsidR="005C4DC7" w:rsidRPr="0098786D" w:rsidRDefault="00936BF5">
      <w:pPr>
        <w:spacing w:line="240" w:lineRule="auto"/>
        <w:ind w:left="426" w:right="191"/>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sz w:val="24"/>
          <w:szCs w:val="24"/>
        </w:rPr>
        <w:t>Escrito firmado por el Titular de la Unidad de Transparencia, por el que informo: “</w:t>
      </w:r>
      <w:r w:rsidRPr="0098786D">
        <w:rPr>
          <w:rFonts w:ascii="Palatino Linotype" w:eastAsia="Palatino Linotype" w:hAnsi="Palatino Linotype" w:cs="Palatino Linotype"/>
          <w:i/>
          <w:iCs/>
          <w:sz w:val="24"/>
          <w:szCs w:val="24"/>
        </w:rPr>
        <w:t>hago de su conocimiento que la Consejería Jurídica y Servidor Público Habilitado, informó que se adjunta respuesta de la información solicitada en versión pública aprobada en la septingentésima décima quinta sesión extraordinaria 2025 de fecha del día 09/06/2025”</w:t>
      </w:r>
    </w:p>
    <w:p w:rsidR="0098786D" w:rsidRPr="0098786D" w:rsidRDefault="0098786D">
      <w:pPr>
        <w:spacing w:line="240" w:lineRule="auto"/>
        <w:ind w:left="426" w:right="191"/>
        <w:jc w:val="both"/>
        <w:rPr>
          <w:rFonts w:ascii="Palatino Linotype" w:eastAsia="Palatino Linotype" w:hAnsi="Palatino Linotype" w:cs="Palatino Linotype"/>
          <w:i/>
          <w:iCs/>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color w:val="000000"/>
          <w:sz w:val="24"/>
          <w:szCs w:val="24"/>
        </w:rPr>
        <w:t xml:space="preserve">Inconforme con lo anterior, el </w:t>
      </w:r>
      <w:r w:rsidRPr="0098786D">
        <w:rPr>
          <w:rFonts w:ascii="Palatino Linotype" w:eastAsia="Palatino Linotype" w:hAnsi="Palatino Linotype" w:cs="Palatino Linotype"/>
          <w:b/>
          <w:bCs/>
          <w:color w:val="000000"/>
          <w:sz w:val="24"/>
          <w:szCs w:val="24"/>
        </w:rPr>
        <w:t>tres de julio de dos mil veinticinco</w:t>
      </w:r>
      <w:r w:rsidRPr="0098786D">
        <w:rPr>
          <w:rFonts w:ascii="Palatino Linotype" w:eastAsia="Palatino Linotype" w:hAnsi="Palatino Linotype" w:cs="Palatino Linotype"/>
          <w:color w:val="000000"/>
          <w:sz w:val="24"/>
          <w:szCs w:val="24"/>
        </w:rPr>
        <w:t xml:space="preserve">, el hoy </w:t>
      </w:r>
      <w:r w:rsidRPr="0098786D">
        <w:rPr>
          <w:rFonts w:ascii="Palatino Linotype" w:eastAsia="Palatino Linotype" w:hAnsi="Palatino Linotype" w:cs="Palatino Linotype"/>
          <w:b/>
          <w:bCs/>
          <w:color w:val="000000"/>
          <w:sz w:val="24"/>
          <w:szCs w:val="24"/>
        </w:rPr>
        <w:t xml:space="preserve">RECURRENTE, </w:t>
      </w:r>
      <w:r w:rsidRPr="0098786D">
        <w:rPr>
          <w:rFonts w:ascii="Palatino Linotype" w:eastAsia="Palatino Linotype" w:hAnsi="Palatino Linotype" w:cs="Palatino Linotype"/>
          <w:color w:val="000000"/>
          <w:sz w:val="24"/>
          <w:szCs w:val="24"/>
        </w:rPr>
        <w:t xml:space="preserve">interpuso recurso de revisión en contra de la respuesta emitida por el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manifestando las siguientes razones o motivos de inconformidad:</w:t>
      </w:r>
    </w:p>
    <w:p w:rsidR="005C4DC7" w:rsidRPr="0098786D" w:rsidRDefault="005C4DC7">
      <w:pPr>
        <w:pBdr>
          <w:top w:val="nil"/>
          <w:left w:val="nil"/>
          <w:bottom w:val="nil"/>
          <w:right w:val="nil"/>
          <w:between w:val="nil"/>
        </w:pBdr>
        <w:tabs>
          <w:tab w:val="left" w:pos="0"/>
        </w:tabs>
        <w:spacing w:after="0" w:line="360" w:lineRule="auto"/>
        <w:ind w:right="-518"/>
        <w:jc w:val="both"/>
        <w:rPr>
          <w:rFonts w:ascii="Palatino Linotype" w:eastAsia="Palatino Linotype" w:hAnsi="Palatino Linotype" w:cs="Palatino Linotype"/>
          <w:i/>
          <w:iCs/>
          <w:color w:val="000000"/>
          <w:sz w:val="24"/>
          <w:szCs w:val="24"/>
        </w:rPr>
      </w:pPr>
    </w:p>
    <w:p w:rsidR="005C4DC7" w:rsidRPr="0098786D" w:rsidRDefault="0098786D">
      <w:pPr>
        <w:numPr>
          <w:ilvl w:val="0"/>
          <w:numId w:val="8"/>
        </w:numPr>
        <w:pBdr>
          <w:top w:val="nil"/>
          <w:left w:val="nil"/>
          <w:bottom w:val="nil"/>
          <w:right w:val="nil"/>
          <w:between w:val="nil"/>
        </w:pBdr>
        <w:spacing w:after="0" w:line="276" w:lineRule="auto"/>
        <w:ind w:left="1134" w:right="474"/>
        <w:jc w:val="both"/>
        <w:rPr>
          <w:rFonts w:ascii="Palatino Linotype" w:eastAsia="Palatino Linotype" w:hAnsi="Palatino Linotype" w:cs="Palatino Linotype"/>
          <w:i/>
          <w:iCs/>
          <w:color w:val="000000"/>
          <w:sz w:val="24"/>
          <w:szCs w:val="24"/>
        </w:rPr>
      </w:pPr>
      <w:bookmarkStart w:id="2" w:name="_heading=h.49hs6c8z8m88" w:colFirst="0" w:colLast="0"/>
      <w:bookmarkEnd w:id="2"/>
      <w:r w:rsidRPr="0098786D">
        <w:rPr>
          <w:rFonts w:ascii="Palatino Linotype" w:eastAsia="Palatino Linotype" w:hAnsi="Palatino Linotype" w:cs="Palatino Linotype"/>
          <w:b/>
          <w:bCs/>
          <w:color w:val="000000"/>
          <w:sz w:val="24"/>
          <w:szCs w:val="24"/>
        </w:rPr>
        <w:t>ACTO IMPUGNADO</w:t>
      </w:r>
      <w:r w:rsidR="00936BF5" w:rsidRPr="0098786D">
        <w:rPr>
          <w:rFonts w:ascii="Palatino Linotype" w:eastAsia="Palatino Linotype" w:hAnsi="Palatino Linotype" w:cs="Palatino Linotype"/>
          <w:b/>
          <w:bCs/>
          <w:color w:val="000000"/>
          <w:sz w:val="24"/>
          <w:szCs w:val="24"/>
        </w:rPr>
        <w:t xml:space="preserve">: </w:t>
      </w:r>
      <w:r w:rsidR="00936BF5" w:rsidRPr="0098786D">
        <w:rPr>
          <w:rFonts w:ascii="Palatino Linotype" w:eastAsia="Palatino Linotype" w:hAnsi="Palatino Linotype" w:cs="Palatino Linotype"/>
          <w:i/>
          <w:iCs/>
          <w:color w:val="000000"/>
          <w:sz w:val="24"/>
          <w:szCs w:val="24"/>
        </w:rPr>
        <w:t>“la negativa de la informaicón es pública y se debe entregar y no esta completo”</w:t>
      </w:r>
    </w:p>
    <w:p w:rsidR="005C4DC7" w:rsidRPr="0098786D" w:rsidRDefault="005C4DC7">
      <w:pPr>
        <w:pBdr>
          <w:top w:val="nil"/>
          <w:left w:val="nil"/>
          <w:bottom w:val="nil"/>
          <w:right w:val="nil"/>
          <w:between w:val="nil"/>
        </w:pBdr>
        <w:spacing w:after="0" w:line="360" w:lineRule="auto"/>
        <w:ind w:left="1134" w:right="474" w:hanging="142"/>
        <w:jc w:val="both"/>
        <w:rPr>
          <w:rFonts w:ascii="Palatino Linotype" w:eastAsia="Palatino Linotype" w:hAnsi="Palatino Linotype" w:cs="Palatino Linotype"/>
          <w:i/>
          <w:iCs/>
          <w:color w:val="000000"/>
          <w:sz w:val="24"/>
          <w:szCs w:val="24"/>
        </w:rPr>
      </w:pPr>
    </w:p>
    <w:p w:rsidR="005C4DC7" w:rsidRPr="0098786D" w:rsidRDefault="0098786D">
      <w:pPr>
        <w:numPr>
          <w:ilvl w:val="0"/>
          <w:numId w:val="8"/>
        </w:numPr>
        <w:pBdr>
          <w:top w:val="nil"/>
          <w:left w:val="nil"/>
          <w:bottom w:val="nil"/>
          <w:right w:val="nil"/>
          <w:between w:val="nil"/>
        </w:pBdr>
        <w:spacing w:after="0" w:line="276" w:lineRule="auto"/>
        <w:ind w:left="1134" w:right="474"/>
        <w:jc w:val="both"/>
        <w:rPr>
          <w:rFonts w:ascii="Palatino Linotype" w:eastAsia="Palatino Linotype" w:hAnsi="Palatino Linotype" w:cs="Palatino Linotype"/>
          <w:i/>
          <w:iCs/>
          <w:color w:val="000000"/>
          <w:sz w:val="24"/>
          <w:szCs w:val="24"/>
        </w:rPr>
      </w:pPr>
      <w:bookmarkStart w:id="3" w:name="_heading=h.374h0wenf6yo" w:colFirst="0" w:colLast="0"/>
      <w:bookmarkEnd w:id="3"/>
      <w:r w:rsidRPr="0098786D">
        <w:rPr>
          <w:rFonts w:ascii="Palatino Linotype" w:eastAsia="Palatino Linotype" w:hAnsi="Palatino Linotype" w:cs="Palatino Linotype"/>
          <w:b/>
          <w:bCs/>
          <w:color w:val="000000"/>
          <w:sz w:val="24"/>
          <w:szCs w:val="24"/>
        </w:rPr>
        <w:t>RAZONES O MOTIVOS DE INCONFORMIDAD</w:t>
      </w:r>
      <w:r w:rsidR="00936BF5" w:rsidRPr="0098786D">
        <w:rPr>
          <w:rFonts w:ascii="Palatino Linotype" w:eastAsia="Palatino Linotype" w:hAnsi="Palatino Linotype" w:cs="Palatino Linotype"/>
          <w:b/>
          <w:bCs/>
          <w:color w:val="000000"/>
          <w:sz w:val="24"/>
          <w:szCs w:val="24"/>
        </w:rPr>
        <w:t>: “</w:t>
      </w:r>
      <w:r w:rsidR="00936BF5" w:rsidRPr="0098786D">
        <w:rPr>
          <w:rFonts w:ascii="Palatino Linotype" w:eastAsia="Palatino Linotype" w:hAnsi="Palatino Linotype" w:cs="Palatino Linotype"/>
          <w:i/>
          <w:iCs/>
          <w:color w:val="000000"/>
          <w:sz w:val="24"/>
          <w:szCs w:val="24"/>
        </w:rPr>
        <w:t>la negativa de la informaicón es pública y se debe entregar y no esta completo”</w:t>
      </w:r>
    </w:p>
    <w:p w:rsidR="005C4DC7" w:rsidRPr="0098786D" w:rsidRDefault="005C4DC7">
      <w:pPr>
        <w:pBdr>
          <w:top w:val="nil"/>
          <w:left w:val="nil"/>
          <w:bottom w:val="nil"/>
          <w:right w:val="nil"/>
          <w:between w:val="nil"/>
        </w:pBdr>
        <w:spacing w:after="0" w:line="240" w:lineRule="auto"/>
        <w:ind w:left="720" w:right="-518"/>
        <w:rPr>
          <w:rFonts w:ascii="Palatino Linotype" w:eastAsia="Palatino Linotype" w:hAnsi="Palatino Linotype" w:cs="Palatino Linotype"/>
          <w:i/>
          <w:iCs/>
          <w:color w:val="000000"/>
          <w:sz w:val="24"/>
          <w:szCs w:val="24"/>
        </w:rPr>
      </w:pPr>
    </w:p>
    <w:p w:rsidR="005C4DC7" w:rsidRPr="0098786D" w:rsidRDefault="005C4DC7">
      <w:pPr>
        <w:spacing w:line="360" w:lineRule="auto"/>
        <w:ind w:right="-518"/>
        <w:jc w:val="center"/>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color w:val="000000"/>
          <w:sz w:val="24"/>
          <w:szCs w:val="24"/>
        </w:rPr>
        <w:t>La Comisionada</w:t>
      </w:r>
      <w:r w:rsidR="0098786D" w:rsidRPr="0098786D">
        <w:rPr>
          <w:rFonts w:ascii="Palatino Linotype" w:eastAsia="Palatino Linotype" w:hAnsi="Palatino Linotype" w:cs="Palatino Linotype"/>
          <w:color w:val="000000"/>
          <w:sz w:val="24"/>
          <w:szCs w:val="24"/>
        </w:rPr>
        <w:t xml:space="preserve"> p</w:t>
      </w:r>
      <w:r w:rsidRPr="0098786D">
        <w:rPr>
          <w:rFonts w:ascii="Palatino Linotype" w:eastAsia="Palatino Linotype" w:hAnsi="Palatino Linotype" w:cs="Palatino Linotype"/>
          <w:color w:val="000000"/>
          <w:sz w:val="24"/>
          <w:szCs w:val="24"/>
        </w:rPr>
        <w:t>onente con fundamento en lo dispuesto por el artículo 185 fracción II de la ley de la materia, a través del acuerdo de admisión notificado el</w:t>
      </w:r>
      <w:r w:rsidRPr="0098786D">
        <w:rPr>
          <w:rFonts w:ascii="Palatino Linotype" w:eastAsia="Palatino Linotype" w:hAnsi="Palatino Linotype" w:cs="Palatino Linotype"/>
          <w:b/>
          <w:bCs/>
          <w:color w:val="000000"/>
          <w:sz w:val="24"/>
          <w:szCs w:val="24"/>
        </w:rPr>
        <w:t xml:space="preserve"> dieciséis de julio de </w:t>
      </w:r>
      <w:r w:rsidRPr="0098786D">
        <w:rPr>
          <w:rFonts w:ascii="Palatino Linotype" w:eastAsia="Palatino Linotype" w:hAnsi="Palatino Linotype" w:cs="Palatino Linotype"/>
          <w:b/>
          <w:bCs/>
          <w:color w:val="000000"/>
          <w:sz w:val="24"/>
          <w:szCs w:val="24"/>
        </w:rPr>
        <w:lastRenderedPageBreak/>
        <w:t>dos mil veinticinco</w:t>
      </w:r>
      <w:r w:rsidRPr="0098786D">
        <w:rPr>
          <w:rFonts w:ascii="Palatino Linotype" w:eastAsia="Palatino Linotype" w:hAnsi="Palatino Linotype" w:cs="Palatino Linotype"/>
          <w:color w:val="000000"/>
          <w:sz w:val="24"/>
          <w:szCs w:val="24"/>
        </w:rPr>
        <w:t xml:space="preserve">, puso a disposición de las partes el expediente electrónico vía </w:t>
      </w:r>
      <w:r w:rsidRPr="0098786D">
        <w:rPr>
          <w:rFonts w:ascii="Palatino Linotype" w:eastAsia="Palatino Linotype" w:hAnsi="Palatino Linotype" w:cs="Palatino Linotype"/>
          <w:b/>
          <w:bCs/>
          <w:color w:val="000000"/>
          <w:sz w:val="24"/>
          <w:szCs w:val="24"/>
        </w:rPr>
        <w:t xml:space="preserve">SAIMEX </w:t>
      </w:r>
      <w:r w:rsidRPr="0098786D">
        <w:rPr>
          <w:rFonts w:ascii="Palatino Linotype" w:eastAsia="Palatino Linotype" w:hAnsi="Palatino Linotype" w:cs="Palatino Linotype"/>
          <w:color w:val="000000"/>
          <w:sz w:val="24"/>
          <w:szCs w:val="24"/>
        </w:rPr>
        <w:t xml:space="preserve">a efecto de que en un plazo máximo de siete días manifestaran lo que a su derecho conviniera, ofrecieran pruebas y alegatos según corresponda a los casos concretos, y el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presentará el Informe Justificado procedente.</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i/>
          <w:iCs/>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el </w:t>
      </w:r>
      <w:r w:rsidRPr="0098786D">
        <w:rPr>
          <w:rFonts w:ascii="Palatino Linotype" w:eastAsia="Palatino Linotype" w:hAnsi="Palatino Linotype" w:cs="Palatino Linotype"/>
          <w:b/>
          <w:bCs/>
          <w:color w:val="000000"/>
          <w:sz w:val="24"/>
          <w:szCs w:val="24"/>
        </w:rPr>
        <w:t xml:space="preserve">ocho de agosto de dos mil veinticinco, </w:t>
      </w:r>
      <w:r w:rsidRPr="0098786D">
        <w:rPr>
          <w:rFonts w:ascii="Palatino Linotype" w:eastAsia="Palatino Linotype" w:hAnsi="Palatino Linotype" w:cs="Palatino Linotype"/>
          <w:color w:val="000000"/>
          <w:sz w:val="24"/>
          <w:szCs w:val="24"/>
        </w:rPr>
        <w:t>rindió informe justificado a través de los archivos siguientes:</w:t>
      </w:r>
    </w:p>
    <w:p w:rsidR="005C4DC7" w:rsidRPr="0098786D" w:rsidRDefault="00936BF5">
      <w:pPr>
        <w:numPr>
          <w:ilvl w:val="0"/>
          <w:numId w:val="11"/>
        </w:numPr>
        <w:pBdr>
          <w:top w:val="nil"/>
          <w:left w:val="nil"/>
          <w:bottom w:val="nil"/>
          <w:right w:val="nil"/>
          <w:between w:val="nil"/>
        </w:pBdr>
        <w:spacing w:after="0" w:line="240" w:lineRule="auto"/>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 xml:space="preserve">Ratificación 08163.pdf: </w:t>
      </w:r>
      <w:r w:rsidRPr="0098786D">
        <w:rPr>
          <w:rFonts w:ascii="Palatino Linotype" w:eastAsia="Palatino Linotype" w:hAnsi="Palatino Linotype" w:cs="Palatino Linotype"/>
          <w:color w:val="000000"/>
          <w:sz w:val="24"/>
          <w:szCs w:val="24"/>
        </w:rPr>
        <w:t xml:space="preserve">Oficio firmado por el Titular de la Unidad de Transparencia, por el que confirma la </w:t>
      </w:r>
      <w:r w:rsidRPr="0098786D">
        <w:rPr>
          <w:rFonts w:ascii="Palatino Linotype" w:eastAsia="Palatino Linotype" w:hAnsi="Palatino Linotype" w:cs="Palatino Linotype"/>
          <w:sz w:val="24"/>
          <w:szCs w:val="24"/>
        </w:rPr>
        <w:t>respuesta</w:t>
      </w:r>
      <w:r w:rsidRPr="0098786D">
        <w:rPr>
          <w:rFonts w:ascii="Palatino Linotype" w:eastAsia="Palatino Linotype" w:hAnsi="Palatino Linotype" w:cs="Palatino Linotype"/>
          <w:color w:val="000000"/>
          <w:sz w:val="24"/>
          <w:szCs w:val="24"/>
        </w:rPr>
        <w:t xml:space="preserve"> primigenia. </w:t>
      </w:r>
    </w:p>
    <w:p w:rsidR="005C4DC7" w:rsidRPr="0098786D" w:rsidRDefault="00936BF5">
      <w:pPr>
        <w:numPr>
          <w:ilvl w:val="0"/>
          <w:numId w:val="11"/>
        </w:numPr>
        <w:pBdr>
          <w:top w:val="nil"/>
          <w:left w:val="nil"/>
          <w:bottom w:val="nil"/>
          <w:right w:val="nil"/>
          <w:between w:val="nil"/>
        </w:pBdr>
        <w:spacing w:after="0" w:line="240" w:lineRule="auto"/>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 xml:space="preserve">ANEXOS 08163-2025.pdf: </w:t>
      </w:r>
      <w:r w:rsidRPr="0098786D">
        <w:rPr>
          <w:rFonts w:ascii="Palatino Linotype" w:eastAsia="Palatino Linotype" w:hAnsi="Palatino Linotype" w:cs="Palatino Linotype"/>
          <w:color w:val="000000"/>
          <w:sz w:val="24"/>
          <w:szCs w:val="24"/>
        </w:rPr>
        <w:t xml:space="preserve">Informe Justificado firmado por el Servidor Público Habilitado de la Consejería Jurídica, por el que </w:t>
      </w:r>
      <w:r w:rsidRPr="0098786D">
        <w:rPr>
          <w:rFonts w:ascii="Palatino Linotype" w:eastAsia="Palatino Linotype" w:hAnsi="Palatino Linotype" w:cs="Palatino Linotype"/>
          <w:sz w:val="24"/>
          <w:szCs w:val="24"/>
        </w:rPr>
        <w:t>informó</w:t>
      </w:r>
      <w:r w:rsidRPr="0098786D">
        <w:rPr>
          <w:rFonts w:ascii="Palatino Linotype" w:eastAsia="Palatino Linotype" w:hAnsi="Palatino Linotype" w:cs="Palatino Linotype"/>
          <w:color w:val="000000"/>
          <w:sz w:val="24"/>
          <w:szCs w:val="24"/>
        </w:rPr>
        <w:t xml:space="preserve"> lo siguiente:</w:t>
      </w:r>
    </w:p>
    <w:p w:rsidR="005C4DC7" w:rsidRPr="0098786D" w:rsidRDefault="00936BF5">
      <w:pPr>
        <w:pBdr>
          <w:top w:val="nil"/>
          <w:left w:val="nil"/>
          <w:bottom w:val="nil"/>
          <w:right w:val="nil"/>
          <w:between w:val="nil"/>
        </w:pBdr>
        <w:spacing w:after="0" w:line="240" w:lineRule="auto"/>
        <w:ind w:left="720" w:right="616"/>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-Se remiten las listas de expedientes realizados por las dos oficialías, con el nombre del mediador y las actas de conciliación </w:t>
      </w:r>
    </w:p>
    <w:p w:rsidR="005C4DC7" w:rsidRPr="0098786D" w:rsidRDefault="00936BF5">
      <w:pPr>
        <w:pBdr>
          <w:top w:val="nil"/>
          <w:left w:val="nil"/>
          <w:bottom w:val="nil"/>
          <w:right w:val="nil"/>
          <w:between w:val="nil"/>
        </w:pBdr>
        <w:spacing w:after="0" w:line="240" w:lineRule="auto"/>
        <w:ind w:left="720" w:right="616"/>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-Por lo que comprende al expediente de los mediadores, se informa que esa documentación la concentra la Dirección de Administración con su Dirección de Recursos Humanos. </w:t>
      </w:r>
    </w:p>
    <w:p w:rsidR="005C4DC7" w:rsidRPr="0098786D" w:rsidRDefault="005C4DC7">
      <w:pPr>
        <w:jc w:val="both"/>
        <w:rPr>
          <w:rFonts w:ascii="Palatino Linotype" w:eastAsia="Palatino Linotype" w:hAnsi="Palatino Linotype" w:cs="Palatino Linotype"/>
          <w:b/>
          <w:bCs/>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w:t>
      </w:r>
      <w:r w:rsidRPr="0098786D">
        <w:rPr>
          <w:rFonts w:ascii="Palatino Linotype" w:eastAsia="Palatino Linotype" w:hAnsi="Palatino Linotype" w:cs="Palatino Linotype"/>
          <w:b/>
          <w:bCs/>
          <w:color w:val="000000"/>
          <w:sz w:val="24"/>
          <w:szCs w:val="24"/>
        </w:rPr>
        <w:t xml:space="preserve">PARTICULAR </w:t>
      </w:r>
      <w:r w:rsidRPr="0098786D">
        <w:rPr>
          <w:rFonts w:ascii="Palatino Linotype" w:eastAsia="Palatino Linotype" w:hAnsi="Palatino Linotype" w:cs="Palatino Linotype"/>
          <w:color w:val="000000"/>
          <w:sz w:val="24"/>
          <w:szCs w:val="24"/>
        </w:rPr>
        <w:t>fue omiso en realizar manifestación alguna que a su derecho conviniera.</w:t>
      </w:r>
    </w:p>
    <w:p w:rsidR="0098786D" w:rsidRPr="0098786D" w:rsidRDefault="0098786D" w:rsidP="0098786D">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color w:val="000000"/>
          <w:sz w:val="24"/>
          <w:szCs w:val="24"/>
        </w:rPr>
        <w:t xml:space="preserve">El </w:t>
      </w:r>
      <w:r w:rsidRPr="0098786D">
        <w:rPr>
          <w:rFonts w:ascii="Palatino Linotype" w:eastAsia="Palatino Linotype" w:hAnsi="Palatino Linotype" w:cs="Palatino Linotype"/>
          <w:b/>
          <w:bCs/>
          <w:color w:val="000000"/>
          <w:sz w:val="24"/>
          <w:szCs w:val="24"/>
        </w:rPr>
        <w:t>doce de enero de dos mil veinticinco,</w:t>
      </w:r>
      <w:r w:rsidRPr="0098786D">
        <w:rPr>
          <w:rFonts w:ascii="Palatino Linotype" w:eastAsia="Palatino Linotype" w:hAnsi="Palatino Linotype" w:cs="Palatino Linotype"/>
          <w:color w:val="000000"/>
          <w:sz w:val="24"/>
          <w:szCs w:val="24"/>
        </w:rPr>
        <w:t xml:space="preserve"> se amplió el término para resolver el recurso de revisión que nos ocupa.</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b/>
          <w:bCs/>
          <w:color w:val="000000"/>
          <w:sz w:val="24"/>
          <w:szCs w:val="24"/>
        </w:rPr>
      </w:pPr>
      <w:bookmarkStart w:id="4" w:name="_heading=h.ukcie8z2lykd" w:colFirst="0" w:colLast="0"/>
      <w:bookmarkEnd w:id="4"/>
      <w:r w:rsidRPr="0098786D">
        <w:rPr>
          <w:rFonts w:ascii="Palatino Linotype" w:eastAsia="Palatino Linotype" w:hAnsi="Palatino Linotype" w:cs="Palatino Linotype"/>
          <w:color w:val="000000"/>
          <w:sz w:val="24"/>
          <w:szCs w:val="24"/>
        </w:rPr>
        <w:t xml:space="preserve">Mediante acuerdo de </w:t>
      </w:r>
      <w:r w:rsidRPr="0098786D">
        <w:rPr>
          <w:rFonts w:ascii="Palatino Linotype" w:eastAsia="Palatino Linotype" w:hAnsi="Palatino Linotype" w:cs="Palatino Linotype"/>
          <w:b/>
          <w:bCs/>
          <w:color w:val="000000"/>
          <w:sz w:val="24"/>
          <w:szCs w:val="24"/>
        </w:rPr>
        <w:t xml:space="preserve">diecinueve de enero de dos mil veintiséis, </w:t>
      </w:r>
      <w:r w:rsidRPr="0098786D">
        <w:rPr>
          <w:rFonts w:ascii="Palatino Linotype" w:eastAsia="Palatino Linotype" w:hAnsi="Palatino Linotype" w:cs="Palatino Linotype"/>
          <w:color w:val="000000"/>
          <w:sz w:val="24"/>
          <w:szCs w:val="24"/>
        </w:rPr>
        <w:t>se  decretó el cierre de instrucción, por lo que no habiendo más que hacer constar, y-------------------------------------</w:t>
      </w:r>
    </w:p>
    <w:p w:rsidR="0098786D" w:rsidRPr="0098786D" w:rsidRDefault="0098786D" w:rsidP="0098786D">
      <w:pPr>
        <w:pStyle w:val="Prrafodelista"/>
        <w:rPr>
          <w:rFonts w:ascii="Palatino Linotype" w:eastAsia="Palatino Linotype" w:hAnsi="Palatino Linotype" w:cs="Palatino Linotype"/>
          <w:b/>
          <w:bCs/>
          <w:color w:val="000000"/>
        </w:rPr>
      </w:pPr>
    </w:p>
    <w:p w:rsidR="0098786D" w:rsidRPr="0098786D" w:rsidRDefault="0098786D" w:rsidP="0098786D">
      <w:p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p>
    <w:p w:rsidR="005C4DC7" w:rsidRPr="0098786D" w:rsidRDefault="00936BF5">
      <w:pPr>
        <w:pBdr>
          <w:top w:val="nil"/>
          <w:left w:val="nil"/>
          <w:bottom w:val="nil"/>
          <w:right w:val="nil"/>
          <w:between w:val="nil"/>
        </w:pBdr>
        <w:spacing w:after="0" w:line="360" w:lineRule="auto"/>
        <w:ind w:right="-518"/>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lastRenderedPageBreak/>
        <w:t>C</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O</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N</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S</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I</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D</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E</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R</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A</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N</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D</w:t>
      </w:r>
      <w:r w:rsidR="0098786D"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b/>
          <w:bCs/>
          <w:color w:val="000000"/>
          <w:sz w:val="24"/>
          <w:szCs w:val="24"/>
        </w:rPr>
        <w:t>O</w:t>
      </w:r>
    </w:p>
    <w:p w:rsidR="005C4DC7" w:rsidRPr="0098786D" w:rsidRDefault="005C4DC7">
      <w:pPr>
        <w:pBdr>
          <w:top w:val="nil"/>
          <w:left w:val="nil"/>
          <w:bottom w:val="nil"/>
          <w:right w:val="nil"/>
          <w:between w:val="nil"/>
        </w:pBdr>
        <w:spacing w:after="0" w:line="360" w:lineRule="auto"/>
        <w:ind w:right="-518"/>
        <w:jc w:val="center"/>
        <w:rPr>
          <w:rFonts w:ascii="Palatino Linotype" w:eastAsia="Palatino Linotype" w:hAnsi="Palatino Linotype" w:cs="Palatino Linotype"/>
          <w:b/>
          <w:bCs/>
          <w:color w:val="000000"/>
          <w:sz w:val="24"/>
          <w:szCs w:val="24"/>
        </w:rPr>
      </w:pPr>
    </w:p>
    <w:p w:rsidR="005C4DC7" w:rsidRPr="0098786D" w:rsidRDefault="00936BF5">
      <w:pPr>
        <w:pStyle w:val="Ttulo2"/>
        <w:spacing w:before="0" w:line="360" w:lineRule="auto"/>
        <w:ind w:right="-518"/>
        <w:rPr>
          <w:rFonts w:ascii="Palatino Linotype" w:eastAsia="Palatino Linotype" w:hAnsi="Palatino Linotype" w:cs="Palatino Linotype"/>
          <w:b/>
          <w:bCs/>
          <w:color w:val="000000"/>
          <w:sz w:val="24"/>
          <w:szCs w:val="24"/>
        </w:rPr>
      </w:pPr>
      <w:bookmarkStart w:id="5" w:name="_heading=h.e2s1b6snqbfv" w:colFirst="0" w:colLast="0"/>
      <w:bookmarkEnd w:id="5"/>
      <w:r w:rsidRPr="0098786D">
        <w:rPr>
          <w:rFonts w:ascii="Palatino Linotype" w:eastAsia="Palatino Linotype" w:hAnsi="Palatino Linotype" w:cs="Palatino Linotype"/>
          <w:b/>
          <w:bCs/>
          <w:color w:val="000000"/>
          <w:sz w:val="24"/>
          <w:szCs w:val="24"/>
        </w:rPr>
        <w:t>PRIMERO. De la competencia</w:t>
      </w: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pStyle w:val="Ttulo2"/>
        <w:spacing w:before="0" w:line="360" w:lineRule="auto"/>
        <w:ind w:right="-518"/>
        <w:rPr>
          <w:rFonts w:ascii="Palatino Linotype" w:eastAsia="Palatino Linotype" w:hAnsi="Palatino Linotype" w:cs="Palatino Linotype"/>
          <w:b/>
          <w:bCs/>
          <w:color w:val="000000"/>
          <w:sz w:val="24"/>
          <w:szCs w:val="24"/>
        </w:rPr>
      </w:pPr>
      <w:bookmarkStart w:id="6" w:name="_heading=h.5njjh9w1h65j" w:colFirst="0" w:colLast="0"/>
      <w:bookmarkEnd w:id="6"/>
      <w:r w:rsidRPr="0098786D">
        <w:rPr>
          <w:rFonts w:ascii="Palatino Linotype" w:eastAsia="Palatino Linotype" w:hAnsi="Palatino Linotype" w:cs="Palatino Linotype"/>
          <w:b/>
          <w:bCs/>
          <w:color w:val="000000"/>
          <w:sz w:val="24"/>
          <w:szCs w:val="24"/>
        </w:rPr>
        <w:t>SEGUNDO. De la oportunidad y procedencia.</w:t>
      </w: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medio de impugnación fue presentado a través del </w:t>
      </w:r>
      <w:r w:rsidRPr="0098786D">
        <w:rPr>
          <w:rFonts w:ascii="Palatino Linotype" w:eastAsia="Palatino Linotype" w:hAnsi="Palatino Linotype" w:cs="Palatino Linotype"/>
          <w:b/>
          <w:bCs/>
          <w:color w:val="000000"/>
          <w:sz w:val="24"/>
          <w:szCs w:val="24"/>
        </w:rPr>
        <w:t>SAIMEX,</w:t>
      </w:r>
      <w:r w:rsidRPr="0098786D">
        <w:rPr>
          <w:rFonts w:ascii="Palatino Linotype" w:eastAsia="Palatino Linotype" w:hAnsi="Palatino Linotype" w:cs="Palatino Linotype"/>
          <w:color w:val="000000"/>
          <w:sz w:val="24"/>
          <w:szCs w:val="24"/>
        </w:rPr>
        <w:t xml:space="preserve"> en el formato previamente aprobado para tal efecto y dentro del plazo legal de quince días hábiles otorgados; para el caso en particular es de señalar que el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dio respuesta el </w:t>
      </w:r>
      <w:r w:rsidRPr="0098786D">
        <w:rPr>
          <w:rFonts w:ascii="Palatino Linotype" w:eastAsia="Palatino Linotype" w:hAnsi="Palatino Linotype" w:cs="Palatino Linotype"/>
          <w:b/>
          <w:bCs/>
          <w:color w:val="000000"/>
          <w:sz w:val="24"/>
          <w:szCs w:val="24"/>
        </w:rPr>
        <w:t>doce de junio de dos mil veinticinco</w:t>
      </w:r>
      <w:r w:rsidRPr="0098786D">
        <w:rPr>
          <w:rFonts w:ascii="Palatino Linotype" w:eastAsia="Palatino Linotype" w:hAnsi="Palatino Linotype" w:cs="Palatino Linotype"/>
          <w:color w:val="000000"/>
          <w:sz w:val="24"/>
          <w:szCs w:val="24"/>
        </w:rPr>
        <w:t>, de tal forma que el plazo para interponer el recurso de revisión transcurrió del</w:t>
      </w:r>
      <w:r w:rsidRPr="0098786D">
        <w:rPr>
          <w:rFonts w:ascii="Palatino Linotype" w:eastAsia="Palatino Linotype" w:hAnsi="Palatino Linotype" w:cs="Palatino Linotype"/>
          <w:b/>
          <w:bCs/>
          <w:color w:val="000000"/>
          <w:sz w:val="24"/>
          <w:szCs w:val="24"/>
        </w:rPr>
        <w:t xml:space="preserve"> trece de junio al tres de julio de dos mil veinticinco</w:t>
      </w:r>
      <w:r w:rsidRPr="0098786D">
        <w:rPr>
          <w:rFonts w:ascii="Palatino Linotype" w:eastAsia="Palatino Linotype" w:hAnsi="Palatino Linotype" w:cs="Palatino Linotype"/>
          <w:color w:val="000000"/>
          <w:sz w:val="24"/>
          <w:szCs w:val="24"/>
        </w:rPr>
        <w:t xml:space="preserve">; en consecuencia, el ahora </w:t>
      </w:r>
      <w:r w:rsidRPr="0098786D">
        <w:rPr>
          <w:rFonts w:ascii="Palatino Linotype" w:eastAsia="Palatino Linotype" w:hAnsi="Palatino Linotype" w:cs="Palatino Linotype"/>
          <w:b/>
          <w:bCs/>
          <w:color w:val="000000"/>
          <w:sz w:val="24"/>
          <w:szCs w:val="24"/>
        </w:rPr>
        <w:t>RECURRENTE</w:t>
      </w:r>
      <w:r w:rsidRPr="0098786D">
        <w:rPr>
          <w:rFonts w:ascii="Palatino Linotype" w:eastAsia="Palatino Linotype" w:hAnsi="Palatino Linotype" w:cs="Palatino Linotype"/>
          <w:color w:val="000000"/>
          <w:sz w:val="24"/>
          <w:szCs w:val="24"/>
        </w:rPr>
        <w:t xml:space="preserve"> presentó su inconformidad el </w:t>
      </w:r>
      <w:r w:rsidRPr="0098786D">
        <w:rPr>
          <w:rFonts w:ascii="Palatino Linotype" w:eastAsia="Palatino Linotype" w:hAnsi="Palatino Linotype" w:cs="Palatino Linotype"/>
          <w:b/>
          <w:bCs/>
          <w:color w:val="000000"/>
          <w:sz w:val="24"/>
          <w:szCs w:val="24"/>
        </w:rPr>
        <w:t>tres de julio de dos mil veinticinco</w:t>
      </w:r>
      <w:r w:rsidRPr="0098786D">
        <w:rPr>
          <w:rFonts w:ascii="Palatino Linotype" w:eastAsia="Palatino Linotype" w:hAnsi="Palatino Linotype" w:cs="Palatino Linotype"/>
          <w:color w:val="000000"/>
          <w:sz w:val="24"/>
          <w:szCs w:val="24"/>
        </w:rPr>
        <w:t>; por lo que se estima que la inconformidad se presentó dentro del lapso legalmente establecido para tal efecto.</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pStyle w:val="Ttulo2"/>
        <w:spacing w:before="0" w:line="360" w:lineRule="auto"/>
        <w:ind w:right="-518"/>
        <w:rPr>
          <w:color w:val="000000"/>
          <w:sz w:val="24"/>
          <w:szCs w:val="24"/>
        </w:rPr>
      </w:pPr>
      <w:r w:rsidRPr="0098786D">
        <w:rPr>
          <w:rFonts w:ascii="Palatino Linotype" w:eastAsia="Palatino Linotype" w:hAnsi="Palatino Linotype" w:cs="Palatino Linotype"/>
          <w:b/>
          <w:bCs/>
          <w:color w:val="000000"/>
          <w:sz w:val="24"/>
          <w:szCs w:val="24"/>
        </w:rPr>
        <w:t>TERCERO. Del planteamiento de la Litis.</w:t>
      </w: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color w:val="000000"/>
          <w:sz w:val="24"/>
          <w:szCs w:val="24"/>
        </w:rPr>
        <w:t>De las constancias en el expediente al rubro indicado, se desprende que el particular solicitó la información que a continuación se desagrega:</w:t>
      </w:r>
    </w:p>
    <w:p w:rsidR="005C4DC7" w:rsidRPr="0098786D" w:rsidRDefault="00936BF5">
      <w:pPr>
        <w:numPr>
          <w:ilvl w:val="0"/>
          <w:numId w:val="11"/>
        </w:numPr>
        <w:pBdr>
          <w:top w:val="nil"/>
          <w:left w:val="nil"/>
          <w:bottom w:val="nil"/>
          <w:right w:val="nil"/>
          <w:between w:val="nil"/>
        </w:pBdr>
        <w:spacing w:after="0" w:line="276" w:lineRule="auto"/>
        <w:ind w:right="19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Todas las acta de conciliación efectuadas en su actual administración el nombre y expediente de los mediadores de su </w:t>
      </w:r>
      <w:r w:rsidR="00DB69AE" w:rsidRPr="0098786D">
        <w:rPr>
          <w:rFonts w:ascii="Palatino Linotype" w:eastAsia="Palatino Linotype" w:hAnsi="Palatino Linotype" w:cs="Palatino Linotype"/>
          <w:color w:val="000000"/>
          <w:sz w:val="24"/>
          <w:szCs w:val="24"/>
        </w:rPr>
        <w:t>administración</w:t>
      </w:r>
    </w:p>
    <w:p w:rsidR="005C4DC7" w:rsidRPr="0098786D" w:rsidRDefault="005C4DC7">
      <w:pPr>
        <w:pBdr>
          <w:top w:val="nil"/>
          <w:left w:val="nil"/>
          <w:bottom w:val="nil"/>
          <w:right w:val="nil"/>
          <w:between w:val="nil"/>
        </w:pBdr>
        <w:spacing w:after="0" w:line="276" w:lineRule="auto"/>
        <w:ind w:left="720" w:right="191"/>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b/>
          <w:bCs/>
          <w:i/>
          <w:iCs/>
          <w:color w:val="000000"/>
          <w:sz w:val="24"/>
          <w:szCs w:val="24"/>
        </w:rPr>
      </w:pPr>
      <w:r w:rsidRPr="0098786D">
        <w:rPr>
          <w:rFonts w:ascii="Palatino Linotype" w:eastAsia="Palatino Linotype" w:hAnsi="Palatino Linotype" w:cs="Palatino Linotype"/>
          <w:color w:val="000000"/>
          <w:sz w:val="24"/>
          <w:szCs w:val="24"/>
        </w:rPr>
        <w:t xml:space="preserve">En respuesta,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se pronunció como quedó referido en el numeral 2. </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b/>
          <w:bCs/>
          <w:i/>
          <w:iCs/>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Inconforme con la respuesta proporcionada por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éste interpuso recurso de revisión arguyendo g</w:t>
      </w:r>
      <w:r w:rsidRPr="0098786D">
        <w:rPr>
          <w:rFonts w:ascii="Palatino Linotype" w:eastAsia="Palatino Linotype" w:hAnsi="Palatino Linotype" w:cs="Palatino Linotype"/>
          <w:i/>
          <w:iCs/>
          <w:color w:val="000000"/>
          <w:sz w:val="24"/>
          <w:szCs w:val="24"/>
        </w:rPr>
        <w:t xml:space="preserve">rosso modo </w:t>
      </w:r>
      <w:r w:rsidRPr="0098786D">
        <w:rPr>
          <w:rFonts w:ascii="Palatino Linotype" w:eastAsia="Palatino Linotype" w:hAnsi="Palatino Linotype" w:cs="Palatino Linotype"/>
          <w:color w:val="000000"/>
          <w:sz w:val="24"/>
          <w:szCs w:val="24"/>
        </w:rPr>
        <w:t>la entrega de la información de manera incompleta.</w:t>
      </w:r>
    </w:p>
    <w:p w:rsidR="005C4DC7" w:rsidRPr="0098786D" w:rsidRDefault="005C4DC7">
      <w:pPr>
        <w:pBdr>
          <w:top w:val="nil"/>
          <w:left w:val="nil"/>
          <w:bottom w:val="nil"/>
          <w:right w:val="nil"/>
          <w:between w:val="nil"/>
        </w:pBdr>
        <w:ind w:left="567"/>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En dichas condiciones, la </w:t>
      </w:r>
      <w:r w:rsidRPr="0098786D">
        <w:rPr>
          <w:rFonts w:ascii="Palatino Linotype" w:eastAsia="Palatino Linotype" w:hAnsi="Palatino Linotype" w:cs="Palatino Linotype"/>
          <w:i/>
          <w:iCs/>
          <w:color w:val="000000"/>
          <w:sz w:val="24"/>
          <w:szCs w:val="24"/>
        </w:rPr>
        <w:t>Litis</w:t>
      </w:r>
      <w:r w:rsidRPr="0098786D">
        <w:rPr>
          <w:rFonts w:ascii="Palatino Linotype" w:eastAsia="Palatino Linotype" w:hAnsi="Palatino Linotype" w:cs="Palatino Linotype"/>
          <w:color w:val="000000"/>
          <w:sz w:val="24"/>
          <w:szCs w:val="24"/>
        </w:rPr>
        <w:t xml:space="preserve"> a resolver en este recurso se circunscribe a determinar si se actualizan las causales de procedencia previstas en el artículo 179, </w:t>
      </w:r>
      <w:r w:rsidRPr="0098786D">
        <w:rPr>
          <w:rFonts w:ascii="Palatino Linotype" w:eastAsia="Palatino Linotype" w:hAnsi="Palatino Linotype" w:cs="Palatino Linotype"/>
          <w:b/>
          <w:bCs/>
          <w:color w:val="000000"/>
          <w:sz w:val="24"/>
          <w:szCs w:val="24"/>
        </w:rPr>
        <w:t xml:space="preserve">fracción V </w:t>
      </w:r>
      <w:r w:rsidRPr="0098786D">
        <w:rPr>
          <w:rFonts w:ascii="Palatino Linotype" w:eastAsia="Palatino Linotype" w:hAnsi="Palatino Linotype" w:cs="Palatino Linotype"/>
          <w:color w:val="000000"/>
          <w:sz w:val="24"/>
          <w:szCs w:val="24"/>
        </w:rPr>
        <w:t>de la Ley</w:t>
      </w:r>
      <w:r w:rsidRPr="0098786D">
        <w:rPr>
          <w:rFonts w:ascii="Palatino Linotype" w:eastAsia="Palatino Linotype" w:hAnsi="Palatino Linotype" w:cs="Palatino Linotype"/>
          <w:b/>
          <w:bCs/>
          <w:color w:val="000000"/>
          <w:sz w:val="24"/>
          <w:szCs w:val="24"/>
        </w:rPr>
        <w:t xml:space="preserve"> de Transparencia y Acceso a la Información Pública del Estado de </w:t>
      </w:r>
      <w:r w:rsidRPr="0098786D">
        <w:rPr>
          <w:rFonts w:ascii="Palatino Linotype" w:eastAsia="Palatino Linotype" w:hAnsi="Palatino Linotype" w:cs="Palatino Linotype"/>
          <w:color w:val="000000"/>
          <w:sz w:val="24"/>
          <w:szCs w:val="24"/>
        </w:rPr>
        <w:t>México</w:t>
      </w:r>
      <w:r w:rsidRPr="0098786D">
        <w:rPr>
          <w:rFonts w:ascii="Palatino Linotype" w:eastAsia="Palatino Linotype" w:hAnsi="Palatino Linotype" w:cs="Palatino Linotype"/>
          <w:b/>
          <w:bCs/>
          <w:color w:val="000000"/>
          <w:sz w:val="24"/>
          <w:szCs w:val="24"/>
        </w:rPr>
        <w:t xml:space="preserve"> y Municipios</w:t>
      </w:r>
      <w:r w:rsidRPr="0098786D">
        <w:rPr>
          <w:rFonts w:ascii="Palatino Linotype" w:eastAsia="Palatino Linotype" w:hAnsi="Palatino Linotype" w:cs="Palatino Linotype"/>
          <w:color w:val="000000"/>
          <w:sz w:val="24"/>
          <w:szCs w:val="24"/>
        </w:rPr>
        <w:t xml:space="preserve">; fracción que determina la hipótesis jurídica la entrega de información incompleta; contexto del cual se dolió </w:t>
      </w:r>
      <w:r w:rsidRPr="0098786D">
        <w:rPr>
          <w:rFonts w:ascii="Palatino Linotype" w:eastAsia="Palatino Linotype" w:hAnsi="Palatino Linotype" w:cs="Palatino Linotype"/>
          <w:b/>
          <w:bCs/>
          <w:color w:val="000000"/>
          <w:sz w:val="24"/>
          <w:szCs w:val="24"/>
        </w:rPr>
        <w:t xml:space="preserve">EL RECURRENTE </w:t>
      </w:r>
      <w:r w:rsidRPr="0098786D">
        <w:rPr>
          <w:rFonts w:ascii="Palatino Linotype" w:eastAsia="Palatino Linotype" w:hAnsi="Palatino Linotype" w:cs="Palatino Linotype"/>
          <w:color w:val="000000"/>
          <w:sz w:val="24"/>
          <w:szCs w:val="24"/>
        </w:rPr>
        <w:t>al momento de interponer su inconformidad.</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 xml:space="preserve">De modo tal que el presente recurso de revisión se abocara en determinar si el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con su respuesta ciertamente actualizan las causales de procedencia</w:t>
      </w:r>
      <w:r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color w:val="000000"/>
          <w:sz w:val="24"/>
          <w:szCs w:val="24"/>
        </w:rPr>
        <w:t>antes señalada; asimismo, determinar si se vulnera el derecho de acceso a la información del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5C4DC7" w:rsidRPr="0098786D" w:rsidRDefault="005C4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b/>
          <w:bCs/>
          <w:color w:val="000000"/>
          <w:sz w:val="24"/>
          <w:szCs w:val="24"/>
        </w:rPr>
      </w:pPr>
    </w:p>
    <w:p w:rsidR="005C4DC7" w:rsidRPr="0098786D" w:rsidRDefault="00936BF5">
      <w:pPr>
        <w:pStyle w:val="Ttulo2"/>
        <w:spacing w:before="0" w:line="360" w:lineRule="auto"/>
        <w:ind w:right="-518"/>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CUARTO. Del estudio y resolución del asunto.</w:t>
      </w: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Acotada la </w:t>
      </w:r>
      <w:r w:rsidRPr="0098786D">
        <w:rPr>
          <w:rFonts w:ascii="Palatino Linotype" w:eastAsia="Palatino Linotype" w:hAnsi="Palatino Linotype" w:cs="Palatino Linotype"/>
          <w:i/>
          <w:iCs/>
          <w:color w:val="000000"/>
          <w:sz w:val="24"/>
          <w:szCs w:val="24"/>
        </w:rPr>
        <w:t>Litis</w:t>
      </w:r>
      <w:r w:rsidRPr="0098786D">
        <w:rPr>
          <w:rFonts w:ascii="Palatino Linotype" w:eastAsia="Palatino Linotype" w:hAnsi="Palatino Linotype" w:cs="Palatino Linotype"/>
          <w:color w:val="000000"/>
          <w:sz w:val="24"/>
          <w:szCs w:val="24"/>
        </w:rPr>
        <w:t xml:space="preserve"> del asunto de mérito, es dable puntualizar inicialmente en términos generales, que el Derecho de Acceso a la Información Pública es un Derecho Humano reconocido en el Pacto de Derechos Civiles y Políticos en su artículo 19.2; en la Convención Americana sobre Derechos Humanos en su artículo 13.1, así como en el artículo 6°, apartado A), fracción I de la Constitución Política de los Estados Unidos Mexicanos, el cual establece que toda la información en posesión de cualquier autoridad es pública y sólo podrá ser reservada temporalmente por razones de interés público.</w:t>
      </w:r>
    </w:p>
    <w:p w:rsidR="005C4DC7" w:rsidRPr="0098786D" w:rsidRDefault="005C4DC7">
      <w:pPr>
        <w:pBdr>
          <w:top w:val="nil"/>
          <w:left w:val="nil"/>
          <w:bottom w:val="nil"/>
          <w:right w:val="nil"/>
          <w:between w:val="nil"/>
        </w:pBdr>
        <w:tabs>
          <w:tab w:val="left" w:pos="426"/>
          <w:tab w:val="left" w:pos="567"/>
        </w:tabs>
        <w:spacing w:line="360" w:lineRule="auto"/>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Por su parte, la Ley General de Transparencia y Acceso a la Información Pública, dispone en su artículo 70 que la información que corresponde a las Obligaciones de Transparencia debe estar disponible para cualquier persona de manera permanente y actualizada. En materia local, el artículo 5°, fracción I de la Constitución Política del Estado Libre y Soberano de México, es coincidente con la Constitución Federal, en el sentido de la publicidad de toda la información, con la única restricción de proteger el interés público, así </w:t>
      </w:r>
      <w:r w:rsidRPr="0098786D">
        <w:rPr>
          <w:rFonts w:ascii="Palatino Linotype" w:eastAsia="Palatino Linotype" w:hAnsi="Palatino Linotype" w:cs="Palatino Linotype"/>
          <w:color w:val="000000"/>
          <w:sz w:val="24"/>
          <w:szCs w:val="24"/>
        </w:rPr>
        <w:lastRenderedPageBreak/>
        <w:t>como la información referente a la intimidad de la vida privada y la imagen de las personas, con las excepciones que establezca la ley reglamentaria.</w:t>
      </w:r>
    </w:p>
    <w:p w:rsidR="005C4DC7" w:rsidRPr="0098786D" w:rsidRDefault="005C4DC7">
      <w:pPr>
        <w:spacing w:line="360" w:lineRule="auto"/>
        <w:jc w:val="both"/>
        <w:rPr>
          <w:rFonts w:ascii="Palatino Linotype" w:eastAsia="Palatino Linotype" w:hAnsi="Palatino Linotype" w:cs="Palatino Linotype"/>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el mismo sentido, la Ley de Transparencia y Acceso a la Información Pública del Estado de México y Municipios (Reglamentaria del artículo 5° de la Constitución Local), establece en su artículo 12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5C4DC7" w:rsidRPr="0098786D" w:rsidRDefault="005C4DC7">
      <w:pPr>
        <w:pBdr>
          <w:top w:val="nil"/>
          <w:left w:val="nil"/>
          <w:bottom w:val="nil"/>
          <w:right w:val="nil"/>
          <w:between w:val="nil"/>
        </w:pBdr>
        <w:spacing w:line="360" w:lineRule="auto"/>
        <w:ind w:left="708"/>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Finalmente,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C4DC7" w:rsidRPr="0098786D" w:rsidRDefault="005C4DC7">
      <w:pPr>
        <w:spacing w:line="360" w:lineRule="auto"/>
        <w:rPr>
          <w:rFonts w:ascii="Palatino Linotype" w:eastAsia="Palatino Linotype" w:hAnsi="Palatino Linotype" w:cs="Palatino Linotype"/>
          <w:sz w:val="24"/>
          <w:szCs w:val="24"/>
        </w:rPr>
      </w:pPr>
    </w:p>
    <w:p w:rsidR="005C4DC7" w:rsidRPr="0098786D" w:rsidRDefault="00936BF5">
      <w:pPr>
        <w:numPr>
          <w:ilvl w:val="0"/>
          <w:numId w:val="9"/>
        </w:numPr>
        <w:pBdr>
          <w:top w:val="nil"/>
          <w:left w:val="nil"/>
          <w:bottom w:val="nil"/>
          <w:right w:val="nil"/>
          <w:between w:val="nil"/>
        </w:pBdr>
        <w:spacing w:after="0" w:line="360" w:lineRule="auto"/>
        <w:ind w:right="757"/>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Estudio de fondo</w:t>
      </w: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Acotada la </w:t>
      </w:r>
      <w:r w:rsidRPr="0098786D">
        <w:rPr>
          <w:rFonts w:ascii="Palatino Linotype" w:eastAsia="Palatino Linotype" w:hAnsi="Palatino Linotype" w:cs="Palatino Linotype"/>
          <w:i/>
          <w:iCs/>
          <w:color w:val="000000"/>
          <w:sz w:val="24"/>
          <w:szCs w:val="24"/>
        </w:rPr>
        <w:t>Litis</w:t>
      </w:r>
      <w:r w:rsidRPr="0098786D">
        <w:rPr>
          <w:rFonts w:ascii="Palatino Linotype" w:eastAsia="Palatino Linotype" w:hAnsi="Palatino Linotype" w:cs="Palatino Linotype"/>
          <w:color w:val="000000"/>
          <w:sz w:val="24"/>
          <w:szCs w:val="24"/>
        </w:rPr>
        <w:t xml:space="preserve"> del presente asunto, previo al estudio de fondo, respecto la fuente obligacional, se advierte que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respecto las actas de conciliación, asume que genera, posee y/o administra la información solicitada, tan es así que la pone a disposición del ahora </w:t>
      </w:r>
      <w:r w:rsidRPr="0098786D">
        <w:rPr>
          <w:rFonts w:ascii="Palatino Linotype" w:eastAsia="Palatino Linotype" w:hAnsi="Palatino Linotype" w:cs="Palatino Linotype"/>
          <w:b/>
          <w:bCs/>
          <w:color w:val="000000"/>
          <w:sz w:val="24"/>
          <w:szCs w:val="24"/>
        </w:rPr>
        <w:t>RECURRENTE.</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Por lo que hace a los expedientes laborales, se refiere lo siguiente:</w:t>
      </w:r>
    </w:p>
    <w:p w:rsidR="005C4DC7" w:rsidRPr="0098786D" w:rsidRDefault="00936BF5">
      <w:pPr>
        <w:pBdr>
          <w:top w:val="nil"/>
          <w:left w:val="nil"/>
          <w:bottom w:val="nil"/>
          <w:right w:val="nil"/>
          <w:between w:val="nil"/>
        </w:pBdr>
        <w:spacing w:after="0" w:line="360" w:lineRule="auto"/>
        <w:ind w:right="-518"/>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BANDO MUNICIPAL</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Artículo 90</w:t>
      </w:r>
      <w:r w:rsidRPr="0098786D">
        <w:rPr>
          <w:rFonts w:ascii="Palatino Linotype" w:eastAsia="Palatino Linotype" w:hAnsi="Palatino Linotype" w:cs="Palatino Linotype"/>
          <w:i/>
          <w:iCs/>
          <w:color w:val="000000"/>
          <w:sz w:val="24"/>
          <w:szCs w:val="24"/>
        </w:rPr>
        <w:t>.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I. DEPENDENCIAS:</w:t>
      </w: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w:t>
      </w: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b/>
          <w:bCs/>
          <w:i/>
          <w:iCs/>
          <w:color w:val="000000"/>
          <w:sz w:val="24"/>
          <w:szCs w:val="24"/>
        </w:rPr>
      </w:pPr>
      <w:r w:rsidRPr="0098786D">
        <w:rPr>
          <w:rFonts w:ascii="Palatino Linotype" w:eastAsia="Palatino Linotype" w:hAnsi="Palatino Linotype" w:cs="Palatino Linotype"/>
          <w:b/>
          <w:bCs/>
          <w:i/>
          <w:iCs/>
          <w:color w:val="000000"/>
          <w:sz w:val="24"/>
          <w:szCs w:val="24"/>
        </w:rPr>
        <w:t xml:space="preserve"> 6.Dirección General de Administración;</w:t>
      </w: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b/>
          <w:bCs/>
          <w:i/>
          <w:iCs/>
          <w:color w:val="000000"/>
          <w:sz w:val="24"/>
          <w:szCs w:val="24"/>
        </w:rPr>
      </w:pPr>
      <w:r w:rsidRPr="0098786D">
        <w:rPr>
          <w:rFonts w:ascii="Palatino Linotype" w:eastAsia="Palatino Linotype" w:hAnsi="Palatino Linotype" w:cs="Palatino Linotype"/>
          <w:b/>
          <w:bCs/>
          <w:i/>
          <w:iCs/>
          <w:color w:val="000000"/>
          <w:sz w:val="24"/>
          <w:szCs w:val="24"/>
        </w:rPr>
        <w:t>…</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VI. La persona titular de la </w:t>
      </w:r>
      <w:r w:rsidRPr="0098786D">
        <w:rPr>
          <w:rFonts w:ascii="Palatino Linotype" w:eastAsia="Palatino Linotype" w:hAnsi="Palatino Linotype" w:cs="Palatino Linotype"/>
          <w:b/>
          <w:bCs/>
          <w:i/>
          <w:iCs/>
          <w:color w:val="000000"/>
          <w:sz w:val="24"/>
          <w:szCs w:val="24"/>
        </w:rPr>
        <w:t>Dirección General de Administración</w:t>
      </w:r>
      <w:r w:rsidRPr="0098786D">
        <w:rPr>
          <w:rFonts w:ascii="Palatino Linotype" w:eastAsia="Palatino Linotype" w:hAnsi="Palatino Linotype" w:cs="Palatino Linotype"/>
          <w:i/>
          <w:iCs/>
          <w:color w:val="000000"/>
          <w:sz w:val="24"/>
          <w:szCs w:val="24"/>
        </w:rPr>
        <w:t xml:space="preserve"> es responsable de la gestión integral del capital humano del Ayuntamiento, coordinando el reclutamiento, contratación, capacitación y desarrollo del personal, así como la aplicación de las disposiciones laborales y sindicales. Supervisará la elaboración y distribución de la nómina, garantizando su apego a la normatividad y el presupuesto autorizado. Dirigirá los procesos de adquisición, arrendamiento y contratación de servicios, asegurando la eficiencia y transparencia en el uso de los recursos públicos. Administrará el parque vehicular, los bienes municipales y la logística de eventos públicos e implementará políticas de gobierno digital y normativas para el uso de tecnologías de la información, promoviendo la eficiencia operativa de la administración pública municipal.</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360" w:lineRule="auto"/>
        <w:ind w:right="-518" w:firstLine="70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Manual de Organización Dirección General de Administración</w:t>
      </w: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b/>
          <w:bCs/>
          <w:i/>
          <w:iCs/>
          <w:color w:val="000000"/>
          <w:sz w:val="24"/>
          <w:szCs w:val="24"/>
        </w:rPr>
      </w:pPr>
      <w:r w:rsidRPr="0098786D">
        <w:rPr>
          <w:rFonts w:ascii="Palatino Linotype" w:eastAsia="Palatino Linotype" w:hAnsi="Palatino Linotype" w:cs="Palatino Linotype"/>
          <w:b/>
          <w:bCs/>
          <w:i/>
          <w:iCs/>
          <w:color w:val="000000"/>
          <w:sz w:val="24"/>
          <w:szCs w:val="24"/>
        </w:rPr>
        <w:t xml:space="preserve">206010000 Dirección General de Administración </w:t>
      </w: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lastRenderedPageBreak/>
        <w:t>Objetivo:</w:t>
      </w:r>
      <w:r w:rsidRPr="0098786D">
        <w:rPr>
          <w:rFonts w:ascii="Palatino Linotype" w:eastAsia="Palatino Linotype" w:hAnsi="Palatino Linotype" w:cs="Palatino Linotype"/>
          <w:i/>
          <w:iCs/>
          <w:color w:val="000000"/>
          <w:sz w:val="24"/>
          <w:szCs w:val="24"/>
        </w:rPr>
        <w:t xml:space="preserve"> Definir, establecer, difundir y aplicar la normatividad para la administración de personal, adquisición, uso y mantenimiento de bienes, contratación y prestación de servicios, de la tecnología de la información y comunicaciones que requieran las diferentes dependencias y órganos que integran la administración pública municipal, para la ejecución de sus funciones, privilegiando las mejores condiciones de oportunidad, precio, calidad y financiamiento, en un esquema de transparencia, a fin de optimizar los recursos humanos, materiales, técnicos y tecnológicos, así como el adecuado control del parque vehicular y de bienes muebles e inmuebles.</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b/>
          <w:bCs/>
          <w:i/>
          <w:iCs/>
          <w:color w:val="000000"/>
          <w:sz w:val="24"/>
          <w:szCs w:val="24"/>
        </w:rPr>
      </w:pPr>
      <w:r w:rsidRPr="0098786D">
        <w:rPr>
          <w:rFonts w:ascii="Palatino Linotype" w:eastAsia="Palatino Linotype" w:hAnsi="Palatino Linotype" w:cs="Palatino Linotype"/>
          <w:b/>
          <w:bCs/>
          <w:i/>
          <w:iCs/>
          <w:color w:val="000000"/>
          <w:sz w:val="24"/>
          <w:szCs w:val="24"/>
        </w:rPr>
        <w:t xml:space="preserve">206012000 Dirección de Recursos Humanos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b/>
          <w:bCs/>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Objetivo: </w:t>
      </w:r>
      <w:r w:rsidRPr="0098786D">
        <w:rPr>
          <w:rFonts w:ascii="Palatino Linotype" w:eastAsia="Palatino Linotype" w:hAnsi="Palatino Linotype" w:cs="Palatino Linotype"/>
          <w:i/>
          <w:iCs/>
          <w:color w:val="000000"/>
          <w:sz w:val="24"/>
          <w:szCs w:val="24"/>
        </w:rPr>
        <w:t>Planear, implementar, organizar, dirigir y controlar, conforme a las normas aplicables, los sistemas, procesos, procedimientos y mecanismos para la administración y desarrollo de los recursos humanos; regular las condiciones de trabajo que debe cumplir el Ayuntamiento respecto a las obligaciones en materia laboral, fiscal y de seguridad social que se generan en una relación laboral, así como realizar los trámites correspondientes de sueldos y salarios del personal que permita el adecuado funcionamiento de las dependencias de la administración pública municipal de Toluca.</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b/>
          <w:bCs/>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Funciones:</w:t>
      </w:r>
      <w:r w:rsidRPr="0098786D">
        <w:rPr>
          <w:rFonts w:ascii="Palatino Linotype" w:eastAsia="Palatino Linotype" w:hAnsi="Palatino Linotype" w:cs="Palatino Linotype"/>
          <w:i/>
          <w:iCs/>
          <w:color w:val="000000"/>
          <w:sz w:val="24"/>
          <w:szCs w:val="24"/>
        </w:rPr>
        <w:t xml:space="preserve">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1. Coordinar, dirigir y vigilar el cumplimiento de los procedimientos para el reclutamiento, selección, y contratación de personal de nuevo ingreso, reingreso, plazas de nueva creación, así como la inducción y desarrollo del personal;</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2. Asegurar que no se condicione la contratación del personal mediante la solicitud de pruebas de no gravidez o VIH, con la finalidad de evitar actos de discriminación;</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 3. Recibir, validar y resguardar la documentación que conforme a los requisitos establecidos por la normatividad deben cumplir las y los servidores públicos </w:t>
      </w:r>
      <w:r w:rsidRPr="0098786D">
        <w:rPr>
          <w:rFonts w:ascii="Palatino Linotype" w:eastAsia="Palatino Linotype" w:hAnsi="Palatino Linotype" w:cs="Palatino Linotype"/>
          <w:i/>
          <w:iCs/>
          <w:color w:val="000000"/>
          <w:sz w:val="24"/>
          <w:szCs w:val="24"/>
        </w:rPr>
        <w:lastRenderedPageBreak/>
        <w:t xml:space="preserve">contratados, así mismo integrar su expediente personal y laboral, el cual se concentrará en los archivos de la Dirección de Recursos Humanos; </w:t>
      </w: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4. Autorizar y expedir las constancias laborales y de ingresos que sean solicitadas por el personal;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5. Regular las relaciones laborales de las y los servidores públicos y el Ayuntamiento, verificando que se cumpla con lo establecido por las leyes federales, estatales y la reglamentación municipal en la materia;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6. Supervisar y validar la integración y actualización del Catálogo General de Puestos de las y los servidores públicos del Ayuntamiento de Toluca y el tabulador de sueldos y salarios de la administración pública municipal;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7. Controlar y aplicar las sanciones a las y los servidores públicos que conforme a derecho procedan, derivados de la falta u omisión en las obligaciones que deben cumplir de acuerdo a lo establecido en la normatividad en la materia;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8. Supervisar y validar los movimientos administrativos, altas, reingresos, bajas, licencias, cambios de categoría y adscripción, permisos, registro de incidencias del personal, entre otros, que sean remitidos en tiempo y forma;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9. Realizar las supervisiones de asistencia y permanencia de las y los servidores públicos de las distintas unidades administrativas, para que en caso de presentarse alguna irregularidad se apliquen las sanciones y acciones que procedan con base en la normatividad aplicable;</w:t>
      </w:r>
    </w:p>
    <w:p w:rsidR="005C4DC7" w:rsidRPr="0098786D" w:rsidRDefault="005C4DC7">
      <w:pPr>
        <w:spacing w:line="276" w:lineRule="auto"/>
        <w:ind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10. Analizar, supervisar y controlar que los movimientos del personal se realicen de conformidad con el tabulador de sueldos y salarios autorizado y con lo establecido en la Ley del Trabajo de los Servidores Públicos del Estado y Municipios, Ley General de Responsabilidades Administrativas del Estado de México y Municipios, Ley del Impuesto Sobre la Renta, Ley Federal del Trabajo y normatividad aplicable en </w:t>
      </w:r>
      <w:r w:rsidRPr="0098786D">
        <w:rPr>
          <w:rFonts w:ascii="Palatino Linotype" w:eastAsia="Palatino Linotype" w:hAnsi="Palatino Linotype" w:cs="Palatino Linotype"/>
          <w:i/>
          <w:iCs/>
          <w:color w:val="000000"/>
          <w:sz w:val="24"/>
          <w:szCs w:val="24"/>
        </w:rPr>
        <w:lastRenderedPageBreak/>
        <w:t xml:space="preserve">materia de remuneraciones a servidores públicos para la adecuada aplicación del presupuesto asignado para tal efecto; </w:t>
      </w: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11. Validar el Formato Único de Personal (FUP) para documentar nominalmente los movimientos de alta, reingreso, cambios, para su debido proceso;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12. Supervisar que las remuneraciones asignadas al personal del Ayuntamiento se entreguen oportunamente, acorde a su modalidad de pago y régimen de contratación, apegándose a la normatividad aplicable y al presupuesto autorizado;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13. Validar la información procesada en la base de datos de nómina, correspondiente a cada pago calendarizado de forma quincenal y extraordinario, para el debido control del presupuesto asignado;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14. Supervisar que se lleve a cabo la conciliación quincenal de la nómina con el Departamento de Control de Pagos de Servicios Personales de la Tesorería Municipal;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15. Asegurar el cumplimiento de las disposiciones jurídicas en materia de trabajo, protección civil y seguridad e higiene a efecto de que las actividades de la administración pública municipal se lleven a cabo en un marco de legalidad y seguridad;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16. Proponer, analizar, gestionar y supervisar el cumplimiento de los convenios celebrados con las agrupaciones sindicales y/o las empresas; garantizando en todo momento que los mismos representen un beneficio para el personal del Ayuntamiento;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17. Coordinar, promover y evaluar con la Consejería Jurídica las propuestas de reforma a las condiciones generales de trabajo, en beneficio del recurso humano, lo que redituará en una mejor administración pública municipal;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lastRenderedPageBreak/>
        <w:t xml:space="preserve">18. Establecer los lineamientos para la detección de necesidades de capacitación e implementar el programa anual que permita mejorar las habilidades y conocimientos de las y los servidores públicos, en beneficio de éstos y de la administración pública municipal;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19. Supervisar el cumplimiento de los lineamientos y procedimientos para el funcionamiento y uso de la sala de lactancia de la administración pública municipal;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20. Supervisar el adecuado funcionamiento del consultorio médico de la administración pública municipal, a fin de ofrecer servicios de atención a la salud de las y los servidores públicos; así como promover pláticas de bienestar y salud para prevención de enfermedades; y </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21. Realizar todas aquellas actividades que sean inherentes y aplicables al área de su competencia.</w:t>
      </w:r>
    </w:p>
    <w:p w:rsidR="005C4DC7" w:rsidRPr="0098786D" w:rsidRDefault="005C4DC7">
      <w:pPr>
        <w:pBdr>
          <w:top w:val="nil"/>
          <w:left w:val="nil"/>
          <w:bottom w:val="nil"/>
          <w:right w:val="nil"/>
          <w:between w:val="nil"/>
        </w:pBdr>
        <w:spacing w:after="0" w:line="276" w:lineRule="auto"/>
        <w:ind w:left="709" w:right="474"/>
        <w:jc w:val="both"/>
        <w:rPr>
          <w:rFonts w:ascii="Palatino Linotype" w:eastAsia="Palatino Linotype" w:hAnsi="Palatino Linotype" w:cs="Palatino Linotype"/>
          <w:i/>
          <w:iCs/>
          <w:color w:val="000000"/>
          <w:sz w:val="24"/>
          <w:szCs w:val="24"/>
        </w:rPr>
      </w:pP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Ahora bien, respecto la temporalidad de la información solicitada, se advierta que versa respecto la actual administración, es decir, del primero de enero al veintidós de mayo de dos mil veinticinco.</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Precisado lo anterior, respecto de la información solicitada y la respuesta proporcionada por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se advierte lo siguiente:</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tbl>
      <w:tblPr>
        <w:tblStyle w:val="a"/>
        <w:tblW w:w="10107" w:type="dxa"/>
        <w:jc w:val="center"/>
        <w:tblInd w:w="0" w:type="dxa"/>
        <w:tblBorders>
          <w:top w:val="dashed" w:sz="4" w:space="0" w:color="000000"/>
          <w:left w:val="dashed" w:sz="4" w:space="0" w:color="000000"/>
          <w:bottom w:val="dashed" w:sz="4" w:space="0" w:color="000000"/>
          <w:right w:val="dashed" w:sz="4" w:space="0" w:color="000000"/>
          <w:insideH w:val="dashed" w:sz="4" w:space="0" w:color="000000"/>
          <w:insideV w:val="dashed" w:sz="4" w:space="0" w:color="000000"/>
        </w:tblBorders>
        <w:tblLayout w:type="fixed"/>
        <w:tblLook w:val="0400" w:firstRow="0" w:lastRow="0" w:firstColumn="0" w:lastColumn="0" w:noHBand="0" w:noVBand="1"/>
      </w:tblPr>
      <w:tblGrid>
        <w:gridCol w:w="2148"/>
        <w:gridCol w:w="2242"/>
        <w:gridCol w:w="2740"/>
        <w:gridCol w:w="2977"/>
      </w:tblGrid>
      <w:tr w:rsidR="005C4DC7" w:rsidRPr="0098786D" w:rsidTr="0098786D">
        <w:trPr>
          <w:jc w:val="center"/>
        </w:trPr>
        <w:tc>
          <w:tcPr>
            <w:tcW w:w="2148" w:type="dxa"/>
            <w:shd w:val="clear" w:color="auto" w:fill="EDEDED"/>
            <w:vAlign w:val="center"/>
          </w:tcPr>
          <w:p w:rsidR="005C4DC7" w:rsidRPr="0098786D" w:rsidRDefault="00936BF5">
            <w:pPr>
              <w:pBdr>
                <w:top w:val="nil"/>
                <w:left w:val="nil"/>
                <w:bottom w:val="nil"/>
                <w:right w:val="nil"/>
                <w:between w:val="nil"/>
              </w:pBdr>
              <w:ind w:right="-164"/>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Solicitud</w:t>
            </w:r>
          </w:p>
        </w:tc>
        <w:tc>
          <w:tcPr>
            <w:tcW w:w="2242" w:type="dxa"/>
            <w:shd w:val="clear" w:color="auto" w:fill="EDEDED"/>
            <w:vAlign w:val="center"/>
          </w:tcPr>
          <w:p w:rsidR="005C4DC7" w:rsidRPr="0098786D" w:rsidRDefault="00936BF5">
            <w:pPr>
              <w:pBdr>
                <w:top w:val="nil"/>
                <w:left w:val="nil"/>
                <w:bottom w:val="nil"/>
                <w:right w:val="nil"/>
                <w:between w:val="nil"/>
              </w:pBdr>
              <w:ind w:right="-84"/>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Respuesta</w:t>
            </w:r>
          </w:p>
        </w:tc>
        <w:tc>
          <w:tcPr>
            <w:tcW w:w="2740" w:type="dxa"/>
            <w:shd w:val="clear" w:color="auto" w:fill="EDEDED"/>
            <w:vAlign w:val="center"/>
          </w:tcPr>
          <w:p w:rsidR="005C4DC7" w:rsidRPr="0098786D" w:rsidRDefault="00936BF5">
            <w:pPr>
              <w:pBdr>
                <w:top w:val="nil"/>
                <w:left w:val="nil"/>
                <w:bottom w:val="nil"/>
                <w:right w:val="nil"/>
                <w:between w:val="nil"/>
              </w:pBdr>
              <w:ind w:right="-145"/>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Informe Justificado</w:t>
            </w:r>
          </w:p>
        </w:tc>
        <w:tc>
          <w:tcPr>
            <w:tcW w:w="2977" w:type="dxa"/>
            <w:shd w:val="clear" w:color="auto" w:fill="EDEDED"/>
            <w:vAlign w:val="center"/>
          </w:tcPr>
          <w:p w:rsidR="005C4DC7" w:rsidRPr="0098786D" w:rsidRDefault="00936BF5">
            <w:pPr>
              <w:pBdr>
                <w:top w:val="nil"/>
                <w:left w:val="nil"/>
                <w:bottom w:val="nil"/>
                <w:right w:val="nil"/>
                <w:between w:val="nil"/>
              </w:pBdr>
              <w:ind w:right="-64"/>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¿Colma?</w:t>
            </w:r>
          </w:p>
        </w:tc>
      </w:tr>
      <w:tr w:rsidR="005C4DC7" w:rsidRPr="0098786D" w:rsidTr="0098786D">
        <w:trPr>
          <w:jc w:val="center"/>
        </w:trPr>
        <w:tc>
          <w:tcPr>
            <w:tcW w:w="2148" w:type="dxa"/>
            <w:vAlign w:val="center"/>
          </w:tcPr>
          <w:p w:rsidR="005C4DC7" w:rsidRPr="0098786D" w:rsidRDefault="005C4DC7">
            <w:pPr>
              <w:pBdr>
                <w:top w:val="nil"/>
                <w:left w:val="nil"/>
                <w:bottom w:val="nil"/>
                <w:right w:val="nil"/>
                <w:between w:val="nil"/>
              </w:pBdr>
              <w:ind w:right="119"/>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ind w:right="119"/>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Todas las acta de conciliación efectuadas en su actual </w:t>
            </w:r>
          </w:p>
          <w:p w:rsidR="005C4DC7" w:rsidRPr="0098786D" w:rsidRDefault="005C4DC7">
            <w:pPr>
              <w:pBdr>
                <w:top w:val="nil"/>
                <w:left w:val="nil"/>
                <w:bottom w:val="nil"/>
                <w:right w:val="nil"/>
                <w:between w:val="nil"/>
              </w:pBdr>
              <w:ind w:right="119"/>
              <w:jc w:val="both"/>
              <w:rPr>
                <w:rFonts w:ascii="Palatino Linotype" w:eastAsia="Palatino Linotype" w:hAnsi="Palatino Linotype" w:cs="Palatino Linotype"/>
                <w:color w:val="000000"/>
                <w:sz w:val="24"/>
                <w:szCs w:val="24"/>
              </w:rPr>
            </w:pPr>
          </w:p>
        </w:tc>
        <w:tc>
          <w:tcPr>
            <w:tcW w:w="2242" w:type="dxa"/>
            <w:vAlign w:val="center"/>
          </w:tcPr>
          <w:p w:rsidR="005C4DC7" w:rsidRPr="0098786D" w:rsidRDefault="005C4DC7">
            <w:pPr>
              <w:pBdr>
                <w:top w:val="nil"/>
                <w:left w:val="nil"/>
                <w:bottom w:val="nil"/>
                <w:right w:val="nil"/>
                <w:between w:val="nil"/>
              </w:pBdr>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Se remitieron 20 expedientes de conciliación, </w:t>
            </w:r>
            <w:r w:rsidRPr="0098786D">
              <w:rPr>
                <w:rFonts w:ascii="Palatino Linotype" w:eastAsia="Palatino Linotype" w:hAnsi="Palatino Linotype" w:cs="Palatino Linotype"/>
                <w:color w:val="000000"/>
                <w:sz w:val="24"/>
                <w:szCs w:val="24"/>
              </w:rPr>
              <w:lastRenderedPageBreak/>
              <w:t>testados de manera incorrecta.</w:t>
            </w:r>
          </w:p>
          <w:p w:rsidR="005C4DC7" w:rsidRPr="0098786D" w:rsidRDefault="00936BF5">
            <w:pPr>
              <w:pBdr>
                <w:top w:val="nil"/>
                <w:left w:val="nil"/>
                <w:bottom w:val="nil"/>
                <w:right w:val="nil"/>
                <w:between w:val="nil"/>
              </w:pBdr>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 </w:t>
            </w:r>
          </w:p>
          <w:p w:rsidR="005C4DC7" w:rsidRPr="0098786D" w:rsidRDefault="00936BF5">
            <w:pPr>
              <w:pBdr>
                <w:top w:val="nil"/>
                <w:left w:val="nil"/>
                <w:bottom w:val="nil"/>
                <w:right w:val="nil"/>
                <w:between w:val="nil"/>
              </w:pBdr>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Listado de expedientes de la Oficialía número uno y número dos. </w:t>
            </w:r>
          </w:p>
        </w:tc>
        <w:tc>
          <w:tcPr>
            <w:tcW w:w="2740" w:type="dxa"/>
            <w:vAlign w:val="center"/>
          </w:tcPr>
          <w:p w:rsidR="005C4DC7" w:rsidRPr="0098786D" w:rsidRDefault="005C4DC7">
            <w:pPr>
              <w:pBdr>
                <w:top w:val="nil"/>
                <w:left w:val="nil"/>
                <w:bottom w:val="nil"/>
                <w:right w:val="nil"/>
                <w:between w:val="nil"/>
              </w:pBdr>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Sujeto Obligado ratifica su respuesta primigenia. </w:t>
            </w:r>
          </w:p>
        </w:tc>
        <w:tc>
          <w:tcPr>
            <w:tcW w:w="2977" w:type="dxa"/>
            <w:vAlign w:val="center"/>
          </w:tcPr>
          <w:p w:rsidR="005C4DC7" w:rsidRPr="0098786D" w:rsidRDefault="005C4DC7">
            <w:pPr>
              <w:pBdr>
                <w:top w:val="nil"/>
                <w:left w:val="nil"/>
                <w:bottom w:val="nil"/>
                <w:right w:val="nil"/>
                <w:between w:val="nil"/>
              </w:pBdr>
              <w:spacing w:line="360" w:lineRule="auto"/>
              <w:ind w:right="-64"/>
              <w:jc w:val="center"/>
              <w:rPr>
                <w:rFonts w:ascii="Palatino Linotype" w:eastAsia="Palatino Linotype" w:hAnsi="Palatino Linotype" w:cs="Palatino Linotype"/>
                <w:b/>
                <w:bCs/>
                <w:color w:val="000000"/>
                <w:sz w:val="24"/>
                <w:szCs w:val="24"/>
              </w:rPr>
            </w:pPr>
          </w:p>
          <w:p w:rsidR="005C4DC7" w:rsidRPr="0098786D" w:rsidRDefault="00936BF5">
            <w:pPr>
              <w:pBdr>
                <w:top w:val="nil"/>
                <w:left w:val="nil"/>
                <w:bottom w:val="nil"/>
                <w:right w:val="nil"/>
                <w:between w:val="nil"/>
              </w:pBdr>
              <w:spacing w:line="360" w:lineRule="auto"/>
              <w:ind w:right="-64"/>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NO</w:t>
            </w:r>
          </w:p>
          <w:p w:rsidR="005C4DC7" w:rsidRPr="0098786D" w:rsidRDefault="005C4DC7">
            <w:pPr>
              <w:pBdr>
                <w:top w:val="nil"/>
                <w:left w:val="nil"/>
                <w:bottom w:val="nil"/>
                <w:right w:val="nil"/>
                <w:between w:val="nil"/>
              </w:pBdr>
              <w:spacing w:line="360" w:lineRule="auto"/>
              <w:ind w:right="-64"/>
              <w:jc w:val="center"/>
              <w:rPr>
                <w:rFonts w:ascii="Palatino Linotype" w:eastAsia="Palatino Linotype" w:hAnsi="Palatino Linotype" w:cs="Palatino Linotype"/>
                <w:b/>
                <w:bCs/>
                <w:color w:val="000000"/>
                <w:sz w:val="24"/>
                <w:szCs w:val="24"/>
              </w:rPr>
            </w:pPr>
          </w:p>
          <w:p w:rsidR="005C4DC7" w:rsidRPr="0098786D" w:rsidRDefault="00936BF5">
            <w:pPr>
              <w:pBdr>
                <w:top w:val="nil"/>
                <w:left w:val="nil"/>
                <w:bottom w:val="nil"/>
                <w:right w:val="nil"/>
                <w:between w:val="nil"/>
              </w:pBdr>
              <w:ind w:right="-6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La información se observa incompleta, ya que se remitió información únicamente de los meses de enero, febrero y marzo de dos mil veinticinco.</w:t>
            </w:r>
          </w:p>
          <w:p w:rsidR="005C4DC7" w:rsidRPr="0098786D" w:rsidRDefault="005C4DC7">
            <w:pPr>
              <w:pBdr>
                <w:top w:val="nil"/>
                <w:left w:val="nil"/>
                <w:bottom w:val="nil"/>
                <w:right w:val="nil"/>
                <w:between w:val="nil"/>
              </w:pBdr>
              <w:ind w:right="-64"/>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ind w:right="-6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Se remitió en incorrecta versión pública. </w:t>
            </w:r>
          </w:p>
          <w:p w:rsidR="005C4DC7" w:rsidRPr="0098786D" w:rsidRDefault="005C4DC7">
            <w:pPr>
              <w:pBdr>
                <w:top w:val="nil"/>
                <w:left w:val="nil"/>
                <w:bottom w:val="nil"/>
                <w:right w:val="nil"/>
                <w:between w:val="nil"/>
              </w:pBdr>
              <w:ind w:right="-64"/>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ind w:right="-6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No se remitió el acuerdo de clasificación de la información remitida.</w:t>
            </w:r>
          </w:p>
          <w:p w:rsidR="005C4DC7" w:rsidRPr="0098786D" w:rsidRDefault="005C4DC7">
            <w:pPr>
              <w:pBdr>
                <w:top w:val="nil"/>
                <w:left w:val="nil"/>
                <w:bottom w:val="nil"/>
                <w:right w:val="nil"/>
                <w:between w:val="nil"/>
              </w:pBdr>
              <w:ind w:right="-64"/>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ind w:right="-6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Se envió un listado en donde se enlistaron los expedientes, sin embargo, las actas de conciliación remitidas, no se advierten dentro de dicha relación.  </w:t>
            </w:r>
          </w:p>
          <w:p w:rsidR="005C4DC7" w:rsidRPr="0098786D" w:rsidRDefault="005C4DC7">
            <w:pPr>
              <w:pBdr>
                <w:top w:val="nil"/>
                <w:left w:val="nil"/>
                <w:bottom w:val="nil"/>
                <w:right w:val="nil"/>
                <w:between w:val="nil"/>
              </w:pBdr>
              <w:spacing w:line="360" w:lineRule="auto"/>
              <w:ind w:right="-518"/>
              <w:jc w:val="center"/>
              <w:rPr>
                <w:rFonts w:ascii="Palatino Linotype" w:eastAsia="Palatino Linotype" w:hAnsi="Palatino Linotype" w:cs="Palatino Linotype"/>
                <w:b/>
                <w:bCs/>
                <w:color w:val="000000"/>
                <w:sz w:val="24"/>
                <w:szCs w:val="24"/>
              </w:rPr>
            </w:pPr>
          </w:p>
        </w:tc>
      </w:tr>
      <w:tr w:rsidR="005C4DC7" w:rsidRPr="0098786D" w:rsidTr="0098786D">
        <w:trPr>
          <w:jc w:val="center"/>
        </w:trPr>
        <w:tc>
          <w:tcPr>
            <w:tcW w:w="2148" w:type="dxa"/>
            <w:vAlign w:val="center"/>
          </w:tcPr>
          <w:p w:rsidR="005C4DC7" w:rsidRPr="0098786D" w:rsidRDefault="005C4DC7">
            <w:pPr>
              <w:pBdr>
                <w:top w:val="nil"/>
                <w:left w:val="nil"/>
                <w:bottom w:val="nil"/>
                <w:right w:val="nil"/>
                <w:between w:val="nil"/>
              </w:pBdr>
              <w:ind w:right="119"/>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ind w:right="119"/>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nombre y expediente de los mediadores de su administración</w:t>
            </w:r>
          </w:p>
          <w:p w:rsidR="005C4DC7" w:rsidRPr="0098786D" w:rsidRDefault="005C4DC7">
            <w:pPr>
              <w:pBdr>
                <w:top w:val="nil"/>
                <w:left w:val="nil"/>
                <w:bottom w:val="nil"/>
                <w:right w:val="nil"/>
                <w:between w:val="nil"/>
              </w:pBdr>
              <w:ind w:right="119"/>
              <w:jc w:val="both"/>
              <w:rPr>
                <w:rFonts w:ascii="Palatino Linotype" w:eastAsia="Palatino Linotype" w:hAnsi="Palatino Linotype" w:cs="Palatino Linotype"/>
                <w:color w:val="000000"/>
                <w:sz w:val="24"/>
                <w:szCs w:val="24"/>
              </w:rPr>
            </w:pPr>
          </w:p>
        </w:tc>
        <w:tc>
          <w:tcPr>
            <w:tcW w:w="2242" w:type="dxa"/>
            <w:vAlign w:val="center"/>
          </w:tcPr>
          <w:p w:rsidR="005C4DC7" w:rsidRPr="0098786D" w:rsidRDefault="005C4DC7">
            <w:pPr>
              <w:pBdr>
                <w:top w:val="nil"/>
                <w:left w:val="nil"/>
                <w:bottom w:val="nil"/>
                <w:right w:val="nil"/>
                <w:between w:val="nil"/>
              </w:pBdr>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Dentro de la relación de los expedientes remitidos en respuesta se observa el nombre de los Mediadores. </w:t>
            </w:r>
          </w:p>
          <w:p w:rsidR="005C4DC7" w:rsidRPr="0098786D" w:rsidRDefault="005C4DC7">
            <w:pPr>
              <w:pBdr>
                <w:top w:val="nil"/>
                <w:left w:val="nil"/>
                <w:bottom w:val="nil"/>
                <w:right w:val="nil"/>
                <w:between w:val="nil"/>
              </w:pBdr>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Respecto los expedientes no existió pronunciamiento</w:t>
            </w:r>
          </w:p>
        </w:tc>
        <w:tc>
          <w:tcPr>
            <w:tcW w:w="2740" w:type="dxa"/>
            <w:vAlign w:val="center"/>
          </w:tcPr>
          <w:p w:rsidR="005C4DC7" w:rsidRPr="0098786D" w:rsidRDefault="005C4DC7">
            <w:pPr>
              <w:pBdr>
                <w:top w:val="nil"/>
                <w:left w:val="nil"/>
                <w:bottom w:val="nil"/>
                <w:right w:val="nil"/>
                <w:between w:val="nil"/>
              </w:pBdr>
              <w:ind w:right="11"/>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ind w:right="1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El Servidor Público Habilitado de la Consejería Jurídica informo que lo solicitado no se encuentra dentro de sus facultades y/o atribuciones.</w:t>
            </w:r>
          </w:p>
        </w:tc>
        <w:tc>
          <w:tcPr>
            <w:tcW w:w="2977" w:type="dxa"/>
            <w:vAlign w:val="center"/>
          </w:tcPr>
          <w:p w:rsidR="005C4DC7" w:rsidRPr="0098786D" w:rsidRDefault="00936BF5">
            <w:pPr>
              <w:pBdr>
                <w:top w:val="nil"/>
                <w:left w:val="nil"/>
                <w:bottom w:val="nil"/>
                <w:right w:val="nil"/>
                <w:between w:val="nil"/>
              </w:pBdr>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b/>
                <w:bCs/>
                <w:color w:val="000000"/>
                <w:sz w:val="24"/>
                <w:szCs w:val="24"/>
              </w:rPr>
              <w:t xml:space="preserve">Parcialmente, </w:t>
            </w:r>
            <w:r w:rsidRPr="0098786D">
              <w:rPr>
                <w:rFonts w:ascii="Palatino Linotype" w:eastAsia="Palatino Linotype" w:hAnsi="Palatino Linotype" w:cs="Palatino Linotype"/>
                <w:color w:val="000000"/>
                <w:sz w:val="24"/>
                <w:szCs w:val="24"/>
              </w:rPr>
              <w:t xml:space="preserve">ya que no turno la solicitud de información a las áreas que pudieran generar, poseer y/o administrar la información solicitada. </w:t>
            </w:r>
          </w:p>
        </w:tc>
      </w:tr>
    </w:tbl>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 xml:space="preserve">De lo anterior se advierte que no se puede tener por colmada en su totalidad la solicitud de información que nos ocupa, ya que como quedo referido, respecto las actas de conciliación, no se advierte que estas se hayan remitido de manera completa y correcta, aunado a que existe incongruencia entre la relación enviada y las actas de conciliación, sin soslayar que no se atendió a la totalidad de la temporalidad solicitada. </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No pasa desapercibido por este Órgano Resolutor que,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al momento de dar contestación a la solicitud de información, remitió las actas de conciliación con datos testados, sin embargo, de las constancias que obran dentro del recurso que nos ocupa, no se desprende que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haya entregado al momento de rendir su respuesta o bien en la etapa de manifestaciones, el Acuerdo del Comité de Transparencia con las formalidades legales  que justifiquen la clasificación de la información que se considera como confidencial y que sustente la entrega en versión publica de la información proporcionada.</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Dicho lo anterior, resulta necesario traer a colación lo estipulado por los Lineamientos Generales de Clasificación y Desclasificación de la Información, así como para la elaboración de Versiones Públicas.</w:t>
      </w:r>
    </w:p>
    <w:p w:rsidR="005C4DC7" w:rsidRPr="0098786D" w:rsidRDefault="00936BF5">
      <w:pPr>
        <w:tabs>
          <w:tab w:val="left" w:pos="284"/>
        </w:tabs>
        <w:spacing w:after="240"/>
        <w:ind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sz w:val="24"/>
          <w:szCs w:val="24"/>
        </w:rPr>
        <w:tab/>
      </w:r>
      <w:r w:rsidRPr="0098786D">
        <w:rPr>
          <w:rFonts w:ascii="Palatino Linotype" w:eastAsia="Palatino Linotype" w:hAnsi="Palatino Linotype" w:cs="Palatino Linotype"/>
          <w:sz w:val="24"/>
          <w:szCs w:val="24"/>
        </w:rPr>
        <w:tab/>
        <w:t xml:space="preserve">   “</w:t>
      </w:r>
      <w:r w:rsidRPr="0098786D">
        <w:rPr>
          <w:rFonts w:ascii="Palatino Linotype" w:eastAsia="Palatino Linotype" w:hAnsi="Palatino Linotype" w:cs="Palatino Linotype"/>
          <w:b/>
          <w:bCs/>
          <w:i/>
          <w:iCs/>
          <w:sz w:val="24"/>
          <w:szCs w:val="24"/>
        </w:rPr>
        <w:t>CAPÍTULO VI</w:t>
      </w:r>
    </w:p>
    <w:p w:rsidR="005C4DC7" w:rsidRPr="0098786D" w:rsidRDefault="00936BF5">
      <w:pPr>
        <w:tabs>
          <w:tab w:val="left" w:pos="284"/>
        </w:tabs>
        <w:spacing w:after="240"/>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 xml:space="preserve">DE LA INFORMACIÓN CONFIDENCIAL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Trigésimo octavo.</w:t>
      </w:r>
      <w:r w:rsidRPr="0098786D">
        <w:rPr>
          <w:rFonts w:ascii="Palatino Linotype" w:eastAsia="Palatino Linotype" w:hAnsi="Palatino Linotype" w:cs="Palatino Linotype"/>
          <w:i/>
          <w:iCs/>
          <w:sz w:val="24"/>
          <w:szCs w:val="24"/>
        </w:rPr>
        <w:t xml:space="preserve"> Se considera susceptible de clasificarse como información confidencial: (Primer párrafo modificado mediante Acuerdo del Consejo Nacional DOF 18 de noviembre de 2022)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lastRenderedPageBreak/>
        <w:t xml:space="preserve">I. Los datos personales, entendidos como cualquier información concerniente a una persona física identificada o identificable, en términos de la norma aplicable que, de manera enunciativa más no limitativa, se pueden identificar de acuerdo a las siguientes categorías: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1. </w:t>
      </w:r>
      <w:r w:rsidRPr="0098786D">
        <w:rPr>
          <w:rFonts w:ascii="Palatino Linotype" w:eastAsia="Palatino Linotype" w:hAnsi="Palatino Linotype" w:cs="Palatino Linotype"/>
          <w:b/>
          <w:bCs/>
          <w:i/>
          <w:iCs/>
          <w:sz w:val="24"/>
          <w:szCs w:val="24"/>
        </w:rPr>
        <w:t>Datos identificativos: El nombre, alias, pseudónimo, domicilio, código postal, teléfono particular, sexo, estado civil, teléfono celular, firma, clave de Registro Federal de Contribuyentes (RFC), Clave Única de Registro de Población (CURP), Clave de Elector, Matrícula del Servicio Militar Nacional, número de pasaporte, lugar y fecha de nacimiento, nacionalidad, edad, fotografía, localidad y sección electoral, y análogos.</w:t>
      </w:r>
      <w:r w:rsidRPr="0098786D">
        <w:rPr>
          <w:rFonts w:ascii="Palatino Linotype" w:eastAsia="Palatino Linotype" w:hAnsi="Palatino Linotype" w:cs="Palatino Linotype"/>
          <w:i/>
          <w:iCs/>
          <w:sz w:val="24"/>
          <w:szCs w:val="24"/>
        </w:rPr>
        <w:t xml:space="preserve">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 </w:t>
      </w:r>
    </w:p>
    <w:p w:rsidR="005C4DC7" w:rsidRPr="0098786D" w:rsidRDefault="00936BF5">
      <w:pPr>
        <w:tabs>
          <w:tab w:val="left" w:pos="284"/>
        </w:tabs>
        <w:spacing w:after="240"/>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5. Datos Laborales: Número de seguridad social, documentos de reclutamiento o selección, nombramiento, incidencia, capacitación, actividades extracurriculares, referencias laborales, referencias personales, solicitud de empleo, hoja de servicio, y análogos.</w:t>
      </w:r>
    </w:p>
    <w:p w:rsidR="005C4DC7" w:rsidRPr="0098786D" w:rsidRDefault="00936BF5">
      <w:pPr>
        <w:tabs>
          <w:tab w:val="left" w:pos="284"/>
        </w:tabs>
        <w:spacing w:after="240"/>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w:t>
      </w:r>
    </w:p>
    <w:p w:rsidR="005C4DC7" w:rsidRPr="0098786D" w:rsidRDefault="00936BF5">
      <w:pPr>
        <w:tabs>
          <w:tab w:val="left" w:pos="284"/>
        </w:tabs>
        <w:spacing w:after="240"/>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 xml:space="preserve">9. Datos de tránsito y movimientos migratorios: Información relativa al tránsito de las personas dentro y fuera del país, así como información migratoria, cédula migratoria, visa, pasaporte. </w:t>
      </w:r>
    </w:p>
    <w:p w:rsidR="005C4DC7" w:rsidRPr="0098786D" w:rsidRDefault="00936BF5">
      <w:pPr>
        <w:tabs>
          <w:tab w:val="left" w:pos="284"/>
        </w:tabs>
        <w:spacing w:after="240"/>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10. Datos electrónicos: Firma electrónica, dirección de correo electrónico, código QR”</w:t>
      </w:r>
    </w:p>
    <w:p w:rsidR="005C4DC7" w:rsidRPr="0098786D" w:rsidRDefault="005C4DC7">
      <w:pPr>
        <w:tabs>
          <w:tab w:val="left" w:pos="284"/>
        </w:tabs>
        <w:spacing w:after="240"/>
        <w:ind w:left="851" w:right="616"/>
        <w:jc w:val="both"/>
        <w:rPr>
          <w:rFonts w:ascii="Palatino Linotype" w:eastAsia="Palatino Linotype" w:hAnsi="Palatino Linotype" w:cs="Palatino Linotype"/>
          <w:b/>
          <w:bCs/>
          <w:i/>
          <w:iCs/>
          <w:sz w:val="24"/>
          <w:szCs w:val="24"/>
        </w:rPr>
      </w:pPr>
    </w:p>
    <w:p w:rsidR="005C4DC7" w:rsidRPr="0098786D" w:rsidRDefault="00936BF5">
      <w:pPr>
        <w:tabs>
          <w:tab w:val="left" w:pos="284"/>
        </w:tabs>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“CAPÍTULO VIII</w:t>
      </w:r>
    </w:p>
    <w:p w:rsidR="005C4DC7" w:rsidRPr="0098786D" w:rsidRDefault="00936BF5">
      <w:pPr>
        <w:tabs>
          <w:tab w:val="left" w:pos="284"/>
        </w:tabs>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 xml:space="preserve">DE LOS ELEMENTOS PARA LA CLASIFICACIÓN </w:t>
      </w:r>
    </w:p>
    <w:p w:rsidR="005C4DC7" w:rsidRPr="0098786D" w:rsidRDefault="00936BF5">
      <w:pPr>
        <w:tabs>
          <w:tab w:val="left" w:pos="284"/>
        </w:tabs>
        <w:ind w:left="851" w:right="616"/>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 xml:space="preserve">(Epígrafe modificado mediante Acuerdo del Consejo Nacional DOF 18 de noviembre de 2022) </w:t>
      </w:r>
    </w:p>
    <w:p w:rsidR="005C4DC7" w:rsidRPr="0098786D" w:rsidRDefault="005C4DC7">
      <w:pPr>
        <w:tabs>
          <w:tab w:val="left" w:pos="284"/>
        </w:tabs>
        <w:ind w:left="851" w:right="616"/>
        <w:jc w:val="both"/>
        <w:rPr>
          <w:rFonts w:ascii="Palatino Linotype" w:eastAsia="Palatino Linotype" w:hAnsi="Palatino Linotype" w:cs="Palatino Linotype"/>
          <w:b/>
          <w:bCs/>
          <w:i/>
          <w:iCs/>
          <w:sz w:val="24"/>
          <w:szCs w:val="24"/>
        </w:rPr>
      </w:pP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lastRenderedPageBreak/>
        <w:t>Quincuagésimo.</w:t>
      </w:r>
      <w:r w:rsidRPr="0098786D">
        <w:rPr>
          <w:rFonts w:ascii="Palatino Linotype" w:eastAsia="Palatino Linotype" w:hAnsi="Palatino Linotype" w:cs="Palatino Linotype"/>
          <w:i/>
          <w:iCs/>
          <w:sz w:val="24"/>
          <w:szCs w:val="24"/>
        </w:rPr>
        <w:t xml:space="preserve"> Los titulares de las áreas de los sujetos obligados podrán establecer sus propios modelos o formatos para la elaboración de versiones públicas de documentos o expedientes, siempre y cuando cumplan Io establecido en los presentes Lineamientos, así como en las correspondientes Leyes Generales. (Lineamiento modificado mediante Acuerdo del Consejo Nacional DOF 18 de noviembre de 2022)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 xml:space="preserve">Quincuagésimo primero. </w:t>
      </w:r>
      <w:r w:rsidRPr="0098786D">
        <w:rPr>
          <w:rFonts w:ascii="Palatino Linotype" w:eastAsia="Palatino Linotype" w:hAnsi="Palatino Linotype" w:cs="Palatino Linotype"/>
          <w:i/>
          <w:iCs/>
          <w:sz w:val="24"/>
          <w:szCs w:val="24"/>
        </w:rPr>
        <w:t xml:space="preserve">Toda acta del Comité de Transparencia deberá contener: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l.</w:t>
      </w:r>
      <w:r w:rsidRPr="0098786D">
        <w:rPr>
          <w:rFonts w:ascii="Palatino Linotype" w:eastAsia="Palatino Linotype" w:hAnsi="Palatino Linotype" w:cs="Palatino Linotype"/>
          <w:i/>
          <w:iCs/>
          <w:sz w:val="24"/>
          <w:szCs w:val="24"/>
        </w:rPr>
        <w:t xml:space="preserve"> El número de sesión y fecha;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ll.</w:t>
      </w:r>
      <w:r w:rsidRPr="0098786D">
        <w:rPr>
          <w:rFonts w:ascii="Palatino Linotype" w:eastAsia="Palatino Linotype" w:hAnsi="Palatino Linotype" w:cs="Palatino Linotype"/>
          <w:i/>
          <w:iCs/>
          <w:sz w:val="24"/>
          <w:szCs w:val="24"/>
        </w:rPr>
        <w:t xml:space="preserve"> El nombre del área que solicitó la clasificación de información;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III.</w:t>
      </w:r>
      <w:r w:rsidRPr="0098786D">
        <w:rPr>
          <w:rFonts w:ascii="Palatino Linotype" w:eastAsia="Palatino Linotype" w:hAnsi="Palatino Linotype" w:cs="Palatino Linotype"/>
          <w:i/>
          <w:iCs/>
          <w:sz w:val="24"/>
          <w:szCs w:val="24"/>
        </w:rPr>
        <w:t xml:space="preserve"> La fundamentación legal y motivación correspondiente;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IV</w:t>
      </w:r>
      <w:r w:rsidRPr="0098786D">
        <w:rPr>
          <w:rFonts w:ascii="Palatino Linotype" w:eastAsia="Palatino Linotype" w:hAnsi="Palatino Linotype" w:cs="Palatino Linotype"/>
          <w:i/>
          <w:iCs/>
          <w:sz w:val="24"/>
          <w:szCs w:val="24"/>
        </w:rPr>
        <w:t xml:space="preserve">. La resolución o resoluciones aprobadas; y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V.</w:t>
      </w:r>
      <w:r w:rsidRPr="0098786D">
        <w:rPr>
          <w:rFonts w:ascii="Palatino Linotype" w:eastAsia="Palatino Linotype" w:hAnsi="Palatino Linotype" w:cs="Palatino Linotype"/>
          <w:i/>
          <w:iCs/>
          <w:sz w:val="24"/>
          <w:szCs w:val="24"/>
        </w:rPr>
        <w:t xml:space="preserve"> La rúbrica o firma digital de cada integrante del Comité de Transparencia.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Las resoluciones del Comité en las que se haya determinado confirmar o modificar la clasificación de información pública como reservada, deberán incluir, cuando menos: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l.</w:t>
      </w:r>
      <w:r w:rsidRPr="0098786D">
        <w:rPr>
          <w:rFonts w:ascii="Palatino Linotype" w:eastAsia="Palatino Linotype" w:hAnsi="Palatino Linotype" w:cs="Palatino Linotype"/>
          <w:i/>
          <w:iCs/>
          <w:sz w:val="24"/>
          <w:szCs w:val="24"/>
        </w:rPr>
        <w:t xml:space="preserve"> Los motivos y razonamientos que sustenten la confirmación o modificación de la prueba de daño;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ll.</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u w:val="single"/>
        </w:rPr>
        <w:t>Descripción de las partes o secciones reservadas</w:t>
      </w:r>
      <w:r w:rsidRPr="0098786D">
        <w:rPr>
          <w:rFonts w:ascii="Palatino Linotype" w:eastAsia="Palatino Linotype" w:hAnsi="Palatino Linotype" w:cs="Palatino Linotype"/>
          <w:i/>
          <w:iCs/>
          <w:sz w:val="24"/>
          <w:szCs w:val="24"/>
        </w:rPr>
        <w:t>, en caso de clasificación parcial;</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 xml:space="preserve"> III.</w:t>
      </w:r>
      <w:r w:rsidRPr="0098786D">
        <w:rPr>
          <w:rFonts w:ascii="Palatino Linotype" w:eastAsia="Palatino Linotype" w:hAnsi="Palatino Linotype" w:cs="Palatino Linotype"/>
          <w:i/>
          <w:iCs/>
          <w:sz w:val="24"/>
          <w:szCs w:val="24"/>
        </w:rPr>
        <w:t xml:space="preserve"> El periodo por el que mantendrá su clasificación y fecha de expiración; y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IV.</w:t>
      </w:r>
      <w:r w:rsidRPr="0098786D">
        <w:rPr>
          <w:rFonts w:ascii="Palatino Linotype" w:eastAsia="Palatino Linotype" w:hAnsi="Palatino Linotype" w:cs="Palatino Linotype"/>
          <w:i/>
          <w:iCs/>
          <w:sz w:val="24"/>
          <w:szCs w:val="24"/>
        </w:rPr>
        <w:t xml:space="preserve"> El nombre del titular y área encargada de realizar la versión pública del documento, en su caso.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ab/>
        <w:t>En los casos en que se clasifique la información como reservada siempre se entregará o anexará la prueba de daño con la respuesta al solicitante.</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lastRenderedPageBreak/>
        <w:tab/>
        <w:t>En los casos de resoluciones del Comité de Transparencia en las que se confirme la clasificación de información confidencial solo se deberán de identificar los tipos de datos protegidos, de conformidad con el lineamiento trigésimo octavo. (Lineamiento modificado mediante Acuerdo del Consejo Nacional DOF 18 de noviembre de 2022)</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Quincuagésimo segundo</w:t>
      </w:r>
      <w:r w:rsidRPr="0098786D">
        <w:rPr>
          <w:rFonts w:ascii="Palatino Linotype" w:eastAsia="Palatino Linotype" w:hAnsi="Palatino Linotype" w:cs="Palatino Linotype"/>
          <w:i/>
          <w:iCs/>
          <w:sz w:val="24"/>
          <w:szCs w:val="24"/>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ab/>
      </w:r>
      <w:r w:rsidRPr="0098786D">
        <w:rPr>
          <w:rFonts w:ascii="Palatino Linotype" w:eastAsia="Palatino Linotype" w:hAnsi="Palatino Linotype" w:cs="Palatino Linotype"/>
          <w:i/>
          <w:iCs/>
          <w:sz w:val="24"/>
          <w:szCs w:val="24"/>
        </w:rPr>
        <w:t xml:space="preserve">En el caso específico de la clasificación y elaboración de versiones públicas de documentos que contengan información confidencial, las áreas de los sujetos obligados deberán: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I</w:t>
      </w:r>
      <w:r w:rsidRPr="0098786D">
        <w:rPr>
          <w:rFonts w:ascii="Palatino Linotype" w:eastAsia="Palatino Linotype" w:hAnsi="Palatino Linotype" w:cs="Palatino Linotype"/>
          <w:i/>
          <w:iCs/>
          <w:sz w:val="24"/>
          <w:szCs w:val="24"/>
        </w:rPr>
        <w:t xml:space="preserve">. Fijar la fecha en que se elaboró la versión pública y la fecha en la cual el Comité de Transparencia confirmó dicha versión;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ll.</w:t>
      </w:r>
      <w:r w:rsidRPr="0098786D">
        <w:rPr>
          <w:rFonts w:ascii="Palatino Linotype" w:eastAsia="Palatino Linotype" w:hAnsi="Palatino Linotype" w:cs="Palatino Linotype"/>
          <w:i/>
          <w:iCs/>
          <w:sz w:val="24"/>
          <w:szCs w:val="24"/>
        </w:rPr>
        <w:t xml:space="preserve"> Señalar dentro del documento el tipo de información confidencial que fue testada en cada caso específico, de conformidad con el lineamiento trigésimo octavo; y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III.</w:t>
      </w:r>
      <w:r w:rsidRPr="0098786D">
        <w:rPr>
          <w:rFonts w:ascii="Palatino Linotype" w:eastAsia="Palatino Linotype" w:hAnsi="Palatino Linotype" w:cs="Palatino Linotype"/>
          <w:i/>
          <w:iCs/>
          <w:sz w:val="24"/>
          <w:szCs w:val="24"/>
        </w:rPr>
        <w:t xml:space="preserve"> Señalar las personas o instancias autorizadas a acceder a la información clasificada.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En los documentos de difusión electrónica, señalar en la primera hoja y en el nombre del archivo, que la versión pública corresponde a un documento que contiene información confidencial. (Lineamiento modificado mediante Acuerdo del Consejo Nacional DOF 18 de noviembre de 2022)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Quincuagésimo tercero</w:t>
      </w:r>
      <w:r w:rsidRPr="0098786D">
        <w:rPr>
          <w:rFonts w:ascii="Palatino Linotype" w:eastAsia="Palatino Linotype" w:hAnsi="Palatino Linotype" w:cs="Palatino Linotype"/>
          <w:i/>
          <w:iCs/>
          <w:sz w:val="24"/>
          <w:szCs w:val="24"/>
        </w:rPr>
        <w:t>. El formato para señalar la clasificación de un documento o expediente que contenga información reservada, es el siguiente: (Párrafo primero modificado mediante Acuerdo del Consejo Nacional DOF 18 de noviembre de 2022)</w:t>
      </w:r>
    </w:p>
    <w:p w:rsidR="005C4DC7" w:rsidRPr="0098786D" w:rsidRDefault="00936BF5">
      <w:pPr>
        <w:tabs>
          <w:tab w:val="left" w:pos="284"/>
        </w:tabs>
        <w:spacing w:after="240"/>
        <w:ind w:left="851" w:right="616"/>
        <w:jc w:val="center"/>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noProof/>
          <w:sz w:val="24"/>
          <w:szCs w:val="24"/>
        </w:rPr>
        <w:lastRenderedPageBreak/>
        <w:drawing>
          <wp:inline distT="0" distB="0" distL="0" distR="0">
            <wp:extent cx="4724400" cy="269557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724400" cy="2695575"/>
                    </a:xfrm>
                    <a:prstGeom prst="rect">
                      <a:avLst/>
                    </a:prstGeom>
                    <a:ln/>
                  </pic:spPr>
                </pic:pic>
              </a:graphicData>
            </a:graphic>
          </wp:inline>
        </w:drawing>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ab/>
        <w:t xml:space="preserve">Los documentos que integren un expediente reservado en su totalidad no deberán marcarse en lo individual. (Párrafo segundo adicionado mediante Acuerdo del Consejo Nacional DOF 18 de noviembre de 2022)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ab/>
        <w:t>Una vez desclasificados los expedientes, si existieren documentos que tuvieran el carácter de reservados deberán permanecer o ser marcados. (Párrafo tercero adicionado mediante Acuerdo del Consejo Nacional DOF 18 de noviembre de 2022)</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ab/>
        <w:t xml:space="preserve"> </w:t>
      </w:r>
      <w:r w:rsidRPr="0098786D">
        <w:rPr>
          <w:rFonts w:ascii="Palatino Linotype" w:eastAsia="Palatino Linotype" w:hAnsi="Palatino Linotype" w:cs="Palatino Linotype"/>
          <w:b/>
          <w:bCs/>
          <w:i/>
          <w:iCs/>
          <w:sz w:val="24"/>
          <w:szCs w:val="24"/>
        </w:rPr>
        <w:t>Quincuagésimo cuarto</w:t>
      </w:r>
      <w:r w:rsidRPr="0098786D">
        <w:rPr>
          <w:rFonts w:ascii="Palatino Linotype" w:eastAsia="Palatino Linotype" w:hAnsi="Palatino Linotype" w:cs="Palatino Linotype"/>
          <w:i/>
          <w:iCs/>
          <w:sz w:val="24"/>
          <w:szCs w:val="24"/>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(Lineamiento modificado mediante Acuerdo del Consejo Nacional DOF 18 de noviembre de 2022) </w:t>
      </w:r>
    </w:p>
    <w:p w:rsidR="005C4DC7" w:rsidRPr="0098786D" w:rsidRDefault="00936BF5">
      <w:pPr>
        <w:tabs>
          <w:tab w:val="left" w:pos="284"/>
        </w:tabs>
        <w:spacing w:after="240"/>
        <w:ind w:left="851" w:right="616"/>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ab/>
        <w:t>Quincuagésimo quinto.</w:t>
      </w:r>
      <w:r w:rsidRPr="0098786D">
        <w:rPr>
          <w:rFonts w:ascii="Palatino Linotype" w:eastAsia="Palatino Linotype" w:hAnsi="Palatino Linotype" w:cs="Palatino Linotype"/>
          <w:i/>
          <w:iCs/>
          <w:sz w:val="24"/>
          <w:szCs w:val="24"/>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w:t>
      </w:r>
      <w:r w:rsidRPr="0098786D">
        <w:rPr>
          <w:rFonts w:ascii="Palatino Linotype" w:eastAsia="Palatino Linotype" w:hAnsi="Palatino Linotype" w:cs="Palatino Linotype"/>
          <w:i/>
          <w:iCs/>
          <w:sz w:val="24"/>
          <w:szCs w:val="24"/>
        </w:rPr>
        <w:lastRenderedPageBreak/>
        <w:t>aplicable antes de su confirmación por el Comité de Transparencia. (Lineamiento modificado mediante Acuerdo del Consejo Nacional DOF 18 de noviembre de 2022)”</w:t>
      </w:r>
    </w:p>
    <w:p w:rsidR="0098786D" w:rsidRPr="0098786D" w:rsidRDefault="0098786D" w:rsidP="0098786D">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Por lo que hace a los nombres y expedientes de los conciliadores, si bien es cierto,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 no informo expresamente los nombres de los mediadores, los mismos obran dentro de la relación de expedientes remitida, por lo que se considera que el rubro se tiene por colmado.</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Asimismo, de acuerdo al IPOMEX, se observa que el Ayuntamiento de Toluca cuenta con dos Oficialías Mediadoras, como se muestra a continuación:</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noProof/>
          <w:color w:val="000000"/>
          <w:sz w:val="24"/>
          <w:szCs w:val="24"/>
        </w:rPr>
        <w:drawing>
          <wp:inline distT="0" distB="0" distL="0" distR="0">
            <wp:extent cx="3753374" cy="685896"/>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753374" cy="685896"/>
                    </a:xfrm>
                    <a:prstGeom prst="rect">
                      <a:avLst/>
                    </a:prstGeom>
                    <a:ln/>
                  </pic:spPr>
                </pic:pic>
              </a:graphicData>
            </a:graphic>
          </wp:inline>
        </w:drawing>
      </w: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En relación a los expedientes, como ya se refirió en líneas anteriores, el área encargada de generar, poseer y/o administrar la información solicitada es la Dirección de Administración a través de la Dirección de Recursos Humanos, sin embargo, de las constancias que obran en el expediente electrónico en que se actúa, no se realizó el requerimiento al área correspondiente, como se muestra a continuación:</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spacing w:after="0" w:line="360" w:lineRule="auto"/>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noProof/>
          <w:sz w:val="24"/>
          <w:szCs w:val="24"/>
        </w:rPr>
        <w:drawing>
          <wp:inline distT="0" distB="0" distL="0" distR="0">
            <wp:extent cx="5612130" cy="91186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911860"/>
                    </a:xfrm>
                    <a:prstGeom prst="rect">
                      <a:avLst/>
                    </a:prstGeom>
                    <a:ln/>
                  </pic:spPr>
                </pic:pic>
              </a:graphicData>
            </a:graphic>
          </wp:inline>
        </w:drawing>
      </w:r>
    </w:p>
    <w:p w:rsidR="005C4DC7" w:rsidRPr="0098786D" w:rsidRDefault="005C4DC7">
      <w:pPr>
        <w:spacing w:line="360" w:lineRule="auto"/>
        <w:jc w:val="both"/>
        <w:rPr>
          <w:rFonts w:ascii="Palatino Linotype" w:eastAsia="Palatino Linotype" w:hAnsi="Palatino Linotype" w:cs="Palatino Linotype"/>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Al respecto, el derecho de acceso a la información pública es un derecho humano constitucionalmente reconocido en consecuencia todas las autoridades en el ámbito de sus competencias, funciones y atribuciones tienen la obligación de respetarlo, protegerlo y garantizarlo, así también </w:t>
      </w:r>
      <w:r w:rsidRPr="0098786D">
        <w:rPr>
          <w:rFonts w:ascii="Palatino Linotype" w:eastAsia="Palatino Linotype" w:hAnsi="Palatino Linotype" w:cs="Palatino Linotype"/>
          <w:b/>
          <w:bCs/>
          <w:color w:val="000000"/>
          <w:sz w:val="24"/>
          <w:szCs w:val="24"/>
        </w:rPr>
        <w:t>es su deber turnar la solicitud de información a todas las áreas dentro de su estructura orgánica que pudieran contar con lo solicitado</w:t>
      </w:r>
      <w:r w:rsidRPr="0098786D">
        <w:rPr>
          <w:rFonts w:ascii="Palatino Linotype" w:eastAsia="Palatino Linotype" w:hAnsi="Palatino Linotype" w:cs="Palatino Linotype"/>
          <w:color w:val="000000"/>
          <w:sz w:val="24"/>
          <w:szCs w:val="24"/>
        </w:rPr>
        <w:t>, a fin de dar cabal cumplimiento al derecho humano constitucionalmente reconocido.</w:t>
      </w:r>
    </w:p>
    <w:p w:rsidR="005C4DC7" w:rsidRPr="0098786D" w:rsidRDefault="005C4DC7">
      <w:pPr>
        <w:spacing w:line="360" w:lineRule="auto"/>
        <w:jc w:val="both"/>
        <w:rPr>
          <w:rFonts w:ascii="Palatino Linotype" w:eastAsia="Palatino Linotype" w:hAnsi="Palatino Linotype" w:cs="Palatino Linotype"/>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color w:val="000000"/>
          <w:sz w:val="24"/>
          <w:szCs w:val="24"/>
        </w:rPr>
        <w:t xml:space="preserve">En esa tesitura, el procedimiento de acceso a la información pública, descrito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w:t>
      </w:r>
      <w:r w:rsidRPr="0098786D">
        <w:rPr>
          <w:rFonts w:ascii="Palatino Linotype" w:eastAsia="Palatino Linotype" w:hAnsi="Palatino Linotype" w:cs="Palatino Linotype"/>
          <w:color w:val="000000"/>
          <w:sz w:val="24"/>
          <w:szCs w:val="24"/>
        </w:rPr>
        <w:lastRenderedPageBreak/>
        <w:t>competencias y funciones, con el objeto de que realicen una búsqueda exhaustiva y razonable de la información solicitada, según se asienta en el artículo 162 de la ley citada.</w:t>
      </w:r>
    </w:p>
    <w:p w:rsidR="005C4DC7" w:rsidRPr="0098786D" w:rsidRDefault="00936BF5">
      <w:pPr>
        <w:spacing w:after="0" w:line="360" w:lineRule="auto"/>
        <w:ind w:left="567" w:right="616"/>
        <w:jc w:val="both"/>
        <w:rPr>
          <w:rFonts w:ascii="Palatino Linotype" w:eastAsia="Palatino Linotype" w:hAnsi="Palatino Linotype" w:cs="Palatino Linotype"/>
          <w:i/>
          <w:iCs/>
          <w:sz w:val="24"/>
          <w:szCs w:val="24"/>
          <w:u w:val="single"/>
        </w:rPr>
      </w:pPr>
      <w:r w:rsidRPr="0098786D">
        <w:rPr>
          <w:rFonts w:ascii="Palatino Linotype" w:eastAsia="Palatino Linotype" w:hAnsi="Palatino Linotype" w:cs="Palatino Linotype"/>
          <w:b/>
          <w:bCs/>
          <w:i/>
          <w:iCs/>
          <w:sz w:val="24"/>
          <w:szCs w:val="24"/>
        </w:rPr>
        <w:t>“Artículo 162.</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i/>
          <w:iCs/>
          <w:sz w:val="24"/>
          <w:szCs w:val="24"/>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5C4DC7" w:rsidRPr="0098786D" w:rsidRDefault="005C4DC7">
      <w:pPr>
        <w:spacing w:line="360" w:lineRule="auto"/>
        <w:ind w:left="567" w:right="616"/>
        <w:jc w:val="both"/>
        <w:rPr>
          <w:rFonts w:ascii="Palatino Linotype" w:eastAsia="Palatino Linotype" w:hAnsi="Palatino Linotype" w:cs="Palatino Linotype"/>
          <w:i/>
          <w:iCs/>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El buscar exhaustivamente en sus archivos, es identificar la unidad(s) administrativa(s) que resguarda el documento al que una persona pretende acceder, es practicar una adecuada gestión documental que nos permite localizar el documento, como bien señala el artículo 159 de la Ley de Transparencia local.</w:t>
      </w:r>
    </w:p>
    <w:p w:rsidR="005C4DC7" w:rsidRPr="0098786D" w:rsidRDefault="005C4DC7">
      <w:pPr>
        <w:spacing w:line="360" w:lineRule="auto"/>
        <w:jc w:val="both"/>
        <w:rPr>
          <w:rFonts w:ascii="Palatino Linotype" w:eastAsia="Palatino Linotype" w:hAnsi="Palatino Linotype" w:cs="Palatino Linotype"/>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De la normatividad en cita, se desprende que las Unidades de Transparencia, se erigen como el área responsable en cada Sujeto Obligado que tiene a su cargo la atención de las solicitudes de información que se realicen al amparo de la Ley. </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responsable de dicha área funge como enlace entre </w:t>
      </w:r>
      <w:r w:rsidRPr="0098786D">
        <w:rPr>
          <w:rFonts w:ascii="Palatino Linotype" w:eastAsia="Palatino Linotype" w:hAnsi="Palatino Linotype" w:cs="Palatino Linotype"/>
          <w:b/>
          <w:bCs/>
          <w:color w:val="000000"/>
          <w:sz w:val="24"/>
          <w:szCs w:val="24"/>
        </w:rPr>
        <w:t>EL SUJETO OBLIGADO</w:t>
      </w:r>
      <w:r w:rsidRPr="0098786D">
        <w:rPr>
          <w:rFonts w:ascii="Palatino Linotype" w:eastAsia="Palatino Linotype" w:hAnsi="Palatino Linotype" w:cs="Palatino Linotype"/>
          <w:color w:val="000000"/>
          <w:sz w:val="24"/>
          <w:szCs w:val="24"/>
        </w:rPr>
        <w:t xml:space="preserve"> y los solicitantes, y tiene bajo su responsabilidad el tramitar internamente la solicitud de información.</w:t>
      </w:r>
    </w:p>
    <w:p w:rsidR="005C4DC7" w:rsidRPr="0098786D" w:rsidRDefault="005C4DC7">
      <w:pPr>
        <w:pBdr>
          <w:top w:val="nil"/>
          <w:left w:val="nil"/>
          <w:bottom w:val="nil"/>
          <w:right w:val="nil"/>
          <w:between w:val="nil"/>
        </w:pBdr>
        <w:spacing w:after="0" w:line="360" w:lineRule="auto"/>
        <w:ind w:left="360"/>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De tal manera que, si bien, el Titular de la Unidad de Transparencia no tiene bajo su resguardo el archivo que contiene la documentación en donde consta la información solicitada, sino que pudiera obrar en las distintas áreas que conforman la estructura del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es por ello que, debe turnar la solicitud a todas las áreas que conforme </w:t>
      </w:r>
      <w:r w:rsidRPr="0098786D">
        <w:rPr>
          <w:rFonts w:ascii="Palatino Linotype" w:eastAsia="Palatino Linotype" w:hAnsi="Palatino Linotype" w:cs="Palatino Linotype"/>
          <w:color w:val="000000"/>
          <w:sz w:val="24"/>
          <w:szCs w:val="24"/>
        </w:rPr>
        <w:lastRenderedPageBreak/>
        <w:t>a sus atribuciones y funciones generen, administren o posean la información requerida por la particular; pues tienen como función, buscar, localizar y poseer la información, así como entregarla.</w:t>
      </w:r>
    </w:p>
    <w:p w:rsidR="005C4DC7" w:rsidRPr="0098786D" w:rsidRDefault="005C4DC7">
      <w:pPr>
        <w:pBdr>
          <w:top w:val="nil"/>
          <w:left w:val="nil"/>
          <w:bottom w:val="nil"/>
          <w:right w:val="nil"/>
          <w:between w:val="nil"/>
        </w:pBdr>
        <w:spacing w:after="0" w:line="360" w:lineRule="auto"/>
        <w:ind w:left="360"/>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Es así que, le corresponde al Titular de la Unidad de Transparencia el garantizar que las solicitudes se turnen a las áreas competentes que puedan contar con la información, con el objeto de que se realice una búsqueda exhaustiva y razonable de la misma. </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Ahora bien, relativo a los expedientes de los cuales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deberá hacer entrega, el numeral 47, de la Ley del Trabajo de los Servidores Públicos del Estado de México y Municipios, el cual establece, que para ingresar al servicio público se requiere, entre otros, presentar una solicitud utilizando la forma oficial que se autorice por la dependencia correspondiente tal como se observa a continuación: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ARTÍCULO 47</w:t>
      </w:r>
      <w:r w:rsidRPr="0098786D">
        <w:rPr>
          <w:rFonts w:ascii="Palatino Linotype" w:eastAsia="Palatino Linotype" w:hAnsi="Palatino Linotype" w:cs="Palatino Linotype"/>
          <w:i/>
          <w:iCs/>
          <w:color w:val="000000"/>
          <w:sz w:val="24"/>
          <w:szCs w:val="24"/>
        </w:rPr>
        <w:t>. Para ingresar al servicio público se requiere:</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I. Presentar una solicitud utilizando la forma oficial que se autorice por la institución pública o dependencia correspondiente;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II. Ser de nacionalidad mexicana, con la excepción prevista en el artículo 17 de la presente ley;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III. Estar en pleno ejercicio de sus derechos civiles y políticos, en su caso;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IV. Acreditar, cuando proceda, el cumplimiento de la Ley del Servicio Militar Nacional;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V. Derogada.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VI. No haber sido separado anteriormente del servicio por las causas previstas en el artículo 93, de la presente ley;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lastRenderedPageBreak/>
        <w:t xml:space="preserve">VII. Tener buena salud, lo que se comprobará con los certificados médicos correspondientes, en la forma en que se establezca en cada institución pública;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b/>
          <w:bCs/>
          <w:i/>
          <w:iCs/>
          <w:color w:val="000000"/>
          <w:sz w:val="24"/>
          <w:szCs w:val="24"/>
        </w:rPr>
      </w:pPr>
      <w:r w:rsidRPr="0098786D">
        <w:rPr>
          <w:rFonts w:ascii="Palatino Linotype" w:eastAsia="Palatino Linotype" w:hAnsi="Palatino Linotype" w:cs="Palatino Linotype"/>
          <w:i/>
          <w:iCs/>
          <w:color w:val="000000"/>
          <w:sz w:val="24"/>
          <w:szCs w:val="24"/>
        </w:rPr>
        <w:t xml:space="preserve">VIII. </w:t>
      </w:r>
      <w:r w:rsidRPr="0098786D">
        <w:rPr>
          <w:rFonts w:ascii="Palatino Linotype" w:eastAsia="Palatino Linotype" w:hAnsi="Palatino Linotype" w:cs="Palatino Linotype"/>
          <w:b/>
          <w:bCs/>
          <w:i/>
          <w:iCs/>
          <w:color w:val="000000"/>
          <w:sz w:val="24"/>
          <w:szCs w:val="24"/>
        </w:rPr>
        <w:t xml:space="preserve">Cumplir con los requisitos que se establezcan para los diferentes puestos;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IX. Acreditar por medio de los exámenes correspondientes los conocimientos y aptitudes necesarios para el desempeño del puesto; y </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X. No estar inhabilitado para el ejercicio del servicio público.</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XI. Presentar certificado expedido por la Unidad del Registro de Deudores Alimentarios Morosos en el que conste, si se encuentra inscrito o no en el mismo. </w:t>
      </w:r>
    </w:p>
    <w:p w:rsidR="005C4DC7" w:rsidRPr="0098786D" w:rsidRDefault="005C4DC7">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5C4DC7" w:rsidRPr="0098786D" w:rsidRDefault="00936BF5">
      <w:pPr>
        <w:pBdr>
          <w:top w:val="nil"/>
          <w:left w:val="nil"/>
          <w:bottom w:val="nil"/>
          <w:right w:val="nil"/>
          <w:between w:val="nil"/>
        </w:pBdr>
        <w:spacing w:after="0" w:line="360" w:lineRule="auto"/>
        <w:ind w:left="644" w:right="567"/>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i/>
          <w:iCs/>
          <w:color w:val="000000"/>
          <w:sz w:val="24"/>
          <w:szCs w:val="24"/>
        </w:rPr>
        <w:t xml:space="preserve"> (…)</w:t>
      </w:r>
    </w:p>
    <w:p w:rsidR="005C4DC7" w:rsidRPr="0098786D" w:rsidRDefault="005C4DC7">
      <w:pPr>
        <w:spacing w:line="360" w:lineRule="auto"/>
        <w:jc w:val="both"/>
        <w:rPr>
          <w:rFonts w:ascii="Palatino Linotype" w:eastAsia="Palatino Linotype" w:hAnsi="Palatino Linotype" w:cs="Palatino Linotype"/>
          <w:b/>
          <w:bCs/>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Ahora bien, se procede a señalar los requisitos generales contenidos en los articulados 47, 48 y 49, de la Ley del Trabado de los Servidores Públicos del Estado de México y Municipios, así como el documento idóneo con el que se pudiera acreditar, son los siguientes:</w:t>
      </w:r>
    </w:p>
    <w:p w:rsidR="005C4DC7" w:rsidRPr="0098786D" w:rsidRDefault="005C4DC7">
      <w:pPr>
        <w:pBdr>
          <w:top w:val="nil"/>
          <w:left w:val="nil"/>
          <w:bottom w:val="nil"/>
          <w:right w:val="nil"/>
          <w:between w:val="nil"/>
        </w:pBdr>
        <w:spacing w:after="0" w:line="240" w:lineRule="auto"/>
        <w:ind w:left="644"/>
        <w:rPr>
          <w:color w:val="000000"/>
          <w:sz w:val="24"/>
          <w:szCs w:val="24"/>
        </w:rPr>
      </w:pPr>
    </w:p>
    <w:tbl>
      <w:tblPr>
        <w:tblStyle w:val="a0"/>
        <w:tblW w:w="988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4125"/>
        <w:gridCol w:w="2835"/>
        <w:gridCol w:w="2268"/>
      </w:tblGrid>
      <w:tr w:rsidR="005C4DC7" w:rsidRPr="0098786D" w:rsidTr="0098786D">
        <w:tc>
          <w:tcPr>
            <w:tcW w:w="661" w:type="dxa"/>
            <w:shd w:val="clear" w:color="auto" w:fill="D9D9D9"/>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No.</w:t>
            </w:r>
          </w:p>
        </w:tc>
        <w:tc>
          <w:tcPr>
            <w:tcW w:w="4125" w:type="dxa"/>
            <w:shd w:val="clear" w:color="auto" w:fill="D9D9D9"/>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Requisito establecido en la Ley del Trabajo de los Servidores Públicos del Estado y Municipios</w:t>
            </w:r>
          </w:p>
        </w:tc>
        <w:tc>
          <w:tcPr>
            <w:tcW w:w="2835" w:type="dxa"/>
            <w:shd w:val="clear" w:color="auto" w:fill="D9D9D9"/>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Documento que lo acredita</w:t>
            </w:r>
          </w:p>
        </w:tc>
        <w:tc>
          <w:tcPr>
            <w:tcW w:w="2268" w:type="dxa"/>
            <w:shd w:val="clear" w:color="auto" w:fill="D9D9D9"/>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Clasificación de la Información</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1</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 xml:space="preserve">Presentar una solicitud utilizando la forma oficial que se autorice por </w:t>
            </w:r>
            <w:r w:rsidRPr="0098786D">
              <w:rPr>
                <w:rFonts w:ascii="Palatino Linotype" w:eastAsia="Palatino Linotype" w:hAnsi="Palatino Linotype" w:cs="Palatino Linotype"/>
                <w:b/>
                <w:bCs/>
                <w:color w:val="000000"/>
                <w:sz w:val="24"/>
                <w:szCs w:val="24"/>
              </w:rPr>
              <w:lastRenderedPageBreak/>
              <w:t>la institución pública o dependencia correspondiente.</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lastRenderedPageBreak/>
              <w:t xml:space="preserve">Solicitud de empleo, ficha curricular, </w:t>
            </w:r>
            <w:r w:rsidRPr="0098786D">
              <w:rPr>
                <w:rFonts w:ascii="Palatino Linotype" w:eastAsia="Palatino Linotype" w:hAnsi="Palatino Linotype" w:cs="Palatino Linotype"/>
                <w:b/>
                <w:bCs/>
                <w:color w:val="000000"/>
                <w:sz w:val="24"/>
                <w:szCs w:val="24"/>
              </w:rPr>
              <w:lastRenderedPageBreak/>
              <w:t>currículum vitae o documento análogo</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lastRenderedPageBreak/>
              <w:t>En versión Pública.</w:t>
            </w:r>
          </w:p>
        </w:tc>
      </w:tr>
      <w:tr w:rsidR="005C4DC7" w:rsidRPr="0098786D" w:rsidTr="0098786D">
        <w:trPr>
          <w:trHeight w:val="517"/>
        </w:trPr>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2</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Ser de nacionalidad mexicana.</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Acta de nacimiento</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Confidencial</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3</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Estar en pleno ejercicio de sus derechos civiles y políticos.</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Derogado</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N/A</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4</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Acreditar, cuando proceda, el cumplimiento de la Ley del Servicio Militar Nacional.</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Cartilla de Servicio Militar</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Confidencial</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5</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No haber sido separado anteriormente del servicio por las causas previstas en el artículo 93 de la presente ley.</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Manifestación bajo protesta de decir verdad.</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Documento íntegro</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6</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Tener buena salud, lo que se comprobará con los certificados médicos.</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Certificado Médico</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Confidencial</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7</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Cumplir con los requisitos que se establezcan para los diferentes puestos.</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este caso, son aplicables los documentos previstos por la Ley Orgánica Municipal del Estado de México y Municipios, en virtud de que se trata de ayuntamientos.</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Documento íntegro</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8</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Acreditar por medio de los exámenes correspondientes los conocimientos y aptitudes necesarios para el desempeño del puesto.</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El documento obtenido por haber acreditado los exámenes de oposición o de conocimientos o aptitudes necesarios para ejercer el cargo.</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versión Pública.</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9</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No estar inhabilitado para el ejercicio del servicio público.</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Constancia de no inhabilitación.</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Documento íntegro</w:t>
            </w:r>
          </w:p>
        </w:tc>
      </w:tr>
      <w:tr w:rsidR="005C4DC7" w:rsidRPr="0098786D" w:rsidTr="0098786D">
        <w:tc>
          <w:tcPr>
            <w:tcW w:w="661"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10</w:t>
            </w:r>
          </w:p>
        </w:tc>
        <w:tc>
          <w:tcPr>
            <w:tcW w:w="412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Presentar certificado expedido por la Unidad del Registro de Deudores Alimentarios Morosos en el que </w:t>
            </w:r>
            <w:r w:rsidRPr="0098786D">
              <w:rPr>
                <w:rFonts w:ascii="Palatino Linotype" w:eastAsia="Palatino Linotype" w:hAnsi="Palatino Linotype" w:cs="Palatino Linotype"/>
                <w:color w:val="000000"/>
                <w:sz w:val="24"/>
                <w:szCs w:val="24"/>
              </w:rPr>
              <w:lastRenderedPageBreak/>
              <w:t>conste, si se encuentra inscrito o no en el mismo.</w:t>
            </w:r>
          </w:p>
        </w:tc>
        <w:tc>
          <w:tcPr>
            <w:tcW w:w="2835" w:type="dxa"/>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Certificado de No Deudor Alimentario Moroso.</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versión Pública.</w:t>
            </w:r>
          </w:p>
        </w:tc>
      </w:tr>
      <w:tr w:rsidR="005C4DC7" w:rsidRPr="0098786D" w:rsidTr="0098786D">
        <w:tc>
          <w:tcPr>
            <w:tcW w:w="661" w:type="dxa"/>
            <w:shd w:val="clear" w:color="auto" w:fill="auto"/>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11</w:t>
            </w:r>
          </w:p>
        </w:tc>
        <w:tc>
          <w:tcPr>
            <w:tcW w:w="4125" w:type="dxa"/>
            <w:shd w:val="clear" w:color="auto" w:fill="auto"/>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Para iniciar la prestación de los servicios</w:t>
            </w:r>
          </w:p>
        </w:tc>
        <w:tc>
          <w:tcPr>
            <w:tcW w:w="2835" w:type="dxa"/>
            <w:shd w:val="clear" w:color="auto" w:fill="auto"/>
            <w:vAlign w:val="center"/>
          </w:tcPr>
          <w:p w:rsidR="005C4DC7" w:rsidRPr="0098786D" w:rsidRDefault="00936BF5">
            <w:pPr>
              <w:pBdr>
                <w:top w:val="nil"/>
                <w:left w:val="nil"/>
                <w:bottom w:val="nil"/>
                <w:right w:val="nil"/>
                <w:between w:val="nil"/>
              </w:pBdr>
              <w:tabs>
                <w:tab w:val="left" w:pos="284"/>
                <w:tab w:val="left" w:pos="426"/>
              </w:tabs>
              <w:ind w:right="51"/>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Nombramiento, contrato o formato único de Movimientos de Personal.</w:t>
            </w:r>
          </w:p>
        </w:tc>
        <w:tc>
          <w:tcPr>
            <w:tcW w:w="2268" w:type="dxa"/>
            <w:vAlign w:val="center"/>
          </w:tcPr>
          <w:p w:rsidR="005C4DC7" w:rsidRPr="0098786D" w:rsidRDefault="00936BF5">
            <w:pPr>
              <w:pBdr>
                <w:top w:val="nil"/>
                <w:left w:val="nil"/>
                <w:bottom w:val="nil"/>
                <w:right w:val="nil"/>
                <w:between w:val="nil"/>
              </w:pBdr>
              <w:tabs>
                <w:tab w:val="left" w:pos="284"/>
                <w:tab w:val="left" w:pos="426"/>
              </w:tabs>
              <w:ind w:right="51"/>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versión Pública.</w:t>
            </w:r>
          </w:p>
        </w:tc>
      </w:tr>
    </w:tbl>
    <w:p w:rsidR="005C4DC7" w:rsidRPr="0098786D" w:rsidRDefault="005C4DC7">
      <w:pPr>
        <w:pBdr>
          <w:top w:val="nil"/>
          <w:left w:val="nil"/>
          <w:bottom w:val="nil"/>
          <w:right w:val="nil"/>
          <w:between w:val="nil"/>
        </w:pBdr>
        <w:tabs>
          <w:tab w:val="left" w:pos="709"/>
        </w:tabs>
        <w:spacing w:after="0" w:line="360" w:lineRule="auto"/>
        <w:ind w:left="644"/>
        <w:jc w:val="both"/>
        <w:rPr>
          <w:rFonts w:ascii="Palatino Linotype" w:eastAsia="Palatino Linotype" w:hAnsi="Palatino Linotype" w:cs="Palatino Linotype"/>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De lo antes mencionado se advierte que, para formar parte del servicio público, los interesados deben cumplir con los elementos señalados, así como aquellos requisitos que se establezcan para los diferentes puestos.</w:t>
      </w:r>
    </w:p>
    <w:p w:rsidR="005C4DC7" w:rsidRPr="0098786D" w:rsidRDefault="005C4DC7">
      <w:pPr>
        <w:rPr>
          <w:rFonts w:ascii="Palatino Linotype" w:eastAsia="Palatino Linotype" w:hAnsi="Palatino Linotype" w:cs="Palatino Linotype"/>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color w:val="000000"/>
          <w:sz w:val="24"/>
          <w:szCs w:val="24"/>
        </w:rPr>
        <w:t xml:space="preserve">Asimismo,  el artículo 98 fracción XVII, de la Ley anteriormente mencionada refiere que son obligaciones de las instituciones públicas, el </w:t>
      </w:r>
      <w:r w:rsidRPr="0098786D">
        <w:rPr>
          <w:rFonts w:ascii="Palatino Linotype" w:eastAsia="Palatino Linotype" w:hAnsi="Palatino Linotype" w:cs="Palatino Linotype"/>
          <w:b/>
          <w:bCs/>
          <w:color w:val="000000"/>
          <w:sz w:val="24"/>
          <w:szCs w:val="24"/>
          <w:u w:val="single"/>
        </w:rPr>
        <w:t>integrar los expedientes de los servidores públicos</w:t>
      </w:r>
      <w:r w:rsidRPr="0098786D">
        <w:rPr>
          <w:rFonts w:ascii="Palatino Linotype" w:eastAsia="Palatino Linotype" w:hAnsi="Palatino Linotype" w:cs="Palatino Linotype"/>
          <w:color w:val="000000"/>
          <w:sz w:val="24"/>
          <w:szCs w:val="24"/>
        </w:rPr>
        <w:t xml:space="preserve"> y proporcionar las constancias que éstos soliciten para el trámite de los asuntos de su interés en los términos que señalen los ordenamientos respectivos.</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i/>
          <w:iCs/>
          <w:color w:val="000000"/>
          <w:sz w:val="24"/>
          <w:szCs w:val="24"/>
        </w:rPr>
      </w:pPr>
    </w:p>
    <w:p w:rsidR="005C4DC7" w:rsidRPr="0098786D" w:rsidRDefault="00936BF5">
      <w:pPr>
        <w:numPr>
          <w:ilvl w:val="0"/>
          <w:numId w:val="1"/>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color w:val="000000"/>
          <w:sz w:val="24"/>
          <w:szCs w:val="24"/>
        </w:rPr>
        <w:t>En atención a lo anterior, se procede al análisis pormenorizado de las documentales que conforman los expedientes laborales del personal para efecto de determinar la procedencia de su entrega conforme al siguiente análisis: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Acta de nacimiento.</w:t>
      </w:r>
    </w:p>
    <w:p w:rsidR="005C4DC7" w:rsidRPr="0098786D" w:rsidRDefault="00936BF5" w:rsidP="0098786D">
      <w:pPr>
        <w:pStyle w:val="Prrafodelista"/>
        <w:numPr>
          <w:ilvl w:val="0"/>
          <w:numId w:val="1"/>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Dentro de la fracción II del artículo 47 de la Ley del Trabajo de los Servidores Públicos del Estado de México, el requisito consiste en ser de nacionalidad mexicana, por lo que el documento que colmaría este punto de la solicitud de manera enunciativa más no limitativa sería el acta de nacimiento, la cual es emitida por el Registro Civil, dan cuenta de un atributo de la personalidad, tal como lo establece el artículo 2.3 del Código Civil del Estado México. </w:t>
      </w:r>
      <w:r w:rsidR="0098786D" w:rsidRPr="0098786D">
        <w:rPr>
          <w:rFonts w:ascii="Palatino Linotype" w:eastAsia="Palatino Linotype" w:hAnsi="Palatino Linotype" w:cs="Palatino Linotype"/>
          <w:b/>
        </w:rPr>
        <w:lastRenderedPageBreak/>
        <w:t>45</w:t>
      </w:r>
      <w:r w:rsidR="0098786D" w:rsidRPr="0098786D">
        <w:rPr>
          <w:rFonts w:ascii="Palatino Linotype" w:eastAsia="Palatino Linotype" w:hAnsi="Palatino Linotype" w:cs="Palatino Linotype"/>
        </w:rPr>
        <w:t xml:space="preserve">. </w:t>
      </w:r>
      <w:r w:rsidRPr="0098786D">
        <w:rPr>
          <w:rFonts w:ascii="Palatino Linotype" w:eastAsia="Palatino Linotype" w:hAnsi="Palatino Linotype" w:cs="Palatino Linotype"/>
        </w:rPr>
        <w:t xml:space="preserve">En ese orden de ideas, el artículo 3.5 del citado Código Civil establece que el estado civil de las personas sólo se comprueba con las constancias relativas del Registro Civil, tal como lo es el Acta de Nacimiento. </w:t>
      </w:r>
    </w:p>
    <w:p w:rsidR="005C4DC7" w:rsidRPr="0098786D" w:rsidRDefault="005C4DC7">
      <w:pPr>
        <w:tabs>
          <w:tab w:val="left" w:pos="4962"/>
        </w:tabs>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Ahora bien, de acuerdo con el Formato Único del Acta de Nacimiento publicado por la Secretaría de Gobernación en el enlace </w:t>
      </w:r>
      <w:hyperlink r:id="rId11">
        <w:r w:rsidRPr="0098786D">
          <w:rPr>
            <w:rFonts w:ascii="Palatino Linotype" w:eastAsia="Palatino Linotype" w:hAnsi="Palatino Linotype" w:cs="Palatino Linotype"/>
          </w:rPr>
          <w:t>http://www.diputados.gob.mx/documentos/N_Acta_Nacimiento.pdf</w:t>
        </w:r>
      </w:hyperlink>
      <w:r w:rsidRPr="0098786D">
        <w:rPr>
          <w:rFonts w:ascii="Palatino Linotype" w:eastAsia="Palatino Linotype" w:hAnsi="Palatino Linotype" w:cs="Palatino Linotype"/>
        </w:rPr>
        <w:t xml:space="preserve">, se advierte que el Acta de Nacimiento se componte de quince elementos siendo los siguientes: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Folio de Impresión.</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Denominación del Documento.</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Identificador Electrónico.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Elementos del Registro.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Datos de la Persona Registrada.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Datos de Filiación de la Persona Registrada.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Anotaciones Marginales.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Certificación.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Código Bidimensional QR que contiene información encriptada del acta.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Leyenda “Soy México”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Firma Electrónica Avanzada.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Firma y datos de la autoridad emisora.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Código QR. </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Código de Verificación.</w:t>
      </w:r>
    </w:p>
    <w:p w:rsidR="005C4DC7" w:rsidRPr="0098786D" w:rsidRDefault="00936BF5">
      <w:pPr>
        <w:numPr>
          <w:ilvl w:val="0"/>
          <w:numId w:val="2"/>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Leyenda de instrucciones para la verificación del documento. </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lastRenderedPageBreak/>
        <w:t>Siendo de suma importancia mencionar que la información relativa a los incisos d) elementos de registro, e) datos de la persona registrada, f) datos de filiación de la persona registrada, g), anotaciones marginales y m) Código QR, se encuentra intrínsecamente relacionada con la esfera privada de una persona haciéndole identificada o identificable</w:t>
      </w:r>
    </w:p>
    <w:p w:rsidR="005C4DC7" w:rsidRPr="0098786D" w:rsidRDefault="005C4DC7">
      <w:pPr>
        <w:tabs>
          <w:tab w:val="left" w:pos="4962"/>
        </w:tabs>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Dada esta relevancia y que no guarda relación directa con el ejercicio de atribuciones de servidores públicos es que su contenido del Acta de Nacimiento debe ser analizado en su totalidad, además que parte los dato que integran hacen identificable a la persona sin tener que ver con el ejercicio de un cargo público. Pues como se señalado, el Acta de Nacimiento comprueba el estado civil de una persona por lo que es un tema que tiene que ver con la vida privada, ya que, para acceder a un cargo público, el estado civil de las personas es irrelevante, ya que tener uno u otro no influye en el mejor o menor desempeño de un cargo público.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De esta manera, se trata de un documento de </w:t>
      </w:r>
      <w:r w:rsidRPr="0098786D">
        <w:rPr>
          <w:rFonts w:ascii="Palatino Linotype" w:eastAsia="Palatino Linotype" w:hAnsi="Palatino Linotype" w:cs="Palatino Linotype"/>
          <w:b/>
          <w:bCs/>
        </w:rPr>
        <w:t>naturaleza confidencial</w:t>
      </w:r>
      <w:r w:rsidRPr="0098786D">
        <w:rPr>
          <w:rFonts w:ascii="Palatino Linotype" w:eastAsia="Palatino Linotype" w:hAnsi="Palatino Linotype" w:cs="Palatino Linotype"/>
        </w:rPr>
        <w:t xml:space="preserve"> que tiene que ver únicamente con la vida privada de las personas, motivo por el cual se considera que actualiza la causal de clasificación establecida en el artículo 143, fracción I, de la Ley de Transparencia y Acceso a la Información Pública del Estado de México y Municipios.</w:t>
      </w:r>
    </w:p>
    <w:p w:rsidR="005C4DC7" w:rsidRPr="0098786D" w:rsidRDefault="005C4DC7">
      <w:pPr>
        <w:ind w:right="-518"/>
        <w:rPr>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Certificado del grado máximo de estudios o Documento oficial que lo acredite.</w:t>
      </w:r>
    </w:p>
    <w:p w:rsidR="005C4DC7" w:rsidRPr="0098786D" w:rsidRDefault="00936BF5" w:rsidP="0098786D">
      <w:pPr>
        <w:pStyle w:val="Prrafodelista"/>
        <w:numPr>
          <w:ilvl w:val="0"/>
          <w:numId w:val="14"/>
        </w:numPr>
        <w:pBdr>
          <w:top w:val="nil"/>
          <w:left w:val="nil"/>
          <w:bottom w:val="nil"/>
          <w:right w:val="nil"/>
          <w:between w:val="nil"/>
        </w:pBd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De acuerdo con el artículo 172 de la Ley de Educación del Estado de México, el certificado de estudios es:</w:t>
      </w:r>
    </w:p>
    <w:p w:rsidR="005C4DC7" w:rsidRPr="0098786D" w:rsidRDefault="00936BF5">
      <w:pPr>
        <w:spacing w:before="240" w:after="240" w:line="276" w:lineRule="auto"/>
        <w:ind w:left="851" w:right="75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 xml:space="preserve">Artículo 172.- El certificado de estudios es el documento oficial mediante el cual la Autoridad Educativa Estatal reconoce que los </w:t>
      </w:r>
      <w:r w:rsidRPr="0098786D">
        <w:rPr>
          <w:rFonts w:ascii="Palatino Linotype" w:eastAsia="Palatino Linotype" w:hAnsi="Palatino Linotype" w:cs="Palatino Linotype"/>
          <w:b/>
          <w:bCs/>
          <w:i/>
          <w:iCs/>
          <w:sz w:val="24"/>
          <w:szCs w:val="24"/>
        </w:rPr>
        <w:lastRenderedPageBreak/>
        <w:t>educandos han concluido un nivel educativo determinado</w:t>
      </w:r>
      <w:r w:rsidRPr="0098786D">
        <w:rPr>
          <w:rFonts w:ascii="Palatino Linotype" w:eastAsia="Palatino Linotype" w:hAnsi="Palatino Linotype" w:cs="Palatino Linotype"/>
          <w:i/>
          <w:iCs/>
          <w:sz w:val="24"/>
          <w:szCs w:val="24"/>
        </w:rPr>
        <w:t>, en los tipos de educación básica, media superior y superior.” (Sic)</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Bajo ese contexto, el certificado de estudios es un documento expedido por instituciones del Estado o descentralizadas, y por instituciones particulares que tenga reconocimiento de validez oficial de estudios, a favor de la persona que haya concluido los estudios correspondientes.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De acuerdo con la guía de trámites 2024</w:t>
      </w:r>
      <w:r w:rsidRPr="0098786D">
        <w:rPr>
          <w:rFonts w:eastAsia="Palatino Linotype"/>
          <w:vertAlign w:val="superscript"/>
        </w:rPr>
        <w:footnoteReference w:id="1"/>
      </w:r>
      <w:r w:rsidRPr="0098786D">
        <w:rPr>
          <w:rFonts w:ascii="Palatino Linotype" w:eastAsia="Palatino Linotype" w:hAnsi="Palatino Linotype" w:cs="Palatino Linotype"/>
        </w:rPr>
        <w:t xml:space="preserve"> de la propia Universidad Autónoma del Estado de México y Municipios, se observa:</w:t>
      </w:r>
    </w:p>
    <w:p w:rsidR="005C4DC7" w:rsidRPr="0098786D" w:rsidRDefault="00936BF5">
      <w:pPr>
        <w:spacing w:after="0"/>
        <w:ind w:left="567" w:right="758"/>
        <w:jc w:val="both"/>
        <w:rPr>
          <w:rFonts w:ascii="Palatino Linotype" w:eastAsia="Palatino Linotype" w:hAnsi="Palatino Linotype" w:cs="Palatino Linotype"/>
          <w:b/>
          <w:bCs/>
          <w:i/>
          <w:iCs/>
          <w:sz w:val="24"/>
          <w:szCs w:val="24"/>
        </w:rPr>
      </w:pPr>
      <w:bookmarkStart w:id="7" w:name="_heading=h.jsynhpdakf0u" w:colFirst="0" w:colLast="0"/>
      <w:bookmarkEnd w:id="7"/>
      <w:r w:rsidRPr="0098786D">
        <w:rPr>
          <w:rFonts w:ascii="Palatino Linotype" w:eastAsia="Palatino Linotype" w:hAnsi="Palatino Linotype" w:cs="Palatino Linotype"/>
          <w:b/>
          <w:bCs/>
          <w:i/>
          <w:iCs/>
          <w:sz w:val="24"/>
          <w:szCs w:val="24"/>
        </w:rPr>
        <w:t xml:space="preserve">EGRESO </w:t>
      </w:r>
    </w:p>
    <w:p w:rsidR="005C4DC7" w:rsidRPr="0098786D" w:rsidRDefault="00936BF5">
      <w:pPr>
        <w:spacing w:after="0"/>
        <w:ind w:left="567" w:right="758"/>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 xml:space="preserve">CERTIFICACIÓN DE LOS ESTUDIOS DE PREPARATORIA, LICENCIATURA, POSGRADO Y DIPLOMADO SUPERIOR </w:t>
      </w:r>
    </w:p>
    <w:p w:rsidR="005C4DC7" w:rsidRPr="0098786D" w:rsidRDefault="00936BF5">
      <w:pPr>
        <w:spacing w:after="0"/>
        <w:ind w:left="567" w:right="75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El certificado digital es un documento administrativo en formato PDF que consta los estudios realizados en un plan de estudio y cubre los créditos señalados, mismos que ha sido firmado electrónicamente. </w:t>
      </w:r>
    </w:p>
    <w:p w:rsidR="005C4DC7" w:rsidRPr="0098786D" w:rsidRDefault="00936BF5">
      <w:pPr>
        <w:spacing w:after="0"/>
        <w:ind w:left="567" w:right="75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El certificado oficial, es un documento impreso en formato oficial (original) </w:t>
      </w:r>
      <w:r w:rsidRPr="0098786D">
        <w:rPr>
          <w:rFonts w:ascii="Palatino Linotype" w:eastAsia="Palatino Linotype" w:hAnsi="Palatino Linotype" w:cs="Palatino Linotype"/>
          <w:b/>
          <w:bCs/>
          <w:i/>
          <w:iCs/>
          <w:sz w:val="24"/>
          <w:szCs w:val="24"/>
        </w:rPr>
        <w:t>con fotografía mica, calificaciones y los datos académicos del alumno y que avala los estudios cursados</w:t>
      </w:r>
      <w:r w:rsidRPr="0098786D">
        <w:rPr>
          <w:rFonts w:ascii="Palatino Linotype" w:eastAsia="Palatino Linotype" w:hAnsi="Palatino Linotype" w:cs="Palatino Linotype"/>
          <w:i/>
          <w:iCs/>
          <w:sz w:val="24"/>
          <w:szCs w:val="24"/>
        </w:rPr>
        <w:t xml:space="preserve"> en la Universidad Autónoma del Estado de México (UEAMéx).</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En ese sentido, el </w:t>
      </w:r>
      <w:r w:rsidRPr="0098786D">
        <w:rPr>
          <w:rFonts w:ascii="Palatino Linotype" w:eastAsia="Palatino Linotype" w:hAnsi="Palatino Linotype" w:cs="Palatino Linotype"/>
          <w:b/>
          <w:bCs/>
        </w:rPr>
        <w:t>SUJETO OBLIGADO</w:t>
      </w:r>
      <w:r w:rsidRPr="0098786D">
        <w:rPr>
          <w:rFonts w:ascii="Palatino Linotype" w:eastAsia="Palatino Linotype" w:hAnsi="Palatino Linotype" w:cs="Palatino Linotype"/>
        </w:rPr>
        <w:t xml:space="preserve"> debe contar con dicho documento en el cual, atendiendo a su naturaleza podría contener como datos que deben testarse: CURP, RFC, Firma del titular, promedio, calificaciones y créditos, tipo de exámenes, en ese sentido deberá elaborarse la correspondiente versión pública.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lastRenderedPageBreak/>
        <w:t>Fotografías tamaño infantil recientes.</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Las fotografías constituyen un dato personal confidencial, en términos del artículo 143, fracción I de la Ley de Transparencia y Acceso a la Información Pública del Estado de México y Municipios. Por lo que es procedente su clasificación total como confidencial, en términos de los artículos 49, fracción II de la Ley de Transparencia y Acceso a la Información Pública del Estado de México y Municipios.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Título profesional o acta de evaluación profesional del grado máximo de estudios.</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Estos documentos dan cuenta del grado académico, especialización y experiencia sobre la materia, además de servir como medio de identificación para relacionar a su titular con un nivel de estudios.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De acuerdo con las propias disposiciones de la UAEMEX</w:t>
      </w:r>
      <w:r w:rsidRPr="0098786D">
        <w:rPr>
          <w:rFonts w:eastAsia="Palatino Linotype"/>
          <w:vertAlign w:val="superscript"/>
        </w:rPr>
        <w:footnoteReference w:id="2"/>
      </w:r>
      <w:r w:rsidRPr="0098786D">
        <w:rPr>
          <w:rFonts w:ascii="Palatino Linotype" w:eastAsia="Palatino Linotype" w:hAnsi="Palatino Linotype" w:cs="Palatino Linotype"/>
        </w:rPr>
        <w:t>:</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La titulación es la expedición de un documento oficial que se le otorga al alumno por haber cumplido satisfactoriamente con su examen de evaluación profesional, el cual se registra ante la Dirección General de Profesiones de la Secretaría de Educación Pública para que el titulado pueda obtener la cédula profesional a través de la Dirección General de Profesiones de la Secretaría de Educación Pública.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Por su parte la </w:t>
      </w:r>
      <w:r w:rsidRPr="0098786D">
        <w:rPr>
          <w:rFonts w:ascii="Palatino Linotype" w:eastAsia="Palatino Linotype" w:hAnsi="Palatino Linotype" w:cs="Palatino Linotype"/>
          <w:b/>
          <w:bCs/>
        </w:rPr>
        <w:t>Certificación de acta de evaluación profesional.</w:t>
      </w:r>
      <w:r w:rsidRPr="0098786D">
        <w:rPr>
          <w:rFonts w:ascii="Palatino Linotype" w:eastAsia="Palatino Linotype" w:hAnsi="Palatino Linotype" w:cs="Palatino Linotype"/>
        </w:rPr>
        <w:t xml:space="preserve">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CERTIFICACIÓN DE ACTA DE EVALUACIÓN PROFESIONAL O DE GRADO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Es un documento oficial para casos de extravío o deterioro del acta de evaluación, para que los egresados de licenciatura y posgrado cuenten con un documento que avale la presentación del </w:t>
      </w:r>
      <w:r w:rsidRPr="0098786D">
        <w:rPr>
          <w:rFonts w:ascii="Palatino Linotype" w:eastAsia="Palatino Linotype" w:hAnsi="Palatino Linotype" w:cs="Palatino Linotype"/>
          <w:i/>
          <w:iCs/>
          <w:sz w:val="24"/>
          <w:szCs w:val="24"/>
        </w:rPr>
        <w:lastRenderedPageBreak/>
        <w:t>examen profesional o de grado, dicho formato se encuentra registrado en la Dirección General de Profesiones.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Como en el caso del certificado de estudios, atendiendo a su naturaleza podría contener como datos que deben testarse: CURP, RFC, Firma del titular, promedio, calificaciones y créditos, tipo de exámenes, en ese sentido deberá elaborarse la correspondiente versión pública.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 xml:space="preserve">Cédula profesional </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De acuerdo con la página institucional </w:t>
      </w:r>
      <w:hyperlink r:id="rId12">
        <w:r w:rsidRPr="0098786D">
          <w:rPr>
            <w:rFonts w:ascii="Palatino Linotype" w:eastAsia="Palatino Linotype" w:hAnsi="Palatino Linotype" w:cs="Palatino Linotype"/>
            <w:color w:val="0563C1"/>
            <w:u w:val="single"/>
          </w:rPr>
          <w:t>https://www.gob.mx/cedulaprofesional</w:t>
        </w:r>
      </w:hyperlink>
      <w:r w:rsidRPr="0098786D">
        <w:rPr>
          <w:rFonts w:ascii="Palatino Linotype" w:eastAsia="Palatino Linotype" w:hAnsi="Palatino Linotype" w:cs="Palatino Linotype"/>
        </w:rPr>
        <w:t xml:space="preserve"> se observa que la cédula profesional se compone con diversos elementos entre ellos, CURP, Códigos de barra y QR de verificación del documento, fotografía y firma.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Al respecto, es importante considerar lo siguiente de los datos contenidos.</w:t>
      </w:r>
    </w:p>
    <w:p w:rsidR="0098786D" w:rsidRPr="0098786D" w:rsidRDefault="0098786D" w:rsidP="0098786D">
      <w:pPr>
        <w:pStyle w:val="Prrafodelista"/>
        <w:rPr>
          <w:rFonts w:ascii="Palatino Linotype" w:eastAsia="Palatino Linotype" w:hAnsi="Palatino Linotype" w:cs="Palatino Linotype"/>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 xml:space="preserve">Códigos de Barras de verificación contenidos en el documento. </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b/>
          <w:bCs/>
        </w:rPr>
      </w:pPr>
      <w:r w:rsidRPr="0098786D">
        <w:rPr>
          <w:rFonts w:ascii="Palatino Linotype" w:eastAsia="Palatino Linotype" w:hAnsi="Palatino Linotype" w:cs="Palatino Linotype"/>
        </w:rPr>
        <w:t xml:space="preserve">El Código de Barras contenido en ambos formatos, corresponden al identificador electrónico de verificación de la cédula profesional, que de su acceso, no arroja algún tipo de dato personal, por lo que, al no desprenderse información de la vida privada del titular, no se actualiza algún supuesto previsto en el artículo 143 de la Ley en la materia, por lo que, </w:t>
      </w:r>
      <w:r w:rsidRPr="0098786D">
        <w:rPr>
          <w:rFonts w:ascii="Palatino Linotype" w:eastAsia="Palatino Linotype" w:hAnsi="Palatino Linotype" w:cs="Palatino Linotype"/>
          <w:b/>
          <w:bCs/>
        </w:rPr>
        <w:t xml:space="preserve">no resulta procedente su clasificación. </w:t>
      </w:r>
    </w:p>
    <w:p w:rsidR="0098786D" w:rsidRDefault="0098786D">
      <w:pPr>
        <w:spacing w:line="360" w:lineRule="auto"/>
        <w:ind w:right="-518"/>
        <w:jc w:val="center"/>
        <w:rPr>
          <w:rFonts w:ascii="Palatino Linotype" w:eastAsia="Palatino Linotype" w:hAnsi="Palatino Linotype" w:cs="Palatino Linotype"/>
          <w:color w:val="000000"/>
          <w:sz w:val="24"/>
          <w:szCs w:val="24"/>
        </w:rPr>
      </w:pPr>
    </w:p>
    <w:p w:rsidR="005C4DC7" w:rsidRPr="0098786D" w:rsidRDefault="00936BF5">
      <w:pPr>
        <w:spacing w:line="360" w:lineRule="auto"/>
        <w:ind w:right="-518"/>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               </w:t>
      </w:r>
    </w:p>
    <w:p w:rsidR="005C4DC7" w:rsidRPr="0098786D" w:rsidRDefault="00936BF5">
      <w:pPr>
        <w:numPr>
          <w:ilvl w:val="0"/>
          <w:numId w:val="5"/>
        </w:numPr>
        <w:spacing w:after="0"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lastRenderedPageBreak/>
        <w:t xml:space="preserve">Código QR de verificación del documento. </w:t>
      </w:r>
    </w:p>
    <w:p w:rsidR="005C4DC7"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color w:val="000000"/>
        </w:rPr>
      </w:pPr>
      <w:r w:rsidRPr="0098786D">
        <w:rPr>
          <w:rFonts w:ascii="Palatino Linotype" w:eastAsia="Palatino Linotype" w:hAnsi="Palatino Linotype" w:cs="Palatino Linotype"/>
          <w:color w:val="000000"/>
        </w:rPr>
        <w:t>Respecto al Código Bidimensional ubicado en la parte inferior derecha del documento, se advierte que de su acceso se remite al Registro Nacional de Profesionistas</w:t>
      </w:r>
    </w:p>
    <w:p w:rsidR="0098786D" w:rsidRPr="0098786D" w:rsidRDefault="0098786D" w:rsidP="0098786D">
      <w:pPr>
        <w:spacing w:line="360" w:lineRule="auto"/>
        <w:ind w:right="-518"/>
        <w:jc w:val="both"/>
        <w:rPr>
          <w:rFonts w:ascii="Palatino Linotype" w:eastAsia="Palatino Linotype" w:hAnsi="Palatino Linotype" w:cs="Palatino Linotype"/>
          <w:color w:val="000000"/>
        </w:rPr>
      </w:pPr>
    </w:p>
    <w:p w:rsidR="005C4DC7" w:rsidRPr="0098786D" w:rsidRDefault="00936BF5">
      <w:pPr>
        <w:spacing w:line="360" w:lineRule="auto"/>
        <w:ind w:right="-518"/>
        <w:jc w:val="center"/>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noProof/>
          <w:color w:val="000000"/>
          <w:sz w:val="24"/>
          <w:szCs w:val="24"/>
        </w:rPr>
        <w:drawing>
          <wp:inline distT="0" distB="0" distL="0" distR="0">
            <wp:extent cx="3130023" cy="1561364"/>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t="-2" b="47020"/>
                    <a:stretch>
                      <a:fillRect/>
                    </a:stretch>
                  </pic:blipFill>
                  <pic:spPr>
                    <a:xfrm>
                      <a:off x="0" y="0"/>
                      <a:ext cx="3130023" cy="1561364"/>
                    </a:xfrm>
                    <a:prstGeom prst="rect">
                      <a:avLst/>
                    </a:prstGeom>
                    <a:ln/>
                  </pic:spPr>
                </pic:pic>
              </a:graphicData>
            </a:graphic>
          </wp:inline>
        </w:drawing>
      </w:r>
      <w:r w:rsidRPr="0098786D">
        <w:rPr>
          <w:rFonts w:ascii="Palatino Linotype" w:eastAsia="Palatino Linotype" w:hAnsi="Palatino Linotype" w:cs="Palatino Linotype"/>
          <w:noProof/>
          <w:color w:val="000000"/>
          <w:sz w:val="24"/>
          <w:szCs w:val="24"/>
        </w:rPr>
        <w:drawing>
          <wp:inline distT="0" distB="0" distL="0" distR="0">
            <wp:extent cx="2765164" cy="1497797"/>
            <wp:effectExtent l="0" t="0" r="0" b="0"/>
            <wp:docPr id="2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r="517" b="610"/>
                    <a:stretch>
                      <a:fillRect/>
                    </a:stretch>
                  </pic:blipFill>
                  <pic:spPr>
                    <a:xfrm>
                      <a:off x="0" y="0"/>
                      <a:ext cx="2765164" cy="1497797"/>
                    </a:xfrm>
                    <a:prstGeom prst="rect">
                      <a:avLst/>
                    </a:prstGeom>
                    <a:ln/>
                  </pic:spPr>
                </pic:pic>
              </a:graphicData>
            </a:graphic>
          </wp:inline>
        </w:drawing>
      </w:r>
    </w:p>
    <w:p w:rsidR="005C4DC7" w:rsidRPr="0098786D" w:rsidRDefault="005C4DC7">
      <w:pPr>
        <w:spacing w:line="360" w:lineRule="auto"/>
        <w:ind w:right="-518"/>
        <w:jc w:val="both"/>
        <w:rPr>
          <w:rFonts w:ascii="Palatino Linotype" w:eastAsia="Palatino Linotype" w:hAnsi="Palatino Linotype" w:cs="Palatino Linotype"/>
          <w:color w:val="000000"/>
          <w:sz w:val="24"/>
          <w:szCs w:val="24"/>
        </w:rPr>
      </w:pPr>
    </w:p>
    <w:p w:rsidR="005C4DC7"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Asimismo, cabe mencionar que en el supuesto de que el Particular introdujera el número de alguna cédula profesional en el apartado de búsqueda, lo conduciría a que al corresponder únicamente al número de cédula profesional, al nombre del servidor público y al tipo de cédula que se expide,  es información de naturaleza pública, por lo que, no resulta procedente su clasificación, al no actualizar la fracción I del artículo 143 de la Ley de Transparencia y Acceso a la Información Pública del Estado de México y Municipios.  </w:t>
      </w:r>
    </w:p>
    <w:p w:rsidR="0098786D" w:rsidRPr="0098786D" w:rsidRDefault="0098786D" w:rsidP="0098786D">
      <w:pPr>
        <w:spacing w:line="360" w:lineRule="auto"/>
        <w:ind w:right="-518"/>
        <w:jc w:val="both"/>
        <w:rPr>
          <w:rFonts w:ascii="Palatino Linotype" w:eastAsia="Palatino Linotype" w:hAnsi="Palatino Linotype" w:cs="Palatino Linotype"/>
        </w:rPr>
      </w:pPr>
    </w:p>
    <w:p w:rsidR="005C4DC7" w:rsidRPr="0098786D" w:rsidRDefault="00936BF5">
      <w:pPr>
        <w:spacing w:line="360" w:lineRule="auto"/>
        <w:ind w:right="-518"/>
        <w:jc w:val="center"/>
        <w:rPr>
          <w:rFonts w:ascii="Palatino Linotype" w:eastAsia="Palatino Linotype" w:hAnsi="Palatino Linotype" w:cs="Palatino Linotype"/>
          <w:sz w:val="24"/>
          <w:szCs w:val="24"/>
        </w:rPr>
      </w:pPr>
      <w:r w:rsidRPr="0098786D">
        <w:rPr>
          <w:rFonts w:ascii="Palatino Linotype" w:eastAsia="Palatino Linotype" w:hAnsi="Palatino Linotype" w:cs="Palatino Linotype"/>
          <w:noProof/>
          <w:sz w:val="24"/>
          <w:szCs w:val="24"/>
        </w:rPr>
        <w:drawing>
          <wp:inline distT="0" distB="0" distL="0" distR="0">
            <wp:extent cx="2879725" cy="508635"/>
            <wp:effectExtent l="0" t="0" r="0" b="0"/>
            <wp:docPr id="2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b="41089"/>
                    <a:stretch>
                      <a:fillRect/>
                    </a:stretch>
                  </pic:blipFill>
                  <pic:spPr>
                    <a:xfrm>
                      <a:off x="0" y="0"/>
                      <a:ext cx="2879725" cy="508635"/>
                    </a:xfrm>
                    <a:prstGeom prst="rect">
                      <a:avLst/>
                    </a:prstGeom>
                    <a:ln/>
                  </pic:spPr>
                </pic:pic>
              </a:graphicData>
            </a:graphic>
          </wp:inline>
        </w:drawing>
      </w:r>
    </w:p>
    <w:p w:rsidR="005C4DC7" w:rsidRDefault="005C4DC7">
      <w:pPr>
        <w:spacing w:line="360" w:lineRule="auto"/>
        <w:ind w:right="-518"/>
        <w:jc w:val="center"/>
        <w:rPr>
          <w:rFonts w:ascii="Palatino Linotype" w:eastAsia="Palatino Linotype" w:hAnsi="Palatino Linotype" w:cs="Palatino Linotype"/>
          <w:sz w:val="24"/>
          <w:szCs w:val="24"/>
        </w:rPr>
      </w:pPr>
    </w:p>
    <w:p w:rsidR="0098786D" w:rsidRPr="0098786D" w:rsidRDefault="0098786D">
      <w:pPr>
        <w:spacing w:line="360" w:lineRule="auto"/>
        <w:ind w:right="-518"/>
        <w:jc w:val="center"/>
        <w:rPr>
          <w:rFonts w:ascii="Palatino Linotype" w:eastAsia="Palatino Linotype" w:hAnsi="Palatino Linotype" w:cs="Palatino Linotype"/>
          <w:sz w:val="24"/>
          <w:szCs w:val="24"/>
        </w:rPr>
      </w:pPr>
    </w:p>
    <w:p w:rsidR="005C4DC7" w:rsidRPr="0098786D" w:rsidRDefault="00936BF5">
      <w:pPr>
        <w:numPr>
          <w:ilvl w:val="0"/>
          <w:numId w:val="4"/>
        </w:numPr>
        <w:spacing w:after="0"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lastRenderedPageBreak/>
        <w:t>Cadena original de cédula.</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Por último, es necesario precisar que la cadena original contenida en el documento, se integra por diversos datos, entre ellos la Clave Única de Registro de Población (CURP), el nombre del titular de la cédula, datos de la Institución Educativa y la profesión realizada.</w:t>
      </w:r>
    </w:p>
    <w:p w:rsidR="005C4DC7" w:rsidRPr="0098786D" w:rsidRDefault="005C4DC7">
      <w:pPr>
        <w:spacing w:line="360" w:lineRule="auto"/>
        <w:ind w:right="-518"/>
        <w:jc w:val="both"/>
        <w:rPr>
          <w:rFonts w:ascii="Palatino Linotype" w:eastAsia="Palatino Linotype" w:hAnsi="Palatino Linotype" w:cs="Palatino Linotype"/>
          <w:color w:val="000000"/>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En ese contexto, dado que el dato en cuestión revela datos de naturaleza confidencial, a saber, la Clave Única de Registro de Población, misma que como se analizó en párrafos anteriores, es clasificado, se considera que este actualiza la causal de clasificación prevista en el artículo 143, fracción I, de la Ley de la materia.</w:t>
      </w:r>
    </w:p>
    <w:p w:rsidR="005C4DC7" w:rsidRPr="0098786D" w:rsidRDefault="005C4DC7">
      <w:pPr>
        <w:spacing w:line="360" w:lineRule="auto"/>
        <w:ind w:right="-518"/>
        <w:jc w:val="both"/>
        <w:rPr>
          <w:rFonts w:ascii="Palatino Linotype" w:eastAsia="Palatino Linotype" w:hAnsi="Palatino Linotype" w:cs="Palatino Linotype"/>
          <w:color w:val="000000"/>
          <w:sz w:val="24"/>
          <w:szCs w:val="24"/>
        </w:rPr>
      </w:pPr>
    </w:p>
    <w:p w:rsidR="005C4DC7" w:rsidRPr="0098786D" w:rsidRDefault="00936BF5">
      <w:pPr>
        <w:numPr>
          <w:ilvl w:val="0"/>
          <w:numId w:val="4"/>
        </w:numPr>
        <w:spacing w:after="0"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Firma electrónica avanzada del Servidor Público facultado para la expedición y sello digital de tiempo SEP.</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Se trata de una serie de dígitos, que de manera alguna revela datos personales del titular de la cédula profesional, y, al contrario, da validez al documento en cuestión.</w:t>
      </w:r>
    </w:p>
    <w:p w:rsidR="0098786D" w:rsidRDefault="0098786D">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Por tales circunstancias, al no revelar datos personales confidenciales de las personas contratadas, se considera que el código de barras, zona de lectura mecánica, código bidimensional o QR, firma electrónica avanzada del Servidor Público facultado y sello digital de tiempo SEP, no actualizan la causal de clasificación prevista en el artículo 143, fracción I, de la Ley de Transparencia y Acceso a la Información Pública del Estado de México y Municipios.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4"/>
        </w:numPr>
        <w:spacing w:after="0"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lastRenderedPageBreak/>
        <w:t>Fotografía y firma en cédula profesional.</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Al respecto, es necesario precisar que la cédula y el título profesional, son los documentos que toda persona </w:t>
      </w:r>
      <w:r w:rsidRPr="0098786D">
        <w:rPr>
          <w:rFonts w:ascii="Palatino Linotype" w:eastAsia="Palatino Linotype" w:hAnsi="Palatino Linotype" w:cs="Palatino Linotype"/>
          <w:i/>
          <w:iCs/>
        </w:rPr>
        <w:t>a quien legalmente se le haya expedido título profesional o grado académico equivalente, podrá obtener</w:t>
      </w:r>
      <w:r w:rsidRPr="0098786D">
        <w:rPr>
          <w:rFonts w:ascii="Palatino Linotype" w:eastAsia="Palatino Linotype" w:hAnsi="Palatino Linotype" w:cs="Palatino Linotype"/>
        </w:rPr>
        <w:t xml:space="preserve"> (…) </w:t>
      </w:r>
      <w:r w:rsidRPr="0098786D">
        <w:rPr>
          <w:rFonts w:ascii="Palatino Linotype" w:eastAsia="Palatino Linotype" w:hAnsi="Palatino Linotype" w:cs="Palatino Linotype"/>
          <w:b/>
          <w:bCs/>
          <w:i/>
          <w:iCs/>
        </w:rPr>
        <w:t xml:space="preserve">con efectos de patente, </w:t>
      </w:r>
      <w:r w:rsidRPr="0098786D">
        <w:rPr>
          <w:rFonts w:ascii="Palatino Linotype" w:eastAsia="Palatino Linotype" w:hAnsi="Palatino Linotype" w:cs="Palatino Linotype"/>
        </w:rPr>
        <w:t xml:space="preserve">es otorgada por la Dirección General de Profesiones o por la Institución respectiva, para identidad en todas las actividades profesionales, de conformidad con los artículos 3° y 23, fracción IV de la Ley Reglamentaria del Artículo 5° Constitucional, Relativo al Ejercicio de las Profesiones en la Ciudad de México. </w:t>
      </w:r>
    </w:p>
    <w:p w:rsidR="005C4DC7" w:rsidRPr="0098786D" w:rsidRDefault="005C4DC7">
      <w:pPr>
        <w:spacing w:line="360" w:lineRule="auto"/>
        <w:ind w:left="644"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Ahora bien, respecto de las </w:t>
      </w:r>
      <w:r w:rsidR="00233697" w:rsidRPr="0098786D">
        <w:rPr>
          <w:rFonts w:ascii="Palatino Linotype" w:eastAsia="Palatino Linotype" w:hAnsi="Palatino Linotype" w:cs="Palatino Linotype"/>
          <w:b/>
          <w:bCs/>
        </w:rPr>
        <w:t xml:space="preserve">fotografías, </w:t>
      </w:r>
      <w:r w:rsidRPr="0098786D">
        <w:rPr>
          <w:rFonts w:ascii="Palatino Linotype" w:eastAsia="Palatino Linotype" w:hAnsi="Palatino Linotype" w:cs="Palatino Linotype"/>
        </w:rPr>
        <w:t xml:space="preserve">se considera que no pueden ser clasificadas como confidenciales, pues en el caso, su derecho a la privacidad o a la propia imagen es superado por el interés público de conocer si la persona que se encuentra prestando el servicio y que aparece en la cédula profesional es quien dice ser y si cumple con los requisitos y características necesarias para el puesto. </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En este contexto, la transparencia prevalece sobre el derecho a la privacidad en la medida en que contribuye a fortalecer la confianza en las instituciones públicas —en el caso, al existir una prestación de servicios suscrita por el </w:t>
      </w:r>
      <w:r w:rsidRPr="0098786D">
        <w:rPr>
          <w:rFonts w:ascii="Palatino Linotype" w:eastAsia="Palatino Linotype" w:hAnsi="Palatino Linotype" w:cs="Palatino Linotype"/>
          <w:b/>
          <w:bCs/>
        </w:rPr>
        <w:t>SUJETO OBLIGADO</w:t>
      </w:r>
      <w:r w:rsidRPr="0098786D">
        <w:rPr>
          <w:rFonts w:ascii="Palatino Linotype" w:eastAsia="Palatino Linotype" w:hAnsi="Palatino Linotype" w:cs="Palatino Linotype"/>
        </w:rPr>
        <w:t xml:space="preserve">— permite a los ciudadanos ejercer control sobre sus representantes y los procesos administrativos. </w:t>
      </w:r>
    </w:p>
    <w:p w:rsidR="00233697" w:rsidRPr="0098786D" w:rsidRDefault="00233697">
      <w:pPr>
        <w:spacing w:line="360" w:lineRule="auto"/>
        <w:ind w:right="-518"/>
        <w:jc w:val="both"/>
        <w:rPr>
          <w:rFonts w:ascii="Palatino Linotype" w:eastAsia="Palatino Linotype" w:hAnsi="Palatino Linotype" w:cs="Palatino Linotype"/>
          <w:sz w:val="24"/>
          <w:szCs w:val="24"/>
        </w:rPr>
      </w:pP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Respecto a la </w:t>
      </w:r>
      <w:r w:rsidRPr="0098786D">
        <w:rPr>
          <w:rFonts w:ascii="Palatino Linotype" w:eastAsia="Palatino Linotype" w:hAnsi="Palatino Linotype" w:cs="Palatino Linotype"/>
          <w:b/>
          <w:bCs/>
        </w:rPr>
        <w:t xml:space="preserve">firma, </w:t>
      </w:r>
      <w:r w:rsidRPr="0098786D">
        <w:rPr>
          <w:rFonts w:ascii="Palatino Linotype" w:eastAsia="Palatino Linotype" w:hAnsi="Palatino Linotype" w:cs="Palatino Linotype"/>
        </w:rPr>
        <w:t xml:space="preserve">es necesario precisar que ésta es considerada un dato personal concerniente a una persona física identificada o identificable, al tratarse de información gráfica a través de la cual su titular exterioriza su voluntad en actos públicos y privados.   En </w:t>
      </w:r>
      <w:r w:rsidRPr="0098786D">
        <w:rPr>
          <w:rFonts w:ascii="Palatino Linotype" w:eastAsia="Palatino Linotype" w:hAnsi="Palatino Linotype" w:cs="Palatino Linotype"/>
        </w:rPr>
        <w:lastRenderedPageBreak/>
        <w:t xml:space="preserve">consecuencia, los documentos donde conste la firma de los ciudadanos, se deben clasificar como confidencial. </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spacing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Identificación oficial (credencial de elector o pasaporte vigente) y comprobante de domicilio (15).</w:t>
      </w:r>
    </w:p>
    <w:p w:rsidR="005C4DC7" w:rsidRPr="0098786D" w:rsidRDefault="00936BF5" w:rsidP="0098786D">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En el caso concreto, la </w:t>
      </w:r>
      <w:r w:rsidRPr="0098786D">
        <w:rPr>
          <w:rFonts w:ascii="Palatino Linotype" w:eastAsia="Palatino Linotype" w:hAnsi="Palatino Linotype" w:cs="Palatino Linotype"/>
          <w:b/>
          <w:bCs/>
        </w:rPr>
        <w:t>identificación oficial</w:t>
      </w:r>
      <w:r w:rsidRPr="0098786D">
        <w:rPr>
          <w:rFonts w:ascii="Palatino Linotype" w:eastAsia="Palatino Linotype" w:hAnsi="Palatino Linotype" w:cs="Palatino Linotype"/>
        </w:rPr>
        <w:t xml:space="preserve"> de los particulares, contiene datos como nombre, fotografía, —y probablemente— edad, domicilio, fecha de nacimiento, curp, nacionalidad, solo por mencionar algunos, son datos personales de particulares que, no resultan de relevancia para el interés público; en ese mismo sentido, los datos contenidos en una </w:t>
      </w:r>
      <w:r w:rsidRPr="0098786D">
        <w:rPr>
          <w:rFonts w:ascii="Palatino Linotype" w:eastAsia="Palatino Linotype" w:hAnsi="Palatino Linotype" w:cs="Palatino Linotype"/>
          <w:b/>
          <w:bCs/>
        </w:rPr>
        <w:t>constancia domiciliaria</w:t>
      </w:r>
      <w:r w:rsidRPr="0098786D">
        <w:rPr>
          <w:rFonts w:ascii="Palatino Linotype" w:eastAsia="Palatino Linotype" w:hAnsi="Palatino Linotype" w:cs="Palatino Linotype"/>
        </w:rPr>
        <w:t xml:space="preserve"> de los particulares, resulta ser información de carácter confidencial.</w:t>
      </w:r>
    </w:p>
    <w:p w:rsidR="005C4DC7" w:rsidRPr="0098786D" w:rsidRDefault="005C4DC7">
      <w:pPr>
        <w:spacing w:after="0" w:line="360" w:lineRule="auto"/>
        <w:ind w:right="-518"/>
        <w:jc w:val="both"/>
        <w:rPr>
          <w:rFonts w:ascii="Palatino Linotype" w:eastAsia="Palatino Linotype" w:hAnsi="Palatino Linotype" w:cs="Palatino Linotype"/>
          <w:sz w:val="24"/>
          <w:szCs w:val="24"/>
        </w:rPr>
      </w:pPr>
    </w:p>
    <w:p w:rsidR="005C4DC7" w:rsidRPr="0098786D"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98786D">
        <w:rPr>
          <w:rFonts w:ascii="Palatino Linotype" w:eastAsia="Palatino Linotype" w:hAnsi="Palatino Linotype" w:cs="Palatino Linotype"/>
        </w:rPr>
        <w:t xml:space="preserve">Así, en la identificación oficial se contiene mínimamente el </w:t>
      </w:r>
      <w:r w:rsidRPr="0098786D">
        <w:rPr>
          <w:rFonts w:ascii="Palatino Linotype" w:eastAsia="Palatino Linotype" w:hAnsi="Palatino Linotype" w:cs="Palatino Linotype"/>
          <w:b/>
          <w:bCs/>
        </w:rPr>
        <w:t>nombre</w:t>
      </w:r>
      <w:r w:rsidRPr="0098786D">
        <w:rPr>
          <w:rFonts w:ascii="Palatino Linotype" w:eastAsia="Palatino Linotype" w:hAnsi="Palatino Linotype" w:cs="Palatino Linotype"/>
        </w:rPr>
        <w:t xml:space="preserve">; palabra que designa o identifica a alguien, en el caso de las personas se compone del nombre o nombres propios y los apellidos materno y paterno, el cual sirve para hacer identificable a los individuos del resto de los demás. Y respecto de la constancia de </w:t>
      </w:r>
      <w:r w:rsidRPr="0098786D">
        <w:rPr>
          <w:rFonts w:ascii="Palatino Linotype" w:eastAsia="Palatino Linotype" w:hAnsi="Palatino Linotype" w:cs="Palatino Linotype"/>
          <w:b/>
          <w:bCs/>
        </w:rPr>
        <w:t>domicilio</w:t>
      </w:r>
      <w:r w:rsidRPr="0098786D">
        <w:rPr>
          <w:rFonts w:ascii="Palatino Linotype" w:eastAsia="Palatino Linotype" w:hAnsi="Palatino Linotype" w:cs="Palatino Linotype"/>
        </w:rPr>
        <w:t xml:space="preserve">, es un atributo de la personalidad y un derecho de las personas (de acuerdo con lo señalado en los artículos 2.3 y 2.5 del Código Civil del Estado de México), este tiene como propósito que una persona pueda establecerse temporal o permanentemente en un lugar determinado, para habitar, establecer su centro de trabajo o negocios. </w:t>
      </w:r>
    </w:p>
    <w:p w:rsidR="005C4DC7" w:rsidRPr="0098786D" w:rsidRDefault="005C4DC7">
      <w:pPr>
        <w:spacing w:after="0"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En consecuencia, tanto la identificación oficial como el comprobante de domicilio, en términos de lo dispuesto por la fracción I del artículo 143 de la Ley de Transparencia y Acceso a la Información Pública del Estado de México y Municipios, así como del artículo 4, </w:t>
      </w:r>
      <w:r w:rsidRPr="00DB69AE">
        <w:rPr>
          <w:rFonts w:ascii="Palatino Linotype" w:eastAsia="Palatino Linotype" w:hAnsi="Palatino Linotype" w:cs="Palatino Linotype"/>
        </w:rPr>
        <w:lastRenderedPageBreak/>
        <w:t>fracciones XI y XII de la Ley de Protección de Datos Personales del Estado de México, es información que incide en la intimidad de las dos personas de las que se solicita la información en estudio.</w:t>
      </w:r>
    </w:p>
    <w:p w:rsidR="005C4DC7" w:rsidRPr="0098786D" w:rsidRDefault="005C4DC7">
      <w:pPr>
        <w:spacing w:after="0"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Luego entonces, los documentos solicitados son documentos que solo les conciernen a sus titulares. Bajo esa óptica, y atendiendo a la naturaleza jurídica de dichos documentos, los mismos son susceptibles de clasificarse como totalmente confidenciales, de acuerdo con el artículo 116, párrafo primero de la Ley General de Transparencia y el artículo 143, fracción I de la Ley de Transparencia y Acceso a la Información Pública del Estado de México y Municipios.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Sobre este documento, se debe señalar que la responsabilidad de formar el Padrón Electoral y expedir la credencial de elector, corresponde a la Dirección Ejecutiva del Registro Federal de Electores del Instituto Nacional Electoral, de conformidad con lo establecido en el artículo 54, apartado 1, incisos b) y c) de la Ley General de Instituciones y Procedimientos Electorales.</w:t>
      </w:r>
    </w:p>
    <w:p w:rsidR="005C4DC7" w:rsidRPr="0098786D" w:rsidRDefault="005C4DC7">
      <w:pPr>
        <w:spacing w:after="0"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b/>
          <w:bCs/>
          <w:color w:val="000000"/>
        </w:rPr>
      </w:pPr>
      <w:r w:rsidRPr="00DB69AE">
        <w:rPr>
          <w:rFonts w:ascii="Palatino Linotype" w:eastAsia="Palatino Linotype" w:hAnsi="Palatino Linotype" w:cs="Palatino Linotype"/>
        </w:rPr>
        <w:t>De manera particular el artículo 156, de la Ley General de Instituciones y Procedimientos Electorales dispone que la credencial para votar deberá contener, cuando menos, los siguientes datos:</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a) </w:t>
      </w:r>
      <w:r w:rsidRPr="0098786D">
        <w:rPr>
          <w:rFonts w:ascii="Palatino Linotype" w:eastAsia="Palatino Linotype" w:hAnsi="Palatino Linotype" w:cs="Palatino Linotype"/>
          <w:i/>
          <w:iCs/>
          <w:color w:val="000000"/>
          <w:sz w:val="24"/>
          <w:szCs w:val="24"/>
        </w:rPr>
        <w:t xml:space="preserve">Entidad federativa, municipio y localidad que corresponden al domicilio. En caso de los ciudadanos residentes en el extranjero, el país en el que residen y la entidad federativa de su lugar de nacimiento. Aquellos que nacieron en el extranjero y nunca han vivido en territorio nacional, deberán acreditar la entidad federativa de nacimiento del progenitor mexicano. Cuando ambos progenitores sean mexicanos, señalará la de su elección, en definitiva;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lastRenderedPageBreak/>
        <w:t xml:space="preserve">b) </w:t>
      </w:r>
      <w:r w:rsidRPr="0098786D">
        <w:rPr>
          <w:rFonts w:ascii="Palatino Linotype" w:eastAsia="Palatino Linotype" w:hAnsi="Palatino Linotype" w:cs="Palatino Linotype"/>
          <w:i/>
          <w:iCs/>
          <w:color w:val="000000"/>
          <w:sz w:val="24"/>
          <w:szCs w:val="24"/>
        </w:rPr>
        <w:t xml:space="preserve">Sección electoral en donde deberá votar el ciudadano. En el caso de los ciudadanos residentes en el extranjero no será necesario incluir este requisito;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c) </w:t>
      </w:r>
      <w:r w:rsidRPr="0098786D">
        <w:rPr>
          <w:rFonts w:ascii="Palatino Linotype" w:eastAsia="Palatino Linotype" w:hAnsi="Palatino Linotype" w:cs="Palatino Linotype"/>
          <w:i/>
          <w:iCs/>
          <w:color w:val="000000"/>
          <w:sz w:val="24"/>
          <w:szCs w:val="24"/>
        </w:rPr>
        <w:t xml:space="preserve">Apellido paterno, apellido materno y nombre completo;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d) </w:t>
      </w:r>
      <w:r w:rsidRPr="0098786D">
        <w:rPr>
          <w:rFonts w:ascii="Palatino Linotype" w:eastAsia="Palatino Linotype" w:hAnsi="Palatino Linotype" w:cs="Palatino Linotype"/>
          <w:i/>
          <w:iCs/>
          <w:color w:val="000000"/>
          <w:sz w:val="24"/>
          <w:szCs w:val="24"/>
        </w:rPr>
        <w:t xml:space="preserve">Domicilio;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e) </w:t>
      </w:r>
      <w:r w:rsidRPr="0098786D">
        <w:rPr>
          <w:rFonts w:ascii="Palatino Linotype" w:eastAsia="Palatino Linotype" w:hAnsi="Palatino Linotype" w:cs="Palatino Linotype"/>
          <w:i/>
          <w:iCs/>
          <w:color w:val="000000"/>
          <w:sz w:val="24"/>
          <w:szCs w:val="24"/>
        </w:rPr>
        <w:t xml:space="preserve">Sexo; </w:t>
      </w:r>
    </w:p>
    <w:p w:rsidR="005C4DC7" w:rsidRPr="0098786D" w:rsidRDefault="00936BF5">
      <w:pPr>
        <w:spacing w:after="0"/>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color w:val="000000"/>
          <w:sz w:val="24"/>
          <w:szCs w:val="24"/>
        </w:rPr>
        <w:t xml:space="preserve">f) </w:t>
      </w:r>
      <w:r w:rsidRPr="0098786D">
        <w:rPr>
          <w:rFonts w:ascii="Palatino Linotype" w:eastAsia="Palatino Linotype" w:hAnsi="Palatino Linotype" w:cs="Palatino Linotype"/>
          <w:i/>
          <w:iCs/>
          <w:color w:val="000000"/>
          <w:sz w:val="24"/>
          <w:szCs w:val="24"/>
        </w:rPr>
        <w:t>Edad y año de registro;</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g) </w:t>
      </w:r>
      <w:r w:rsidRPr="0098786D">
        <w:rPr>
          <w:rFonts w:ascii="Palatino Linotype" w:eastAsia="Palatino Linotype" w:hAnsi="Palatino Linotype" w:cs="Palatino Linotype"/>
          <w:i/>
          <w:iCs/>
          <w:color w:val="000000"/>
          <w:sz w:val="24"/>
          <w:szCs w:val="24"/>
        </w:rPr>
        <w:t xml:space="preserve">Firma, huella digital y fotografía del elector;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h) </w:t>
      </w:r>
      <w:r w:rsidRPr="0098786D">
        <w:rPr>
          <w:rFonts w:ascii="Palatino Linotype" w:eastAsia="Palatino Linotype" w:hAnsi="Palatino Linotype" w:cs="Palatino Linotype"/>
          <w:i/>
          <w:iCs/>
          <w:color w:val="000000"/>
          <w:sz w:val="24"/>
          <w:szCs w:val="24"/>
        </w:rPr>
        <w:t xml:space="preserve">Clave de registro, y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i) </w:t>
      </w:r>
      <w:r w:rsidRPr="0098786D">
        <w:rPr>
          <w:rFonts w:ascii="Palatino Linotype" w:eastAsia="Palatino Linotype" w:hAnsi="Palatino Linotype" w:cs="Palatino Linotype"/>
          <w:i/>
          <w:iCs/>
          <w:color w:val="000000"/>
          <w:sz w:val="24"/>
          <w:szCs w:val="24"/>
        </w:rPr>
        <w:t xml:space="preserve">Clave Única del Registro de Población. </w:t>
      </w:r>
    </w:p>
    <w:p w:rsidR="005C4DC7" w:rsidRPr="0098786D" w:rsidRDefault="005C4DC7">
      <w:pPr>
        <w:spacing w:after="0"/>
        <w:ind w:left="851" w:right="-518"/>
        <w:jc w:val="both"/>
        <w:rPr>
          <w:rFonts w:ascii="Palatino Linotype" w:eastAsia="Palatino Linotype" w:hAnsi="Palatino Linotype" w:cs="Palatino Linotype"/>
          <w:b/>
          <w:bCs/>
          <w:i/>
          <w:iCs/>
          <w:color w:val="000000"/>
          <w:sz w:val="24"/>
          <w:szCs w:val="24"/>
        </w:rPr>
      </w:pP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2. </w:t>
      </w:r>
      <w:r w:rsidRPr="0098786D">
        <w:rPr>
          <w:rFonts w:ascii="Palatino Linotype" w:eastAsia="Palatino Linotype" w:hAnsi="Palatino Linotype" w:cs="Palatino Linotype"/>
          <w:i/>
          <w:iCs/>
          <w:color w:val="000000"/>
          <w:sz w:val="24"/>
          <w:szCs w:val="24"/>
        </w:rPr>
        <w:t xml:space="preserve">Además tendrá: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a) </w:t>
      </w:r>
      <w:r w:rsidRPr="0098786D">
        <w:rPr>
          <w:rFonts w:ascii="Palatino Linotype" w:eastAsia="Palatino Linotype" w:hAnsi="Palatino Linotype" w:cs="Palatino Linotype"/>
          <w:i/>
          <w:iCs/>
          <w:color w:val="000000"/>
          <w:sz w:val="24"/>
          <w:szCs w:val="24"/>
        </w:rPr>
        <w:t xml:space="preserve">Espacios necesarios para marcar año y elección de que se trate;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b) </w:t>
      </w:r>
      <w:r w:rsidRPr="0098786D">
        <w:rPr>
          <w:rFonts w:ascii="Palatino Linotype" w:eastAsia="Palatino Linotype" w:hAnsi="Palatino Linotype" w:cs="Palatino Linotype"/>
          <w:i/>
          <w:iCs/>
          <w:color w:val="000000"/>
          <w:sz w:val="24"/>
          <w:szCs w:val="24"/>
        </w:rPr>
        <w:t xml:space="preserve">Firma impresa del Secretario Ejecutivo del Instituto;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c) </w:t>
      </w:r>
      <w:r w:rsidRPr="0098786D">
        <w:rPr>
          <w:rFonts w:ascii="Palatino Linotype" w:eastAsia="Palatino Linotype" w:hAnsi="Palatino Linotype" w:cs="Palatino Linotype"/>
          <w:i/>
          <w:iCs/>
          <w:color w:val="000000"/>
          <w:sz w:val="24"/>
          <w:szCs w:val="24"/>
        </w:rPr>
        <w:t xml:space="preserve">Año de emisión;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d) </w:t>
      </w:r>
      <w:r w:rsidRPr="0098786D">
        <w:rPr>
          <w:rFonts w:ascii="Palatino Linotype" w:eastAsia="Palatino Linotype" w:hAnsi="Palatino Linotype" w:cs="Palatino Linotype"/>
          <w:i/>
          <w:iCs/>
          <w:color w:val="000000"/>
          <w:sz w:val="24"/>
          <w:szCs w:val="24"/>
        </w:rPr>
        <w:t xml:space="preserve">Año en el que expira su vigencia, y </w:t>
      </w:r>
    </w:p>
    <w:p w:rsidR="005C4DC7" w:rsidRPr="0098786D" w:rsidRDefault="00936BF5">
      <w:pPr>
        <w:spacing w:after="0"/>
        <w:ind w:left="851"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e) </w:t>
      </w:r>
      <w:r w:rsidRPr="0098786D">
        <w:rPr>
          <w:rFonts w:ascii="Palatino Linotype" w:eastAsia="Palatino Linotype" w:hAnsi="Palatino Linotype" w:cs="Palatino Linotype"/>
          <w:i/>
          <w:iCs/>
          <w:color w:val="000000"/>
          <w:sz w:val="24"/>
          <w:szCs w:val="24"/>
        </w:rPr>
        <w:t>En el caso de la que se expida al ciudadano residente en el extranjero, la leyenda “Para Votar desde el Extranjero”.</w:t>
      </w:r>
    </w:p>
    <w:p w:rsidR="005C4DC7" w:rsidRPr="0098786D" w:rsidRDefault="005C4DC7">
      <w:pPr>
        <w:spacing w:after="0"/>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tabs>
          <w:tab w:val="left" w:pos="142"/>
        </w:tabs>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Como se advierte, todos los elementos contenidos en la credencial hacen a su titular, identificado, identificable e incluso ubicable en su domicilio. El número o la clave de la credencial de elector, son únicos e irrepetibles y; de manera general este documento es utilizado para identificarse al momento de realizar trámites oficiales y de tipo privado, incluso en algunos lugares se tiene por costumbre tomar datos de la credencia para asentar en un documento como manera de acreditar la presentación de su titular y comprobar que la credencial se tuvo a la vista, por ello su relevancia y lo delicado de su uso.</w:t>
      </w:r>
    </w:p>
    <w:p w:rsidR="005C4DC7" w:rsidRPr="0098786D" w:rsidRDefault="005C4DC7">
      <w:pPr>
        <w:spacing w:after="0"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Es de tener presente que la finalidad esencial de la credencial para votar con fotografía es la de ejercer el derecho humano de votar y ser votado; sin embargo, en el país, este documento es el reconocido a nivel general como medio idóneo para identificarse incluso de </w:t>
      </w:r>
      <w:r w:rsidRPr="00DB69AE">
        <w:rPr>
          <w:rFonts w:ascii="Palatino Linotype" w:eastAsia="Palatino Linotype" w:hAnsi="Palatino Linotype" w:cs="Palatino Linotype"/>
        </w:rPr>
        <w:lastRenderedPageBreak/>
        <w:t>manera oficial; en el Estado de México está reconocida como identificación oficial en el artículo 2.5 Bis, fracción II del Código Civil del Estado de México.</w:t>
      </w:r>
    </w:p>
    <w:p w:rsidR="005C4DC7" w:rsidRPr="0098786D" w:rsidRDefault="005C4DC7">
      <w:pPr>
        <w:spacing w:after="0"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Dada esta relevancia y que no guarda relación directa con el ejercicio de atribuciones de servidores públicos es que su contenido debe ser analizado en función del documento total, ya que esta obra por ser el medio preferible de identificación como ciudadano y no en función del cargo público, por lo que se entiende que se analizan en su conjunto los datos personales contenidos en la misma, por lo que, en el presente caso, se considera que </w:t>
      </w:r>
      <w:r w:rsidRPr="00DB69AE">
        <w:rPr>
          <w:rFonts w:ascii="Palatino Linotype" w:eastAsia="Palatino Linotype" w:hAnsi="Palatino Linotype" w:cs="Palatino Linotype"/>
          <w:b/>
          <w:bCs/>
        </w:rPr>
        <w:t xml:space="preserve">la credencial de elector, es confidencial </w:t>
      </w:r>
      <w:r w:rsidRPr="00DB69AE">
        <w:rPr>
          <w:rFonts w:ascii="Palatino Linotype" w:eastAsia="Palatino Linotype" w:hAnsi="Palatino Linotype" w:cs="Palatino Linotype"/>
        </w:rPr>
        <w:t>y actualiza la causal de clasificación, establecida en el artículo 143, fracción I, de la Ley de Transparencia y Acceso a la Información Pública del Estado de México y Municipios.</w:t>
      </w: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Por cuanto al PASAPORTE/VISA: Es un documento que acredita la identidad y la nacionalidad de una persona y que es necesario para viajar, el cual contiene información susceptible de ser clasificada como confidencial tales como el número, la fecha de expedición y vigencia. </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Ello, de conformidad con el artículo 143, fracción I, de la Ley de Transparencia y Acceso a la Información Pública del Estado de México y Municipios; numeral Trigésimo Octavo, fracción I, de  los Lineamientos Generales en Materia de Clasificación y Desclasificación de la Información, así como para la elaboración de versiones públicas; y, artículo 1, fracción I, de los Lineamientos Sobre Medidas de Seguridad Aplicables a los Sistemas de Datos Personales que se encuentran en Posesión de los Sujetos Obligados de la Ley de Protección de Datos Personales del Estado de México.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lastRenderedPageBreak/>
        <w:t>Solicitud de empleo (emitida por la DRH)</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La solicitud de empleo es un documento físico o digital, que se estructura a modo de formulario y tiene como finalidad recoger información que el empleador requiere conocer del aspirante. En ese sentido, es importante mencionar que este documento se constituye por diversos datos personales como: nombre, domicilio particular, correo electrónico y número de teléfono particular e incluso, en ciertos formatos, información de estado de salud, hábitos personales o de consanguíneos, sin embargo, también da cuenta de información que en el presente caso resulta ser de interés público, como experiencia laboral y grados de estudio.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Bajo este orden de ideas, este documento si bien, cuenta con datos personales que en nada abonan a la transparencia y rendición de cuentas, ya que atañen únicamente a la esfera privada del servidor público, también lo es que además de contener información que acredita el nivel académico o preparación de los servidores públicos, es un requisito indispensable de ingreso al servicio público, por lo que, su acceso toma relevancia al guardar relación directa con la contratación del servidor público y con el ejercicio de sus atribuciones.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De esta manera, se trata de un documento de interés público, que contiene datos que actualizan la causal de clasificación establecida en el artículo 143, fracción I, de la Ley de Transparencia y Acceso a la Información Pública del Estado de México y Municipios, por lo tanto, deben proporcionarse en versión pública.</w:t>
      </w:r>
    </w:p>
    <w:p w:rsidR="00DB69AE" w:rsidRPr="00DB69AE" w:rsidRDefault="00DB69AE" w:rsidP="00DB69AE">
      <w:pPr>
        <w:pStyle w:val="Prrafodelista"/>
        <w:rPr>
          <w:rFonts w:ascii="Palatino Linotype" w:eastAsia="Palatino Linotype" w:hAnsi="Palatino Linotype" w:cs="Palatino Linotype"/>
        </w:rPr>
      </w:pPr>
    </w:p>
    <w:p w:rsidR="00DB69AE" w:rsidRDefault="00DB69AE" w:rsidP="00DB69AE">
      <w:pPr>
        <w:pStyle w:val="Prrafodelista"/>
        <w:spacing w:line="360" w:lineRule="auto"/>
        <w:ind w:left="0" w:right="-518"/>
        <w:jc w:val="both"/>
        <w:rPr>
          <w:rFonts w:ascii="Palatino Linotype" w:eastAsia="Palatino Linotype" w:hAnsi="Palatino Linotype" w:cs="Palatino Linotype"/>
        </w:rPr>
      </w:pPr>
    </w:p>
    <w:p w:rsidR="00DB69AE" w:rsidRDefault="00DB69AE" w:rsidP="00DB69AE">
      <w:pPr>
        <w:pStyle w:val="Prrafodelista"/>
        <w:spacing w:line="360" w:lineRule="auto"/>
        <w:ind w:left="0" w:right="-518"/>
        <w:jc w:val="both"/>
        <w:rPr>
          <w:rFonts w:ascii="Palatino Linotype" w:eastAsia="Palatino Linotype" w:hAnsi="Palatino Linotype" w:cs="Palatino Linotype"/>
        </w:rPr>
      </w:pPr>
    </w:p>
    <w:p w:rsidR="00DB69AE" w:rsidRPr="00DB69AE" w:rsidRDefault="00DB69AE" w:rsidP="00DB69AE">
      <w:pPr>
        <w:pStyle w:val="Prrafodelista"/>
        <w:spacing w:line="360" w:lineRule="auto"/>
        <w:ind w:left="0" w:right="-518"/>
        <w:jc w:val="both"/>
        <w:rPr>
          <w:rFonts w:ascii="Palatino Linotype" w:eastAsia="Palatino Linotype" w:hAnsi="Palatino Linotype" w:cs="Palatino Linotype"/>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lastRenderedPageBreak/>
        <w:t>CURP</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En ese orden de ideas, la Secretaría de Gobernación</w:t>
      </w:r>
      <w:r w:rsidRPr="0098786D">
        <w:rPr>
          <w:rFonts w:eastAsia="Palatino Linotype"/>
          <w:vertAlign w:val="superscript"/>
        </w:rPr>
        <w:footnoteReference w:id="3"/>
      </w:r>
      <w:r w:rsidRPr="00DB69AE">
        <w:rPr>
          <w:rFonts w:ascii="Palatino Linotype" w:eastAsia="Palatino Linotype" w:hAnsi="Palatino Linotype" w:cs="Palatino Linotype"/>
        </w:rPr>
        <w:t>,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se generan a partir de los datos contenidos en el documento probatorio de la identidad del interesado (acta de nacimiento, carta de naturalización o documento migratorio) de la siguiente forma:</w:t>
      </w:r>
    </w:p>
    <w:p w:rsidR="005C4DC7" w:rsidRPr="0098786D" w:rsidRDefault="00936BF5">
      <w:pPr>
        <w:numPr>
          <w:ilvl w:val="0"/>
          <w:numId w:val="3"/>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El primero y segundo apellidos, así como al nombre de pila;</w:t>
      </w:r>
    </w:p>
    <w:p w:rsidR="005C4DC7" w:rsidRPr="0098786D" w:rsidRDefault="00936BF5">
      <w:pPr>
        <w:numPr>
          <w:ilvl w:val="0"/>
          <w:numId w:val="3"/>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La fecha de nacimiento;</w:t>
      </w:r>
    </w:p>
    <w:p w:rsidR="005C4DC7" w:rsidRPr="0098786D" w:rsidRDefault="00936BF5">
      <w:pPr>
        <w:numPr>
          <w:ilvl w:val="0"/>
          <w:numId w:val="3"/>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lastRenderedPageBreak/>
        <w:t>El sexo, y</w:t>
      </w:r>
    </w:p>
    <w:p w:rsidR="005C4DC7" w:rsidRPr="0098786D" w:rsidRDefault="00936BF5">
      <w:pPr>
        <w:numPr>
          <w:ilvl w:val="0"/>
          <w:numId w:val="3"/>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La entidad federativa de nacimiento.</w:t>
      </w:r>
    </w:p>
    <w:p w:rsidR="005C4DC7" w:rsidRPr="0098786D" w:rsidRDefault="005C4DC7">
      <w:pPr>
        <w:spacing w:line="360" w:lineRule="auto"/>
        <w:ind w:right="-518"/>
        <w:jc w:val="both"/>
        <w:rPr>
          <w:rFonts w:ascii="Palatino Linotype" w:eastAsia="Palatino Linotype" w:hAnsi="Palatino Linotype" w:cs="Palatino Linotype"/>
          <w:color w:val="000000"/>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Los dos últimos elementos de la Clave Única de Registro de Población evitan la duplicidad de la Clave y garantizan su correcta integración.</w:t>
      </w: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Situación que se robustece, con el Criterio 18/17, emitido por el Instituto Nacional de Transparencia, Acceso a la Información y Protección de Datos Personales, que establece lo siguiente:</w:t>
      </w:r>
    </w:p>
    <w:p w:rsidR="005C4DC7" w:rsidRPr="0098786D" w:rsidRDefault="00936BF5">
      <w:pPr>
        <w:ind w:left="567" w:right="-518"/>
        <w:jc w:val="both"/>
        <w:rPr>
          <w:rFonts w:ascii="Palatino Linotype" w:eastAsia="Palatino Linotype" w:hAnsi="Palatino Linotype" w:cs="Palatino Linotype"/>
          <w:i/>
          <w:iCs/>
          <w:color w:val="000000"/>
          <w:sz w:val="24"/>
          <w:szCs w:val="24"/>
        </w:rPr>
      </w:pPr>
      <w:r w:rsidRPr="0098786D">
        <w:rPr>
          <w:rFonts w:ascii="Palatino Linotype" w:eastAsia="Palatino Linotype" w:hAnsi="Palatino Linotype" w:cs="Palatino Linotype"/>
          <w:b/>
          <w:bCs/>
          <w:i/>
          <w:iCs/>
          <w:color w:val="000000"/>
          <w:sz w:val="24"/>
          <w:szCs w:val="24"/>
        </w:rPr>
        <w:t xml:space="preserve">“Clave Única de Registro de Población (CURP). </w:t>
      </w:r>
      <w:r w:rsidRPr="0098786D">
        <w:rPr>
          <w:rFonts w:ascii="Palatino Linotype" w:eastAsia="Palatino Linotype" w:hAnsi="Palatino Linotype" w:cs="Palatino Linotype"/>
          <w:i/>
          <w:iCs/>
          <w:color w:val="000000"/>
          <w:sz w:val="24"/>
          <w:szCs w:val="24"/>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5C4DC7" w:rsidRPr="0098786D" w:rsidRDefault="005C4DC7">
      <w:pPr>
        <w:spacing w:line="360" w:lineRule="auto"/>
        <w:ind w:right="-518"/>
        <w:jc w:val="both"/>
        <w:rPr>
          <w:rFonts w:ascii="Palatino Linotype" w:eastAsia="Palatino Linotype" w:hAnsi="Palatino Linotype" w:cs="Palatino Linotype"/>
          <w:color w:val="000000"/>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De acuerdo con lo anterior, resulta procedente la clasificación de la Clave Única de Registro de Población; por lo que, la constancia de dicho dato corre la misma suerte, pues únicamente contiene datos que hacen identificables a los titulares, que en nada abonan a la transparencia y no rinden cuantas de la forma de actuar, por lo que, es un documento </w:t>
      </w:r>
      <w:r w:rsidRPr="00DB69AE">
        <w:rPr>
          <w:rFonts w:ascii="Palatino Linotype" w:eastAsia="Palatino Linotype" w:hAnsi="Palatino Linotype" w:cs="Palatino Linotype"/>
        </w:rPr>
        <w:lastRenderedPageBreak/>
        <w:t xml:space="preserve">privado, en términos del artículo 143, fracción I, de la Ley de Transparencia y Acceso a la Información Pública del Estado de México y Municipios. </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Ficha Curricular (máximo 2 cuartillas)</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Ahora bien, “currículum” corresponde a una locución latina cuyo significado es:</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“carrera de vida”, Se usa como locución nominal masculina para designar la relación de los datos personales, formación académica, actividad laboral y méritos de una persona.” (Sic)</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De la interpretación a esta definición se desprende que el currículum vitae está relacionado con la hoja de vida o carrera de vida de una persona, donde se podría apreciar la preparación académica y laboral que tiene, además de los méritos obtenidos tal y como podrían ser cursos, certificaciones o capacitaciones.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Por su lado, la Real Academia Española, lo define como a continuación se cita: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“Relación de los títulos, honores, cargos, trabajos realizados, datos biográficos, etc, que califican a una persona” (Sic)</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Desde esta perspectiva, a través del currículum vite la particular puede advertir los estudios realizados o bien el nivel académico, así como la experiencia laboral de los servidores públicos que se encuentran adscritos al </w:t>
      </w:r>
      <w:r w:rsidRPr="00DB69AE">
        <w:rPr>
          <w:rFonts w:ascii="Palatino Linotype" w:eastAsia="Palatino Linotype" w:hAnsi="Palatino Linotype" w:cs="Palatino Linotype"/>
          <w:b/>
          <w:bCs/>
        </w:rPr>
        <w:t>SUJETO OBLIGADO</w:t>
      </w:r>
      <w:r w:rsidRPr="00DB69AE">
        <w:rPr>
          <w:rFonts w:ascii="Palatino Linotype" w:eastAsia="Palatino Linotype" w:hAnsi="Palatino Linotype" w:cs="Palatino Linotype"/>
        </w:rPr>
        <w:t xml:space="preserve">,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w:t>
      </w:r>
      <w:r w:rsidRPr="00DB69AE">
        <w:rPr>
          <w:rFonts w:ascii="Palatino Linotype" w:eastAsia="Palatino Linotype" w:hAnsi="Palatino Linotype" w:cs="Palatino Linotype"/>
        </w:rPr>
        <w:lastRenderedPageBreak/>
        <w:t>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rPr>
        <w:t>Curriculum Vitae de servidores públicos</w:t>
      </w:r>
      <w:r w:rsidRPr="0098786D">
        <w:rPr>
          <w:rFonts w:ascii="Palatino Linotype" w:eastAsia="Palatino Linotype" w:hAnsi="Palatino Linotype" w:cs="Palatino Linotype"/>
          <w:i/>
          <w:iCs/>
          <w:sz w:val="24"/>
          <w:szCs w:val="24"/>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 (Sic)</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sujeto obligado, </w:t>
      </w:r>
      <w:r w:rsidRPr="00DB69AE">
        <w:rPr>
          <w:rFonts w:ascii="Palatino Linotype" w:eastAsia="Palatino Linotype" w:hAnsi="Palatino Linotype" w:cs="Palatino Linotype"/>
        </w:rPr>
        <w:lastRenderedPageBreak/>
        <w:t>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rsidR="00DB69AE" w:rsidRPr="00DB69AE" w:rsidRDefault="00DB69AE" w:rsidP="00DB69AE">
      <w:pPr>
        <w:pStyle w:val="Prrafodelista"/>
        <w:spacing w:line="360" w:lineRule="auto"/>
        <w:ind w:left="0" w:right="-518"/>
        <w:jc w:val="both"/>
        <w:rPr>
          <w:rFonts w:ascii="Palatino Linotype" w:eastAsia="Palatino Linotype" w:hAnsi="Palatino Linotype" w:cs="Palatino Linotype"/>
        </w:rPr>
      </w:pPr>
    </w:p>
    <w:p w:rsidR="005C4DC7"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DB69AE" w:rsidRPr="00DB69AE" w:rsidRDefault="00DB69AE" w:rsidP="00DB69AE">
      <w:pPr>
        <w:pStyle w:val="Prrafodelista"/>
        <w:rPr>
          <w:rFonts w:ascii="Palatino Linotype" w:eastAsia="Palatino Linotype" w:hAnsi="Palatino Linotype" w:cs="Palatino Linotype"/>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En el caso de la ficha curricular, se trata de la síntesis del currículo. En esa tesitura, debe apuntarse que la información curricular constituye una obligación de transparencia, pues </w:t>
      </w:r>
      <w:r w:rsidRPr="00DB69AE">
        <w:rPr>
          <w:rFonts w:ascii="Palatino Linotype" w:eastAsia="Palatino Linotype" w:hAnsi="Palatino Linotype" w:cs="Palatino Linotype"/>
          <w:b/>
          <w:bCs/>
        </w:rPr>
        <w:t>EL SUJETO OBLIGADO</w:t>
      </w:r>
      <w:r w:rsidRPr="00DB69AE">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lastRenderedPageBreak/>
        <w:t>XXI. La información curricular, desde el nivel de jefe de departamento o equivalente, hasta el titular del sujeto obligado, así como, en su caso, las sanciones administrativas de que haya sido objeto;”(Sic)</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Constancia de situación fiscal. (SAT)</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Es un documento que contiene información del Registro Federal de Contribuyentes y la Cédula de Identificación Fiscal.</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DB69AE" w:rsidRDefault="00936BF5">
      <w:pPr>
        <w:numPr>
          <w:ilvl w:val="0"/>
          <w:numId w:val="6"/>
        </w:numPr>
        <w:spacing w:after="0"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Respecto del </w:t>
      </w:r>
      <w:r w:rsidRPr="0098786D">
        <w:rPr>
          <w:rFonts w:ascii="Palatino Linotype" w:eastAsia="Palatino Linotype" w:hAnsi="Palatino Linotype" w:cs="Palatino Linotype"/>
          <w:b/>
          <w:bCs/>
          <w:sz w:val="24"/>
          <w:szCs w:val="24"/>
        </w:rPr>
        <w:t>Registro Federal de Contribuyentes (RFC)</w:t>
      </w:r>
      <w:r w:rsidRPr="0098786D">
        <w:rPr>
          <w:rFonts w:ascii="Palatino Linotype" w:eastAsia="Palatino Linotype" w:hAnsi="Palatino Linotype" w:cs="Palatino Linotype"/>
          <w:sz w:val="24"/>
          <w:szCs w:val="24"/>
        </w:rPr>
        <w:t xml:space="preserve"> </w:t>
      </w:r>
    </w:p>
    <w:p w:rsidR="005C4DC7" w:rsidRPr="00DB69AE" w:rsidRDefault="00DB69AE"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Pr>
          <w:rFonts w:ascii="Palatino Linotype" w:eastAsia="Palatino Linotype" w:hAnsi="Palatino Linotype" w:cs="Palatino Linotype"/>
        </w:rPr>
        <w:t>E</w:t>
      </w:r>
      <w:r w:rsidR="00936BF5" w:rsidRPr="00DB69AE">
        <w:rPr>
          <w:rFonts w:ascii="Palatino Linotype" w:eastAsia="Palatino Linotype" w:hAnsi="Palatino Linotype" w:cs="Palatino Linotype"/>
        </w:rPr>
        <w:t>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lastRenderedPageBreak/>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En el mismo sentido, resulta aplicable el Criterio 19/17 emitido por el Instituto Nacional de Transparencia, Acceso a la Información, y Protección de Datos Personales, en el cual se señala lo siguiente:</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REGISTRO FEDERAL DE CONTRIBUYENTES (RFC) DE PERSONAS FÍSICAS.</w:t>
      </w:r>
      <w:r w:rsidRPr="0098786D">
        <w:rPr>
          <w:rFonts w:ascii="Palatino Linotype" w:eastAsia="Palatino Linotype" w:hAnsi="Palatino Linotype" w:cs="Palatino Linotype"/>
          <w:i/>
          <w:iCs/>
          <w:sz w:val="24"/>
          <w:szCs w:val="24"/>
        </w:rPr>
        <w:t xml:space="preserve"> “El RFC es una clave de carácter fiscal, única e irrepetible, que permite identificar al titular, su edad y fecha de nacimiento, por lo que es un dato personal de carácter confidencial.”</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En consecuencia, debe considerarse que tiene carácter de confidencial.</w:t>
      </w:r>
    </w:p>
    <w:p w:rsidR="005C4DC7" w:rsidRPr="0098786D" w:rsidRDefault="00936BF5" w:rsidP="00DB69AE">
      <w:pPr>
        <w:numPr>
          <w:ilvl w:val="0"/>
          <w:numId w:val="14"/>
        </w:numPr>
        <w:spacing w:after="0" w:line="360" w:lineRule="auto"/>
        <w:ind w:left="0" w:right="-518" w:firstLine="0"/>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La </w:t>
      </w:r>
      <w:r w:rsidRPr="0098786D">
        <w:rPr>
          <w:rFonts w:ascii="Palatino Linotype" w:eastAsia="Palatino Linotype" w:hAnsi="Palatino Linotype" w:cs="Palatino Linotype"/>
          <w:b/>
          <w:bCs/>
          <w:sz w:val="24"/>
          <w:szCs w:val="24"/>
        </w:rPr>
        <w:t>Cédula de Identificación Fiscal</w:t>
      </w:r>
      <w:r w:rsidRPr="0098786D">
        <w:rPr>
          <w:rFonts w:ascii="Palatino Linotype" w:eastAsia="Palatino Linotype" w:hAnsi="Palatino Linotype" w:cs="Palatino Linotype"/>
          <w:sz w:val="24"/>
          <w:szCs w:val="24"/>
        </w:rPr>
        <w:t xml:space="preserve"> contiene la clave del Registro Federal de Contribuyentes, el nombre, denominación o razón social, el ID o número identificador de la Cédula de Identificación Fiscal y un código bidimensional (QR).</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lastRenderedPageBreak/>
        <w:t>En consecuencia, la Constancia de Situación Fiscal contiene datos de identidad, ubicación y características fiscales del contribuyente, motivo por el cual se trata de un documento que solo concierne al titular por lo que es de carácter confidencial.</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Certificado médico (expedido por Institución de Salud Pública)</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El certificado médico es un testimonio escrito acerca del estado de salud actual de un paciente, que el profesional extiende a su solicitud o a la  de sus familiares, luego de la debida constatación del mismo a través de la asistencia, examen o reconocimiento.</w:t>
      </w: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Refleja: Peso/Talla/Agudeza Visual/IMC/TA/FC/Temperatura/Grupo Sanguíneo/Estado de Salud/Agudeza Auditiva/Salud Bucal, Nombre del particular, Firma del particular, Domicilio.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Al respecto, es de señalar que cualquier información que dé cuenta del estado de salud de una persona, concierne a su vida íntima y privada; lo anterior, pues el artículo 4°, fracción XII, de la Ley de Protección de Datos Personales en Posesión de Sujetos Obligados del Estado de México y Municipios, establece que los datos personales sensibles, son aquellos cuya utilización indebida, puedan dar origen a discriminación o conlleven a un riesgo grave para éste, entre los cuales se encuentran los que den cuenta del estado de salud, ya sea físico o mental.</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De tales circunstancias, se considera que la información contenida en el certificado médico únicamente identifica el estado de salud físico y mental de la servidora pública, lo cual guarda el carácter confidencial, en términos del artículo 143, fracción I, de la Ley de </w:t>
      </w:r>
      <w:r w:rsidRPr="00DB69AE">
        <w:rPr>
          <w:rFonts w:ascii="Palatino Linotype" w:eastAsia="Palatino Linotype" w:hAnsi="Palatino Linotype" w:cs="Palatino Linotype"/>
        </w:rPr>
        <w:lastRenderedPageBreak/>
        <w:t xml:space="preserve">Transparencia y Acceso a la Información Pública del Estado de México y Municipios, sobre este documento debe precisarse que como se verá en líneas subsecuentes, fue clasificado en su totalidad mediante el Acta de la Centésima Octogésima Novena Sesión Extraordinaria 2023 del Comité de Transparencia del Municipio de Toluca, administración 2022-2024, por lo tanto, el actuar del </w:t>
      </w:r>
      <w:r w:rsidRPr="00DB69AE">
        <w:rPr>
          <w:rFonts w:ascii="Palatino Linotype" w:eastAsia="Palatino Linotype" w:hAnsi="Palatino Linotype" w:cs="Palatino Linotype"/>
          <w:b/>
          <w:bCs/>
        </w:rPr>
        <w:t>Sujeto Obligado</w:t>
      </w:r>
      <w:r w:rsidRPr="00DB69AE">
        <w:rPr>
          <w:rFonts w:ascii="Palatino Linotype" w:eastAsia="Palatino Linotype" w:hAnsi="Palatino Linotype" w:cs="Palatino Linotype"/>
        </w:rPr>
        <w:t xml:space="preserve"> se debe tomar como apegado a derecho y con ello, se colma este punto.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Informe de no antecedentes penales</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Al respecto, es de señalar que la Ley Orgánica de la Ley de la Fiscalía General de Justicia del Estado de México establece la forma en que habrán de realizarse las inscripciones de antecedentes penales y administrativos, así como los supuestos bajo los cuales las inscripciones de antecedentes penales serán cancelados, tal como se cita:</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“Artículo 41. Las inscripciones de antecedentes penales y administrativos se harán en las secciones respectivas, de acuerdo con los sistemas que se establezcan en el Reglamento, conforme a lo siguiente: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A. En la sección de antecedentes penales se inscribirán: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 Las sentencias condenatorias ejecutoriadas que dicten las autoridades judiciales del Estado.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 Las sentencias condenatorias ejecutoriadas que dicten autoridades judiciales de otras entidades federativas de la República o del extranjero.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B. En la sección de reincidencia y habitualidad, cuando se surtan los presupuestos de los artículos 22 y 23 del Código Penal para el Estado, se inscribirán respectivamente, las sentencias condenatorias ejecutoriadas. C. En la sección de antecedentes administrativos: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 Las determinaciones del Ministerio Público para la aplicación de formas de solución alterna del procedimiento y de terminación anticipada del proceso.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 Las formas de terminación de la investigación de conformidad con el Código Nacional.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III. Los datos que se obtengan con motivo de la expedición de certificados de antecedentes. Los datos relativos a los antecedentes administrativos únicamente serán utilizados por el Ministerio Público para el cumplimiento de sus atribuciones.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lastRenderedPageBreak/>
        <w:t>Las autoridades judiciales o administrativas competentes remitirán a los Servicios Periciales los documentos a que se refiere el presente artículo dentro del término de quince días hábiles contados a partir de la fecha en que, respectivamente, se haya dictado, elaborado o causado ejecutoria.”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“Artículo 42. Las inscripciones de antecedentes penales se cancelarán cuando: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 La pena se haya declarado extinta.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 La o el sentenciado sea declarado inocente por resolución dictada en recurso de revisión extraordinaria.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III. La o el condenado lo haya sido bajo la vigencia de una ley derogada o abrogada por otra que suprima al hecho el carácter de delito.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IV. A la o el sentenciado se le conceda el beneficio de la amnistía o del indulto.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Las autoridades judiciales o administrativas remitirán copia certificada de los documentos a que se hace referencia en las fracciones anteriores a los Servicios Periciales para la cancelación de la inscripción de antecedentes penales.”</w:t>
      </w:r>
    </w:p>
    <w:p w:rsidR="005C4DC7" w:rsidRPr="0098786D" w:rsidRDefault="00936BF5">
      <w:pPr>
        <w:spacing w:after="0"/>
        <w:ind w:left="567" w:right="-518"/>
        <w:jc w:val="right"/>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(Énfasis añadido)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En cualquiera de los supuestos de cancelación a que se hace referencia en el párrafo precedente se considera importante apuntar que aun cuando existan registros de antecedentes penales su existencia no acredita, carencia de probidad y de un modo honesto de vivir, por lo tanto no deben ser motivo de discriminación,  o impedimento para una efectiva reinserción social derecho reconocido en el artículo 18 párrafo segundo de la Constitución Política de los Estados Unidos Mexicanos, robustece lo manifestado hasta aquí la siguiente jurisprudencia:</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ANTECEDENTES PENALES. SU EXISTENCIA NO ACREDITA, POR SÍ SOLA, CARENCIA DE PROBIDAD Y DE UN MODO HONESTO DE VIVIR.- El hecho de haber cometido un delito intencional puede llegar a constituir un factor que demuestre la falta de probidad o de honestidad en la conducta, según las circunstancias de la comisión del ilícito, pero no resulta determinante, por sí solo, para tener por acreditada la carencia de esas cualidades. El </w:t>
      </w:r>
      <w:r w:rsidRPr="0098786D">
        <w:rPr>
          <w:rFonts w:ascii="Palatino Linotype" w:eastAsia="Palatino Linotype" w:hAnsi="Palatino Linotype" w:cs="Palatino Linotype"/>
          <w:i/>
          <w:iCs/>
          <w:sz w:val="24"/>
          <w:szCs w:val="24"/>
        </w:rPr>
        <w:lastRenderedPageBreak/>
        <w:t xml:space="preserve">que una persona goce de las cualidades de probidad y honestidad se presume, por lo que cuando se sostiene su carencia, se debe acreditar que dicha persona llevó a cabo actos u omisiones concretos, no acordes con los fines y principios perseguidos con los mencionados valores. En el caso de quien ha cometido un delito y ha sido condenado por ello, cabe la posibilidad de que por las circunstancias de tiempo, modo y lugar de ejecución de ilícitos, se pudiera contribuir de manera importante para desvirtuar esa presunción; sin embargo, cuando las penas impuestas ya se han compurgado o extinguido y ha transcurrido un tiempo considerable a la fecha de la condena, se reduce en gran medida el indicio que tiende a desvirtuar la presunción apuntada, porque la falta cometida por un individuo en algún tiempo de su vida, no lo define ni lo marca para siempre, ni hace que su conducta sea cuestionable por el resto de su vida. Para arribar a la anterior conclusión, se toma en cuenta que en el moderno estado democrático de derecho, la finalidad de las penas es preponderantemente preventiva, para evitar en lo sucesivo la transgresión del orden jurídico, al constituir una intimidación disuasoria en la comisión de ilícitos y como fuerza integradora, al afirmar, a la vez, las convicciones de la conciencia colectiva, función que es congruente con el fin del estado democrático de derecho, que se basa en el respeto de la persona humana. Así, el valor del ser humano impone una limitación fundamental a la pena, que se manifiesta en la eliminación de las penas infamantes y la posibilidad de readaptación y reinserción social del infractor, principios que se encuentran recogidos en el ámbito constitucional, en los artículos 18 y 22, de los que se advierte la tendencia del sistema punitivo mexicano, hacia la readaptación del infractor y, a su vez, la prohibición de la marca que, en términos generales, constituye la impresión de un signo exterior para señalar a una persona, y con esto, hacer referencia a una determinada situación de ella. Con esto, la marca define o fija en una persona una determinada calidad que, a la vista de todos los demás, lleva implícita una carga discriminatoria o que se le excluya de su entorno social, en contra de su dignidad y la igualdad que debe existir entre todos los individuos en un estado democrático de derecho. Por ende, si una persona comete un ilícito, no podría quedar marcado con el estigma de ser infractor el resto de su vida, porque ello obstaculizaría su reinserción social. En esa virtud, las penas que son impuestas a quien comete un ilícito no pueden tener como función la de marcarlo o señalarlo como un transgresor de la ley ni, por tanto, como una persona carente de probidad y modo honesto de vivir; en todo caso, la falta de probidad y honestidad pudo haberse actualizado en el momento en que los ilícitos fueron cometidos; pero si éstos han sido sancionados legalmente, no podría considerarse que esas cualidades desaparecieron para siempre de esa persona, sino que ésta se encuentra en aptitud de reintegrarse socialmente y actuar conforme a los valores imperantes de la sociedad en la que habita. Tercera Época: Juicio para la protección de los </w:t>
      </w:r>
      <w:r w:rsidRPr="0098786D">
        <w:rPr>
          <w:rFonts w:ascii="Palatino Linotype" w:eastAsia="Palatino Linotype" w:hAnsi="Palatino Linotype" w:cs="Palatino Linotype"/>
          <w:i/>
          <w:iCs/>
          <w:sz w:val="24"/>
          <w:szCs w:val="24"/>
        </w:rPr>
        <w:lastRenderedPageBreak/>
        <w:t>derechos político-electorales del ciudadano. SUP-JDC- 020/2001.-Daniel Ulloa Valenzuela.-8 de junio de 2001.-Unanimidad de votos. Juicio de revisión constitucional electoral. SUP-JRC-303/2001.-Partido Acción Nacional.-19 de diciembre de 2001.-Unanimidad de seis votos.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No pasa por desapercibido que al expedirse un certificado de NO antecedentes penales, tal y como su nombre lo dice, se está certificando la inexistencia fáctica de un registro correspondiente a la comisión de un delito, documento diverso a una inscripción de antecedentes penales en una sentencia.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De lo anterior, para acreditar que una persona que pretende ingresar al servicio público en el sentido de acreditar estar en pleno ejercicio de sus derechos civiles y políticos, se entiende que el certificado de antecedentes NO penales es considerado un requisito formal que debe presentarse para acreditar la idoneidad para ostentar el cargo público, ya que con tal documental se acredita que el candidato es la persona idónea para ostentar el cargo; por tal motivo se colige que es un documento que debe obrar bajo el resguardo del ente público de acuerdo sus facultades, competencias y funciones.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En el caso que nos ocupa, al tratarse de personas que, al decidir incursionar en el ejercicio de responsabilidades públicas, han decidido, por sí mismas, someterse al escrutinio de una sociedad democrática. Además de que, el </w:t>
      </w:r>
      <w:r w:rsidRPr="00DB69AE">
        <w:rPr>
          <w:rFonts w:ascii="Palatino Linotype" w:eastAsia="Palatino Linotype" w:hAnsi="Palatino Linotype" w:cs="Palatino Linotype"/>
          <w:b/>
          <w:bCs/>
        </w:rPr>
        <w:t>certificado de no antecedentes penales, no</w:t>
      </w:r>
      <w:r w:rsidRPr="00DB69AE">
        <w:rPr>
          <w:rFonts w:ascii="Palatino Linotype" w:eastAsia="Palatino Linotype" w:hAnsi="Palatino Linotype" w:cs="Palatino Linotype"/>
        </w:rPr>
        <w:t xml:space="preserve"> es un documento generado por una persona,  sino por una institución diversa al Sujeto Obligado; sin embargo, constituye un requisito necesario para el ingreso al servicio público.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lastRenderedPageBreak/>
        <w:t>Al respecto es de señalar que dicho documento cuenta, con fotografía, nombre, fecha de expedición, datos que tienen el carácter de información pública; por lo tanto, es un documento susceptible entregarse, en versión pública.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Movimiento de alta o baja del ISSEMYM</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Al respecto los Lineamientos generales para la operación de la plataforma de recaudación e información de seguridad social del ISSEMyM</w:t>
      </w:r>
      <w:r w:rsidRPr="0098786D">
        <w:rPr>
          <w:rFonts w:eastAsia="Palatino Linotype"/>
          <w:vertAlign w:val="superscript"/>
        </w:rPr>
        <w:footnoteReference w:id="4"/>
      </w:r>
      <w:r w:rsidRPr="00DB69AE">
        <w:rPr>
          <w:rFonts w:ascii="Palatino Linotype" w:eastAsia="Palatino Linotype" w:hAnsi="Palatino Linotype" w:cs="Palatino Linotype"/>
        </w:rPr>
        <w:t xml:space="preserve"> (Prisma) establecen:</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1. Registro de las instituciones públicas.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1.1. Las instituciones públicas incorporadas al régimen de seguridad social del Instituto, deberán estar registradas en la Plataforma o PRISMA.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1.2. Las instituciones públicas, a través de su representante, </w:t>
      </w:r>
      <w:r w:rsidRPr="0098786D">
        <w:rPr>
          <w:rFonts w:ascii="Palatino Linotype" w:eastAsia="Palatino Linotype" w:hAnsi="Palatino Linotype" w:cs="Palatino Linotype"/>
          <w:b/>
          <w:bCs/>
          <w:i/>
          <w:iCs/>
          <w:sz w:val="24"/>
          <w:szCs w:val="24"/>
        </w:rPr>
        <w:t xml:space="preserve">deberán solicitar el alta del usuario autorizado, </w:t>
      </w:r>
      <w:r w:rsidRPr="0098786D">
        <w:rPr>
          <w:rFonts w:ascii="Palatino Linotype" w:eastAsia="Palatino Linotype" w:hAnsi="Palatino Linotype" w:cs="Palatino Linotype"/>
          <w:i/>
          <w:iCs/>
          <w:sz w:val="24"/>
          <w:szCs w:val="24"/>
        </w:rPr>
        <w:t xml:space="preserve">mediante las directrices señaladas por la Ventanilla Única de Atención Integral a Instituciones Públicas.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1.3. El usuario administrador de la Plataforma tendrá la facultad de registrar las altas, bajas o modificaciones de las instituciones públicas y usuarios autorizados, que le sean solicitados por el representante de la institución pública. </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1.4. El usuario autorizado será responsable de mantener en secrecía la contraseña de acceso a la Plataforma o PRISMA, con el fin de asegurar el buen uso de la misma. Para lo cual, deberá cambiar de contraseña con cierta frecuencia.</w:t>
      </w:r>
    </w:p>
    <w:p w:rsidR="005C4DC7" w:rsidRPr="0098786D" w:rsidRDefault="00936BF5">
      <w:pPr>
        <w:spacing w:after="0"/>
        <w:ind w:left="567" w:right="-518"/>
        <w:jc w:val="both"/>
        <w:rPr>
          <w:rFonts w:ascii="Palatino Linotype" w:eastAsia="Palatino Linotype" w:hAnsi="Palatino Linotype" w:cs="Palatino Linotype"/>
          <w:i/>
          <w:iCs/>
          <w:sz w:val="24"/>
          <w:szCs w:val="24"/>
          <w:u w:val="single"/>
        </w:rPr>
      </w:pPr>
      <w:r w:rsidRPr="0098786D">
        <w:rPr>
          <w:rFonts w:ascii="Palatino Linotype" w:eastAsia="Palatino Linotype" w:hAnsi="Palatino Linotype" w:cs="Palatino Linotype"/>
          <w:i/>
          <w:iCs/>
          <w:sz w:val="24"/>
          <w:szCs w:val="24"/>
          <w:u w:val="single"/>
        </w:rPr>
        <w:t xml:space="preserve">1.5. El usuario autorizado será el responsable de administrar y registrar los movimientos de altas, </w:t>
      </w:r>
      <w:r w:rsidRPr="0098786D">
        <w:rPr>
          <w:rFonts w:ascii="Palatino Linotype" w:eastAsia="Palatino Linotype" w:hAnsi="Palatino Linotype" w:cs="Palatino Linotype"/>
          <w:b/>
          <w:bCs/>
          <w:i/>
          <w:iCs/>
          <w:sz w:val="24"/>
          <w:szCs w:val="24"/>
          <w:u w:val="single"/>
        </w:rPr>
        <w:t xml:space="preserve">bajas </w:t>
      </w:r>
      <w:r w:rsidRPr="0098786D">
        <w:rPr>
          <w:rFonts w:ascii="Palatino Linotype" w:eastAsia="Palatino Linotype" w:hAnsi="Palatino Linotype" w:cs="Palatino Linotype"/>
          <w:i/>
          <w:iCs/>
          <w:sz w:val="24"/>
          <w:szCs w:val="24"/>
          <w:u w:val="single"/>
        </w:rPr>
        <w:t>y/o modificaciones de servidores públicos contenidos en su nómina, así como de realizar todas las operaciones señaladas en el Manual de Usuario.</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w:t>
      </w:r>
    </w:p>
    <w:p w:rsidR="005C4DC7" w:rsidRPr="0098786D" w:rsidRDefault="005C4DC7">
      <w:pPr>
        <w:spacing w:after="0"/>
        <w:ind w:left="567" w:right="-518"/>
        <w:jc w:val="both"/>
        <w:rPr>
          <w:rFonts w:ascii="Palatino Linotype" w:eastAsia="Palatino Linotype" w:hAnsi="Palatino Linotype" w:cs="Palatino Linotype"/>
          <w:i/>
          <w:iCs/>
          <w:sz w:val="24"/>
          <w:szCs w:val="24"/>
        </w:rPr>
      </w:pP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2. Registro de los servidores públicos. </w:t>
      </w:r>
    </w:p>
    <w:p w:rsidR="005C4DC7" w:rsidRPr="0098786D" w:rsidRDefault="00936BF5">
      <w:pPr>
        <w:spacing w:after="0"/>
        <w:ind w:left="567" w:right="-518"/>
        <w:jc w:val="both"/>
        <w:rPr>
          <w:rFonts w:ascii="Palatino Linotype" w:eastAsia="Palatino Linotype" w:hAnsi="Palatino Linotype" w:cs="Palatino Linotype"/>
          <w:i/>
          <w:iCs/>
          <w:sz w:val="24"/>
          <w:szCs w:val="24"/>
          <w:u w:val="single"/>
        </w:rPr>
      </w:pPr>
      <w:r w:rsidRPr="0098786D">
        <w:rPr>
          <w:rFonts w:ascii="Palatino Linotype" w:eastAsia="Palatino Linotype" w:hAnsi="Palatino Linotype" w:cs="Palatino Linotype"/>
          <w:i/>
          <w:iCs/>
          <w:sz w:val="24"/>
          <w:szCs w:val="24"/>
          <w:u w:val="single"/>
        </w:rPr>
        <w:t xml:space="preserve">2.1. El usuario autorizado deberá registrar en la Plataforma, el alta de todos los servidores públicos activos en la nómina de la institución pública, cubriendo con la información solicitada; </w:t>
      </w:r>
      <w:r w:rsidRPr="0098786D">
        <w:rPr>
          <w:rFonts w:ascii="Palatino Linotype" w:eastAsia="Palatino Linotype" w:hAnsi="Palatino Linotype" w:cs="Palatino Linotype"/>
          <w:i/>
          <w:iCs/>
          <w:sz w:val="24"/>
          <w:szCs w:val="24"/>
          <w:u w:val="single"/>
        </w:rPr>
        <w:lastRenderedPageBreak/>
        <w:t xml:space="preserve">así como, las </w:t>
      </w:r>
      <w:r w:rsidRPr="0098786D">
        <w:rPr>
          <w:rFonts w:ascii="Palatino Linotype" w:eastAsia="Palatino Linotype" w:hAnsi="Palatino Linotype" w:cs="Palatino Linotype"/>
          <w:b/>
          <w:bCs/>
          <w:i/>
          <w:iCs/>
          <w:sz w:val="24"/>
          <w:szCs w:val="24"/>
          <w:u w:val="single"/>
        </w:rPr>
        <w:t xml:space="preserve">bajas </w:t>
      </w:r>
      <w:r w:rsidRPr="0098786D">
        <w:rPr>
          <w:rFonts w:ascii="Palatino Linotype" w:eastAsia="Palatino Linotype" w:hAnsi="Palatino Linotype" w:cs="Palatino Linotype"/>
          <w:i/>
          <w:iCs/>
          <w:sz w:val="24"/>
          <w:szCs w:val="24"/>
          <w:u w:val="single"/>
        </w:rPr>
        <w:t>y/o modificaciones correspondientes, como se define en el Manual de Usuario.</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2.2. El Instituto establecerá para las instituciones públicas, un calendario operativo en donde se señalen los periodos para pagos oportunos, movimientos de alta, </w:t>
      </w:r>
      <w:r w:rsidRPr="0098786D">
        <w:rPr>
          <w:rFonts w:ascii="Palatino Linotype" w:eastAsia="Palatino Linotype" w:hAnsi="Palatino Linotype" w:cs="Palatino Linotype"/>
          <w:b/>
          <w:bCs/>
          <w:i/>
          <w:iCs/>
          <w:sz w:val="24"/>
          <w:szCs w:val="24"/>
        </w:rPr>
        <w:t>baja</w:t>
      </w:r>
      <w:r w:rsidRPr="0098786D">
        <w:rPr>
          <w:rFonts w:ascii="Palatino Linotype" w:eastAsia="Palatino Linotype" w:hAnsi="Palatino Linotype" w:cs="Palatino Linotype"/>
          <w:i/>
          <w:iCs/>
          <w:sz w:val="24"/>
          <w:szCs w:val="24"/>
        </w:rPr>
        <w:t xml:space="preserve"> y/o modificación de servidores públicos, así como pagos extemporáneos que generarán sus respectivos accesorios.</w:t>
      </w:r>
    </w:p>
    <w:p w:rsidR="005C4DC7" w:rsidRPr="0098786D" w:rsidRDefault="00936BF5">
      <w:pPr>
        <w:spacing w:after="0"/>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Dichas disposiciones normativas señalan que, corresponde a las instituciones públicas realizar el movimiento de alta y baja de los servidores públicos ante el ISSEMYM a través del sistema determinado para tal efecto. Amanera de ejemplo se observa que en dicho documento se pueden visualizar los datos siguientes: </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spacing w:line="360" w:lineRule="auto"/>
        <w:ind w:right="-518"/>
        <w:jc w:val="center"/>
        <w:rPr>
          <w:rFonts w:ascii="Palatino Linotype" w:eastAsia="Palatino Linotype" w:hAnsi="Palatino Linotype" w:cs="Palatino Linotype"/>
          <w:sz w:val="24"/>
          <w:szCs w:val="24"/>
        </w:rPr>
      </w:pPr>
      <w:r w:rsidRPr="0098786D">
        <w:rPr>
          <w:rFonts w:ascii="Palatino Linotype" w:eastAsia="Palatino Linotype" w:hAnsi="Palatino Linotype" w:cs="Palatino Linotype"/>
          <w:noProof/>
          <w:sz w:val="24"/>
          <w:szCs w:val="24"/>
        </w:rPr>
        <w:drawing>
          <wp:inline distT="0" distB="0" distL="0" distR="0">
            <wp:extent cx="3726993" cy="2333568"/>
            <wp:effectExtent l="0" t="0" r="0" b="0"/>
            <wp:docPr id="22" name="image8.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Interfaz de usuario gráfica, Aplicación&#10;&#10;Descripción generada automáticamente"/>
                    <pic:cNvPicPr preferRelativeResize="0"/>
                  </pic:nvPicPr>
                  <pic:blipFill>
                    <a:blip r:embed="rId16"/>
                    <a:srcRect l="56557" t="28610" r="6623" b="8265"/>
                    <a:stretch>
                      <a:fillRect/>
                    </a:stretch>
                  </pic:blipFill>
                  <pic:spPr>
                    <a:xfrm>
                      <a:off x="0" y="0"/>
                      <a:ext cx="3726993" cy="2333568"/>
                    </a:xfrm>
                    <a:prstGeom prst="rect">
                      <a:avLst/>
                    </a:prstGeom>
                    <a:ln/>
                  </pic:spPr>
                </pic:pic>
              </a:graphicData>
            </a:graphic>
          </wp:inline>
        </w:drawing>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Del documento en estudio se advierten como datos confidenciales Clave ISSEMYM y CURP, respecto de la primera es necesario señalar:</w:t>
      </w:r>
    </w:p>
    <w:p w:rsidR="005C4DC7" w:rsidRPr="0098786D" w:rsidRDefault="00936BF5">
      <w:pPr>
        <w:numPr>
          <w:ilvl w:val="0"/>
          <w:numId w:val="13"/>
        </w:numPr>
        <w:spacing w:after="0" w:line="360" w:lineRule="auto"/>
        <w:ind w:right="-518"/>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b/>
          <w:bCs/>
          <w:sz w:val="24"/>
          <w:szCs w:val="24"/>
        </w:rPr>
        <w:t>La clave de identificación del Instituto de Seguridad Social del Estado de México y Municipios.</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lastRenderedPageBreak/>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w:t>
      </w:r>
      <w:r w:rsidRPr="00DB69AE">
        <w:rPr>
          <w:rFonts w:ascii="Palatino Linotype" w:eastAsia="Palatino Linotype" w:hAnsi="Palatino Linotype" w:cs="Palatino Linotype"/>
        </w:rPr>
        <w:lastRenderedPageBreak/>
        <w:t>desempeñadas por los servidores públicos, por el contrario su exhibición si provoca una transgresión a la vida pública e intimidad de la persona.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numPr>
          <w:ilvl w:val="0"/>
          <w:numId w:val="12"/>
        </w:numPr>
        <w:pBdr>
          <w:top w:val="nil"/>
          <w:left w:val="nil"/>
          <w:bottom w:val="nil"/>
          <w:right w:val="nil"/>
          <w:between w:val="nil"/>
        </w:pBdr>
        <w:spacing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Certificado de no inscripción como deudor (a) alimentario (a).</w:t>
      </w: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Mediante el Decreto número 325 publicado en el Periódico Oficial “Gaceta del Gobierno” el catorce de noviembre de dos mil catorce, en la exposición de motivos de ese decreto se observa que, como una medida para garantizar el interés superior de los menores, se creó el Registro de Deudores Alimentarios del Estado de México, con la finalidad de asegurar el cumplimiento de las obligaciones alimentarias de los padres para con sus hijos.</w:t>
      </w:r>
    </w:p>
    <w:p w:rsidR="005C4DC7" w:rsidRPr="0098786D" w:rsidRDefault="005C4DC7">
      <w:pPr>
        <w:pBdr>
          <w:top w:val="nil"/>
          <w:left w:val="nil"/>
          <w:bottom w:val="nil"/>
          <w:right w:val="nil"/>
          <w:between w:val="nil"/>
        </w:pBd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Por lo que, resulta importante hacer del conocimiento del </w:t>
      </w:r>
      <w:r w:rsidRPr="00DB69AE">
        <w:rPr>
          <w:rFonts w:ascii="Palatino Linotype" w:eastAsia="Palatino Linotype" w:hAnsi="Palatino Linotype" w:cs="Palatino Linotype"/>
          <w:b/>
          <w:bCs/>
        </w:rPr>
        <w:t>SUJETO OBLIGADO</w:t>
      </w:r>
      <w:r w:rsidRPr="00DB69AE">
        <w:rPr>
          <w:rFonts w:ascii="Palatino Linotype" w:eastAsia="Palatino Linotype" w:hAnsi="Palatino Linotype" w:cs="Palatino Linotype"/>
        </w:rPr>
        <w:t xml:space="preserve"> que deberá entregarse dicho documento, toda vez que la Ley General de los Derechos de las Niñas, Niños y Adolescentes </w:t>
      </w:r>
      <w:hyperlink r:id="rId17">
        <w:r w:rsidRPr="00DB69AE">
          <w:rPr>
            <w:rFonts w:ascii="Palatino Linotype" w:eastAsia="Palatino Linotype" w:hAnsi="Palatino Linotype" w:cs="Palatino Linotype"/>
            <w:color w:val="035899"/>
          </w:rPr>
          <w:t>https://www.diputados.gob.mx/LeyesBiblio/pdf/LGDNNA.pdf</w:t>
        </w:r>
      </w:hyperlink>
      <w:r w:rsidRPr="00DB69AE">
        <w:rPr>
          <w:rFonts w:ascii="Palatino Linotype" w:eastAsia="Palatino Linotype" w:hAnsi="Palatino Linotype" w:cs="Palatino Linotype"/>
        </w:rPr>
        <w:t xml:space="preserve"> (consultada el veintiuno de noviembre de dos mil veintitrés), en sus artículos 1, 13, 18 y 46, regula de manera enunciativa y no limitativa, entre otros derechos, garantizar el pleno ejercicio, respeto, protección y promoción de los derechos humanos, derecho a la vida, a la paz, a la supervivencia y al desarrollo, el recibir alimentos para lograr el sano desarrollo del menor en su ámbito, bio-psico-social, y establece como obligación de los progenitores para con sus hijos, el proporcionarles, apoyo, cuidados, educación y protección a su salud.</w:t>
      </w:r>
    </w:p>
    <w:p w:rsidR="005C4DC7" w:rsidRPr="0098786D" w:rsidRDefault="005C4DC7">
      <w:pPr>
        <w:pBdr>
          <w:top w:val="nil"/>
          <w:left w:val="nil"/>
          <w:bottom w:val="nil"/>
          <w:right w:val="nil"/>
          <w:between w:val="nil"/>
        </w:pBd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De ahí que, se crea el Registro Nacional de Obligaciones Alimentarias cuyo objeto es concentrar la información de deudores y acreedores de obligaciones alimentarias, a fin de </w:t>
      </w:r>
      <w:r w:rsidRPr="00DB69AE">
        <w:rPr>
          <w:rFonts w:ascii="Palatino Linotype" w:eastAsia="Palatino Linotype" w:hAnsi="Palatino Linotype" w:cs="Palatino Linotype"/>
        </w:rPr>
        <w:lastRenderedPageBreak/>
        <w:t>dar efectiva protección y restitución de los derechos de niñas, niños y adolescentes. Los Tribunales Superiores de las entidades federativas y de la Ciudad de México suministrarán, intercambiarán, sistematizarán, consultarán, analizarán y actualizarán, la información que se genere sobre el incumplimiento de las obligaciones alimentarias en el ámbito de sus competencias utilizando los sistemas e instrumentos tecnológicos del Sistema Nacional DIF para que con ella integre al Registro Nacional de Obligaciones.</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La calidad de deudor moroso se difundirá en el Registro Nacional de Obligaciones Alimentarias, el cual, será público con base en lo dispuesto en la Ley General de Protección de Datos Personales en Posesión de Sujetos Obligados. Es de recalcar que las Autoridades de los tres órdenes de gobierno (Federal, Estatal y Municipal) en el ámbito de sus competencias, dispondrán lo necesario a fin de establecer como requisito la presentación del certificado de no inscripción en el Registro Nacional de Obligaciones Alimentarias; es decir, la denominación que se le dio fue el de Registro de Deudores Alimentarios Morosos, ya que, la palabra moroso deriva de mora; la mora es el retraso en el cumplimiento de las obligaciones y se incurre en ella desde el momento en que feneció el plazo que se señaló para el cumplimiento de una obligación.</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Al respecto, en el Proyecto de Decreto por el que se Reforman y Adicionan Diversas Disposiciones para crear el Registro de Deudores Alimentarios del Estado de México</w:t>
      </w:r>
      <w:r w:rsidRPr="0098786D">
        <w:rPr>
          <w:rFonts w:eastAsia="Palatino Linotype"/>
          <w:vertAlign w:val="superscript"/>
        </w:rPr>
        <w:footnoteReference w:id="5"/>
      </w:r>
      <w:r w:rsidRPr="00DB69AE">
        <w:rPr>
          <w:rFonts w:ascii="Palatino Linotype" w:eastAsia="Palatino Linotype" w:hAnsi="Palatino Linotype" w:cs="Palatino Linotype"/>
        </w:rPr>
        <w:t xml:space="preserve">, se advierte lo siguiente: </w:t>
      </w:r>
    </w:p>
    <w:p w:rsidR="005C4DC7" w:rsidRPr="0098786D" w:rsidRDefault="005C4DC7">
      <w:pPr>
        <w:ind w:right="-518"/>
        <w:jc w:val="both"/>
        <w:rPr>
          <w:rFonts w:ascii="Palatino Linotype" w:eastAsia="Palatino Linotype" w:hAnsi="Palatino Linotype" w:cs="Palatino Linotype"/>
          <w:sz w:val="24"/>
          <w:szCs w:val="24"/>
        </w:rPr>
      </w:pP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lastRenderedPageBreak/>
        <w:t xml:space="preserve">“4.146 Bis.- El área del Registro de Deudores Alimentarios Morosos, es una unidad administrativa del Registro Civil. Actos inscribibles en el Registro de Deudores Alimentarios Morosos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4.146 Ter.- En el Registro de Deudores Alimentarios Morosos se inscriben a las personas que el Juez de lo Familiar determina en términos del artículo 4.136 del presente Código. Serán objeto de registro los empleadores que incumplan una orden de descuento para alimentos ordenada por el órgano jurisdiccional. </w:t>
      </w:r>
    </w:p>
    <w:p w:rsidR="005C4DC7" w:rsidRPr="0098786D" w:rsidRDefault="00936BF5">
      <w:pPr>
        <w:ind w:left="851" w:right="-518"/>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t xml:space="preserve">De los datos que contendrá el Registro de Deudores Alimentarios Morosos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Artículo. 4.146 Quáter.- El Registro de Deudores Alimentarios Morosos contendrá: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 Nombre y Clave Única del Registro de Población del deudor alimentario;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II. Nombre del acreedor o acreedores alimentarios;</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III. Datos del acta que acredite el vínculo entre deudor y acreedor alimentario, en su caso; IV. Monto de la pensión decretada o convenida, en su caso, número de pagos incumplidos y monto del adeudo alimentario;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V. Órgano jurisdiccional que ordenó el registro;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VI. Datos del expediente jurisdiccional de la que deriva su inscripción.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Una vez hecha la inscripción a que se refiere el párrafo anterior se girará oficio al Instituto de la Función Registral del Estado de México, a efecto de que se anote el certificado de deudor</w:t>
      </w:r>
      <w:r w:rsidRPr="0098786D">
        <w:rPr>
          <w:rFonts w:ascii="Palatino Linotype" w:eastAsia="Palatino Linotype" w:hAnsi="Palatino Linotype" w:cs="Palatino Linotype"/>
          <w:b/>
          <w:bCs/>
          <w:i/>
          <w:iCs/>
          <w:sz w:val="24"/>
          <w:szCs w:val="24"/>
        </w:rPr>
        <w:t xml:space="preserve"> </w:t>
      </w:r>
      <w:r w:rsidRPr="0098786D">
        <w:rPr>
          <w:rFonts w:ascii="Palatino Linotype" w:eastAsia="Palatino Linotype" w:hAnsi="Palatino Linotype" w:cs="Palatino Linotype"/>
          <w:i/>
          <w:iCs/>
          <w:sz w:val="24"/>
          <w:szCs w:val="24"/>
        </w:rPr>
        <w:t xml:space="preserve">alimentario en los folios reales de que sea propietario el deudor alimentario.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El Instituto de la Función Registral informará al Registro Civil si fue procedente la anotación, en cuyo caso dará aviso al Juez del conocimiento para que el acreedor alimentario haga cobrable las cantidades adeudadas en la vía judicial respectiva.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Datos del Certificado expedido por la Unidad del Registro de Deudores Alimentarios Morosos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Artículo 4.146 Quinquies.- El Certificado expedido por la Unidad del Registro de Deudores Alimentarios Morosos contendrá lo siguiente: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 Nombre y Clave Única de Registro de Población del solicitante;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 La información sobre su inscripción o no en el registro de deudores alimentarios morosos.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lastRenderedPageBreak/>
        <w:t xml:space="preserve">De ser el caso que el solicitante se encuentre inscrito en el registro, la constancia incluirá además lo siguiente: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 Número de acreedores alimentarios;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 Monto de la pensión alimenticia decretada o convenida;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III. Órgano jurisdiccional que ordenó el registro;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IV. Datos del expediente jurisdiccional de la que deriva su inscripción.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El Certificado a que se refiere el presente artículo será expedido el mismo día hábil de su solicitud. </w:t>
      </w:r>
    </w:p>
    <w:p w:rsidR="005C4DC7" w:rsidRPr="0098786D" w:rsidRDefault="00936BF5">
      <w:pPr>
        <w:ind w:left="851"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 </w:t>
      </w:r>
    </w:p>
    <w:p w:rsidR="005C4DC7" w:rsidRPr="0098786D" w:rsidRDefault="005C4DC7">
      <w:pPr>
        <w:ind w:left="567" w:right="-518"/>
        <w:jc w:val="both"/>
        <w:rPr>
          <w:rFonts w:ascii="Palatino Linotype" w:eastAsia="Palatino Linotype" w:hAnsi="Palatino Linotype" w:cs="Palatino Linotype"/>
          <w:i/>
          <w:iCs/>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Ahora bien, respecto a aquellos servidores públicos que se encuentren o no inscritos en dicho </w:t>
      </w:r>
      <w:r w:rsidRPr="00DB69AE">
        <w:rPr>
          <w:rFonts w:ascii="Palatino Linotype" w:eastAsia="Palatino Linotype" w:hAnsi="Palatino Linotype" w:cs="Palatino Linotype"/>
          <w:color w:val="000000"/>
        </w:rPr>
        <w:t xml:space="preserve">registro, </w:t>
      </w:r>
      <w:r w:rsidRPr="00DB69AE">
        <w:rPr>
          <w:rFonts w:ascii="Palatino Linotype" w:eastAsia="Palatino Linotype" w:hAnsi="Palatino Linotype" w:cs="Palatino Linotype"/>
          <w:b/>
          <w:bCs/>
          <w:color w:val="000000"/>
        </w:rPr>
        <w:t>procedería su entrega en versión pública.</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Derivado de lo anterior, cualquier ciudadano que desee obtener dicha información, podrá ingresar a la Ventanilla Electrónica Única, en la que accederá con su CUTS y contraseña, capturando los datos como son CURP, nombre, primer y segundo apellido, y se comenzará la búsqueda de lo solicitado, en el que arrojará si se encuentra en calidad de deudor o no. </w:t>
      </w:r>
    </w:p>
    <w:p w:rsidR="005C4DC7" w:rsidRPr="0098786D" w:rsidRDefault="005C4DC7">
      <w:pPr>
        <w:tabs>
          <w:tab w:val="left" w:pos="8222"/>
        </w:tabs>
        <w:spacing w:line="360" w:lineRule="auto"/>
        <w:ind w:right="-518"/>
        <w:jc w:val="both"/>
        <w:rPr>
          <w:rFonts w:ascii="Palatino Linotype" w:eastAsia="Palatino Linotype" w:hAnsi="Palatino Linotype" w:cs="Palatino Linotype"/>
          <w:sz w:val="24"/>
          <w:szCs w:val="24"/>
        </w:rPr>
      </w:pPr>
    </w:p>
    <w:p w:rsidR="005C4DC7" w:rsidRPr="00DB69AE" w:rsidRDefault="00936BF5" w:rsidP="00DB69AE">
      <w:pPr>
        <w:pStyle w:val="Prrafodelista"/>
        <w:numPr>
          <w:ilvl w:val="0"/>
          <w:numId w:val="14"/>
        </w:numPr>
        <w:spacing w:line="360" w:lineRule="auto"/>
        <w:ind w:left="0" w:right="-518" w:firstLine="0"/>
        <w:jc w:val="both"/>
        <w:rPr>
          <w:rFonts w:ascii="Palatino Linotype" w:eastAsia="Palatino Linotype" w:hAnsi="Palatino Linotype" w:cs="Palatino Linotype"/>
        </w:rPr>
      </w:pPr>
      <w:r w:rsidRPr="00DB69AE">
        <w:rPr>
          <w:rFonts w:ascii="Palatino Linotype" w:eastAsia="Palatino Linotype" w:hAnsi="Palatino Linotype" w:cs="Palatino Linotype"/>
        </w:rPr>
        <w:t xml:space="preserve">En este sentido, se advierte que al ser un requisito indispensable y preponderante, de actualizarse dicho supuesto en futuras ocasiones, </w:t>
      </w:r>
      <w:r w:rsidRPr="00DB69AE">
        <w:rPr>
          <w:rFonts w:ascii="Palatino Linotype" w:eastAsia="Palatino Linotype" w:hAnsi="Palatino Linotype" w:cs="Palatino Linotype"/>
          <w:color w:val="000000"/>
        </w:rPr>
        <w:t xml:space="preserve">el </w:t>
      </w:r>
      <w:r w:rsidRPr="00DB69AE">
        <w:rPr>
          <w:rFonts w:ascii="Palatino Linotype" w:eastAsia="Palatino Linotype" w:hAnsi="Palatino Linotype" w:cs="Palatino Linotype"/>
          <w:b/>
          <w:bCs/>
          <w:color w:val="000000"/>
        </w:rPr>
        <w:t>SUJETO OBLIGADO</w:t>
      </w:r>
      <w:r w:rsidRPr="00DB69AE">
        <w:rPr>
          <w:rFonts w:ascii="Palatino Linotype" w:eastAsia="Palatino Linotype" w:hAnsi="Palatino Linotype" w:cs="Palatino Linotype"/>
          <w:color w:val="000000"/>
        </w:rPr>
        <w:t xml:space="preserve"> deberá hacer entrega de dicho documento que dé cuenta de que no es una persona que ha incumplido con las obligaciones alimentarias, </w:t>
      </w:r>
      <w:r w:rsidRPr="00DB69AE">
        <w:rPr>
          <w:rFonts w:ascii="Palatino Linotype" w:eastAsia="Palatino Linotype" w:hAnsi="Palatino Linotype" w:cs="Palatino Linotype"/>
        </w:rPr>
        <w:t xml:space="preserve">en caso de que estas existan, toda vez que si bien, debe considerarse que se trata del ámbito privado, esta determinación se toma en función de la </w:t>
      </w:r>
      <w:r w:rsidRPr="00DB69AE">
        <w:rPr>
          <w:rFonts w:ascii="Palatino Linotype" w:eastAsia="Palatino Linotype" w:hAnsi="Palatino Linotype" w:cs="Palatino Linotype"/>
        </w:rPr>
        <w:lastRenderedPageBreak/>
        <w:t>preponderancia del interés superior del menor, por tal motivo, un requisito para que las personas puedan laborar en el servicio público es justamente, cumplir con las obligaciones que adquieran con sus menores hijos, porque al haberlas cubierto, no formarán parte de ese registro, no pasa desapercibido, que el Certificado de No Deudor Alimentario, pudiere contener información confidencial, como lo es el CURP y R.F.C.</w:t>
      </w:r>
    </w:p>
    <w:p w:rsidR="005C4DC7" w:rsidRPr="0098786D" w:rsidRDefault="005C4DC7">
      <w:pPr>
        <w:spacing w:line="360" w:lineRule="auto"/>
        <w:jc w:val="both"/>
        <w:rPr>
          <w:rFonts w:ascii="Palatino Linotype" w:eastAsia="Palatino Linotype" w:hAnsi="Palatino Linotype" w:cs="Palatino Linotype"/>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FF0000"/>
          <w:sz w:val="24"/>
          <w:szCs w:val="24"/>
        </w:rPr>
      </w:pPr>
      <w:r w:rsidRPr="0098786D">
        <w:rPr>
          <w:rFonts w:ascii="Palatino Linotype" w:eastAsia="Palatino Linotype" w:hAnsi="Palatino Linotype" w:cs="Palatino Linotype"/>
          <w:color w:val="000000"/>
          <w:sz w:val="24"/>
          <w:szCs w:val="24"/>
        </w:rPr>
        <w:t xml:space="preserve">En ese tenor, se establece primeramente que, el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tiene la obligación de integrar los expedientes laborales de cada servidor público, dentro de los cuales debe constar Solicitud de empleo, ficha curricular o currículum vitae, Certificado de estudios, Certificado de no antecedentes penales, Constancia de no inhabilitación y Cédula profesional entre otros; sin embargo dichos documentos pueden tener en su contenido datos personales que puedan ser afectados al momento de dar a conocer la información, para lo cual </w:t>
      </w:r>
      <w:r w:rsidRPr="0098786D">
        <w:rPr>
          <w:rFonts w:ascii="Palatino Linotype" w:eastAsia="Palatino Linotype" w:hAnsi="Palatino Linotype" w:cs="Palatino Linotype"/>
          <w:b/>
          <w:bCs/>
          <w:color w:val="000000"/>
          <w:sz w:val="24"/>
          <w:szCs w:val="24"/>
        </w:rPr>
        <w:t>el Sujeto Obligado</w:t>
      </w:r>
      <w:r w:rsidRPr="0098786D">
        <w:rPr>
          <w:rFonts w:ascii="Palatino Linotype" w:eastAsia="Palatino Linotype" w:hAnsi="Palatino Linotype" w:cs="Palatino Linotype"/>
          <w:color w:val="000000"/>
          <w:sz w:val="24"/>
          <w:szCs w:val="24"/>
        </w:rPr>
        <w:t xml:space="preserve"> deberá proteger toda aquella información que conlleve a un riesgo grave a los servidores públicos en comento.</w:t>
      </w:r>
    </w:p>
    <w:p w:rsidR="005C4DC7" w:rsidRPr="0098786D" w:rsidRDefault="005C4DC7">
      <w:pPr>
        <w:spacing w:line="360" w:lineRule="auto"/>
        <w:jc w:val="both"/>
        <w:rPr>
          <w:rFonts w:ascii="Palatino Linotype" w:eastAsia="Palatino Linotype" w:hAnsi="Palatino Linotype" w:cs="Palatino Linotype"/>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5C4DC7" w:rsidRPr="0098786D" w:rsidRDefault="005C4DC7">
      <w:pPr>
        <w:pBdr>
          <w:top w:val="nil"/>
          <w:left w:val="nil"/>
          <w:bottom w:val="nil"/>
          <w:right w:val="nil"/>
          <w:between w:val="nil"/>
        </w:pBdr>
        <w:shd w:val="clear" w:color="auto" w:fill="FFFFFF"/>
        <w:spacing w:after="0" w:line="360" w:lineRule="auto"/>
        <w:ind w:left="644"/>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La confidencialidad de los datos personales, tiene por objetivo establecer el límite del derecho de acceso a la información a partir del derecho a la intimidad y la vida privada de </w:t>
      </w:r>
      <w:r w:rsidRPr="0098786D">
        <w:rPr>
          <w:rFonts w:ascii="Palatino Linotype" w:eastAsia="Palatino Linotype" w:hAnsi="Palatino Linotype" w:cs="Palatino Linotype"/>
          <w:color w:val="000000"/>
          <w:sz w:val="24"/>
          <w:szCs w:val="24"/>
        </w:rPr>
        <w:lastRenderedPageBreak/>
        <w:t>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005C4DC7" w:rsidRPr="0098786D" w:rsidRDefault="005C4DC7">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w:t>
      </w:r>
      <w:r w:rsidRPr="0098786D">
        <w:rPr>
          <w:rFonts w:ascii="Palatino Linotype" w:eastAsia="Palatino Linotype" w:hAnsi="Palatino Linotype" w:cs="Palatino Linotype"/>
          <w:i/>
          <w:iCs/>
          <w:color w:val="000000"/>
          <w:sz w:val="24"/>
          <w:szCs w:val="24"/>
        </w:rPr>
        <w:t>(no por eso dejan de ser datos personales, sólo que no están protegidos en la confidencialidad)</w:t>
      </w:r>
      <w:r w:rsidRPr="0098786D">
        <w:rPr>
          <w:rFonts w:ascii="Palatino Linotype" w:eastAsia="Palatino Linotype" w:hAnsi="Palatino Linotype" w:cs="Palatino Linotype"/>
          <w:color w:val="000000"/>
          <w:sz w:val="24"/>
          <w:szCs w:val="24"/>
        </w:rPr>
        <w:t>.</w:t>
      </w:r>
    </w:p>
    <w:p w:rsidR="005C4DC7" w:rsidRPr="0098786D" w:rsidRDefault="005C4DC7">
      <w:pPr>
        <w:pBdr>
          <w:top w:val="nil"/>
          <w:left w:val="nil"/>
          <w:bottom w:val="nil"/>
          <w:right w:val="nil"/>
          <w:between w:val="nil"/>
        </w:pBdr>
        <w:shd w:val="clear" w:color="auto" w:fill="FFFFFF"/>
        <w:spacing w:after="0" w:line="360" w:lineRule="auto"/>
        <w:ind w:left="644"/>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5C4DC7" w:rsidRPr="0098786D" w:rsidRDefault="005C4DC7">
      <w:pPr>
        <w:pBdr>
          <w:top w:val="nil"/>
          <w:left w:val="nil"/>
          <w:bottom w:val="nil"/>
          <w:right w:val="nil"/>
          <w:between w:val="nil"/>
        </w:pBdr>
        <w:spacing w:after="0" w:line="360" w:lineRule="auto"/>
        <w:ind w:left="644"/>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Ya que toda la información en posesión de cualquier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es pública, existen excepciones establecidas en los artículos 91 y 143, de la Ley de Transparencia y Acceso a la Información Pública del Estado de México y Municipios.</w:t>
      </w:r>
    </w:p>
    <w:p w:rsidR="005C4DC7" w:rsidRPr="0098786D" w:rsidRDefault="005C4DC7">
      <w:pPr>
        <w:pBdr>
          <w:top w:val="nil"/>
          <w:left w:val="nil"/>
          <w:bottom w:val="nil"/>
          <w:right w:val="nil"/>
          <w:between w:val="nil"/>
        </w:pBdr>
        <w:spacing w:after="0" w:line="360" w:lineRule="auto"/>
        <w:ind w:left="644"/>
        <w:rPr>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Que una de las causas de excepción que la normativa señala es el caso de la confidencialidad, aplicable al asunto conforme a lo previsto en el numeral 143, fracción I, de la Ley de Transparencia y Acceso a la Información Pública del Estado de México y Municipios.</w:t>
      </w:r>
    </w:p>
    <w:p w:rsidR="005C4DC7" w:rsidRPr="0098786D" w:rsidRDefault="005C4DC7">
      <w:pPr>
        <w:pBdr>
          <w:top w:val="nil"/>
          <w:left w:val="nil"/>
          <w:bottom w:val="nil"/>
          <w:right w:val="nil"/>
          <w:between w:val="nil"/>
        </w:pBdr>
        <w:spacing w:after="0" w:line="240" w:lineRule="auto"/>
        <w:ind w:left="720"/>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Que la Ley de Protección de Datos Personales del Estado de México tiene por objeto garantizar la protección de los datos personales que se encuentran en posesión de los sujetos obligados, ya sea en archivos, registros, bancos de datos u otros medios técnicos de tratamiento de datos públicos y privados, destinados a dar informes para garantiza el derecho al honor y privacidad de las personas, así como también el acceso a la información que sobre los mismos se registre.</w:t>
      </w:r>
    </w:p>
    <w:p w:rsidR="005C4DC7" w:rsidRPr="0098786D" w:rsidRDefault="005C4DC7">
      <w:pPr>
        <w:pBdr>
          <w:top w:val="nil"/>
          <w:left w:val="nil"/>
          <w:bottom w:val="nil"/>
          <w:right w:val="nil"/>
          <w:between w:val="nil"/>
        </w:pBdr>
        <w:tabs>
          <w:tab w:val="left" w:pos="709"/>
        </w:tabs>
        <w:spacing w:after="0" w:line="360" w:lineRule="auto"/>
        <w:ind w:left="644"/>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sz w:val="24"/>
          <w:szCs w:val="24"/>
        </w:rPr>
      </w:pPr>
      <w:r w:rsidRPr="0098786D">
        <w:rPr>
          <w:rFonts w:ascii="Palatino Linotype" w:eastAsia="Palatino Linotype" w:hAnsi="Palatino Linotype" w:cs="Palatino Linotype"/>
          <w:color w:val="000000"/>
          <w:sz w:val="24"/>
          <w:szCs w:val="24"/>
        </w:rPr>
        <w:lastRenderedPageBreak/>
        <w:t>Que la protección de datos personales es la prerrogativa conferida a las personas contra la posible divulgación de sus datos, de tal forma que no pueda afectarse su entorno personal, social o profesional, y que la legislación en la materia, establece como principios básicos, garantizar al titular de la información que el tratamiento de sus datos será estrictamente el necesario para cumplir con el fin para el que fueron recabados, siendo por tanto obligatoria la confidencialidad y el respecto a su privacidad, con relación al uso, la seguridad, la difusión y la distribución de dicha información.</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Así mismo, la </w:t>
      </w:r>
      <w:r w:rsidRPr="0098786D">
        <w:rPr>
          <w:rFonts w:ascii="Palatino Linotype" w:eastAsia="Palatino Linotype" w:hAnsi="Palatino Linotype" w:cs="Palatino Linotype"/>
          <w:b/>
          <w:bCs/>
          <w:color w:val="000000"/>
          <w:sz w:val="24"/>
          <w:szCs w:val="24"/>
        </w:rPr>
        <w:t xml:space="preserve">Ley de Transparencia y Acceso a la Información Pública del Estado de </w:t>
      </w:r>
      <w:r w:rsidRPr="0098786D">
        <w:rPr>
          <w:rFonts w:ascii="Palatino Linotype" w:eastAsia="Palatino Linotype" w:hAnsi="Palatino Linotype" w:cs="Palatino Linotype"/>
          <w:color w:val="000000"/>
          <w:sz w:val="24"/>
          <w:szCs w:val="24"/>
        </w:rPr>
        <w:t>México</w:t>
      </w:r>
      <w:r w:rsidRPr="0098786D">
        <w:rPr>
          <w:rFonts w:ascii="Palatino Linotype" w:eastAsia="Palatino Linotype" w:hAnsi="Palatino Linotype" w:cs="Palatino Linotype"/>
          <w:b/>
          <w:bCs/>
          <w:color w:val="000000"/>
          <w:sz w:val="24"/>
          <w:szCs w:val="24"/>
        </w:rPr>
        <w:t xml:space="preserve"> y Municipios</w:t>
      </w:r>
      <w:r w:rsidRPr="0098786D">
        <w:rPr>
          <w:rFonts w:ascii="Palatino Linotype" w:eastAsia="Palatino Linotype" w:hAnsi="Palatino Linotype" w:cs="Palatino Linotype"/>
          <w:color w:val="000000"/>
          <w:sz w:val="24"/>
          <w:szCs w:val="24"/>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5C4DC7" w:rsidRPr="0098786D" w:rsidRDefault="00936BF5">
      <w:pPr>
        <w:pBdr>
          <w:top w:val="nil"/>
          <w:left w:val="nil"/>
          <w:bottom w:val="nil"/>
          <w:right w:val="nil"/>
          <w:between w:val="nil"/>
        </w:pBdr>
        <w:spacing w:after="0" w:line="240" w:lineRule="auto"/>
        <w:ind w:left="644" w:right="191"/>
        <w:jc w:val="both"/>
        <w:rPr>
          <w:rFonts w:ascii="Palatino Linotype" w:eastAsia="Palatino Linotype" w:hAnsi="Palatino Linotype" w:cs="Palatino Linotype"/>
          <w:b/>
          <w:bCs/>
          <w:i/>
          <w:iCs/>
          <w:color w:val="000000"/>
          <w:sz w:val="24"/>
          <w:szCs w:val="24"/>
        </w:rPr>
      </w:pPr>
      <w:r w:rsidRPr="0098786D">
        <w:rPr>
          <w:rFonts w:ascii="Palatino Linotype" w:eastAsia="Palatino Linotype" w:hAnsi="Palatino Linotype" w:cs="Palatino Linotype"/>
          <w:i/>
          <w:iCs/>
          <w:color w:val="000000"/>
          <w:sz w:val="24"/>
          <w:szCs w:val="24"/>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98786D">
        <w:rPr>
          <w:rFonts w:ascii="Palatino Linotype" w:eastAsia="Palatino Linotype" w:hAnsi="Palatino Linotype" w:cs="Palatino Linotype"/>
          <w:b/>
          <w:bCs/>
          <w:i/>
          <w:iCs/>
          <w:color w:val="000000"/>
          <w:sz w:val="24"/>
          <w:szCs w:val="24"/>
        </w:rPr>
        <w:t>Los Sujetos Obligados deben poner en práctica, políticas y programas de acceso a la información que se apeguen a criterios de publicidad, veracidad, oportunidad, precisión y suficiencia en beneficio de los solicitantes.</w:t>
      </w:r>
    </w:p>
    <w:p w:rsidR="005C4DC7" w:rsidRPr="0098786D" w:rsidRDefault="005C4DC7">
      <w:pPr>
        <w:spacing w:line="360" w:lineRule="auto"/>
        <w:ind w:right="902"/>
        <w:jc w:val="both"/>
        <w:rPr>
          <w:rFonts w:ascii="Palatino Linotype" w:eastAsia="Palatino Linotype" w:hAnsi="Palatino Linotype" w:cs="Palatino Linotype"/>
          <w:b/>
          <w:bCs/>
          <w:i/>
          <w:iCs/>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Numerales que compelen al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a apegarse en todo momento a los criterios ya expuestos, </w:t>
      </w:r>
      <w:r w:rsidRPr="0098786D">
        <w:rPr>
          <w:rFonts w:ascii="Palatino Linotype" w:eastAsia="Palatino Linotype" w:hAnsi="Palatino Linotype" w:cs="Palatino Linotype"/>
          <w:sz w:val="24"/>
          <w:szCs w:val="24"/>
        </w:rPr>
        <w:t>impidiendo</w:t>
      </w:r>
      <w:r w:rsidRPr="0098786D">
        <w:rPr>
          <w:rFonts w:ascii="Palatino Linotype" w:eastAsia="Palatino Linotype" w:hAnsi="Palatino Linotype" w:cs="Palatino Linotype"/>
          <w:color w:val="000000"/>
          <w:sz w:val="24"/>
          <w:szCs w:val="24"/>
        </w:rPr>
        <w:t xml:space="preserve">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w:t>
      </w:r>
      <w:r w:rsidRPr="0098786D">
        <w:rPr>
          <w:rFonts w:ascii="Palatino Linotype" w:eastAsia="Palatino Linotype" w:hAnsi="Palatino Linotype" w:cs="Palatino Linotype"/>
          <w:color w:val="000000"/>
          <w:sz w:val="24"/>
          <w:szCs w:val="24"/>
        </w:rPr>
        <w:lastRenderedPageBreak/>
        <w:t xml:space="preserve">disposición la información requerida, se tiene por colmado el derecho de acceso a la información pública del particular. </w:t>
      </w:r>
    </w:p>
    <w:p w:rsidR="005C4DC7" w:rsidRPr="0098786D" w:rsidRDefault="005C4DC7">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Ahora bien,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5C4DC7" w:rsidRPr="0098786D" w:rsidRDefault="00936BF5">
      <w:pPr>
        <w:spacing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sz w:val="24"/>
          <w:szCs w:val="24"/>
        </w:rPr>
        <w:t>“</w:t>
      </w:r>
      <w:r w:rsidRPr="0098786D">
        <w:rPr>
          <w:rFonts w:ascii="Palatino Linotype" w:eastAsia="Palatino Linotype" w:hAnsi="Palatino Linotype" w:cs="Palatino Linotype"/>
          <w:b/>
          <w:bCs/>
          <w:i/>
          <w:iCs/>
          <w:sz w:val="24"/>
          <w:szCs w:val="24"/>
        </w:rPr>
        <w:t>Artículo 4.</w:t>
      </w:r>
      <w:r w:rsidRPr="0098786D">
        <w:rPr>
          <w:rFonts w:ascii="Palatino Linotype" w:eastAsia="Palatino Linotype" w:hAnsi="Palatino Linotype" w:cs="Palatino Linotype"/>
          <w:i/>
          <w:iCs/>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98786D">
        <w:rPr>
          <w:rFonts w:ascii="Palatino Linotype" w:eastAsia="Palatino Linotype" w:hAnsi="Palatino Linotype" w:cs="Palatino Linotype"/>
          <w:i/>
          <w:iCs/>
          <w:color w:val="000000"/>
          <w:sz w:val="24"/>
          <w:szCs w:val="24"/>
        </w:rPr>
        <w:t>mexicano</w:t>
      </w:r>
      <w:r w:rsidRPr="0098786D">
        <w:rPr>
          <w:rFonts w:ascii="Palatino Linotype" w:eastAsia="Palatino Linotype" w:hAnsi="Palatino Linotype" w:cs="Palatino Linotype"/>
          <w:i/>
          <w:iCs/>
          <w:sz w:val="24"/>
          <w:szCs w:val="24"/>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Los sujetos obligados deben poner en práctica, políticas y programas de acceso a la información</w:t>
      </w:r>
      <w:r w:rsidRPr="0098786D">
        <w:rPr>
          <w:rFonts w:ascii="Palatino Linotype" w:eastAsia="Palatino Linotype" w:hAnsi="Palatino Linotype" w:cs="Palatino Linotype"/>
          <w:sz w:val="24"/>
          <w:szCs w:val="24"/>
        </w:rPr>
        <w:t xml:space="preserve"> </w:t>
      </w:r>
      <w:r w:rsidRPr="0098786D">
        <w:rPr>
          <w:rFonts w:ascii="Palatino Linotype" w:eastAsia="Palatino Linotype" w:hAnsi="Palatino Linotype" w:cs="Palatino Linotype"/>
          <w:i/>
          <w:iCs/>
          <w:sz w:val="24"/>
          <w:szCs w:val="24"/>
        </w:rPr>
        <w:t>que se apeguen a criterios de publicidad, veracidad, oportunidad, precisión y suficiencia en beneficio de los solicitantes.”</w:t>
      </w:r>
    </w:p>
    <w:p w:rsidR="005C4DC7" w:rsidRPr="0098786D" w:rsidRDefault="005C4DC7">
      <w:pPr>
        <w:spacing w:before="120" w:after="120" w:line="360" w:lineRule="auto"/>
        <w:ind w:left="709" w:right="709"/>
        <w:jc w:val="both"/>
        <w:rPr>
          <w:rFonts w:ascii="Palatino Linotype" w:eastAsia="Palatino Linotype" w:hAnsi="Palatino Linotype" w:cs="Palatino Linotype"/>
          <w:i/>
          <w:iCs/>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5C4DC7" w:rsidRPr="0098786D" w:rsidRDefault="005C4DC7">
      <w:pPr>
        <w:spacing w:before="120" w:after="120" w:line="360" w:lineRule="auto"/>
        <w:jc w:val="both"/>
        <w:rPr>
          <w:rFonts w:ascii="Palatino Linotype" w:eastAsia="Palatino Linotype" w:hAnsi="Palatino Linotype" w:cs="Palatino Linotype"/>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de Transparencia vigente en nuestra entidad y demás disposiciones de la materia, privilegiando el principio de máxima publicidad de la información. </w:t>
      </w:r>
    </w:p>
    <w:p w:rsidR="005C4DC7" w:rsidRPr="0098786D" w:rsidRDefault="005C4DC7">
      <w:pPr>
        <w:spacing w:line="360" w:lineRule="auto"/>
        <w:rPr>
          <w:rFonts w:ascii="Palatino Linotype" w:eastAsia="Palatino Linotype" w:hAnsi="Palatino Linotype" w:cs="Palatino Linotype"/>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esa tesitura, los Sujetos Obligados deberán poner en práctica, políticas y programas de acceso a la información que se apeguen a criterios de publicidad, veracidad, oportunidad, precisión y suficiencia en beneficio de los solicitantes</w:t>
      </w:r>
    </w:p>
    <w:p w:rsidR="005C4DC7" w:rsidRPr="0098786D" w:rsidRDefault="005C4DC7">
      <w:pPr>
        <w:rPr>
          <w:rFonts w:ascii="Palatino Linotype" w:eastAsia="Palatino Linotype" w:hAnsi="Palatino Linotype" w:cs="Palatino Linotype"/>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Lo anterior tiene sustento en los artículos 3 fracciones XI y XXII; 4; 11 y 41 de la Ley de Transparencia y Acceso a la Información Pública del Estado de México y Municipios:</w:t>
      </w:r>
    </w:p>
    <w:p w:rsidR="005C4DC7" w:rsidRPr="0098786D" w:rsidRDefault="00936BF5">
      <w:pPr>
        <w:spacing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 xml:space="preserve">“Artículo 3. </w:t>
      </w:r>
      <w:r w:rsidRPr="0098786D">
        <w:rPr>
          <w:rFonts w:ascii="Palatino Linotype" w:eastAsia="Palatino Linotype" w:hAnsi="Palatino Linotype" w:cs="Palatino Linotype"/>
          <w:b/>
          <w:bCs/>
          <w:i/>
          <w:iCs/>
          <w:sz w:val="24"/>
          <w:szCs w:val="24"/>
          <w:u w:val="single"/>
        </w:rPr>
        <w:t>Para los efectos de la presente Ley se entenderá por</w:t>
      </w:r>
      <w:r w:rsidRPr="0098786D">
        <w:rPr>
          <w:rFonts w:ascii="Palatino Linotype" w:eastAsia="Palatino Linotype" w:hAnsi="Palatino Linotype" w:cs="Palatino Linotype"/>
          <w:b/>
          <w:bCs/>
          <w:i/>
          <w:iCs/>
          <w:sz w:val="24"/>
          <w:szCs w:val="24"/>
        </w:rPr>
        <w:t xml:space="preserve">: </w:t>
      </w:r>
      <w:r w:rsidRPr="0098786D">
        <w:rPr>
          <w:rFonts w:ascii="Palatino Linotype" w:eastAsia="Palatino Linotype" w:hAnsi="Palatino Linotype" w:cs="Palatino Linotype"/>
          <w:i/>
          <w:iCs/>
          <w:sz w:val="24"/>
          <w:szCs w:val="24"/>
        </w:rPr>
        <w:t>…</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lastRenderedPageBreak/>
        <w:t>XI. Documento:</w:t>
      </w:r>
      <w:r w:rsidRPr="0098786D">
        <w:rPr>
          <w:rFonts w:ascii="Palatino Linotype" w:eastAsia="Palatino Linotype" w:hAnsi="Palatino Linotype" w:cs="Palatino Linotype"/>
          <w:i/>
          <w:iCs/>
          <w:sz w:val="24"/>
          <w:szCs w:val="24"/>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98786D">
        <w:rPr>
          <w:rFonts w:ascii="Palatino Linotype" w:eastAsia="Palatino Linotype" w:hAnsi="Palatino Linotype" w:cs="Palatino Linotype"/>
          <w:i/>
          <w:iCs/>
          <w:color w:val="000000"/>
          <w:sz w:val="24"/>
          <w:szCs w:val="24"/>
        </w:rPr>
        <w:t>servidores</w:t>
      </w:r>
      <w:r w:rsidRPr="0098786D">
        <w:rPr>
          <w:rFonts w:ascii="Palatino Linotype" w:eastAsia="Palatino Linotype" w:hAnsi="Palatino Linotype" w:cs="Palatino Linotype"/>
          <w:i/>
          <w:iCs/>
          <w:sz w:val="24"/>
          <w:szCs w:val="24"/>
        </w:rPr>
        <w:t xml:space="preserve"> públicos e integrantes, sin importar su fuente o fecha de elaboración. Los documentos podrán estar en cualquier medio, sea escrito, impreso, sonoro, visual, electrónico, informático u holográfico; </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Artículo 4.</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u w:val="single"/>
        </w:rPr>
        <w:t>El derecho humano de acceso a la información pública es la prerrogativa de las personas para buscar, difundir, investigar, recabar, recibir y solicitar información pública</w:t>
      </w:r>
      <w:r w:rsidRPr="0098786D">
        <w:rPr>
          <w:rFonts w:ascii="Palatino Linotype" w:eastAsia="Palatino Linotype" w:hAnsi="Palatino Linotype" w:cs="Palatino Linotype"/>
          <w:i/>
          <w:iCs/>
          <w:sz w:val="24"/>
          <w:szCs w:val="24"/>
        </w:rPr>
        <w:t xml:space="preserve">, sin necesidad de acreditar personalidad ni interés jurídico. </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98786D">
        <w:rPr>
          <w:rFonts w:ascii="Palatino Linotype" w:eastAsia="Palatino Linotype" w:hAnsi="Palatino Linotype" w:cs="Palatino Linotype"/>
          <w:i/>
          <w:iCs/>
          <w:color w:val="000000"/>
          <w:sz w:val="24"/>
          <w:szCs w:val="24"/>
        </w:rPr>
        <w:t>información</w:t>
      </w:r>
      <w:r w:rsidRPr="0098786D">
        <w:rPr>
          <w:rFonts w:ascii="Palatino Linotype" w:eastAsia="Palatino Linotype" w:hAnsi="Palatino Linotype" w:cs="Palatino Linotype"/>
          <w:i/>
          <w:iCs/>
          <w:sz w:val="24"/>
          <w:szCs w:val="24"/>
        </w:rPr>
        <w:t xml:space="preserve">. Solo podrá ser clasificada excepcionalmente como reservada temporalmente por razones de interés público, en los términos de las causas legítimas y estrictamente necesarias previstas por esta Ley. </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Los sujetos obligados deben poner en práctica, políticas y programas de acceso a la información que se apeguen a criterios de publicidad, veracidad, oportunidad, precisión y suficiencia en beneficio de los solicitantes. </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lastRenderedPageBreak/>
        <w:t>Artículo 11.-</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u w:val="single"/>
        </w:rPr>
        <w:t>Los Sujetos Obligados sólo proporcionarán la información que generen en el ejercicio de sus atribuciones</w:t>
      </w:r>
      <w:r w:rsidRPr="0098786D">
        <w:rPr>
          <w:rFonts w:ascii="Palatino Linotype" w:eastAsia="Palatino Linotype" w:hAnsi="Palatino Linotype" w:cs="Palatino Linotype"/>
          <w:i/>
          <w:iCs/>
          <w:sz w:val="24"/>
          <w:szCs w:val="24"/>
        </w:rPr>
        <w:t>.</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Artículo 12.</w:t>
      </w:r>
      <w:r w:rsidRPr="0098786D">
        <w:rPr>
          <w:rFonts w:ascii="Palatino Linotype" w:eastAsia="Palatino Linotype" w:hAnsi="Palatino Linotype" w:cs="Palatino Linotype"/>
          <w:i/>
          <w:iCs/>
          <w:sz w:val="24"/>
          <w:szCs w:val="24"/>
        </w:rPr>
        <w:t xml:space="preserve"> Quienes generen, recopilen, administren, manejen, procesen, archiven o conserven información pública</w:t>
      </w:r>
      <w:r w:rsidRPr="0098786D">
        <w:rPr>
          <w:rFonts w:ascii="Palatino Linotype" w:eastAsia="Palatino Linotype" w:hAnsi="Palatino Linotype" w:cs="Palatino Linotype"/>
          <w:b/>
          <w:bCs/>
          <w:i/>
          <w:iCs/>
          <w:sz w:val="24"/>
          <w:szCs w:val="24"/>
        </w:rPr>
        <w:t xml:space="preserve"> </w:t>
      </w:r>
      <w:r w:rsidRPr="0098786D">
        <w:rPr>
          <w:rFonts w:ascii="Palatino Linotype" w:eastAsia="Palatino Linotype" w:hAnsi="Palatino Linotype" w:cs="Palatino Linotype"/>
          <w:i/>
          <w:iCs/>
          <w:sz w:val="24"/>
          <w:szCs w:val="24"/>
        </w:rPr>
        <w:t xml:space="preserve">serán responsables de la misma en los términos de las disposiciones jurídicas </w:t>
      </w:r>
      <w:r w:rsidRPr="0098786D">
        <w:rPr>
          <w:rFonts w:ascii="Palatino Linotype" w:eastAsia="Palatino Linotype" w:hAnsi="Palatino Linotype" w:cs="Palatino Linotype"/>
          <w:i/>
          <w:iCs/>
          <w:color w:val="000000"/>
          <w:sz w:val="24"/>
          <w:szCs w:val="24"/>
        </w:rPr>
        <w:t>aplicables</w:t>
      </w:r>
      <w:r w:rsidRPr="0098786D">
        <w:rPr>
          <w:rFonts w:ascii="Palatino Linotype" w:eastAsia="Palatino Linotype" w:hAnsi="Palatino Linotype" w:cs="Palatino Linotype"/>
          <w:i/>
          <w:iCs/>
          <w:sz w:val="24"/>
          <w:szCs w:val="24"/>
        </w:rPr>
        <w:t xml:space="preserve">. </w:t>
      </w:r>
    </w:p>
    <w:p w:rsidR="005C4DC7" w:rsidRPr="0098786D" w:rsidRDefault="00936BF5">
      <w:pPr>
        <w:spacing w:before="120" w:after="120" w:line="360" w:lineRule="auto"/>
        <w:ind w:left="851" w:right="822"/>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u w:val="single"/>
        </w:rPr>
        <w:t>Los sujetos obligados sólo proporcionarán la información pública que se les requiera y que obre en sus archivos</w:t>
      </w:r>
      <w:r w:rsidRPr="0098786D">
        <w:rPr>
          <w:rFonts w:ascii="Palatino Linotype" w:eastAsia="Palatino Linotype" w:hAnsi="Palatino Linotype" w:cs="Palatino Linotype"/>
          <w:i/>
          <w:iCs/>
          <w:sz w:val="24"/>
          <w:szCs w:val="24"/>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C4DC7" w:rsidRPr="0098786D" w:rsidRDefault="00936BF5">
      <w:pPr>
        <w:spacing w:before="120" w:after="120" w:line="360" w:lineRule="auto"/>
        <w:ind w:left="851" w:right="822"/>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(Énfasis añadido)</w:t>
      </w:r>
    </w:p>
    <w:p w:rsidR="005C4DC7" w:rsidRPr="0098786D" w:rsidRDefault="005C4DC7">
      <w:pPr>
        <w:spacing w:before="120" w:after="120" w:line="360" w:lineRule="auto"/>
        <w:ind w:left="851" w:right="822"/>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b/>
          <w:bCs/>
          <w:color w:val="000000"/>
          <w:sz w:val="24"/>
          <w:szCs w:val="24"/>
        </w:rPr>
        <w:t>QUINTO. De la versión pública.</w:t>
      </w:r>
    </w:p>
    <w:p w:rsidR="005C4DC7" w:rsidRPr="0098786D" w:rsidRDefault="00936BF5">
      <w:pPr>
        <w:numPr>
          <w:ilvl w:val="0"/>
          <w:numId w:val="10"/>
        </w:num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b/>
          <w:bCs/>
          <w:color w:val="000000"/>
          <w:sz w:val="24"/>
          <w:szCs w:val="24"/>
        </w:rPr>
        <w:t xml:space="preserve">Nociones generales. </w:t>
      </w: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Debe destacarse que, debido a la naturaleza de la información solicitada</w:t>
      </w:r>
      <w:r w:rsidRPr="0098786D">
        <w:rPr>
          <w:rFonts w:ascii="Palatino Linotype" w:eastAsia="Palatino Linotype" w:hAnsi="Palatino Linotype" w:cs="Palatino Linotype"/>
          <w:b/>
          <w:bCs/>
          <w:color w:val="000000"/>
          <w:sz w:val="24"/>
          <w:szCs w:val="24"/>
        </w:rPr>
        <w:t xml:space="preserve">, </w:t>
      </w:r>
      <w:r w:rsidRPr="0098786D">
        <w:rPr>
          <w:rFonts w:ascii="Palatino Linotype" w:eastAsia="Palatino Linotype" w:hAnsi="Palatino Linotype" w:cs="Palatino Linotype"/>
          <w:color w:val="000000"/>
          <w:sz w:val="24"/>
          <w:szCs w:val="24"/>
        </w:rPr>
        <w:t xml:space="preserve">eventualmente pudiera obrar datos personales susceptibles de protegerse, el </w:t>
      </w:r>
      <w:r w:rsidRPr="0098786D">
        <w:rPr>
          <w:rFonts w:ascii="Palatino Linotype" w:eastAsia="Palatino Linotype" w:hAnsi="Palatino Linotype" w:cs="Palatino Linotype"/>
          <w:b/>
          <w:bCs/>
          <w:color w:val="000000"/>
          <w:sz w:val="24"/>
          <w:szCs w:val="24"/>
        </w:rPr>
        <w:t xml:space="preserve">SUJETO OBLIGADO </w:t>
      </w:r>
      <w:r w:rsidRPr="0098786D">
        <w:rPr>
          <w:rFonts w:ascii="Palatino Linotype" w:eastAsia="Palatino Linotype" w:hAnsi="Palatino Linotype" w:cs="Palatino Linotype"/>
          <w:color w:val="000000"/>
          <w:sz w:val="24"/>
          <w:szCs w:val="24"/>
        </w:rPr>
        <w:t xml:space="preserve">deberá de hacer la adecuada versión pública, protegiendo los datos que no son susceptibles de ser proporcionados. </w:t>
      </w:r>
    </w:p>
    <w:p w:rsidR="005C4DC7" w:rsidRPr="0098786D" w:rsidRDefault="005C4DC7">
      <w:pPr>
        <w:pBdr>
          <w:top w:val="nil"/>
          <w:left w:val="nil"/>
          <w:bottom w:val="nil"/>
          <w:right w:val="nil"/>
          <w:between w:val="nil"/>
        </w:pBdr>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No pasa desapercibido para este Órgano Garante que los Sujetos Obligados serán responsables de los datos personales en su posesión y que, en caso de localizarse datos </w:t>
      </w:r>
      <w:r w:rsidRPr="0098786D">
        <w:rPr>
          <w:rFonts w:ascii="Palatino Linotype" w:eastAsia="Palatino Linotype" w:hAnsi="Palatino Linotype" w:cs="Palatino Linotype"/>
          <w:color w:val="000000"/>
          <w:sz w:val="24"/>
          <w:szCs w:val="24"/>
        </w:rPr>
        <w:lastRenderedPageBreak/>
        <w:t>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5C4DC7" w:rsidRPr="0098786D" w:rsidRDefault="005C4DC7">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p>
    <w:tbl>
      <w:tblPr>
        <w:tblStyle w:val="a1"/>
        <w:tblW w:w="9896"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2"/>
        <w:gridCol w:w="6804"/>
      </w:tblGrid>
      <w:tr w:rsidR="005C4DC7" w:rsidRPr="0098786D" w:rsidTr="00DB69AE">
        <w:tc>
          <w:tcPr>
            <w:tcW w:w="3092" w:type="dxa"/>
            <w:vAlign w:val="center"/>
          </w:tcPr>
          <w:p w:rsidR="005C4DC7" w:rsidRPr="0098786D" w:rsidRDefault="00936BF5">
            <w:pPr>
              <w:pBdr>
                <w:top w:val="nil"/>
                <w:left w:val="nil"/>
                <w:bottom w:val="nil"/>
                <w:right w:val="nil"/>
                <w:between w:val="nil"/>
              </w:pBdr>
              <w:tabs>
                <w:tab w:val="left" w:pos="851"/>
              </w:tabs>
              <w:spacing w:line="240" w:lineRule="auto"/>
              <w:ind w:right="333"/>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 Requisitos previos.</w:t>
            </w:r>
          </w:p>
        </w:tc>
        <w:tc>
          <w:tcPr>
            <w:tcW w:w="6804" w:type="dxa"/>
          </w:tcPr>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Los artículos 100 y 122 de la Ley Estatal y de la Ley General, vigente al momento de interponer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Al hacerlo tienen que precisar de qué información se trata, señalando el supuesto de clasificación (confidencialidad o reserva).</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Además, se debe señalar el procedimiento, de los tres que establecen los artículos 132 y 106 de la Ley Estatal y General vigente al momento de interponer la solicitud de información, respectivamente.</w:t>
            </w:r>
          </w:p>
          <w:p w:rsidR="005C4DC7" w:rsidRPr="0098786D" w:rsidRDefault="005C4DC7">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último de estos requisitos previos consiste en que no se pueden emitir acuerdos de carácter general ni particular, esto es, </w:t>
            </w:r>
            <w:r w:rsidRPr="0098786D">
              <w:rPr>
                <w:rFonts w:ascii="Palatino Linotype" w:eastAsia="Palatino Linotype" w:hAnsi="Palatino Linotype" w:cs="Palatino Linotype"/>
                <w:color w:val="000000"/>
                <w:sz w:val="24"/>
                <w:szCs w:val="24"/>
                <w:u w:val="single"/>
              </w:rPr>
              <w:t>no se puede hacer un acuerdo para clasificar de manera general todos los documentos de un expediente o área, sin</w:t>
            </w:r>
            <w:r w:rsidRPr="0098786D">
              <w:rPr>
                <w:rFonts w:ascii="Palatino Linotype" w:eastAsia="Palatino Linotype" w:hAnsi="Palatino Linotype" w:cs="Palatino Linotype"/>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5C4DC7" w:rsidRPr="0098786D" w:rsidTr="00DB69AE">
        <w:tc>
          <w:tcPr>
            <w:tcW w:w="3092" w:type="dxa"/>
            <w:vAlign w:val="center"/>
          </w:tcPr>
          <w:p w:rsidR="005C4DC7" w:rsidRPr="0098786D" w:rsidRDefault="00936BF5">
            <w:pPr>
              <w:pBdr>
                <w:top w:val="nil"/>
                <w:left w:val="nil"/>
                <w:bottom w:val="nil"/>
                <w:right w:val="nil"/>
                <w:between w:val="nil"/>
              </w:pBdr>
              <w:tabs>
                <w:tab w:val="left" w:pos="851"/>
              </w:tabs>
              <w:spacing w:line="240" w:lineRule="auto"/>
              <w:ind w:right="333"/>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b) Supuestos de clasificación.</w:t>
            </w:r>
          </w:p>
        </w:tc>
        <w:tc>
          <w:tcPr>
            <w:tcW w:w="6804" w:type="dxa"/>
          </w:tcPr>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Las disposiciones constitucionales y legales en la materia establecen los dos supuestos generales para clasificar la información: por reserva y por confidencialidad.</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Los artículos 116 y 143 de la Ley Estatal y de la Ley General, vigente al momento de interponer la solicitud de información, </w:t>
            </w:r>
            <w:r w:rsidRPr="0098786D">
              <w:rPr>
                <w:rFonts w:ascii="Palatino Linotype" w:eastAsia="Palatino Linotype" w:hAnsi="Palatino Linotype" w:cs="Palatino Linotype"/>
                <w:color w:val="000000"/>
                <w:sz w:val="24"/>
                <w:szCs w:val="24"/>
              </w:rPr>
              <w:lastRenderedPageBreak/>
              <w:t>respectivamente, señalan los supuestos para que la información pueda ser clasificada como confidencial. Mientras que los artículos 105 y 130 de la Ley Estatal y de la Ley General, vigente al momento de interponer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w:t>
            </w:r>
            <w:r w:rsidRPr="0098786D">
              <w:rPr>
                <w:rFonts w:ascii="Palatino Linotype" w:eastAsia="Palatino Linotype" w:hAnsi="Palatino Linotype" w:cs="Palatino Linotype"/>
                <w:b/>
                <w:bCs/>
                <w:color w:val="000000"/>
                <w:sz w:val="24"/>
                <w:szCs w:val="24"/>
              </w:rPr>
              <w:t>Sujeto Obligado</w:t>
            </w:r>
            <w:r w:rsidRPr="0098786D">
              <w:rPr>
                <w:rFonts w:ascii="Palatino Linotype" w:eastAsia="Palatino Linotype" w:hAnsi="Palatino Linotype" w:cs="Palatino Linotype"/>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5C4DC7" w:rsidRPr="0098786D" w:rsidTr="00DB69AE">
        <w:tc>
          <w:tcPr>
            <w:tcW w:w="3092" w:type="dxa"/>
            <w:vAlign w:val="center"/>
          </w:tcPr>
          <w:p w:rsidR="005C4DC7" w:rsidRPr="0098786D" w:rsidRDefault="00936BF5">
            <w:pPr>
              <w:pBdr>
                <w:top w:val="nil"/>
                <w:left w:val="nil"/>
                <w:bottom w:val="nil"/>
                <w:right w:val="nil"/>
                <w:between w:val="nil"/>
              </w:pBdr>
              <w:tabs>
                <w:tab w:val="left" w:pos="851"/>
              </w:tabs>
              <w:spacing w:line="240" w:lineRule="auto"/>
              <w:ind w:right="333"/>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c) Formalidades para emitir el acuerdo de clasificación.</w:t>
            </w:r>
          </w:p>
        </w:tc>
        <w:tc>
          <w:tcPr>
            <w:tcW w:w="6804" w:type="dxa"/>
          </w:tcPr>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El Comité de Transparencia, según lo dispuesto en los artículos cuenta con las facultades para aprobar, modificar o revocar la clasificación de la información que haya propuesto. </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Es necesario que </w:t>
            </w:r>
            <w:r w:rsidRPr="0098786D">
              <w:rPr>
                <w:rFonts w:ascii="Palatino Linotype" w:eastAsia="Palatino Linotype" w:hAnsi="Palatino Linotype" w:cs="Palatino Linotype"/>
                <w:b/>
                <w:bCs/>
                <w:color w:val="000000"/>
                <w:sz w:val="24"/>
                <w:szCs w:val="24"/>
                <w:u w:val="single"/>
              </w:rPr>
              <w:t>el acto reúna con los requisitos elementales</w:t>
            </w:r>
            <w:r w:rsidRPr="0098786D">
              <w:rPr>
                <w:rFonts w:ascii="Palatino Linotype" w:eastAsia="Palatino Linotype" w:hAnsi="Palatino Linotype" w:cs="Palatino Linotype"/>
                <w:color w:val="000000"/>
                <w:sz w:val="24"/>
                <w:szCs w:val="24"/>
              </w:rPr>
              <w:t>, entre ellos, que la autoridad que va a emitir el acto de autoridad sea la legalmente facultada para ello.</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5C4DC7" w:rsidRPr="0098786D" w:rsidTr="00DB69AE">
        <w:tc>
          <w:tcPr>
            <w:tcW w:w="3092" w:type="dxa"/>
            <w:vAlign w:val="center"/>
          </w:tcPr>
          <w:p w:rsidR="005C4DC7" w:rsidRPr="0098786D" w:rsidRDefault="005C4DC7">
            <w:pPr>
              <w:pBdr>
                <w:top w:val="nil"/>
                <w:left w:val="nil"/>
                <w:bottom w:val="nil"/>
                <w:right w:val="nil"/>
                <w:between w:val="nil"/>
              </w:pBdr>
              <w:tabs>
                <w:tab w:val="left" w:pos="851"/>
              </w:tabs>
              <w:spacing w:line="240" w:lineRule="auto"/>
              <w:ind w:right="333"/>
              <w:jc w:val="both"/>
              <w:rPr>
                <w:rFonts w:ascii="Palatino Linotype" w:eastAsia="Palatino Linotype" w:hAnsi="Palatino Linotype" w:cs="Palatino Linotype"/>
                <w:color w:val="000000"/>
                <w:sz w:val="24"/>
                <w:szCs w:val="24"/>
              </w:rPr>
            </w:pPr>
          </w:p>
          <w:p w:rsidR="005C4DC7" w:rsidRPr="0098786D" w:rsidRDefault="00936BF5">
            <w:pPr>
              <w:pBdr>
                <w:top w:val="nil"/>
                <w:left w:val="nil"/>
                <w:bottom w:val="nil"/>
                <w:right w:val="nil"/>
                <w:between w:val="nil"/>
              </w:pBdr>
              <w:tabs>
                <w:tab w:val="left" w:pos="851"/>
              </w:tabs>
              <w:spacing w:line="240" w:lineRule="auto"/>
              <w:ind w:right="333"/>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 xml:space="preserve">d) Requisitos de fondo del acuerdo de clasificación. </w:t>
            </w:r>
          </w:p>
        </w:tc>
        <w:tc>
          <w:tcPr>
            <w:tcW w:w="6804" w:type="dxa"/>
          </w:tcPr>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w:t>
            </w:r>
            <w:r w:rsidRPr="0098786D">
              <w:rPr>
                <w:rFonts w:ascii="Palatino Linotype" w:eastAsia="Palatino Linotype" w:hAnsi="Palatino Linotype" w:cs="Palatino Linotype"/>
                <w:color w:val="000000"/>
                <w:sz w:val="24"/>
                <w:szCs w:val="24"/>
              </w:rPr>
              <w:lastRenderedPageBreak/>
              <w:t xml:space="preserve">en sede del Comité de Transparencia, la ley señala que la carga de la prueba, para justificar las restricciones, corresponde a los </w:t>
            </w:r>
            <w:r w:rsidRPr="0098786D">
              <w:rPr>
                <w:rFonts w:ascii="Palatino Linotype" w:eastAsia="Palatino Linotype" w:hAnsi="Palatino Linotype" w:cs="Palatino Linotype"/>
                <w:b/>
                <w:bCs/>
                <w:color w:val="000000"/>
                <w:sz w:val="24"/>
                <w:szCs w:val="24"/>
              </w:rPr>
              <w:t>Sujetos Obligados</w:t>
            </w:r>
            <w:r w:rsidRPr="0098786D">
              <w:rPr>
                <w:rFonts w:ascii="Palatino Linotype" w:eastAsia="Palatino Linotype" w:hAnsi="Palatino Linotype" w:cs="Palatino Linotype"/>
                <w:color w:val="000000"/>
                <w:sz w:val="24"/>
                <w:szCs w:val="24"/>
              </w:rPr>
              <w:t xml:space="preserve">, por lo que deberán fundar y motivar debidamente la clasificación. </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De lo anterior, se desprende que para una correcta </w:t>
            </w:r>
            <w:r w:rsidRPr="0098786D">
              <w:rPr>
                <w:rFonts w:ascii="Palatino Linotype" w:eastAsia="Palatino Linotype" w:hAnsi="Palatino Linotype" w:cs="Palatino Linotype"/>
                <w:b/>
                <w:bCs/>
                <w:color w:val="000000"/>
                <w:sz w:val="24"/>
                <w:szCs w:val="24"/>
              </w:rPr>
              <w:t>clasificación total o parcial</w:t>
            </w:r>
            <w:r w:rsidRPr="0098786D">
              <w:rPr>
                <w:rFonts w:ascii="Palatino Linotype" w:eastAsia="Palatino Linotype" w:hAnsi="Palatino Linotype" w:cs="Palatino Linotype"/>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En ese mismo sentido, el numeral trigésimo tercero fracción V de los Lineamientos Generales, precisa que para motivar la clasificación se deben acreditar las circunstancias de tiempo, modo y lugar.</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Ahora bien, </w:t>
            </w:r>
            <w:r w:rsidRPr="0098786D">
              <w:rPr>
                <w:rFonts w:ascii="Palatino Linotype" w:eastAsia="Palatino Linotype" w:hAnsi="Palatino Linotype" w:cs="Palatino Linotype"/>
                <w:b/>
                <w:bCs/>
                <w:color w:val="000000"/>
                <w:sz w:val="24"/>
                <w:szCs w:val="24"/>
                <w:u w:val="single"/>
              </w:rPr>
              <w:t>para cada caso además de fundar y motivar</w:t>
            </w:r>
            <w:r w:rsidRPr="0098786D">
              <w:rPr>
                <w:rFonts w:ascii="Palatino Linotype" w:eastAsia="Palatino Linotype" w:hAnsi="Palatino Linotype" w:cs="Palatino Linotype"/>
                <w:color w:val="000000"/>
                <w:sz w:val="24"/>
                <w:szCs w:val="24"/>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5C4DC7" w:rsidRPr="0098786D" w:rsidTr="00DB69AE">
        <w:tc>
          <w:tcPr>
            <w:tcW w:w="3092" w:type="dxa"/>
            <w:vAlign w:val="center"/>
          </w:tcPr>
          <w:p w:rsidR="005C4DC7" w:rsidRPr="0098786D" w:rsidRDefault="00936BF5">
            <w:pPr>
              <w:pBdr>
                <w:top w:val="nil"/>
                <w:left w:val="nil"/>
                <w:bottom w:val="nil"/>
                <w:right w:val="nil"/>
                <w:between w:val="nil"/>
              </w:pBdr>
              <w:tabs>
                <w:tab w:val="left" w:pos="851"/>
              </w:tabs>
              <w:spacing w:line="240" w:lineRule="auto"/>
              <w:ind w:right="333"/>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lastRenderedPageBreak/>
              <w:t xml:space="preserve">e) Condiciones especiales de la clasificación de la información como confidencial. </w:t>
            </w:r>
          </w:p>
        </w:tc>
        <w:tc>
          <w:tcPr>
            <w:tcW w:w="6804" w:type="dxa"/>
          </w:tcPr>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Los artículos 148 y 120 de la Ley Estatal y de la Ley General vigente al momento de interponer la solicitud de información, respectivamente, establecen que aun tratándose de datos personales, se podrán proporcionar, incluso sin solicitar el consentimiento de su titular. </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5C4DC7" w:rsidRPr="0098786D" w:rsidRDefault="00936BF5">
            <w:pPr>
              <w:pBdr>
                <w:top w:val="nil"/>
                <w:left w:val="nil"/>
                <w:bottom w:val="nil"/>
                <w:right w:val="nil"/>
                <w:between w:val="nil"/>
              </w:pBdr>
              <w:tabs>
                <w:tab w:val="left" w:pos="851"/>
              </w:tabs>
              <w:spacing w:line="240" w:lineRule="auto"/>
              <w:ind w:right="34"/>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5C4DC7" w:rsidRPr="0098786D" w:rsidRDefault="005C4DC7">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p>
    <w:p w:rsidR="005C4DC7" w:rsidRPr="0098786D" w:rsidRDefault="00936BF5">
      <w:pPr>
        <w:tabs>
          <w:tab w:val="left" w:pos="426"/>
        </w:tabs>
        <w:spacing w:before="160" w:after="0" w:line="360" w:lineRule="auto"/>
        <w:ind w:right="-518"/>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SEXTO. Vista a la Dirección General de Protección de Datos Personales.</w:t>
      </w:r>
    </w:p>
    <w:p w:rsidR="005C4DC7" w:rsidRPr="0098786D" w:rsidRDefault="00936BF5" w:rsidP="0098786D">
      <w:pPr>
        <w:numPr>
          <w:ilvl w:val="0"/>
          <w:numId w:val="14"/>
        </w:numPr>
        <w:tabs>
          <w:tab w:val="left" w:pos="709"/>
        </w:tabs>
        <w:spacing w:after="0" w:line="360" w:lineRule="auto"/>
        <w:ind w:left="0" w:right="-518" w:firstLine="0"/>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Es necesario resaltar que el recurso de revisión previsto en la Ley de la materia no es el medio para investigar y, en su caso, sancionar a servidores públicos por la falta de cuidado de la protección de datos personales; es así que, de la información remitida en respuesta a la solicitud, se testó la información de manera incorrecta, por lo que es necesario dar vista al área competente para que en ejercicio de sus atribuciones realice las investigaciones pertinentes por las omisiones detectadas atribuibles al </w:t>
      </w:r>
      <w:r w:rsidRPr="0098786D">
        <w:rPr>
          <w:rFonts w:ascii="Palatino Linotype" w:eastAsia="Palatino Linotype" w:hAnsi="Palatino Linotype" w:cs="Palatino Linotype"/>
          <w:b/>
          <w:bCs/>
          <w:sz w:val="24"/>
          <w:szCs w:val="24"/>
        </w:rPr>
        <w:t>SUJETO OBLIGADO</w:t>
      </w:r>
      <w:r w:rsidRPr="0098786D">
        <w:rPr>
          <w:rFonts w:ascii="Palatino Linotype" w:eastAsia="Palatino Linotype" w:hAnsi="Palatino Linotype" w:cs="Palatino Linotype"/>
          <w:sz w:val="24"/>
          <w:szCs w:val="24"/>
        </w:rPr>
        <w:t>.</w:t>
      </w:r>
    </w:p>
    <w:p w:rsidR="005C4DC7" w:rsidRPr="0098786D" w:rsidRDefault="005C4DC7">
      <w:pPr>
        <w:tabs>
          <w:tab w:val="left" w:pos="709"/>
        </w:tabs>
        <w:spacing w:after="0" w:line="360" w:lineRule="auto"/>
        <w:ind w:right="-518"/>
        <w:jc w:val="both"/>
        <w:rPr>
          <w:rFonts w:ascii="Palatino Linotype" w:eastAsia="Palatino Linotype" w:hAnsi="Palatino Linotype" w:cs="Palatino Linotype"/>
          <w:sz w:val="24"/>
          <w:szCs w:val="24"/>
        </w:rPr>
      </w:pPr>
    </w:p>
    <w:p w:rsidR="005C4DC7" w:rsidRPr="0098786D" w:rsidRDefault="00936BF5" w:rsidP="0098786D">
      <w:pPr>
        <w:numPr>
          <w:ilvl w:val="0"/>
          <w:numId w:val="14"/>
        </w:numPr>
        <w:tabs>
          <w:tab w:val="left" w:pos="567"/>
        </w:tabs>
        <w:spacing w:after="0" w:line="360" w:lineRule="auto"/>
        <w:ind w:left="0" w:right="-518" w:firstLine="0"/>
        <w:jc w:val="both"/>
        <w:rPr>
          <w:rFonts w:ascii="Palatino Linotype" w:eastAsia="Palatino Linotype" w:hAnsi="Palatino Linotype" w:cs="Palatino Linotype"/>
          <w:color w:val="000000"/>
          <w:sz w:val="24"/>
          <w:szCs w:val="24"/>
        </w:rPr>
      </w:pPr>
      <w:r w:rsidRPr="0098786D">
        <w:rPr>
          <w:rFonts w:ascii="Palatino Linotype" w:eastAsia="Palatino Linotype" w:hAnsi="Palatino Linotype" w:cs="Palatino Linotype"/>
          <w:sz w:val="24"/>
          <w:szCs w:val="24"/>
        </w:rPr>
        <w:t>Por ello, es conveniente señalar las fracciones XIV, XXII, XXIII y XXV, del artículo 82, de la Ley de Protección de Datos Personales en Posesión de Sujetos Obligados del Estado de México y Municipios, que establece:</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b/>
          <w:bCs/>
          <w:i/>
          <w:iCs/>
          <w:sz w:val="24"/>
          <w:szCs w:val="24"/>
        </w:rPr>
      </w:pPr>
      <w:r w:rsidRPr="0098786D">
        <w:rPr>
          <w:rFonts w:ascii="Palatino Linotype" w:eastAsia="Palatino Linotype" w:hAnsi="Palatino Linotype" w:cs="Palatino Linotype"/>
          <w:b/>
          <w:bCs/>
          <w:i/>
          <w:iCs/>
          <w:sz w:val="24"/>
          <w:szCs w:val="24"/>
        </w:rPr>
        <w:lastRenderedPageBreak/>
        <w:t xml:space="preserve">Atribuciones del Instituto </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Artículo 82.</w:t>
      </w:r>
      <w:r w:rsidRPr="0098786D">
        <w:rPr>
          <w:rFonts w:ascii="Palatino Linotype" w:eastAsia="Palatino Linotype" w:hAnsi="Palatino Linotype" w:cs="Palatino Linotype"/>
          <w:i/>
          <w:iCs/>
          <w:sz w:val="24"/>
          <w:szCs w:val="24"/>
        </w:rPr>
        <w:t xml:space="preserve"> El Instituto, además de las atribuciones encomendadas por la Ley de Transparencia y normatividad aplicable, tendrá las atribuciones siguientes:</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XIV.</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rPr>
        <w:t>Formular observaciones y recomendaciones</w:t>
      </w:r>
      <w:r w:rsidRPr="0098786D">
        <w:rPr>
          <w:rFonts w:ascii="Palatino Linotype" w:eastAsia="Palatino Linotype" w:hAnsi="Palatino Linotype" w:cs="Palatino Linotype"/>
          <w:i/>
          <w:iCs/>
          <w:sz w:val="24"/>
          <w:szCs w:val="24"/>
        </w:rPr>
        <w:t xml:space="preserve"> a los sujetos obligados que incumplan esta Ley.</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XXII.</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rPr>
        <w:t>Verificar el cumplimiento</w:t>
      </w:r>
      <w:r w:rsidRPr="0098786D">
        <w:rPr>
          <w:rFonts w:ascii="Palatino Linotype" w:eastAsia="Palatino Linotype" w:hAnsi="Palatino Linotype" w:cs="Palatino Linotype"/>
          <w:i/>
          <w:iCs/>
          <w:sz w:val="24"/>
          <w:szCs w:val="24"/>
        </w:rPr>
        <w:t xml:space="preserve"> de las disposiciones previstas en esta Ley a través de los procedimientos de revisión que resulten compatibles con las disposiciones de esta Ley.</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XXIII.</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rPr>
        <w:t>Implementar</w:t>
      </w:r>
      <w:r w:rsidRPr="0098786D">
        <w:rPr>
          <w:rFonts w:ascii="Palatino Linotype" w:eastAsia="Palatino Linotype" w:hAnsi="Palatino Linotype" w:cs="Palatino Linotype"/>
          <w:i/>
          <w:iCs/>
          <w:sz w:val="24"/>
          <w:szCs w:val="24"/>
        </w:rPr>
        <w:t xml:space="preserve"> los </w:t>
      </w:r>
      <w:r w:rsidRPr="0098786D">
        <w:rPr>
          <w:rFonts w:ascii="Palatino Linotype" w:eastAsia="Palatino Linotype" w:hAnsi="Palatino Linotype" w:cs="Palatino Linotype"/>
          <w:b/>
          <w:bCs/>
          <w:i/>
          <w:iCs/>
          <w:sz w:val="24"/>
          <w:szCs w:val="24"/>
        </w:rPr>
        <w:t>procedimientos</w:t>
      </w:r>
      <w:r w:rsidRPr="0098786D">
        <w:rPr>
          <w:rFonts w:ascii="Palatino Linotype" w:eastAsia="Palatino Linotype" w:hAnsi="Palatino Linotype" w:cs="Palatino Linotype"/>
          <w:i/>
          <w:iCs/>
          <w:sz w:val="24"/>
          <w:szCs w:val="24"/>
        </w:rPr>
        <w:t xml:space="preserve"> que resulten necesarios </w:t>
      </w:r>
      <w:r w:rsidRPr="0098786D">
        <w:rPr>
          <w:rFonts w:ascii="Palatino Linotype" w:eastAsia="Palatino Linotype" w:hAnsi="Palatino Linotype" w:cs="Palatino Linotype"/>
          <w:b/>
          <w:bCs/>
          <w:i/>
          <w:iCs/>
          <w:sz w:val="24"/>
          <w:szCs w:val="24"/>
        </w:rPr>
        <w:t xml:space="preserve">para el cumplimiento </w:t>
      </w:r>
      <w:r w:rsidRPr="0098786D">
        <w:rPr>
          <w:rFonts w:ascii="Palatino Linotype" w:eastAsia="Palatino Linotype" w:hAnsi="Palatino Linotype" w:cs="Palatino Linotype"/>
          <w:i/>
          <w:iCs/>
          <w:sz w:val="24"/>
          <w:szCs w:val="24"/>
        </w:rPr>
        <w:t>de las disposiciones de esta Ley y para asegurar la protección de datos personales de los titulares. (…)</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b/>
          <w:bCs/>
          <w:i/>
          <w:iCs/>
          <w:sz w:val="24"/>
          <w:szCs w:val="24"/>
        </w:rPr>
        <w:t>XXV.</w:t>
      </w:r>
      <w:r w:rsidRPr="0098786D">
        <w:rPr>
          <w:rFonts w:ascii="Palatino Linotype" w:eastAsia="Palatino Linotype" w:hAnsi="Palatino Linotype" w:cs="Palatino Linotype"/>
          <w:i/>
          <w:iCs/>
          <w:sz w:val="24"/>
          <w:szCs w:val="24"/>
        </w:rPr>
        <w:t xml:space="preserve"> </w:t>
      </w:r>
      <w:r w:rsidRPr="0098786D">
        <w:rPr>
          <w:rFonts w:ascii="Palatino Linotype" w:eastAsia="Palatino Linotype" w:hAnsi="Palatino Linotype" w:cs="Palatino Linotype"/>
          <w:b/>
          <w:bCs/>
          <w:i/>
          <w:iCs/>
          <w:sz w:val="24"/>
          <w:szCs w:val="24"/>
        </w:rPr>
        <w:t>Investigar</w:t>
      </w:r>
      <w:r w:rsidRPr="0098786D">
        <w:rPr>
          <w:rFonts w:ascii="Palatino Linotype" w:eastAsia="Palatino Linotype" w:hAnsi="Palatino Linotype" w:cs="Palatino Linotype"/>
          <w:i/>
          <w:iCs/>
          <w:sz w:val="24"/>
          <w:szCs w:val="24"/>
        </w:rPr>
        <w:t xml:space="preserve"> las </w:t>
      </w:r>
      <w:r w:rsidRPr="0098786D">
        <w:rPr>
          <w:rFonts w:ascii="Palatino Linotype" w:eastAsia="Palatino Linotype" w:hAnsi="Palatino Linotype" w:cs="Palatino Linotype"/>
          <w:b/>
          <w:bCs/>
          <w:i/>
          <w:iCs/>
          <w:sz w:val="24"/>
          <w:szCs w:val="24"/>
        </w:rPr>
        <w:t>posibles violaciones</w:t>
      </w:r>
      <w:r w:rsidRPr="0098786D">
        <w:rPr>
          <w:rFonts w:ascii="Palatino Linotype" w:eastAsia="Palatino Linotype" w:hAnsi="Palatino Linotype" w:cs="Palatino Linotype"/>
          <w:i/>
          <w:iCs/>
          <w:sz w:val="24"/>
          <w:szCs w:val="24"/>
        </w:rPr>
        <w:t xml:space="preserve"> a la seguridad de los datos personales a fin de determinar la práctica de verificaciones.</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w:t>
      </w:r>
    </w:p>
    <w:p w:rsidR="005C4DC7" w:rsidRPr="0098786D" w:rsidRDefault="00936BF5">
      <w:pPr>
        <w:tabs>
          <w:tab w:val="left" w:pos="142"/>
          <w:tab w:val="left" w:pos="284"/>
          <w:tab w:val="left" w:pos="426"/>
          <w:tab w:val="left" w:pos="993"/>
        </w:tabs>
        <w:spacing w:after="0" w:line="276" w:lineRule="auto"/>
        <w:ind w:left="567"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(Énfasis añadido)</w:t>
      </w:r>
    </w:p>
    <w:p w:rsidR="005C4DC7" w:rsidRPr="0098786D" w:rsidRDefault="005C4DC7">
      <w:pPr>
        <w:tabs>
          <w:tab w:val="left" w:pos="426"/>
        </w:tabs>
        <w:spacing w:after="0" w:line="360" w:lineRule="auto"/>
        <w:ind w:right="-518"/>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spacing w:after="0" w:line="360" w:lineRule="auto"/>
        <w:ind w:left="0" w:right="-518" w:firstLine="0"/>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Por </w:t>
      </w:r>
      <w:r w:rsidRPr="0098786D">
        <w:rPr>
          <w:rFonts w:ascii="Palatino Linotype" w:eastAsia="Palatino Linotype" w:hAnsi="Palatino Linotype" w:cs="Palatino Linotype"/>
          <w:color w:val="000000"/>
          <w:sz w:val="24"/>
          <w:szCs w:val="24"/>
        </w:rPr>
        <w:t xml:space="preserve">lo tanto, es menester dar vista a la Dirección General de Protección de Datos Personales de este Instituto para que en ejercicio de sus atribuciones atienda las directivas marcadas en la propia Ley de la materia, con fundamento en el artículo 82 de la Ley de la materia, el cual señala la atribución de este Órgano Garante para </w:t>
      </w:r>
      <w:r w:rsidRPr="0098786D">
        <w:rPr>
          <w:rFonts w:ascii="Palatino Linotype" w:eastAsia="Palatino Linotype" w:hAnsi="Palatino Linotype" w:cs="Palatino Linotype"/>
          <w:sz w:val="24"/>
          <w:szCs w:val="24"/>
        </w:rPr>
        <w:t>Investigar las posibles violaciones a la seguridad de los datos personales a fin de determinar la práctica de verificaciones.</w:t>
      </w:r>
    </w:p>
    <w:p w:rsidR="005C4DC7" w:rsidRPr="0098786D" w:rsidRDefault="005C4DC7">
      <w:pPr>
        <w:spacing w:after="0" w:line="360" w:lineRule="auto"/>
        <w:ind w:right="-518"/>
        <w:jc w:val="both"/>
        <w:rPr>
          <w:rFonts w:ascii="Palatino Linotype" w:eastAsia="Palatino Linotype" w:hAnsi="Palatino Linotype" w:cs="Palatino Linotype"/>
          <w:sz w:val="24"/>
          <w:szCs w:val="24"/>
        </w:rPr>
      </w:pPr>
    </w:p>
    <w:p w:rsidR="005C4DC7" w:rsidRPr="0098786D" w:rsidRDefault="00936BF5" w:rsidP="0098786D">
      <w:pPr>
        <w:numPr>
          <w:ilvl w:val="0"/>
          <w:numId w:val="14"/>
        </w:numPr>
        <w:spacing w:after="0" w:line="360" w:lineRule="auto"/>
        <w:ind w:left="0" w:right="-518" w:firstLine="0"/>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 xml:space="preserve">Por último y no menos importante, se debe enfatizar que tal y como se mencionó en este considerando, el Sujeto Obligado proporcionó información que debió ser clasificada como confidencial, es decir, dejó a la vista datos personales concernientes a la vida privada de los servidores públicos. Por dicha información es menester hacer del conocimiento de la </w:t>
      </w:r>
      <w:r w:rsidRPr="0098786D">
        <w:rPr>
          <w:rFonts w:ascii="Palatino Linotype" w:eastAsia="Palatino Linotype" w:hAnsi="Palatino Linotype" w:cs="Palatino Linotype"/>
          <w:sz w:val="24"/>
          <w:szCs w:val="24"/>
        </w:rPr>
        <w:lastRenderedPageBreak/>
        <w:t xml:space="preserve">persona que solicitó la información, que ahora se encuentra sujeto a la </w:t>
      </w:r>
      <w:r w:rsidRPr="0098786D">
        <w:rPr>
          <w:rFonts w:ascii="Palatino Linotype" w:eastAsia="Palatino Linotype" w:hAnsi="Palatino Linotype" w:cs="Palatino Linotype"/>
          <w:b/>
          <w:bCs/>
          <w:sz w:val="24"/>
          <w:szCs w:val="24"/>
        </w:rPr>
        <w:t>LEY FEDERAL DE PROTECCIÓN DE DATOS PERSONALES EN POSESIÓN DE LOS PARTICULARES</w:t>
      </w:r>
      <w:r w:rsidRPr="0098786D">
        <w:rPr>
          <w:rFonts w:ascii="Palatino Linotype" w:eastAsia="Palatino Linotype" w:hAnsi="Palatino Linotype" w:cs="Palatino Linotype"/>
          <w:sz w:val="24"/>
          <w:szCs w:val="24"/>
        </w:rPr>
        <w:t xml:space="preserve"> que señala puntualmente en su artículo 1 lo siguiente:</w:t>
      </w:r>
    </w:p>
    <w:p w:rsidR="005C4DC7" w:rsidRPr="0098786D" w:rsidRDefault="00936BF5">
      <w:pPr>
        <w:spacing w:after="0" w:line="360" w:lineRule="auto"/>
        <w:ind w:left="567" w:right="-518"/>
        <w:jc w:val="both"/>
        <w:rPr>
          <w:rFonts w:ascii="Palatino Linotype" w:eastAsia="Palatino Linotype" w:hAnsi="Palatino Linotype" w:cs="Palatino Linotype"/>
          <w:i/>
          <w:iCs/>
          <w:sz w:val="24"/>
          <w:szCs w:val="24"/>
        </w:rPr>
      </w:pPr>
      <w:r w:rsidRPr="0098786D">
        <w:rPr>
          <w:rFonts w:ascii="Palatino Linotype" w:eastAsia="Palatino Linotype" w:hAnsi="Palatino Linotype" w:cs="Palatino Linotype"/>
          <w:i/>
          <w:iCs/>
          <w:sz w:val="24"/>
          <w:szCs w:val="24"/>
        </w:rPr>
        <w:t xml:space="preserve">Artículo 1.- La presente Ley es de orden público y de observancia general en toda la República y </w:t>
      </w:r>
      <w:r w:rsidRPr="0098786D">
        <w:rPr>
          <w:rFonts w:ascii="Palatino Linotype" w:eastAsia="Palatino Linotype" w:hAnsi="Palatino Linotype" w:cs="Palatino Linotype"/>
          <w:b/>
          <w:bCs/>
          <w:i/>
          <w:iCs/>
          <w:sz w:val="24"/>
          <w:szCs w:val="24"/>
        </w:rPr>
        <w:t>tiene por objeto la protección de los datos personales en posesión de los particulares</w:t>
      </w:r>
      <w:r w:rsidRPr="0098786D">
        <w:rPr>
          <w:rFonts w:ascii="Palatino Linotype" w:eastAsia="Palatino Linotype" w:hAnsi="Palatino Linotype" w:cs="Palatino Linotype"/>
          <w:i/>
          <w:iCs/>
          <w:sz w:val="24"/>
          <w:szCs w:val="24"/>
        </w:rPr>
        <w:t>, con la finalidad de regular su tratamiento legítimo, controlado e informado, a efecto de garantizar la privacidad y el derecho a la autodeterminación informativa de las personas.</w:t>
      </w:r>
    </w:p>
    <w:p w:rsidR="005C4DC7" w:rsidRPr="0098786D" w:rsidRDefault="005C4DC7">
      <w:pPr>
        <w:spacing w:after="0" w:line="360" w:lineRule="auto"/>
        <w:ind w:left="708" w:right="-518" w:hanging="708"/>
        <w:jc w:val="both"/>
        <w:rPr>
          <w:rFonts w:ascii="Palatino Linotype" w:eastAsia="Palatino Linotype" w:hAnsi="Palatino Linotype" w:cs="Palatino Linotype"/>
          <w:sz w:val="24"/>
          <w:szCs w:val="24"/>
        </w:rPr>
      </w:pPr>
    </w:p>
    <w:p w:rsidR="005C4DC7" w:rsidRPr="0098786D" w:rsidRDefault="00936BF5" w:rsidP="0098786D">
      <w:pPr>
        <w:numPr>
          <w:ilvl w:val="0"/>
          <w:numId w:val="14"/>
        </w:numPr>
        <w:spacing w:after="0" w:line="360" w:lineRule="auto"/>
        <w:ind w:left="0" w:right="-518" w:firstLine="0"/>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sz w:val="24"/>
          <w:szCs w:val="24"/>
        </w:rPr>
        <w:t>En ese escenario, el particular deberá de ser responsable en el buen uso de la información proporcionada, pues se trata de datos personales que le fueron proporcionados por haber incurrido en una probable violación a la privacidad de las personas.</w:t>
      </w:r>
    </w:p>
    <w:p w:rsidR="005C4DC7" w:rsidRPr="0098786D" w:rsidRDefault="005C4DC7">
      <w:pPr>
        <w:pBdr>
          <w:top w:val="nil"/>
          <w:left w:val="nil"/>
          <w:bottom w:val="nil"/>
          <w:right w:val="nil"/>
          <w:between w:val="nil"/>
        </w:pBdr>
        <w:tabs>
          <w:tab w:val="left" w:pos="851"/>
        </w:tabs>
        <w:spacing w:line="360" w:lineRule="auto"/>
        <w:ind w:right="333"/>
        <w:jc w:val="both"/>
        <w:rPr>
          <w:rFonts w:ascii="Palatino Linotype" w:eastAsia="Palatino Linotype" w:hAnsi="Palatino Linotype" w:cs="Palatino Linotype"/>
          <w:color w:val="000000"/>
          <w:sz w:val="24"/>
          <w:szCs w:val="24"/>
        </w:rPr>
      </w:pPr>
    </w:p>
    <w:p w:rsidR="005C4DC7" w:rsidRPr="0098786D" w:rsidRDefault="00936BF5" w:rsidP="0098786D">
      <w:pPr>
        <w:numPr>
          <w:ilvl w:val="0"/>
          <w:numId w:val="14"/>
        </w:numPr>
        <w:pBdr>
          <w:top w:val="nil"/>
          <w:left w:val="nil"/>
          <w:bottom w:val="nil"/>
          <w:right w:val="nil"/>
          <w:between w:val="nil"/>
        </w:pBdr>
        <w:spacing w:after="0" w:line="360" w:lineRule="auto"/>
        <w:ind w:left="0" w:right="-518" w:firstLine="0"/>
        <w:jc w:val="both"/>
        <w:rPr>
          <w:rFonts w:ascii="Palatino Linotype" w:eastAsia="Palatino Linotype" w:hAnsi="Palatino Linotype" w:cs="Palatino Linotype"/>
          <w:color w:val="000000"/>
          <w:sz w:val="24"/>
          <w:szCs w:val="24"/>
        </w:rPr>
      </w:pPr>
      <w:bookmarkStart w:id="8" w:name="_heading=h.tyjcwt" w:colFirst="0" w:colLast="0"/>
      <w:bookmarkEnd w:id="8"/>
      <w:r w:rsidRPr="0098786D">
        <w:rPr>
          <w:rFonts w:ascii="Palatino Linotype" w:eastAsia="Palatino Linotype" w:hAnsi="Palatino Linotype" w:cs="Palatino Linotype"/>
          <w:color w:val="000000"/>
          <w:sz w:val="24"/>
          <w:szCs w:val="24"/>
        </w:rPr>
        <w:t xml:space="preserve">Por lo anteriormente expuesto y fundado, este </w:t>
      </w:r>
      <w:r w:rsidRPr="0098786D">
        <w:rPr>
          <w:rFonts w:ascii="Palatino Linotype" w:eastAsia="Palatino Linotype" w:hAnsi="Palatino Linotype" w:cs="Palatino Linotype"/>
          <w:b/>
          <w:bCs/>
          <w:color w:val="000000"/>
          <w:sz w:val="24"/>
          <w:szCs w:val="24"/>
        </w:rPr>
        <w:t>ÓRGANO GARANTE</w:t>
      </w:r>
      <w:r w:rsidRPr="0098786D">
        <w:rPr>
          <w:rFonts w:ascii="Palatino Linotype" w:eastAsia="Palatino Linotype" w:hAnsi="Palatino Linotype" w:cs="Palatino Linotype"/>
          <w:color w:val="000000"/>
          <w:sz w:val="24"/>
          <w:szCs w:val="24"/>
        </w:rPr>
        <w:t xml:space="preserve"> emite los siguientes:</w:t>
      </w:r>
    </w:p>
    <w:p w:rsidR="005C4DC7" w:rsidRPr="0098786D" w:rsidRDefault="00936BF5">
      <w:pPr>
        <w:pStyle w:val="Ttulo1"/>
        <w:spacing w:before="0" w:line="360" w:lineRule="auto"/>
        <w:jc w:val="center"/>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R E S O L U T I V O S</w:t>
      </w:r>
    </w:p>
    <w:p w:rsidR="005C4DC7" w:rsidRPr="0098786D" w:rsidRDefault="005C4DC7">
      <w:pPr>
        <w:spacing w:line="360" w:lineRule="auto"/>
        <w:rPr>
          <w:rFonts w:ascii="Palatino Linotype" w:eastAsia="Palatino Linotype" w:hAnsi="Palatino Linotype" w:cs="Palatino Linotype"/>
          <w:sz w:val="24"/>
          <w:szCs w:val="24"/>
        </w:rPr>
      </w:pP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b/>
          <w:bCs/>
          <w:sz w:val="24"/>
          <w:szCs w:val="24"/>
        </w:rPr>
        <w:t>PRIMERO</w:t>
      </w:r>
      <w:r w:rsidRPr="0098786D">
        <w:rPr>
          <w:rFonts w:ascii="Palatino Linotype" w:eastAsia="Palatino Linotype" w:hAnsi="Palatino Linotype" w:cs="Palatino Linotype"/>
          <w:sz w:val="24"/>
          <w:szCs w:val="24"/>
        </w:rPr>
        <w:t xml:space="preserve">. Resultan parcialmente fundadas las razones o motivos de inconformidad hechos valer en el Recurso de Revisión </w:t>
      </w:r>
      <w:r w:rsidRPr="0098786D">
        <w:rPr>
          <w:rFonts w:ascii="Palatino Linotype" w:eastAsia="Palatino Linotype" w:hAnsi="Palatino Linotype" w:cs="Palatino Linotype"/>
          <w:b/>
          <w:bCs/>
          <w:sz w:val="24"/>
          <w:szCs w:val="24"/>
        </w:rPr>
        <w:t>08163/INFOEM/IP/RR/2025</w:t>
      </w:r>
      <w:r w:rsidRPr="0098786D">
        <w:rPr>
          <w:rFonts w:ascii="Palatino Linotype" w:eastAsia="Palatino Linotype" w:hAnsi="Palatino Linotype" w:cs="Palatino Linotype"/>
          <w:sz w:val="24"/>
          <w:szCs w:val="24"/>
        </w:rPr>
        <w:t>,</w:t>
      </w:r>
      <w:r w:rsidRPr="0098786D">
        <w:rPr>
          <w:rFonts w:ascii="Palatino Linotype" w:eastAsia="Palatino Linotype" w:hAnsi="Palatino Linotype" w:cs="Palatino Linotype"/>
          <w:b/>
          <w:bCs/>
          <w:sz w:val="24"/>
          <w:szCs w:val="24"/>
        </w:rPr>
        <w:t xml:space="preserve"> </w:t>
      </w:r>
      <w:r w:rsidRPr="0098786D">
        <w:rPr>
          <w:rFonts w:ascii="Palatino Linotype" w:eastAsia="Palatino Linotype" w:hAnsi="Palatino Linotype" w:cs="Palatino Linotype"/>
          <w:sz w:val="24"/>
          <w:szCs w:val="24"/>
        </w:rPr>
        <w:t>en términos del Considerando Cuarto y Quinto de la presente Resolución.</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spacing w:line="360" w:lineRule="auto"/>
        <w:ind w:right="-518"/>
        <w:jc w:val="both"/>
        <w:rPr>
          <w:rFonts w:ascii="Palatino Linotype" w:eastAsia="Palatino Linotype" w:hAnsi="Palatino Linotype" w:cs="Palatino Linotype"/>
          <w:sz w:val="24"/>
          <w:szCs w:val="24"/>
        </w:rPr>
      </w:pPr>
      <w:bookmarkStart w:id="9" w:name="_heading=h.2s8eyo1" w:colFirst="0" w:colLast="0"/>
      <w:bookmarkEnd w:id="9"/>
      <w:r w:rsidRPr="0098786D">
        <w:rPr>
          <w:rFonts w:ascii="Palatino Linotype" w:eastAsia="Palatino Linotype" w:hAnsi="Palatino Linotype" w:cs="Palatino Linotype"/>
          <w:b/>
          <w:bCs/>
          <w:sz w:val="24"/>
          <w:szCs w:val="24"/>
        </w:rPr>
        <w:t xml:space="preserve">SEGUNDO. Se MODIFICA </w:t>
      </w:r>
      <w:r w:rsidRPr="0098786D">
        <w:rPr>
          <w:rFonts w:ascii="Palatino Linotype" w:eastAsia="Palatino Linotype" w:hAnsi="Palatino Linotype" w:cs="Palatino Linotype"/>
          <w:sz w:val="24"/>
          <w:szCs w:val="24"/>
        </w:rPr>
        <w:t>la respuesta emitida por el</w:t>
      </w:r>
      <w:r w:rsidRPr="0098786D">
        <w:rPr>
          <w:rFonts w:ascii="Palatino Linotype" w:eastAsia="Palatino Linotype" w:hAnsi="Palatino Linotype" w:cs="Palatino Linotype"/>
          <w:b/>
          <w:bCs/>
          <w:sz w:val="24"/>
          <w:szCs w:val="24"/>
        </w:rPr>
        <w:t xml:space="preserve"> Ayuntamiento de Toluca </w:t>
      </w:r>
      <w:r w:rsidRPr="0098786D">
        <w:rPr>
          <w:rFonts w:ascii="Palatino Linotype" w:eastAsia="Palatino Linotype" w:hAnsi="Palatino Linotype" w:cs="Palatino Linotype"/>
          <w:sz w:val="24"/>
          <w:szCs w:val="24"/>
        </w:rPr>
        <w:t>y se</w:t>
      </w:r>
      <w:r w:rsidRPr="0098786D">
        <w:rPr>
          <w:rFonts w:ascii="Palatino Linotype" w:eastAsia="Palatino Linotype" w:hAnsi="Palatino Linotype" w:cs="Palatino Linotype"/>
          <w:b/>
          <w:bCs/>
          <w:sz w:val="24"/>
          <w:szCs w:val="24"/>
        </w:rPr>
        <w:t xml:space="preserve"> ORDENA </w:t>
      </w:r>
      <w:r w:rsidRPr="0098786D">
        <w:rPr>
          <w:rFonts w:ascii="Palatino Linotype" w:eastAsia="Palatino Linotype" w:hAnsi="Palatino Linotype" w:cs="Palatino Linotype"/>
          <w:sz w:val="24"/>
          <w:szCs w:val="24"/>
        </w:rPr>
        <w:t>entregar, previa búsqueda exhaustiva de ser procedente en versión pública, lo siguiente:</w:t>
      </w:r>
    </w:p>
    <w:p w:rsidR="005C4DC7" w:rsidRPr="0098786D" w:rsidRDefault="00936BF5">
      <w:pPr>
        <w:numPr>
          <w:ilvl w:val="0"/>
          <w:numId w:val="7"/>
        </w:numPr>
        <w:pBdr>
          <w:top w:val="nil"/>
          <w:left w:val="nil"/>
          <w:bottom w:val="nil"/>
          <w:right w:val="nil"/>
          <w:between w:val="nil"/>
        </w:pBdr>
        <w:spacing w:after="0" w:line="360" w:lineRule="auto"/>
        <w:ind w:right="-504"/>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lastRenderedPageBreak/>
        <w:t xml:space="preserve">Actas de conciliación faltantes </w:t>
      </w:r>
      <w:r w:rsidRPr="0098786D">
        <w:rPr>
          <w:rFonts w:ascii="Palatino Linotype" w:eastAsia="Palatino Linotype" w:hAnsi="Palatino Linotype" w:cs="Palatino Linotype"/>
          <w:b/>
          <w:bCs/>
          <w:sz w:val="24"/>
          <w:szCs w:val="24"/>
        </w:rPr>
        <w:t xml:space="preserve">del uno de enero al veintidós de mayo de dos mil </w:t>
      </w:r>
      <w:r w:rsidR="00233697" w:rsidRPr="0098786D">
        <w:rPr>
          <w:rFonts w:ascii="Palatino Linotype" w:eastAsia="Palatino Linotype" w:hAnsi="Palatino Linotype" w:cs="Palatino Linotype"/>
          <w:b/>
          <w:bCs/>
          <w:sz w:val="24"/>
          <w:szCs w:val="24"/>
        </w:rPr>
        <w:t>veinticinco</w:t>
      </w:r>
      <w:r w:rsidR="00233697" w:rsidRPr="0098786D">
        <w:rPr>
          <w:rFonts w:ascii="Palatino Linotype" w:eastAsia="Palatino Linotype" w:hAnsi="Palatino Linotype" w:cs="Palatino Linotype"/>
          <w:b/>
          <w:bCs/>
          <w:color w:val="000000"/>
          <w:sz w:val="24"/>
          <w:szCs w:val="24"/>
        </w:rPr>
        <w:t>.</w:t>
      </w:r>
    </w:p>
    <w:p w:rsidR="005C4DC7" w:rsidRPr="0098786D" w:rsidRDefault="00F140FE">
      <w:pPr>
        <w:numPr>
          <w:ilvl w:val="0"/>
          <w:numId w:val="7"/>
        </w:numPr>
        <w:pBdr>
          <w:top w:val="nil"/>
          <w:left w:val="nil"/>
          <w:bottom w:val="nil"/>
          <w:right w:val="nil"/>
          <w:between w:val="nil"/>
        </w:pBdr>
        <w:spacing w:after="0" w:line="360" w:lineRule="auto"/>
        <w:ind w:right="-504"/>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 xml:space="preserve">Expedientes laborales </w:t>
      </w:r>
      <w:r w:rsidR="00936BF5" w:rsidRPr="0098786D">
        <w:rPr>
          <w:rFonts w:ascii="Palatino Linotype" w:eastAsia="Palatino Linotype" w:hAnsi="Palatino Linotype" w:cs="Palatino Linotype"/>
          <w:b/>
          <w:bCs/>
          <w:color w:val="000000"/>
          <w:sz w:val="24"/>
          <w:szCs w:val="24"/>
        </w:rPr>
        <w:t xml:space="preserve">de los Mediadores en funciones al </w:t>
      </w:r>
      <w:r w:rsidR="00936BF5" w:rsidRPr="0098786D">
        <w:rPr>
          <w:rFonts w:ascii="Palatino Linotype" w:eastAsia="Palatino Linotype" w:hAnsi="Palatino Linotype" w:cs="Palatino Linotype"/>
          <w:b/>
          <w:bCs/>
          <w:sz w:val="24"/>
          <w:szCs w:val="24"/>
        </w:rPr>
        <w:t>veintidós de mayo de dos mil veinticinco</w:t>
      </w:r>
      <w:r w:rsidR="00936BF5" w:rsidRPr="0098786D">
        <w:rPr>
          <w:rFonts w:ascii="Palatino Linotype" w:eastAsia="Palatino Linotype" w:hAnsi="Palatino Linotype" w:cs="Palatino Linotype"/>
          <w:b/>
          <w:bCs/>
          <w:color w:val="000000"/>
          <w:sz w:val="24"/>
          <w:szCs w:val="24"/>
        </w:rPr>
        <w:t>.</w:t>
      </w:r>
    </w:p>
    <w:p w:rsidR="005C4DC7" w:rsidRPr="0098786D" w:rsidRDefault="00936BF5">
      <w:pPr>
        <w:numPr>
          <w:ilvl w:val="0"/>
          <w:numId w:val="7"/>
        </w:numPr>
        <w:pBdr>
          <w:top w:val="nil"/>
          <w:left w:val="nil"/>
          <w:bottom w:val="nil"/>
          <w:right w:val="nil"/>
          <w:between w:val="nil"/>
        </w:pBdr>
        <w:spacing w:after="0" w:line="276" w:lineRule="auto"/>
        <w:ind w:right="-504"/>
        <w:jc w:val="both"/>
        <w:rPr>
          <w:rFonts w:ascii="Palatino Linotype" w:eastAsia="Palatino Linotype" w:hAnsi="Palatino Linotype" w:cs="Palatino Linotype"/>
          <w:b/>
          <w:bCs/>
          <w:color w:val="000000"/>
          <w:sz w:val="24"/>
          <w:szCs w:val="24"/>
        </w:rPr>
      </w:pPr>
      <w:r w:rsidRPr="0098786D">
        <w:rPr>
          <w:rFonts w:ascii="Palatino Linotype" w:eastAsia="Palatino Linotype" w:hAnsi="Palatino Linotype" w:cs="Palatino Linotype"/>
          <w:b/>
          <w:bCs/>
          <w:color w:val="000000"/>
          <w:sz w:val="24"/>
          <w:szCs w:val="24"/>
        </w:rPr>
        <w:t xml:space="preserve">Acuerdo del Comité de Transparencia en términos de los artículos 49, fracción VIII y 132, fracción II de la Ley de Transparencia y Acceso a la Información Pública del Estado de México y Municipios, por el que se funde y motive la clasificación de la información dentro de las actas de conciliación remitidas en respuesta. </w:t>
      </w:r>
    </w:p>
    <w:p w:rsidR="005C4DC7" w:rsidRPr="0098786D" w:rsidRDefault="005C4DC7">
      <w:pPr>
        <w:pBdr>
          <w:top w:val="nil"/>
          <w:left w:val="nil"/>
          <w:bottom w:val="nil"/>
          <w:right w:val="nil"/>
          <w:between w:val="nil"/>
        </w:pBdr>
        <w:spacing w:after="0" w:line="276" w:lineRule="auto"/>
        <w:ind w:right="191"/>
        <w:jc w:val="both"/>
        <w:rPr>
          <w:rFonts w:ascii="Palatino Linotype" w:eastAsia="Palatino Linotype" w:hAnsi="Palatino Linotype" w:cs="Palatino Linotype"/>
          <w:b/>
          <w:bCs/>
          <w:color w:val="000000"/>
          <w:sz w:val="24"/>
          <w:szCs w:val="24"/>
        </w:rPr>
      </w:pPr>
    </w:p>
    <w:p w:rsidR="005C4DC7" w:rsidRPr="0098786D" w:rsidRDefault="00936BF5" w:rsidP="00F140FE">
      <w:pPr>
        <w:spacing w:line="360" w:lineRule="auto"/>
        <w:ind w:left="720" w:right="-518" w:hanging="720"/>
        <w:jc w:val="both"/>
        <w:rPr>
          <w:rFonts w:ascii="Palatino Linotype" w:eastAsia="Palatino Linotype" w:hAnsi="Palatino Linotype" w:cs="Palatino Linotype"/>
          <w:b/>
          <w:bCs/>
          <w:sz w:val="24"/>
          <w:szCs w:val="24"/>
        </w:rPr>
      </w:pPr>
      <w:r w:rsidRPr="0098786D">
        <w:rPr>
          <w:rFonts w:ascii="Palatino Linotype" w:eastAsia="Palatino Linotype" w:hAnsi="Palatino Linotype" w:cs="Palatino Linotype"/>
          <w:sz w:val="24"/>
          <w:szCs w:val="24"/>
        </w:rPr>
        <w:t xml:space="preserve">Para efectos del inciso a) y b),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98786D">
        <w:rPr>
          <w:rFonts w:ascii="Palatino Linotype" w:eastAsia="Palatino Linotype" w:hAnsi="Palatino Linotype" w:cs="Palatino Linotype"/>
          <w:b/>
          <w:bCs/>
          <w:sz w:val="24"/>
          <w:szCs w:val="24"/>
        </w:rPr>
        <w:t>RECURRENTE.</w:t>
      </w:r>
    </w:p>
    <w:p w:rsidR="005C4DC7" w:rsidRPr="0098786D" w:rsidRDefault="005C4DC7">
      <w:pPr>
        <w:spacing w:line="360" w:lineRule="auto"/>
        <w:ind w:right="-518"/>
        <w:jc w:val="both"/>
        <w:rPr>
          <w:rFonts w:ascii="Palatino Linotype" w:eastAsia="Palatino Linotype" w:hAnsi="Palatino Linotype" w:cs="Palatino Linotype"/>
          <w:b/>
          <w:bCs/>
          <w:sz w:val="24"/>
          <w:szCs w:val="24"/>
        </w:rPr>
      </w:pP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b/>
          <w:bCs/>
          <w:sz w:val="24"/>
          <w:szCs w:val="24"/>
        </w:rPr>
        <w:t xml:space="preserve">TERCERO. Notifíquese </w:t>
      </w:r>
      <w:r w:rsidRPr="0098786D">
        <w:rPr>
          <w:rFonts w:ascii="Palatino Linotype" w:eastAsia="Palatino Linotype" w:hAnsi="Palatino Linotype" w:cs="Palatino Linotype"/>
          <w:sz w:val="24"/>
          <w:szCs w:val="24"/>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98786D">
        <w:rPr>
          <w:rFonts w:ascii="Palatino Linotype" w:eastAsia="Palatino Linotype" w:hAnsi="Palatino Linotype" w:cs="Palatino Linotype"/>
          <w:b/>
          <w:bCs/>
          <w:sz w:val="24"/>
          <w:szCs w:val="24"/>
        </w:rPr>
        <w:t>dé cumplimiento a lo ordenado dentro del plazo de diez días hábiles,</w:t>
      </w:r>
      <w:r w:rsidRPr="0098786D">
        <w:rPr>
          <w:rFonts w:ascii="Palatino Linotype" w:eastAsia="Palatino Linotype" w:hAnsi="Palatino Linotype" w:cs="Palatino Linotype"/>
          <w:sz w:val="24"/>
          <w:szCs w:val="24"/>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b/>
          <w:bCs/>
          <w:sz w:val="24"/>
          <w:szCs w:val="24"/>
        </w:rPr>
        <w:lastRenderedPageBreak/>
        <w:t xml:space="preserve">CUARTO. </w:t>
      </w:r>
      <w:r w:rsidRPr="0098786D">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98786D">
        <w:rPr>
          <w:rFonts w:ascii="Palatino Linotype" w:eastAsia="Palatino Linotype" w:hAnsi="Palatino Linotype" w:cs="Palatino Linotype"/>
          <w:b/>
          <w:bCs/>
          <w:sz w:val="24"/>
          <w:szCs w:val="24"/>
        </w:rPr>
        <w:t>Sujeto Obligado</w:t>
      </w:r>
      <w:r w:rsidRPr="0098786D">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5C4DC7" w:rsidRPr="0098786D" w:rsidRDefault="00936BF5">
      <w:pPr>
        <w:tabs>
          <w:tab w:val="left" w:pos="8080"/>
        </w:tabs>
        <w:spacing w:line="360" w:lineRule="auto"/>
        <w:ind w:right="-518"/>
        <w:jc w:val="both"/>
        <w:rPr>
          <w:rFonts w:ascii="Palatino Linotype" w:eastAsia="Palatino Linotype" w:hAnsi="Palatino Linotype" w:cs="Palatino Linotype"/>
          <w:sz w:val="24"/>
          <w:szCs w:val="24"/>
        </w:rPr>
      </w:pPr>
      <w:bookmarkStart w:id="10" w:name="_heading=h.17dp8vu" w:colFirst="0" w:colLast="0"/>
      <w:bookmarkEnd w:id="10"/>
      <w:r w:rsidRPr="0098786D">
        <w:rPr>
          <w:rFonts w:ascii="Palatino Linotype" w:eastAsia="Palatino Linotype" w:hAnsi="Palatino Linotype" w:cs="Palatino Linotype"/>
          <w:b/>
          <w:bCs/>
          <w:sz w:val="24"/>
          <w:szCs w:val="24"/>
        </w:rPr>
        <w:t xml:space="preserve">QUINTO. </w:t>
      </w:r>
      <w:r w:rsidRPr="0098786D">
        <w:rPr>
          <w:rFonts w:ascii="Palatino Linotype" w:eastAsia="Palatino Linotype" w:hAnsi="Palatino Linotype" w:cs="Palatino Linotype"/>
          <w:sz w:val="24"/>
          <w:szCs w:val="24"/>
        </w:rPr>
        <w:t xml:space="preserve">Notifíquese al </w:t>
      </w:r>
      <w:r w:rsidRPr="0098786D">
        <w:rPr>
          <w:rFonts w:ascii="Palatino Linotype" w:eastAsia="Palatino Linotype" w:hAnsi="Palatino Linotype" w:cs="Palatino Linotype"/>
          <w:b/>
          <w:bCs/>
          <w:sz w:val="24"/>
          <w:szCs w:val="24"/>
        </w:rPr>
        <w:t>Recurrente</w:t>
      </w:r>
      <w:r w:rsidRPr="0098786D">
        <w:rPr>
          <w:rFonts w:ascii="Palatino Linotype" w:eastAsia="Palatino Linotype" w:hAnsi="Palatino Linotype" w:cs="Palatino Linotype"/>
          <w:sz w:val="24"/>
          <w:szCs w:val="24"/>
        </w:rPr>
        <w:t xml:space="preserve"> la presente resolución, vía </w:t>
      </w:r>
      <w:r w:rsidRPr="0098786D">
        <w:rPr>
          <w:rFonts w:ascii="Palatino Linotype" w:eastAsia="Palatino Linotype" w:hAnsi="Palatino Linotype" w:cs="Palatino Linotype"/>
          <w:b/>
          <w:bCs/>
          <w:sz w:val="24"/>
          <w:szCs w:val="24"/>
        </w:rPr>
        <w:t>SAIMEX</w:t>
      </w:r>
      <w:r w:rsidRPr="0098786D">
        <w:rPr>
          <w:rFonts w:ascii="Palatino Linotype" w:eastAsia="Palatino Linotype" w:hAnsi="Palatino Linotype" w:cs="Palatino Linotype"/>
          <w:sz w:val="24"/>
          <w:szCs w:val="24"/>
        </w:rPr>
        <w:t>.</w:t>
      </w:r>
    </w:p>
    <w:p w:rsidR="005C4DC7" w:rsidRPr="0098786D" w:rsidRDefault="005C4DC7">
      <w:pPr>
        <w:tabs>
          <w:tab w:val="left" w:pos="8080"/>
        </w:tabs>
        <w:spacing w:line="360" w:lineRule="auto"/>
        <w:ind w:right="-518"/>
        <w:jc w:val="both"/>
        <w:rPr>
          <w:rFonts w:ascii="Palatino Linotype" w:eastAsia="Palatino Linotype" w:hAnsi="Palatino Linotype" w:cs="Palatino Linotype"/>
          <w:sz w:val="24"/>
          <w:szCs w:val="24"/>
        </w:rPr>
      </w:pP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b/>
          <w:bCs/>
          <w:sz w:val="24"/>
          <w:szCs w:val="24"/>
        </w:rPr>
        <w:t xml:space="preserve">SEXTO. </w:t>
      </w:r>
      <w:r w:rsidRPr="0098786D">
        <w:rPr>
          <w:rFonts w:ascii="Palatino Linotype" w:eastAsia="Palatino Linotype" w:hAnsi="Palatino Linotype" w:cs="Palatino Linotype"/>
          <w:sz w:val="24"/>
          <w:szCs w:val="24"/>
        </w:rPr>
        <w:t>Se hace del conocimiento del</w:t>
      </w:r>
      <w:r w:rsidRPr="0098786D">
        <w:rPr>
          <w:rFonts w:ascii="Palatino Linotype" w:eastAsia="Palatino Linotype" w:hAnsi="Palatino Linotype" w:cs="Palatino Linotype"/>
          <w:b/>
          <w:bCs/>
          <w:sz w:val="24"/>
          <w:szCs w:val="24"/>
        </w:rPr>
        <w:t xml:space="preserve"> Recurrente </w:t>
      </w:r>
      <w:r w:rsidRPr="0098786D">
        <w:rPr>
          <w:rFonts w:ascii="Palatino Linotype" w:eastAsia="Palatino Linotype" w:hAnsi="Palatino Linotype" w:cs="Palatino Linotype"/>
          <w:sz w:val="24"/>
          <w:szCs w:val="24"/>
        </w:rPr>
        <w:t>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5C4DC7" w:rsidRPr="0098786D" w:rsidRDefault="005C4DC7">
      <w:pPr>
        <w:jc w:val="both"/>
        <w:rPr>
          <w:rFonts w:ascii="Palatino Linotype" w:eastAsia="Palatino Linotype" w:hAnsi="Palatino Linotype" w:cs="Palatino Linotype"/>
          <w:sz w:val="24"/>
          <w:szCs w:val="24"/>
        </w:rPr>
      </w:pPr>
    </w:p>
    <w:p w:rsidR="005C4DC7" w:rsidRPr="0098786D" w:rsidRDefault="00936BF5">
      <w:pPr>
        <w:spacing w:line="360" w:lineRule="auto"/>
        <w:ind w:right="-518"/>
        <w:jc w:val="both"/>
        <w:rPr>
          <w:rFonts w:ascii="Palatino Linotype" w:eastAsia="Palatino Linotype" w:hAnsi="Palatino Linotype" w:cs="Palatino Linotype"/>
          <w:sz w:val="24"/>
          <w:szCs w:val="24"/>
        </w:rPr>
      </w:pPr>
      <w:r w:rsidRPr="0098786D">
        <w:rPr>
          <w:rFonts w:ascii="Palatino Linotype" w:eastAsia="Palatino Linotype" w:hAnsi="Palatino Linotype" w:cs="Palatino Linotype"/>
          <w:b/>
          <w:bCs/>
          <w:sz w:val="24"/>
          <w:szCs w:val="24"/>
        </w:rPr>
        <w:t>SÉPTIMO</w:t>
      </w:r>
      <w:r w:rsidRPr="0098786D">
        <w:rPr>
          <w:rFonts w:ascii="Palatino Linotype" w:eastAsia="Palatino Linotype" w:hAnsi="Palatino Linotype" w:cs="Palatino Linotype"/>
          <w:sz w:val="24"/>
          <w:szCs w:val="24"/>
        </w:rPr>
        <w:t>. Con fundamento en lo dispuesto en los artículos 14, fracción XXVI y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SEXTO de la presente Resolución.</w:t>
      </w:r>
    </w:p>
    <w:p w:rsidR="005C4DC7" w:rsidRPr="0098786D" w:rsidRDefault="005C4DC7">
      <w:pPr>
        <w:spacing w:line="360" w:lineRule="auto"/>
        <w:ind w:right="-518"/>
        <w:jc w:val="both"/>
        <w:rPr>
          <w:rFonts w:ascii="Palatino Linotype" w:eastAsia="Palatino Linotype" w:hAnsi="Palatino Linotype" w:cs="Palatino Linotype"/>
          <w:sz w:val="24"/>
          <w:szCs w:val="24"/>
        </w:rPr>
      </w:pPr>
    </w:p>
    <w:p w:rsidR="00F140FE" w:rsidRPr="0098786D" w:rsidRDefault="00F140FE" w:rsidP="00F140FE">
      <w:pPr>
        <w:spacing w:before="240" w:after="240" w:line="360" w:lineRule="auto"/>
        <w:ind w:right="-518" w:firstLine="1"/>
        <w:jc w:val="both"/>
        <w:rPr>
          <w:rFonts w:ascii="Palatino Linotype" w:hAnsi="Palatino Linotype"/>
          <w:sz w:val="24"/>
          <w:szCs w:val="24"/>
        </w:rPr>
      </w:pPr>
      <w:bookmarkStart w:id="11" w:name="_Hlk99014733"/>
      <w:r w:rsidRPr="0098786D">
        <w:rPr>
          <w:rFonts w:ascii="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6024A5" w:rsidRPr="0098786D">
        <w:rPr>
          <w:rFonts w:ascii="Palatino Linotype" w:hAnsi="Palatino Linotype" w:cs="Palatino Linotype"/>
          <w:sz w:val="24"/>
          <w:szCs w:val="24"/>
        </w:rPr>
        <w:t xml:space="preserve"> </w:t>
      </w:r>
      <w:r w:rsidR="006024A5" w:rsidRPr="0098786D">
        <w:rPr>
          <w:rFonts w:ascii="Palatino Linotype" w:hAnsi="Palatino Linotype" w:cs="Palatino Linotype"/>
          <w:sz w:val="24"/>
          <w:szCs w:val="24"/>
        </w:rPr>
        <w:lastRenderedPageBreak/>
        <w:t>EMITIENDO VOTO PARTICULAR CONCURRENTE</w:t>
      </w:r>
      <w:r w:rsidRPr="0098786D">
        <w:rPr>
          <w:rFonts w:ascii="Palatino Linotype" w:hAnsi="Palatino Linotype" w:cs="Palatino Linotype"/>
          <w:sz w:val="24"/>
          <w:szCs w:val="24"/>
        </w:rPr>
        <w:t>, SHARON CRISTINA MORALES MARTÍNEZ, LUIS GUSTAVO PARRA NORIEGA</w:t>
      </w:r>
      <w:r w:rsidR="006024A5" w:rsidRPr="0098786D">
        <w:rPr>
          <w:rFonts w:ascii="Palatino Linotype" w:hAnsi="Palatino Linotype" w:cs="Palatino Linotype"/>
          <w:sz w:val="24"/>
          <w:szCs w:val="24"/>
        </w:rPr>
        <w:t xml:space="preserve"> EMITIENDO VOTO PARTICULAR CONCURRENTE</w:t>
      </w:r>
      <w:r w:rsidRPr="0098786D">
        <w:rPr>
          <w:rFonts w:ascii="Palatino Linotype" w:hAnsi="Palatino Linotype" w:cs="Palatino Linotype"/>
          <w:sz w:val="24"/>
          <w:szCs w:val="24"/>
        </w:rPr>
        <w:t xml:space="preserve"> Y GUADALUPE RAMÍREZ PEÑA</w:t>
      </w:r>
      <w:r w:rsidR="006024A5" w:rsidRPr="0098786D">
        <w:rPr>
          <w:rFonts w:ascii="Palatino Linotype" w:hAnsi="Palatino Linotype" w:cs="Palatino Linotype"/>
          <w:sz w:val="24"/>
          <w:szCs w:val="24"/>
        </w:rPr>
        <w:t xml:space="preserve"> EMITIENDO VOTO PARTICULAR</w:t>
      </w:r>
      <w:r w:rsidRPr="0098786D">
        <w:rPr>
          <w:rFonts w:ascii="Palatino Linotype" w:hAnsi="Palatino Linotype" w:cs="Palatino Linotype"/>
          <w:sz w:val="24"/>
          <w:szCs w:val="24"/>
        </w:rPr>
        <w:t xml:space="preserve">; EN LA SEGUNDA SESIÓN ORDINARIA, CELEBRADA EL VEINTIUNO (21) DE ENERO DE DOS MIL VEINTISÉIS, ANTE EL SECRETARIO TÉCNICO DEL PLENO </w:t>
      </w:r>
      <w:r w:rsidRPr="0098786D">
        <w:rPr>
          <w:rFonts w:ascii="Palatino Linotype" w:hAnsi="Palatino Linotype" w:cs="Palatino Linotype"/>
          <w:color w:val="000000" w:themeColor="text1"/>
          <w:sz w:val="24"/>
          <w:szCs w:val="24"/>
        </w:rPr>
        <w:t>ALEXIS TAPIA RAMÍREZ.</w:t>
      </w:r>
    </w:p>
    <w:bookmarkEnd w:id="11"/>
    <w:p w:rsidR="005C4DC7" w:rsidRDefault="005C4DC7">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Default="00DB69AE">
      <w:pPr>
        <w:rPr>
          <w:sz w:val="24"/>
          <w:szCs w:val="24"/>
        </w:rPr>
      </w:pPr>
    </w:p>
    <w:p w:rsidR="00DB69AE" w:rsidRPr="0098786D" w:rsidRDefault="00DB69AE">
      <w:pPr>
        <w:rPr>
          <w:sz w:val="24"/>
          <w:szCs w:val="24"/>
        </w:rPr>
      </w:pPr>
    </w:p>
    <w:sectPr w:rsidR="00DB69AE" w:rsidRPr="0098786D" w:rsidSect="0098786D">
      <w:headerReference w:type="even" r:id="rId18"/>
      <w:headerReference w:type="default" r:id="rId19"/>
      <w:footerReference w:type="default" r:id="rId20"/>
      <w:headerReference w:type="first" r:id="rId21"/>
      <w:footerReference w:type="first" r:id="rId22"/>
      <w:pgSz w:w="12240" w:h="15840"/>
      <w:pgMar w:top="2268" w:right="1325"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0738" w:rsidRDefault="00880738">
      <w:pPr>
        <w:spacing w:after="0" w:line="240" w:lineRule="auto"/>
      </w:pPr>
      <w:r>
        <w:separator/>
      </w:r>
    </w:p>
  </w:endnote>
  <w:endnote w:type="continuationSeparator" w:id="0">
    <w:p w:rsidR="00880738" w:rsidRDefault="00880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embedRegular r:id="rId1" w:fontKey="{6B3C2587-53DD-4A90-AEF4-0F2645F3744B}"/>
    <w:embedBold r:id="rId2" w:fontKey="{E61BFBF3-4E2A-4DAC-9A48-D207A2F663B4}"/>
    <w:embedItalic r:id="rId3" w:fontKey="{320235E8-E724-4752-90AB-B3B4E91F44BE}"/>
    <w:embedBoldItalic r:id="rId4" w:fontKey="{0393BEAD-B94D-40A2-81ED-2F93EE564A2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6B0166E7-E496-491A-970A-43E1061EB16A}"/>
    <w:embedBold r:id="rId6" w:fontKey="{C39E3D18-B98F-422F-9D2F-48C1A779F79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DBA541C8-3A20-4C63-A578-BA826E9CF1BF}"/>
    <w:embedBold r:id="rId8" w:fontKey="{5C5A2423-8F71-412B-A110-1C349F3EFAD0}"/>
    <w:embedItalic r:id="rId9" w:fontKey="{E4C734B2-F73C-4988-9E11-3B4AE0DC71A0}"/>
  </w:font>
  <w:font w:name="Calibri Light">
    <w:panose1 w:val="020F0302020204030204"/>
    <w:charset w:val="00"/>
    <w:family w:val="swiss"/>
    <w:pitch w:val="variable"/>
    <w:sig w:usb0="E4002EFF" w:usb1="C200247B" w:usb2="00000009" w:usb3="00000000" w:csb0="000001FF" w:csb1="00000000"/>
    <w:embedRegular r:id="rId10" w:fontKey="{FFC4463A-C220-4054-A9D0-FDC76046AAD0}"/>
  </w:font>
  <w:font w:name="Georgia">
    <w:panose1 w:val="02040502050405020303"/>
    <w:charset w:val="00"/>
    <w:family w:val="roman"/>
    <w:pitch w:val="variable"/>
    <w:sig w:usb0="00000287" w:usb1="00000000" w:usb2="00000000" w:usb3="00000000" w:csb0="0000009F" w:csb1="00000000"/>
    <w:embedItalic r:id="rId11" w:fontKey="{03D1D583-1E14-4C80-B5E8-A4813CCE33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86D" w:rsidRPr="0098786D" w:rsidRDefault="0098786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b/>
        <w:color w:val="000000"/>
        <w:szCs w:val="20"/>
      </w:rPr>
    </w:pPr>
    <w:r w:rsidRPr="0098786D">
      <w:rPr>
        <w:rFonts w:ascii="Palatino Linotype" w:eastAsia="Palatino Linotype" w:hAnsi="Palatino Linotype" w:cs="Palatino Linotype"/>
        <w:b/>
        <w:color w:val="000000"/>
        <w:szCs w:val="20"/>
      </w:rPr>
      <w:t xml:space="preserve">Página </w:t>
    </w:r>
    <w:r w:rsidRPr="0098786D">
      <w:rPr>
        <w:rFonts w:ascii="Palatino Linotype" w:eastAsia="Palatino Linotype" w:hAnsi="Palatino Linotype" w:cs="Palatino Linotype"/>
        <w:b/>
        <w:color w:val="000000"/>
        <w:szCs w:val="20"/>
      </w:rPr>
      <w:fldChar w:fldCharType="begin"/>
    </w:r>
    <w:r w:rsidRPr="0098786D">
      <w:rPr>
        <w:rFonts w:ascii="Palatino Linotype" w:eastAsia="Palatino Linotype" w:hAnsi="Palatino Linotype" w:cs="Palatino Linotype"/>
        <w:b/>
        <w:color w:val="000000"/>
        <w:szCs w:val="20"/>
      </w:rPr>
      <w:instrText>PAGE</w:instrText>
    </w:r>
    <w:r w:rsidRPr="0098786D">
      <w:rPr>
        <w:rFonts w:ascii="Palatino Linotype" w:eastAsia="Palatino Linotype" w:hAnsi="Palatino Linotype" w:cs="Palatino Linotype"/>
        <w:b/>
        <w:color w:val="000000"/>
        <w:szCs w:val="20"/>
      </w:rPr>
      <w:fldChar w:fldCharType="separate"/>
    </w:r>
    <w:r w:rsidR="00A56FF2">
      <w:rPr>
        <w:rFonts w:ascii="Palatino Linotype" w:eastAsia="Palatino Linotype" w:hAnsi="Palatino Linotype" w:cs="Palatino Linotype"/>
        <w:b/>
        <w:noProof/>
        <w:color w:val="000000"/>
        <w:szCs w:val="20"/>
      </w:rPr>
      <w:t>21</w:t>
    </w:r>
    <w:r w:rsidRPr="0098786D">
      <w:rPr>
        <w:rFonts w:ascii="Palatino Linotype" w:eastAsia="Palatino Linotype" w:hAnsi="Palatino Linotype" w:cs="Palatino Linotype"/>
        <w:b/>
        <w:color w:val="000000"/>
        <w:szCs w:val="20"/>
      </w:rPr>
      <w:fldChar w:fldCharType="end"/>
    </w:r>
    <w:r w:rsidRPr="0098786D">
      <w:rPr>
        <w:rFonts w:ascii="Palatino Linotype" w:eastAsia="Palatino Linotype" w:hAnsi="Palatino Linotype" w:cs="Palatino Linotype"/>
        <w:b/>
        <w:color w:val="000000"/>
        <w:szCs w:val="20"/>
      </w:rPr>
      <w:t xml:space="preserve"> de </w:t>
    </w:r>
    <w:r w:rsidRPr="0098786D">
      <w:rPr>
        <w:rFonts w:ascii="Palatino Linotype" w:eastAsia="Palatino Linotype" w:hAnsi="Palatino Linotype" w:cs="Palatino Linotype"/>
        <w:b/>
        <w:color w:val="000000"/>
        <w:szCs w:val="20"/>
      </w:rPr>
      <w:fldChar w:fldCharType="begin"/>
    </w:r>
    <w:r w:rsidRPr="0098786D">
      <w:rPr>
        <w:rFonts w:ascii="Palatino Linotype" w:eastAsia="Palatino Linotype" w:hAnsi="Palatino Linotype" w:cs="Palatino Linotype"/>
        <w:b/>
        <w:color w:val="000000"/>
        <w:szCs w:val="20"/>
      </w:rPr>
      <w:instrText>NUMPAGES</w:instrText>
    </w:r>
    <w:r w:rsidRPr="0098786D">
      <w:rPr>
        <w:rFonts w:ascii="Palatino Linotype" w:eastAsia="Palatino Linotype" w:hAnsi="Palatino Linotype" w:cs="Palatino Linotype"/>
        <w:b/>
        <w:color w:val="000000"/>
        <w:szCs w:val="20"/>
      </w:rPr>
      <w:fldChar w:fldCharType="separate"/>
    </w:r>
    <w:r w:rsidR="00A56FF2">
      <w:rPr>
        <w:rFonts w:ascii="Palatino Linotype" w:eastAsia="Palatino Linotype" w:hAnsi="Palatino Linotype" w:cs="Palatino Linotype"/>
        <w:b/>
        <w:noProof/>
        <w:color w:val="000000"/>
        <w:szCs w:val="20"/>
      </w:rPr>
      <w:t>76</w:t>
    </w:r>
    <w:r w:rsidRPr="0098786D">
      <w:rPr>
        <w:rFonts w:ascii="Palatino Linotype" w:eastAsia="Palatino Linotype" w:hAnsi="Palatino Linotype" w:cs="Palatino Linotype"/>
        <w:b/>
        <w:color w:val="000000"/>
        <w:szCs w:val="20"/>
      </w:rPr>
      <w:fldChar w:fldCharType="end"/>
    </w:r>
  </w:p>
  <w:p w:rsidR="0098786D" w:rsidRDefault="0098786D">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86D" w:rsidRPr="0098786D" w:rsidRDefault="0098786D">
    <w:pPr>
      <w:pBdr>
        <w:top w:val="nil"/>
        <w:left w:val="nil"/>
        <w:bottom w:val="nil"/>
        <w:right w:val="nil"/>
        <w:between w:val="nil"/>
      </w:pBdr>
      <w:tabs>
        <w:tab w:val="center" w:pos="4419"/>
        <w:tab w:val="right" w:pos="8838"/>
      </w:tabs>
      <w:spacing w:after="0" w:line="240" w:lineRule="auto"/>
      <w:jc w:val="right"/>
      <w:rPr>
        <w:rFonts w:ascii="Palatino Linotype" w:eastAsia="Palatino Linotype" w:hAnsi="Palatino Linotype" w:cs="Palatino Linotype"/>
        <w:color w:val="000000"/>
        <w:szCs w:val="20"/>
      </w:rPr>
    </w:pPr>
    <w:r w:rsidRPr="0098786D">
      <w:rPr>
        <w:rFonts w:ascii="Palatino Linotype" w:eastAsia="Palatino Linotype" w:hAnsi="Palatino Linotype" w:cs="Palatino Linotype"/>
        <w:color w:val="000000"/>
        <w:szCs w:val="20"/>
      </w:rPr>
      <w:t xml:space="preserve">Página </w:t>
    </w:r>
    <w:r w:rsidRPr="0098786D">
      <w:rPr>
        <w:rFonts w:ascii="Palatino Linotype" w:eastAsia="Palatino Linotype" w:hAnsi="Palatino Linotype" w:cs="Palatino Linotype"/>
        <w:color w:val="000000"/>
        <w:szCs w:val="20"/>
      </w:rPr>
      <w:fldChar w:fldCharType="begin"/>
    </w:r>
    <w:r w:rsidRPr="0098786D">
      <w:rPr>
        <w:rFonts w:ascii="Palatino Linotype" w:eastAsia="Palatino Linotype" w:hAnsi="Palatino Linotype" w:cs="Palatino Linotype"/>
        <w:color w:val="000000"/>
        <w:szCs w:val="20"/>
      </w:rPr>
      <w:instrText>PAGE</w:instrText>
    </w:r>
    <w:r w:rsidRPr="0098786D">
      <w:rPr>
        <w:rFonts w:ascii="Palatino Linotype" w:eastAsia="Palatino Linotype" w:hAnsi="Palatino Linotype" w:cs="Palatino Linotype"/>
        <w:color w:val="000000"/>
        <w:szCs w:val="20"/>
      </w:rPr>
      <w:fldChar w:fldCharType="separate"/>
    </w:r>
    <w:r w:rsidR="00A56FF2">
      <w:rPr>
        <w:rFonts w:ascii="Palatino Linotype" w:eastAsia="Palatino Linotype" w:hAnsi="Palatino Linotype" w:cs="Palatino Linotype"/>
        <w:noProof/>
        <w:color w:val="000000"/>
        <w:szCs w:val="20"/>
      </w:rPr>
      <w:t>1</w:t>
    </w:r>
    <w:r w:rsidRPr="0098786D">
      <w:rPr>
        <w:rFonts w:ascii="Palatino Linotype" w:eastAsia="Palatino Linotype" w:hAnsi="Palatino Linotype" w:cs="Palatino Linotype"/>
        <w:color w:val="000000"/>
        <w:szCs w:val="20"/>
      </w:rPr>
      <w:fldChar w:fldCharType="end"/>
    </w:r>
    <w:r w:rsidRPr="0098786D">
      <w:rPr>
        <w:rFonts w:ascii="Palatino Linotype" w:eastAsia="Palatino Linotype" w:hAnsi="Palatino Linotype" w:cs="Palatino Linotype"/>
        <w:color w:val="000000"/>
        <w:szCs w:val="20"/>
      </w:rPr>
      <w:t xml:space="preserve"> de </w:t>
    </w:r>
    <w:r w:rsidRPr="0098786D">
      <w:rPr>
        <w:rFonts w:ascii="Palatino Linotype" w:eastAsia="Palatino Linotype" w:hAnsi="Palatino Linotype" w:cs="Palatino Linotype"/>
        <w:color w:val="000000"/>
        <w:szCs w:val="20"/>
      </w:rPr>
      <w:fldChar w:fldCharType="begin"/>
    </w:r>
    <w:r w:rsidRPr="0098786D">
      <w:rPr>
        <w:rFonts w:ascii="Palatino Linotype" w:eastAsia="Palatino Linotype" w:hAnsi="Palatino Linotype" w:cs="Palatino Linotype"/>
        <w:color w:val="000000"/>
        <w:szCs w:val="20"/>
      </w:rPr>
      <w:instrText>NUMPAGES</w:instrText>
    </w:r>
    <w:r w:rsidRPr="0098786D">
      <w:rPr>
        <w:rFonts w:ascii="Palatino Linotype" w:eastAsia="Palatino Linotype" w:hAnsi="Palatino Linotype" w:cs="Palatino Linotype"/>
        <w:color w:val="000000"/>
        <w:szCs w:val="20"/>
      </w:rPr>
      <w:fldChar w:fldCharType="separate"/>
    </w:r>
    <w:r w:rsidR="00A56FF2">
      <w:rPr>
        <w:rFonts w:ascii="Palatino Linotype" w:eastAsia="Palatino Linotype" w:hAnsi="Palatino Linotype" w:cs="Palatino Linotype"/>
        <w:noProof/>
        <w:color w:val="000000"/>
        <w:szCs w:val="20"/>
      </w:rPr>
      <w:t>76</w:t>
    </w:r>
    <w:r w:rsidRPr="0098786D">
      <w:rPr>
        <w:rFonts w:ascii="Palatino Linotype" w:eastAsia="Palatino Linotype" w:hAnsi="Palatino Linotype" w:cs="Palatino Linotype"/>
        <w:color w:val="000000"/>
        <w:szCs w:val="20"/>
      </w:rPr>
      <w:fldChar w:fldCharType="end"/>
    </w:r>
  </w:p>
  <w:p w:rsidR="0098786D" w:rsidRDefault="0098786D">
    <w:pPr>
      <w:pBdr>
        <w:top w:val="nil"/>
        <w:left w:val="nil"/>
        <w:bottom w:val="nil"/>
        <w:right w:val="nil"/>
        <w:between w:val="nil"/>
      </w:pBdr>
      <w:tabs>
        <w:tab w:val="center" w:pos="4419"/>
        <w:tab w:val="right" w:pos="8838"/>
      </w:tabs>
      <w:spacing w:after="0" w:line="240" w:lineRule="auto"/>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0738" w:rsidRDefault="00880738">
      <w:pPr>
        <w:spacing w:after="0" w:line="240" w:lineRule="auto"/>
      </w:pPr>
      <w:r>
        <w:separator/>
      </w:r>
    </w:p>
  </w:footnote>
  <w:footnote w:type="continuationSeparator" w:id="0">
    <w:p w:rsidR="00880738" w:rsidRDefault="00880738">
      <w:pPr>
        <w:spacing w:after="0" w:line="240" w:lineRule="auto"/>
      </w:pPr>
      <w:r>
        <w:continuationSeparator/>
      </w:r>
    </w:p>
  </w:footnote>
  <w:footnote w:id="1">
    <w:p w:rsidR="0098786D" w:rsidRDefault="009878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http://transparencia.uaemex.mx/pdf/01.infPubOfi/18.traSer/02.secDoc/06.dirConEsc_secr/Guia_Tramites.pdf</w:t>
      </w:r>
    </w:p>
  </w:footnote>
  <w:footnote w:id="2">
    <w:p w:rsidR="0098786D" w:rsidRDefault="009878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Tomado de: </w:t>
      </w:r>
    </w:p>
    <w:p w:rsidR="0098786D" w:rsidRDefault="0098786D">
      <w:pPr>
        <w:pBdr>
          <w:top w:val="nil"/>
          <w:left w:val="nil"/>
          <w:bottom w:val="nil"/>
          <w:right w:val="nil"/>
          <w:between w:val="nil"/>
        </w:pBdr>
        <w:spacing w:after="0" w:line="240" w:lineRule="auto"/>
        <w:rPr>
          <w:color w:val="000000"/>
          <w:sz w:val="20"/>
          <w:szCs w:val="20"/>
        </w:rPr>
      </w:pPr>
      <w:r>
        <w:rPr>
          <w:color w:val="000000"/>
          <w:sz w:val="20"/>
          <w:szCs w:val="20"/>
        </w:rPr>
        <w:t>http://transparencia.uaemex.mx/pdf/01.infPubOfi/18.traSer/02.secDoc/06.dirConEsc_secr/Guia_Tramites.pdf</w:t>
      </w:r>
    </w:p>
  </w:footnote>
  <w:footnote w:id="3">
    <w:p w:rsidR="0098786D" w:rsidRDefault="009878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16"/>
          <w:szCs w:val="16"/>
        </w:rPr>
        <w:t>En las direcciones https://consultas.curp.gob.mx/CurpSP/html/informacionecurpPS.html y https://www.gob.mx/segob/renapo/acciones-y-programas/clave-unica-de-registro-de-poblacion-curp-142226 (consultadas el nueve de abril de la presente anualidad, a las 10:45 horas).</w:t>
      </w:r>
    </w:p>
  </w:footnote>
  <w:footnote w:id="4">
    <w:p w:rsidR="0098786D" w:rsidRDefault="0098786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https://www.issemym.gob.mx/sites/www.issemym.gob.mx/files/32%20Lineamientos%20Plataforma%20PRISMA.PDF</w:t>
        </w:r>
      </w:hyperlink>
      <w:r>
        <w:rPr>
          <w:color w:val="000000"/>
          <w:sz w:val="20"/>
          <w:szCs w:val="20"/>
        </w:rPr>
        <w:t xml:space="preserve"> </w:t>
      </w:r>
    </w:p>
  </w:footnote>
  <w:footnote w:id="5">
    <w:p w:rsidR="0098786D" w:rsidRDefault="0098786D">
      <w:pPr>
        <w:pBdr>
          <w:top w:val="nil"/>
          <w:left w:val="nil"/>
          <w:bottom w:val="nil"/>
          <w:right w:val="nil"/>
          <w:between w:val="nil"/>
        </w:pBdr>
        <w:spacing w:after="0" w:line="240" w:lineRule="auto"/>
        <w:rPr>
          <w:i/>
          <w:iCs/>
          <w:color w:val="000000"/>
          <w:sz w:val="18"/>
          <w:szCs w:val="18"/>
        </w:rPr>
      </w:pPr>
      <w:r>
        <w:rPr>
          <w:vertAlign w:val="superscript"/>
        </w:rPr>
        <w:footnoteRef/>
      </w:r>
      <w:r>
        <w:rPr>
          <w:color w:val="000000"/>
          <w:sz w:val="20"/>
          <w:szCs w:val="20"/>
        </w:rPr>
        <w:t xml:space="preserve"> </w:t>
      </w:r>
      <w:r>
        <w:rPr>
          <w:i/>
          <w:iCs/>
          <w:color w:val="000000"/>
          <w:sz w:val="18"/>
          <w:szCs w:val="18"/>
        </w:rPr>
        <w:t>https://legislacion.edomex.gob.mx/sites/legislacion.edomex.gob.mx/files/files/pdf/gct/2014 /nov144.PDF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86D" w:rsidRDefault="0098786D">
    <w:pPr>
      <w:pBdr>
        <w:top w:val="nil"/>
        <w:left w:val="nil"/>
        <w:bottom w:val="nil"/>
        <w:right w:val="nil"/>
        <w:between w:val="nil"/>
      </w:pBdr>
      <w:tabs>
        <w:tab w:val="center" w:pos="4419"/>
        <w:tab w:val="right" w:pos="8838"/>
      </w:tabs>
      <w:spacing w:after="0" w:line="240" w:lineRule="auto"/>
      <w:rPr>
        <w:color w:val="000000"/>
        <w:sz w:val="24"/>
        <w:szCs w:val="24"/>
      </w:rPr>
    </w:pPr>
    <w:r>
      <w:rPr>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609.4pt;height:793.75pt;z-index:-251657728;mso-position-horizontal:center;mso-position-horizontal-relative:margin;mso-position-vertical:center;mso-position-vertical-relative:margin">
          <v:imagedata r:id="rId1" o:title="image7"/>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2"/>
      <w:tblW w:w="6519" w:type="dxa"/>
      <w:tblInd w:w="3402" w:type="dxa"/>
      <w:tblLayout w:type="fixed"/>
      <w:tblLook w:val="0400" w:firstRow="0" w:lastRow="0" w:firstColumn="0" w:lastColumn="0" w:noHBand="0" w:noVBand="1"/>
    </w:tblPr>
    <w:tblGrid>
      <w:gridCol w:w="2976"/>
      <w:gridCol w:w="3543"/>
    </w:tblGrid>
    <w:tr w:rsidR="0098786D" w:rsidTr="0098786D">
      <w:trPr>
        <w:trHeight w:val="227"/>
      </w:trPr>
      <w:tc>
        <w:tcPr>
          <w:tcW w:w="2976" w:type="dxa"/>
          <w:vAlign w:val="center"/>
        </w:tcPr>
        <w:p w:rsidR="0098786D" w:rsidRPr="0098786D" w:rsidRDefault="0098786D">
          <w:pPr>
            <w:spacing w:after="0" w:line="240" w:lineRule="auto"/>
            <w:ind w:right="34"/>
            <w:jc w:val="right"/>
            <w:rPr>
              <w:rFonts w:ascii="Palatino Linotype" w:eastAsia="Palatino Linotype" w:hAnsi="Palatino Linotype" w:cs="Palatino Linotype"/>
              <w:b/>
              <w:bCs/>
              <w:sz w:val="24"/>
            </w:rPr>
          </w:pPr>
          <w:r w:rsidRPr="0098786D">
            <w:rPr>
              <w:rFonts w:ascii="Palatino Linotype" w:eastAsia="Palatino Linotype" w:hAnsi="Palatino Linotype" w:cs="Palatino Linotype"/>
              <w:b/>
              <w:bCs/>
              <w:sz w:val="24"/>
            </w:rPr>
            <w:t>Recurso de Revisión:</w:t>
          </w:r>
        </w:p>
      </w:tc>
      <w:tc>
        <w:tcPr>
          <w:tcW w:w="3543" w:type="dxa"/>
          <w:vAlign w:val="center"/>
        </w:tcPr>
        <w:p w:rsidR="0098786D" w:rsidRPr="0098786D" w:rsidRDefault="0098786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rPr>
          </w:pPr>
          <w:r w:rsidRPr="0098786D">
            <w:rPr>
              <w:rFonts w:ascii="Palatino Linotype" w:eastAsia="Palatino Linotype" w:hAnsi="Palatino Linotype" w:cs="Palatino Linotype"/>
              <w:bCs/>
              <w:color w:val="000000"/>
              <w:sz w:val="24"/>
            </w:rPr>
            <w:t xml:space="preserve"> 08163/INFOEM/IP/RR/2025</w:t>
          </w:r>
        </w:p>
      </w:tc>
    </w:tr>
    <w:tr w:rsidR="0098786D" w:rsidTr="0098786D">
      <w:trPr>
        <w:trHeight w:val="242"/>
      </w:trPr>
      <w:tc>
        <w:tcPr>
          <w:tcW w:w="2976" w:type="dxa"/>
          <w:vAlign w:val="center"/>
        </w:tcPr>
        <w:p w:rsidR="0098786D" w:rsidRPr="0098786D" w:rsidRDefault="0098786D">
          <w:pPr>
            <w:spacing w:after="0" w:line="240" w:lineRule="auto"/>
            <w:ind w:right="34"/>
            <w:jc w:val="right"/>
            <w:rPr>
              <w:rFonts w:ascii="Palatino Linotype" w:eastAsia="Palatino Linotype" w:hAnsi="Palatino Linotype" w:cs="Palatino Linotype"/>
              <w:b/>
              <w:bCs/>
              <w:sz w:val="24"/>
            </w:rPr>
          </w:pPr>
          <w:r w:rsidRPr="0098786D">
            <w:rPr>
              <w:rFonts w:ascii="Palatino Linotype" w:eastAsia="Palatino Linotype" w:hAnsi="Palatino Linotype" w:cs="Palatino Linotype"/>
              <w:b/>
              <w:bCs/>
              <w:sz w:val="24"/>
            </w:rPr>
            <w:t>Sujeto Obligado:</w:t>
          </w:r>
        </w:p>
      </w:tc>
      <w:tc>
        <w:tcPr>
          <w:tcW w:w="3543" w:type="dxa"/>
          <w:vAlign w:val="center"/>
        </w:tcPr>
        <w:p w:rsidR="0098786D" w:rsidRPr="0098786D" w:rsidRDefault="0098786D">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Cs/>
              <w:color w:val="000000"/>
              <w:sz w:val="24"/>
            </w:rPr>
          </w:pPr>
          <w:r w:rsidRPr="0098786D">
            <w:rPr>
              <w:rFonts w:ascii="Palatino Linotype" w:eastAsia="Palatino Linotype" w:hAnsi="Palatino Linotype" w:cs="Palatino Linotype"/>
              <w:bCs/>
              <w:color w:val="000000"/>
              <w:sz w:val="24"/>
            </w:rPr>
            <w:t>Ayuntamiento de Toluca</w:t>
          </w:r>
        </w:p>
      </w:tc>
    </w:tr>
    <w:tr w:rsidR="0098786D" w:rsidTr="0098786D">
      <w:trPr>
        <w:trHeight w:val="342"/>
      </w:trPr>
      <w:tc>
        <w:tcPr>
          <w:tcW w:w="2976" w:type="dxa"/>
          <w:vAlign w:val="center"/>
        </w:tcPr>
        <w:p w:rsidR="0098786D" w:rsidRPr="0098786D" w:rsidRDefault="0098786D">
          <w:pPr>
            <w:spacing w:after="0" w:line="240" w:lineRule="auto"/>
            <w:ind w:right="34"/>
            <w:jc w:val="right"/>
            <w:rPr>
              <w:rFonts w:ascii="Palatino Linotype" w:eastAsia="Palatino Linotype" w:hAnsi="Palatino Linotype" w:cs="Palatino Linotype"/>
              <w:b/>
              <w:bCs/>
              <w:sz w:val="24"/>
            </w:rPr>
          </w:pPr>
          <w:r w:rsidRPr="0098786D">
            <w:rPr>
              <w:rFonts w:ascii="Palatino Linotype" w:eastAsia="Palatino Linotype" w:hAnsi="Palatino Linotype" w:cs="Palatino Linotype"/>
              <w:b/>
              <w:bCs/>
              <w:sz w:val="24"/>
            </w:rPr>
            <w:t>Comisionada Ponente:</w:t>
          </w:r>
        </w:p>
      </w:tc>
      <w:tc>
        <w:tcPr>
          <w:tcW w:w="3543" w:type="dxa"/>
          <w:vAlign w:val="center"/>
        </w:tcPr>
        <w:p w:rsidR="0098786D" w:rsidRPr="0098786D" w:rsidRDefault="0098786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rPr>
          </w:pPr>
          <w:r w:rsidRPr="0098786D">
            <w:rPr>
              <w:rFonts w:ascii="Palatino Linotype" w:eastAsia="Palatino Linotype" w:hAnsi="Palatino Linotype" w:cs="Palatino Linotype"/>
              <w:bCs/>
              <w:color w:val="000000"/>
              <w:sz w:val="24"/>
            </w:rPr>
            <w:t>María del Rosario Mejía Ayala</w:t>
          </w:r>
        </w:p>
      </w:tc>
    </w:tr>
  </w:tbl>
  <w:p w:rsidR="0098786D" w:rsidRDefault="0098786D">
    <w:pPr>
      <w:pBdr>
        <w:top w:val="nil"/>
        <w:left w:val="nil"/>
        <w:bottom w:val="nil"/>
        <w:right w:val="nil"/>
        <w:between w:val="nil"/>
      </w:pBdr>
      <w:tabs>
        <w:tab w:val="center" w:pos="4419"/>
        <w:tab w:val="right" w:pos="8838"/>
        <w:tab w:val="left" w:pos="6005"/>
      </w:tabs>
      <w:spacing w:after="0" w:line="240" w:lineRule="auto"/>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76.85pt;margin-top:-127.75pt;width:609.4pt;height:793.75pt;z-index:-251659776;mso-position-horizontal-relative:margin;mso-position-vertical-relative:margin">
          <v:imagedata r:id="rId1" o:title="image7"/>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6660" w:type="dxa"/>
      <w:tblInd w:w="3402" w:type="dxa"/>
      <w:tblLayout w:type="fixed"/>
      <w:tblLook w:val="0400" w:firstRow="0" w:lastRow="0" w:firstColumn="0" w:lastColumn="0" w:noHBand="0" w:noVBand="1"/>
    </w:tblPr>
    <w:tblGrid>
      <w:gridCol w:w="2977"/>
      <w:gridCol w:w="3683"/>
    </w:tblGrid>
    <w:tr w:rsidR="0098786D" w:rsidTr="0098786D">
      <w:trPr>
        <w:trHeight w:val="227"/>
      </w:trPr>
      <w:tc>
        <w:tcPr>
          <w:tcW w:w="2977" w:type="dxa"/>
          <w:vAlign w:val="center"/>
        </w:tcPr>
        <w:p w:rsidR="0098786D" w:rsidRPr="0098786D" w:rsidRDefault="0098786D">
          <w:pPr>
            <w:spacing w:after="0" w:line="240" w:lineRule="auto"/>
            <w:jc w:val="right"/>
            <w:rPr>
              <w:rFonts w:ascii="Palatino Linotype" w:eastAsia="Palatino Linotype" w:hAnsi="Palatino Linotype" w:cs="Palatino Linotype"/>
              <w:b/>
              <w:bCs/>
              <w:sz w:val="24"/>
            </w:rPr>
          </w:pPr>
          <w:r w:rsidRPr="0098786D">
            <w:rPr>
              <w:rFonts w:ascii="Palatino Linotype" w:eastAsia="Palatino Linotype" w:hAnsi="Palatino Linotype" w:cs="Palatino Linotype"/>
              <w:b/>
              <w:bCs/>
              <w:sz w:val="24"/>
            </w:rPr>
            <w:t>Recurso de Revisión:</w:t>
          </w:r>
        </w:p>
      </w:tc>
      <w:tc>
        <w:tcPr>
          <w:tcW w:w="3683" w:type="dxa"/>
          <w:vAlign w:val="center"/>
        </w:tcPr>
        <w:p w:rsidR="0098786D" w:rsidRPr="0098786D" w:rsidRDefault="0098786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rPr>
          </w:pPr>
          <w:r w:rsidRPr="0098786D">
            <w:rPr>
              <w:rFonts w:ascii="Palatino Linotype" w:eastAsia="Palatino Linotype" w:hAnsi="Palatino Linotype" w:cs="Palatino Linotype"/>
              <w:bCs/>
              <w:color w:val="000000"/>
              <w:sz w:val="24"/>
            </w:rPr>
            <w:t>08163/INFOEM/IP/RR/2025</w:t>
          </w:r>
        </w:p>
      </w:tc>
    </w:tr>
    <w:tr w:rsidR="0098786D" w:rsidTr="0098786D">
      <w:trPr>
        <w:trHeight w:val="242"/>
      </w:trPr>
      <w:tc>
        <w:tcPr>
          <w:tcW w:w="2977" w:type="dxa"/>
          <w:vAlign w:val="center"/>
        </w:tcPr>
        <w:p w:rsidR="0098786D" w:rsidRPr="0098786D" w:rsidRDefault="0098786D">
          <w:pPr>
            <w:spacing w:after="0" w:line="240" w:lineRule="auto"/>
            <w:jc w:val="right"/>
            <w:rPr>
              <w:rFonts w:ascii="Palatino Linotype" w:eastAsia="Palatino Linotype" w:hAnsi="Palatino Linotype" w:cs="Palatino Linotype"/>
              <w:b/>
              <w:bCs/>
              <w:sz w:val="24"/>
            </w:rPr>
          </w:pPr>
          <w:r w:rsidRPr="0098786D">
            <w:rPr>
              <w:rFonts w:ascii="Palatino Linotype" w:eastAsia="Palatino Linotype" w:hAnsi="Palatino Linotype" w:cs="Palatino Linotype"/>
              <w:b/>
              <w:bCs/>
              <w:sz w:val="24"/>
            </w:rPr>
            <w:t>Recurrente:</w:t>
          </w:r>
        </w:p>
      </w:tc>
      <w:tc>
        <w:tcPr>
          <w:tcW w:w="3683" w:type="dxa"/>
        </w:tcPr>
        <w:p w:rsidR="0098786D" w:rsidRPr="0098786D" w:rsidRDefault="0098786D">
          <w:pPr>
            <w:pBdr>
              <w:top w:val="nil"/>
              <w:left w:val="nil"/>
              <w:bottom w:val="nil"/>
              <w:right w:val="nil"/>
              <w:between w:val="nil"/>
            </w:pBdr>
            <w:tabs>
              <w:tab w:val="center" w:pos="4419"/>
              <w:tab w:val="right" w:pos="8838"/>
              <w:tab w:val="left" w:pos="521"/>
            </w:tabs>
            <w:spacing w:after="0" w:line="240" w:lineRule="auto"/>
            <w:rPr>
              <w:rFonts w:ascii="Palatino Linotype" w:eastAsia="Palatino Linotype" w:hAnsi="Palatino Linotype" w:cs="Palatino Linotype"/>
              <w:bCs/>
              <w:color w:val="000000"/>
              <w:sz w:val="24"/>
            </w:rPr>
          </w:pPr>
        </w:p>
      </w:tc>
    </w:tr>
    <w:tr w:rsidR="0098786D" w:rsidTr="0098786D">
      <w:trPr>
        <w:trHeight w:val="342"/>
      </w:trPr>
      <w:tc>
        <w:tcPr>
          <w:tcW w:w="2977" w:type="dxa"/>
          <w:vAlign w:val="center"/>
        </w:tcPr>
        <w:p w:rsidR="0098786D" w:rsidRPr="0098786D" w:rsidRDefault="0098786D">
          <w:pPr>
            <w:spacing w:after="0" w:line="240" w:lineRule="auto"/>
            <w:jc w:val="right"/>
            <w:rPr>
              <w:rFonts w:ascii="Palatino Linotype" w:eastAsia="Palatino Linotype" w:hAnsi="Palatino Linotype" w:cs="Palatino Linotype"/>
              <w:b/>
              <w:bCs/>
              <w:sz w:val="24"/>
            </w:rPr>
          </w:pPr>
          <w:r w:rsidRPr="0098786D">
            <w:rPr>
              <w:rFonts w:ascii="Palatino Linotype" w:eastAsia="Palatino Linotype" w:hAnsi="Palatino Linotype" w:cs="Palatino Linotype"/>
              <w:b/>
              <w:bCs/>
              <w:sz w:val="24"/>
            </w:rPr>
            <w:t>Sujeto Obligado:</w:t>
          </w:r>
        </w:p>
      </w:tc>
      <w:tc>
        <w:tcPr>
          <w:tcW w:w="3683" w:type="dxa"/>
          <w:vAlign w:val="center"/>
        </w:tcPr>
        <w:p w:rsidR="0098786D" w:rsidRPr="0098786D" w:rsidRDefault="0098786D">
          <w:pPr>
            <w:pBdr>
              <w:top w:val="nil"/>
              <w:left w:val="nil"/>
              <w:bottom w:val="nil"/>
              <w:right w:val="nil"/>
              <w:between w:val="nil"/>
            </w:pBdr>
            <w:tabs>
              <w:tab w:val="center" w:pos="4419"/>
              <w:tab w:val="right" w:pos="8838"/>
            </w:tabs>
            <w:spacing w:after="0" w:line="240" w:lineRule="auto"/>
            <w:jc w:val="both"/>
            <w:rPr>
              <w:rFonts w:ascii="Palatino Linotype" w:eastAsia="Palatino Linotype" w:hAnsi="Palatino Linotype" w:cs="Palatino Linotype"/>
              <w:bCs/>
              <w:color w:val="000000"/>
              <w:sz w:val="24"/>
            </w:rPr>
          </w:pPr>
          <w:r w:rsidRPr="0098786D">
            <w:rPr>
              <w:rFonts w:ascii="Palatino Linotype" w:eastAsia="Palatino Linotype" w:hAnsi="Palatino Linotype" w:cs="Palatino Linotype"/>
              <w:bCs/>
              <w:color w:val="000000"/>
              <w:sz w:val="24"/>
            </w:rPr>
            <w:t>Ayuntamiento de Toluca</w:t>
          </w:r>
        </w:p>
      </w:tc>
    </w:tr>
    <w:tr w:rsidR="0098786D" w:rsidTr="0098786D">
      <w:trPr>
        <w:trHeight w:val="342"/>
      </w:trPr>
      <w:tc>
        <w:tcPr>
          <w:tcW w:w="2977" w:type="dxa"/>
          <w:vAlign w:val="center"/>
        </w:tcPr>
        <w:p w:rsidR="0098786D" w:rsidRPr="0098786D" w:rsidRDefault="0098786D">
          <w:pPr>
            <w:spacing w:after="0" w:line="240" w:lineRule="auto"/>
            <w:jc w:val="right"/>
            <w:rPr>
              <w:rFonts w:ascii="Palatino Linotype" w:eastAsia="Palatino Linotype" w:hAnsi="Palatino Linotype" w:cs="Palatino Linotype"/>
              <w:b/>
              <w:bCs/>
              <w:sz w:val="24"/>
            </w:rPr>
          </w:pPr>
          <w:r w:rsidRPr="0098786D">
            <w:rPr>
              <w:rFonts w:ascii="Palatino Linotype" w:eastAsia="Palatino Linotype" w:hAnsi="Palatino Linotype" w:cs="Palatino Linotype"/>
              <w:b/>
              <w:bCs/>
              <w:sz w:val="24"/>
            </w:rPr>
            <w:t>Comisionada Ponente:</w:t>
          </w:r>
        </w:p>
      </w:tc>
      <w:tc>
        <w:tcPr>
          <w:tcW w:w="3683" w:type="dxa"/>
          <w:vAlign w:val="center"/>
        </w:tcPr>
        <w:p w:rsidR="0098786D" w:rsidRPr="0098786D" w:rsidRDefault="0098786D">
          <w:pPr>
            <w:pBdr>
              <w:top w:val="nil"/>
              <w:left w:val="nil"/>
              <w:bottom w:val="nil"/>
              <w:right w:val="nil"/>
              <w:between w:val="nil"/>
            </w:pBdr>
            <w:tabs>
              <w:tab w:val="center" w:pos="4419"/>
              <w:tab w:val="right" w:pos="8838"/>
            </w:tabs>
            <w:spacing w:after="0" w:line="240" w:lineRule="auto"/>
            <w:rPr>
              <w:rFonts w:ascii="Palatino Linotype" w:eastAsia="Palatino Linotype" w:hAnsi="Palatino Linotype" w:cs="Palatino Linotype"/>
              <w:bCs/>
              <w:color w:val="000000"/>
              <w:sz w:val="24"/>
            </w:rPr>
          </w:pPr>
          <w:r w:rsidRPr="0098786D">
            <w:rPr>
              <w:rFonts w:ascii="Palatino Linotype" w:eastAsia="Palatino Linotype" w:hAnsi="Palatino Linotype" w:cs="Palatino Linotype"/>
              <w:bCs/>
              <w:color w:val="000000"/>
              <w:sz w:val="24"/>
            </w:rPr>
            <w:t>María del Rosario Mejía Ayala</w:t>
          </w:r>
        </w:p>
      </w:tc>
    </w:tr>
  </w:tbl>
  <w:p w:rsidR="0098786D" w:rsidRDefault="0098786D">
    <w:pPr>
      <w:pBdr>
        <w:top w:val="nil"/>
        <w:left w:val="nil"/>
        <w:bottom w:val="nil"/>
        <w:right w:val="nil"/>
        <w:between w:val="nil"/>
      </w:pBdr>
      <w:tabs>
        <w:tab w:val="center" w:pos="4419"/>
        <w:tab w:val="right" w:pos="8838"/>
      </w:tabs>
      <w:spacing w:after="0" w:line="240" w:lineRule="auto"/>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84.55pt;margin-top:-120.65pt;width:609.4pt;height:793.75pt;z-index:-251658752;mso-position-horizontal-relative:margin;mso-position-vertical-relative:margin">
          <v:imagedata r:id="rId1" o:title="image7"/>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61819"/>
    <w:multiLevelType w:val="hybridMultilevel"/>
    <w:tmpl w:val="4EA22764"/>
    <w:lvl w:ilvl="0" w:tplc="8B5E4004">
      <w:start w:val="46"/>
      <w:numFmt w:val="decimal"/>
      <w:lvlText w:val="%1."/>
      <w:lvlJc w:val="left"/>
      <w:pPr>
        <w:ind w:left="720" w:hanging="360"/>
      </w:pPr>
      <w:rPr>
        <w:rFonts w:ascii="Palatino Linotype" w:hAnsi="Palatino Linotype"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DD0A2F"/>
    <w:multiLevelType w:val="multilevel"/>
    <w:tmpl w:val="C4C40B7C"/>
    <w:lvl w:ilvl="0">
      <w:start w:val="1"/>
      <w:numFmt w:val="lowerLetter"/>
      <w:lvlText w:val="%1."/>
      <w:lvlJc w:val="left"/>
      <w:pPr>
        <w:ind w:left="786" w:hanging="360"/>
      </w:pPr>
      <w:rPr>
        <w:b/>
        <w:bCs/>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 w15:restartNumberingAfterBreak="0">
    <w:nsid w:val="0A0171F8"/>
    <w:multiLevelType w:val="multilevel"/>
    <w:tmpl w:val="F9B8C4C4"/>
    <w:lvl w:ilvl="0">
      <w:start w:val="1"/>
      <w:numFmt w:val="bullet"/>
      <w:lvlText w:val="●"/>
      <w:lvlJc w:val="left"/>
      <w:pPr>
        <w:ind w:left="720" w:hanging="360"/>
      </w:pPr>
      <w:rPr>
        <w:rFonts w:ascii="Noto Sans Symbols" w:eastAsia="Noto Sans Symbols" w:hAnsi="Noto Sans Symbols" w:cs="Noto Sans Symbols"/>
        <w:b/>
        <w:bC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C040A7"/>
    <w:multiLevelType w:val="multilevel"/>
    <w:tmpl w:val="09E0184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9C245F"/>
    <w:multiLevelType w:val="multilevel"/>
    <w:tmpl w:val="310E3184"/>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5" w15:restartNumberingAfterBreak="0">
    <w:nsid w:val="1BF236C1"/>
    <w:multiLevelType w:val="multilevel"/>
    <w:tmpl w:val="9A449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EC52D05"/>
    <w:multiLevelType w:val="multilevel"/>
    <w:tmpl w:val="86387208"/>
    <w:lvl w:ilvl="0">
      <w:start w:val="1"/>
      <w:numFmt w:val="decimal"/>
      <w:lvlText w:val="%1."/>
      <w:lvlJc w:val="left"/>
      <w:pPr>
        <w:ind w:left="360"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260190"/>
    <w:multiLevelType w:val="multilevel"/>
    <w:tmpl w:val="5F361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4A10C2"/>
    <w:multiLevelType w:val="multilevel"/>
    <w:tmpl w:val="1A520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700C76"/>
    <w:multiLevelType w:val="multilevel"/>
    <w:tmpl w:val="98D004CA"/>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2F05E1B"/>
    <w:multiLevelType w:val="multilevel"/>
    <w:tmpl w:val="D43A3100"/>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4FF38AE"/>
    <w:multiLevelType w:val="multilevel"/>
    <w:tmpl w:val="66F43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9F500E"/>
    <w:multiLevelType w:val="multilevel"/>
    <w:tmpl w:val="DDEC2E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9CB459B"/>
    <w:multiLevelType w:val="multilevel"/>
    <w:tmpl w:val="0CAC9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
  </w:num>
  <w:num w:numId="3">
    <w:abstractNumId w:val="12"/>
  </w:num>
  <w:num w:numId="4">
    <w:abstractNumId w:val="8"/>
  </w:num>
  <w:num w:numId="5">
    <w:abstractNumId w:val="10"/>
  </w:num>
  <w:num w:numId="6">
    <w:abstractNumId w:val="5"/>
  </w:num>
  <w:num w:numId="7">
    <w:abstractNumId w:val="9"/>
  </w:num>
  <w:num w:numId="8">
    <w:abstractNumId w:val="4"/>
  </w:num>
  <w:num w:numId="9">
    <w:abstractNumId w:val="2"/>
  </w:num>
  <w:num w:numId="10">
    <w:abstractNumId w:val="3"/>
  </w:num>
  <w:num w:numId="11">
    <w:abstractNumId w:val="13"/>
  </w:num>
  <w:num w:numId="12">
    <w:abstractNumId w:val="7"/>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4DC7"/>
    <w:rsid w:val="00233697"/>
    <w:rsid w:val="002B7A84"/>
    <w:rsid w:val="00355C02"/>
    <w:rsid w:val="005C4DC7"/>
    <w:rsid w:val="006024A5"/>
    <w:rsid w:val="00716A38"/>
    <w:rsid w:val="00733E66"/>
    <w:rsid w:val="00880738"/>
    <w:rsid w:val="00936BF5"/>
    <w:rsid w:val="0098786D"/>
    <w:rsid w:val="00A56FF2"/>
    <w:rsid w:val="00AE4639"/>
    <w:rsid w:val="00BC6445"/>
    <w:rsid w:val="00DB69AE"/>
    <w:rsid w:val="00F140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A21E9B6-3EA8-4B26-A791-E359A6D2A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line="240" w:lineRule="auto"/>
      <w:outlineLvl w:val="0"/>
    </w:pPr>
    <w:rPr>
      <w:color w:val="2E75B5"/>
      <w:sz w:val="32"/>
      <w:szCs w:val="32"/>
    </w:rPr>
  </w:style>
  <w:style w:type="paragraph" w:styleId="Ttulo2">
    <w:name w:val="heading 2"/>
    <w:basedOn w:val="Normal"/>
    <w:next w:val="Normal"/>
    <w:pPr>
      <w:keepNext/>
      <w:keepLines/>
      <w:spacing w:before="40" w:after="0" w:line="240" w:lineRule="auto"/>
      <w:outlineLvl w:val="1"/>
    </w:pPr>
    <w:rPr>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uiPriority w:val="9"/>
    <w:rsid w:val="00944688"/>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944688"/>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944688"/>
    <w:pPr>
      <w:tabs>
        <w:tab w:val="center" w:pos="4419"/>
        <w:tab w:val="right" w:pos="8838"/>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944688"/>
    <w:rPr>
      <w:rFonts w:eastAsiaTheme="minorEastAsia"/>
      <w:sz w:val="24"/>
      <w:szCs w:val="24"/>
      <w:lang w:val="es-ES_tradnl" w:eastAsia="es-ES"/>
    </w:rPr>
  </w:style>
  <w:style w:type="paragraph" w:styleId="Piedepgina">
    <w:name w:val="footer"/>
    <w:basedOn w:val="Normal"/>
    <w:link w:val="PiedepginaCar"/>
    <w:uiPriority w:val="99"/>
    <w:unhideWhenUsed/>
    <w:rsid w:val="00944688"/>
    <w:pPr>
      <w:tabs>
        <w:tab w:val="center" w:pos="4419"/>
        <w:tab w:val="right" w:pos="8838"/>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94468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4688"/>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4688"/>
    <w:rPr>
      <w:rFonts w:eastAsiaTheme="minorEastAsia"/>
      <w:sz w:val="24"/>
      <w:szCs w:val="24"/>
      <w:lang w:val="es-ES_tradnl"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944688"/>
    <w:rPr>
      <w:color w:val="0563C1" w:themeColor="hyperlink"/>
      <w:u w:val="single"/>
    </w:rPr>
  </w:style>
  <w:style w:type="paragraph" w:styleId="Sinespaciado">
    <w:name w:val="No Spacing"/>
    <w:aliases w:val="Francesa,INAI"/>
    <w:link w:val="SinespaciadoCar"/>
    <w:uiPriority w:val="1"/>
    <w:qFormat/>
    <w:rsid w:val="00944688"/>
    <w:pPr>
      <w:spacing w:after="0" w:line="240" w:lineRule="auto"/>
    </w:pPr>
  </w:style>
  <w:style w:type="character" w:customStyle="1" w:styleId="SinespaciadoCar">
    <w:name w:val="Sin espaciado Car"/>
    <w:aliases w:val="Francesa Car,INAI Car"/>
    <w:link w:val="Sinespaciado"/>
    <w:uiPriority w:val="1"/>
    <w:qFormat/>
    <w:locked/>
    <w:rsid w:val="00944688"/>
  </w:style>
  <w:style w:type="paragraph" w:styleId="Listaconvietas2">
    <w:name w:val="List Bullet 2"/>
    <w:basedOn w:val="Normal"/>
    <w:uiPriority w:val="99"/>
    <w:unhideWhenUsed/>
    <w:qFormat/>
    <w:rsid w:val="00944688"/>
    <w:pPr>
      <w:numPr>
        <w:numId w:val="5"/>
      </w:numPr>
      <w:spacing w:after="0" w:line="240" w:lineRule="auto"/>
      <w:contextualSpacing/>
    </w:pPr>
    <w:rPr>
      <w:rFonts w:ascii="Times New Roman" w:eastAsia="Times New Roman" w:hAnsi="Times New Roman" w:cs="Times New Roman"/>
      <w:sz w:val="20"/>
      <w:szCs w:val="20"/>
    </w:rPr>
  </w:style>
  <w:style w:type="table" w:styleId="Tablaconcuadrcula">
    <w:name w:val="Table Grid"/>
    <w:basedOn w:val="Tablanormal"/>
    <w:uiPriority w:val="39"/>
    <w:rsid w:val="00174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0750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07506"/>
    <w:pPr>
      <w:spacing w:after="0" w:line="240" w:lineRule="auto"/>
    </w:pPr>
    <w:rPr>
      <w:sz w:val="20"/>
      <w:szCs w:val="20"/>
    </w:rPr>
  </w:style>
  <w:style w:type="character" w:customStyle="1" w:styleId="TextonotapieCar1">
    <w:name w:val="Texto nota pie Car1"/>
    <w:basedOn w:val="Fuentedeprrafopredeter"/>
    <w:uiPriority w:val="99"/>
    <w:semiHidden/>
    <w:rsid w:val="00307506"/>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307506"/>
    <w:rPr>
      <w:vertAlign w:val="superscript"/>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gob.mx/cedulaprofesional" TargetMode="External"/><Relationship Id="rId17" Type="http://schemas.openxmlformats.org/officeDocument/2006/relationships/hyperlink" Target="https://www.diputados.gob.mx/LeyesBiblio/pdf/LGDNNA.pdf"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putados.gob.mx/documentos/N_Acta_Nacimiento.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issemym.gob.mx/sites/www.issemym.gob.mx/files/32%20Lineamientos%20Plataforma%20PRISM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viuVvQLLW8jNa9LC99JAlrwGg==">CgMxLjAyDmguZmQxa21sd3I4eTFtMg5oLjQ5aHM2Yzh6OG04ODIOaC4zNzRoMHdlbmY2eW8yDmgudWtjaWU4ejJseWtkMg5oLmUyczFiNnNucWJmdjIOaC41bmpqaDl3MWg2NWoyDmguanN5bmhwZGFrZjB1MghoLnR5amN3dDIJaC4yczhleW8xMgloLjE3ZHA4dnU4AHIhMUEtaGpidVBOTERmYTFtMzlVMW9acXAzbjgxbDN0YXBM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76</Pages>
  <Words>17889</Words>
  <Characters>98395</Characters>
  <Application>Microsoft Office Word</Application>
  <DocSecurity>0</DocSecurity>
  <Lines>819</Lines>
  <Paragraphs>232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8</cp:revision>
  <dcterms:created xsi:type="dcterms:W3CDTF">2026-01-19T18:01:00Z</dcterms:created>
  <dcterms:modified xsi:type="dcterms:W3CDTF">2026-02-03T23:40:00Z</dcterms:modified>
</cp:coreProperties>
</file>