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E70" w:rsidRPr="00CF1480" w:rsidRDefault="00A11E70" w:rsidP="00A11E70">
      <w:pPr>
        <w:tabs>
          <w:tab w:val="left" w:pos="3465"/>
        </w:tabs>
        <w:spacing w:before="240" w:after="360" w:line="360" w:lineRule="auto"/>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00CF1480">
        <w:rPr>
          <w:rFonts w:ascii="Palatino Linotype" w:eastAsia="Palatino Linotype" w:hAnsi="Palatino Linotype" w:cs="Palatino Linotype"/>
        </w:rPr>
        <w:t xml:space="preserve"> </w:t>
      </w:r>
      <w:r w:rsidR="00CF1480" w:rsidRPr="00CF1480">
        <w:rPr>
          <w:rFonts w:ascii="Palatino Linotype" w:eastAsia="Palatino Linotype" w:hAnsi="Palatino Linotype" w:cs="Palatino Linotype"/>
          <w:b/>
        </w:rPr>
        <w:t>fecha</w:t>
      </w:r>
      <w:r w:rsidRPr="00CF1480">
        <w:rPr>
          <w:rFonts w:ascii="Palatino Linotype" w:eastAsia="Palatino Linotype" w:hAnsi="Palatino Linotype" w:cs="Palatino Linotype"/>
          <w:b/>
        </w:rPr>
        <w:t xml:space="preserve"> veintisiete </w:t>
      </w:r>
      <w:r w:rsidR="00CF1480" w:rsidRPr="00CF1480">
        <w:rPr>
          <w:rFonts w:ascii="Palatino Linotype" w:eastAsia="Palatino Linotype" w:hAnsi="Palatino Linotype" w:cs="Palatino Linotype"/>
          <w:b/>
        </w:rPr>
        <w:t xml:space="preserve">(27) </w:t>
      </w:r>
      <w:r w:rsidRPr="00CF1480">
        <w:rPr>
          <w:rFonts w:ascii="Palatino Linotype" w:eastAsia="Palatino Linotype" w:hAnsi="Palatino Linotype" w:cs="Palatino Linotype"/>
          <w:b/>
        </w:rPr>
        <w:t>de mayo de dos mil veintiséis</w:t>
      </w:r>
      <w:r w:rsidRPr="00CF1480">
        <w:rPr>
          <w:rFonts w:ascii="Palatino Linotype" w:eastAsia="Palatino Linotype" w:hAnsi="Palatino Linotype" w:cs="Palatino Linotype"/>
          <w:b/>
          <w:color w:val="000000"/>
        </w:rPr>
        <w:t xml:space="preserve">. </w:t>
      </w:r>
    </w:p>
    <w:p w:rsidR="00A11E70" w:rsidRPr="00CF1480" w:rsidRDefault="00A11E70" w:rsidP="00A11E70">
      <w:pPr>
        <w:tabs>
          <w:tab w:val="left" w:pos="3465"/>
        </w:tabs>
        <w:spacing w:before="240" w:after="360" w:line="360" w:lineRule="auto"/>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b/>
          <w:color w:val="000000"/>
        </w:rPr>
        <w:t xml:space="preserve">VISTO </w:t>
      </w:r>
      <w:r w:rsidRPr="00CF1480">
        <w:rPr>
          <w:rFonts w:ascii="Palatino Linotype" w:eastAsia="Palatino Linotype" w:hAnsi="Palatino Linotype" w:cs="Palatino Linotype"/>
          <w:color w:val="000000"/>
        </w:rPr>
        <w:t xml:space="preserve">el expediente electrónico formado con motivo del recurso de revisión </w:t>
      </w:r>
      <w:r w:rsidR="00933A98" w:rsidRPr="00CF1480">
        <w:rPr>
          <w:rFonts w:ascii="Palatino Linotype" w:eastAsia="Palatino Linotype" w:hAnsi="Palatino Linotype" w:cs="Palatino Linotype"/>
          <w:b/>
          <w:color w:val="000000"/>
        </w:rPr>
        <w:t>10118/</w:t>
      </w:r>
      <w:r w:rsidRPr="00CF1480">
        <w:rPr>
          <w:rFonts w:ascii="Palatino Linotype" w:eastAsia="Palatino Linotype" w:hAnsi="Palatino Linotype" w:cs="Palatino Linotype"/>
          <w:b/>
          <w:color w:val="000000"/>
        </w:rPr>
        <w:t>INFOEM/IP/RR/2025</w:t>
      </w:r>
      <w:r w:rsidRPr="00CF1480">
        <w:rPr>
          <w:rFonts w:ascii="Palatino Linotype" w:eastAsia="Palatino Linotype" w:hAnsi="Palatino Linotype" w:cs="Palatino Linotype"/>
          <w:color w:val="000000"/>
        </w:rPr>
        <w:t xml:space="preserve">, promovido por </w:t>
      </w:r>
      <w:r w:rsidR="00933A98" w:rsidRPr="00CF1480">
        <w:rPr>
          <w:rFonts w:ascii="Palatino Linotype" w:eastAsia="Palatino Linotype" w:hAnsi="Palatino Linotype" w:cs="Palatino Linotype"/>
          <w:b/>
          <w:bCs/>
          <w:color w:val="000000"/>
        </w:rPr>
        <w:t>un usuario que no proporcionó nombre</w:t>
      </w:r>
      <w:r w:rsidRPr="00CF1480">
        <w:rPr>
          <w:rFonts w:ascii="Palatino Linotype" w:eastAsia="Palatino Linotype" w:hAnsi="Palatino Linotype" w:cs="Palatino Linotype"/>
          <w:color w:val="000000"/>
        </w:rPr>
        <w:t>,</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en lo sucesivo será identificado en su calidad de </w:t>
      </w:r>
      <w:r w:rsidRPr="00CF1480">
        <w:rPr>
          <w:rFonts w:ascii="Palatino Linotype" w:eastAsia="Palatino Linotype" w:hAnsi="Palatino Linotype" w:cs="Palatino Linotype"/>
          <w:b/>
          <w:color w:val="000000"/>
        </w:rPr>
        <w:t>RECURRENTE</w:t>
      </w:r>
      <w:r w:rsidRPr="00CF1480">
        <w:rPr>
          <w:rFonts w:ascii="Palatino Linotype" w:eastAsia="Palatino Linotype" w:hAnsi="Palatino Linotype" w:cs="Palatino Linotype"/>
          <w:color w:val="000000"/>
        </w:rPr>
        <w:t>,</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en contra de las respuestas del </w:t>
      </w:r>
      <w:r w:rsidR="00933A98" w:rsidRPr="00CF1480">
        <w:rPr>
          <w:rFonts w:ascii="Palatino Linotype" w:eastAsia="Palatino Linotype" w:hAnsi="Palatino Linotype" w:cs="Palatino Linotype"/>
          <w:b/>
          <w:bCs/>
          <w:color w:val="000000"/>
        </w:rPr>
        <w:t>Ayuntamiento de Metepec</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en </w:t>
      </w:r>
      <w:r w:rsidRPr="00CF1480">
        <w:rPr>
          <w:rFonts w:ascii="Palatino Linotype" w:eastAsia="Palatino Linotype" w:hAnsi="Palatino Linotype" w:cs="Palatino Linotype"/>
        </w:rPr>
        <w:t>adelante</w:t>
      </w:r>
      <w:r w:rsidRPr="00CF1480">
        <w:rPr>
          <w:rFonts w:ascii="Palatino Linotype" w:eastAsia="Palatino Linotype" w:hAnsi="Palatino Linotype" w:cs="Palatino Linotype"/>
          <w:color w:val="000000"/>
        </w:rPr>
        <w:t xml:space="preserve"> el</w:t>
      </w:r>
      <w:r w:rsidRPr="00CF1480">
        <w:rPr>
          <w:rFonts w:ascii="Palatino Linotype" w:eastAsia="Palatino Linotype" w:hAnsi="Palatino Linotype" w:cs="Palatino Linotype"/>
          <w:b/>
          <w:color w:val="000000"/>
        </w:rPr>
        <w:t xml:space="preserve"> SUJETO OBLIGADO, </w:t>
      </w:r>
      <w:r w:rsidRPr="00CF1480">
        <w:rPr>
          <w:rFonts w:ascii="Palatino Linotype" w:eastAsia="Palatino Linotype" w:hAnsi="Palatino Linotype" w:cs="Palatino Linotype"/>
          <w:color w:val="000000"/>
        </w:rPr>
        <w:t xml:space="preserve">se procede a dictar la presente resolución, con base en los siguientes: </w:t>
      </w:r>
    </w:p>
    <w:p w:rsidR="00A11E70" w:rsidRPr="00CF1480" w:rsidRDefault="00A11E70" w:rsidP="00A11E70">
      <w:pPr>
        <w:pStyle w:val="Ttulo1"/>
        <w:spacing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CF1480">
        <w:rPr>
          <w:rFonts w:ascii="Palatino Linotype" w:eastAsia="Palatino Linotype" w:hAnsi="Palatino Linotype" w:cs="Palatino Linotype"/>
          <w:b/>
          <w:color w:val="000000"/>
          <w:sz w:val="24"/>
          <w:szCs w:val="24"/>
        </w:rPr>
        <w:t>A N T E C E D E N T E S</w:t>
      </w:r>
    </w:p>
    <w:p w:rsidR="00A11E70" w:rsidRPr="00CF1480" w:rsidRDefault="00A11E70" w:rsidP="00A11E70">
      <w:pPr>
        <w:numPr>
          <w:ilvl w:val="0"/>
          <w:numId w:val="2"/>
        </w:numPr>
        <w:pBdr>
          <w:top w:val="nil"/>
          <w:left w:val="nil"/>
          <w:bottom w:val="nil"/>
          <w:right w:val="nil"/>
          <w:between w:val="nil"/>
        </w:pBdr>
        <w:tabs>
          <w:tab w:val="left" w:pos="567"/>
        </w:tabs>
        <w:spacing w:before="240" w:line="360" w:lineRule="auto"/>
        <w:ind w:left="0" w:firstLine="0"/>
        <w:jc w:val="both"/>
        <w:rPr>
          <w:color w:val="000000"/>
        </w:rPr>
      </w:pPr>
      <w:r w:rsidRPr="00CF1480">
        <w:rPr>
          <w:rFonts w:ascii="Palatino Linotype" w:eastAsia="Palatino Linotype" w:hAnsi="Palatino Linotype" w:cs="Palatino Linotype"/>
          <w:color w:val="000000"/>
        </w:rPr>
        <w:t xml:space="preserve">El </w:t>
      </w:r>
      <w:r w:rsidR="00933A98" w:rsidRPr="00CF1480">
        <w:rPr>
          <w:rFonts w:ascii="Palatino Linotype" w:eastAsia="Palatino Linotype" w:hAnsi="Palatino Linotype" w:cs="Palatino Linotype"/>
          <w:b/>
          <w:color w:val="000000"/>
        </w:rPr>
        <w:t>primero de julio</w:t>
      </w:r>
      <w:r w:rsidRPr="00CF1480">
        <w:rPr>
          <w:rFonts w:ascii="Palatino Linotype" w:eastAsia="Palatino Linotype" w:hAnsi="Palatino Linotype" w:cs="Palatino Linotype"/>
          <w:b/>
          <w:color w:val="000000"/>
        </w:rPr>
        <w:t xml:space="preserve"> de dos mil veinticinco</w:t>
      </w:r>
      <w:r w:rsidRPr="00CF1480">
        <w:rPr>
          <w:rFonts w:ascii="Palatino Linotype" w:eastAsia="Palatino Linotype" w:hAnsi="Palatino Linotype" w:cs="Palatino Linotype"/>
          <w:color w:val="000000"/>
        </w:rPr>
        <w:t>, el particular presentó</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a través del Sistema de Acceso a la Información Mexiquense </w:t>
      </w:r>
      <w:r w:rsidRPr="00CF1480">
        <w:rPr>
          <w:rFonts w:ascii="Palatino Linotype" w:eastAsia="Palatino Linotype" w:hAnsi="Palatino Linotype" w:cs="Palatino Linotype"/>
          <w:b/>
          <w:color w:val="000000"/>
        </w:rPr>
        <w:t xml:space="preserve">(SAIMEX), </w:t>
      </w:r>
      <w:r w:rsidRPr="00CF1480">
        <w:rPr>
          <w:rFonts w:ascii="Palatino Linotype" w:eastAsia="Palatino Linotype" w:hAnsi="Palatino Linotype" w:cs="Palatino Linotype"/>
          <w:color w:val="000000"/>
        </w:rPr>
        <w:t xml:space="preserve">la solicitud de información pública registrada con el número </w:t>
      </w:r>
      <w:r w:rsidR="00933A98" w:rsidRPr="00CF1480">
        <w:rPr>
          <w:rFonts w:ascii="Palatino Linotype" w:eastAsia="Palatino Linotype" w:hAnsi="Palatino Linotype" w:cs="Palatino Linotype"/>
          <w:b/>
          <w:bCs/>
          <w:color w:val="000000"/>
        </w:rPr>
        <w:t>00266/METEPEC/IP/2025</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rPr>
        <w:t>en la que se</w:t>
      </w:r>
      <w:r w:rsidRPr="00CF1480">
        <w:rPr>
          <w:rFonts w:ascii="Palatino Linotype" w:eastAsia="Palatino Linotype" w:hAnsi="Palatino Linotype" w:cs="Palatino Linotype"/>
          <w:color w:val="000000"/>
        </w:rPr>
        <w:t xml:space="preserve"> requirió:</w:t>
      </w:r>
    </w:p>
    <w:p w:rsidR="00A11E70" w:rsidRPr="00CF1480" w:rsidRDefault="00A11E70" w:rsidP="00A11E70">
      <w:pPr>
        <w:pBdr>
          <w:top w:val="nil"/>
          <w:left w:val="nil"/>
          <w:bottom w:val="nil"/>
          <w:right w:val="nil"/>
          <w:between w:val="nil"/>
        </w:pBdr>
        <w:tabs>
          <w:tab w:val="left" w:pos="426"/>
        </w:tabs>
        <w:spacing w:after="240" w:line="360" w:lineRule="auto"/>
        <w:jc w:val="both"/>
        <w:rPr>
          <w:rFonts w:ascii="Palatino Linotype" w:eastAsia="Palatino Linotype" w:hAnsi="Palatino Linotype" w:cs="Palatino Linotype"/>
          <w:color w:val="000000"/>
        </w:rPr>
      </w:pPr>
    </w:p>
    <w:p w:rsidR="00A11E70" w:rsidRPr="00CF1480" w:rsidRDefault="00A11E70" w:rsidP="00A11E70">
      <w:pPr>
        <w:tabs>
          <w:tab w:val="left" w:pos="851"/>
          <w:tab w:val="left" w:pos="7938"/>
        </w:tabs>
        <w:spacing w:before="240" w:after="240" w:line="360" w:lineRule="auto"/>
        <w:ind w:left="851" w:right="850"/>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color w:val="000000"/>
        </w:rPr>
        <w:t xml:space="preserve"> “</w:t>
      </w:r>
      <w:r w:rsidR="00933A98" w:rsidRPr="00CF1480">
        <w:rPr>
          <w:rFonts w:ascii="Palatino Linotype" w:eastAsia="Palatino Linotype" w:hAnsi="Palatino Linotype" w:cs="Palatino Linotype"/>
          <w:i/>
          <w:color w:val="000000"/>
        </w:rPr>
        <w:t xml:space="preserve">El inventario general de bienes inmuebles propiedad municipal elaborado e integrado; 2. El Registro Administrativo de la Propiedad Pública Municipal, con las respectivas referencias de títulos y documentos, decretos, adjudicaciones, decomisos, concesiones, resoluciones y sentencias, convenios administrativos y acuerdos, y demás referencias realizadas; 3. Los expedientes técnicos generados respecto a los actos o movimientos de adquisición, altas y bajas de los bienes inmuebles municipales; 4. La información contenida en el Sistema de Control Patrimonial CREG- patrimonial, respecto a los bienes inmuebles municipales; 5. La información </w:t>
      </w:r>
      <w:r w:rsidR="00933A98" w:rsidRPr="00CF1480">
        <w:rPr>
          <w:rFonts w:ascii="Palatino Linotype" w:eastAsia="Palatino Linotype" w:hAnsi="Palatino Linotype" w:cs="Palatino Linotype"/>
          <w:i/>
          <w:color w:val="000000"/>
        </w:rPr>
        <w:lastRenderedPageBreak/>
        <w:t>contenida en el Sistema de Información Inmobiliaria, con los bienes del dominio público y privado de los inmuebles municipales; 6. Los criterios adoptados para llevar a cabo los procedimientos conducentes a la recuperación y baja de los bienes inmuebles propiedad municipal; Página 2 de 4 7. La validación realizada a los resultados finales de los trabajos relacionados con los levantamientos físicos de bienes inmuebles municipales; 8. Las medidas adoptadas tendientes al cumplimiento de los acuerdos celebrados por el Comité de Bienes Muebles e Inmuebles, en los relacionado con los inmuebles municipales; 9. Las bajas o altas en los Inventarios Generales de Bienes Inmuebles; 10. Los informes trimestrales realizados al Ayuntamiento u autoridades competentes, respecto a los bienes inmuebles municipales; 11. Los Lineamientos que sirvieron de Bases Generales para la realización de los levantamientos físicos de los bienes inmuebles; 12. De los registros integrados al Libro Especial, con los respectivos movimientos realizados; La información solicitada deberá ser de la generada del periodo que comprende del primero (1º) de enero de 2022 al treinta y uno (31) de diciembre de 2024, o en su caso, aquella que se encuentre vi</w:t>
      </w:r>
      <w:r w:rsidRPr="00CF1480">
        <w:rPr>
          <w:rFonts w:ascii="Palatino Linotype" w:eastAsia="Palatino Linotype" w:hAnsi="Palatino Linotype" w:cs="Palatino Linotype"/>
          <w:color w:val="000000"/>
        </w:rPr>
        <w:t>” (Sic)</w:t>
      </w:r>
    </w:p>
    <w:p w:rsidR="00933A98" w:rsidRPr="00CF1480" w:rsidRDefault="00A11E70" w:rsidP="00933A98">
      <w:pPr>
        <w:numPr>
          <w:ilvl w:val="0"/>
          <w:numId w:val="2"/>
        </w:numPr>
        <w:pBdr>
          <w:top w:val="nil"/>
          <w:left w:val="nil"/>
          <w:bottom w:val="nil"/>
          <w:right w:val="nil"/>
          <w:between w:val="nil"/>
        </w:pBdr>
        <w:tabs>
          <w:tab w:val="left" w:pos="567"/>
        </w:tabs>
        <w:spacing w:before="280" w:line="360" w:lineRule="auto"/>
        <w:ind w:left="0" w:firstLine="0"/>
        <w:jc w:val="both"/>
        <w:rPr>
          <w:color w:val="000000"/>
        </w:rPr>
      </w:pPr>
      <w:r w:rsidRPr="00CF1480">
        <w:rPr>
          <w:rFonts w:ascii="Palatino Linotype" w:eastAsia="Palatino Linotype" w:hAnsi="Palatino Linotype" w:cs="Palatino Linotype"/>
          <w:color w:val="000000"/>
        </w:rPr>
        <w:t>Se hace constar que se señaló como modalidad de entrega de la información</w:t>
      </w:r>
      <w:r w:rsidRPr="00CF1480">
        <w:rPr>
          <w:rFonts w:ascii="Palatino Linotype" w:eastAsia="Palatino Linotype" w:hAnsi="Palatino Linotype" w:cs="Palatino Linotype"/>
          <w:b/>
          <w:color w:val="000000"/>
        </w:rPr>
        <w:t>:</w:t>
      </w:r>
      <w:r w:rsidRPr="00CF1480">
        <w:rPr>
          <w:rFonts w:ascii="Palatino Linotype" w:eastAsia="Palatino Linotype" w:hAnsi="Palatino Linotype" w:cs="Palatino Linotype"/>
          <w:color w:val="000000"/>
        </w:rPr>
        <w:t xml:space="preserve"> </w:t>
      </w:r>
      <w:r w:rsidRPr="00CF1480">
        <w:rPr>
          <w:rFonts w:ascii="Palatino Linotype" w:eastAsia="Palatino Linotype" w:hAnsi="Palatino Linotype" w:cs="Palatino Linotype"/>
          <w:b/>
          <w:color w:val="000000"/>
        </w:rPr>
        <w:t>A través del SAIMEX.</w:t>
      </w:r>
    </w:p>
    <w:p w:rsidR="00933A98" w:rsidRPr="00CF1480" w:rsidRDefault="00933A98" w:rsidP="00933A98">
      <w:pPr>
        <w:pBdr>
          <w:top w:val="nil"/>
          <w:left w:val="nil"/>
          <w:bottom w:val="nil"/>
          <w:right w:val="nil"/>
          <w:between w:val="nil"/>
        </w:pBdr>
        <w:tabs>
          <w:tab w:val="left" w:pos="567"/>
        </w:tabs>
        <w:spacing w:before="280" w:line="360" w:lineRule="auto"/>
        <w:jc w:val="both"/>
        <w:rPr>
          <w:color w:val="000000"/>
        </w:rPr>
      </w:pPr>
    </w:p>
    <w:p w:rsidR="00A11E70" w:rsidRPr="00CF1480" w:rsidRDefault="00A11E70" w:rsidP="00A11E70">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El </w:t>
      </w:r>
      <w:r w:rsidR="00933A98" w:rsidRPr="00CF1480">
        <w:rPr>
          <w:rFonts w:ascii="Palatino Linotype" w:eastAsia="Palatino Linotype" w:hAnsi="Palatino Linotype" w:cs="Palatino Linotype"/>
          <w:b/>
          <w:color w:val="000000"/>
        </w:rPr>
        <w:t>siete de julio</w:t>
      </w:r>
      <w:r w:rsidRPr="00CF1480">
        <w:rPr>
          <w:rFonts w:ascii="Palatino Linotype" w:eastAsia="Palatino Linotype" w:hAnsi="Palatino Linotype" w:cs="Palatino Linotype"/>
          <w:b/>
          <w:color w:val="000000"/>
        </w:rPr>
        <w:t xml:space="preserve"> de dos mil veinticinco</w:t>
      </w:r>
      <w:r w:rsidRPr="00CF1480">
        <w:rPr>
          <w:rFonts w:ascii="Palatino Linotype" w:eastAsia="Palatino Linotype" w:hAnsi="Palatino Linotype" w:cs="Palatino Linotype"/>
          <w:color w:val="000000"/>
        </w:rPr>
        <w:t>, se realizó un requerimiento de información al servidor público habilitado.</w:t>
      </w:r>
    </w:p>
    <w:p w:rsidR="00933A98" w:rsidRPr="00CF1480" w:rsidRDefault="00933A98" w:rsidP="00933A98">
      <w:pPr>
        <w:pStyle w:val="Prrafodelista"/>
        <w:rPr>
          <w:color w:val="000000"/>
          <w:sz w:val="24"/>
          <w:szCs w:val="24"/>
        </w:rPr>
      </w:pPr>
    </w:p>
    <w:p w:rsidR="00933A98" w:rsidRPr="00CF1480" w:rsidRDefault="00933A98" w:rsidP="00A11E70">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color w:val="000000"/>
        </w:rPr>
      </w:pPr>
      <w:r w:rsidRPr="00CF1480">
        <w:rPr>
          <w:rFonts w:ascii="Palatino Linotype" w:hAnsi="Palatino Linotype"/>
          <w:color w:val="000000"/>
        </w:rPr>
        <w:t xml:space="preserve">El </w:t>
      </w:r>
      <w:r w:rsidRPr="00CF1480">
        <w:rPr>
          <w:rFonts w:ascii="Palatino Linotype" w:hAnsi="Palatino Linotype"/>
          <w:b/>
          <w:color w:val="000000"/>
        </w:rPr>
        <w:t>cinco de agosto de dos mil veinticinco</w:t>
      </w:r>
      <w:r w:rsidRPr="00CF1480">
        <w:rPr>
          <w:rFonts w:ascii="Palatino Linotype" w:hAnsi="Palatino Linotype"/>
          <w:color w:val="000000"/>
        </w:rPr>
        <w:t>, el Sujeto Obligado emitió una prórroga para emitir respuesta en el siguiente sentido:</w:t>
      </w:r>
    </w:p>
    <w:p w:rsidR="00933A98" w:rsidRPr="00CF1480" w:rsidRDefault="00933A98" w:rsidP="00933A98">
      <w:pPr>
        <w:pStyle w:val="Prrafodelista"/>
        <w:rPr>
          <w:rFonts w:ascii="Palatino Linotype" w:hAnsi="Palatino Linotype"/>
          <w:color w:val="000000"/>
          <w:sz w:val="24"/>
          <w:szCs w:val="24"/>
        </w:rPr>
      </w:pPr>
    </w:p>
    <w:tbl>
      <w:tblPr>
        <w:tblW w:w="7875" w:type="dxa"/>
        <w:jc w:val="center"/>
        <w:tblCellSpacing w:w="0" w:type="dxa"/>
        <w:tblCellMar>
          <w:left w:w="0" w:type="dxa"/>
          <w:right w:w="0" w:type="dxa"/>
        </w:tblCellMar>
        <w:tblLook w:val="04A0" w:firstRow="1" w:lastRow="0" w:firstColumn="1" w:lastColumn="0" w:noHBand="0" w:noVBand="1"/>
      </w:tblPr>
      <w:tblGrid>
        <w:gridCol w:w="7875"/>
      </w:tblGrid>
      <w:tr w:rsidR="00933A98" w:rsidRPr="00CF1480" w:rsidTr="00933A98">
        <w:trPr>
          <w:trHeight w:val="677"/>
          <w:tblCellSpacing w:w="0" w:type="dxa"/>
          <w:jc w:val="center"/>
        </w:trPr>
        <w:tc>
          <w:tcPr>
            <w:tcW w:w="0" w:type="auto"/>
            <w:vAlign w:val="center"/>
            <w:hideMark/>
          </w:tcPr>
          <w:p w:rsidR="00933A98" w:rsidRPr="00CF1480" w:rsidRDefault="00933A98" w:rsidP="00933A98">
            <w:pPr>
              <w:jc w:val="right"/>
              <w:rPr>
                <w:rFonts w:ascii="Palatino Linotype" w:hAnsi="Palatino Linotype"/>
                <w:i/>
                <w:lang w:val="es-MX" w:eastAsia="es-MX"/>
              </w:rPr>
            </w:pPr>
            <w:r w:rsidRPr="00CF1480">
              <w:rPr>
                <w:rFonts w:ascii="Palatino Linotype" w:hAnsi="Palatino Linotype"/>
                <w:i/>
                <w:lang w:val="es-MX" w:eastAsia="es-MX"/>
              </w:rPr>
              <w:t>“Metepec, México a 05 de Agosto de 2025</w:t>
            </w:r>
          </w:p>
        </w:tc>
      </w:tr>
      <w:tr w:rsidR="00933A98" w:rsidRPr="00CF1480" w:rsidTr="00933A98">
        <w:trPr>
          <w:trHeight w:val="677"/>
          <w:tblCellSpacing w:w="0" w:type="dxa"/>
          <w:jc w:val="center"/>
        </w:trPr>
        <w:tc>
          <w:tcPr>
            <w:tcW w:w="0" w:type="auto"/>
            <w:vAlign w:val="center"/>
            <w:hideMark/>
          </w:tcPr>
          <w:p w:rsidR="00933A98" w:rsidRPr="00CF1480" w:rsidRDefault="00933A98" w:rsidP="00933A98">
            <w:pPr>
              <w:jc w:val="right"/>
              <w:rPr>
                <w:rFonts w:ascii="Palatino Linotype" w:hAnsi="Palatino Linotype"/>
                <w:i/>
                <w:lang w:val="es-MX" w:eastAsia="es-MX"/>
              </w:rPr>
            </w:pPr>
            <w:r w:rsidRPr="00CF1480">
              <w:rPr>
                <w:rFonts w:ascii="Palatino Linotype" w:hAnsi="Palatino Linotype"/>
                <w:i/>
                <w:lang w:val="es-MX" w:eastAsia="es-MX"/>
              </w:rPr>
              <w:t>Nombre del solicitante: C. Solicitante</w:t>
            </w:r>
          </w:p>
        </w:tc>
      </w:tr>
      <w:tr w:rsidR="00933A98" w:rsidRPr="00CF1480" w:rsidTr="00933A98">
        <w:trPr>
          <w:trHeight w:val="677"/>
          <w:tblCellSpacing w:w="0" w:type="dxa"/>
          <w:jc w:val="center"/>
        </w:trPr>
        <w:tc>
          <w:tcPr>
            <w:tcW w:w="0" w:type="auto"/>
            <w:vAlign w:val="center"/>
            <w:hideMark/>
          </w:tcPr>
          <w:p w:rsidR="00933A98" w:rsidRPr="00CF1480" w:rsidRDefault="00933A98" w:rsidP="00933A98">
            <w:pPr>
              <w:jc w:val="right"/>
              <w:rPr>
                <w:rFonts w:ascii="Palatino Linotype" w:hAnsi="Palatino Linotype"/>
                <w:i/>
                <w:lang w:val="es-MX" w:eastAsia="es-MX"/>
              </w:rPr>
            </w:pPr>
            <w:r w:rsidRPr="00CF1480">
              <w:rPr>
                <w:rFonts w:ascii="Palatino Linotype" w:hAnsi="Palatino Linotype"/>
                <w:i/>
                <w:lang w:val="es-MX" w:eastAsia="es-MX"/>
              </w:rPr>
              <w:t>Folio de la solicitud: 00266/METEPEC/IP/2025</w:t>
            </w:r>
          </w:p>
        </w:tc>
      </w:tr>
      <w:tr w:rsidR="00933A98" w:rsidRPr="00CF1480" w:rsidTr="00933A98">
        <w:trPr>
          <w:trHeight w:val="338"/>
          <w:tblCellSpacing w:w="0" w:type="dxa"/>
          <w:jc w:val="center"/>
        </w:trPr>
        <w:tc>
          <w:tcPr>
            <w:tcW w:w="0" w:type="auto"/>
            <w:vAlign w:val="center"/>
            <w:hideMark/>
          </w:tcPr>
          <w:p w:rsidR="00933A98" w:rsidRPr="00CF1480" w:rsidRDefault="00933A98" w:rsidP="00933A98">
            <w:pPr>
              <w:jc w:val="both"/>
              <w:rPr>
                <w:rFonts w:ascii="Palatino Linotype" w:hAnsi="Palatino Linotype"/>
                <w:i/>
                <w:lang w:val="es-MX" w:eastAsia="es-MX"/>
              </w:rPr>
            </w:pPr>
            <w:r w:rsidRPr="00CF1480">
              <w:rPr>
                <w:rFonts w:ascii="Palatino Linotype" w:hAnsi="Palatino Linotype"/>
                <w:i/>
                <w:lang w:val="es-MX"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tc>
      </w:tr>
      <w:tr w:rsidR="00933A98" w:rsidRPr="00CF1480" w:rsidTr="00933A98">
        <w:trPr>
          <w:trHeight w:val="338"/>
          <w:tblCellSpacing w:w="0" w:type="dxa"/>
          <w:jc w:val="center"/>
        </w:trPr>
        <w:tc>
          <w:tcPr>
            <w:tcW w:w="0" w:type="auto"/>
            <w:vAlign w:val="center"/>
            <w:hideMark/>
          </w:tcPr>
          <w:p w:rsidR="00933A98" w:rsidRPr="00CF1480" w:rsidRDefault="00933A98" w:rsidP="00933A98">
            <w:pPr>
              <w:jc w:val="both"/>
              <w:rPr>
                <w:rFonts w:ascii="Palatino Linotype" w:hAnsi="Palatino Linotype"/>
                <w:i/>
                <w:lang w:val="es-MX" w:eastAsia="es-MX"/>
              </w:rPr>
            </w:pPr>
          </w:p>
          <w:p w:rsidR="00933A98" w:rsidRPr="00CF1480" w:rsidRDefault="00933A98" w:rsidP="00933A98">
            <w:pPr>
              <w:jc w:val="both"/>
              <w:rPr>
                <w:rFonts w:ascii="Palatino Linotype" w:hAnsi="Palatino Linotype"/>
                <w:i/>
                <w:lang w:val="es-MX" w:eastAsia="es-MX"/>
              </w:rPr>
            </w:pPr>
            <w:r w:rsidRPr="00CF1480">
              <w:rPr>
                <w:rFonts w:ascii="Palatino Linotype" w:hAnsi="Palatino Linotype"/>
                <w:i/>
                <w:lang w:val="es-MX" w:eastAsia="es-MX"/>
              </w:rPr>
              <w:t>SERVIDOR PÚBLICO HABILITADO P R E S E N T E. Por este conducto y con fundamento en lo dispuesto por los artículos 53, fracción VI y 163 de la Ley de Transparencia y Acceso a la Información Pública del Estado de México y Municipios, me permito notificarle la ampliación del plazo por siete días hábiles, aprobado por el Comité de Transparencia del Ayuntamiento de Metepec, Estado de México, mediante la Décima Octava Sesión Extraordinaria. Sin más por el momento quedo a sus órdenes. ATENTAMENTE GERARDO ARTURO OZUNA MARTÍNEZ DIRECTOR DE TRANSPARENCIA Y GOBIERNO ABIERTO</w:t>
            </w:r>
          </w:p>
        </w:tc>
      </w:tr>
      <w:tr w:rsidR="00933A98" w:rsidRPr="00CF1480" w:rsidTr="00933A98">
        <w:trPr>
          <w:trHeight w:val="338"/>
          <w:tblCellSpacing w:w="0" w:type="dxa"/>
          <w:jc w:val="center"/>
        </w:trPr>
        <w:tc>
          <w:tcPr>
            <w:tcW w:w="0" w:type="auto"/>
            <w:vAlign w:val="center"/>
            <w:hideMark/>
          </w:tcPr>
          <w:p w:rsidR="00933A98" w:rsidRPr="00CF1480" w:rsidRDefault="00933A98" w:rsidP="00933A98">
            <w:pPr>
              <w:jc w:val="center"/>
              <w:rPr>
                <w:rFonts w:ascii="Palatino Linotype" w:hAnsi="Palatino Linotype"/>
                <w:i/>
                <w:lang w:val="es-MX" w:eastAsia="es-MX"/>
              </w:rPr>
            </w:pPr>
          </w:p>
        </w:tc>
      </w:tr>
      <w:tr w:rsidR="00933A98" w:rsidRPr="00CF1480" w:rsidTr="00933A98">
        <w:trPr>
          <w:trHeight w:val="338"/>
          <w:tblCellSpacing w:w="0" w:type="dxa"/>
          <w:jc w:val="center"/>
        </w:trPr>
        <w:tc>
          <w:tcPr>
            <w:tcW w:w="0" w:type="auto"/>
            <w:vAlign w:val="center"/>
            <w:hideMark/>
          </w:tcPr>
          <w:p w:rsidR="00933A98" w:rsidRPr="00CF1480" w:rsidRDefault="00933A98" w:rsidP="00933A98">
            <w:pPr>
              <w:rPr>
                <w:rFonts w:ascii="Palatino Linotype" w:hAnsi="Palatino Linotype"/>
                <w:i/>
                <w:lang w:val="es-MX" w:eastAsia="es-MX"/>
              </w:rPr>
            </w:pPr>
            <w:r w:rsidRPr="00CF1480">
              <w:rPr>
                <w:rFonts w:ascii="Palatino Linotype" w:hAnsi="Palatino Linotype"/>
                <w:i/>
                <w:lang w:val="es-MX" w:eastAsia="es-MX"/>
              </w:rPr>
              <w:t>Licenciado Gerardo Arturo Ozuna Martínez</w:t>
            </w:r>
          </w:p>
        </w:tc>
      </w:tr>
      <w:tr w:rsidR="00933A98" w:rsidRPr="00CF1480" w:rsidTr="00933A98">
        <w:trPr>
          <w:trHeight w:val="338"/>
          <w:tblCellSpacing w:w="0" w:type="dxa"/>
          <w:jc w:val="center"/>
        </w:trPr>
        <w:tc>
          <w:tcPr>
            <w:tcW w:w="0" w:type="auto"/>
            <w:vAlign w:val="center"/>
            <w:hideMark/>
          </w:tcPr>
          <w:p w:rsidR="00933A98" w:rsidRPr="00CF1480" w:rsidRDefault="00933A98" w:rsidP="00933A98">
            <w:pPr>
              <w:rPr>
                <w:rFonts w:ascii="Palatino Linotype" w:hAnsi="Palatino Linotype"/>
                <w:i/>
                <w:lang w:val="es-MX" w:eastAsia="es-MX"/>
              </w:rPr>
            </w:pPr>
            <w:r w:rsidRPr="00CF1480">
              <w:rPr>
                <w:rFonts w:ascii="Palatino Linotype" w:hAnsi="Palatino Linotype"/>
                <w:b/>
                <w:bCs/>
                <w:i/>
                <w:lang w:val="es-MX" w:eastAsia="es-MX"/>
              </w:rPr>
              <w:t>Responsable de la Unidad de Transparencia”</w:t>
            </w:r>
          </w:p>
        </w:tc>
      </w:tr>
    </w:tbl>
    <w:p w:rsidR="00933A98" w:rsidRPr="00CF1480" w:rsidRDefault="00933A98" w:rsidP="00933A98">
      <w:pPr>
        <w:pBdr>
          <w:top w:val="nil"/>
          <w:left w:val="nil"/>
          <w:bottom w:val="nil"/>
          <w:right w:val="nil"/>
          <w:between w:val="nil"/>
        </w:pBdr>
        <w:tabs>
          <w:tab w:val="left" w:pos="567"/>
        </w:tabs>
        <w:spacing w:line="360" w:lineRule="auto"/>
        <w:jc w:val="both"/>
        <w:rPr>
          <w:rFonts w:ascii="Palatino Linotype" w:hAnsi="Palatino Linotype"/>
          <w:color w:val="000000"/>
        </w:rPr>
      </w:pPr>
    </w:p>
    <w:p w:rsidR="00A11E70" w:rsidRPr="00CF1480" w:rsidRDefault="00A11E70" w:rsidP="00A11E70">
      <w:pPr>
        <w:pBdr>
          <w:top w:val="nil"/>
          <w:left w:val="nil"/>
          <w:bottom w:val="nil"/>
          <w:right w:val="nil"/>
          <w:between w:val="nil"/>
        </w:pBdr>
        <w:tabs>
          <w:tab w:val="left" w:pos="567"/>
        </w:tabs>
        <w:spacing w:line="360" w:lineRule="auto"/>
        <w:jc w:val="both"/>
        <w:rPr>
          <w:color w:val="000000"/>
        </w:rPr>
      </w:pPr>
    </w:p>
    <w:p w:rsidR="00A11E70" w:rsidRPr="00CF1480" w:rsidRDefault="00A11E70" w:rsidP="00A11E70">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El </w:t>
      </w:r>
      <w:r w:rsidR="009A586C" w:rsidRPr="00CF1480">
        <w:rPr>
          <w:rFonts w:ascii="Palatino Linotype" w:eastAsia="Palatino Linotype" w:hAnsi="Palatino Linotype" w:cs="Palatino Linotype"/>
          <w:b/>
          <w:color w:val="000000"/>
        </w:rPr>
        <w:t>catorce de agosto</w:t>
      </w:r>
      <w:r w:rsidRPr="00CF1480">
        <w:rPr>
          <w:rFonts w:ascii="Palatino Linotype" w:eastAsia="Palatino Linotype" w:hAnsi="Palatino Linotype" w:cs="Palatino Linotype"/>
          <w:b/>
          <w:color w:val="000000"/>
        </w:rPr>
        <w:t xml:space="preserve"> de dos mil veinticinco</w:t>
      </w:r>
      <w:r w:rsidRPr="00CF1480">
        <w:rPr>
          <w:rFonts w:ascii="Palatino Linotype" w:eastAsia="Palatino Linotype" w:hAnsi="Palatino Linotype" w:cs="Palatino Linotype"/>
          <w:color w:val="000000"/>
        </w:rPr>
        <w:t xml:space="preserve">, 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dio respuesta a las solicitud de información en los siguientes términos:</w:t>
      </w:r>
    </w:p>
    <w:p w:rsidR="00A11E70" w:rsidRPr="00CF1480" w:rsidRDefault="00A11E70" w:rsidP="00A11E70">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tbl>
      <w:tblPr>
        <w:tblW w:w="7595" w:type="dxa"/>
        <w:jc w:val="center"/>
        <w:tblCellSpacing w:w="0" w:type="dxa"/>
        <w:tblCellMar>
          <w:left w:w="0" w:type="dxa"/>
          <w:right w:w="0" w:type="dxa"/>
        </w:tblCellMar>
        <w:tblLook w:val="04A0" w:firstRow="1" w:lastRow="0" w:firstColumn="1" w:lastColumn="0" w:noHBand="0" w:noVBand="1"/>
      </w:tblPr>
      <w:tblGrid>
        <w:gridCol w:w="7595"/>
      </w:tblGrid>
      <w:tr w:rsidR="009A586C" w:rsidRPr="00CF1480" w:rsidTr="009A586C">
        <w:trPr>
          <w:trHeight w:val="513"/>
          <w:tblCellSpacing w:w="0" w:type="dxa"/>
          <w:jc w:val="center"/>
        </w:trPr>
        <w:tc>
          <w:tcPr>
            <w:tcW w:w="0" w:type="auto"/>
            <w:vAlign w:val="center"/>
            <w:hideMark/>
          </w:tcPr>
          <w:p w:rsidR="009A586C" w:rsidRPr="00CF1480" w:rsidRDefault="009A586C" w:rsidP="009A586C">
            <w:pPr>
              <w:jc w:val="right"/>
              <w:rPr>
                <w:rFonts w:ascii="Palatino Linotype" w:hAnsi="Palatino Linotype"/>
                <w:i/>
                <w:lang w:val="es-MX" w:eastAsia="es-MX"/>
              </w:rPr>
            </w:pPr>
            <w:r w:rsidRPr="00CF1480">
              <w:rPr>
                <w:rFonts w:ascii="Palatino Linotype" w:hAnsi="Palatino Linotype"/>
                <w:i/>
                <w:lang w:val="es-MX" w:eastAsia="es-MX"/>
              </w:rPr>
              <w:t>“Metepec, México a 14 de Agosto de 2025</w:t>
            </w:r>
          </w:p>
        </w:tc>
      </w:tr>
      <w:tr w:rsidR="009A586C" w:rsidRPr="00CF1480" w:rsidTr="009A586C">
        <w:trPr>
          <w:trHeight w:val="513"/>
          <w:tblCellSpacing w:w="0" w:type="dxa"/>
          <w:jc w:val="center"/>
        </w:trPr>
        <w:tc>
          <w:tcPr>
            <w:tcW w:w="0" w:type="auto"/>
            <w:vAlign w:val="center"/>
            <w:hideMark/>
          </w:tcPr>
          <w:p w:rsidR="009A586C" w:rsidRPr="00CF1480" w:rsidRDefault="009A586C" w:rsidP="009A586C">
            <w:pPr>
              <w:jc w:val="right"/>
              <w:rPr>
                <w:rFonts w:ascii="Palatino Linotype" w:hAnsi="Palatino Linotype"/>
                <w:i/>
                <w:lang w:val="es-MX" w:eastAsia="es-MX"/>
              </w:rPr>
            </w:pPr>
            <w:r w:rsidRPr="00CF1480">
              <w:rPr>
                <w:rFonts w:ascii="Palatino Linotype" w:hAnsi="Palatino Linotype"/>
                <w:i/>
                <w:lang w:val="es-MX" w:eastAsia="es-MX"/>
              </w:rPr>
              <w:t>Nombre del solicitante: C. Solicitante</w:t>
            </w:r>
          </w:p>
        </w:tc>
      </w:tr>
      <w:tr w:rsidR="009A586C" w:rsidRPr="00CF1480" w:rsidTr="009A586C">
        <w:trPr>
          <w:trHeight w:val="513"/>
          <w:tblCellSpacing w:w="0" w:type="dxa"/>
          <w:jc w:val="center"/>
        </w:trPr>
        <w:tc>
          <w:tcPr>
            <w:tcW w:w="0" w:type="auto"/>
            <w:vAlign w:val="center"/>
            <w:hideMark/>
          </w:tcPr>
          <w:p w:rsidR="009A586C" w:rsidRPr="00CF1480" w:rsidRDefault="009A586C" w:rsidP="009A586C">
            <w:pPr>
              <w:jc w:val="right"/>
              <w:rPr>
                <w:rFonts w:ascii="Palatino Linotype" w:hAnsi="Palatino Linotype"/>
                <w:i/>
                <w:lang w:val="es-MX" w:eastAsia="es-MX"/>
              </w:rPr>
            </w:pPr>
            <w:r w:rsidRPr="00CF1480">
              <w:rPr>
                <w:rFonts w:ascii="Palatino Linotype" w:hAnsi="Palatino Linotype"/>
                <w:i/>
                <w:lang w:val="es-MX" w:eastAsia="es-MX"/>
              </w:rPr>
              <w:t>Folio de la solicitud: 00266/METEPEC/IP/2025</w:t>
            </w:r>
          </w:p>
        </w:tc>
      </w:tr>
      <w:tr w:rsidR="009A586C" w:rsidRPr="00CF1480" w:rsidTr="009A586C">
        <w:trPr>
          <w:trHeight w:val="256"/>
          <w:tblCellSpacing w:w="0" w:type="dxa"/>
          <w:jc w:val="center"/>
        </w:trPr>
        <w:tc>
          <w:tcPr>
            <w:tcW w:w="0" w:type="auto"/>
            <w:vAlign w:val="center"/>
            <w:hideMark/>
          </w:tcPr>
          <w:p w:rsidR="009A586C" w:rsidRPr="00CF1480" w:rsidRDefault="009A586C" w:rsidP="009A586C">
            <w:pPr>
              <w:jc w:val="both"/>
              <w:rPr>
                <w:rFonts w:ascii="Palatino Linotype" w:hAnsi="Palatino Linotype"/>
                <w:i/>
                <w:lang w:val="es-MX" w:eastAsia="es-MX"/>
              </w:rPr>
            </w:pPr>
          </w:p>
          <w:p w:rsidR="009A586C" w:rsidRPr="00CF1480" w:rsidRDefault="009A586C" w:rsidP="009A586C">
            <w:pPr>
              <w:jc w:val="both"/>
              <w:rPr>
                <w:rFonts w:ascii="Palatino Linotype" w:hAnsi="Palatino Linotype"/>
                <w:i/>
                <w:lang w:val="es-MX" w:eastAsia="es-MX"/>
              </w:rPr>
            </w:pPr>
            <w:r w:rsidRPr="00CF1480">
              <w:rPr>
                <w:rFonts w:ascii="Palatino Linotype" w:hAnsi="Palatino Linotype"/>
                <w:i/>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9A586C" w:rsidRPr="00CF1480" w:rsidTr="009A586C">
        <w:trPr>
          <w:trHeight w:val="641"/>
          <w:tblCellSpacing w:w="0" w:type="dxa"/>
          <w:jc w:val="center"/>
        </w:trPr>
        <w:tc>
          <w:tcPr>
            <w:tcW w:w="0" w:type="auto"/>
            <w:vAlign w:val="center"/>
            <w:hideMark/>
          </w:tcPr>
          <w:p w:rsidR="009A586C" w:rsidRPr="00CF1480" w:rsidRDefault="009A586C" w:rsidP="009A586C">
            <w:pPr>
              <w:jc w:val="both"/>
              <w:rPr>
                <w:rFonts w:ascii="Palatino Linotype" w:hAnsi="Palatino Linotype"/>
                <w:i/>
                <w:lang w:val="es-MX" w:eastAsia="es-MX"/>
              </w:rPr>
            </w:pPr>
          </w:p>
        </w:tc>
      </w:tr>
      <w:tr w:rsidR="009A586C" w:rsidRPr="00CF1480" w:rsidTr="009A586C">
        <w:trPr>
          <w:trHeight w:val="256"/>
          <w:tblCellSpacing w:w="0" w:type="dxa"/>
          <w:jc w:val="center"/>
        </w:trPr>
        <w:tc>
          <w:tcPr>
            <w:tcW w:w="0" w:type="auto"/>
            <w:vAlign w:val="center"/>
            <w:hideMark/>
          </w:tcPr>
          <w:p w:rsidR="009A586C" w:rsidRPr="00CF1480" w:rsidRDefault="009A586C" w:rsidP="009A586C">
            <w:pPr>
              <w:jc w:val="both"/>
              <w:rPr>
                <w:rFonts w:ascii="Palatino Linotype" w:hAnsi="Palatino Linotype"/>
                <w:i/>
                <w:lang w:val="es-MX" w:eastAsia="es-MX"/>
              </w:rPr>
            </w:pPr>
            <w:r w:rsidRPr="00CF1480">
              <w:rPr>
                <w:rFonts w:ascii="Palatino Linotype" w:hAnsi="Palatino Linotype"/>
                <w:i/>
                <w:lang w:val="es-MX" w:eastAsia="es-MX"/>
              </w:rPr>
              <w:t>C. SOLICITANTE P R E S E N T E. En respuesta a la solicitud recibida por medio del Sistema de Acceso a la Información Mexiquense (SAIMEX). Al respecto, le informo que esta Dirección de Transparencia y Gobierno Abierto turnó la solicitud antes mencionada a los Servidores Públicos Habilitados que de conformidad con las funciones y atribuciones conferidas en términos de la Ley Orgánica Municipal del Estado de México y demás disposiciones legales aplicables les corresponde la generación, recopilación, administración, manejo, procesamiento, archivo y conservación de la información, y habiendo realizado una búsqueda exhaustiva, se anexa la respuesta del servidor público habilitado. Lo anterior con fundamento en lo establecido por los artículos 12, 18, 19, 53 fracción VI, 160 y 162 de la Ley de Transparencia y Acceso a la Información Pública del Estado de México. Asimismo, se hace de su conocimiento que cuenta con un plazo de 15 (quince) días hábiles a partir de la fecha de respuesta a su solicitud, para interponer el recurso de revisión conforme a los artículos 176,177 y 178 de la Ley de Transparencia y Acceso a la Información Pública del Estado de México y Municipios. Sin más por el momento, me despido de usted, reiterando estar a sus órdenes. ATENTAMENTE GERARDO ARTURO OZUNA MARTINEZ DIRECTOR DE TRANSPARENCIA Y GOBIERNO ABIERTO</w:t>
            </w:r>
          </w:p>
        </w:tc>
      </w:tr>
      <w:tr w:rsidR="009A586C" w:rsidRPr="00CF1480" w:rsidTr="009A586C">
        <w:trPr>
          <w:trHeight w:val="256"/>
          <w:tblCellSpacing w:w="0" w:type="dxa"/>
          <w:jc w:val="center"/>
        </w:trPr>
        <w:tc>
          <w:tcPr>
            <w:tcW w:w="0" w:type="auto"/>
            <w:vAlign w:val="center"/>
            <w:hideMark/>
          </w:tcPr>
          <w:p w:rsidR="009A586C" w:rsidRPr="00CF1480" w:rsidRDefault="009A586C" w:rsidP="009A586C">
            <w:pPr>
              <w:rPr>
                <w:rFonts w:ascii="Palatino Linotype" w:hAnsi="Palatino Linotype"/>
                <w:i/>
                <w:lang w:val="es-MX" w:eastAsia="es-MX"/>
              </w:rPr>
            </w:pPr>
          </w:p>
        </w:tc>
      </w:tr>
      <w:tr w:rsidR="009A586C" w:rsidRPr="00CF1480" w:rsidTr="009A586C">
        <w:trPr>
          <w:trHeight w:val="256"/>
          <w:tblCellSpacing w:w="0" w:type="dxa"/>
          <w:jc w:val="center"/>
        </w:trPr>
        <w:tc>
          <w:tcPr>
            <w:tcW w:w="0" w:type="auto"/>
            <w:vAlign w:val="center"/>
            <w:hideMark/>
          </w:tcPr>
          <w:p w:rsidR="009A586C" w:rsidRPr="00CF1480" w:rsidRDefault="009A586C" w:rsidP="009A586C">
            <w:pPr>
              <w:rPr>
                <w:rFonts w:ascii="Palatino Linotype" w:hAnsi="Palatino Linotype"/>
                <w:i/>
                <w:lang w:val="es-MX" w:eastAsia="es-MX"/>
              </w:rPr>
            </w:pPr>
            <w:r w:rsidRPr="00CF1480">
              <w:rPr>
                <w:rFonts w:ascii="Palatino Linotype" w:hAnsi="Palatino Linotype"/>
                <w:i/>
                <w:lang w:val="es-MX" w:eastAsia="es-MX"/>
              </w:rPr>
              <w:t>ATENTAMENTE</w:t>
            </w:r>
          </w:p>
        </w:tc>
      </w:tr>
      <w:tr w:rsidR="009A586C" w:rsidRPr="00CF1480" w:rsidTr="009A586C">
        <w:trPr>
          <w:trHeight w:val="256"/>
          <w:tblCellSpacing w:w="0" w:type="dxa"/>
          <w:jc w:val="center"/>
        </w:trPr>
        <w:tc>
          <w:tcPr>
            <w:tcW w:w="0" w:type="auto"/>
            <w:vAlign w:val="center"/>
            <w:hideMark/>
          </w:tcPr>
          <w:p w:rsidR="009A586C" w:rsidRPr="00CF1480" w:rsidRDefault="009A586C" w:rsidP="009A586C">
            <w:pPr>
              <w:rPr>
                <w:rFonts w:ascii="Palatino Linotype" w:hAnsi="Palatino Linotype"/>
                <w:i/>
                <w:lang w:val="es-MX" w:eastAsia="es-MX"/>
              </w:rPr>
            </w:pPr>
            <w:r w:rsidRPr="00CF1480">
              <w:rPr>
                <w:rFonts w:ascii="Palatino Linotype" w:hAnsi="Palatino Linotype"/>
                <w:i/>
                <w:lang w:val="es-MX" w:eastAsia="es-MX"/>
              </w:rPr>
              <w:t>Licenciado Gerardo Arturo Ozuna Martínez”</w:t>
            </w:r>
          </w:p>
        </w:tc>
      </w:tr>
    </w:tbl>
    <w:p w:rsidR="00A11E70" w:rsidRPr="00CF1480" w:rsidRDefault="00A11E70" w:rsidP="00A11E70">
      <w:pPr>
        <w:spacing w:line="360" w:lineRule="auto"/>
        <w:jc w:val="both"/>
        <w:rPr>
          <w:rFonts w:ascii="Palatino Linotype" w:eastAsia="Palatino Linotype" w:hAnsi="Palatino Linotype" w:cs="Palatino Linotype"/>
          <w:color w:val="000000"/>
        </w:rPr>
      </w:pPr>
    </w:p>
    <w:p w:rsidR="00A11E70" w:rsidRPr="00CF1480" w:rsidRDefault="00A11E70" w:rsidP="00A11E70">
      <w:pPr>
        <w:spacing w:line="360"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A la respuesta se adjuntan los archivos que se describen enseguida:</w:t>
      </w:r>
    </w:p>
    <w:p w:rsidR="00A11E70" w:rsidRPr="00CF1480" w:rsidRDefault="00A11E70" w:rsidP="00A11E70">
      <w:pPr>
        <w:spacing w:line="360" w:lineRule="auto"/>
        <w:jc w:val="both"/>
        <w:rPr>
          <w:rFonts w:ascii="Palatino Linotype" w:eastAsia="Palatino Linotype" w:hAnsi="Palatino Linotype" w:cs="Palatino Linotype"/>
        </w:rPr>
      </w:pPr>
    </w:p>
    <w:p w:rsidR="009A586C" w:rsidRPr="00CF1480" w:rsidRDefault="008B1B90" w:rsidP="009A586C">
      <w:pPr>
        <w:pStyle w:val="Prrafodelista"/>
        <w:numPr>
          <w:ilvl w:val="0"/>
          <w:numId w:val="8"/>
        </w:numPr>
        <w:pBdr>
          <w:top w:val="nil"/>
          <w:left w:val="nil"/>
          <w:bottom w:val="nil"/>
          <w:right w:val="nil"/>
          <w:between w:val="nil"/>
        </w:pBdr>
        <w:spacing w:line="360" w:lineRule="auto"/>
        <w:ind w:left="851" w:right="283" w:firstLine="0"/>
        <w:jc w:val="both"/>
        <w:rPr>
          <w:rFonts w:ascii="Palatino Linotype" w:eastAsia="Palatino Linotype" w:hAnsi="Palatino Linotype" w:cs="Palatino Linotype"/>
          <w:sz w:val="24"/>
          <w:szCs w:val="24"/>
        </w:rPr>
      </w:pPr>
      <w:hyperlink r:id="rId7" w:tgtFrame="_blank" w:history="1">
        <w:r w:rsidR="009A586C" w:rsidRPr="00CF1480">
          <w:rPr>
            <w:rStyle w:val="Hipervnculo"/>
            <w:rFonts w:ascii="Palatino Linotype" w:eastAsiaTheme="majorEastAsia" w:hAnsi="Palatino Linotype" w:cs="Arial"/>
            <w:b/>
            <w:bCs/>
            <w:color w:val="auto"/>
            <w:sz w:val="24"/>
            <w:szCs w:val="24"/>
          </w:rPr>
          <w:t>SMM5302025 00266METEPECIP2025.pdf</w:t>
        </w:r>
      </w:hyperlink>
      <w:r w:rsidR="009A586C" w:rsidRPr="00CF1480">
        <w:rPr>
          <w:rFonts w:ascii="Palatino Linotype" w:hAnsi="Palatino Linotype"/>
          <w:sz w:val="24"/>
          <w:szCs w:val="24"/>
        </w:rPr>
        <w:t xml:space="preserve">: oficio suscrito por la Síndico Municipal, quien señaló dos ligas electrónicas (que no está en datos abiertos), en </w:t>
      </w:r>
      <w:r w:rsidR="009A586C" w:rsidRPr="00CF1480">
        <w:rPr>
          <w:rFonts w:ascii="Palatino Linotype" w:hAnsi="Palatino Linotype"/>
          <w:sz w:val="24"/>
          <w:szCs w:val="24"/>
        </w:rPr>
        <w:lastRenderedPageBreak/>
        <w:t xml:space="preserve">donde señaló se localiza la información relativa al inventario de bienes muebles e inmuebles. </w:t>
      </w:r>
    </w:p>
    <w:p w:rsidR="009A586C" w:rsidRPr="00CF1480" w:rsidRDefault="009A586C" w:rsidP="009A586C">
      <w:pPr>
        <w:pStyle w:val="Prrafodelista"/>
        <w:pBdr>
          <w:top w:val="nil"/>
          <w:left w:val="nil"/>
          <w:bottom w:val="nil"/>
          <w:right w:val="nil"/>
          <w:between w:val="nil"/>
        </w:pBdr>
        <w:spacing w:line="360" w:lineRule="auto"/>
        <w:ind w:left="851" w:right="283"/>
        <w:jc w:val="both"/>
        <w:rPr>
          <w:rFonts w:ascii="Palatino Linotype" w:eastAsia="Palatino Linotype" w:hAnsi="Palatino Linotype" w:cs="Palatino Linotype"/>
          <w:sz w:val="24"/>
          <w:szCs w:val="24"/>
        </w:rPr>
      </w:pPr>
    </w:p>
    <w:p w:rsidR="009A586C" w:rsidRPr="00CF1480" w:rsidRDefault="008B1B90" w:rsidP="009A586C">
      <w:pPr>
        <w:pStyle w:val="Prrafodelista"/>
        <w:numPr>
          <w:ilvl w:val="0"/>
          <w:numId w:val="8"/>
        </w:numPr>
        <w:pBdr>
          <w:top w:val="nil"/>
          <w:left w:val="nil"/>
          <w:bottom w:val="nil"/>
          <w:right w:val="nil"/>
          <w:between w:val="nil"/>
        </w:pBdr>
        <w:spacing w:line="360" w:lineRule="auto"/>
        <w:ind w:left="851" w:right="283" w:firstLine="0"/>
        <w:jc w:val="both"/>
        <w:rPr>
          <w:rFonts w:ascii="Palatino Linotype" w:eastAsia="Palatino Linotype" w:hAnsi="Palatino Linotype" w:cs="Palatino Linotype"/>
          <w:sz w:val="24"/>
          <w:szCs w:val="24"/>
        </w:rPr>
      </w:pPr>
      <w:hyperlink r:id="rId8" w:tgtFrame="_blank" w:history="1">
        <w:r w:rsidR="009A586C" w:rsidRPr="00CF1480">
          <w:rPr>
            <w:rStyle w:val="Hipervnculo"/>
            <w:rFonts w:ascii="Palatino Linotype" w:eastAsiaTheme="majorEastAsia" w:hAnsi="Palatino Linotype" w:cs="Arial"/>
            <w:b/>
            <w:bCs/>
            <w:color w:val="auto"/>
            <w:sz w:val="24"/>
            <w:szCs w:val="24"/>
          </w:rPr>
          <w:t>Solicitud 00266-METEPEC-iP-2025 f.pdf</w:t>
        </w:r>
      </w:hyperlink>
      <w:r w:rsidR="009A586C" w:rsidRPr="00CF1480">
        <w:rPr>
          <w:rFonts w:ascii="Palatino Linotype" w:hAnsi="Palatino Linotype"/>
          <w:sz w:val="24"/>
          <w:szCs w:val="24"/>
        </w:rPr>
        <w:t>: oficio número SA/SIT/0025/2025 de fecha trece de agosto de dos mil veinticinco, suscrito por el Secretario del Ayuntamiento</w:t>
      </w:r>
      <w:r w:rsidR="00BF5B2C" w:rsidRPr="00CF1480">
        <w:rPr>
          <w:rFonts w:ascii="Palatino Linotype" w:hAnsi="Palatino Linotype"/>
          <w:sz w:val="24"/>
          <w:szCs w:val="24"/>
        </w:rPr>
        <w:t>, quien señaló que la información solicitada consta de 27,100 fojas, equivalente a 7.04 GB,</w:t>
      </w:r>
      <w:r w:rsidR="002645B4" w:rsidRPr="00CF1480">
        <w:rPr>
          <w:rFonts w:ascii="Palatino Linotype" w:hAnsi="Palatino Linotype"/>
          <w:sz w:val="24"/>
          <w:szCs w:val="24"/>
        </w:rPr>
        <w:t xml:space="preserve"> asimismo, el Sujeto Obligado señaló que la información puede entregarse en USB, consulta directa, copias simples o certificadas o correo certificado. </w:t>
      </w:r>
    </w:p>
    <w:p w:rsidR="009A586C" w:rsidRPr="00CF1480" w:rsidRDefault="009A586C" w:rsidP="009A586C">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A11E70" w:rsidRPr="00CF1480" w:rsidRDefault="008B1B90" w:rsidP="009A586C">
      <w:pPr>
        <w:pStyle w:val="Prrafodelista"/>
        <w:numPr>
          <w:ilvl w:val="0"/>
          <w:numId w:val="8"/>
        </w:numPr>
        <w:pBdr>
          <w:top w:val="nil"/>
          <w:left w:val="nil"/>
          <w:bottom w:val="nil"/>
          <w:right w:val="nil"/>
          <w:between w:val="nil"/>
        </w:pBdr>
        <w:spacing w:line="360" w:lineRule="auto"/>
        <w:ind w:left="851" w:right="283" w:firstLine="0"/>
        <w:jc w:val="both"/>
        <w:rPr>
          <w:rFonts w:ascii="Palatino Linotype" w:eastAsia="Palatino Linotype" w:hAnsi="Palatino Linotype" w:cs="Palatino Linotype"/>
          <w:sz w:val="24"/>
          <w:szCs w:val="24"/>
        </w:rPr>
      </w:pPr>
      <w:hyperlink r:id="rId9" w:tgtFrame="_blank" w:history="1">
        <w:r w:rsidR="009A586C" w:rsidRPr="00CF1480">
          <w:rPr>
            <w:rStyle w:val="Hipervnculo"/>
            <w:rFonts w:ascii="Palatino Linotype" w:eastAsiaTheme="majorEastAsia" w:hAnsi="Palatino Linotype" w:cs="Arial"/>
            <w:b/>
            <w:bCs/>
            <w:color w:val="auto"/>
            <w:sz w:val="24"/>
            <w:szCs w:val="24"/>
          </w:rPr>
          <w:t>OIC CI 1107 2025.pdf</w:t>
        </w:r>
      </w:hyperlink>
      <w:r w:rsidR="009A586C" w:rsidRPr="00CF1480">
        <w:rPr>
          <w:rFonts w:ascii="Palatino Linotype" w:hAnsi="Palatino Linotype"/>
          <w:sz w:val="24"/>
          <w:szCs w:val="24"/>
        </w:rPr>
        <w:t>:</w:t>
      </w:r>
      <w:r w:rsidR="002645B4" w:rsidRPr="00CF1480">
        <w:rPr>
          <w:rFonts w:ascii="Palatino Linotype" w:hAnsi="Palatino Linotype"/>
          <w:sz w:val="24"/>
          <w:szCs w:val="24"/>
        </w:rPr>
        <w:t xml:space="preserve"> oficio  número OIC/CI/1107/2025 de fecha catorce de agosto de dos mil veinticinco, suscrito por el Contralor Interno Municipal, quien señaló que no genera, recopila, administra, maneja, procesa, archiva o conserva la información solicitada. </w:t>
      </w:r>
    </w:p>
    <w:p w:rsidR="009A586C" w:rsidRPr="00CF1480" w:rsidRDefault="009A586C" w:rsidP="009A586C">
      <w:pPr>
        <w:pStyle w:val="Prrafodelista"/>
        <w:pBdr>
          <w:top w:val="nil"/>
          <w:left w:val="nil"/>
          <w:bottom w:val="nil"/>
          <w:right w:val="nil"/>
          <w:between w:val="nil"/>
        </w:pBdr>
        <w:spacing w:line="360" w:lineRule="auto"/>
        <w:ind w:left="1440" w:right="283"/>
        <w:jc w:val="both"/>
        <w:rPr>
          <w:rFonts w:ascii="Palatino Linotype" w:eastAsia="Palatino Linotype" w:hAnsi="Palatino Linotype" w:cs="Palatino Linotype"/>
          <w:sz w:val="24"/>
          <w:szCs w:val="24"/>
        </w:rPr>
      </w:pPr>
    </w:p>
    <w:p w:rsidR="00A11E70" w:rsidRPr="00CF1480" w:rsidRDefault="00A11E70" w:rsidP="00A11E70">
      <w:pPr>
        <w:numPr>
          <w:ilvl w:val="0"/>
          <w:numId w:val="2"/>
        </w:numPr>
        <w:pBdr>
          <w:top w:val="nil"/>
          <w:left w:val="nil"/>
          <w:bottom w:val="nil"/>
          <w:right w:val="nil"/>
          <w:between w:val="nil"/>
        </w:pBdr>
        <w:tabs>
          <w:tab w:val="left" w:pos="0"/>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El </w:t>
      </w:r>
      <w:r w:rsidR="002645B4" w:rsidRPr="00CF1480">
        <w:rPr>
          <w:rFonts w:ascii="Palatino Linotype" w:eastAsia="Palatino Linotype" w:hAnsi="Palatino Linotype" w:cs="Palatino Linotype"/>
          <w:b/>
          <w:color w:val="000000"/>
        </w:rPr>
        <w:t>veintisiete de agosto</w:t>
      </w:r>
      <w:r w:rsidRPr="00CF1480">
        <w:rPr>
          <w:rFonts w:ascii="Palatino Linotype" w:eastAsia="Palatino Linotype" w:hAnsi="Palatino Linotype" w:cs="Palatino Linotype"/>
          <w:b/>
          <w:color w:val="000000"/>
        </w:rPr>
        <w:t xml:space="preserve"> de dos mil veinticinco</w:t>
      </w:r>
      <w:r w:rsidRPr="00CF1480">
        <w:rPr>
          <w:rFonts w:ascii="Palatino Linotype" w:eastAsia="Palatino Linotype" w:hAnsi="Palatino Linotype" w:cs="Palatino Linotype"/>
          <w:color w:val="000000"/>
        </w:rPr>
        <w:t>, el particular interpuso recurso de revisión, en el que señaló:</w:t>
      </w:r>
    </w:p>
    <w:p w:rsidR="00A11E70" w:rsidRPr="00CF1480" w:rsidRDefault="00A11E70" w:rsidP="00A11E70">
      <w:pPr>
        <w:pBdr>
          <w:top w:val="nil"/>
          <w:left w:val="nil"/>
          <w:bottom w:val="nil"/>
          <w:right w:val="nil"/>
          <w:between w:val="nil"/>
        </w:pBdr>
        <w:tabs>
          <w:tab w:val="left" w:pos="0"/>
          <w:tab w:val="left" w:pos="567"/>
        </w:tabs>
        <w:spacing w:line="360" w:lineRule="auto"/>
        <w:jc w:val="both"/>
        <w:rPr>
          <w:color w:val="000000"/>
        </w:rPr>
      </w:pPr>
    </w:p>
    <w:p w:rsidR="00A11E70" w:rsidRPr="00CF1480" w:rsidRDefault="00A11E70" w:rsidP="00A11E70">
      <w:pPr>
        <w:numPr>
          <w:ilvl w:val="0"/>
          <w:numId w:val="3"/>
        </w:numPr>
        <w:tabs>
          <w:tab w:val="left" w:pos="0"/>
          <w:tab w:val="left" w:pos="709"/>
        </w:tabs>
        <w:spacing w:line="360" w:lineRule="auto"/>
        <w:ind w:right="850"/>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color w:val="000000"/>
        </w:rPr>
        <w:t>Acto impugnado:</w:t>
      </w:r>
      <w:r w:rsidRPr="00CF1480">
        <w:rPr>
          <w:rFonts w:ascii="Palatino Linotype" w:eastAsia="Palatino Linotype" w:hAnsi="Palatino Linotype" w:cs="Palatino Linotype"/>
          <w:color w:val="000000"/>
        </w:rPr>
        <w:t xml:space="preserve"> “</w:t>
      </w:r>
      <w:r w:rsidR="002645B4" w:rsidRPr="00CF1480">
        <w:rPr>
          <w:rFonts w:ascii="Palatino Linotype" w:eastAsia="Palatino Linotype" w:hAnsi="Palatino Linotype" w:cs="Palatino Linotype"/>
          <w:i/>
          <w:color w:val="000000"/>
        </w:rPr>
        <w:t>La no entrega de información, el cambio de modalidad sin el sustento jurídico, el link inmenso imposible para su consulta y la falta de búsqueda de la información. En síntesis la negativa e incompleta información que brindan</w:t>
      </w:r>
      <w:r w:rsidRPr="00CF1480">
        <w:rPr>
          <w:rFonts w:ascii="Palatino Linotype" w:eastAsia="Palatino Linotype" w:hAnsi="Palatino Linotype" w:cs="Palatino Linotype"/>
          <w:i/>
          <w:color w:val="000000"/>
        </w:rPr>
        <w:t>” (</w:t>
      </w:r>
      <w:r w:rsidRPr="00CF1480">
        <w:rPr>
          <w:rFonts w:ascii="Palatino Linotype" w:eastAsia="Palatino Linotype" w:hAnsi="Palatino Linotype" w:cs="Palatino Linotype"/>
          <w:color w:val="000000"/>
        </w:rPr>
        <w:t>Sic)</w:t>
      </w:r>
    </w:p>
    <w:p w:rsidR="00A11E70" w:rsidRPr="00CF1480" w:rsidRDefault="00A11E70" w:rsidP="00A11E70">
      <w:pPr>
        <w:tabs>
          <w:tab w:val="left" w:pos="0"/>
          <w:tab w:val="left" w:pos="709"/>
        </w:tabs>
        <w:spacing w:line="360" w:lineRule="auto"/>
        <w:ind w:left="720" w:right="850"/>
        <w:jc w:val="both"/>
        <w:rPr>
          <w:rFonts w:ascii="Palatino Linotype" w:eastAsia="Palatino Linotype" w:hAnsi="Palatino Linotype" w:cs="Palatino Linotype"/>
          <w:color w:val="000000"/>
        </w:rPr>
      </w:pPr>
    </w:p>
    <w:p w:rsidR="00A11E70" w:rsidRPr="00CF1480" w:rsidRDefault="00A11E70" w:rsidP="00A11E70">
      <w:pPr>
        <w:numPr>
          <w:ilvl w:val="0"/>
          <w:numId w:val="3"/>
        </w:numPr>
        <w:tabs>
          <w:tab w:val="left" w:pos="0"/>
          <w:tab w:val="left" w:pos="709"/>
        </w:tabs>
        <w:spacing w:line="360" w:lineRule="auto"/>
        <w:ind w:right="850"/>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color w:val="000000"/>
        </w:rPr>
        <w:t xml:space="preserve">Razones o motivos de inconformidad: </w:t>
      </w:r>
      <w:r w:rsidRPr="00CF1480">
        <w:rPr>
          <w:rFonts w:ascii="Palatino Linotype" w:eastAsia="Palatino Linotype" w:hAnsi="Palatino Linotype" w:cs="Palatino Linotype"/>
          <w:color w:val="000000"/>
        </w:rPr>
        <w:t>“</w:t>
      </w:r>
      <w:r w:rsidR="002645B4" w:rsidRPr="00CF1480">
        <w:rPr>
          <w:rFonts w:ascii="Palatino Linotype" w:eastAsia="Palatino Linotype" w:hAnsi="Palatino Linotype" w:cs="Palatino Linotype"/>
          <w:i/>
          <w:color w:val="000000"/>
        </w:rPr>
        <w:t xml:space="preserve">La no entrega de información, el cambio de modalidad sin el sustento jurídico, el link inmenso imposible para su consulta y la </w:t>
      </w:r>
      <w:r w:rsidR="002645B4" w:rsidRPr="00CF1480">
        <w:rPr>
          <w:rFonts w:ascii="Palatino Linotype" w:eastAsia="Palatino Linotype" w:hAnsi="Palatino Linotype" w:cs="Palatino Linotype"/>
          <w:i/>
          <w:color w:val="000000"/>
        </w:rPr>
        <w:lastRenderedPageBreak/>
        <w:t>falta de búsqueda de la información. En síntesis la negativa e incompleta información que brindan y el cambio de modalidad sin justificación y sustento jurídico.</w:t>
      </w:r>
      <w:r w:rsidRPr="00CF1480">
        <w:rPr>
          <w:rFonts w:ascii="Palatino Linotype" w:eastAsia="Palatino Linotype" w:hAnsi="Palatino Linotype" w:cs="Palatino Linotype"/>
          <w:i/>
          <w:color w:val="000000"/>
        </w:rPr>
        <w:t>”</w:t>
      </w:r>
      <w:r w:rsidRPr="00CF1480">
        <w:rPr>
          <w:rFonts w:ascii="Palatino Linotype" w:eastAsia="Palatino Linotype" w:hAnsi="Palatino Linotype" w:cs="Palatino Linotype"/>
          <w:color w:val="000000"/>
        </w:rPr>
        <w:t xml:space="preserve"> (Sic). </w:t>
      </w:r>
    </w:p>
    <w:p w:rsidR="00A11E70" w:rsidRPr="00CF1480" w:rsidRDefault="00A11E70" w:rsidP="00A11E70">
      <w:pPr>
        <w:tabs>
          <w:tab w:val="left" w:pos="0"/>
          <w:tab w:val="left" w:pos="709"/>
        </w:tabs>
        <w:spacing w:line="360" w:lineRule="auto"/>
        <w:ind w:right="850"/>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CF1480">
        <w:rPr>
          <w:rFonts w:ascii="Palatino Linotype" w:eastAsia="Palatino Linotype" w:hAnsi="Palatino Linotype" w:cs="Palatino Linotype"/>
          <w:b/>
          <w:color w:val="000000"/>
        </w:rPr>
        <w:t xml:space="preserve">Ley de Transparencia y Acceso a la Información Pública del Estado de México y Municipios </w:t>
      </w:r>
      <w:r w:rsidRPr="00CF1480">
        <w:rPr>
          <w:rFonts w:ascii="Palatino Linotype" w:eastAsia="Palatino Linotype" w:hAnsi="Palatino Linotype" w:cs="Palatino Linotype"/>
          <w:color w:val="000000"/>
        </w:rPr>
        <w:t xml:space="preserve">se </w:t>
      </w:r>
      <w:r w:rsidRPr="00CF1480">
        <w:rPr>
          <w:rFonts w:ascii="Palatino Linotype" w:eastAsia="Palatino Linotype" w:hAnsi="Palatino Linotype" w:cs="Palatino Linotype"/>
        </w:rPr>
        <w:t>turna</w:t>
      </w:r>
      <w:r w:rsidRPr="00CF1480">
        <w:rPr>
          <w:rFonts w:ascii="Palatino Linotype" w:eastAsia="Palatino Linotype" w:hAnsi="Palatino Linotype" w:cs="Palatino Linotype"/>
          <w:color w:val="000000"/>
        </w:rPr>
        <w:t xml:space="preserve"> a la </w:t>
      </w:r>
      <w:r w:rsidRPr="00CF1480">
        <w:rPr>
          <w:rFonts w:ascii="Palatino Linotype" w:eastAsia="Palatino Linotype" w:hAnsi="Palatino Linotype" w:cs="Palatino Linotype"/>
          <w:b/>
          <w:color w:val="000000"/>
        </w:rPr>
        <w:t xml:space="preserve">Comisionada María del Rosario Mejía Ayala, </w:t>
      </w:r>
      <w:r w:rsidRPr="00CF1480">
        <w:rPr>
          <w:rFonts w:ascii="Palatino Linotype" w:eastAsia="Palatino Linotype" w:hAnsi="Palatino Linotype" w:cs="Palatino Linotype"/>
        </w:rPr>
        <w:t xml:space="preserve">para </w:t>
      </w:r>
      <w:r w:rsidRPr="00CF1480">
        <w:rPr>
          <w:rFonts w:ascii="Palatino Linotype" w:eastAsia="Palatino Linotype" w:hAnsi="Palatino Linotype" w:cs="Palatino Linotype"/>
          <w:color w:val="000000"/>
        </w:rPr>
        <w:t>su análisis.</w:t>
      </w:r>
    </w:p>
    <w:p w:rsidR="002645B4" w:rsidRPr="00CF1480" w:rsidRDefault="002645B4" w:rsidP="002645B4">
      <w:pPr>
        <w:pBdr>
          <w:top w:val="nil"/>
          <w:left w:val="nil"/>
          <w:bottom w:val="nil"/>
          <w:right w:val="nil"/>
          <w:between w:val="nil"/>
        </w:pBdr>
        <w:tabs>
          <w:tab w:val="left" w:pos="567"/>
        </w:tabs>
        <w:spacing w:line="360" w:lineRule="auto"/>
        <w:jc w:val="both"/>
        <w:rPr>
          <w:color w:val="000000"/>
        </w:rPr>
      </w:pPr>
    </w:p>
    <w:p w:rsidR="00A11E70" w:rsidRPr="00CF1480" w:rsidRDefault="00A11E70" w:rsidP="00A11E70">
      <w:pPr>
        <w:numPr>
          <w:ilvl w:val="0"/>
          <w:numId w:val="2"/>
        </w:numPr>
        <w:tabs>
          <w:tab w:val="left" w:pos="426"/>
        </w:tabs>
        <w:spacing w:line="360" w:lineRule="auto"/>
        <w:ind w:left="0" w:firstLine="0"/>
        <w:jc w:val="both"/>
        <w:rPr>
          <w:rFonts w:ascii="Palatino Linotype" w:eastAsia="Palatino Linotype" w:hAnsi="Palatino Linotype" w:cs="Palatino Linotype"/>
          <w:b/>
          <w:color w:val="000000"/>
        </w:rPr>
      </w:pPr>
      <w:bookmarkStart w:id="1" w:name="_heading=h.30j0zll" w:colFirst="0" w:colLast="0"/>
      <w:bookmarkEnd w:id="1"/>
      <w:r w:rsidRPr="00CF1480">
        <w:rPr>
          <w:rFonts w:ascii="Palatino Linotype" w:eastAsia="Palatino Linotype" w:hAnsi="Palatino Linotype" w:cs="Palatino Linotype"/>
        </w:rPr>
        <w:t xml:space="preserve">El Comisionado Ponente con fundamento en lo dispuesto por el artículo 185 fracción II de la ley de la materia, a través del acuerdo de admisión del </w:t>
      </w:r>
      <w:r w:rsidR="00E77252" w:rsidRPr="00CF1480">
        <w:rPr>
          <w:rFonts w:ascii="Palatino Linotype" w:eastAsia="Palatino Linotype" w:hAnsi="Palatino Linotype" w:cs="Palatino Linotype"/>
          <w:b/>
        </w:rPr>
        <w:t>primero</w:t>
      </w:r>
      <w:r w:rsidRPr="00CF1480">
        <w:rPr>
          <w:rFonts w:ascii="Palatino Linotype" w:eastAsia="Palatino Linotype" w:hAnsi="Palatino Linotype" w:cs="Palatino Linotype"/>
          <w:b/>
        </w:rPr>
        <w:t xml:space="preserve"> de septiembre de dos mil veinticinco</w:t>
      </w:r>
      <w:r w:rsidRPr="00CF1480">
        <w:rPr>
          <w:rFonts w:ascii="Palatino Linotype" w:eastAsia="Palatino Linotype" w:hAnsi="Palatino Linotype" w:cs="Palatino Linotype"/>
        </w:rPr>
        <w:t xml:space="preserve">, puso a disposición de las partes el expediente electrónico vía </w:t>
      </w:r>
      <w:r w:rsidRPr="00CF1480">
        <w:rPr>
          <w:rFonts w:ascii="Palatino Linotype" w:eastAsia="Palatino Linotype" w:hAnsi="Palatino Linotype" w:cs="Palatino Linotype"/>
          <w:b/>
        </w:rPr>
        <w:t xml:space="preserve">SAIMEX </w:t>
      </w:r>
      <w:r w:rsidRPr="00CF1480">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CF1480">
        <w:rPr>
          <w:rFonts w:ascii="Palatino Linotype" w:eastAsia="Palatino Linotype" w:hAnsi="Palatino Linotype" w:cs="Palatino Linotype"/>
          <w:b/>
        </w:rPr>
        <w:t>SUJETO OBLIGADO</w:t>
      </w:r>
      <w:r w:rsidRPr="00CF1480">
        <w:rPr>
          <w:rFonts w:ascii="Palatino Linotype" w:eastAsia="Palatino Linotype" w:hAnsi="Palatino Linotype" w:cs="Palatino Linotype"/>
        </w:rPr>
        <w:t xml:space="preserve"> presentará el informe justificado procedente. </w:t>
      </w:r>
    </w:p>
    <w:p w:rsidR="00A11E70" w:rsidRPr="00CF1480" w:rsidRDefault="00A11E70" w:rsidP="00A11E70">
      <w:pPr>
        <w:pBdr>
          <w:top w:val="nil"/>
          <w:left w:val="nil"/>
          <w:bottom w:val="nil"/>
          <w:right w:val="nil"/>
          <w:between w:val="nil"/>
        </w:pBdr>
        <w:ind w:left="708"/>
        <w:rPr>
          <w:rFonts w:ascii="Palatino Linotype" w:eastAsia="Palatino Linotype" w:hAnsi="Palatino Linotype" w:cs="Palatino Linotype"/>
          <w:color w:val="000000"/>
        </w:rPr>
      </w:pPr>
    </w:p>
    <w:p w:rsidR="00E77252" w:rsidRPr="00CF1480" w:rsidRDefault="00A11E70" w:rsidP="00A11E70">
      <w:pPr>
        <w:numPr>
          <w:ilvl w:val="0"/>
          <w:numId w:val="2"/>
        </w:numPr>
        <w:tabs>
          <w:tab w:val="left" w:pos="426"/>
        </w:tabs>
        <w:spacing w:line="360" w:lineRule="auto"/>
        <w:ind w:left="0" w:firstLine="0"/>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rPr>
        <w:t xml:space="preserve">De las constancias que obran en el expediente electrónico SAIMEX, se advierte que el RECURRENTE no realizó manifestaciones, no ofreció pruebas y alegatos que a su derecho conviniera; por su parte, el Sujeto Obligado entregó informe justificado el </w:t>
      </w:r>
      <w:r w:rsidR="00E77252" w:rsidRPr="00CF1480">
        <w:rPr>
          <w:rFonts w:ascii="Palatino Linotype" w:eastAsia="Palatino Linotype" w:hAnsi="Palatino Linotype" w:cs="Palatino Linotype"/>
          <w:b/>
        </w:rPr>
        <w:t>nueve, once, diecisiete y diecinueve de septiembre</w:t>
      </w:r>
      <w:r w:rsidRPr="00CF1480">
        <w:rPr>
          <w:rFonts w:ascii="Palatino Linotype" w:eastAsia="Palatino Linotype" w:hAnsi="Palatino Linotype" w:cs="Palatino Linotype"/>
          <w:b/>
        </w:rPr>
        <w:t xml:space="preserve"> de dos</w:t>
      </w:r>
      <w:r w:rsidR="00E77252" w:rsidRPr="00CF1480">
        <w:rPr>
          <w:rFonts w:ascii="Palatino Linotype" w:eastAsia="Palatino Linotype" w:hAnsi="Palatino Linotype" w:cs="Palatino Linotype"/>
          <w:b/>
        </w:rPr>
        <w:t xml:space="preserve"> mil veinticinco</w:t>
      </w:r>
      <w:r w:rsidRPr="00CF1480">
        <w:rPr>
          <w:rFonts w:ascii="Palatino Linotype" w:eastAsia="Palatino Linotype" w:hAnsi="Palatino Linotype" w:cs="Palatino Linotype"/>
        </w:rPr>
        <w:t xml:space="preserve">, mismo que se puso a la vista del particular el </w:t>
      </w:r>
      <w:r w:rsidR="00E77252" w:rsidRPr="00CF1480">
        <w:rPr>
          <w:rFonts w:ascii="Palatino Linotype" w:eastAsia="Palatino Linotype" w:hAnsi="Palatino Linotype" w:cs="Palatino Linotype"/>
          <w:b/>
        </w:rPr>
        <w:t>dieciséis de abril de dos mil veintiséis</w:t>
      </w:r>
      <w:r w:rsidRPr="00CF1480">
        <w:rPr>
          <w:rFonts w:ascii="Palatino Linotype" w:eastAsia="Palatino Linotype" w:hAnsi="Palatino Linotype" w:cs="Palatino Linotype"/>
        </w:rPr>
        <w:t xml:space="preserve">, </w:t>
      </w:r>
      <w:r w:rsidR="00E77252" w:rsidRPr="00CF1480">
        <w:rPr>
          <w:rFonts w:ascii="Palatino Linotype" w:eastAsia="Palatino Linotype" w:hAnsi="Palatino Linotype" w:cs="Palatino Linotype"/>
        </w:rPr>
        <w:t>y que consta de los documentos que se describen enseguida:</w:t>
      </w:r>
    </w:p>
    <w:p w:rsidR="00E77252" w:rsidRPr="00CF1480" w:rsidRDefault="00E77252" w:rsidP="00E77252">
      <w:pPr>
        <w:pStyle w:val="Prrafodelista"/>
        <w:rPr>
          <w:rFonts w:ascii="Palatino Linotype" w:eastAsia="Palatino Linotype" w:hAnsi="Palatino Linotype" w:cs="Palatino Linotype"/>
          <w:sz w:val="24"/>
          <w:szCs w:val="24"/>
        </w:rPr>
      </w:pPr>
    </w:p>
    <w:p w:rsidR="00E77252" w:rsidRPr="00CF1480" w:rsidRDefault="008B1B90" w:rsidP="00E77252">
      <w:pPr>
        <w:pStyle w:val="Prrafodelista"/>
        <w:numPr>
          <w:ilvl w:val="0"/>
          <w:numId w:val="9"/>
        </w:numPr>
        <w:tabs>
          <w:tab w:val="left" w:pos="426"/>
        </w:tabs>
        <w:spacing w:line="360" w:lineRule="auto"/>
        <w:jc w:val="both"/>
        <w:rPr>
          <w:rFonts w:ascii="Palatino Linotype" w:hAnsi="Palatino Linotype"/>
          <w:sz w:val="24"/>
          <w:szCs w:val="24"/>
        </w:rPr>
      </w:pPr>
      <w:hyperlink r:id="rId10" w:history="1">
        <w:r w:rsidR="00E77252" w:rsidRPr="00CF1480">
          <w:rPr>
            <w:rStyle w:val="Hipervnculo"/>
            <w:rFonts w:ascii="Palatino Linotype" w:eastAsiaTheme="majorEastAsia" w:hAnsi="Palatino Linotype" w:cs="Arial"/>
            <w:b/>
            <w:bCs/>
            <w:color w:val="auto"/>
            <w:sz w:val="24"/>
            <w:szCs w:val="24"/>
          </w:rPr>
          <w:t>LINKS SINDICATURA.docx</w:t>
        </w:r>
      </w:hyperlink>
      <w:r w:rsidR="00E77252" w:rsidRPr="00CF1480">
        <w:rPr>
          <w:rFonts w:ascii="Palatino Linotype" w:hAnsi="Palatino Linotype"/>
          <w:sz w:val="24"/>
          <w:szCs w:val="24"/>
        </w:rPr>
        <w:t xml:space="preserve">: documento en formato WORD, que contiene cuatro ligas electrónicas que remiten al IPOMEX del Sujeto Obligado. </w:t>
      </w:r>
    </w:p>
    <w:p w:rsidR="00E77252" w:rsidRPr="00CF1480" w:rsidRDefault="008B1B90" w:rsidP="00E77252">
      <w:pPr>
        <w:pStyle w:val="Prrafodelista"/>
        <w:numPr>
          <w:ilvl w:val="0"/>
          <w:numId w:val="9"/>
        </w:numPr>
        <w:tabs>
          <w:tab w:val="left" w:pos="426"/>
        </w:tabs>
        <w:spacing w:line="360" w:lineRule="auto"/>
        <w:jc w:val="both"/>
        <w:rPr>
          <w:rFonts w:ascii="Palatino Linotype" w:hAnsi="Palatino Linotype"/>
          <w:sz w:val="24"/>
          <w:szCs w:val="24"/>
        </w:rPr>
      </w:pPr>
      <w:hyperlink r:id="rId11" w:history="1">
        <w:r w:rsidR="00E77252" w:rsidRPr="00CF1480">
          <w:rPr>
            <w:rStyle w:val="Hipervnculo"/>
            <w:rFonts w:ascii="Palatino Linotype" w:eastAsiaTheme="majorEastAsia" w:hAnsi="Palatino Linotype" w:cs="Arial"/>
            <w:b/>
            <w:bCs/>
            <w:color w:val="auto"/>
            <w:sz w:val="24"/>
            <w:szCs w:val="24"/>
          </w:rPr>
          <w:t>266- SINDICATURA.PDF</w:t>
        </w:r>
      </w:hyperlink>
      <w:r w:rsidR="00E77252" w:rsidRPr="00CF1480">
        <w:rPr>
          <w:rFonts w:ascii="Palatino Linotype" w:hAnsi="Palatino Linotype"/>
          <w:sz w:val="24"/>
          <w:szCs w:val="24"/>
        </w:rPr>
        <w:t xml:space="preserve">: oficio número MET/SMM/670/2025 de fecha cuatro de septiembre de dos mil veinticinco, suscrito por la Sindica Municipal quien señaló que la información solicitada se localiza en el IPOMEX y en las ligas en formato abierto que entrega. </w:t>
      </w:r>
    </w:p>
    <w:p w:rsidR="00E77252" w:rsidRPr="00CF1480" w:rsidRDefault="008B1B90" w:rsidP="00E77252">
      <w:pPr>
        <w:pStyle w:val="Prrafodelista"/>
        <w:numPr>
          <w:ilvl w:val="0"/>
          <w:numId w:val="9"/>
        </w:numPr>
        <w:tabs>
          <w:tab w:val="left" w:pos="426"/>
        </w:tabs>
        <w:spacing w:line="360" w:lineRule="auto"/>
        <w:jc w:val="both"/>
        <w:rPr>
          <w:rFonts w:ascii="Palatino Linotype" w:hAnsi="Palatino Linotype"/>
          <w:sz w:val="24"/>
          <w:szCs w:val="24"/>
        </w:rPr>
      </w:pPr>
      <w:hyperlink r:id="rId12" w:history="1">
        <w:r w:rsidR="00E77252" w:rsidRPr="00CF1480">
          <w:rPr>
            <w:rStyle w:val="Hipervnculo"/>
            <w:rFonts w:ascii="Palatino Linotype" w:eastAsiaTheme="majorEastAsia" w:hAnsi="Palatino Linotype" w:cs="Arial"/>
            <w:b/>
            <w:bCs/>
            <w:color w:val="auto"/>
            <w:sz w:val="24"/>
            <w:szCs w:val="24"/>
          </w:rPr>
          <w:t>266-NM.PDF</w:t>
        </w:r>
      </w:hyperlink>
      <w:r w:rsidR="00E77252" w:rsidRPr="00CF1480">
        <w:rPr>
          <w:rFonts w:ascii="Palatino Linotype" w:hAnsi="Palatino Linotype"/>
          <w:sz w:val="24"/>
          <w:szCs w:val="24"/>
        </w:rPr>
        <w:t>:</w:t>
      </w:r>
      <w:r w:rsidR="00865947" w:rsidRPr="00CF1480">
        <w:rPr>
          <w:rFonts w:ascii="Palatino Linotype" w:hAnsi="Palatino Linotype"/>
          <w:sz w:val="24"/>
          <w:szCs w:val="24"/>
        </w:rPr>
        <w:t xml:space="preserve"> oficio DTYGA/MET/762/2025 suscrito por el Director de Transparencia y Gobierno Abierto y dirigido a la Síndica Municipal, para solicitar su informe justificado. </w:t>
      </w:r>
    </w:p>
    <w:p w:rsidR="00E77252" w:rsidRPr="00CF1480" w:rsidRDefault="008B1B90" w:rsidP="00E77252">
      <w:pPr>
        <w:pStyle w:val="Prrafodelista"/>
        <w:numPr>
          <w:ilvl w:val="0"/>
          <w:numId w:val="9"/>
        </w:numPr>
        <w:tabs>
          <w:tab w:val="left" w:pos="426"/>
        </w:tabs>
        <w:spacing w:line="360" w:lineRule="auto"/>
        <w:jc w:val="both"/>
        <w:rPr>
          <w:rFonts w:ascii="Palatino Linotype" w:hAnsi="Palatino Linotype"/>
          <w:sz w:val="24"/>
          <w:szCs w:val="24"/>
        </w:rPr>
      </w:pPr>
      <w:hyperlink r:id="rId13" w:history="1">
        <w:r w:rsidR="00E77252" w:rsidRPr="00CF1480">
          <w:rPr>
            <w:rStyle w:val="Hipervnculo"/>
            <w:rFonts w:ascii="Palatino Linotype" w:eastAsiaTheme="majorEastAsia" w:hAnsi="Palatino Linotype" w:cs="Arial"/>
            <w:b/>
            <w:bCs/>
            <w:color w:val="auto"/>
            <w:sz w:val="24"/>
            <w:szCs w:val="24"/>
          </w:rPr>
          <w:t>Solicitud 00266-METEPEC-iP-2025 f (2).pdf</w:t>
        </w:r>
      </w:hyperlink>
      <w:r w:rsidR="00E77252" w:rsidRPr="00CF1480">
        <w:rPr>
          <w:rFonts w:ascii="Palatino Linotype" w:hAnsi="Palatino Linotype"/>
          <w:sz w:val="24"/>
          <w:szCs w:val="24"/>
        </w:rPr>
        <w:t>:</w:t>
      </w:r>
      <w:r w:rsidR="00865947" w:rsidRPr="00CF1480">
        <w:rPr>
          <w:rFonts w:ascii="Palatino Linotype" w:hAnsi="Palatino Linotype"/>
          <w:sz w:val="24"/>
          <w:szCs w:val="24"/>
        </w:rPr>
        <w:t xml:space="preserve"> oficio número SA/SIT/0025/2025 de fecha trece de agosto de dos mil veinticinco, suscrito por el Secretario del Ayuntamiento, quien señaló que la información solicitada rebasa las capacidades del SAIMEX y solicitó el cambio de modalidad en la entrega de la información. </w:t>
      </w:r>
    </w:p>
    <w:p w:rsidR="00E77252" w:rsidRPr="00CF1480" w:rsidRDefault="008B1B90" w:rsidP="00865947">
      <w:pPr>
        <w:pStyle w:val="Prrafodelista"/>
        <w:numPr>
          <w:ilvl w:val="0"/>
          <w:numId w:val="9"/>
        </w:numPr>
        <w:tabs>
          <w:tab w:val="left" w:pos="426"/>
        </w:tabs>
        <w:spacing w:line="360" w:lineRule="auto"/>
        <w:jc w:val="both"/>
        <w:rPr>
          <w:rFonts w:ascii="Palatino Linotype" w:hAnsi="Palatino Linotype"/>
          <w:sz w:val="24"/>
          <w:szCs w:val="24"/>
        </w:rPr>
      </w:pPr>
      <w:hyperlink r:id="rId14" w:history="1">
        <w:r w:rsidR="00E77252" w:rsidRPr="00CF1480">
          <w:rPr>
            <w:rStyle w:val="Hipervnculo"/>
            <w:rFonts w:ascii="Palatino Linotype" w:eastAsiaTheme="majorEastAsia" w:hAnsi="Palatino Linotype" w:cs="Arial"/>
            <w:b/>
            <w:bCs/>
            <w:color w:val="auto"/>
            <w:sz w:val="24"/>
            <w:szCs w:val="24"/>
          </w:rPr>
          <w:t>HIPERVINCULO PARA DAR RESPUESTA AL RECURSO DE REVISIÓN DE 10118 (1).docx</w:t>
        </w:r>
      </w:hyperlink>
      <w:r w:rsidR="00E77252" w:rsidRPr="00CF1480">
        <w:rPr>
          <w:rFonts w:ascii="Palatino Linotype" w:hAnsi="Palatino Linotype"/>
          <w:sz w:val="24"/>
          <w:szCs w:val="24"/>
        </w:rPr>
        <w:t>:</w:t>
      </w:r>
      <w:r w:rsidR="00865947" w:rsidRPr="00CF1480">
        <w:rPr>
          <w:rFonts w:ascii="Palatino Linotype" w:hAnsi="Palatino Linotype"/>
          <w:sz w:val="24"/>
          <w:szCs w:val="24"/>
        </w:rPr>
        <w:t xml:space="preserve"> se adjuntó la liga electrónica que remite al Inventario de Bienes Inmuebles del segundo semestre de 2025. </w:t>
      </w:r>
    </w:p>
    <w:p w:rsidR="00A11E70" w:rsidRPr="00CF1480" w:rsidRDefault="008B1B90" w:rsidP="00E77252">
      <w:pPr>
        <w:pStyle w:val="Prrafodelista"/>
        <w:numPr>
          <w:ilvl w:val="0"/>
          <w:numId w:val="9"/>
        </w:numPr>
        <w:tabs>
          <w:tab w:val="left" w:pos="426"/>
        </w:tabs>
        <w:spacing w:line="360" w:lineRule="auto"/>
        <w:jc w:val="both"/>
        <w:rPr>
          <w:rFonts w:ascii="Palatino Linotype" w:eastAsia="Palatino Linotype" w:hAnsi="Palatino Linotype" w:cs="Palatino Linotype"/>
          <w:b/>
          <w:sz w:val="24"/>
          <w:szCs w:val="24"/>
        </w:rPr>
      </w:pPr>
      <w:hyperlink r:id="rId15" w:history="1">
        <w:r w:rsidR="00E77252" w:rsidRPr="00CF1480">
          <w:rPr>
            <w:rStyle w:val="Hipervnculo"/>
            <w:rFonts w:ascii="Palatino Linotype" w:eastAsiaTheme="majorEastAsia" w:hAnsi="Palatino Linotype" w:cs="Arial"/>
            <w:b/>
            <w:bCs/>
            <w:color w:val="auto"/>
            <w:sz w:val="24"/>
            <w:szCs w:val="24"/>
          </w:rPr>
          <w:t>Manifestaciones RR 10118-INFOEM-IP-RR-2025 F.pdf</w:t>
        </w:r>
      </w:hyperlink>
      <w:r w:rsidR="00E77252" w:rsidRPr="00CF1480">
        <w:rPr>
          <w:rFonts w:ascii="Palatino Linotype" w:hAnsi="Palatino Linotype"/>
          <w:sz w:val="24"/>
          <w:szCs w:val="24"/>
        </w:rPr>
        <w:t xml:space="preserve">: </w:t>
      </w:r>
      <w:r w:rsidR="00865947" w:rsidRPr="00CF1480">
        <w:rPr>
          <w:rFonts w:ascii="Palatino Linotype" w:eastAsia="Palatino Linotype" w:hAnsi="Palatino Linotype" w:cs="Palatino Linotype"/>
          <w:sz w:val="24"/>
          <w:szCs w:val="24"/>
        </w:rPr>
        <w:t xml:space="preserve">oficio número SA/1149/2025 de fecha diecisiete de septiembre de dos mil veinticinco, suscrito por el Secretario del Ayuntamiento quien señaló una liga electrónica para ingresar a IPOMEX del Sujeto Obligado y el procedimiento para entrar al </w:t>
      </w:r>
      <w:r w:rsidR="00BD0FD5" w:rsidRPr="00CF1480">
        <w:rPr>
          <w:rFonts w:ascii="Palatino Linotype" w:eastAsia="Palatino Linotype" w:hAnsi="Palatino Linotype" w:cs="Palatino Linotype"/>
          <w:sz w:val="24"/>
          <w:szCs w:val="24"/>
        </w:rPr>
        <w:t xml:space="preserve">Inventario de bienes, asimismo, señaló el cambio de modalidad en la entrega de la información por rebasar las capacidades del SAIMEX. </w:t>
      </w:r>
    </w:p>
    <w:p w:rsidR="00A11E70" w:rsidRPr="00CF1480" w:rsidRDefault="00A11E70" w:rsidP="00A11E70">
      <w:pPr>
        <w:spacing w:line="360" w:lineRule="auto"/>
        <w:rPr>
          <w:rFonts w:ascii="Palatino Linotype" w:eastAsia="Palatino Linotype" w:hAnsi="Palatino Linotype" w:cs="Palatino Linotype"/>
        </w:rPr>
      </w:pPr>
    </w:p>
    <w:p w:rsidR="00A11E70" w:rsidRPr="00CF1480" w:rsidRDefault="00A11E70" w:rsidP="00A11E70">
      <w:pPr>
        <w:numPr>
          <w:ilvl w:val="0"/>
          <w:numId w:val="2"/>
        </w:numP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El </w:t>
      </w:r>
      <w:r w:rsidRPr="00CF1480">
        <w:rPr>
          <w:rFonts w:ascii="Palatino Linotype" w:eastAsia="Palatino Linotype" w:hAnsi="Palatino Linotype" w:cs="Palatino Linotype"/>
          <w:b/>
          <w:color w:val="000000"/>
        </w:rPr>
        <w:t>veintiséis de enero de dos mil veintiséis</w:t>
      </w:r>
      <w:r w:rsidRPr="00CF1480">
        <w:rPr>
          <w:rFonts w:ascii="Palatino Linotype" w:eastAsia="Palatino Linotype" w:hAnsi="Palatino Linotype" w:cs="Palatino Linotype"/>
          <w:color w:val="000000"/>
        </w:rPr>
        <w:t xml:space="preserve">, se notificó el acuerdo mediante el cual se aprobó ampliación de plazo </w:t>
      </w:r>
      <w:r w:rsidRPr="00CF1480">
        <w:rPr>
          <w:rFonts w:ascii="Palatino Linotype" w:eastAsia="Palatino Linotype" w:hAnsi="Palatino Linotype" w:cs="Palatino Linotype"/>
        </w:rPr>
        <w:t>para</w:t>
      </w:r>
      <w:r w:rsidRPr="00CF1480">
        <w:rPr>
          <w:rFonts w:ascii="Palatino Linotype" w:eastAsia="Palatino Linotype" w:hAnsi="Palatino Linotype" w:cs="Palatino Linotype"/>
          <w:color w:val="000000"/>
        </w:rPr>
        <w:t xml:space="preserve"> emitir resolución. </w:t>
      </w:r>
    </w:p>
    <w:p w:rsidR="00A11E70" w:rsidRPr="00CF1480" w:rsidRDefault="00A11E70" w:rsidP="00A11E70">
      <w:pPr>
        <w:pStyle w:val="Prrafodelista"/>
        <w:rPr>
          <w:color w:val="000000"/>
          <w:sz w:val="24"/>
          <w:szCs w:val="24"/>
        </w:rPr>
      </w:pPr>
    </w:p>
    <w:p w:rsidR="00A11E70" w:rsidRPr="00CF1480" w:rsidRDefault="00A11E70" w:rsidP="00A11E70">
      <w:pPr>
        <w:numPr>
          <w:ilvl w:val="0"/>
          <w:numId w:val="2"/>
        </w:numPr>
        <w:tabs>
          <w:tab w:val="left" w:pos="567"/>
        </w:tabs>
        <w:spacing w:line="360" w:lineRule="auto"/>
        <w:ind w:left="0" w:firstLine="0"/>
        <w:jc w:val="both"/>
        <w:rPr>
          <w:color w:val="000000"/>
        </w:rPr>
      </w:pPr>
      <w:r w:rsidRPr="00CF1480">
        <w:rPr>
          <w:rFonts w:ascii="Palatino Linotype" w:hAnsi="Palatino Linotype"/>
          <w:color w:val="000000"/>
        </w:rPr>
        <w:lastRenderedPageBreak/>
        <w:t xml:space="preserve">El </w:t>
      </w:r>
      <w:r w:rsidRPr="00CF1480">
        <w:rPr>
          <w:rFonts w:ascii="Palatino Linotype" w:hAnsi="Palatino Linotype"/>
          <w:b/>
          <w:color w:val="000000"/>
        </w:rPr>
        <w:t>doce de mayo de dos mil veintiséis</w:t>
      </w:r>
      <w:r w:rsidRPr="00CF1480">
        <w:rPr>
          <w:rFonts w:ascii="Palatino Linotype" w:hAnsi="Palatino Linotype"/>
          <w:color w:val="000000"/>
        </w:rPr>
        <w:t>, se realizó un requerimiento de información adicional en el siguiente sentido:</w:t>
      </w:r>
    </w:p>
    <w:p w:rsidR="00BD0FD5" w:rsidRPr="00CF1480" w:rsidRDefault="00A11E70" w:rsidP="00BD0FD5">
      <w:pPr>
        <w:tabs>
          <w:tab w:val="left" w:pos="567"/>
        </w:tabs>
        <w:spacing w:line="360" w:lineRule="auto"/>
        <w:ind w:left="851" w:right="850"/>
        <w:jc w:val="both"/>
        <w:rPr>
          <w:rFonts w:ascii="Palatino Linotype" w:hAnsi="Palatino Linotype"/>
          <w:i/>
          <w:color w:val="000000"/>
        </w:rPr>
      </w:pPr>
      <w:r w:rsidRPr="00CF1480">
        <w:rPr>
          <w:rFonts w:ascii="Palatino Linotype" w:hAnsi="Palatino Linotype"/>
          <w:i/>
          <w:color w:val="000000"/>
        </w:rPr>
        <w:t>“</w:t>
      </w:r>
      <w:r w:rsidR="00BD0FD5" w:rsidRPr="00CF1480">
        <w:rPr>
          <w:rFonts w:ascii="Palatino Linotype" w:hAnsi="Palatino Linotype"/>
          <w:i/>
          <w:color w:val="000000"/>
        </w:rPr>
        <w:t xml:space="preserve">Por tanto, con fundamento en el artículo 14, fracciones I, II, V y XVI, del Reglamento Interior del Instituto de Transparencia, Acceso a la Información Pública y Protección de Datos Personales del Estado de México y Municipios, publicado en la Gaceta de Gobierno el 17 de noviembre de 2020, con el objeto de contar con los elementos necesarios para la elaboración del proyecto de resolución correspondiente, se requiere informe lo siguiente:  </w:t>
      </w:r>
    </w:p>
    <w:p w:rsidR="00BD0FD5" w:rsidRPr="00CF1480" w:rsidRDefault="00BD0FD5" w:rsidP="00BD0FD5">
      <w:pPr>
        <w:tabs>
          <w:tab w:val="left" w:pos="567"/>
        </w:tabs>
        <w:spacing w:line="360" w:lineRule="auto"/>
        <w:ind w:right="850"/>
        <w:jc w:val="both"/>
        <w:rPr>
          <w:rFonts w:ascii="Palatino Linotype" w:hAnsi="Palatino Linotype"/>
          <w:i/>
          <w:color w:val="000000"/>
        </w:rPr>
      </w:pPr>
    </w:p>
    <w:p w:rsidR="00BD0FD5" w:rsidRPr="00CF1480" w:rsidRDefault="00BD0FD5" w:rsidP="00BD0FD5">
      <w:pPr>
        <w:pStyle w:val="Prrafodelista"/>
        <w:numPr>
          <w:ilvl w:val="0"/>
          <w:numId w:val="10"/>
        </w:numPr>
        <w:tabs>
          <w:tab w:val="left" w:pos="567"/>
        </w:tabs>
        <w:spacing w:line="360" w:lineRule="auto"/>
        <w:ind w:right="850"/>
        <w:jc w:val="both"/>
        <w:rPr>
          <w:rFonts w:ascii="Palatino Linotype" w:hAnsi="Palatino Linotype"/>
          <w:i/>
          <w:color w:val="000000"/>
          <w:sz w:val="24"/>
          <w:szCs w:val="24"/>
        </w:rPr>
      </w:pPr>
      <w:r w:rsidRPr="00CF1480">
        <w:rPr>
          <w:rFonts w:ascii="Palatino Linotype" w:hAnsi="Palatino Linotype"/>
          <w:i/>
          <w:color w:val="000000"/>
          <w:sz w:val="24"/>
          <w:szCs w:val="24"/>
        </w:rPr>
        <w:t xml:space="preserve">Realice el reporte de incidencias ante la Dirección de Informática, en el área de soporte técnico de este Instituto de cada solicitud de información; </w:t>
      </w:r>
    </w:p>
    <w:p w:rsidR="00A11E70" w:rsidRPr="00CF1480" w:rsidRDefault="00BD0FD5" w:rsidP="00BD0FD5">
      <w:pPr>
        <w:pStyle w:val="Prrafodelista"/>
        <w:numPr>
          <w:ilvl w:val="0"/>
          <w:numId w:val="10"/>
        </w:numPr>
        <w:tabs>
          <w:tab w:val="left" w:pos="567"/>
        </w:tabs>
        <w:spacing w:line="360" w:lineRule="auto"/>
        <w:ind w:right="850"/>
        <w:jc w:val="both"/>
        <w:rPr>
          <w:rFonts w:ascii="Palatino Linotype" w:hAnsi="Palatino Linotype"/>
          <w:i/>
          <w:color w:val="000000"/>
          <w:sz w:val="24"/>
          <w:szCs w:val="24"/>
        </w:rPr>
      </w:pPr>
      <w:r w:rsidRPr="00CF1480">
        <w:rPr>
          <w:rFonts w:ascii="Palatino Linotype" w:hAnsi="Palatino Linotype"/>
          <w:i/>
          <w:color w:val="000000"/>
          <w:sz w:val="24"/>
          <w:szCs w:val="24"/>
        </w:rPr>
        <w:t>Acuerdo del Comité de Transparencia mediante el cual se apruebe ofrecer otros tipos de modalidad de consulta de información para el RECURRENTE.</w:t>
      </w:r>
      <w:r w:rsidR="00A11E70" w:rsidRPr="00CF1480">
        <w:rPr>
          <w:rFonts w:ascii="Palatino Linotype" w:hAnsi="Palatino Linotype"/>
          <w:i/>
          <w:color w:val="000000"/>
          <w:sz w:val="24"/>
          <w:szCs w:val="24"/>
        </w:rPr>
        <w:t xml:space="preserve">”. </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color w:val="000000"/>
        </w:rPr>
        <w:t xml:space="preserve">El </w:t>
      </w:r>
      <w:r w:rsidR="00BD0FD5" w:rsidRPr="00CF1480">
        <w:rPr>
          <w:rFonts w:ascii="Palatino Linotype" w:eastAsia="Palatino Linotype" w:hAnsi="Palatino Linotype" w:cs="Palatino Linotype"/>
          <w:b/>
          <w:color w:val="000000"/>
        </w:rPr>
        <w:t>trece</w:t>
      </w:r>
      <w:r w:rsidRPr="00CF1480">
        <w:rPr>
          <w:rFonts w:ascii="Palatino Linotype" w:eastAsia="Palatino Linotype" w:hAnsi="Palatino Linotype" w:cs="Palatino Linotype"/>
          <w:b/>
          <w:color w:val="000000"/>
        </w:rPr>
        <w:t xml:space="preserve"> de mayo de dos mil veintiséis</w:t>
      </w:r>
      <w:r w:rsidRPr="00CF1480">
        <w:rPr>
          <w:rFonts w:ascii="Palatino Linotype" w:eastAsia="Palatino Linotype" w:hAnsi="Palatino Linotype" w:cs="Palatino Linotype"/>
          <w:color w:val="000000"/>
        </w:rPr>
        <w:t>, el Sujeto Obligado dio respuesta al requerimiento de información adicional, al que adjuntó los documentos que se describen enseguida:</w:t>
      </w:r>
    </w:p>
    <w:p w:rsidR="00A11E70" w:rsidRPr="00CF1480" w:rsidRDefault="008B1B90" w:rsidP="00BD0FD5">
      <w:pPr>
        <w:pStyle w:val="Prrafodelista"/>
        <w:numPr>
          <w:ilvl w:val="0"/>
          <w:numId w:val="11"/>
        </w:numPr>
        <w:pBdr>
          <w:top w:val="nil"/>
          <w:left w:val="nil"/>
          <w:bottom w:val="nil"/>
          <w:right w:val="nil"/>
          <w:between w:val="nil"/>
        </w:pBdr>
        <w:tabs>
          <w:tab w:val="left" w:pos="426"/>
        </w:tabs>
        <w:spacing w:line="360" w:lineRule="auto"/>
        <w:jc w:val="both"/>
        <w:rPr>
          <w:rFonts w:ascii="Palatino Linotype" w:hAnsi="Palatino Linotype"/>
          <w:sz w:val="24"/>
          <w:szCs w:val="24"/>
        </w:rPr>
      </w:pPr>
      <w:hyperlink r:id="rId16" w:history="1">
        <w:r w:rsidR="00BD0FD5" w:rsidRPr="00CF1480">
          <w:rPr>
            <w:rStyle w:val="Hipervnculo"/>
            <w:rFonts w:ascii="Palatino Linotype" w:eastAsiaTheme="majorEastAsia" w:hAnsi="Palatino Linotype" w:cs="Arial"/>
            <w:b/>
            <w:bCs/>
            <w:color w:val="auto"/>
            <w:sz w:val="24"/>
            <w:szCs w:val="24"/>
          </w:rPr>
          <w:t>5A. SESIÓN ORDINARIA.pdf</w:t>
        </w:r>
      </w:hyperlink>
      <w:r w:rsidR="00BD0FD5" w:rsidRPr="00CF1480">
        <w:rPr>
          <w:rFonts w:ascii="Palatino Linotype" w:hAnsi="Palatino Linotype"/>
          <w:sz w:val="24"/>
          <w:szCs w:val="24"/>
        </w:rPr>
        <w:t>:</w:t>
      </w:r>
      <w:r w:rsidR="00D77C80" w:rsidRPr="00CF1480">
        <w:rPr>
          <w:rFonts w:ascii="Palatino Linotype" w:hAnsi="Palatino Linotype"/>
          <w:sz w:val="24"/>
          <w:szCs w:val="24"/>
        </w:rPr>
        <w:t xml:space="preserve"> Acta de la quinta sesión ordinaria del Comité de Transparencia del Ayuntamiento de Metepec, en el que se aprobó el cambio de modalidad en la entrega de la información a consulta directa. </w:t>
      </w:r>
    </w:p>
    <w:p w:rsidR="00BD0FD5" w:rsidRPr="00CF1480" w:rsidRDefault="008B1B90" w:rsidP="00BD0FD5">
      <w:pPr>
        <w:pStyle w:val="Prrafodelista"/>
        <w:numPr>
          <w:ilvl w:val="0"/>
          <w:numId w:val="11"/>
        </w:numPr>
        <w:pBdr>
          <w:top w:val="nil"/>
          <w:left w:val="nil"/>
          <w:bottom w:val="nil"/>
          <w:right w:val="nil"/>
          <w:between w:val="nil"/>
        </w:pBdr>
        <w:tabs>
          <w:tab w:val="left" w:pos="426"/>
        </w:tabs>
        <w:spacing w:line="360" w:lineRule="auto"/>
        <w:jc w:val="both"/>
        <w:rPr>
          <w:rFonts w:ascii="Palatino Linotype" w:hAnsi="Palatino Linotype"/>
          <w:sz w:val="24"/>
          <w:szCs w:val="24"/>
        </w:rPr>
      </w:pPr>
      <w:hyperlink r:id="rId17" w:history="1">
        <w:r w:rsidR="00BD0FD5" w:rsidRPr="00CF1480">
          <w:rPr>
            <w:rStyle w:val="Hipervnculo"/>
            <w:rFonts w:ascii="Palatino Linotype" w:eastAsiaTheme="majorEastAsia" w:hAnsi="Palatino Linotype" w:cs="Arial"/>
            <w:b/>
            <w:bCs/>
            <w:color w:val="auto"/>
            <w:sz w:val="24"/>
            <w:szCs w:val="24"/>
          </w:rPr>
          <w:t>OF. 331-2026 REQUERIMIENTO 10118-2025.PDF</w:t>
        </w:r>
      </w:hyperlink>
      <w:r w:rsidR="00BD0FD5" w:rsidRPr="00CF1480">
        <w:rPr>
          <w:rFonts w:ascii="Palatino Linotype" w:hAnsi="Palatino Linotype"/>
          <w:sz w:val="24"/>
          <w:szCs w:val="24"/>
        </w:rPr>
        <w:t>:</w:t>
      </w:r>
      <w:r w:rsidR="00D77C80" w:rsidRPr="00CF1480">
        <w:rPr>
          <w:rFonts w:ascii="Palatino Linotype" w:hAnsi="Palatino Linotype"/>
          <w:sz w:val="24"/>
          <w:szCs w:val="24"/>
        </w:rPr>
        <w:t xml:space="preserve"> oficio número DTYGA/MET/331/2026 de fecha trece de mayo de dos mil veintiséis, suscrito por el Director de Transparencia y Gobierno Abierto, </w:t>
      </w:r>
      <w:r w:rsidR="00175C55" w:rsidRPr="00CF1480">
        <w:rPr>
          <w:rFonts w:ascii="Palatino Linotype" w:hAnsi="Palatino Linotype"/>
          <w:sz w:val="24"/>
          <w:szCs w:val="24"/>
        </w:rPr>
        <w:t xml:space="preserve">quien señaló que se adjunta el reporte de incidencias y Acta de la Quinta Sesión Ordinaria del Comité de Transparencia. </w:t>
      </w:r>
    </w:p>
    <w:p w:rsidR="00BD0FD5" w:rsidRPr="00CF1480" w:rsidRDefault="008B1B90" w:rsidP="00BD0FD5">
      <w:pPr>
        <w:pStyle w:val="Prrafodelista"/>
        <w:numPr>
          <w:ilvl w:val="0"/>
          <w:numId w:val="11"/>
        </w:numPr>
        <w:pBdr>
          <w:top w:val="nil"/>
          <w:left w:val="nil"/>
          <w:bottom w:val="nil"/>
          <w:right w:val="nil"/>
          <w:between w:val="nil"/>
        </w:pBdr>
        <w:tabs>
          <w:tab w:val="left" w:pos="426"/>
        </w:tabs>
        <w:spacing w:line="360" w:lineRule="auto"/>
        <w:jc w:val="both"/>
        <w:rPr>
          <w:rFonts w:ascii="Palatino Linotype" w:hAnsi="Palatino Linotype"/>
          <w:sz w:val="24"/>
          <w:szCs w:val="24"/>
        </w:rPr>
      </w:pPr>
      <w:hyperlink r:id="rId18" w:history="1">
        <w:r w:rsidR="00BD0FD5" w:rsidRPr="00CF1480">
          <w:rPr>
            <w:rStyle w:val="Hipervnculo"/>
            <w:rFonts w:ascii="Palatino Linotype" w:eastAsiaTheme="majorEastAsia" w:hAnsi="Palatino Linotype" w:cs="Arial"/>
            <w:b/>
            <w:bCs/>
            <w:color w:val="auto"/>
            <w:sz w:val="24"/>
            <w:szCs w:val="24"/>
          </w:rPr>
          <w:t>CAMBIO MOD. SOL.266.pdf</w:t>
        </w:r>
      </w:hyperlink>
      <w:r w:rsidR="00BD0FD5" w:rsidRPr="00CF1480">
        <w:rPr>
          <w:rFonts w:ascii="Palatino Linotype" w:hAnsi="Palatino Linotype"/>
          <w:sz w:val="24"/>
          <w:szCs w:val="24"/>
        </w:rPr>
        <w:t>:</w:t>
      </w:r>
      <w:r w:rsidR="00175C55" w:rsidRPr="00CF1480">
        <w:rPr>
          <w:rFonts w:ascii="Palatino Linotype" w:hAnsi="Palatino Linotype"/>
          <w:sz w:val="24"/>
          <w:szCs w:val="24"/>
        </w:rPr>
        <w:t xml:space="preserve"> reporte de incidencias ante la Dirección General de Informática del Instituto de Transparencia, Acceso a la Información y Protección de Datos Personales del Estado de México y Municipios. </w:t>
      </w:r>
    </w:p>
    <w:p w:rsidR="00BD0FD5" w:rsidRPr="00CF1480" w:rsidRDefault="00BD0FD5" w:rsidP="00A11E70">
      <w:pPr>
        <w:pBdr>
          <w:top w:val="nil"/>
          <w:left w:val="nil"/>
          <w:bottom w:val="nil"/>
          <w:right w:val="nil"/>
          <w:between w:val="nil"/>
        </w:pBdr>
        <w:tabs>
          <w:tab w:val="left" w:pos="426"/>
        </w:tabs>
        <w:spacing w:line="360" w:lineRule="auto"/>
        <w:jc w:val="both"/>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color w:val="000000"/>
        </w:rPr>
        <w:t>Posteriormente, la</w:t>
      </w:r>
      <w:r w:rsidRPr="00CF1480">
        <w:rPr>
          <w:rFonts w:ascii="Palatino Linotype" w:eastAsia="Palatino Linotype" w:hAnsi="Palatino Linotype" w:cs="Palatino Linotype"/>
          <w:b/>
          <w:color w:val="000000"/>
        </w:rPr>
        <w:t xml:space="preserve"> Comisionada María del Rosario Mejía Ayala</w:t>
      </w:r>
      <w:r w:rsidRPr="00CF1480">
        <w:rPr>
          <w:rFonts w:ascii="Palatino Linotype" w:eastAsia="Palatino Linotype" w:hAnsi="Palatino Linotype" w:cs="Palatino Linotype"/>
          <w:color w:val="000000"/>
        </w:rPr>
        <w:t xml:space="preserve"> decretó el cierre de i</w:t>
      </w:r>
      <w:r w:rsidR="00175C55" w:rsidRPr="00CF1480">
        <w:rPr>
          <w:rFonts w:ascii="Palatino Linotype" w:eastAsia="Palatino Linotype" w:hAnsi="Palatino Linotype" w:cs="Palatino Linotype"/>
          <w:color w:val="000000"/>
        </w:rPr>
        <w:t xml:space="preserve">nstrucción mediante acuerdo que se notificó el </w:t>
      </w:r>
      <w:r w:rsidR="00175C55" w:rsidRPr="00CF1480">
        <w:rPr>
          <w:rFonts w:ascii="Palatino Linotype" w:eastAsia="Palatino Linotype" w:hAnsi="Palatino Linotype" w:cs="Palatino Linotype"/>
          <w:b/>
          <w:color w:val="000000"/>
        </w:rPr>
        <w:t>veinte</w:t>
      </w:r>
      <w:r w:rsidRPr="00CF1480">
        <w:rPr>
          <w:rFonts w:ascii="Palatino Linotype" w:eastAsia="Palatino Linotype" w:hAnsi="Palatino Linotype" w:cs="Palatino Linotype"/>
          <w:b/>
          <w:color w:val="000000"/>
        </w:rPr>
        <w:t xml:space="preserve"> de mayo de dos mil veintiséis. </w:t>
      </w:r>
    </w:p>
    <w:p w:rsidR="00A11E70" w:rsidRPr="00CF1480" w:rsidRDefault="00A11E70" w:rsidP="00A11E70">
      <w:pPr>
        <w:pBdr>
          <w:top w:val="nil"/>
          <w:left w:val="nil"/>
          <w:bottom w:val="nil"/>
          <w:right w:val="nil"/>
          <w:between w:val="nil"/>
        </w:pBdr>
        <w:tabs>
          <w:tab w:val="left" w:pos="426"/>
        </w:tabs>
        <w:spacing w:line="360" w:lineRule="auto"/>
        <w:ind w:left="3479"/>
        <w:jc w:val="both"/>
        <w:rPr>
          <w:rFonts w:ascii="Palatino Linotype" w:eastAsia="Palatino Linotype" w:hAnsi="Palatino Linotype" w:cs="Palatino Linotype"/>
        </w:rPr>
      </w:pPr>
    </w:p>
    <w:p w:rsidR="00A11E70" w:rsidRPr="00CF1480" w:rsidRDefault="00A11E70" w:rsidP="00A11E70">
      <w:pPr>
        <w:pStyle w:val="Ttulo1"/>
        <w:spacing w:line="360" w:lineRule="auto"/>
        <w:jc w:val="center"/>
        <w:rPr>
          <w:rFonts w:ascii="Palatino Linotype" w:eastAsia="Palatino Linotype" w:hAnsi="Palatino Linotype" w:cs="Palatino Linotype"/>
          <w:b/>
          <w:color w:val="000000"/>
          <w:sz w:val="24"/>
          <w:szCs w:val="24"/>
        </w:rPr>
      </w:pPr>
      <w:bookmarkStart w:id="2" w:name="_heading=h.1fob9te" w:colFirst="0" w:colLast="0"/>
      <w:bookmarkEnd w:id="2"/>
      <w:r w:rsidRPr="00CF1480">
        <w:rPr>
          <w:rFonts w:ascii="Palatino Linotype" w:eastAsia="Palatino Linotype" w:hAnsi="Palatino Linotype" w:cs="Palatino Linotype"/>
          <w:b/>
          <w:color w:val="000000"/>
          <w:sz w:val="24"/>
          <w:szCs w:val="24"/>
        </w:rPr>
        <w:t>C O N S I D E R A N D O</w:t>
      </w:r>
    </w:p>
    <w:p w:rsidR="00A11E70" w:rsidRPr="00CF1480" w:rsidRDefault="00A11E70" w:rsidP="00A11E70">
      <w:pPr>
        <w:pStyle w:val="Ttulo1"/>
        <w:spacing w:line="360" w:lineRule="auto"/>
        <w:rPr>
          <w:rFonts w:ascii="Palatino Linotype" w:eastAsia="Palatino Linotype" w:hAnsi="Palatino Linotype" w:cs="Palatino Linotype"/>
          <w:b/>
          <w:color w:val="000000"/>
          <w:sz w:val="24"/>
          <w:szCs w:val="24"/>
        </w:rPr>
      </w:pPr>
      <w:bookmarkStart w:id="3" w:name="_heading=h.3znysh7" w:colFirst="0" w:colLast="0"/>
      <w:bookmarkEnd w:id="3"/>
      <w:r w:rsidRPr="00CF1480">
        <w:rPr>
          <w:rFonts w:ascii="Palatino Linotype" w:eastAsia="Palatino Linotype" w:hAnsi="Palatino Linotype" w:cs="Palatino Linotype"/>
          <w:b/>
          <w:color w:val="000000"/>
          <w:sz w:val="24"/>
          <w:szCs w:val="24"/>
        </w:rPr>
        <w:t>PRIMERO. De la competencia.</w:t>
      </w:r>
    </w:p>
    <w:p w:rsidR="00A11E70" w:rsidRPr="00CF1480" w:rsidRDefault="00A11E70" w:rsidP="00A11E70">
      <w:pPr>
        <w:numPr>
          <w:ilvl w:val="0"/>
          <w:numId w:val="2"/>
        </w:numPr>
        <w:pBdr>
          <w:top w:val="nil"/>
          <w:left w:val="nil"/>
          <w:bottom w:val="nil"/>
          <w:right w:val="nil"/>
          <w:between w:val="nil"/>
        </w:pBdr>
        <w:tabs>
          <w:tab w:val="left" w:pos="0"/>
          <w:tab w:val="left" w:pos="567"/>
        </w:tabs>
        <w:spacing w:line="360" w:lineRule="auto"/>
        <w:ind w:left="0" w:firstLine="0"/>
        <w:jc w:val="both"/>
        <w:rPr>
          <w:color w:val="000000"/>
        </w:rPr>
      </w:pPr>
      <w:bookmarkStart w:id="4" w:name="_heading=h.2et92p0" w:colFirst="0" w:colLast="0"/>
      <w:bookmarkEnd w:id="4"/>
      <w:r w:rsidRPr="00CF1480">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CF1480">
        <w:rPr>
          <w:rFonts w:ascii="Palatino Linotype" w:eastAsia="Palatino Linotype" w:hAnsi="Palatino Linotype" w:cs="Palatino Linotype"/>
          <w:b/>
        </w:rPr>
        <w:t>Constitución Política de los Estados Unidos Mexicanos</w:t>
      </w:r>
      <w:r w:rsidRPr="00CF1480">
        <w:rPr>
          <w:rFonts w:ascii="Palatino Linotype" w:eastAsia="Palatino Linotype" w:hAnsi="Palatino Linotype" w:cs="Palatino Linotype"/>
        </w:rPr>
        <w:t xml:space="preserve">; 5, párrafos trigésimo noveno, cuadragésimo y cuadragésimo primero fracciones IV y V, de la </w:t>
      </w:r>
      <w:r w:rsidRPr="00CF1480">
        <w:rPr>
          <w:rFonts w:ascii="Palatino Linotype" w:eastAsia="Palatino Linotype" w:hAnsi="Palatino Linotype" w:cs="Palatino Linotype"/>
          <w:b/>
        </w:rPr>
        <w:t>Constitución Política del Estado Libre y Soberano de México</w:t>
      </w:r>
      <w:r w:rsidRPr="00CF1480">
        <w:rPr>
          <w:rFonts w:ascii="Palatino Linotype" w:eastAsia="Palatino Linotype" w:hAnsi="Palatino Linotype" w:cs="Palatino Linotype"/>
        </w:rPr>
        <w:t xml:space="preserve">; artículos 1, 2 fracción II, 13, 29, 36 fracciones I y II, 176, 178, 179, 181 párrafo tercero y 185 de la </w:t>
      </w:r>
      <w:r w:rsidRPr="00CF1480">
        <w:rPr>
          <w:rFonts w:ascii="Palatino Linotype" w:eastAsia="Palatino Linotype" w:hAnsi="Palatino Linotype" w:cs="Palatino Linotype"/>
          <w:b/>
        </w:rPr>
        <w:t>Ley de Transparencia y Acceso a la Información Pública del Estado de México y Municipios</w:t>
      </w:r>
      <w:r w:rsidRPr="00CF1480">
        <w:rPr>
          <w:rFonts w:ascii="Palatino Linotype" w:eastAsia="Palatino Linotype" w:hAnsi="Palatino Linotype" w:cs="Palatino Linotype"/>
        </w:rPr>
        <w:t xml:space="preserve">; y 7, 9 fracciones I y XXIII, y 11 del </w:t>
      </w:r>
      <w:r w:rsidRPr="00CF1480">
        <w:rPr>
          <w:rFonts w:ascii="Palatino Linotype" w:eastAsia="Palatino Linotype" w:hAnsi="Palatino Linotype" w:cs="Palatino Linotype"/>
          <w:b/>
        </w:rPr>
        <w:t>Reglamento Interior del Instituto de Transparencia, Acceso a la Información Pública y Protección de Datos Personales del Estado de México y Municipios.</w:t>
      </w:r>
    </w:p>
    <w:p w:rsidR="00A11E70" w:rsidRPr="00CF1480" w:rsidRDefault="00A11E70" w:rsidP="00A11E70">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color w:val="000000"/>
        </w:rPr>
      </w:pPr>
    </w:p>
    <w:p w:rsidR="00A11E70" w:rsidRPr="00CF1480" w:rsidRDefault="00A11E70" w:rsidP="00A11E70">
      <w:pPr>
        <w:pBdr>
          <w:top w:val="nil"/>
          <w:left w:val="nil"/>
          <w:bottom w:val="nil"/>
          <w:right w:val="nil"/>
          <w:between w:val="nil"/>
        </w:pBdr>
        <w:tabs>
          <w:tab w:val="left" w:pos="0"/>
          <w:tab w:val="left" w:pos="567"/>
        </w:tabs>
        <w:spacing w:after="160" w:line="360" w:lineRule="auto"/>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color w:val="000000"/>
        </w:rPr>
        <w:t>SEGUNDO. De la oportunidad y procedencia.</w:t>
      </w:r>
    </w:p>
    <w:p w:rsidR="00A11E70" w:rsidRPr="00CF1480" w:rsidRDefault="00A11E70" w:rsidP="00A11E70">
      <w:pPr>
        <w:numPr>
          <w:ilvl w:val="0"/>
          <w:numId w:val="2"/>
        </w:numPr>
        <w:spacing w:line="360" w:lineRule="auto"/>
        <w:ind w:left="0" w:firstLine="0"/>
        <w:jc w:val="both"/>
      </w:pPr>
      <w:r w:rsidRPr="00CF1480">
        <w:rPr>
          <w:rFonts w:ascii="Palatino Linotype" w:eastAsia="Palatino Linotype" w:hAnsi="Palatino Linotype" w:cs="Palatino Linotype"/>
        </w:rPr>
        <w:t xml:space="preserve">El medio de impugnación fue presentado a través del </w:t>
      </w:r>
      <w:r w:rsidRPr="00CF1480">
        <w:rPr>
          <w:rFonts w:ascii="Palatino Linotype" w:eastAsia="Palatino Linotype" w:hAnsi="Palatino Linotype" w:cs="Palatino Linotype"/>
          <w:b/>
        </w:rPr>
        <w:t>SAIMEX,</w:t>
      </w:r>
      <w:r w:rsidRPr="00CF1480">
        <w:rPr>
          <w:rFonts w:ascii="Palatino Linotype" w:eastAsia="Palatino Linotype" w:hAnsi="Palatino Linotype" w:cs="Palatino Linotype"/>
        </w:rPr>
        <w:t xml:space="preserve"> en el formato previamente aprobado para tal efecto y dentro del plazo legal de quince días hábiles </w:t>
      </w:r>
      <w:r w:rsidRPr="00CF1480">
        <w:rPr>
          <w:rFonts w:ascii="Palatino Linotype" w:eastAsia="Palatino Linotype" w:hAnsi="Palatino Linotype" w:cs="Palatino Linotype"/>
        </w:rPr>
        <w:lastRenderedPageBreak/>
        <w:t xml:space="preserve">otorgados; siendo así que el </w:t>
      </w:r>
      <w:r w:rsidRPr="00CF1480">
        <w:rPr>
          <w:rFonts w:ascii="Palatino Linotype" w:eastAsia="Palatino Linotype" w:hAnsi="Palatino Linotype" w:cs="Palatino Linotype"/>
          <w:b/>
        </w:rPr>
        <w:t>SUJETO OBLIGADO</w:t>
      </w:r>
      <w:r w:rsidRPr="00CF1480">
        <w:rPr>
          <w:rFonts w:ascii="Palatino Linotype" w:eastAsia="Palatino Linotype" w:hAnsi="Palatino Linotype" w:cs="Palatino Linotype"/>
        </w:rPr>
        <w:t xml:space="preserve"> entregó respuesta a la solicitud el día </w:t>
      </w:r>
      <w:r w:rsidR="00175C55" w:rsidRPr="00CF1480">
        <w:rPr>
          <w:rFonts w:ascii="Palatino Linotype" w:eastAsia="Palatino Linotype" w:hAnsi="Palatino Linotype" w:cs="Palatino Linotype"/>
          <w:b/>
        </w:rPr>
        <w:t>catorce de agosto</w:t>
      </w:r>
      <w:r w:rsidRPr="00CF1480">
        <w:rPr>
          <w:rFonts w:ascii="Palatino Linotype" w:eastAsia="Palatino Linotype" w:hAnsi="Palatino Linotype" w:cs="Palatino Linotype"/>
          <w:b/>
        </w:rPr>
        <w:t xml:space="preserve"> de dos mil veinticinco</w:t>
      </w:r>
      <w:r w:rsidRPr="00CF1480">
        <w:rPr>
          <w:rFonts w:ascii="Palatino Linotype" w:eastAsia="Palatino Linotype" w:hAnsi="Palatino Linotype" w:cs="Palatino Linotype"/>
        </w:rPr>
        <w:t xml:space="preserve">, de tal forma que el plazo para interponer el recurso de revisión transcurrió del </w:t>
      </w:r>
      <w:r w:rsidR="00175C55" w:rsidRPr="00CF1480">
        <w:rPr>
          <w:rFonts w:ascii="Palatino Linotype" w:eastAsia="Palatino Linotype" w:hAnsi="Palatino Linotype" w:cs="Palatino Linotype"/>
          <w:b/>
        </w:rPr>
        <w:t>quince de agosto al cuatro de septiembre</w:t>
      </w:r>
      <w:r w:rsidRPr="00CF1480">
        <w:rPr>
          <w:rFonts w:ascii="Palatino Linotype" w:eastAsia="Palatino Linotype" w:hAnsi="Palatino Linotype" w:cs="Palatino Linotype"/>
          <w:b/>
        </w:rPr>
        <w:t xml:space="preserve"> de dos mil veinticinco</w:t>
      </w:r>
      <w:r w:rsidRPr="00CF1480">
        <w:rPr>
          <w:rFonts w:ascii="Palatino Linotype" w:eastAsia="Palatino Linotype" w:hAnsi="Palatino Linotype" w:cs="Palatino Linotype"/>
        </w:rPr>
        <w:t xml:space="preserve">; en consecuencia, presentó su inconformidad el </w:t>
      </w:r>
      <w:r w:rsidR="00175C55" w:rsidRPr="00CF1480">
        <w:rPr>
          <w:rFonts w:ascii="Palatino Linotype" w:eastAsia="Palatino Linotype" w:hAnsi="Palatino Linotype" w:cs="Palatino Linotype"/>
          <w:b/>
        </w:rPr>
        <w:t>veintisiete de agosto</w:t>
      </w:r>
      <w:r w:rsidRPr="00CF1480">
        <w:rPr>
          <w:rFonts w:ascii="Palatino Linotype" w:eastAsia="Palatino Linotype" w:hAnsi="Palatino Linotype" w:cs="Palatino Linotype"/>
          <w:b/>
        </w:rPr>
        <w:t xml:space="preserve"> de dos mil veinticinco</w:t>
      </w:r>
      <w:r w:rsidRPr="00CF1480">
        <w:rPr>
          <w:rFonts w:ascii="Palatino Linotype" w:eastAsia="Palatino Linotype" w:hAnsi="Palatino Linotype" w:cs="Palatino Linotype"/>
        </w:rPr>
        <w:t xml:space="preserve">, por lo que se encuentra dentro de los márgenes temporales previstos en el artículo 3, fracción X y 178 de la </w:t>
      </w:r>
      <w:r w:rsidRPr="00CF1480">
        <w:rPr>
          <w:rFonts w:ascii="Palatino Linotype" w:eastAsia="Palatino Linotype" w:hAnsi="Palatino Linotype" w:cs="Palatino Linotype"/>
          <w:b/>
        </w:rPr>
        <w:t xml:space="preserve">Ley de Transparencia y Acceso a la Información Pública del Estado de México y Municipios </w:t>
      </w:r>
      <w:r w:rsidRPr="00CF1480">
        <w:rPr>
          <w:rFonts w:ascii="Palatino Linotype" w:eastAsia="Palatino Linotype" w:hAnsi="Palatino Linotype" w:cs="Palatino Linotype"/>
        </w:rPr>
        <w:t>vigente.</w:t>
      </w:r>
    </w:p>
    <w:p w:rsidR="00175C55" w:rsidRPr="00CF1480" w:rsidRDefault="00175C55" w:rsidP="00175C55">
      <w:pPr>
        <w:spacing w:line="360" w:lineRule="auto"/>
        <w:jc w:val="both"/>
      </w:pPr>
    </w:p>
    <w:p w:rsidR="00175C55" w:rsidRPr="00CF1480" w:rsidRDefault="00175C55" w:rsidP="00175C55">
      <w:pPr>
        <w:numPr>
          <w:ilvl w:val="0"/>
          <w:numId w:val="2"/>
        </w:numPr>
        <w:spacing w:line="360" w:lineRule="auto"/>
        <w:ind w:left="0" w:firstLine="0"/>
        <w:contextualSpacing/>
        <w:jc w:val="both"/>
        <w:rPr>
          <w:rFonts w:ascii="Palatino Linotype" w:eastAsia="Calibri" w:hAnsi="Palatino Linotype" w:cs="Arial"/>
          <w:lang w:val="es-ES_tradnl"/>
        </w:rPr>
      </w:pPr>
      <w:r w:rsidRPr="00CF1480">
        <w:rPr>
          <w:rFonts w:ascii="Palatino Linotype" w:eastAsia="Calibri" w:hAnsi="Palatino Linotype" w:cs="Arial"/>
          <w:lang w:val="es-ES_tradnl"/>
        </w:rPr>
        <w:t xml:space="preserve">Por otra parte, de la revisión al expediente electrónico del </w:t>
      </w:r>
      <w:r w:rsidRPr="00CF1480">
        <w:rPr>
          <w:rFonts w:ascii="Palatino Linotype" w:eastAsia="Calibri" w:hAnsi="Palatino Linotype" w:cs="Arial"/>
          <w:b/>
          <w:lang w:val="es-ES_tradnl"/>
        </w:rPr>
        <w:t>SAIMEX</w:t>
      </w:r>
      <w:r w:rsidRPr="00CF1480">
        <w:rPr>
          <w:rFonts w:ascii="Palatino Linotype" w:eastAsia="Calibri" w:hAnsi="Palatino Linotype" w:cs="Arial"/>
          <w:lang w:val="es-ES_tradnl"/>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175C55" w:rsidRPr="00CF1480" w:rsidRDefault="00175C55" w:rsidP="00175C55">
      <w:pPr>
        <w:pStyle w:val="Prrafodelista"/>
        <w:ind w:left="0"/>
        <w:rPr>
          <w:rFonts w:ascii="Palatino Linotype" w:eastAsia="Calibri" w:hAnsi="Palatino Linotype" w:cs="Arial"/>
          <w:sz w:val="24"/>
          <w:szCs w:val="24"/>
          <w:lang w:val="es-ES_tradnl" w:eastAsia="es-ES"/>
        </w:rPr>
      </w:pPr>
    </w:p>
    <w:p w:rsidR="00175C55" w:rsidRPr="00CF1480" w:rsidRDefault="00175C55" w:rsidP="00175C55">
      <w:pPr>
        <w:numPr>
          <w:ilvl w:val="0"/>
          <w:numId w:val="2"/>
        </w:numPr>
        <w:spacing w:line="360" w:lineRule="auto"/>
        <w:ind w:left="0" w:firstLine="0"/>
        <w:contextualSpacing/>
        <w:jc w:val="both"/>
        <w:rPr>
          <w:rFonts w:ascii="Palatino Linotype" w:eastAsia="Calibri" w:hAnsi="Palatino Linotype" w:cs="Arial"/>
          <w:lang w:val="es-ES_tradnl"/>
        </w:rPr>
      </w:pPr>
      <w:r w:rsidRPr="00CF1480">
        <w:rPr>
          <w:rFonts w:ascii="Palatino Linotype" w:eastAsia="Calibri" w:hAnsi="Palatino Linotype" w:cs="Arial"/>
          <w:lang w:val="es-ES_tradnl"/>
        </w:rPr>
        <w:t xml:space="preserve">Esto es así, ya que de conformidad con los artículos 6, Apartado A, fracciones III y IV de la Constitución Política de los Estados Unidos Mexicanos y </w:t>
      </w:r>
      <w:r w:rsidRPr="00CF1480">
        <w:rPr>
          <w:rFonts w:ascii="Palatino Linotype" w:eastAsia="Calibri" w:hAnsi="Palatino Linotype" w:cs="Arial"/>
          <w:bCs/>
        </w:rPr>
        <w:t>5, párrafos vigésimo, vigésimo primero y vigésimo segundo fracciones IV y V </w:t>
      </w:r>
      <w:r w:rsidRPr="00CF1480">
        <w:rPr>
          <w:rFonts w:ascii="Palatino Linotype" w:eastAsia="Calibri" w:hAnsi="Palatino Linotype" w:cs="Arial"/>
          <w:lang w:val="es-ES_tradnl"/>
        </w:rPr>
        <w:t xml:space="preserve">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w:t>
      </w:r>
      <w:r w:rsidRPr="00CF1480">
        <w:rPr>
          <w:rFonts w:ascii="Palatino Linotype" w:eastAsia="Calibri" w:hAnsi="Palatino Linotype" w:cs="Arial"/>
          <w:lang w:val="es-ES_tradnl"/>
        </w:rPr>
        <w:lastRenderedPageBreak/>
        <w:t>organismos autónomos especializados e imparciales que establece la Constitución Federal y local.</w:t>
      </w:r>
    </w:p>
    <w:p w:rsidR="00175C55" w:rsidRPr="00CF1480" w:rsidRDefault="00175C55" w:rsidP="00175C55">
      <w:pPr>
        <w:pStyle w:val="Prrafodelista"/>
        <w:ind w:left="0"/>
        <w:rPr>
          <w:rFonts w:ascii="Palatino Linotype" w:eastAsia="Calibri" w:hAnsi="Palatino Linotype" w:cs="Arial"/>
          <w:sz w:val="24"/>
          <w:szCs w:val="24"/>
          <w:lang w:val="es-ES_tradnl" w:eastAsia="es-ES"/>
        </w:rPr>
      </w:pPr>
    </w:p>
    <w:p w:rsidR="00175C55" w:rsidRPr="00CF1480" w:rsidRDefault="00175C55" w:rsidP="00175C55">
      <w:pPr>
        <w:numPr>
          <w:ilvl w:val="0"/>
          <w:numId w:val="2"/>
        </w:numPr>
        <w:spacing w:line="360" w:lineRule="auto"/>
        <w:ind w:left="0" w:firstLine="0"/>
        <w:contextualSpacing/>
        <w:jc w:val="both"/>
        <w:rPr>
          <w:rFonts w:ascii="Palatino Linotype" w:eastAsia="Calibri" w:hAnsi="Palatino Linotype" w:cs="Arial"/>
          <w:lang w:val="es-ES_tradnl"/>
        </w:rPr>
      </w:pPr>
      <w:r w:rsidRPr="00CF1480">
        <w:rPr>
          <w:rFonts w:ascii="Palatino Linotype" w:eastAsia="Calibri" w:hAnsi="Palatino Linotype" w:cs="Arial"/>
          <w:lang w:val="es-ES_tradnl"/>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175C55" w:rsidRPr="00CF1480" w:rsidRDefault="00175C55" w:rsidP="00175C55">
      <w:pPr>
        <w:pStyle w:val="Prrafodelista"/>
        <w:ind w:left="0"/>
        <w:rPr>
          <w:rFonts w:ascii="Palatino Linotype" w:eastAsia="Calibri" w:hAnsi="Palatino Linotype" w:cs="Arial"/>
          <w:sz w:val="24"/>
          <w:szCs w:val="24"/>
          <w:lang w:val="es-ES_tradnl" w:eastAsia="es-ES"/>
        </w:rPr>
      </w:pPr>
    </w:p>
    <w:p w:rsidR="00175C55" w:rsidRPr="00CF1480" w:rsidRDefault="00175C55" w:rsidP="00175C55">
      <w:pPr>
        <w:numPr>
          <w:ilvl w:val="0"/>
          <w:numId w:val="2"/>
        </w:numPr>
        <w:spacing w:line="360" w:lineRule="auto"/>
        <w:ind w:left="0" w:firstLine="0"/>
        <w:contextualSpacing/>
        <w:jc w:val="both"/>
        <w:rPr>
          <w:rFonts w:ascii="Palatino Linotype" w:eastAsia="Calibri" w:hAnsi="Palatino Linotype" w:cs="Arial"/>
          <w:lang w:val="es-ES_tradnl"/>
        </w:rPr>
      </w:pPr>
      <w:r w:rsidRPr="00CF1480">
        <w:rPr>
          <w:rFonts w:ascii="Palatino Linotype" w:eastAsia="Calibri" w:hAnsi="Palatino Linotype" w:cs="Arial"/>
          <w:lang w:val="es-ES_tradnl"/>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175C55" w:rsidRPr="00CF1480" w:rsidRDefault="00175C55" w:rsidP="00175C55">
      <w:pPr>
        <w:pStyle w:val="Prrafodelista"/>
        <w:ind w:left="0"/>
        <w:rPr>
          <w:rFonts w:ascii="Palatino Linotype" w:eastAsia="Calibri" w:hAnsi="Palatino Linotype" w:cs="Arial"/>
          <w:sz w:val="24"/>
          <w:szCs w:val="24"/>
          <w:lang w:val="es-ES_tradnl" w:eastAsia="es-ES"/>
        </w:rPr>
      </w:pPr>
    </w:p>
    <w:p w:rsidR="00175C55" w:rsidRPr="00CF1480" w:rsidRDefault="00175C55" w:rsidP="00175C55">
      <w:pPr>
        <w:numPr>
          <w:ilvl w:val="0"/>
          <w:numId w:val="2"/>
        </w:numPr>
        <w:spacing w:line="360" w:lineRule="auto"/>
        <w:ind w:left="0" w:firstLine="0"/>
        <w:contextualSpacing/>
        <w:jc w:val="both"/>
        <w:rPr>
          <w:rFonts w:ascii="Palatino Linotype" w:eastAsia="Calibri" w:hAnsi="Palatino Linotype" w:cs="Arial"/>
          <w:lang w:val="es-ES_tradnl"/>
        </w:rPr>
      </w:pPr>
      <w:r w:rsidRPr="00CF1480">
        <w:rPr>
          <w:rFonts w:ascii="Palatino Linotype" w:eastAsia="Calibri" w:hAnsi="Palatino Linotype" w:cs="Arial"/>
          <w:lang w:val="es-ES_tradnl"/>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A11E70" w:rsidRPr="00CF1480" w:rsidRDefault="00A11E70" w:rsidP="00A11E70">
      <w:pPr>
        <w:rPr>
          <w:rFonts w:ascii="Palatino Linotype" w:eastAsia="Palatino Linotype" w:hAnsi="Palatino Linotype" w:cs="Palatino Linotype"/>
          <w:i/>
        </w:rPr>
      </w:pPr>
    </w:p>
    <w:p w:rsidR="00A11E70" w:rsidRPr="00CF1480" w:rsidRDefault="00A11E70" w:rsidP="00A11E70">
      <w:pPr>
        <w:numPr>
          <w:ilvl w:val="0"/>
          <w:numId w:val="2"/>
        </w:numPr>
        <w:spacing w:line="360" w:lineRule="auto"/>
        <w:ind w:left="0" w:firstLine="0"/>
        <w:jc w:val="both"/>
      </w:pPr>
      <w:r w:rsidRPr="00CF1480">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11E70" w:rsidRPr="00CF1480" w:rsidRDefault="00A11E70" w:rsidP="00A11E70">
      <w:pPr>
        <w:pStyle w:val="Ttulo1"/>
        <w:spacing w:line="360" w:lineRule="auto"/>
        <w:rPr>
          <w:rFonts w:ascii="Palatino Linotype" w:eastAsia="Palatino Linotype" w:hAnsi="Palatino Linotype" w:cs="Palatino Linotype"/>
          <w:b/>
          <w:i/>
          <w:color w:val="000000"/>
          <w:sz w:val="24"/>
          <w:szCs w:val="24"/>
        </w:rPr>
      </w:pPr>
      <w:bookmarkStart w:id="5" w:name="_heading=h.tyjcwt" w:colFirst="0" w:colLast="0"/>
      <w:bookmarkEnd w:id="5"/>
      <w:r w:rsidRPr="00CF1480">
        <w:rPr>
          <w:rFonts w:ascii="Palatino Linotype" w:eastAsia="Palatino Linotype" w:hAnsi="Palatino Linotype" w:cs="Palatino Linotype"/>
          <w:b/>
          <w:color w:val="000000"/>
          <w:sz w:val="24"/>
          <w:szCs w:val="24"/>
        </w:rPr>
        <w:lastRenderedPageBreak/>
        <w:t>TERCERO. Del planteamiento de la Litis</w:t>
      </w:r>
    </w:p>
    <w:p w:rsidR="00900667" w:rsidRPr="00CF1480" w:rsidRDefault="00900667" w:rsidP="00A11E70">
      <w:pPr>
        <w:numPr>
          <w:ilvl w:val="0"/>
          <w:numId w:val="2"/>
        </w:numPr>
        <w:spacing w:line="360" w:lineRule="auto"/>
        <w:ind w:left="0" w:firstLine="0"/>
        <w:jc w:val="both"/>
      </w:pPr>
      <w:r w:rsidRPr="00CF1480">
        <w:rPr>
          <w:rFonts w:ascii="Palatino Linotype" w:eastAsia="Palatino Linotype" w:hAnsi="Palatino Linotype" w:cs="Palatino Linotype"/>
        </w:rPr>
        <w:t>El particular solicitó</w:t>
      </w:r>
      <w:r w:rsidR="000A596C" w:rsidRPr="00CF1480">
        <w:rPr>
          <w:rFonts w:ascii="Palatino Linotype" w:eastAsia="Palatino Linotype" w:hAnsi="Palatino Linotype" w:cs="Palatino Linotype"/>
        </w:rPr>
        <w:t xml:space="preserve"> la siguiente información, del primero de enero de dos mil veintidós al treinta y uno de diciembre de dos mil veinticuatro:</w:t>
      </w:r>
    </w:p>
    <w:p w:rsidR="00900667" w:rsidRPr="00CF1480" w:rsidRDefault="00A11E70" w:rsidP="00A11E70">
      <w:pPr>
        <w:pStyle w:val="Prrafodelista"/>
        <w:numPr>
          <w:ilvl w:val="0"/>
          <w:numId w:val="13"/>
        </w:numPr>
        <w:spacing w:line="360" w:lineRule="auto"/>
        <w:jc w:val="both"/>
        <w:rPr>
          <w:sz w:val="24"/>
          <w:szCs w:val="24"/>
        </w:rPr>
      </w:pPr>
      <w:r w:rsidRPr="00CF1480">
        <w:rPr>
          <w:rFonts w:ascii="Palatino Linotype" w:eastAsia="Palatino Linotype" w:hAnsi="Palatino Linotype" w:cs="Palatino Linotype"/>
          <w:sz w:val="24"/>
          <w:szCs w:val="24"/>
        </w:rPr>
        <w:t xml:space="preserve"> </w:t>
      </w:r>
      <w:r w:rsidR="00900667" w:rsidRPr="00CF1480">
        <w:rPr>
          <w:rFonts w:ascii="Palatino Linotype" w:hAnsi="Palatino Linotype"/>
          <w:color w:val="000000"/>
          <w:sz w:val="24"/>
          <w:szCs w:val="24"/>
        </w:rPr>
        <w:t xml:space="preserve">Inventario general de bienes inmuebles propiedad municipal; </w:t>
      </w:r>
    </w:p>
    <w:p w:rsidR="00900667" w:rsidRPr="00CF1480" w:rsidRDefault="00900667" w:rsidP="00A11E70">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Registro administrativo de la Propiedad Pública Municipal, con las respectivas referencias de títulos y documentos, decretos, adjudicaciones, decomisos, concesiones, resoluciones y sentencias, convenios administrativos y acuerdos, y demás referencias realizadas;</w:t>
      </w:r>
    </w:p>
    <w:p w:rsidR="00900667" w:rsidRPr="00CF1480" w:rsidRDefault="00900667"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 xml:space="preserve">Expedientes técnicos generados respecto a los actos o movimientos de adquisición, altas y bajas de los bienes inmuebles municipales; </w:t>
      </w:r>
    </w:p>
    <w:p w:rsidR="00900667" w:rsidRPr="00CF1480" w:rsidRDefault="00900667"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 xml:space="preserve">Información contenida en el Sistema de Control Patrimonial CREG- patrimonial, respecto a los bienes inmuebles municipales; </w:t>
      </w:r>
    </w:p>
    <w:p w:rsidR="00900667" w:rsidRPr="00CF1480" w:rsidRDefault="00900667"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 xml:space="preserve">Información contenida en el Sistema de Información Inmobiliaria, con los bienes del dominio público y privado de los inmuebles municipales; </w:t>
      </w:r>
    </w:p>
    <w:p w:rsidR="00FC7922" w:rsidRPr="00CF1480" w:rsidRDefault="00900667"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 xml:space="preserve">Criterios adoptados para llevar a cabo los procedimientos conducentes a la recuperación y baja de los bienes inmuebles propiedad municipal; </w:t>
      </w:r>
    </w:p>
    <w:p w:rsidR="000A596C" w:rsidRPr="00CF1480" w:rsidRDefault="00FC7922"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V</w:t>
      </w:r>
      <w:r w:rsidR="00900667" w:rsidRPr="00CF1480">
        <w:rPr>
          <w:rFonts w:ascii="Palatino Linotype" w:hAnsi="Palatino Linotype"/>
          <w:color w:val="000000"/>
          <w:sz w:val="24"/>
          <w:szCs w:val="24"/>
        </w:rPr>
        <w:t>alidación realizada a los resultados finales de los trabajos relacionados con los levantamientos físicos de bienes</w:t>
      </w:r>
      <w:r w:rsidR="000A596C" w:rsidRPr="00CF1480">
        <w:rPr>
          <w:rFonts w:ascii="Palatino Linotype" w:hAnsi="Palatino Linotype"/>
          <w:color w:val="000000"/>
          <w:sz w:val="24"/>
          <w:szCs w:val="24"/>
        </w:rPr>
        <w:t xml:space="preserve"> inmuebles municipales; </w:t>
      </w:r>
    </w:p>
    <w:p w:rsidR="000A596C" w:rsidRPr="00CF1480" w:rsidRDefault="000A596C"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M</w:t>
      </w:r>
      <w:r w:rsidR="00900667" w:rsidRPr="00CF1480">
        <w:rPr>
          <w:rFonts w:ascii="Palatino Linotype" w:hAnsi="Palatino Linotype"/>
          <w:color w:val="000000"/>
          <w:sz w:val="24"/>
          <w:szCs w:val="24"/>
        </w:rPr>
        <w:t>edidas adoptadas tendientes al cumplimiento de los acuerdos celebrados por el Comité de Bienes Muebles e Inmuebles, en los relacionado con los</w:t>
      </w:r>
      <w:r w:rsidRPr="00CF1480">
        <w:rPr>
          <w:rFonts w:ascii="Palatino Linotype" w:hAnsi="Palatino Linotype"/>
          <w:color w:val="000000"/>
          <w:sz w:val="24"/>
          <w:szCs w:val="24"/>
        </w:rPr>
        <w:t xml:space="preserve"> inmuebles municipales; </w:t>
      </w:r>
    </w:p>
    <w:p w:rsidR="000A596C" w:rsidRPr="00CF1480" w:rsidRDefault="000A596C"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B</w:t>
      </w:r>
      <w:r w:rsidR="00900667" w:rsidRPr="00CF1480">
        <w:rPr>
          <w:rFonts w:ascii="Palatino Linotype" w:hAnsi="Palatino Linotype"/>
          <w:color w:val="000000"/>
          <w:sz w:val="24"/>
          <w:szCs w:val="24"/>
        </w:rPr>
        <w:t>ajas o altas en los Inventarios Generale</w:t>
      </w:r>
      <w:r w:rsidRPr="00CF1480">
        <w:rPr>
          <w:rFonts w:ascii="Palatino Linotype" w:hAnsi="Palatino Linotype"/>
          <w:color w:val="000000"/>
          <w:sz w:val="24"/>
          <w:szCs w:val="24"/>
        </w:rPr>
        <w:t xml:space="preserve">s de Bienes Inmuebles; </w:t>
      </w:r>
    </w:p>
    <w:p w:rsidR="000A596C" w:rsidRPr="00CF1480" w:rsidRDefault="000A596C"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I</w:t>
      </w:r>
      <w:r w:rsidR="00900667" w:rsidRPr="00CF1480">
        <w:rPr>
          <w:rFonts w:ascii="Palatino Linotype" w:hAnsi="Palatino Linotype"/>
          <w:color w:val="000000"/>
          <w:sz w:val="24"/>
          <w:szCs w:val="24"/>
        </w:rPr>
        <w:t>nformes trimestrales realizados al Ayuntamiento u autoridades competentes, respecto a los bienes inmuebles munici</w:t>
      </w:r>
      <w:r w:rsidRPr="00CF1480">
        <w:rPr>
          <w:rFonts w:ascii="Palatino Linotype" w:hAnsi="Palatino Linotype"/>
          <w:color w:val="000000"/>
          <w:sz w:val="24"/>
          <w:szCs w:val="24"/>
        </w:rPr>
        <w:t xml:space="preserve">pales; </w:t>
      </w:r>
    </w:p>
    <w:p w:rsidR="000A596C" w:rsidRPr="00CF1480" w:rsidRDefault="000A596C"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lastRenderedPageBreak/>
        <w:t>L</w:t>
      </w:r>
      <w:r w:rsidR="00900667" w:rsidRPr="00CF1480">
        <w:rPr>
          <w:rFonts w:ascii="Palatino Linotype" w:hAnsi="Palatino Linotype"/>
          <w:color w:val="000000"/>
          <w:sz w:val="24"/>
          <w:szCs w:val="24"/>
        </w:rPr>
        <w:t>ineamientos que sirvieron de Bases Generales para la realización de los levantamientos físicos de lo</w:t>
      </w:r>
      <w:r w:rsidRPr="00CF1480">
        <w:rPr>
          <w:rFonts w:ascii="Palatino Linotype" w:hAnsi="Palatino Linotype"/>
          <w:color w:val="000000"/>
          <w:sz w:val="24"/>
          <w:szCs w:val="24"/>
        </w:rPr>
        <w:t>s bienes inmuebles; y</w:t>
      </w:r>
    </w:p>
    <w:p w:rsidR="00A11E70" w:rsidRPr="00CF1480" w:rsidRDefault="000A596C" w:rsidP="00900667">
      <w:pPr>
        <w:pStyle w:val="Prrafodelista"/>
        <w:numPr>
          <w:ilvl w:val="0"/>
          <w:numId w:val="13"/>
        </w:numPr>
        <w:spacing w:line="360" w:lineRule="auto"/>
        <w:jc w:val="both"/>
        <w:rPr>
          <w:sz w:val="24"/>
          <w:szCs w:val="24"/>
        </w:rPr>
      </w:pPr>
      <w:r w:rsidRPr="00CF1480">
        <w:rPr>
          <w:rFonts w:ascii="Palatino Linotype" w:hAnsi="Palatino Linotype"/>
          <w:color w:val="000000"/>
          <w:sz w:val="24"/>
          <w:szCs w:val="24"/>
        </w:rPr>
        <w:t>R</w:t>
      </w:r>
      <w:r w:rsidR="00900667" w:rsidRPr="00CF1480">
        <w:rPr>
          <w:rFonts w:ascii="Palatino Linotype" w:hAnsi="Palatino Linotype"/>
          <w:color w:val="000000"/>
          <w:sz w:val="24"/>
          <w:szCs w:val="24"/>
        </w:rPr>
        <w:t>egistros integrados al Libro Especial, con los resp</w:t>
      </w:r>
      <w:r w:rsidRPr="00CF1480">
        <w:rPr>
          <w:rFonts w:ascii="Palatino Linotype" w:hAnsi="Palatino Linotype"/>
          <w:color w:val="000000"/>
          <w:sz w:val="24"/>
          <w:szCs w:val="24"/>
        </w:rPr>
        <w:t>ectivos movimientos realizados.</w:t>
      </w:r>
    </w:p>
    <w:p w:rsidR="00900667" w:rsidRPr="00CF1480" w:rsidRDefault="00900667" w:rsidP="00A11E70">
      <w:pPr>
        <w:spacing w:line="360" w:lineRule="auto"/>
        <w:jc w:val="both"/>
        <w:rPr>
          <w:rFonts w:ascii="Verdana" w:hAnsi="Verdana"/>
          <w:color w:val="000000"/>
        </w:rPr>
      </w:pPr>
    </w:p>
    <w:p w:rsidR="00900667" w:rsidRPr="00CF1480" w:rsidRDefault="00900667" w:rsidP="00A11E70">
      <w:pPr>
        <w:spacing w:line="360" w:lineRule="auto"/>
        <w:jc w:val="both"/>
      </w:pPr>
    </w:p>
    <w:p w:rsidR="000A596C" w:rsidRPr="00CF1480" w:rsidRDefault="00A11E70" w:rsidP="000A596C">
      <w:pPr>
        <w:numPr>
          <w:ilvl w:val="0"/>
          <w:numId w:val="2"/>
        </w:numPr>
        <w:spacing w:line="360" w:lineRule="auto"/>
        <w:ind w:left="0" w:firstLine="0"/>
        <w:jc w:val="both"/>
      </w:pPr>
      <w:r w:rsidRPr="00CF1480">
        <w:rPr>
          <w:rFonts w:ascii="Palatino Linotype" w:eastAsia="Palatino Linotype" w:hAnsi="Palatino Linotype" w:cs="Palatino Linotype"/>
        </w:rPr>
        <w:t xml:space="preserve">En respuesta, el SUJETO OBLIGADO realizó el cambio de modalidad para la entrega de la información a consulta directa. Posteriormente, el particular se inconformó por el cambio de modalidad. </w:t>
      </w:r>
      <w:r w:rsidR="000A596C" w:rsidRPr="00CF1480">
        <w:rPr>
          <w:rFonts w:ascii="Palatino Linotype" w:eastAsia="Palatino Linotype" w:hAnsi="Palatino Linotype" w:cs="Palatino Linotype"/>
        </w:rPr>
        <w:t xml:space="preserve"> </w:t>
      </w:r>
    </w:p>
    <w:p w:rsidR="00CF1480" w:rsidRPr="00CF1480" w:rsidRDefault="00CF1480" w:rsidP="00CF1480">
      <w:pPr>
        <w:spacing w:line="360" w:lineRule="auto"/>
        <w:jc w:val="both"/>
      </w:pPr>
    </w:p>
    <w:p w:rsidR="00A11E70" w:rsidRPr="00CF1480" w:rsidRDefault="00A11E70" w:rsidP="000A596C">
      <w:pPr>
        <w:numPr>
          <w:ilvl w:val="0"/>
          <w:numId w:val="2"/>
        </w:numPr>
        <w:spacing w:line="360" w:lineRule="auto"/>
        <w:ind w:left="0" w:firstLine="0"/>
        <w:jc w:val="both"/>
      </w:pPr>
      <w:r w:rsidRPr="00CF1480">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w:t>
      </w:r>
      <w:r w:rsidR="000A596C" w:rsidRPr="00CF1480">
        <w:rPr>
          <w:rFonts w:ascii="Palatino Linotype" w:eastAsia="Palatino Linotype" w:hAnsi="Palatino Linotype" w:cs="Palatino Linotype"/>
        </w:rPr>
        <w:t>la notificación, entrega o puesta a disposición de información en una modalidad o formato distinto al solicitado;</w:t>
      </w:r>
    </w:p>
    <w:p w:rsidR="00A11E70" w:rsidRPr="00CF1480" w:rsidRDefault="00A11E70" w:rsidP="00A11E70">
      <w:pPr>
        <w:pStyle w:val="Ttulo1"/>
        <w:spacing w:line="360" w:lineRule="auto"/>
        <w:rPr>
          <w:rFonts w:ascii="Palatino Linotype" w:eastAsia="Palatino Linotype" w:hAnsi="Palatino Linotype" w:cs="Palatino Linotype"/>
          <w:b/>
          <w:color w:val="000000"/>
          <w:sz w:val="24"/>
          <w:szCs w:val="24"/>
        </w:rPr>
      </w:pPr>
      <w:bookmarkStart w:id="6" w:name="_heading=h.3dy6vkm" w:colFirst="0" w:colLast="0"/>
      <w:bookmarkEnd w:id="6"/>
      <w:r w:rsidRPr="00CF1480">
        <w:rPr>
          <w:rFonts w:ascii="Palatino Linotype" w:eastAsia="Palatino Linotype" w:hAnsi="Palatino Linotype" w:cs="Palatino Linotype"/>
          <w:b/>
          <w:color w:val="000000"/>
          <w:sz w:val="24"/>
          <w:szCs w:val="24"/>
        </w:rPr>
        <w:t xml:space="preserve">CUARTO. Estudio y resolución del recurso de revisión. </w:t>
      </w:r>
    </w:p>
    <w:p w:rsidR="00A11E70" w:rsidRPr="00CF1480" w:rsidRDefault="00A11E70" w:rsidP="00A11E70">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CF1480">
        <w:rPr>
          <w:rFonts w:ascii="Palatino Linotype" w:eastAsia="Palatino Linotype" w:hAnsi="Palatino Linotype" w:cs="Palatino Linotype"/>
          <w:b/>
          <w:color w:val="000000"/>
        </w:rPr>
        <w:t>Ley de Transparencia y Acceso a la Información Pública del Estado de México y Municipios</w:t>
      </w:r>
      <w:r w:rsidRPr="00CF1480">
        <w:rPr>
          <w:rFonts w:ascii="Palatino Linotype" w:eastAsia="Palatino Linotype" w:hAnsi="Palatino Linotype" w:cs="Palatino Linotype"/>
          <w:color w:val="000000"/>
        </w:rPr>
        <w:t>.</w:t>
      </w:r>
    </w:p>
    <w:p w:rsidR="000A596C" w:rsidRPr="00CF1480" w:rsidRDefault="000A596C" w:rsidP="000A596C">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color w:val="000000"/>
        </w:rPr>
      </w:pPr>
      <w:bookmarkStart w:id="7" w:name="_heading=h.4d34og8" w:colFirst="0" w:colLast="0"/>
      <w:bookmarkEnd w:id="7"/>
    </w:p>
    <w:p w:rsidR="00A11E70" w:rsidRPr="00CF1480" w:rsidRDefault="00A11E70" w:rsidP="00A11E70">
      <w:pPr>
        <w:numPr>
          <w:ilvl w:val="0"/>
          <w:numId w:val="2"/>
        </w:numPr>
        <w:tabs>
          <w:tab w:val="left" w:pos="0"/>
          <w:tab w:val="left" w:pos="567"/>
        </w:tabs>
        <w:spacing w:after="240" w:line="360" w:lineRule="auto"/>
        <w:ind w:left="0" w:firstLine="0"/>
        <w:jc w:val="both"/>
      </w:pPr>
      <w:r w:rsidRPr="00CF1480">
        <w:rPr>
          <w:rFonts w:ascii="Palatino Linotype" w:eastAsia="Palatino Linotype" w:hAnsi="Palatino Linotype" w:cs="Palatino Linotype"/>
          <w:color w:val="000000"/>
        </w:rPr>
        <w:lastRenderedPageBreak/>
        <w:t>En este sentido, este Instituto de Transparencia, de conformidad con los principios de eficacia y profesionalismo</w:t>
      </w:r>
      <w:r w:rsidRPr="00CF1480">
        <w:rPr>
          <w:rFonts w:ascii="Palatino Linotype" w:eastAsia="Palatino Linotype" w:hAnsi="Palatino Linotype" w:cs="Palatino Linotype"/>
          <w:color w:val="000000"/>
          <w:vertAlign w:val="superscript"/>
        </w:rPr>
        <w:footnoteReference w:id="1"/>
      </w:r>
      <w:r w:rsidRPr="00CF1480">
        <w:rPr>
          <w:rFonts w:ascii="Palatino Linotype" w:eastAsia="Palatino Linotype" w:hAnsi="Palatino Linotype" w:cs="Palatino Linotype"/>
          <w:color w:val="000000"/>
        </w:rPr>
        <w:t xml:space="preserve">, procederá a verificar la información remitida por el </w:t>
      </w:r>
      <w:r w:rsidRPr="00CF1480">
        <w:rPr>
          <w:rFonts w:ascii="Palatino Linotype" w:eastAsia="Palatino Linotype" w:hAnsi="Palatino Linotype" w:cs="Palatino Linotype"/>
          <w:b/>
          <w:color w:val="000000"/>
        </w:rPr>
        <w:t>SUJETO OBLIGADO y</w:t>
      </w:r>
      <w:r w:rsidRPr="00CF1480">
        <w:rPr>
          <w:rFonts w:ascii="Palatino Linotype" w:eastAsia="Palatino Linotype" w:hAnsi="Palatino Linotype" w:cs="Palatino Linotype"/>
          <w:color w:val="000000"/>
        </w:rPr>
        <w:t xml:space="preserve"> las manifestaciones realizadas por el </w:t>
      </w:r>
      <w:r w:rsidRPr="00CF1480">
        <w:rPr>
          <w:rFonts w:ascii="Palatino Linotype" w:eastAsia="Palatino Linotype" w:hAnsi="Palatino Linotype" w:cs="Palatino Linotype"/>
          <w:b/>
        </w:rPr>
        <w:t>SOLICITANTE</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A11E70" w:rsidRPr="00CF1480" w:rsidRDefault="00A11E70" w:rsidP="00A11E70">
      <w:pPr>
        <w:numPr>
          <w:ilvl w:val="0"/>
          <w:numId w:val="1"/>
        </w:numPr>
        <w:pBdr>
          <w:top w:val="nil"/>
          <w:left w:val="nil"/>
          <w:bottom w:val="nil"/>
          <w:right w:val="nil"/>
          <w:between w:val="nil"/>
        </w:pBdr>
        <w:tabs>
          <w:tab w:val="left" w:pos="0"/>
          <w:tab w:val="left" w:pos="567"/>
        </w:tabs>
        <w:spacing w:before="240" w:after="240" w:line="360" w:lineRule="auto"/>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color w:val="000000"/>
        </w:rPr>
        <w:t xml:space="preserve">De la naturaleza de la información solicitada. </w:t>
      </w:r>
    </w:p>
    <w:p w:rsidR="00A11E70" w:rsidRPr="00CF1480" w:rsidRDefault="00A11E70" w:rsidP="00A11E70">
      <w:pPr>
        <w:numPr>
          <w:ilvl w:val="0"/>
          <w:numId w:val="2"/>
        </w:numPr>
        <w:tabs>
          <w:tab w:val="left" w:pos="0"/>
          <w:tab w:val="left" w:pos="567"/>
        </w:tabs>
        <w:spacing w:before="240" w:line="360" w:lineRule="auto"/>
        <w:ind w:left="0" w:firstLine="0"/>
        <w:jc w:val="both"/>
      </w:pPr>
      <w:r w:rsidRPr="00CF1480">
        <w:rPr>
          <w:rFonts w:ascii="Palatino Linotype" w:eastAsia="Palatino Linotype" w:hAnsi="Palatino Linotype" w:cs="Palatino Linotype"/>
        </w:rPr>
        <w:t xml:space="preserve">Primeramente, se precisa que se obvia el análisis de la competencia por parte del </w:t>
      </w:r>
      <w:r w:rsidRPr="00CF1480">
        <w:rPr>
          <w:rFonts w:ascii="Palatino Linotype" w:eastAsia="Palatino Linotype" w:hAnsi="Palatino Linotype" w:cs="Palatino Linotype"/>
          <w:b/>
        </w:rPr>
        <w:t>SUJETO OBLIGADO</w:t>
      </w:r>
      <w:r w:rsidRPr="00CF1480">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 tan es así que realizó cambio de modalidad en la entrega de la información.</w:t>
      </w:r>
    </w:p>
    <w:p w:rsidR="00A11E70" w:rsidRPr="00CF1480" w:rsidRDefault="00A11E70" w:rsidP="00A11E70">
      <w:pPr>
        <w:tabs>
          <w:tab w:val="left" w:pos="0"/>
          <w:tab w:val="left" w:pos="567"/>
        </w:tabs>
        <w:spacing w:line="360" w:lineRule="auto"/>
        <w:jc w:val="both"/>
        <w:rPr>
          <w:rFonts w:ascii="Palatino Linotype" w:eastAsia="Palatino Linotype" w:hAnsi="Palatino Linotype" w:cs="Palatino Linotype"/>
        </w:rPr>
      </w:pPr>
    </w:p>
    <w:p w:rsidR="00A11E70" w:rsidRPr="00CF1480" w:rsidRDefault="00A11E70" w:rsidP="00A11E70">
      <w:pPr>
        <w:numPr>
          <w:ilvl w:val="0"/>
          <w:numId w:val="2"/>
        </w:numPr>
        <w:tabs>
          <w:tab w:val="left" w:pos="0"/>
          <w:tab w:val="left" w:pos="567"/>
        </w:tabs>
        <w:spacing w:after="240" w:line="360" w:lineRule="auto"/>
        <w:ind w:left="0" w:firstLine="0"/>
        <w:jc w:val="both"/>
      </w:pPr>
      <w:bookmarkStart w:id="8" w:name="_heading=h.2s8eyo1" w:colFirst="0" w:colLast="0"/>
      <w:bookmarkEnd w:id="8"/>
      <w:r w:rsidRPr="00CF1480">
        <w:rPr>
          <w:rFonts w:ascii="Palatino Linotype" w:eastAsia="Palatino Linotype" w:hAnsi="Palatino Linotype" w:cs="Palatino Linotype"/>
        </w:rPr>
        <w:t xml:space="preserve">En efecto, el hecho de que </w:t>
      </w:r>
      <w:r w:rsidRPr="00CF1480">
        <w:rPr>
          <w:rFonts w:ascii="Palatino Linotype" w:eastAsia="Palatino Linotype" w:hAnsi="Palatino Linotype" w:cs="Palatino Linotype"/>
          <w:b/>
        </w:rPr>
        <w:t>EL SUJETO OBLIGADO</w:t>
      </w:r>
      <w:r w:rsidRPr="00CF1480">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A11E70" w:rsidRPr="00CF1480" w:rsidRDefault="00A11E70" w:rsidP="00A11E70">
      <w:pPr>
        <w:ind w:left="851"/>
        <w:jc w:val="both"/>
        <w:rPr>
          <w:rFonts w:ascii="Palatino Linotype" w:eastAsia="Palatino Linotype" w:hAnsi="Palatino Linotype" w:cs="Palatino Linotype"/>
          <w:i/>
        </w:rPr>
      </w:pPr>
      <w:r w:rsidRPr="00CF1480">
        <w:rPr>
          <w:rFonts w:ascii="Palatino Linotype" w:eastAsia="Palatino Linotype" w:hAnsi="Palatino Linotype" w:cs="Palatino Linotype"/>
          <w:i/>
        </w:rPr>
        <w:t>“</w:t>
      </w:r>
      <w:r w:rsidRPr="00CF1480">
        <w:rPr>
          <w:rFonts w:ascii="Palatino Linotype" w:eastAsia="Palatino Linotype" w:hAnsi="Palatino Linotype" w:cs="Palatino Linotype"/>
          <w:b/>
          <w:i/>
        </w:rPr>
        <w:t>Artículo 12.</w:t>
      </w:r>
      <w:r w:rsidRPr="00CF1480">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A11E70" w:rsidRPr="00CF1480" w:rsidRDefault="00A11E70" w:rsidP="00A11E70">
      <w:pPr>
        <w:ind w:left="851"/>
        <w:jc w:val="both"/>
        <w:rPr>
          <w:rFonts w:ascii="Palatino Linotype" w:eastAsia="Palatino Linotype" w:hAnsi="Palatino Linotype" w:cs="Palatino Linotype"/>
          <w:i/>
        </w:rPr>
      </w:pPr>
    </w:p>
    <w:p w:rsidR="00A11E70" w:rsidRPr="00CF1480" w:rsidRDefault="00A11E70" w:rsidP="00A11E70">
      <w:pPr>
        <w:ind w:left="851"/>
        <w:jc w:val="both"/>
        <w:rPr>
          <w:rFonts w:ascii="Palatino Linotype" w:eastAsia="Palatino Linotype" w:hAnsi="Palatino Linotype" w:cs="Palatino Linotype"/>
          <w:i/>
        </w:rPr>
      </w:pPr>
      <w:r w:rsidRPr="00CF1480">
        <w:rPr>
          <w:rFonts w:ascii="Palatino Linotype" w:eastAsia="Palatino Linotype" w:hAnsi="Palatino Linotype" w:cs="Palatino Linotype"/>
          <w:i/>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11E70" w:rsidRPr="00CF1480" w:rsidRDefault="00A11E70" w:rsidP="00A11E70">
      <w:pPr>
        <w:pBdr>
          <w:top w:val="nil"/>
          <w:left w:val="nil"/>
          <w:bottom w:val="nil"/>
          <w:right w:val="nil"/>
          <w:between w:val="nil"/>
        </w:pBdr>
        <w:ind w:left="708"/>
        <w:rPr>
          <w:rFonts w:ascii="Palatino Linotype" w:eastAsia="Palatino Linotype" w:hAnsi="Palatino Linotype" w:cs="Palatino Linotype"/>
          <w:color w:val="000000"/>
        </w:rPr>
      </w:pPr>
    </w:p>
    <w:p w:rsidR="00A11E70" w:rsidRPr="00CF1480" w:rsidRDefault="00A11E70" w:rsidP="00A11E70">
      <w:pPr>
        <w:numPr>
          <w:ilvl w:val="0"/>
          <w:numId w:val="2"/>
        </w:numPr>
        <w:tabs>
          <w:tab w:val="left" w:pos="0"/>
          <w:tab w:val="left" w:pos="567"/>
        </w:tabs>
        <w:spacing w:before="240" w:after="240" w:line="360" w:lineRule="auto"/>
        <w:ind w:left="0" w:firstLine="0"/>
        <w:jc w:val="both"/>
      </w:pPr>
      <w:r w:rsidRPr="00CF1480">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CF1480">
        <w:rPr>
          <w:rFonts w:ascii="Palatino Linotype" w:eastAsia="Palatino Linotype" w:hAnsi="Palatino Linotype" w:cs="Palatino Linotype"/>
          <w:b/>
        </w:rPr>
        <w:t>EL SUJETO OBLIGADO</w:t>
      </w:r>
      <w:r w:rsidRPr="00CF1480">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0A596C" w:rsidRPr="00CF1480" w:rsidRDefault="00A11E70" w:rsidP="000A596C">
      <w:pPr>
        <w:numPr>
          <w:ilvl w:val="0"/>
          <w:numId w:val="1"/>
        </w:numPr>
        <w:pBdr>
          <w:top w:val="nil"/>
          <w:left w:val="nil"/>
          <w:bottom w:val="nil"/>
          <w:right w:val="nil"/>
          <w:between w:val="nil"/>
        </w:pBdr>
        <w:tabs>
          <w:tab w:val="left" w:pos="0"/>
          <w:tab w:val="left" w:pos="360"/>
        </w:tabs>
        <w:spacing w:before="240" w:line="360" w:lineRule="auto"/>
        <w:jc w:val="both"/>
        <w:rPr>
          <w:rFonts w:ascii="Palatino Linotype" w:eastAsia="Palatino Linotype" w:hAnsi="Palatino Linotype" w:cs="Palatino Linotype"/>
          <w:b/>
          <w:color w:val="000000"/>
        </w:rPr>
      </w:pPr>
      <w:r w:rsidRPr="00CF1480">
        <w:rPr>
          <w:rFonts w:ascii="Palatino Linotype" w:eastAsia="Palatino Linotype" w:hAnsi="Palatino Linotype" w:cs="Palatino Linotype"/>
          <w:b/>
          <w:color w:val="000000"/>
        </w:rPr>
        <w:t>De la modalidad de entrega.</w:t>
      </w:r>
    </w:p>
    <w:p w:rsidR="00A11E70" w:rsidRPr="00CF1480" w:rsidRDefault="00A11E70" w:rsidP="00A11E70">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CF1480">
        <w:rPr>
          <w:rFonts w:ascii="Palatino Linotype" w:eastAsia="Palatino Linotype" w:hAnsi="Palatino Linotype" w:cs="Palatino Linotype"/>
          <w:color w:val="000000"/>
        </w:rPr>
        <w:t>La Ley de Transparencia y Acceso a la Información Pública del Estado de México y Municipios establece en los artículos 155 fracción V, 158 y 164 lo siguiente:</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Artículo 155. Para presentar una solicitud por escrito, no se podrán exigir mayores requisitos que los siguientes:</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I. a IV. …</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lastRenderedPageBreak/>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rsidR="00A11E70" w:rsidRPr="00CF1480" w:rsidRDefault="00A11E70" w:rsidP="00A11E70">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A11E70" w:rsidRPr="00CF1480" w:rsidRDefault="00A11E70" w:rsidP="00A11E70">
      <w:pPr>
        <w:numPr>
          <w:ilvl w:val="0"/>
          <w:numId w:val="2"/>
        </w:numPr>
        <w:pBdr>
          <w:top w:val="nil"/>
          <w:left w:val="nil"/>
          <w:bottom w:val="nil"/>
          <w:right w:val="nil"/>
          <w:between w:val="nil"/>
        </w:pBdr>
        <w:tabs>
          <w:tab w:val="left" w:pos="567"/>
          <w:tab w:val="left" w:pos="851"/>
        </w:tabs>
        <w:spacing w:before="240" w:line="360" w:lineRule="auto"/>
        <w:ind w:left="0" w:firstLine="0"/>
        <w:jc w:val="both"/>
        <w:rPr>
          <w:color w:val="000000"/>
        </w:rPr>
      </w:pPr>
      <w:r w:rsidRPr="00CF1480">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Del artículo 158 transcrito supra, se tiene que, excepcionalmente, en el caso de que la información solicitada implique un análisis, estudio o procesamiento de documentos, cuya entrega o reproducción sobrepase las capacidades técnicas administrativas y humanas del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éste podrá poder a disposición los documentos vía </w:t>
      </w:r>
      <w:r w:rsidRPr="00CF1480">
        <w:rPr>
          <w:rFonts w:ascii="Palatino Linotype" w:eastAsia="Palatino Linotype" w:hAnsi="Palatino Linotype" w:cs="Palatino Linotype"/>
          <w:i/>
          <w:color w:val="000000"/>
        </w:rPr>
        <w:t>In Situ</w:t>
      </w:r>
      <w:r w:rsidRPr="00CF1480">
        <w:rPr>
          <w:rFonts w:ascii="Palatino Linotype" w:eastAsia="Palatino Linotype" w:hAnsi="Palatino Linotype" w:cs="Palatino Linotype"/>
          <w:color w:val="000000"/>
        </w:rPr>
        <w:t xml:space="preserve"> o Consulta Directa, </w:t>
      </w:r>
      <w:r w:rsidRPr="00CF1480">
        <w:rPr>
          <w:rFonts w:ascii="Palatino Linotype" w:eastAsia="Palatino Linotype" w:hAnsi="Palatino Linotype" w:cs="Palatino Linotype"/>
          <w:b/>
          <w:color w:val="000000"/>
        </w:rPr>
        <w:t>siempre y cuando se funden y motiven las razones que justifiquen la imposibilidad de entregar la información en la modalidad originalmente solicitada</w:t>
      </w:r>
      <w:r w:rsidRPr="00CF1480">
        <w:rPr>
          <w:rFonts w:ascii="Palatino Linotype" w:eastAsia="Palatino Linotype" w:hAnsi="Palatino Linotype" w:cs="Palatino Linotype"/>
          <w:color w:val="000000"/>
        </w:rPr>
        <w:t xml:space="preserve">. </w:t>
      </w:r>
    </w:p>
    <w:p w:rsidR="00A11E70" w:rsidRPr="00CF1480" w:rsidRDefault="00A11E70" w:rsidP="00A11E70">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lastRenderedPageBreak/>
        <w:t xml:space="preserve">Es decir, del artículo anterior, se derivan tres hipótesis que en conjunto, y de manera fundada y motivada, validan el cambio de modalidad de entrega de la información y las cuales son, que las documentales a proporcionar </w:t>
      </w:r>
      <w:r w:rsidRPr="00CF1480">
        <w:rPr>
          <w:rFonts w:ascii="Palatino Linotype" w:eastAsia="Palatino Linotype" w:hAnsi="Palatino Linotype" w:cs="Palatino Linotype"/>
          <w:b/>
          <w:color w:val="000000"/>
        </w:rPr>
        <w:t>sobrepasen las capacidades técnicas, administrativas y humanas del SUJETO OBLIGADO</w:t>
      </w:r>
      <w:r w:rsidRPr="00CF1480">
        <w:rPr>
          <w:rFonts w:ascii="Palatino Linotype" w:eastAsia="Palatino Linotype" w:hAnsi="Palatino Linotype" w:cs="Palatino Linotype"/>
          <w:color w:val="000000"/>
        </w:rPr>
        <w:t xml:space="preserve">. </w:t>
      </w:r>
    </w:p>
    <w:p w:rsidR="00A11E70" w:rsidRPr="00CF1480" w:rsidRDefault="00A11E70" w:rsidP="00A11E70">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Para ello, cabe mencionar lo que se entiende por “</w:t>
      </w:r>
      <w:r w:rsidRPr="00CF1480">
        <w:rPr>
          <w:rFonts w:ascii="Palatino Linotype" w:eastAsia="Palatino Linotype" w:hAnsi="Palatino Linotype" w:cs="Palatino Linotype"/>
          <w:b/>
          <w:color w:val="000000"/>
        </w:rPr>
        <w:t>capacidad</w:t>
      </w:r>
      <w:r w:rsidRPr="00CF1480">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A11E70" w:rsidRPr="00CF1480" w:rsidRDefault="00A11E70" w:rsidP="00A11E70">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rsidR="00A11E70" w:rsidRPr="00CF1480" w:rsidRDefault="00A11E70" w:rsidP="00A11E70">
      <w:pPr>
        <w:pBdr>
          <w:top w:val="nil"/>
          <w:left w:val="nil"/>
          <w:bottom w:val="nil"/>
          <w:right w:val="nil"/>
          <w:between w:val="nil"/>
        </w:pBdr>
        <w:tabs>
          <w:tab w:val="left" w:pos="0"/>
        </w:tabs>
        <w:spacing w:line="360" w:lineRule="auto"/>
        <w:jc w:val="both"/>
        <w:rPr>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Ahora bien, en relación con </w:t>
      </w:r>
      <w:r w:rsidRPr="00CF1480">
        <w:rPr>
          <w:rFonts w:ascii="Palatino Linotype" w:eastAsia="Palatino Linotype" w:hAnsi="Palatino Linotype" w:cs="Palatino Linotype"/>
          <w:b/>
          <w:color w:val="000000"/>
        </w:rPr>
        <w:t>el peso máximo de archivos que soporta el SAIMEX para adjuntar como respuesta a las solicitudes de información</w:t>
      </w:r>
      <w:r w:rsidRPr="00CF1480">
        <w:rPr>
          <w:rFonts w:ascii="Palatino Linotype" w:eastAsia="Palatino Linotype" w:hAnsi="Palatino Linotype" w:cs="Palatino Linotype"/>
          <w:color w:val="000000"/>
        </w:rPr>
        <w:t xml:space="preserve">, de acuerdo con la Dirección de Informática de este Instituto, la plataforma </w:t>
      </w:r>
      <w:r w:rsidRPr="00CF1480">
        <w:rPr>
          <w:rFonts w:ascii="Palatino Linotype" w:eastAsia="Palatino Linotype" w:hAnsi="Palatino Linotype" w:cs="Palatino Linotype"/>
          <w:b/>
          <w:color w:val="000000"/>
        </w:rPr>
        <w:t>tiene el soporte tecnológico para que se puedan adjuntar archivos con un peso aproximado de hasta 500Mb o un equivalente de hasta 8,000 hojas</w:t>
      </w:r>
      <w:r w:rsidRPr="00CF1480">
        <w:rPr>
          <w:rFonts w:ascii="Palatino Linotype" w:eastAsia="Palatino Linotype" w:hAnsi="Palatino Linotype" w:cs="Palatino Linotype"/>
          <w:color w:val="000000"/>
        </w:rPr>
        <w:t xml:space="preserve">, garantizando que el ciudadano no tenga problemas en la descarga de la información, usando conexiones a internet convencionales bajo parámetros de escaneo en resolución máxima de 150Dpi’s, escala de grises y formato “PDF” extraído directamente del escáner. </w:t>
      </w:r>
    </w:p>
    <w:p w:rsidR="00A11E70" w:rsidRPr="00CF1480" w:rsidRDefault="00A11E70" w:rsidP="00A11E70">
      <w:pPr>
        <w:pBdr>
          <w:top w:val="nil"/>
          <w:left w:val="nil"/>
          <w:bottom w:val="nil"/>
          <w:right w:val="nil"/>
          <w:between w:val="nil"/>
        </w:pBdr>
        <w:ind w:left="708"/>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lastRenderedPageBreak/>
        <w:t>En el presente caso, la respuesta y la contestación al requerimiento de información adicional emitido por el Sujeto Obligado fue el cambio de modalidad a consulta directa, en los que señaló el número fojas que comprende la información, entregó el reporte de incidencias que se hizo ante la Dirección General del Instituto de Transparencia, Acceso a la Información Pública y Protección de Datos Personales del Estado de México y Municipios y adjuntó el Acta del Comité de Transparencia en el que se aprobó el cambio de modalidad en la entrega de la información, sin embargo, es indispensable señalar que en el Acuerdo señalado, el Sujeto Obligado no ofreció otras modalidades para la consulta de la información.</w:t>
      </w:r>
    </w:p>
    <w:p w:rsidR="00CF1480" w:rsidRPr="00CF1480" w:rsidRDefault="00CF1480" w:rsidP="00CF1480">
      <w:pPr>
        <w:pBdr>
          <w:top w:val="nil"/>
          <w:left w:val="nil"/>
          <w:bottom w:val="nil"/>
          <w:right w:val="nil"/>
          <w:between w:val="nil"/>
        </w:pBdr>
        <w:tabs>
          <w:tab w:val="left" w:pos="426"/>
        </w:tabs>
        <w:spacing w:line="360" w:lineRule="auto"/>
        <w:jc w:val="both"/>
        <w:rPr>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Así, urge recordar que la esencia de solicitar la entrega de la información vía SAIMEX es que el particular se haga de ésta por </w:t>
      </w:r>
      <w:r w:rsidRPr="00CF1480">
        <w:rPr>
          <w:rFonts w:ascii="Palatino Linotype" w:eastAsia="Palatino Linotype" w:hAnsi="Palatino Linotype" w:cs="Palatino Linotype"/>
          <w:b/>
          <w:color w:val="000000"/>
        </w:rPr>
        <w:t>medios electrónicos</w:t>
      </w:r>
      <w:r w:rsidRPr="00CF1480">
        <w:rPr>
          <w:rFonts w:ascii="Palatino Linotype" w:eastAsia="Palatino Linotype" w:hAnsi="Palatino Linotype" w:cs="Palatino Linotype"/>
          <w:color w:val="000000"/>
        </w:rPr>
        <w:t xml:space="preserve">; esto es, por una vía digital, a distancia, que le permita descargar los documentos desde un ordenador o teléfono móvil. Por ello, 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deberá ofrecer otras modalidades digitales para entregar la información al particular, tales como, de manera enunciativa </w:t>
      </w:r>
      <w:r w:rsidRPr="00CF1480">
        <w:rPr>
          <w:rFonts w:ascii="Palatino Linotype" w:eastAsia="Palatino Linotype" w:hAnsi="Palatino Linotype" w:cs="Palatino Linotype"/>
        </w:rPr>
        <w:t>más</w:t>
      </w:r>
      <w:r w:rsidRPr="00CF1480">
        <w:rPr>
          <w:rFonts w:ascii="Palatino Linotype" w:eastAsia="Palatino Linotype" w:hAnsi="Palatino Linotype" w:cs="Palatino Linotype"/>
          <w:color w:val="000000"/>
        </w:rPr>
        <w:t xml:space="preserve"> no limitativa, </w:t>
      </w:r>
      <w:r w:rsidRPr="00CF1480">
        <w:rPr>
          <w:rFonts w:ascii="Palatino Linotype" w:eastAsia="Palatino Linotype" w:hAnsi="Palatino Linotype" w:cs="Palatino Linotype"/>
          <w:b/>
          <w:color w:val="000000"/>
        </w:rPr>
        <w:t>habilitar una liga electrónica para que descargue los archivos a través de un servicio de nube; enviar la información a su cuenta de correo electrónico; concederle el acceso en disco compacto, con la posibilidad de envío mediante correo certificado, previo pago del costo del CD y del envío; o, en su caso, darle la posibilidad de obtenerla de manera gratuita si ella misma aporta el CD o la USB en la que se le proporcionarán los archivos electrónicos</w:t>
      </w:r>
      <w:r w:rsidRPr="00CF1480">
        <w:rPr>
          <w:rFonts w:ascii="Palatino Linotype" w:eastAsia="Palatino Linotype" w:hAnsi="Palatino Linotype" w:cs="Palatino Linotype"/>
          <w:color w:val="000000"/>
        </w:rPr>
        <w:t xml:space="preserve">. </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Por ello, conviene traer a estudio lo establecido en el Capítulo X de </w:t>
      </w:r>
      <w:r w:rsidRPr="00CF1480">
        <w:rPr>
          <w:rFonts w:ascii="Palatino Linotype" w:eastAsia="Palatino Linotype" w:hAnsi="Palatino Linotype" w:cs="Palatino Linotype"/>
          <w:i/>
          <w:color w:val="000000"/>
        </w:rPr>
        <w:t>Lineamientos Generales en Materia de Clasificación y Desclasificación de la Información, así como para la Elaboración de Versiones Públicas</w:t>
      </w:r>
      <w:r w:rsidRPr="00CF1480">
        <w:rPr>
          <w:rFonts w:ascii="Palatino Linotype" w:eastAsia="Palatino Linotype" w:hAnsi="Palatino Linotype" w:cs="Palatino Linotype"/>
          <w:color w:val="000000"/>
        </w:rPr>
        <w:t>, relativo a la Consulta Directa, mismo que se transcribe a continuación:</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CF1480">
        <w:rPr>
          <w:rFonts w:ascii="Palatino Linotype" w:eastAsia="Palatino Linotype" w:hAnsi="Palatino Linotype" w:cs="Palatino Linotype"/>
          <w:i/>
          <w:color w:val="000000"/>
        </w:rPr>
        <w:t>“</w:t>
      </w:r>
      <w:r w:rsidRPr="00CF1480">
        <w:rPr>
          <w:rFonts w:ascii="Palatino Linotype" w:eastAsia="Palatino Linotype" w:hAnsi="Palatino Linotype" w:cs="Palatino Linotype"/>
          <w:b/>
          <w:i/>
          <w:color w:val="000000"/>
        </w:rPr>
        <w:t xml:space="preserve">CAPÍTULO X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CF1480">
        <w:rPr>
          <w:rFonts w:ascii="Palatino Linotype" w:eastAsia="Palatino Linotype" w:hAnsi="Palatino Linotype" w:cs="Palatino Linotype"/>
          <w:b/>
          <w:i/>
          <w:color w:val="000000"/>
        </w:rPr>
        <w:t xml:space="preserve">DE LA CONSULTA DIRECTA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Sexagésimo séptimo.</w:t>
      </w:r>
      <w:r w:rsidRPr="00CF1480">
        <w:rPr>
          <w:rFonts w:ascii="Palatino Linotype" w:eastAsia="Palatino Linotype" w:hAnsi="Palatino Linotype" w:cs="Palatino Linotype"/>
          <w:i/>
          <w:color w:val="000000"/>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Sexagésimo octavo.</w:t>
      </w:r>
      <w:r w:rsidRPr="00CF1480">
        <w:rPr>
          <w:rFonts w:ascii="Palatino Linotype" w:eastAsia="Palatino Linotype" w:hAnsi="Palatino Linotype" w:cs="Palatino Linotype"/>
          <w:i/>
          <w:color w:val="000000"/>
        </w:rPr>
        <w:t xml:space="preserve"> 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Sexagésimo noveno.</w:t>
      </w:r>
      <w:r w:rsidRPr="00CF1480">
        <w:rPr>
          <w:rFonts w:ascii="Palatino Linotype" w:eastAsia="Palatino Linotype" w:hAnsi="Palatino Linotype" w:cs="Palatino Linotype"/>
          <w:i/>
          <w:color w:val="000000"/>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Septuagésimo.</w:t>
      </w:r>
      <w:r w:rsidRPr="00CF1480">
        <w:rPr>
          <w:rFonts w:ascii="Palatino Linotype" w:eastAsia="Palatino Linotype" w:hAnsi="Palatino Linotype" w:cs="Palatino Linotype"/>
          <w:i/>
          <w:color w:val="000000"/>
        </w:rPr>
        <w:t xml:space="preserve"> Para el desahogo de las actuaciones tendientes a permitir la consulta directa, en los casos en que ésta resulte procedente, los sujetos obligados deberán observar lo siguiente: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I.</w:t>
      </w:r>
      <w:r w:rsidRPr="00CF1480">
        <w:rPr>
          <w:rFonts w:ascii="Palatino Linotype" w:eastAsia="Palatino Linotype" w:hAnsi="Palatino Linotype" w:cs="Palatino Linotype"/>
          <w:i/>
          <w:color w:val="000000"/>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II.</w:t>
      </w:r>
      <w:r w:rsidRPr="00CF1480">
        <w:rPr>
          <w:rFonts w:ascii="Palatino Linotype" w:eastAsia="Palatino Linotype" w:hAnsi="Palatino Linotype" w:cs="Palatino Linotype"/>
          <w:i/>
          <w:color w:val="000000"/>
        </w:rPr>
        <w:t xml:space="preserve"> En su caso, la procedencia de los ajustes razonables solicitados y/o la procedencia de acceso en la lengua indígena requerida;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lastRenderedPageBreak/>
        <w:t xml:space="preserve">III. </w:t>
      </w:r>
      <w:r w:rsidRPr="00CF1480">
        <w:rPr>
          <w:rFonts w:ascii="Palatino Linotype" w:eastAsia="Palatino Linotype" w:hAnsi="Palatino Linotype" w:cs="Palatino Linotype"/>
          <w:i/>
          <w:color w:val="000000"/>
        </w:rPr>
        <w:t xml:space="preserve">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 xml:space="preserve">IV. </w:t>
      </w:r>
      <w:r w:rsidRPr="00CF1480">
        <w:rPr>
          <w:rFonts w:ascii="Palatino Linotype" w:eastAsia="Palatino Linotype" w:hAnsi="Palatino Linotype" w:cs="Palatino Linotype"/>
          <w:i/>
          <w:color w:val="000000"/>
        </w:rPr>
        <w:t>Proporcionar al solicitante las facilidades y asistencia requerida para la consulta de los documentos;</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V.</w:t>
      </w:r>
      <w:r w:rsidRPr="00CF1480">
        <w:rPr>
          <w:rFonts w:ascii="Palatino Linotype" w:eastAsia="Palatino Linotype" w:hAnsi="Palatino Linotype" w:cs="Palatino Linotype"/>
          <w:i/>
          <w:color w:val="000000"/>
        </w:rPr>
        <w:t xml:space="preserve"> Abstenerse de requerir al solicitante que acredite interés alguno;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VI.</w:t>
      </w:r>
      <w:r w:rsidRPr="00CF1480">
        <w:rPr>
          <w:rFonts w:ascii="Palatino Linotype" w:eastAsia="Palatino Linotype" w:hAnsi="Palatino Linotype" w:cs="Palatino Linotype"/>
          <w:i/>
          <w:color w:val="000000"/>
        </w:rPr>
        <w:t xml:space="preserve"> Adoptar las medidas técnicas, físicas, administrativas y demás que resulten necesarias para garantizar la integridad de la información a consultar, de conformidad con las características específicas del documento solicitado, tales como: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a)</w:t>
      </w:r>
      <w:r w:rsidRPr="00CF1480">
        <w:rPr>
          <w:rFonts w:ascii="Palatino Linotype" w:eastAsia="Palatino Linotype" w:hAnsi="Palatino Linotype" w:cs="Palatino Linotype"/>
          <w:i/>
          <w:color w:val="000000"/>
        </w:rPr>
        <w:t xml:space="preserve"> Contar con instalaciones y mobiliario adecuado para asegurar tanto la integridad del documento consultado, como para proporcionar al solicitante las mejores condiciones para poder llevar a cabo la consulta directa;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b)</w:t>
      </w:r>
      <w:r w:rsidRPr="00CF1480">
        <w:rPr>
          <w:rFonts w:ascii="Palatino Linotype" w:eastAsia="Palatino Linotype" w:hAnsi="Palatino Linotype" w:cs="Palatino Linotype"/>
          <w:i/>
          <w:color w:val="000000"/>
        </w:rPr>
        <w:t xml:space="preserve"> Equipo y personal de vigilancia;</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c)</w:t>
      </w:r>
      <w:r w:rsidRPr="00CF1480">
        <w:rPr>
          <w:rFonts w:ascii="Palatino Linotype" w:eastAsia="Palatino Linotype" w:hAnsi="Palatino Linotype" w:cs="Palatino Linotype"/>
          <w:i/>
          <w:color w:val="000000"/>
        </w:rPr>
        <w:t xml:space="preserve"> Plan de acción contra robo o vandalismo;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d)</w:t>
      </w:r>
      <w:r w:rsidRPr="00CF1480">
        <w:rPr>
          <w:rFonts w:ascii="Palatino Linotype" w:eastAsia="Palatino Linotype" w:hAnsi="Palatino Linotype" w:cs="Palatino Linotype"/>
          <w:i/>
          <w:color w:val="000000"/>
        </w:rPr>
        <w:t xml:space="preserve"> Extintores de fuego de gas inocuo;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e)</w:t>
      </w:r>
      <w:r w:rsidRPr="00CF1480">
        <w:rPr>
          <w:rFonts w:ascii="Palatino Linotype" w:eastAsia="Palatino Linotype" w:hAnsi="Palatino Linotype" w:cs="Palatino Linotype"/>
          <w:i/>
          <w:color w:val="000000"/>
        </w:rPr>
        <w:t xml:space="preserve"> Registro e identificación del personal autorizado para el tratamiento de los documentos o expedientes a revisar;</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f)</w:t>
      </w:r>
      <w:r w:rsidRPr="00CF1480">
        <w:rPr>
          <w:rFonts w:ascii="Palatino Linotype" w:eastAsia="Palatino Linotype" w:hAnsi="Palatino Linotype" w:cs="Palatino Linotype"/>
          <w:i/>
          <w:color w:val="000000"/>
        </w:rPr>
        <w:t xml:space="preserve"> Registro e identificación de los particulares autorizados para llevar a cabo la consulta directa, y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g)</w:t>
      </w:r>
      <w:r w:rsidRPr="00CF1480">
        <w:rPr>
          <w:rFonts w:ascii="Palatino Linotype" w:eastAsia="Palatino Linotype" w:hAnsi="Palatino Linotype" w:cs="Palatino Linotype"/>
          <w:i/>
          <w:color w:val="000000"/>
        </w:rPr>
        <w:t xml:space="preserve"> Las demás que, a criterio de los sujetos obligados, resulten necesarias.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VII.</w:t>
      </w:r>
      <w:r w:rsidRPr="00CF1480">
        <w:rPr>
          <w:rFonts w:ascii="Palatino Linotype" w:eastAsia="Palatino Linotype" w:hAnsi="Palatino Linotype" w:cs="Palatino Linotype"/>
          <w:i/>
          <w:color w:val="000000"/>
        </w:rPr>
        <w:t xml:space="preserve"> Hacer del conocimiento del solicitante, previo al acceso a la información, las reglas a que se sujetará la consulta para garantizar la integridad de los documentos, y</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VIII.</w:t>
      </w:r>
      <w:r w:rsidRPr="00CF1480">
        <w:rPr>
          <w:rFonts w:ascii="Palatino Linotype" w:eastAsia="Palatino Linotype" w:hAnsi="Palatino Linotype" w:cs="Palatino Linotype"/>
          <w:i/>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 xml:space="preserve">Septuagésimo primero. </w:t>
      </w:r>
      <w:r w:rsidRPr="00CF1480">
        <w:rPr>
          <w:rFonts w:ascii="Palatino Linotype" w:eastAsia="Palatino Linotype" w:hAnsi="Palatino Linotype" w:cs="Palatino Linotype"/>
          <w:i/>
          <w:color w:val="000000"/>
        </w:rPr>
        <w:t xml:space="preserve">La consulta física de la información se realizará en presencia del personal que para tal efecto haya sido designado, quien implementará </w:t>
      </w:r>
      <w:r w:rsidRPr="00CF1480">
        <w:rPr>
          <w:rFonts w:ascii="Palatino Linotype" w:eastAsia="Palatino Linotype" w:hAnsi="Palatino Linotype" w:cs="Palatino Linotype"/>
          <w:i/>
          <w:color w:val="000000"/>
        </w:rPr>
        <w:lastRenderedPageBreak/>
        <w:t xml:space="preserve">las medidas para asegurar en todo momento la integridad de la documentación, conforme a la resolución que, al efecto, emita el Comité de Transparencia.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 xml:space="preserve">El solicitante deberá observar en todo momento las reglas que el sujeto obligado haya hecho de su conocimiento para efectos de la conservación de los documentos.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Septuagésimo segundo.</w:t>
      </w:r>
      <w:r w:rsidRPr="00CF1480">
        <w:rPr>
          <w:rFonts w:ascii="Palatino Linotype" w:eastAsia="Palatino Linotype" w:hAnsi="Palatino Linotype" w:cs="Palatino Linotype"/>
          <w:i/>
          <w:color w:val="000000"/>
        </w:rPr>
        <w:t xml:space="preserve"> El solicitante deberá realizar la consulta de los documentos requeridos en el lugar, horarios y con la persona destinada para tal efecto.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b/>
          <w:i/>
          <w:color w:val="000000"/>
        </w:rPr>
        <w:t>Septuagésimo tercero.</w:t>
      </w:r>
      <w:r w:rsidRPr="00CF1480">
        <w:rPr>
          <w:rFonts w:ascii="Palatino Linotype" w:eastAsia="Palatino Linotype" w:hAnsi="Palatino Linotype" w:cs="Palatino Linotype"/>
          <w:i/>
          <w:color w:val="000000"/>
        </w:rPr>
        <w:t xml:space="preserve"> 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La información deberá ser entregada sin costo, cuando implique la entrega de no más de veinte hojas simples.”</w:t>
      </w:r>
    </w:p>
    <w:p w:rsidR="00A11E70" w:rsidRPr="00CF1480" w:rsidRDefault="00A11E70" w:rsidP="00A11E70">
      <w:pPr>
        <w:pBdr>
          <w:top w:val="nil"/>
          <w:left w:val="nil"/>
          <w:bottom w:val="nil"/>
          <w:right w:val="nil"/>
          <w:between w:val="nil"/>
        </w:pBdr>
        <w:tabs>
          <w:tab w:val="left" w:pos="851"/>
        </w:tabs>
        <w:spacing w:line="276" w:lineRule="auto"/>
        <w:ind w:left="851"/>
        <w:jc w:val="both"/>
        <w:rPr>
          <w:rFonts w:ascii="Palatino Linotype" w:eastAsia="Palatino Linotype" w:hAnsi="Palatino Linotype" w:cs="Palatino Linotype"/>
          <w:i/>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t>Por lo anterior, se advierte que el</w:t>
      </w:r>
      <w:r w:rsidRPr="00CF1480">
        <w:rPr>
          <w:rFonts w:ascii="Palatino Linotype" w:eastAsia="Palatino Linotype" w:hAnsi="Palatino Linotype" w:cs="Palatino Linotype"/>
          <w:b/>
          <w:color w:val="000000"/>
        </w:rPr>
        <w:t xml:space="preserve"> SUJETO OBLIGADO</w:t>
      </w:r>
      <w:r w:rsidRPr="00CF1480">
        <w:rPr>
          <w:rFonts w:ascii="Palatino Linotype" w:eastAsia="Palatino Linotype" w:hAnsi="Palatino Linotype" w:cs="Palatino Linotype"/>
          <w:color w:val="000000"/>
        </w:rPr>
        <w:t xml:space="preserve"> acreditó la imposibilidad técnica, establecida en el artículo 158 de la Ley de Transparencia y Acceso a la Información Pública del Estado de México y Municipios, para validar el cambio de modalidad a Consulta Directa; sin embargo, los agravios expuestos por el particular resultan fundados, puesto que faltaron </w:t>
      </w:r>
      <w:r w:rsidRPr="00CF1480">
        <w:rPr>
          <w:rFonts w:ascii="Palatino Linotype" w:eastAsia="Palatino Linotype" w:hAnsi="Palatino Linotype" w:cs="Palatino Linotype"/>
          <w:b/>
          <w:color w:val="000000"/>
        </w:rPr>
        <w:t xml:space="preserve">opciones </w:t>
      </w:r>
      <w:r w:rsidRPr="00CF1480">
        <w:rPr>
          <w:rFonts w:ascii="Palatino Linotype" w:eastAsia="Palatino Linotype" w:hAnsi="Palatino Linotype" w:cs="Palatino Linotype"/>
          <w:color w:val="000000"/>
        </w:rPr>
        <w:t xml:space="preserve">por brindarle al </w:t>
      </w:r>
      <w:r w:rsidRPr="00CF1480">
        <w:rPr>
          <w:rFonts w:ascii="Palatino Linotype" w:eastAsia="Palatino Linotype" w:hAnsi="Palatino Linotype" w:cs="Palatino Linotype"/>
          <w:b/>
          <w:color w:val="000000"/>
        </w:rPr>
        <w:t xml:space="preserve">RECURRENTE, </w:t>
      </w:r>
      <w:r w:rsidRPr="00CF1480">
        <w:rPr>
          <w:rFonts w:ascii="Palatino Linotype" w:eastAsia="Palatino Linotype" w:hAnsi="Palatino Linotype" w:cs="Palatino Linotype"/>
          <w:color w:val="000000"/>
        </w:rPr>
        <w:t xml:space="preserve">para </w:t>
      </w:r>
      <w:r w:rsidRPr="00CF1480">
        <w:rPr>
          <w:rFonts w:ascii="Palatino Linotype" w:eastAsia="Palatino Linotype" w:hAnsi="Palatino Linotype" w:cs="Palatino Linotype"/>
          <w:b/>
          <w:color w:val="000000"/>
        </w:rPr>
        <w:t>acceder a la información peticionada</w:t>
      </w:r>
      <w:r w:rsidRPr="00CF1480">
        <w:rPr>
          <w:rFonts w:ascii="Palatino Linotype" w:eastAsia="Palatino Linotype" w:hAnsi="Palatino Linotype" w:cs="Palatino Linotype"/>
          <w:color w:val="000000"/>
        </w:rPr>
        <w:t xml:space="preserve">. </w:t>
      </w:r>
    </w:p>
    <w:p w:rsidR="00A11E70" w:rsidRPr="00CF1480" w:rsidRDefault="00A11E70" w:rsidP="00A11E70">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0"/>
        </w:tabs>
        <w:spacing w:line="360" w:lineRule="auto"/>
        <w:ind w:left="0" w:firstLine="0"/>
        <w:jc w:val="both"/>
        <w:rPr>
          <w:color w:val="000000"/>
        </w:rPr>
      </w:pPr>
      <w:r w:rsidRPr="00CF1480">
        <w:rPr>
          <w:rFonts w:ascii="Palatino Linotype" w:eastAsia="Palatino Linotype" w:hAnsi="Palatino Linotype" w:cs="Palatino Linotype"/>
          <w:color w:val="000000"/>
        </w:rPr>
        <w:lastRenderedPageBreak/>
        <w:t>En ese sentido, no es ocioso enfatizar que el</w:t>
      </w:r>
      <w:r w:rsidRPr="00CF1480">
        <w:rPr>
          <w:rFonts w:ascii="Palatino Linotype" w:eastAsia="Palatino Linotype" w:hAnsi="Palatino Linotype" w:cs="Palatino Linotype"/>
          <w:b/>
          <w:color w:val="000000"/>
        </w:rPr>
        <w:t xml:space="preserve"> SUJETO OBLIGADO</w:t>
      </w:r>
      <w:r w:rsidRPr="00CF1480">
        <w:rPr>
          <w:rFonts w:ascii="Palatino Linotype" w:eastAsia="Palatino Linotype" w:hAnsi="Palatino Linotype" w:cs="Palatino Linotype"/>
          <w:color w:val="000000"/>
        </w:rPr>
        <w:t xml:space="preserve"> deberá atender lo establecido en el artículo 166 de la Ley de Transparencia y Acceso a la Información Pública del Estado de México y Municipios, el cual establece lo siguiente:</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w:t>
      </w:r>
      <w:r w:rsidRPr="00CF1480">
        <w:rPr>
          <w:rFonts w:ascii="Palatino Linotype" w:eastAsia="Palatino Linotype" w:hAnsi="Palatino Linotype" w:cs="Palatino Linotype"/>
          <w:b/>
          <w:i/>
          <w:color w:val="000000"/>
        </w:rPr>
        <w:t>Artículo 166.</w:t>
      </w:r>
      <w:r w:rsidRPr="00CF1480">
        <w:rPr>
          <w:rFonts w:ascii="Palatino Linotype" w:eastAsia="Palatino Linotype" w:hAnsi="Palatino Linotype" w:cs="Palatino Linotype"/>
          <w:i/>
          <w:color w:val="000000"/>
        </w:rPr>
        <w:t xml:space="preserve"> La obligación de acceso a la información pública se tendrá por cumplida cuando el solicitante tenga a su disposición la información requerida, o cuando realice la consulta de la misma en el lugar en el que ésta se localice.</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CF1480">
        <w:rPr>
          <w:rFonts w:ascii="Palatino Linotype" w:eastAsia="Palatino Linotype" w:hAnsi="Palatino Linotype" w:cs="Palatino Linotype"/>
          <w:b/>
          <w:i/>
          <w:color w:val="000000"/>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Transcurridos dichos plazos, si los solicitantes no acuden a recibir la información requerida los sujetos obligados darán por concluida la solicitud y procederán, de ser el caso, a la destrucción del material en el que se reprodujo la información.</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Cuando el sujeto obligado no entregue la respuesta a la solicitud dentro del plazo previsto en la Ley, la solicitud se entenderá negada y el solicitante podrá interponer el recurso de revisión previsto en este ordenamiento.</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CF1480">
        <w:rPr>
          <w:rFonts w:ascii="Palatino Linotype" w:eastAsia="Palatino Linotype" w:hAnsi="Palatino Linotype" w:cs="Palatino Linotype"/>
          <w:i/>
          <w:color w:val="000000"/>
        </w:rPr>
        <w:t xml:space="preserve">Una vez entregada la información, el solicitante acusará recibo por escrito, dándose por terminado el trámite de acceso a la información.” </w:t>
      </w:r>
    </w:p>
    <w:p w:rsidR="00A11E70" w:rsidRPr="00CF1480" w:rsidRDefault="00A11E70" w:rsidP="00A11E70">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color w:val="000000"/>
        </w:rPr>
        <w:t>(Énfasis añadido)</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Por lo anterior, a fin de dar cumplimiento a la presente resolución, será necesario que 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tenga disponible la información solicitada por el </w:t>
      </w:r>
      <w:r w:rsidRPr="00CF1480">
        <w:rPr>
          <w:rFonts w:ascii="Palatino Linotype" w:eastAsia="Palatino Linotype" w:hAnsi="Palatino Linotype" w:cs="Palatino Linotype"/>
          <w:b/>
          <w:color w:val="000000"/>
        </w:rPr>
        <w:t>RECURRENTE</w:t>
      </w:r>
      <w:r w:rsidRPr="00CF1480">
        <w:rPr>
          <w:rFonts w:ascii="Palatino Linotype" w:eastAsia="Palatino Linotype" w:hAnsi="Palatino Linotype" w:cs="Palatino Linotype"/>
          <w:color w:val="000000"/>
        </w:rPr>
        <w:t xml:space="preserve">, en su Unidad de Transparencia, durante un plazo </w:t>
      </w:r>
      <w:r w:rsidRPr="00CF1480">
        <w:rPr>
          <w:rFonts w:ascii="Palatino Linotype" w:eastAsia="Palatino Linotype" w:hAnsi="Palatino Linotype" w:cs="Palatino Linotype"/>
          <w:b/>
          <w:color w:val="000000"/>
        </w:rPr>
        <w:t>mínimo</w:t>
      </w:r>
      <w:r w:rsidRPr="00CF1480">
        <w:rPr>
          <w:rFonts w:ascii="Palatino Linotype" w:eastAsia="Palatino Linotype" w:hAnsi="Palatino Linotype" w:cs="Palatino Linotype"/>
          <w:color w:val="000000"/>
        </w:rPr>
        <w:t xml:space="preserve"> de 60 días naturales a partir de la notificación de la presente resolución, en términos del segundo párrafo del artículo 166 de la Ley de Transparencia y Acceso a la Información Pública del Estado de México y Municipios.</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spacing w:line="360" w:lineRule="auto"/>
        <w:ind w:left="0" w:firstLine="0"/>
        <w:jc w:val="both"/>
        <w:rPr>
          <w:color w:val="000000"/>
        </w:rPr>
      </w:pPr>
      <w:r w:rsidRPr="00CF1480">
        <w:rPr>
          <w:rFonts w:ascii="Palatino Linotype" w:eastAsia="Palatino Linotype" w:hAnsi="Palatino Linotype" w:cs="Palatino Linotype"/>
          <w:color w:val="000000"/>
        </w:rPr>
        <w:t xml:space="preserve">Si dentro del transcurso del término señalado en el párrafo anterior, el Particular  acude por la información, el Sujeto Obligado levantará un acta de hechos misma que debe ser </w:t>
      </w:r>
      <w:r w:rsidRPr="00CF1480">
        <w:rPr>
          <w:rFonts w:ascii="Palatino Linotype" w:eastAsia="Palatino Linotype" w:hAnsi="Palatino Linotype" w:cs="Palatino Linotype"/>
          <w:color w:val="000000"/>
        </w:rPr>
        <w:lastRenderedPageBreak/>
        <w:t>remitida a este Instituto, por conducto de la Secretaría Técnica del Pleno, junto con el acuse de recibo de la información del Particular; sin embargo, si una vez fenecido el plazo, el solicitante no acudiera por los documentos ordenados, el Sujeto Obligado, mediante acuerdo dará por concluida la solicitud y podrá, de ser el caso, realizar la destrucción del material en el que se reprodujo, situación que también deberá informar a este Instituto, por el mismo conducto.</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Derivado de todo lo anteriormente señalado, este Organismo Garante encuentra conforme a derecho el </w:t>
      </w:r>
      <w:r w:rsidRPr="00CF1480">
        <w:rPr>
          <w:rFonts w:ascii="Palatino Linotype" w:eastAsia="Palatino Linotype" w:hAnsi="Palatino Linotype" w:cs="Palatino Linotype"/>
          <w:b/>
          <w:color w:val="000000"/>
        </w:rPr>
        <w:t>modificar</w:t>
      </w:r>
      <w:r w:rsidRPr="00CF1480">
        <w:rPr>
          <w:rFonts w:ascii="Palatino Linotype" w:eastAsia="Palatino Linotype" w:hAnsi="Palatino Linotype" w:cs="Palatino Linotype"/>
          <w:color w:val="000000"/>
        </w:rPr>
        <w:t xml:space="preserve"> la respuesta y se </w:t>
      </w:r>
      <w:r w:rsidRPr="00CF1480">
        <w:rPr>
          <w:rFonts w:ascii="Palatino Linotype" w:eastAsia="Palatino Linotype" w:hAnsi="Palatino Linotype" w:cs="Palatino Linotype"/>
          <w:b/>
          <w:color w:val="000000"/>
        </w:rPr>
        <w:t xml:space="preserve">ordena </w:t>
      </w:r>
      <w:r w:rsidRPr="00CF1480">
        <w:rPr>
          <w:rFonts w:ascii="Palatino Linotype" w:eastAsia="Palatino Linotype" w:hAnsi="Palatino Linotype" w:cs="Palatino Linotype"/>
          <w:color w:val="000000"/>
        </w:rPr>
        <w:t xml:space="preserve">al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entregar la información solicitada a través de otros medios electrónicos, o bien, vía Consulta Directa, atendiendo las disposiciones establecidas en los </w:t>
      </w:r>
      <w:r w:rsidRPr="00CF1480">
        <w:rPr>
          <w:rFonts w:ascii="Palatino Linotype" w:eastAsia="Palatino Linotype" w:hAnsi="Palatino Linotype" w:cs="Palatino Linotype"/>
          <w:i/>
          <w:color w:val="000000"/>
        </w:rPr>
        <w:t>Lineamientos Generales en Materia de Clasificación y Desclasificación de la Información, así como para la Elaboración de Versiones Públicas</w:t>
      </w:r>
      <w:r w:rsidRPr="00CF1480">
        <w:rPr>
          <w:rFonts w:ascii="Palatino Linotype" w:eastAsia="Palatino Linotype" w:hAnsi="Palatino Linotype" w:cs="Palatino Linotype"/>
          <w:color w:val="000000"/>
        </w:rPr>
        <w:t>, y el numeral 166 de la Ley de Transparencia y Acceso a la Información Pública del Estado de México y Municipios.</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deberá atender al siguiente Considerando.</w:t>
      </w:r>
    </w:p>
    <w:p w:rsidR="00A11E70" w:rsidRPr="00CF1480" w:rsidRDefault="00A11E70" w:rsidP="00A11E70">
      <w:pPr>
        <w:pBdr>
          <w:top w:val="nil"/>
          <w:left w:val="nil"/>
          <w:bottom w:val="nil"/>
          <w:right w:val="nil"/>
          <w:between w:val="nil"/>
        </w:pBdr>
        <w:tabs>
          <w:tab w:val="left" w:pos="0"/>
          <w:tab w:val="left" w:pos="360"/>
        </w:tabs>
        <w:spacing w:line="360" w:lineRule="auto"/>
        <w:jc w:val="both"/>
        <w:rPr>
          <w:rFonts w:ascii="Palatino Linotype" w:eastAsia="Palatino Linotype" w:hAnsi="Palatino Linotype" w:cs="Palatino Linotype"/>
          <w:color w:val="000000"/>
        </w:rPr>
      </w:pP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9" w:name="_heading=h.17dp8vu" w:colFirst="0" w:colLast="0"/>
      <w:bookmarkEnd w:id="9"/>
      <w:r w:rsidRPr="00CF1480">
        <w:rPr>
          <w:rFonts w:ascii="Palatino Linotype" w:eastAsia="Palatino Linotype" w:hAnsi="Palatino Linotype" w:cs="Palatino Linotype"/>
          <w:b/>
          <w:color w:val="000000"/>
        </w:rPr>
        <w:t>QUINTO. De la versión pública.</w:t>
      </w:r>
    </w:p>
    <w:p w:rsidR="00A11E70" w:rsidRPr="00CF1480" w:rsidRDefault="00A11E70" w:rsidP="00A11E70">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CF1480">
        <w:rPr>
          <w:rFonts w:ascii="Palatino Linotype" w:eastAsia="Palatino Linotype" w:hAnsi="Palatino Linotype" w:cs="Palatino Linotype"/>
          <w:color w:val="000000"/>
        </w:rPr>
        <w:t>Debe destacarse que, debido a la naturaleza de la información solicitada</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CF1480">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A11E70" w:rsidRPr="00CF1480" w:rsidRDefault="00A11E70" w:rsidP="00A11E70">
      <w:pPr>
        <w:numPr>
          <w:ilvl w:val="0"/>
          <w:numId w:val="2"/>
        </w:numPr>
        <w:pBdr>
          <w:top w:val="nil"/>
          <w:left w:val="nil"/>
          <w:bottom w:val="nil"/>
          <w:right w:val="nil"/>
          <w:between w:val="nil"/>
        </w:pBdr>
        <w:tabs>
          <w:tab w:val="left" w:pos="284"/>
        </w:tabs>
        <w:spacing w:line="360" w:lineRule="auto"/>
        <w:ind w:left="0" w:firstLine="0"/>
        <w:jc w:val="both"/>
        <w:rPr>
          <w:color w:val="000000"/>
        </w:rPr>
      </w:pPr>
      <w:r w:rsidRPr="00CF1480">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CF1480">
        <w:rPr>
          <w:rFonts w:ascii="Palatino Linotype" w:eastAsia="Palatino Linotype" w:hAnsi="Palatino Linotype" w:cs="Palatino Linotype"/>
          <w:b/>
          <w:color w:val="000000"/>
        </w:rPr>
        <w:t>SUJETOS OBLIGADOS</w:t>
      </w:r>
      <w:r w:rsidRPr="00CF1480">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A11E70" w:rsidRPr="00CF1480" w:rsidRDefault="00A11E70" w:rsidP="00A11E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98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97"/>
      </w:tblGrid>
      <w:tr w:rsidR="00A11E70" w:rsidRPr="00CF1480" w:rsidTr="00CF1480">
        <w:trPr>
          <w:trHeight w:val="3993"/>
        </w:trPr>
        <w:tc>
          <w:tcPr>
            <w:tcW w:w="2689" w:type="dxa"/>
            <w:tcBorders>
              <w:top w:val="single" w:sz="4" w:space="0" w:color="666666"/>
              <w:left w:val="single" w:sz="4" w:space="0" w:color="666666"/>
              <w:right w:val="single" w:sz="4" w:space="0" w:color="666666"/>
            </w:tcBorders>
          </w:tcPr>
          <w:p w:rsidR="00A11E70" w:rsidRPr="00CF1480" w:rsidRDefault="00A11E70" w:rsidP="009A586C">
            <w:pPr>
              <w:spacing w:line="276" w:lineRule="auto"/>
              <w:rPr>
                <w:rFonts w:ascii="Palatino Linotype" w:eastAsia="Palatino Linotype" w:hAnsi="Palatino Linotype" w:cs="Palatino Linotype"/>
              </w:rPr>
            </w:pPr>
            <w:r w:rsidRPr="00CF1480">
              <w:rPr>
                <w:rFonts w:ascii="Palatino Linotype" w:eastAsia="Palatino Linotype" w:hAnsi="Palatino Linotype" w:cs="Palatino Linotype"/>
                <w:b/>
              </w:rPr>
              <w:t>a) Requisitos previos.</w:t>
            </w:r>
          </w:p>
        </w:tc>
        <w:tc>
          <w:tcPr>
            <w:tcW w:w="7297" w:type="dxa"/>
            <w:tcBorders>
              <w:top w:val="single" w:sz="4" w:space="0" w:color="666666"/>
              <w:left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Los artículos 100 y 122 de la Ley Estatal y de la Ley General, respectivamente, señalan que si los </w:t>
            </w:r>
            <w:r w:rsidRPr="00CF1480">
              <w:rPr>
                <w:rFonts w:ascii="Palatino Linotype" w:eastAsia="Palatino Linotype" w:hAnsi="Palatino Linotype" w:cs="Palatino Linotype"/>
                <w:b/>
              </w:rPr>
              <w:t>Sujetos Obligados</w:t>
            </w:r>
            <w:r w:rsidRPr="00CF1480">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Al hacerlo tienen que precisar de qué información se trata, señalando el supuesto de clasificación (confidencialidad o reserva).</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Además, se debe señalar el procedimiento, de los tres que establecen los artículos 132 y 106 de la Ley Estatal y General, respectivamente.</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CF1480">
              <w:rPr>
                <w:rFonts w:ascii="Palatino Linotype" w:eastAsia="Palatino Linotype" w:hAnsi="Palatino Linotype" w:cs="Palatino Linotype"/>
                <w:b/>
                <w:u w:val="single"/>
              </w:rPr>
              <w:t xml:space="preserve">no se puede hacer un acuerdo para clasificar de manera general todos los documentos de un expediente o área,  </w:t>
            </w:r>
            <w:r w:rsidRPr="00CF1480">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A11E70" w:rsidRPr="00CF1480" w:rsidTr="00CF1480">
        <w:trPr>
          <w:trHeight w:val="3711"/>
        </w:trPr>
        <w:tc>
          <w:tcPr>
            <w:tcW w:w="2689"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rPr>
                <w:rFonts w:ascii="Palatino Linotype" w:eastAsia="Palatino Linotype" w:hAnsi="Palatino Linotype" w:cs="Palatino Linotype"/>
              </w:rPr>
            </w:pPr>
            <w:r w:rsidRPr="00CF1480">
              <w:rPr>
                <w:rFonts w:ascii="Palatino Linotype" w:eastAsia="Palatino Linotype" w:hAnsi="Palatino Linotype" w:cs="Palatino Linotype"/>
                <w:b/>
              </w:rPr>
              <w:lastRenderedPageBreak/>
              <w:t>b) Supuestos de clasificación.</w:t>
            </w:r>
          </w:p>
        </w:tc>
        <w:tc>
          <w:tcPr>
            <w:tcW w:w="7297"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El </w:t>
            </w:r>
            <w:r w:rsidRPr="00CF1480">
              <w:rPr>
                <w:rFonts w:ascii="Palatino Linotype" w:eastAsia="Palatino Linotype" w:hAnsi="Palatino Linotype" w:cs="Palatino Linotype"/>
                <w:b/>
              </w:rPr>
              <w:t>SUJETO OBLIGADO</w:t>
            </w:r>
            <w:r w:rsidRPr="00CF1480">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11E70" w:rsidRPr="00CF1480" w:rsidTr="00CF1480">
        <w:trPr>
          <w:trHeight w:val="3711"/>
        </w:trPr>
        <w:tc>
          <w:tcPr>
            <w:tcW w:w="2689"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rPr>
                <w:rFonts w:ascii="Palatino Linotype" w:eastAsia="Palatino Linotype" w:hAnsi="Palatino Linotype" w:cs="Palatino Linotype"/>
              </w:rPr>
            </w:pPr>
            <w:r w:rsidRPr="00CF1480">
              <w:rPr>
                <w:rFonts w:ascii="Palatino Linotype" w:eastAsia="Palatino Linotype" w:hAnsi="Palatino Linotype" w:cs="Palatino Linotype"/>
                <w:b/>
              </w:rPr>
              <w:t>c) Formalidades para emitir el acuerdo de clasificación.</w:t>
            </w:r>
          </w:p>
        </w:tc>
        <w:tc>
          <w:tcPr>
            <w:tcW w:w="7297"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Es necesario que </w:t>
            </w:r>
            <w:r w:rsidRPr="00CF1480">
              <w:rPr>
                <w:rFonts w:ascii="Palatino Linotype" w:eastAsia="Palatino Linotype" w:hAnsi="Palatino Linotype" w:cs="Palatino Linotype"/>
                <w:b/>
                <w:u w:val="single"/>
              </w:rPr>
              <w:t>el acto reúna con los requisitos elementales</w:t>
            </w:r>
            <w:r w:rsidRPr="00CF1480">
              <w:rPr>
                <w:rFonts w:ascii="Palatino Linotype" w:eastAsia="Palatino Linotype" w:hAnsi="Palatino Linotype" w:cs="Palatino Linotype"/>
              </w:rPr>
              <w:t>, entre ellos, que la autoridad que va a emitir el acto de autoridad sea la legalmente facultada para ello.</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11E70" w:rsidRPr="00CF1480" w:rsidTr="00CF1480">
        <w:trPr>
          <w:trHeight w:val="4854"/>
        </w:trPr>
        <w:tc>
          <w:tcPr>
            <w:tcW w:w="2689"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rPr>
                <w:rFonts w:ascii="Palatino Linotype" w:eastAsia="Palatino Linotype" w:hAnsi="Palatino Linotype" w:cs="Palatino Linotype"/>
              </w:rPr>
            </w:pP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b/>
              </w:rPr>
              <w:t xml:space="preserve">d) Requisitos de fondo del acuerdo de clasificación. </w:t>
            </w:r>
          </w:p>
        </w:tc>
        <w:tc>
          <w:tcPr>
            <w:tcW w:w="7297"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F1480">
              <w:rPr>
                <w:rFonts w:ascii="Palatino Linotype" w:eastAsia="Palatino Linotype" w:hAnsi="Palatino Linotype" w:cs="Palatino Linotype"/>
                <w:b/>
              </w:rPr>
              <w:t>Sujetos Obligados</w:t>
            </w:r>
            <w:r w:rsidRPr="00CF1480">
              <w:rPr>
                <w:rFonts w:ascii="Palatino Linotype" w:eastAsia="Palatino Linotype" w:hAnsi="Palatino Linotype" w:cs="Palatino Linotype"/>
              </w:rPr>
              <w:t xml:space="preserve">, por lo que deberán fundar y motivar debidamente la clasificación. </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De lo anterior, se desprende que para una correcta </w:t>
            </w:r>
            <w:r w:rsidRPr="00CF1480">
              <w:rPr>
                <w:rFonts w:ascii="Palatino Linotype" w:eastAsia="Palatino Linotype" w:hAnsi="Palatino Linotype" w:cs="Palatino Linotype"/>
                <w:b/>
              </w:rPr>
              <w:t>clasificación total o parcial</w:t>
            </w:r>
            <w:r w:rsidRPr="00CF1480">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Ahora bien, </w:t>
            </w:r>
            <w:r w:rsidRPr="00CF1480">
              <w:rPr>
                <w:rFonts w:ascii="Palatino Linotype" w:eastAsia="Palatino Linotype" w:hAnsi="Palatino Linotype" w:cs="Palatino Linotype"/>
                <w:b/>
                <w:u w:val="single"/>
              </w:rPr>
              <w:t>para cada caso además de fundar y motivar</w:t>
            </w:r>
            <w:r w:rsidRPr="00CF1480">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11E70" w:rsidRPr="00CF1480" w:rsidTr="00CF1480">
        <w:trPr>
          <w:trHeight w:val="3131"/>
        </w:trPr>
        <w:tc>
          <w:tcPr>
            <w:tcW w:w="2689"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b/>
              </w:rPr>
              <w:lastRenderedPageBreak/>
              <w:t xml:space="preserve">e) Condiciones especiales de la clasificación de la información como confidencial. </w:t>
            </w:r>
          </w:p>
          <w:p w:rsidR="00A11E70" w:rsidRPr="00CF1480" w:rsidRDefault="00A11E70" w:rsidP="009A586C">
            <w:pPr>
              <w:spacing w:line="276" w:lineRule="auto"/>
              <w:rPr>
                <w:rFonts w:ascii="Palatino Linotype" w:eastAsia="Palatino Linotype" w:hAnsi="Palatino Linotype" w:cs="Palatino Linotype"/>
              </w:rPr>
            </w:pPr>
          </w:p>
        </w:tc>
        <w:tc>
          <w:tcPr>
            <w:tcW w:w="7297" w:type="dxa"/>
            <w:tcBorders>
              <w:top w:val="single" w:sz="4" w:space="0" w:color="666666"/>
              <w:left w:val="single" w:sz="4" w:space="0" w:color="666666"/>
              <w:bottom w:val="single" w:sz="4" w:space="0" w:color="666666"/>
              <w:right w:val="single" w:sz="4" w:space="0" w:color="666666"/>
            </w:tcBorders>
          </w:tcPr>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A11E70" w:rsidRPr="00CF1480" w:rsidRDefault="00A11E70" w:rsidP="009A586C">
            <w:pPr>
              <w:spacing w:line="276"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11E70" w:rsidRPr="00CF1480" w:rsidRDefault="00A11E70" w:rsidP="009A586C">
            <w:pPr>
              <w:spacing w:line="276" w:lineRule="auto"/>
              <w:rPr>
                <w:rFonts w:ascii="Palatino Linotype" w:eastAsia="Palatino Linotype" w:hAnsi="Palatino Linotype" w:cs="Palatino Linotype"/>
              </w:rPr>
            </w:pPr>
            <w:r w:rsidRPr="00CF1480">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11E70" w:rsidRDefault="00A11E70" w:rsidP="00A11E70">
      <w:pPr>
        <w:spacing w:line="360" w:lineRule="auto"/>
        <w:jc w:val="both"/>
      </w:pPr>
    </w:p>
    <w:p w:rsidR="00CF1480" w:rsidRPr="00CF1480" w:rsidRDefault="00CF1480" w:rsidP="00A11E70">
      <w:pPr>
        <w:spacing w:line="360" w:lineRule="auto"/>
        <w:jc w:val="both"/>
      </w:pPr>
    </w:p>
    <w:p w:rsidR="00A11E70" w:rsidRPr="00CF1480" w:rsidRDefault="00A11E70" w:rsidP="00A11E70">
      <w:pPr>
        <w:numPr>
          <w:ilvl w:val="0"/>
          <w:numId w:val="2"/>
        </w:numPr>
        <w:spacing w:line="360" w:lineRule="auto"/>
        <w:ind w:left="0" w:firstLine="0"/>
        <w:jc w:val="both"/>
      </w:pPr>
      <w:r w:rsidRPr="00CF1480">
        <w:rPr>
          <w:rFonts w:ascii="Palatino Linotype" w:eastAsia="Palatino Linotype" w:hAnsi="Palatino Linotype" w:cs="Palatino Linotype"/>
          <w:color w:val="000000"/>
        </w:rPr>
        <w:t xml:space="preserve">Por lo anteriormente expuesto y fundado, este </w:t>
      </w:r>
      <w:r w:rsidRPr="00CF1480">
        <w:rPr>
          <w:rFonts w:ascii="Palatino Linotype" w:eastAsia="Palatino Linotype" w:hAnsi="Palatino Linotype" w:cs="Palatino Linotype"/>
          <w:b/>
          <w:color w:val="000000"/>
        </w:rPr>
        <w:t>ÓRGANO GARANTE</w:t>
      </w:r>
      <w:r w:rsidRPr="00CF1480">
        <w:rPr>
          <w:rFonts w:ascii="Palatino Linotype" w:eastAsia="Palatino Linotype" w:hAnsi="Palatino Linotype" w:cs="Palatino Linotype"/>
          <w:color w:val="000000"/>
        </w:rPr>
        <w:t xml:space="preserve"> emite los siguientes:</w:t>
      </w:r>
    </w:p>
    <w:p w:rsidR="00A11E70" w:rsidRPr="00CF1480" w:rsidRDefault="00A11E70" w:rsidP="00A11E70">
      <w:pPr>
        <w:keepNext/>
        <w:keepLines/>
        <w:spacing w:before="240" w:line="360" w:lineRule="auto"/>
        <w:jc w:val="center"/>
        <w:rPr>
          <w:rFonts w:ascii="Palatino Linotype" w:eastAsia="Palatino Linotype" w:hAnsi="Palatino Linotype" w:cs="Palatino Linotype"/>
          <w:b/>
          <w:color w:val="000000"/>
        </w:rPr>
      </w:pPr>
      <w:r w:rsidRPr="00CF1480">
        <w:rPr>
          <w:rFonts w:ascii="Palatino Linotype" w:eastAsia="Palatino Linotype" w:hAnsi="Palatino Linotype" w:cs="Palatino Linotype"/>
          <w:b/>
          <w:color w:val="000000"/>
        </w:rPr>
        <w:t>R E S O L U T I V O S</w:t>
      </w:r>
    </w:p>
    <w:p w:rsidR="00A11E70" w:rsidRPr="00CF1480" w:rsidRDefault="00A11E70" w:rsidP="00A11E70">
      <w:pPr>
        <w:keepNext/>
        <w:keepLines/>
        <w:spacing w:before="240" w:line="360" w:lineRule="auto"/>
        <w:jc w:val="center"/>
        <w:rPr>
          <w:rFonts w:ascii="Palatino Linotype" w:eastAsia="Palatino Linotype" w:hAnsi="Palatino Linotype" w:cs="Palatino Linotype"/>
          <w:b/>
          <w:color w:val="000000"/>
        </w:rPr>
      </w:pPr>
    </w:p>
    <w:p w:rsidR="00A11E70" w:rsidRPr="00CF1480" w:rsidRDefault="00A11E70" w:rsidP="00A11E70">
      <w:pPr>
        <w:spacing w:line="360" w:lineRule="auto"/>
        <w:jc w:val="both"/>
        <w:rPr>
          <w:rFonts w:ascii="Palatino Linotype" w:eastAsia="Palatino Linotype" w:hAnsi="Palatino Linotype" w:cs="Palatino Linotype"/>
        </w:rPr>
      </w:pPr>
      <w:r w:rsidRPr="00CF1480">
        <w:rPr>
          <w:rFonts w:ascii="Palatino Linotype" w:eastAsia="Palatino Linotype" w:hAnsi="Palatino Linotype" w:cs="Palatino Linotype"/>
          <w:b/>
        </w:rPr>
        <w:t xml:space="preserve">PRIMERO. </w:t>
      </w:r>
      <w:r w:rsidRPr="00CF1480">
        <w:rPr>
          <w:rFonts w:ascii="Palatino Linotype" w:eastAsia="Palatino Linotype" w:hAnsi="Palatino Linotype" w:cs="Palatino Linotype"/>
        </w:rPr>
        <w:t>Resultan fundadas las</w:t>
      </w:r>
      <w:r w:rsidRPr="00CF1480">
        <w:rPr>
          <w:rFonts w:ascii="Palatino Linotype" w:eastAsia="Palatino Linotype" w:hAnsi="Palatino Linotype" w:cs="Palatino Linotype"/>
          <w:b/>
        </w:rPr>
        <w:t xml:space="preserve"> </w:t>
      </w:r>
      <w:r w:rsidRPr="00CF1480">
        <w:rPr>
          <w:rFonts w:ascii="Palatino Linotype" w:eastAsia="Palatino Linotype" w:hAnsi="Palatino Linotype" w:cs="Palatino Linotype"/>
        </w:rPr>
        <w:t xml:space="preserve">razones o motivos de inconformidad hechos valer en el recurso de revisión </w:t>
      </w:r>
      <w:r w:rsidR="000A596C" w:rsidRPr="00CF1480">
        <w:rPr>
          <w:rFonts w:ascii="Palatino Linotype" w:eastAsia="Palatino Linotype" w:hAnsi="Palatino Linotype" w:cs="Palatino Linotype"/>
          <w:b/>
        </w:rPr>
        <w:t>10118</w:t>
      </w:r>
      <w:r w:rsidRPr="00CF1480">
        <w:rPr>
          <w:rFonts w:ascii="Palatino Linotype" w:eastAsia="Palatino Linotype" w:hAnsi="Palatino Linotype" w:cs="Palatino Linotype"/>
          <w:b/>
        </w:rPr>
        <w:t xml:space="preserve">/INFOEM/IP/RR/2025 </w:t>
      </w:r>
      <w:r w:rsidRPr="00CF1480">
        <w:rPr>
          <w:rFonts w:ascii="Palatino Linotype" w:eastAsia="Palatino Linotype" w:hAnsi="Palatino Linotype" w:cs="Palatino Linotype"/>
        </w:rPr>
        <w:t xml:space="preserve">en términos de los </w:t>
      </w:r>
      <w:r w:rsidRPr="00CF1480">
        <w:rPr>
          <w:rFonts w:ascii="Palatino Linotype" w:eastAsia="Palatino Linotype" w:hAnsi="Palatino Linotype" w:cs="Palatino Linotype"/>
          <w:b/>
        </w:rPr>
        <w:t>Considerandos</w:t>
      </w:r>
      <w:r w:rsidRPr="00CF1480">
        <w:rPr>
          <w:rFonts w:ascii="Palatino Linotype" w:eastAsia="Palatino Linotype" w:hAnsi="Palatino Linotype" w:cs="Palatino Linotype"/>
        </w:rPr>
        <w:t xml:space="preserve"> </w:t>
      </w:r>
      <w:r w:rsidRPr="00CF1480">
        <w:rPr>
          <w:rFonts w:ascii="Palatino Linotype" w:eastAsia="Palatino Linotype" w:hAnsi="Palatino Linotype" w:cs="Palatino Linotype"/>
          <w:b/>
        </w:rPr>
        <w:t xml:space="preserve">CUARTO y QUINTO </w:t>
      </w:r>
      <w:r w:rsidRPr="00CF1480">
        <w:rPr>
          <w:rFonts w:ascii="Palatino Linotype" w:eastAsia="Palatino Linotype" w:hAnsi="Palatino Linotype" w:cs="Palatino Linotype"/>
        </w:rPr>
        <w:t>de la presente resolución.</w:t>
      </w:r>
    </w:p>
    <w:p w:rsidR="00A11E70" w:rsidRPr="00CF1480" w:rsidRDefault="00A11E70" w:rsidP="00A11E70">
      <w:pPr>
        <w:spacing w:line="360" w:lineRule="auto"/>
        <w:jc w:val="both"/>
        <w:rPr>
          <w:rFonts w:ascii="Palatino Linotype" w:eastAsia="Palatino Linotype" w:hAnsi="Palatino Linotype" w:cs="Palatino Linotype"/>
        </w:rPr>
      </w:pPr>
    </w:p>
    <w:p w:rsidR="00A11E70" w:rsidRPr="00CF1480" w:rsidRDefault="00A11E70" w:rsidP="00A11E70">
      <w:pPr>
        <w:spacing w:line="360" w:lineRule="auto"/>
        <w:jc w:val="both"/>
        <w:rPr>
          <w:rFonts w:ascii="Palatino Linotype" w:eastAsia="Palatino Linotype" w:hAnsi="Palatino Linotype" w:cs="Palatino Linotype"/>
        </w:rPr>
      </w:pPr>
      <w:bookmarkStart w:id="10" w:name="_heading=h.26in1rg" w:colFirst="0" w:colLast="0"/>
      <w:bookmarkEnd w:id="10"/>
      <w:r w:rsidRPr="00CF1480">
        <w:rPr>
          <w:rFonts w:ascii="Palatino Linotype" w:eastAsia="Palatino Linotype" w:hAnsi="Palatino Linotype" w:cs="Palatino Linotype"/>
          <w:b/>
        </w:rPr>
        <w:t>SEGUNDO.</w:t>
      </w:r>
      <w:r w:rsidRPr="00CF1480">
        <w:rPr>
          <w:rFonts w:ascii="Palatino Linotype" w:eastAsia="Palatino Linotype" w:hAnsi="Palatino Linotype" w:cs="Palatino Linotype"/>
          <w:color w:val="2F5496"/>
        </w:rPr>
        <w:t xml:space="preserve"> </w:t>
      </w:r>
      <w:r w:rsidRPr="00CF1480">
        <w:rPr>
          <w:rFonts w:ascii="Palatino Linotype" w:eastAsia="Palatino Linotype" w:hAnsi="Palatino Linotype" w:cs="Palatino Linotype"/>
        </w:rPr>
        <w:t>Se</w:t>
      </w:r>
      <w:r w:rsidRPr="00CF1480">
        <w:rPr>
          <w:rFonts w:ascii="Palatino Linotype" w:eastAsia="Palatino Linotype" w:hAnsi="Palatino Linotype" w:cs="Palatino Linotype"/>
          <w:b/>
        </w:rPr>
        <w:t xml:space="preserve"> MODIFICA </w:t>
      </w:r>
      <w:r w:rsidRPr="00CF1480">
        <w:rPr>
          <w:rFonts w:ascii="Palatino Linotype" w:eastAsia="Palatino Linotype" w:hAnsi="Palatino Linotype" w:cs="Palatino Linotype"/>
        </w:rPr>
        <w:t xml:space="preserve">la respuesta </w:t>
      </w:r>
      <w:r w:rsidR="000A596C" w:rsidRPr="00CF1480">
        <w:rPr>
          <w:rFonts w:ascii="Palatino Linotype" w:eastAsia="Palatino Linotype" w:hAnsi="Palatino Linotype" w:cs="Palatino Linotype"/>
        </w:rPr>
        <w:t>emitida por el</w:t>
      </w:r>
      <w:r w:rsidRPr="00CF1480">
        <w:rPr>
          <w:rFonts w:ascii="Palatino Linotype" w:eastAsia="Palatino Linotype" w:hAnsi="Palatino Linotype" w:cs="Palatino Linotype"/>
        </w:rPr>
        <w:t xml:space="preserve"> </w:t>
      </w:r>
      <w:r w:rsidR="000A596C" w:rsidRPr="00CF1480">
        <w:rPr>
          <w:rFonts w:ascii="Palatino Linotype" w:eastAsia="Palatino Linotype" w:hAnsi="Palatino Linotype" w:cs="Palatino Linotype"/>
          <w:b/>
        </w:rPr>
        <w:t>Ayuntamiento de Metepec</w:t>
      </w:r>
      <w:r w:rsidRPr="00CF1480">
        <w:rPr>
          <w:rFonts w:ascii="Palatino Linotype" w:eastAsia="Palatino Linotype" w:hAnsi="Palatino Linotype" w:cs="Palatino Linotype"/>
          <w:b/>
        </w:rPr>
        <w:t xml:space="preserve"> </w:t>
      </w:r>
      <w:r w:rsidRPr="00CF1480">
        <w:rPr>
          <w:rFonts w:ascii="Palatino Linotype" w:eastAsia="Palatino Linotype" w:hAnsi="Palatino Linotype" w:cs="Palatino Linotype"/>
        </w:rPr>
        <w:t xml:space="preserve">a la solicitud </w:t>
      </w:r>
      <w:r w:rsidR="000A596C" w:rsidRPr="00CF1480">
        <w:rPr>
          <w:rFonts w:ascii="Palatino Linotype" w:eastAsia="Palatino Linotype" w:hAnsi="Palatino Linotype" w:cs="Palatino Linotype"/>
          <w:b/>
          <w:bCs/>
          <w:color w:val="000000"/>
        </w:rPr>
        <w:t>00266/METEPEC/IP/2025</w:t>
      </w:r>
      <w:r w:rsidRPr="00CF1480">
        <w:rPr>
          <w:rFonts w:ascii="Palatino Linotype" w:eastAsia="Palatino Linotype" w:hAnsi="Palatino Linotype" w:cs="Palatino Linotype"/>
          <w:b/>
          <w:color w:val="000000"/>
        </w:rPr>
        <w:t xml:space="preserve">, </w:t>
      </w:r>
      <w:r w:rsidRPr="00CF1480">
        <w:rPr>
          <w:rFonts w:ascii="Palatino Linotype" w:eastAsia="Palatino Linotype" w:hAnsi="Palatino Linotype" w:cs="Palatino Linotype"/>
        </w:rPr>
        <w:t xml:space="preserve">a efecto de que, ponga a disposición, en todas las modalidades que permita la documentación, tales como, en un vínculo electrónico, disco </w:t>
      </w:r>
      <w:r w:rsidRPr="00CF1480">
        <w:rPr>
          <w:rFonts w:ascii="Palatino Linotype" w:eastAsia="Palatino Linotype" w:hAnsi="Palatino Linotype" w:cs="Palatino Linotype"/>
        </w:rPr>
        <w:lastRenderedPageBreak/>
        <w:t xml:space="preserve">compacto, dispositivo de almacenamiento, consulta directa, copias simples o certificadas, con posibilidad de entrega en la Unidad de Transparencia o a domicilio por correo certificado previo pago de los derechos correspondientes, de ser procedente en versión pública, </w:t>
      </w:r>
      <w:r w:rsidR="000A596C" w:rsidRPr="00CF1480">
        <w:rPr>
          <w:rFonts w:ascii="Palatino Linotype" w:eastAsia="Palatino Linotype" w:hAnsi="Palatino Linotype" w:cs="Palatino Linotype"/>
        </w:rPr>
        <w:t>del primero de enero de dos mil veintidós al treinta y uno de diciembre de dos mil veinticuatro</w:t>
      </w:r>
      <w:r w:rsidRPr="00CF1480">
        <w:rPr>
          <w:rFonts w:ascii="Palatino Linotype" w:eastAsia="Palatino Linotype" w:hAnsi="Palatino Linotype" w:cs="Palatino Linotype"/>
        </w:rPr>
        <w:t>, la siguiente información:</w:t>
      </w:r>
    </w:p>
    <w:p w:rsidR="000A596C" w:rsidRPr="00CF1480" w:rsidRDefault="000A596C" w:rsidP="000A596C">
      <w:pPr>
        <w:pStyle w:val="Prrafodelista"/>
        <w:spacing w:line="360" w:lineRule="auto"/>
        <w:ind w:left="1211"/>
        <w:jc w:val="both"/>
        <w:rPr>
          <w:sz w:val="24"/>
          <w:szCs w:val="24"/>
        </w:rPr>
      </w:pP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Inventario general de bienes inmuebles propiedad municipal;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Registro administrativo de la Propiedad Pública Municipal, con las respectivas referencias de títulos y documentos, decretos, adjudicaciones, decomisos, concesiones, resoluciones y sentencias, convenios administrativos y acuerdos, y demás referencias realizadas;</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Expedientes generados respecto a los actos o movimientos de adquisición, altas y bajas de los bienes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Información contenida en el Sistema de Control Patrimonial CREG- patrimonial, respecto a los bienes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Información contenida en el Sistema de Información Inmobiliaria, con los bienes del dominio público y privado de los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Criterios adoptados para llevar a cabo los procedimientos conducentes a la recuperación y baja de los bienes inmuebles propiedad municipal;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Validación realizada a los resultados finales de los trabajos relacionados con los levantamientos físicos de bienes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lastRenderedPageBreak/>
        <w:t xml:space="preserve">Medidas adoptadas tendientes al cumplimiento de los acuerdos celebrados por el Comité de Bienes Muebles e Inmuebles, en los relacionado con los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Bajas o altas en los Inventarios Generales de Bienes Inmuebles;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 xml:space="preserve">Informes trimestrales realizados al Ayuntamiento u autoridades competentes, respecto a los bienes inmuebles municipales; </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Lineamientos que sirvieron de Bases Generales para la realización de los levantamientos físicos de los bienes inmuebles; y</w:t>
      </w:r>
    </w:p>
    <w:p w:rsidR="000A596C" w:rsidRPr="00CF1480" w:rsidRDefault="000A596C" w:rsidP="000A596C">
      <w:pPr>
        <w:pStyle w:val="Prrafodelista"/>
        <w:numPr>
          <w:ilvl w:val="0"/>
          <w:numId w:val="4"/>
        </w:numPr>
        <w:spacing w:line="360" w:lineRule="auto"/>
        <w:ind w:left="851" w:right="850" w:firstLine="0"/>
        <w:jc w:val="both"/>
        <w:rPr>
          <w:b/>
          <w:sz w:val="24"/>
          <w:szCs w:val="24"/>
        </w:rPr>
      </w:pPr>
      <w:r w:rsidRPr="00CF1480">
        <w:rPr>
          <w:rFonts w:ascii="Palatino Linotype" w:hAnsi="Palatino Linotype"/>
          <w:b/>
          <w:color w:val="000000"/>
          <w:sz w:val="24"/>
          <w:szCs w:val="24"/>
        </w:rPr>
        <w:t>Registros integrados al Libro Especial, con los respectivos movimientos realizados.</w:t>
      </w:r>
    </w:p>
    <w:p w:rsidR="00A11E70" w:rsidRPr="00CF1480" w:rsidRDefault="00A11E70" w:rsidP="00A11E70">
      <w:pPr>
        <w:pBdr>
          <w:top w:val="nil"/>
          <w:left w:val="nil"/>
          <w:bottom w:val="nil"/>
          <w:right w:val="nil"/>
          <w:between w:val="nil"/>
        </w:pBdr>
        <w:spacing w:line="360" w:lineRule="auto"/>
        <w:ind w:left="1134"/>
        <w:jc w:val="both"/>
        <w:rPr>
          <w:rFonts w:ascii="Palatino Linotype" w:eastAsia="Palatino Linotype" w:hAnsi="Palatino Linotype" w:cs="Palatino Linotype"/>
          <w:b/>
          <w:color w:val="000000"/>
        </w:rPr>
      </w:pPr>
    </w:p>
    <w:p w:rsidR="00A11E70" w:rsidRPr="00CF1480" w:rsidRDefault="00A11E70" w:rsidP="00A11E70">
      <w:pPr>
        <w:tabs>
          <w:tab w:val="left" w:pos="993"/>
        </w:tabs>
        <w:spacing w:line="360" w:lineRule="auto"/>
        <w:jc w:val="both"/>
        <w:rPr>
          <w:rFonts w:ascii="Palatino Linotype" w:eastAsia="Palatino Linotype" w:hAnsi="Palatino Linotype" w:cs="Palatino Linotype"/>
        </w:rPr>
      </w:pPr>
      <w:r w:rsidRPr="00CF1480">
        <w:rPr>
          <w:rFonts w:ascii="Palatino Linotype" w:eastAsia="Palatino Linotype" w:hAnsi="Palatino Linotype" w:cs="Palatino Linotype"/>
          <w:color w:val="000000"/>
        </w:rPr>
        <w:t xml:space="preserve">Para </w:t>
      </w:r>
      <w:r w:rsidRPr="00CF1480">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CF1480">
        <w:rPr>
          <w:rFonts w:ascii="Palatino Linotype" w:eastAsia="Palatino Linotype" w:hAnsi="Palatino Linotype" w:cs="Palatino Linotype"/>
          <w:b/>
        </w:rPr>
        <w:t>RECURRENTE</w:t>
      </w:r>
      <w:r w:rsidRPr="00CF1480">
        <w:rPr>
          <w:rFonts w:ascii="Palatino Linotype" w:eastAsia="Palatino Linotype" w:hAnsi="Palatino Linotype" w:cs="Palatino Linotype"/>
        </w:rPr>
        <w:t>.</w:t>
      </w:r>
    </w:p>
    <w:p w:rsidR="00A11E70" w:rsidRPr="00CF1480" w:rsidRDefault="00A11E70" w:rsidP="00A11E70">
      <w:pPr>
        <w:tabs>
          <w:tab w:val="left" w:pos="993"/>
        </w:tabs>
        <w:spacing w:line="360" w:lineRule="auto"/>
        <w:jc w:val="both"/>
        <w:rPr>
          <w:rFonts w:ascii="Palatino Linotype" w:eastAsia="Palatino Linotype" w:hAnsi="Palatino Linotype" w:cs="Palatino Linotype"/>
        </w:rPr>
      </w:pPr>
    </w:p>
    <w:p w:rsidR="00A11E70" w:rsidRPr="00CF1480" w:rsidRDefault="00A11E70" w:rsidP="00A11E70">
      <w:pPr>
        <w:tabs>
          <w:tab w:val="left" w:pos="993"/>
        </w:tabs>
        <w:spacing w:line="360" w:lineRule="auto"/>
        <w:jc w:val="both"/>
        <w:rPr>
          <w:rFonts w:ascii="Palatino Linotype" w:eastAsia="Palatino Linotype" w:hAnsi="Palatino Linotype" w:cs="Palatino Linotype"/>
        </w:rPr>
      </w:pPr>
      <w:r w:rsidRPr="00CF1480">
        <w:rPr>
          <w:rFonts w:ascii="Palatino Linotype" w:eastAsia="Palatino Linotype" w:hAnsi="Palatino Linotype" w:cs="Palatino Linotype"/>
        </w:rPr>
        <w:t xml:space="preserve">De ser el caso de que el </w:t>
      </w:r>
      <w:r w:rsidRPr="00CF1480">
        <w:rPr>
          <w:rFonts w:ascii="Palatino Linotype" w:eastAsia="Palatino Linotype" w:hAnsi="Palatino Linotype" w:cs="Palatino Linotype"/>
          <w:b/>
        </w:rPr>
        <w:t>SUJETO OBLIGADO</w:t>
      </w:r>
      <w:r w:rsidRPr="00CF1480">
        <w:rPr>
          <w:rFonts w:ascii="Palatino Linotype" w:eastAsia="Palatino Linotype" w:hAnsi="Palatino Linotype" w:cs="Palatino Linotype"/>
        </w:rPr>
        <w:t xml:space="preserve"> opte por poner la información a disposición vía Consulta Directa, deberá informar al </w:t>
      </w:r>
      <w:r w:rsidRPr="00CF1480">
        <w:rPr>
          <w:rFonts w:ascii="Palatino Linotype" w:eastAsia="Palatino Linotype" w:hAnsi="Palatino Linotype" w:cs="Palatino Linotype"/>
          <w:b/>
        </w:rPr>
        <w:t>RECURRENTE</w:t>
      </w:r>
      <w:r w:rsidRPr="00CF1480">
        <w:rPr>
          <w:rFonts w:ascii="Palatino Linotype" w:eastAsia="Palatino Linotype" w:hAnsi="Palatino Linotype" w:cs="Palatino Linotype"/>
        </w:rPr>
        <w:t xml:space="preserve">, a través del Sistema de Acceso a la Información Mexiquense (SAIMEX), del procedimiento que tendrá que seguir para acceder a la documentación; es decir, los pasos para realizar el pago de derechos en caso de ser procedentes, y la manera de obtener la información, como el domicilio de la Unidad de Transparencia, días y horarios de atención y el nombre del servidor público quien le atenderá. </w:t>
      </w:r>
      <w:r w:rsidRPr="00CF1480">
        <w:rPr>
          <w:rFonts w:ascii="Palatino Linotype" w:eastAsia="Palatino Linotype" w:hAnsi="Palatino Linotype" w:cs="Palatino Linotype"/>
        </w:rPr>
        <w:lastRenderedPageBreak/>
        <w:t>Además, deberá informar que podrá acceder de manera gratuita a la información si proporciona el medio electrónico y recoge la información en la Unidad de Transparencia.</w:t>
      </w:r>
    </w:p>
    <w:p w:rsidR="00A11E70" w:rsidRPr="00CF1480" w:rsidRDefault="00A11E70" w:rsidP="00A11E70">
      <w:pPr>
        <w:tabs>
          <w:tab w:val="left" w:pos="993"/>
        </w:tabs>
        <w:spacing w:line="360" w:lineRule="auto"/>
        <w:jc w:val="both"/>
        <w:rPr>
          <w:rFonts w:ascii="Palatino Linotype" w:eastAsia="Palatino Linotype" w:hAnsi="Palatino Linotype" w:cs="Palatino Linotype"/>
        </w:rPr>
      </w:pPr>
    </w:p>
    <w:p w:rsidR="00A11E70" w:rsidRPr="00CF1480" w:rsidRDefault="00A11E70" w:rsidP="00A11E70">
      <w:pPr>
        <w:shd w:val="clear" w:color="auto" w:fill="FFFFFF"/>
        <w:spacing w:line="360" w:lineRule="auto"/>
        <w:jc w:val="both"/>
        <w:rPr>
          <w:rFonts w:ascii="Palatino Linotype" w:eastAsia="Palatino Linotype" w:hAnsi="Palatino Linotype" w:cs="Palatino Linotype"/>
          <w:color w:val="222222"/>
        </w:rPr>
      </w:pPr>
      <w:r w:rsidRPr="00CF1480">
        <w:rPr>
          <w:rFonts w:ascii="Palatino Linotype" w:eastAsia="Palatino Linotype" w:hAnsi="Palatino Linotype" w:cs="Palatino Linotype"/>
          <w:b/>
          <w:color w:val="222222"/>
        </w:rPr>
        <w:t xml:space="preserve">TERCERO. </w:t>
      </w:r>
      <w:r w:rsidRPr="00CF1480">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CF1480">
        <w:rPr>
          <w:rFonts w:ascii="Palatino Linotype" w:eastAsia="Palatino Linotype" w:hAnsi="Palatino Linotype" w:cs="Palatino Linotype"/>
          <w:b/>
          <w:color w:val="222222"/>
        </w:rPr>
        <w:t>dé cumplimiento a lo ordenado dentro del plazo de diez días hábiles,</w:t>
      </w:r>
      <w:r w:rsidRPr="00CF1480">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11E70" w:rsidRPr="00CF1480" w:rsidRDefault="00A11E70" w:rsidP="00A11E70">
      <w:pPr>
        <w:shd w:val="clear" w:color="auto" w:fill="FFFFFF"/>
        <w:spacing w:line="360" w:lineRule="auto"/>
        <w:jc w:val="both"/>
        <w:rPr>
          <w:rFonts w:ascii="Palatino Linotype" w:eastAsia="Palatino Linotype" w:hAnsi="Palatino Linotype" w:cs="Palatino Linotype"/>
          <w:b/>
          <w:color w:val="222222"/>
        </w:rPr>
      </w:pPr>
    </w:p>
    <w:p w:rsidR="00A11E70" w:rsidRPr="00CF1480" w:rsidRDefault="00A11E70" w:rsidP="00A11E70">
      <w:pPr>
        <w:shd w:val="clear" w:color="auto" w:fill="FFFFFF"/>
        <w:spacing w:line="360" w:lineRule="auto"/>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color w:val="000000"/>
        </w:rPr>
        <w:t>CUARTO.</w:t>
      </w:r>
      <w:r w:rsidRPr="00CF1480">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CF1480">
        <w:rPr>
          <w:rFonts w:ascii="Palatino Linotype" w:eastAsia="Palatino Linotype" w:hAnsi="Palatino Linotype" w:cs="Palatino Linotype"/>
          <w:b/>
          <w:color w:val="000000"/>
        </w:rPr>
        <w:t>SUJETO OBLIGADO</w:t>
      </w:r>
      <w:r w:rsidRPr="00CF1480">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A11E70" w:rsidRPr="00CF1480" w:rsidRDefault="00A11E70" w:rsidP="00A11E70">
      <w:pPr>
        <w:spacing w:line="360" w:lineRule="auto"/>
        <w:rPr>
          <w:rFonts w:ascii="Palatino Linotype" w:eastAsia="Palatino Linotype" w:hAnsi="Palatino Linotype" w:cs="Palatino Linotype"/>
        </w:rPr>
      </w:pPr>
    </w:p>
    <w:p w:rsidR="00A11E70" w:rsidRPr="00CF1480" w:rsidRDefault="00A11E70" w:rsidP="00A11E70">
      <w:pPr>
        <w:shd w:val="clear" w:color="auto" w:fill="FFFFFF"/>
        <w:spacing w:line="360" w:lineRule="auto"/>
        <w:jc w:val="both"/>
        <w:rPr>
          <w:rFonts w:ascii="Palatino Linotype" w:eastAsia="Palatino Linotype" w:hAnsi="Palatino Linotype" w:cs="Palatino Linotype"/>
          <w:color w:val="000000"/>
        </w:rPr>
      </w:pPr>
      <w:r w:rsidRPr="00CF1480">
        <w:rPr>
          <w:rFonts w:ascii="Palatino Linotype" w:eastAsia="Palatino Linotype" w:hAnsi="Palatino Linotype" w:cs="Palatino Linotype"/>
          <w:b/>
        </w:rPr>
        <w:t xml:space="preserve">QUINTO. </w:t>
      </w:r>
      <w:r w:rsidRPr="00CF1480">
        <w:rPr>
          <w:rFonts w:ascii="Palatino Linotype" w:eastAsia="Palatino Linotype" w:hAnsi="Palatino Linotype" w:cs="Palatino Linotype"/>
          <w:b/>
          <w:color w:val="222222"/>
        </w:rPr>
        <w:t xml:space="preserve">Notifíquese </w:t>
      </w:r>
      <w:r w:rsidRPr="00CF1480">
        <w:rPr>
          <w:rFonts w:ascii="Palatino Linotype" w:eastAsia="Palatino Linotype" w:hAnsi="Palatino Linotype" w:cs="Palatino Linotype"/>
          <w:color w:val="222222"/>
        </w:rPr>
        <w:t xml:space="preserve">al </w:t>
      </w:r>
      <w:r w:rsidRPr="00CF1480">
        <w:rPr>
          <w:rFonts w:ascii="Palatino Linotype" w:eastAsia="Palatino Linotype" w:hAnsi="Palatino Linotype" w:cs="Palatino Linotype"/>
          <w:b/>
          <w:color w:val="222222"/>
        </w:rPr>
        <w:t>RECURRENTE</w:t>
      </w:r>
      <w:r w:rsidRPr="00CF1480">
        <w:rPr>
          <w:rFonts w:ascii="Palatino Linotype" w:eastAsia="Palatino Linotype" w:hAnsi="Palatino Linotype" w:cs="Palatino Linotype"/>
          <w:color w:val="222222"/>
        </w:rPr>
        <w:t xml:space="preserve"> </w:t>
      </w:r>
      <w:r w:rsidRPr="00CF1480">
        <w:rPr>
          <w:rFonts w:ascii="Palatino Linotype" w:eastAsia="Palatino Linotype" w:hAnsi="Palatino Linotype" w:cs="Palatino Linotype"/>
        </w:rPr>
        <w:t>la presente resolución vía Sistema de Acceso a la Información Mexiquense (SAIMEX).</w:t>
      </w:r>
    </w:p>
    <w:p w:rsidR="00A11E70" w:rsidRPr="00CF1480" w:rsidRDefault="00A11E70" w:rsidP="00A11E70">
      <w:pPr>
        <w:shd w:val="clear" w:color="auto" w:fill="FFFFFF"/>
        <w:spacing w:line="360" w:lineRule="auto"/>
        <w:jc w:val="both"/>
        <w:rPr>
          <w:rFonts w:ascii="Palatino Linotype" w:eastAsia="Palatino Linotype" w:hAnsi="Palatino Linotype" w:cs="Palatino Linotype"/>
        </w:rPr>
      </w:pPr>
    </w:p>
    <w:p w:rsidR="00A11E70" w:rsidRPr="00CF1480" w:rsidRDefault="00A11E70" w:rsidP="00A11E70">
      <w:pPr>
        <w:spacing w:line="360" w:lineRule="auto"/>
        <w:jc w:val="both"/>
        <w:rPr>
          <w:rFonts w:ascii="Palatino Linotype" w:eastAsia="Palatino Linotype" w:hAnsi="Palatino Linotype" w:cs="Palatino Linotype"/>
        </w:rPr>
      </w:pPr>
      <w:r w:rsidRPr="00CF1480">
        <w:rPr>
          <w:rFonts w:ascii="Palatino Linotype" w:eastAsia="Palatino Linotype" w:hAnsi="Palatino Linotype" w:cs="Palatino Linotype"/>
          <w:b/>
        </w:rPr>
        <w:t>SEXTO.</w:t>
      </w:r>
      <w:r w:rsidRPr="00CF1480">
        <w:rPr>
          <w:rFonts w:ascii="Palatino Linotype" w:eastAsia="Palatino Linotype" w:hAnsi="Palatino Linotype" w:cs="Palatino Linotype"/>
        </w:rPr>
        <w:t xml:space="preserve"> Se hace del conocimiento del </w:t>
      </w:r>
      <w:r w:rsidRPr="00CF1480">
        <w:rPr>
          <w:rFonts w:ascii="Palatino Linotype" w:eastAsia="Palatino Linotype" w:hAnsi="Palatino Linotype" w:cs="Palatino Linotype"/>
          <w:b/>
        </w:rPr>
        <w:t>RECURRENTE</w:t>
      </w:r>
      <w:r w:rsidRPr="00CF1480">
        <w:rPr>
          <w:rFonts w:ascii="Palatino Linotype" w:eastAsia="Palatino Linotype" w:hAnsi="Palatino Linotype" w:cs="Palatino Linotype"/>
          <w:color w:val="222222"/>
        </w:rPr>
        <w:t xml:space="preserve"> </w:t>
      </w:r>
      <w:r w:rsidRPr="00CF1480">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bookmarkStart w:id="11" w:name="_GoBack"/>
      <w:bookmarkEnd w:id="11"/>
    </w:p>
    <w:p w:rsidR="004B2037" w:rsidRPr="00CF1480" w:rsidRDefault="004B2037" w:rsidP="004B2037">
      <w:pPr>
        <w:spacing w:before="240" w:after="240" w:line="360" w:lineRule="auto"/>
        <w:ind w:firstLine="1"/>
        <w:jc w:val="both"/>
        <w:rPr>
          <w:rFonts w:ascii="Palatino Linotype" w:hAnsi="Palatino Linotype"/>
        </w:rPr>
      </w:pPr>
      <w:bookmarkStart w:id="12" w:name="_Hlk99014733"/>
      <w:r w:rsidRPr="00CF1480">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w:t>
      </w:r>
      <w:r w:rsidR="000E2528" w:rsidRPr="00CF1480">
        <w:rPr>
          <w:rFonts w:ascii="Palatino Linotype" w:hAnsi="Palatino Linotype" w:cs="Palatino Linotype"/>
        </w:rPr>
        <w:t xml:space="preserve">EMITIENDO VOTO PARTICULAR </w:t>
      </w:r>
      <w:r w:rsidRPr="00CF1480">
        <w:rPr>
          <w:rFonts w:ascii="Palatino Linotype" w:hAnsi="Palatino Linotype" w:cs="Palatino Linotype"/>
        </w:rPr>
        <w:t>Y GUADALUPE RAMÍREZ PEÑA</w:t>
      </w:r>
      <w:r w:rsidR="000E2528" w:rsidRPr="00CF1480">
        <w:rPr>
          <w:rFonts w:ascii="Palatino Linotype" w:hAnsi="Palatino Linotype" w:cs="Palatino Linotype"/>
        </w:rPr>
        <w:t xml:space="preserve"> EMITIENDO OPINIÓN PARTICULAR</w:t>
      </w:r>
      <w:r w:rsidRPr="00CF1480">
        <w:rPr>
          <w:rFonts w:ascii="Palatino Linotype" w:hAnsi="Palatino Linotype" w:cs="Palatino Linotype"/>
        </w:rPr>
        <w:t xml:space="preserve">; EN LA DÉCIMA NOVENA SESIÓN ORDINARIA, CELEBRADA EL VEINTISIETE (27) DE MAYO DE DOS MIL VEINTISÉIS, ANTE EL SECRETARIO TÉCNICO DEL PLENO </w:t>
      </w:r>
      <w:r w:rsidRPr="00CF1480">
        <w:rPr>
          <w:rFonts w:ascii="Palatino Linotype" w:hAnsi="Palatino Linotype" w:cs="Palatino Linotype"/>
          <w:color w:val="000000" w:themeColor="text1"/>
        </w:rPr>
        <w:t>ALEXIS TAPIA RAMÍREZ.</w:t>
      </w:r>
    </w:p>
    <w:bookmarkEnd w:id="12"/>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A11E70" w:rsidRPr="00CF1480" w:rsidRDefault="00A11E70" w:rsidP="00A11E70"/>
    <w:p w:rsidR="00265294" w:rsidRPr="00CF1480" w:rsidRDefault="00265294"/>
    <w:sectPr w:rsidR="00265294" w:rsidRPr="00CF1480" w:rsidSect="00CF1480">
      <w:headerReference w:type="default" r:id="rId19"/>
      <w:footerReference w:type="default" r:id="rId20"/>
      <w:headerReference w:type="first" r:id="rId21"/>
      <w:footerReference w:type="first" r:id="rId22"/>
      <w:pgSz w:w="12240" w:h="15840"/>
      <w:pgMar w:top="1417" w:right="758" w:bottom="141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B90" w:rsidRDefault="008B1B90" w:rsidP="00A11E70">
      <w:r>
        <w:separator/>
      </w:r>
    </w:p>
  </w:endnote>
  <w:endnote w:type="continuationSeparator" w:id="0">
    <w:p w:rsidR="008B1B90" w:rsidRDefault="008B1B90" w:rsidP="00A1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80" w:rsidRPr="00CF1480" w:rsidRDefault="00D77C8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rPr>
    </w:pPr>
    <w:r w:rsidRPr="00CF1480">
      <w:rPr>
        <w:rFonts w:ascii="Palatino Linotype" w:eastAsia="Palatino Linotype" w:hAnsi="Palatino Linotype" w:cs="Palatino Linotype"/>
        <w:b/>
        <w:color w:val="000000"/>
        <w:sz w:val="22"/>
      </w:rPr>
      <w:t xml:space="preserve">Página </w:t>
    </w:r>
    <w:r w:rsidRPr="00CF1480">
      <w:rPr>
        <w:rFonts w:ascii="Palatino Linotype" w:eastAsia="Palatino Linotype" w:hAnsi="Palatino Linotype" w:cs="Palatino Linotype"/>
        <w:b/>
        <w:color w:val="000000"/>
        <w:sz w:val="22"/>
      </w:rPr>
      <w:fldChar w:fldCharType="begin"/>
    </w:r>
    <w:r w:rsidRPr="00CF1480">
      <w:rPr>
        <w:rFonts w:ascii="Palatino Linotype" w:eastAsia="Palatino Linotype" w:hAnsi="Palatino Linotype" w:cs="Palatino Linotype"/>
        <w:b/>
        <w:color w:val="000000"/>
        <w:sz w:val="22"/>
      </w:rPr>
      <w:instrText>PAGE</w:instrText>
    </w:r>
    <w:r w:rsidRPr="00CF1480">
      <w:rPr>
        <w:rFonts w:ascii="Palatino Linotype" w:eastAsia="Palatino Linotype" w:hAnsi="Palatino Linotype" w:cs="Palatino Linotype"/>
        <w:b/>
        <w:color w:val="000000"/>
        <w:sz w:val="22"/>
      </w:rPr>
      <w:fldChar w:fldCharType="separate"/>
    </w:r>
    <w:r w:rsidR="00CF1480">
      <w:rPr>
        <w:rFonts w:ascii="Palatino Linotype" w:eastAsia="Palatino Linotype" w:hAnsi="Palatino Linotype" w:cs="Palatino Linotype"/>
        <w:b/>
        <w:noProof/>
        <w:color w:val="000000"/>
        <w:sz w:val="22"/>
      </w:rPr>
      <w:t>11</w:t>
    </w:r>
    <w:r w:rsidRPr="00CF1480">
      <w:rPr>
        <w:rFonts w:ascii="Palatino Linotype" w:eastAsia="Palatino Linotype" w:hAnsi="Palatino Linotype" w:cs="Palatino Linotype"/>
        <w:b/>
        <w:color w:val="000000"/>
        <w:sz w:val="22"/>
      </w:rPr>
      <w:fldChar w:fldCharType="end"/>
    </w:r>
    <w:r w:rsidRPr="00CF1480">
      <w:rPr>
        <w:rFonts w:ascii="Palatino Linotype" w:eastAsia="Palatino Linotype" w:hAnsi="Palatino Linotype" w:cs="Palatino Linotype"/>
        <w:color w:val="000000"/>
        <w:sz w:val="22"/>
      </w:rPr>
      <w:t xml:space="preserve"> de </w:t>
    </w:r>
    <w:r w:rsidRPr="00CF1480">
      <w:rPr>
        <w:rFonts w:ascii="Palatino Linotype" w:eastAsia="Palatino Linotype" w:hAnsi="Palatino Linotype" w:cs="Palatino Linotype"/>
        <w:b/>
        <w:color w:val="000000"/>
        <w:sz w:val="22"/>
      </w:rPr>
      <w:fldChar w:fldCharType="begin"/>
    </w:r>
    <w:r w:rsidRPr="00CF1480">
      <w:rPr>
        <w:rFonts w:ascii="Palatino Linotype" w:eastAsia="Palatino Linotype" w:hAnsi="Palatino Linotype" w:cs="Palatino Linotype"/>
        <w:b/>
        <w:color w:val="000000"/>
        <w:sz w:val="22"/>
      </w:rPr>
      <w:instrText>NUMPAGES</w:instrText>
    </w:r>
    <w:r w:rsidRPr="00CF1480">
      <w:rPr>
        <w:rFonts w:ascii="Palatino Linotype" w:eastAsia="Palatino Linotype" w:hAnsi="Palatino Linotype" w:cs="Palatino Linotype"/>
        <w:b/>
        <w:color w:val="000000"/>
        <w:sz w:val="22"/>
      </w:rPr>
      <w:fldChar w:fldCharType="separate"/>
    </w:r>
    <w:r w:rsidR="00CF1480">
      <w:rPr>
        <w:rFonts w:ascii="Palatino Linotype" w:eastAsia="Palatino Linotype" w:hAnsi="Palatino Linotype" w:cs="Palatino Linotype"/>
        <w:b/>
        <w:noProof/>
        <w:color w:val="000000"/>
        <w:sz w:val="22"/>
      </w:rPr>
      <w:t>32</w:t>
    </w:r>
    <w:r w:rsidRPr="00CF1480">
      <w:rPr>
        <w:rFonts w:ascii="Palatino Linotype" w:eastAsia="Palatino Linotype" w:hAnsi="Palatino Linotype" w:cs="Palatino Linotype"/>
        <w:b/>
        <w:color w:val="000000"/>
        <w:sz w:val="22"/>
      </w:rPr>
      <w:fldChar w:fldCharType="end"/>
    </w:r>
  </w:p>
  <w:p w:rsidR="00D77C80" w:rsidRDefault="00D77C80">
    <w:pPr>
      <w:pBdr>
        <w:top w:val="nil"/>
        <w:left w:val="nil"/>
        <w:bottom w:val="nil"/>
        <w:right w:val="nil"/>
        <w:between w:val="nil"/>
      </w:pBdr>
      <w:tabs>
        <w:tab w:val="center" w:pos="4252"/>
        <w:tab w:val="right" w:pos="8504"/>
      </w:tabs>
      <w:rPr>
        <w:color w:val="000000"/>
      </w:rPr>
    </w:pPr>
  </w:p>
  <w:p w:rsidR="00D77C80" w:rsidRDefault="00D77C80">
    <w:pPr>
      <w:pBdr>
        <w:top w:val="nil"/>
        <w:left w:val="nil"/>
        <w:bottom w:val="nil"/>
        <w:right w:val="nil"/>
        <w:between w:val="nil"/>
      </w:pBdr>
      <w:tabs>
        <w:tab w:val="center" w:pos="4252"/>
        <w:tab w:val="right" w:pos="8504"/>
      </w:tabs>
      <w:ind w:firstLine="708"/>
      <w:jc w:val="center"/>
      <w:rPr>
        <w:rFonts w:ascii="Calibri" w:eastAsia="Calibri" w:hAnsi="Calibri" w:cs="Calibri"/>
        <w:color w:val="000000"/>
      </w:rPr>
    </w:pPr>
  </w:p>
  <w:p w:rsidR="00D77C80" w:rsidRDefault="00D77C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80" w:rsidRPr="00CF1480" w:rsidRDefault="00D77C80">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CF1480">
      <w:rPr>
        <w:rFonts w:ascii="Palatino Linotype" w:eastAsia="Arial" w:hAnsi="Palatino Linotype" w:cs="Arial"/>
        <w:b/>
        <w:color w:val="000000"/>
        <w:sz w:val="22"/>
        <w:szCs w:val="20"/>
      </w:rPr>
      <w:t xml:space="preserve">Página </w:t>
    </w:r>
    <w:r w:rsidRPr="00CF1480">
      <w:rPr>
        <w:rFonts w:ascii="Palatino Linotype" w:eastAsia="Arial" w:hAnsi="Palatino Linotype" w:cs="Arial"/>
        <w:b/>
        <w:color w:val="000000"/>
        <w:sz w:val="22"/>
        <w:szCs w:val="20"/>
      </w:rPr>
      <w:fldChar w:fldCharType="begin"/>
    </w:r>
    <w:r w:rsidRPr="00CF1480">
      <w:rPr>
        <w:rFonts w:ascii="Palatino Linotype" w:eastAsia="Arial" w:hAnsi="Palatino Linotype" w:cs="Arial"/>
        <w:b/>
        <w:color w:val="000000"/>
        <w:sz w:val="22"/>
        <w:szCs w:val="20"/>
      </w:rPr>
      <w:instrText>PAGE</w:instrText>
    </w:r>
    <w:r w:rsidRPr="00CF1480">
      <w:rPr>
        <w:rFonts w:ascii="Palatino Linotype" w:eastAsia="Arial" w:hAnsi="Palatino Linotype" w:cs="Arial"/>
        <w:b/>
        <w:color w:val="000000"/>
        <w:sz w:val="22"/>
        <w:szCs w:val="20"/>
      </w:rPr>
      <w:fldChar w:fldCharType="separate"/>
    </w:r>
    <w:r w:rsidR="00CF1480">
      <w:rPr>
        <w:rFonts w:ascii="Palatino Linotype" w:eastAsia="Arial" w:hAnsi="Palatino Linotype" w:cs="Arial"/>
        <w:b/>
        <w:noProof/>
        <w:color w:val="000000"/>
        <w:sz w:val="22"/>
        <w:szCs w:val="20"/>
      </w:rPr>
      <w:t>1</w:t>
    </w:r>
    <w:r w:rsidRPr="00CF1480">
      <w:rPr>
        <w:rFonts w:ascii="Palatino Linotype" w:eastAsia="Arial" w:hAnsi="Palatino Linotype" w:cs="Arial"/>
        <w:b/>
        <w:color w:val="000000"/>
        <w:sz w:val="22"/>
        <w:szCs w:val="20"/>
      </w:rPr>
      <w:fldChar w:fldCharType="end"/>
    </w:r>
    <w:r w:rsidRPr="00CF1480">
      <w:rPr>
        <w:rFonts w:ascii="Palatino Linotype" w:eastAsia="Arial" w:hAnsi="Palatino Linotype" w:cs="Arial"/>
        <w:color w:val="000000"/>
        <w:sz w:val="22"/>
        <w:szCs w:val="20"/>
      </w:rPr>
      <w:t xml:space="preserve"> de </w:t>
    </w:r>
    <w:r w:rsidRPr="00CF1480">
      <w:rPr>
        <w:rFonts w:ascii="Palatino Linotype" w:eastAsia="Arial" w:hAnsi="Palatino Linotype" w:cs="Arial"/>
        <w:b/>
        <w:color w:val="000000"/>
        <w:sz w:val="22"/>
        <w:szCs w:val="20"/>
      </w:rPr>
      <w:fldChar w:fldCharType="begin"/>
    </w:r>
    <w:r w:rsidRPr="00CF1480">
      <w:rPr>
        <w:rFonts w:ascii="Palatino Linotype" w:eastAsia="Arial" w:hAnsi="Palatino Linotype" w:cs="Arial"/>
        <w:b/>
        <w:color w:val="000000"/>
        <w:sz w:val="22"/>
        <w:szCs w:val="20"/>
      </w:rPr>
      <w:instrText>NUMPAGES</w:instrText>
    </w:r>
    <w:r w:rsidRPr="00CF1480">
      <w:rPr>
        <w:rFonts w:ascii="Palatino Linotype" w:eastAsia="Arial" w:hAnsi="Palatino Linotype" w:cs="Arial"/>
        <w:b/>
        <w:color w:val="000000"/>
        <w:sz w:val="22"/>
        <w:szCs w:val="20"/>
      </w:rPr>
      <w:fldChar w:fldCharType="separate"/>
    </w:r>
    <w:r w:rsidR="00CF1480">
      <w:rPr>
        <w:rFonts w:ascii="Palatino Linotype" w:eastAsia="Arial" w:hAnsi="Palatino Linotype" w:cs="Arial"/>
        <w:b/>
        <w:noProof/>
        <w:color w:val="000000"/>
        <w:sz w:val="22"/>
        <w:szCs w:val="20"/>
      </w:rPr>
      <w:t>32</w:t>
    </w:r>
    <w:r w:rsidRPr="00CF1480">
      <w:rPr>
        <w:rFonts w:ascii="Palatino Linotype" w:eastAsia="Arial" w:hAnsi="Palatino Linotype" w:cs="Arial"/>
        <w:b/>
        <w:color w:val="000000"/>
        <w:sz w:val="22"/>
        <w:szCs w:val="20"/>
      </w:rPr>
      <w:fldChar w:fldCharType="end"/>
    </w:r>
  </w:p>
  <w:p w:rsidR="00D77C80" w:rsidRDefault="00D77C80">
    <w:pPr>
      <w:pBdr>
        <w:top w:val="nil"/>
        <w:left w:val="nil"/>
        <w:bottom w:val="nil"/>
        <w:right w:val="nil"/>
        <w:between w:val="nil"/>
      </w:pBdr>
      <w:tabs>
        <w:tab w:val="center" w:pos="4252"/>
        <w:tab w:val="right" w:pos="8504"/>
      </w:tabs>
      <w:rPr>
        <w:rFonts w:ascii="Calibri" w:eastAsia="Calibri" w:hAnsi="Calibri" w:cs="Calibri"/>
        <w:color w:val="000000"/>
      </w:rPr>
    </w:pPr>
  </w:p>
  <w:p w:rsidR="00D77C80" w:rsidRDefault="00D77C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B90" w:rsidRDefault="008B1B90" w:rsidP="00A11E70">
      <w:r>
        <w:separator/>
      </w:r>
    </w:p>
  </w:footnote>
  <w:footnote w:type="continuationSeparator" w:id="0">
    <w:p w:rsidR="008B1B90" w:rsidRDefault="008B1B90" w:rsidP="00A11E70">
      <w:r>
        <w:continuationSeparator/>
      </w:r>
    </w:p>
  </w:footnote>
  <w:footnote w:id="1">
    <w:p w:rsidR="00D77C80" w:rsidRDefault="00D77C80" w:rsidP="00A11E70">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b/>
          <w:color w:val="000000"/>
          <w:sz w:val="20"/>
          <w:szCs w:val="20"/>
        </w:rPr>
        <w:t>Artículo 9.</w:t>
      </w:r>
      <w:r>
        <w:rPr>
          <w:rFonts w:ascii="Palatino Linotype" w:eastAsia="Palatino Linotype" w:hAnsi="Palatino Linotype" w:cs="Palatino Linotype"/>
          <w:color w:val="000000"/>
          <w:sz w:val="20"/>
          <w:szCs w:val="20"/>
        </w:rPr>
        <w:t xml:space="preserve"> El Instituto deberá regir su funcionamiento de acuerdo a los siguientes principios:</w:t>
      </w:r>
    </w:p>
    <w:p w:rsidR="00D77C80" w:rsidRDefault="00D77C80" w:rsidP="00A11E70">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D77C80" w:rsidRDefault="00D77C80" w:rsidP="00A11E70">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II. Eficacia:</w:t>
      </w:r>
      <w:r>
        <w:rPr>
          <w:rFonts w:ascii="Palatino Linotype" w:eastAsia="Palatino Linotype" w:hAnsi="Palatino Linotype" w:cs="Palatino Linotype"/>
          <w:color w:val="000000"/>
          <w:sz w:val="20"/>
          <w:szCs w:val="20"/>
        </w:rPr>
        <w:t xml:space="preserve"> Obligación del Instituto para tutelar, de manera efectiva, el derecho de acceso a la información</w:t>
      </w:r>
    </w:p>
    <w:p w:rsidR="00D77C80" w:rsidRDefault="00D77C80" w:rsidP="00A11E70">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D77C80" w:rsidRDefault="00D77C80" w:rsidP="00A11E70">
      <w:pPr>
        <w:pBdr>
          <w:top w:val="nil"/>
          <w:left w:val="nil"/>
          <w:bottom w:val="nil"/>
          <w:right w:val="nil"/>
          <w:between w:val="nil"/>
        </w:pBdr>
        <w:jc w:val="both"/>
        <w:rPr>
          <w:rFonts w:ascii="Calibri" w:eastAsia="Calibri" w:hAnsi="Calibri" w:cs="Calibri"/>
          <w:color w:val="000000"/>
          <w:sz w:val="20"/>
          <w:szCs w:val="20"/>
        </w:rPr>
      </w:pPr>
      <w:r>
        <w:rPr>
          <w:rFonts w:ascii="Palatino Linotype" w:eastAsia="Palatino Linotype" w:hAnsi="Palatino Linotype" w:cs="Palatino Linotype"/>
          <w:b/>
          <w:color w:val="000000"/>
          <w:sz w:val="20"/>
          <w:szCs w:val="20"/>
        </w:rPr>
        <w:t>IX. Profesionalismo:</w:t>
      </w:r>
      <w:r>
        <w:rPr>
          <w:rFonts w:ascii="Palatino Linotype" w:eastAsia="Palatino Linotype" w:hAnsi="Palatino Linotype" w:cs="Palatino Linotype"/>
          <w:color w:val="000000"/>
          <w:sz w:val="20"/>
          <w:szCs w:val="20"/>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447" w:type="dxa"/>
      <w:tblInd w:w="3544" w:type="dxa"/>
      <w:tblLayout w:type="fixed"/>
      <w:tblLook w:val="0400" w:firstRow="0" w:lastRow="0" w:firstColumn="0" w:lastColumn="0" w:noHBand="0" w:noVBand="1"/>
    </w:tblPr>
    <w:tblGrid>
      <w:gridCol w:w="2701"/>
      <w:gridCol w:w="3746"/>
    </w:tblGrid>
    <w:tr w:rsidR="00D77C80" w:rsidTr="00CF1480">
      <w:tc>
        <w:tcPr>
          <w:tcW w:w="2701"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Recurso de Revisión:</w:t>
          </w:r>
        </w:p>
      </w:tc>
      <w:tc>
        <w:tcPr>
          <w:tcW w:w="3746" w:type="dxa"/>
          <w:vAlign w:val="center"/>
        </w:tcPr>
        <w:p w:rsidR="00D77C80" w:rsidRPr="00CF1480" w:rsidRDefault="00D77C80">
          <w:pPr>
            <w:rPr>
              <w:rFonts w:ascii="Palatino Linotype" w:eastAsia="Palatino Linotype" w:hAnsi="Palatino Linotype" w:cs="Palatino Linotype"/>
              <w:szCs w:val="22"/>
            </w:rPr>
          </w:pPr>
          <w:r w:rsidRPr="00CF1480">
            <w:rPr>
              <w:rFonts w:ascii="Palatino Linotype" w:eastAsia="Palatino Linotype" w:hAnsi="Palatino Linotype" w:cs="Palatino Linotype"/>
              <w:szCs w:val="22"/>
            </w:rPr>
            <w:t xml:space="preserve">10118/INFOEM/IP/RR/2025 </w:t>
          </w:r>
        </w:p>
      </w:tc>
    </w:tr>
    <w:tr w:rsidR="00D77C80" w:rsidTr="00CF1480">
      <w:trPr>
        <w:trHeight w:val="228"/>
      </w:trPr>
      <w:tc>
        <w:tcPr>
          <w:tcW w:w="2701"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Sujeto Obligado:</w:t>
          </w:r>
        </w:p>
      </w:tc>
      <w:tc>
        <w:tcPr>
          <w:tcW w:w="3746" w:type="dxa"/>
          <w:vAlign w:val="center"/>
        </w:tcPr>
        <w:p w:rsidR="00D77C80" w:rsidRPr="00CF1480" w:rsidRDefault="00D77C80">
          <w:pPr>
            <w:jc w:val="both"/>
            <w:rPr>
              <w:rFonts w:ascii="Palatino Linotype" w:eastAsia="Palatino Linotype" w:hAnsi="Palatino Linotype" w:cs="Palatino Linotype"/>
              <w:szCs w:val="22"/>
            </w:rPr>
          </w:pPr>
          <w:r w:rsidRPr="00CF1480">
            <w:rPr>
              <w:rFonts w:ascii="Palatino Linotype" w:eastAsia="Palatino Linotype" w:hAnsi="Palatino Linotype" w:cs="Palatino Linotype"/>
              <w:bCs/>
              <w:szCs w:val="22"/>
            </w:rPr>
            <w:t>Ayuntamiento de Metepec</w:t>
          </w:r>
        </w:p>
      </w:tc>
    </w:tr>
    <w:tr w:rsidR="00D77C80" w:rsidTr="00CF1480">
      <w:tc>
        <w:tcPr>
          <w:tcW w:w="2701"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Comisionada ponente:</w:t>
          </w:r>
        </w:p>
      </w:tc>
      <w:tc>
        <w:tcPr>
          <w:tcW w:w="3746" w:type="dxa"/>
          <w:vAlign w:val="center"/>
        </w:tcPr>
        <w:p w:rsidR="00D77C80" w:rsidRPr="00CF1480" w:rsidRDefault="00D77C80">
          <w:pPr>
            <w:ind w:right="-533"/>
            <w:rPr>
              <w:rFonts w:ascii="Palatino Linotype" w:eastAsia="Palatino Linotype" w:hAnsi="Palatino Linotype" w:cs="Palatino Linotype"/>
              <w:szCs w:val="22"/>
            </w:rPr>
          </w:pPr>
          <w:r w:rsidRPr="00CF1480">
            <w:rPr>
              <w:rFonts w:ascii="Palatino Linotype" w:eastAsia="Palatino Linotype" w:hAnsi="Palatino Linotype" w:cs="Palatino Linotype"/>
              <w:szCs w:val="22"/>
            </w:rPr>
            <w:t xml:space="preserve">María del Rosario Mejía Ayala  </w:t>
          </w:r>
        </w:p>
      </w:tc>
    </w:tr>
  </w:tbl>
  <w:p w:rsidR="00D77C80" w:rsidRDefault="00CF1480" w:rsidP="00CF1480">
    <w:pPr>
      <w:pBdr>
        <w:top w:val="nil"/>
        <w:left w:val="nil"/>
        <w:bottom w:val="nil"/>
        <w:right w:val="nil"/>
        <w:between w:val="nil"/>
      </w:pBdr>
      <w:tabs>
        <w:tab w:val="center" w:pos="4252"/>
        <w:tab w:val="right" w:pos="8504"/>
        <w:tab w:val="left" w:pos="2326"/>
      </w:tabs>
    </w:pPr>
    <w:r>
      <w:rPr>
        <w:noProof/>
        <w:lang w:val="es-MX" w:eastAsia="es-MX"/>
      </w:rPr>
      <w:drawing>
        <wp:anchor distT="0" distB="0" distL="0" distR="0" simplePos="0" relativeHeight="251659264" behindDoc="1" locked="0" layoutInCell="1" hidden="0" allowOverlap="1" wp14:anchorId="71D7A7E4" wp14:editId="7950CEAF">
          <wp:simplePos x="0" y="0"/>
          <wp:positionH relativeFrom="page">
            <wp:align>center</wp:align>
          </wp:positionH>
          <wp:positionV relativeFrom="paragraph">
            <wp:posOffset>-1049080</wp:posOffset>
          </wp:positionV>
          <wp:extent cx="7635875" cy="9943465"/>
          <wp:effectExtent l="0" t="0" r="3175" b="635"/>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r w:rsidR="00D77C80">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9" w:type="dxa"/>
      <w:tblInd w:w="3686" w:type="dxa"/>
      <w:tblLayout w:type="fixed"/>
      <w:tblLook w:val="0400" w:firstRow="0" w:lastRow="0" w:firstColumn="0" w:lastColumn="0" w:noHBand="0" w:noVBand="1"/>
    </w:tblPr>
    <w:tblGrid>
      <w:gridCol w:w="2693"/>
      <w:gridCol w:w="3976"/>
    </w:tblGrid>
    <w:tr w:rsidR="00D77C80" w:rsidTr="00CF1480">
      <w:trPr>
        <w:trHeight w:val="266"/>
      </w:trPr>
      <w:tc>
        <w:tcPr>
          <w:tcW w:w="2693"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Recurso de Revisión:</w:t>
          </w:r>
        </w:p>
      </w:tc>
      <w:tc>
        <w:tcPr>
          <w:tcW w:w="3976" w:type="dxa"/>
          <w:vAlign w:val="center"/>
        </w:tcPr>
        <w:p w:rsidR="00D77C80" w:rsidRPr="00CF1480" w:rsidRDefault="00D77C80">
          <w:pPr>
            <w:ind w:right="-735"/>
            <w:rPr>
              <w:rFonts w:ascii="Palatino Linotype" w:eastAsia="Palatino Linotype" w:hAnsi="Palatino Linotype" w:cs="Palatino Linotype"/>
              <w:szCs w:val="22"/>
            </w:rPr>
          </w:pPr>
          <w:r w:rsidRPr="00CF1480">
            <w:rPr>
              <w:rFonts w:ascii="Palatino Linotype" w:eastAsia="Palatino Linotype" w:hAnsi="Palatino Linotype" w:cs="Palatino Linotype"/>
              <w:szCs w:val="22"/>
            </w:rPr>
            <w:t xml:space="preserve">10118/INFOEM/IP/RR/2025 </w:t>
          </w:r>
        </w:p>
      </w:tc>
    </w:tr>
    <w:tr w:rsidR="00D77C80" w:rsidTr="00CF1480">
      <w:trPr>
        <w:trHeight w:val="533"/>
      </w:trPr>
      <w:tc>
        <w:tcPr>
          <w:tcW w:w="2693"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Recurrente:</w:t>
          </w:r>
        </w:p>
      </w:tc>
      <w:tc>
        <w:tcPr>
          <w:tcW w:w="3976" w:type="dxa"/>
          <w:vAlign w:val="center"/>
        </w:tcPr>
        <w:p w:rsidR="00D77C80" w:rsidRPr="00CF1480" w:rsidRDefault="00D77C80">
          <w:pPr>
            <w:ind w:right="-735"/>
            <w:rPr>
              <w:rFonts w:ascii="Palatino Linotype" w:eastAsia="Palatino Linotype" w:hAnsi="Palatino Linotype" w:cs="Palatino Linotype"/>
              <w:szCs w:val="22"/>
            </w:rPr>
          </w:pPr>
        </w:p>
      </w:tc>
    </w:tr>
    <w:tr w:rsidR="00D77C80" w:rsidTr="00CF1480">
      <w:trPr>
        <w:trHeight w:val="266"/>
      </w:trPr>
      <w:tc>
        <w:tcPr>
          <w:tcW w:w="2693"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Sujeto Obligado:</w:t>
          </w:r>
        </w:p>
      </w:tc>
      <w:tc>
        <w:tcPr>
          <w:tcW w:w="3976" w:type="dxa"/>
          <w:vAlign w:val="center"/>
        </w:tcPr>
        <w:p w:rsidR="00D77C80" w:rsidRPr="00CF1480" w:rsidRDefault="00D77C80">
          <w:pPr>
            <w:ind w:right="-735"/>
            <w:rPr>
              <w:rFonts w:ascii="Palatino Linotype" w:eastAsia="Palatino Linotype" w:hAnsi="Palatino Linotype" w:cs="Palatino Linotype"/>
              <w:szCs w:val="22"/>
            </w:rPr>
          </w:pPr>
          <w:r w:rsidRPr="00CF1480">
            <w:rPr>
              <w:rFonts w:ascii="Palatino Linotype" w:eastAsia="Palatino Linotype" w:hAnsi="Palatino Linotype" w:cs="Palatino Linotype"/>
              <w:bCs/>
              <w:szCs w:val="22"/>
            </w:rPr>
            <w:t>Ayuntamiento de Metepec</w:t>
          </w:r>
        </w:p>
      </w:tc>
    </w:tr>
    <w:tr w:rsidR="00D77C80" w:rsidTr="00CF1480">
      <w:trPr>
        <w:trHeight w:val="266"/>
      </w:trPr>
      <w:tc>
        <w:tcPr>
          <w:tcW w:w="2693" w:type="dxa"/>
          <w:vAlign w:val="center"/>
        </w:tcPr>
        <w:p w:rsidR="00D77C80" w:rsidRPr="00CF1480" w:rsidRDefault="00D77C80">
          <w:pPr>
            <w:rPr>
              <w:rFonts w:ascii="Palatino Linotype" w:eastAsia="Palatino Linotype" w:hAnsi="Palatino Linotype" w:cs="Palatino Linotype"/>
              <w:b/>
              <w:szCs w:val="22"/>
            </w:rPr>
          </w:pPr>
          <w:r w:rsidRPr="00CF1480">
            <w:rPr>
              <w:rFonts w:ascii="Palatino Linotype" w:eastAsia="Palatino Linotype" w:hAnsi="Palatino Linotype" w:cs="Palatino Linotype"/>
              <w:b/>
              <w:szCs w:val="22"/>
            </w:rPr>
            <w:t>Comisionada Ponente:</w:t>
          </w:r>
        </w:p>
      </w:tc>
      <w:tc>
        <w:tcPr>
          <w:tcW w:w="3976" w:type="dxa"/>
          <w:vAlign w:val="center"/>
        </w:tcPr>
        <w:p w:rsidR="00D77C80" w:rsidRPr="00CF1480" w:rsidRDefault="00D77C80">
          <w:pPr>
            <w:ind w:right="-735"/>
            <w:rPr>
              <w:rFonts w:ascii="Palatino Linotype" w:eastAsia="Palatino Linotype" w:hAnsi="Palatino Linotype" w:cs="Palatino Linotype"/>
              <w:szCs w:val="22"/>
            </w:rPr>
          </w:pPr>
          <w:r w:rsidRPr="00CF1480">
            <w:rPr>
              <w:rFonts w:ascii="Palatino Linotype" w:eastAsia="Palatino Linotype" w:hAnsi="Palatino Linotype" w:cs="Palatino Linotype"/>
              <w:szCs w:val="22"/>
            </w:rPr>
            <w:t>María del Rosario Mejía Ayala</w:t>
          </w:r>
        </w:p>
      </w:tc>
    </w:tr>
  </w:tbl>
  <w:p w:rsidR="00D77C80" w:rsidRDefault="00CF1480" w:rsidP="00CF1480">
    <w:pPr>
      <w:pBdr>
        <w:top w:val="nil"/>
        <w:left w:val="nil"/>
        <w:bottom w:val="nil"/>
        <w:right w:val="nil"/>
        <w:between w:val="nil"/>
      </w:pBdr>
      <w:tabs>
        <w:tab w:val="center" w:pos="4252"/>
        <w:tab w:val="right" w:pos="8504"/>
      </w:tabs>
    </w:pPr>
    <w:r>
      <w:rPr>
        <w:noProof/>
        <w:lang w:val="es-MX" w:eastAsia="es-MX"/>
      </w:rPr>
      <w:drawing>
        <wp:anchor distT="0" distB="0" distL="0" distR="0" simplePos="0" relativeHeight="251660288" behindDoc="1" locked="0" layoutInCell="1" hidden="0" allowOverlap="1" wp14:anchorId="2C160F54" wp14:editId="6556D7D0">
          <wp:simplePos x="0" y="0"/>
          <wp:positionH relativeFrom="page">
            <wp:align>left</wp:align>
          </wp:positionH>
          <wp:positionV relativeFrom="paragraph">
            <wp:posOffset>-1299162</wp:posOffset>
          </wp:positionV>
          <wp:extent cx="7635875" cy="9943465"/>
          <wp:effectExtent l="0" t="0" r="3175" b="635"/>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B01BA"/>
    <w:multiLevelType w:val="hybridMultilevel"/>
    <w:tmpl w:val="F2A690A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9A2D88"/>
    <w:multiLevelType w:val="multilevel"/>
    <w:tmpl w:val="EF82D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B81EF3"/>
    <w:multiLevelType w:val="multilevel"/>
    <w:tmpl w:val="0ABE9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9E78B1"/>
    <w:multiLevelType w:val="hybridMultilevel"/>
    <w:tmpl w:val="C4AA4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B115AC6"/>
    <w:multiLevelType w:val="hybridMultilevel"/>
    <w:tmpl w:val="550E5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E51CBE"/>
    <w:multiLevelType w:val="hybridMultilevel"/>
    <w:tmpl w:val="9138A332"/>
    <w:lvl w:ilvl="0" w:tplc="64707914">
      <w:start w:val="266"/>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6FF2433"/>
    <w:multiLevelType w:val="hybridMultilevel"/>
    <w:tmpl w:val="BDF8555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67AF7FDC"/>
    <w:multiLevelType w:val="hybridMultilevel"/>
    <w:tmpl w:val="C0121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BEA4C61"/>
    <w:multiLevelType w:val="hybridMultilevel"/>
    <w:tmpl w:val="DC403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A276B4F"/>
    <w:multiLevelType w:val="hybridMultilevel"/>
    <w:tmpl w:val="FFFAE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4"/>
  </w:num>
  <w:num w:numId="2">
    <w:abstractNumId w:val="2"/>
  </w:num>
  <w:num w:numId="3">
    <w:abstractNumId w:val="3"/>
  </w:num>
  <w:num w:numId="4">
    <w:abstractNumId w:val="12"/>
  </w:num>
  <w:num w:numId="5">
    <w:abstractNumId w:val="9"/>
  </w:num>
  <w:num w:numId="6">
    <w:abstractNumId w:val="5"/>
  </w:num>
  <w:num w:numId="7">
    <w:abstractNumId w:val="6"/>
  </w:num>
  <w:num w:numId="8">
    <w:abstractNumId w:val="8"/>
  </w:num>
  <w:num w:numId="9">
    <w:abstractNumId w:val="11"/>
  </w:num>
  <w:num w:numId="10">
    <w:abstractNumId w:val="0"/>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E70"/>
    <w:rsid w:val="000A596C"/>
    <w:rsid w:val="000E2528"/>
    <w:rsid w:val="00142E4B"/>
    <w:rsid w:val="00175C55"/>
    <w:rsid w:val="002645B4"/>
    <w:rsid w:val="00265294"/>
    <w:rsid w:val="002F3E60"/>
    <w:rsid w:val="003327A7"/>
    <w:rsid w:val="004B2037"/>
    <w:rsid w:val="00674C06"/>
    <w:rsid w:val="006F003B"/>
    <w:rsid w:val="007A27A2"/>
    <w:rsid w:val="00865947"/>
    <w:rsid w:val="008B1B90"/>
    <w:rsid w:val="00900667"/>
    <w:rsid w:val="00933A98"/>
    <w:rsid w:val="009A586C"/>
    <w:rsid w:val="00A11E70"/>
    <w:rsid w:val="00A47BF2"/>
    <w:rsid w:val="00BD0FD5"/>
    <w:rsid w:val="00BF5B2C"/>
    <w:rsid w:val="00C35C59"/>
    <w:rsid w:val="00C44252"/>
    <w:rsid w:val="00CF1480"/>
    <w:rsid w:val="00D77C80"/>
    <w:rsid w:val="00E77252"/>
    <w:rsid w:val="00FC79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67ECEA-CC2D-4C2D-8C99-A003360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E7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A11E7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1E70"/>
    <w:rPr>
      <w:rFonts w:asciiTheme="majorHAnsi" w:eastAsiaTheme="majorEastAsia" w:hAnsiTheme="majorHAnsi" w:cstheme="majorBidi"/>
      <w:color w:val="2E74B5" w:themeColor="accent1" w:themeShade="BF"/>
      <w:sz w:val="32"/>
      <w:szCs w:val="32"/>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11E70"/>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11E70"/>
    <w:pPr>
      <w:ind w:left="708"/>
    </w:pPr>
    <w:rPr>
      <w:sz w:val="22"/>
      <w:szCs w:val="22"/>
      <w:lang w:eastAsia="en-US"/>
    </w:rPr>
  </w:style>
  <w:style w:type="character" w:styleId="Hipervnculo">
    <w:name w:val="Hyperlink"/>
    <w:basedOn w:val="Fuentedeprrafopredeter"/>
    <w:uiPriority w:val="99"/>
    <w:unhideWhenUsed/>
    <w:rsid w:val="00A11E70"/>
    <w:rPr>
      <w:color w:val="0563C1" w:themeColor="hyperlink"/>
      <w:u w:val="single"/>
    </w:rPr>
  </w:style>
  <w:style w:type="paragraph" w:styleId="Encabezado">
    <w:name w:val="header"/>
    <w:basedOn w:val="Normal"/>
    <w:link w:val="EncabezadoCar"/>
    <w:uiPriority w:val="99"/>
    <w:unhideWhenUsed/>
    <w:rsid w:val="00933A98"/>
    <w:pPr>
      <w:tabs>
        <w:tab w:val="center" w:pos="4419"/>
        <w:tab w:val="right" w:pos="8838"/>
      </w:tabs>
    </w:pPr>
  </w:style>
  <w:style w:type="character" w:customStyle="1" w:styleId="EncabezadoCar">
    <w:name w:val="Encabezado Car"/>
    <w:basedOn w:val="Fuentedeprrafopredeter"/>
    <w:link w:val="Encabezado"/>
    <w:uiPriority w:val="99"/>
    <w:rsid w:val="00933A9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33A98"/>
    <w:pPr>
      <w:tabs>
        <w:tab w:val="center" w:pos="4419"/>
        <w:tab w:val="right" w:pos="8838"/>
      </w:tabs>
    </w:pPr>
  </w:style>
  <w:style w:type="character" w:customStyle="1" w:styleId="PiedepginaCar">
    <w:name w:val="Pie de página Car"/>
    <w:basedOn w:val="Fuentedeprrafopredeter"/>
    <w:link w:val="Piedepgina"/>
    <w:uiPriority w:val="99"/>
    <w:rsid w:val="00933A9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66484">
      <w:bodyDiv w:val="1"/>
      <w:marLeft w:val="0"/>
      <w:marRight w:val="0"/>
      <w:marTop w:val="0"/>
      <w:marBottom w:val="0"/>
      <w:divBdr>
        <w:top w:val="none" w:sz="0" w:space="0" w:color="auto"/>
        <w:left w:val="none" w:sz="0" w:space="0" w:color="auto"/>
        <w:bottom w:val="none" w:sz="0" w:space="0" w:color="auto"/>
        <w:right w:val="none" w:sz="0" w:space="0" w:color="auto"/>
      </w:divBdr>
    </w:div>
    <w:div w:id="165210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29846.page" TargetMode="External"/><Relationship Id="rId13" Type="http://schemas.openxmlformats.org/officeDocument/2006/relationships/hyperlink" Target="https://www.saimex.org.mx/saimex/solicitud/downloadAttach/2562962.page" TargetMode="External"/><Relationship Id="rId18" Type="http://schemas.openxmlformats.org/officeDocument/2006/relationships/hyperlink" Target="https://www.saimex.org.mx/saimex/solicitud/downloadAttach/2765197.page"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saimex.org.mx/saimex/solicitud/downloadAttach/2510428.page" TargetMode="External"/><Relationship Id="rId12" Type="http://schemas.openxmlformats.org/officeDocument/2006/relationships/hyperlink" Target="https://www.saimex.org.mx/saimex/solicitud/downloadAttach/2560726.page" TargetMode="External"/><Relationship Id="rId17" Type="http://schemas.openxmlformats.org/officeDocument/2006/relationships/hyperlink" Target="https://www.saimex.org.mx/saimex/solicitud/downloadAttach/2765196.page" TargetMode="External"/><Relationship Id="rId2" Type="http://schemas.openxmlformats.org/officeDocument/2006/relationships/styles" Target="styles.xml"/><Relationship Id="rId16" Type="http://schemas.openxmlformats.org/officeDocument/2006/relationships/hyperlink" Target="https://www.saimex.org.mx/saimex/solicitud/downloadAttach/2765191.pag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560724.pag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aimex.org.mx/saimex/solicitud/downloadAttach/2569447.page" TargetMode="External"/><Relationship Id="rId23" Type="http://schemas.openxmlformats.org/officeDocument/2006/relationships/fontTable" Target="fontTable.xml"/><Relationship Id="rId10" Type="http://schemas.openxmlformats.org/officeDocument/2006/relationships/hyperlink" Target="https://www.saimex.org.mx/saimex/solicitud/downloadAttach/2560723.pag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imex.org.mx/saimex/solicitud/downloadAttach/2530404.page" TargetMode="External"/><Relationship Id="rId14" Type="http://schemas.openxmlformats.org/officeDocument/2006/relationships/hyperlink" Target="https://www.saimex.org.mx/saimex/solicitud/downloadAttach/2567190.pag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32</Pages>
  <Words>7947</Words>
  <Characters>43710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2026-05-29T00:13:00Z</cp:lastPrinted>
  <dcterms:created xsi:type="dcterms:W3CDTF">2026-05-25T19:02:00Z</dcterms:created>
  <dcterms:modified xsi:type="dcterms:W3CDTF">2026-06-02T20:09:00Z</dcterms:modified>
</cp:coreProperties>
</file>