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D4E" w:rsidRDefault="00CA1D4E">
      <w:pPr>
        <w:widowControl w:val="0"/>
        <w:pBdr>
          <w:top w:val="nil"/>
          <w:left w:val="nil"/>
          <w:bottom w:val="nil"/>
          <w:right w:val="nil"/>
          <w:between w:val="nil"/>
        </w:pBdr>
        <w:spacing w:line="276" w:lineRule="auto"/>
      </w:pPr>
    </w:p>
    <w:p w:rsidR="00CA1D4E" w:rsidRDefault="00CA1D4E">
      <w:pPr>
        <w:widowControl w:val="0"/>
        <w:pBdr>
          <w:top w:val="nil"/>
          <w:left w:val="nil"/>
          <w:bottom w:val="nil"/>
          <w:right w:val="nil"/>
          <w:between w:val="nil"/>
        </w:pBdr>
        <w:spacing w:line="276" w:lineRule="auto"/>
      </w:pPr>
      <w:bookmarkStart w:id="0" w:name="_GoBack"/>
    </w:p>
    <w:bookmarkEnd w:id="0"/>
    <w:p w:rsidR="00CA1D4E" w:rsidRDefault="00DA6D22">
      <w:pPr>
        <w:tabs>
          <w:tab w:val="left" w:pos="3465"/>
        </w:tabs>
        <w:spacing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ocho (08) de abril de dos mil veintiséis.</w:t>
      </w:r>
    </w:p>
    <w:p w:rsidR="00CA1D4E" w:rsidRDefault="00CA1D4E">
      <w:pPr>
        <w:tabs>
          <w:tab w:val="left" w:pos="3465"/>
        </w:tabs>
        <w:spacing w:line="360" w:lineRule="auto"/>
        <w:ind w:right="-787"/>
        <w:jc w:val="both"/>
        <w:rPr>
          <w:rFonts w:ascii="Palatino Linotype" w:eastAsia="Palatino Linotype" w:hAnsi="Palatino Linotype" w:cs="Palatino Linotype"/>
        </w:rPr>
      </w:pPr>
    </w:p>
    <w:p w:rsidR="00CA1D4E" w:rsidRDefault="00DA6D22">
      <w:pPr>
        <w:spacing w:line="360" w:lineRule="auto"/>
        <w:ind w:right="-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 xml:space="preserve">VISTAS </w:t>
      </w:r>
      <w:r>
        <w:rPr>
          <w:rFonts w:ascii="Palatino Linotype" w:eastAsia="Palatino Linotype" w:hAnsi="Palatino Linotype" w:cs="Palatino Linotype"/>
        </w:rPr>
        <w:t xml:space="preserve">las constancias para resolver </w:t>
      </w:r>
      <w:r w:rsidR="008D2022">
        <w:rPr>
          <w:rFonts w:ascii="Palatino Linotype" w:eastAsia="Palatino Linotype" w:hAnsi="Palatino Linotype" w:cs="Palatino Linotype"/>
          <w:color w:val="000000"/>
        </w:rPr>
        <w:t>los</w:t>
      </w:r>
      <w:r>
        <w:rPr>
          <w:rFonts w:ascii="Palatino Linotype" w:eastAsia="Palatino Linotype" w:hAnsi="Palatino Linotype" w:cs="Palatino Linotype"/>
          <w:color w:val="000000"/>
        </w:rPr>
        <w:t xml:space="preserve"> Recurso</w:t>
      </w:r>
      <w:r w:rsidR="008D2022">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Revisión </w:t>
      </w:r>
      <w:r>
        <w:rPr>
          <w:rFonts w:ascii="Palatino Linotype" w:eastAsia="Palatino Linotype" w:hAnsi="Palatino Linotype" w:cs="Palatino Linotype"/>
          <w:b/>
          <w:bCs/>
          <w:color w:val="000000"/>
        </w:rPr>
        <w:t>01838/INFOEM/IP/RR/202</w:t>
      </w:r>
      <w:r w:rsidR="008D2022">
        <w:rPr>
          <w:rFonts w:ascii="Palatino Linotype" w:eastAsia="Palatino Linotype" w:hAnsi="Palatino Linotype" w:cs="Palatino Linotype"/>
          <w:b/>
          <w:bCs/>
          <w:color w:val="000000"/>
        </w:rPr>
        <w:t xml:space="preserve">6 y </w:t>
      </w:r>
      <w:r w:rsidR="008D2022" w:rsidRPr="00E16408">
        <w:rPr>
          <w:rFonts w:ascii="Palatino Linotype" w:eastAsia="Palatino Linotype" w:hAnsi="Palatino Linotype" w:cs="Palatino Linotype"/>
          <w:b/>
          <w:bCs/>
          <w:color w:val="000000"/>
        </w:rPr>
        <w:t>01840/INFOEM/IP/RR/2026</w:t>
      </w:r>
      <w:r w:rsidRPr="00E16408">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promovido</w:t>
      </w:r>
      <w:r w:rsidR="008D2022">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por</w:t>
      </w:r>
      <w:r>
        <w:rPr>
          <w:rFonts w:ascii="Palatino Linotype" w:eastAsia="Palatino Linotype" w:hAnsi="Palatino Linotype" w:cs="Palatino Linotype"/>
          <w:b/>
          <w:bCs/>
          <w:color w:val="000000"/>
        </w:rPr>
        <w:t xml:space="preserve"> </w:t>
      </w:r>
      <w:r w:rsidR="00DB1E57">
        <w:rPr>
          <w:rFonts w:ascii="Palatino Linotype" w:eastAsia="Palatino Linotype" w:hAnsi="Palatino Linotype" w:cs="Palatino Linotype"/>
          <w:b/>
          <w:color w:val="000000"/>
          <w:szCs w:val="22"/>
        </w:rPr>
        <w:t>XXXX</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bCs/>
        </w:rPr>
        <w:t>EL RECURRENTE</w:t>
      </w:r>
      <w:r>
        <w:rPr>
          <w:rFonts w:ascii="Palatino Linotype" w:eastAsia="Palatino Linotype" w:hAnsi="Palatino Linotype" w:cs="Palatino Linotype"/>
        </w:rPr>
        <w:t>, en contra de la</w:t>
      </w:r>
      <w:r w:rsidR="008D2022">
        <w:rPr>
          <w:rFonts w:ascii="Palatino Linotype" w:eastAsia="Palatino Linotype" w:hAnsi="Palatino Linotype" w:cs="Palatino Linotype"/>
        </w:rPr>
        <w:t>s</w:t>
      </w:r>
      <w:r>
        <w:rPr>
          <w:rFonts w:ascii="Palatino Linotype" w:eastAsia="Palatino Linotype" w:hAnsi="Palatino Linotype" w:cs="Palatino Linotype"/>
        </w:rPr>
        <w:t xml:space="preserve"> respuesta</w:t>
      </w:r>
      <w:r w:rsidR="008D2022">
        <w:rPr>
          <w:rFonts w:ascii="Palatino Linotype" w:eastAsia="Palatino Linotype" w:hAnsi="Palatino Linotype" w:cs="Palatino Linotype"/>
        </w:rPr>
        <w:t>s</w:t>
      </w:r>
      <w:r>
        <w:rPr>
          <w:rFonts w:ascii="Palatino Linotype" w:eastAsia="Palatino Linotype" w:hAnsi="Palatino Linotype" w:cs="Palatino Linotype"/>
        </w:rPr>
        <w:t xml:space="preserve"> otorgada</w:t>
      </w:r>
      <w:r w:rsidR="008D2022">
        <w:rPr>
          <w:rFonts w:ascii="Palatino Linotype" w:eastAsia="Palatino Linotype" w:hAnsi="Palatino Linotype" w:cs="Palatino Linotype"/>
        </w:rPr>
        <w:t>s</w:t>
      </w:r>
      <w:r>
        <w:rPr>
          <w:rFonts w:ascii="Palatino Linotype" w:eastAsia="Palatino Linotype" w:hAnsi="Palatino Linotype" w:cs="Palatino Linotype"/>
        </w:rPr>
        <w:t xml:space="preserve"> a la</w:t>
      </w:r>
      <w:r w:rsidR="008D2022">
        <w:rPr>
          <w:rFonts w:ascii="Palatino Linotype" w:eastAsia="Palatino Linotype" w:hAnsi="Palatino Linotype" w:cs="Palatino Linotype"/>
        </w:rPr>
        <w:t>s</w:t>
      </w:r>
      <w:r>
        <w:rPr>
          <w:rFonts w:ascii="Palatino Linotype" w:eastAsia="Palatino Linotype" w:hAnsi="Palatino Linotype" w:cs="Palatino Linotype"/>
        </w:rPr>
        <w:t xml:space="preserve"> solicitud</w:t>
      </w:r>
      <w:r w:rsidR="008D2022">
        <w:rPr>
          <w:rFonts w:ascii="Palatino Linotype" w:eastAsia="Palatino Linotype" w:hAnsi="Palatino Linotype" w:cs="Palatino Linotype"/>
        </w:rPr>
        <w:t>es</w:t>
      </w:r>
      <w:r>
        <w:rPr>
          <w:rFonts w:ascii="Palatino Linotype" w:eastAsia="Palatino Linotype" w:hAnsi="Palatino Linotype" w:cs="Palatino Linotype"/>
        </w:rPr>
        <w:t xml:space="preserve"> de información </w:t>
      </w:r>
      <w:r>
        <w:rPr>
          <w:rFonts w:ascii="Palatino Linotype" w:eastAsia="Palatino Linotype" w:hAnsi="Palatino Linotype" w:cs="Palatino Linotype"/>
          <w:b/>
          <w:bCs/>
        </w:rPr>
        <w:t>00003/PRDEDOMEX/IP/2026</w:t>
      </w:r>
      <w:r w:rsidR="008D2022">
        <w:rPr>
          <w:rFonts w:ascii="Palatino Linotype" w:eastAsia="Palatino Linotype" w:hAnsi="Palatino Linotype" w:cs="Palatino Linotype"/>
          <w:b/>
          <w:bCs/>
        </w:rPr>
        <w:t xml:space="preserve"> y 00004/PRDEDOMEX/IP/2026</w:t>
      </w:r>
      <w:r>
        <w:rPr>
          <w:rFonts w:ascii="Palatino Linotype" w:eastAsia="Palatino Linotype" w:hAnsi="Palatino Linotype" w:cs="Palatino Linotype"/>
        </w:rPr>
        <w:t xml:space="preserve">, por parte del </w:t>
      </w:r>
      <w:r>
        <w:rPr>
          <w:rFonts w:ascii="Palatino Linotype" w:eastAsia="Palatino Linotype" w:hAnsi="Palatino Linotype" w:cs="Palatino Linotype"/>
          <w:b/>
          <w:bCs/>
        </w:rPr>
        <w:t>Partido de la Revolución Democrática</w:t>
      </w:r>
      <w:r w:rsidR="007178C4">
        <w:rPr>
          <w:rFonts w:ascii="Palatino Linotype" w:eastAsia="Palatino Linotype" w:hAnsi="Palatino Linotype" w:cs="Palatino Linotype"/>
          <w:b/>
          <w:bCs/>
        </w:rPr>
        <w:t xml:space="preserve"> Estado de México</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se emite la presente resolución con base en los siguientes:  </w:t>
      </w:r>
    </w:p>
    <w:p w:rsidR="00CA1D4E" w:rsidRDefault="00CA1D4E">
      <w:pPr>
        <w:ind w:right="-788"/>
        <w:jc w:val="both"/>
        <w:rPr>
          <w:rFonts w:ascii="Palatino Linotype" w:eastAsia="Palatino Linotype" w:hAnsi="Palatino Linotype" w:cs="Palatino Linotype"/>
        </w:rPr>
      </w:pPr>
    </w:p>
    <w:p w:rsidR="00CA1D4E" w:rsidRDefault="00DA6D22">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1" w:name="_heading=h.gjdgxs" w:colFirst="0" w:colLast="0"/>
      <w:bookmarkEnd w:id="1"/>
      <w:r>
        <w:rPr>
          <w:rFonts w:ascii="Palatino Linotype" w:eastAsia="Palatino Linotype" w:hAnsi="Palatino Linotype" w:cs="Palatino Linotype"/>
          <w:b/>
          <w:bCs/>
          <w:color w:val="000000"/>
          <w:sz w:val="24"/>
          <w:szCs w:val="24"/>
        </w:rPr>
        <w:t>A N T E C E D E N T E S</w:t>
      </w:r>
    </w:p>
    <w:p w:rsidR="00CA1D4E" w:rsidRDefault="00CA1D4E">
      <w:pPr>
        <w:pBdr>
          <w:top w:val="nil"/>
          <w:left w:val="nil"/>
          <w:bottom w:val="nil"/>
          <w:right w:val="nil"/>
          <w:between w:val="nil"/>
        </w:pBdr>
        <w:ind w:right="-788"/>
        <w:jc w:val="both"/>
        <w:rPr>
          <w:rFonts w:ascii="Palatino Linotype" w:eastAsia="Palatino Linotype" w:hAnsi="Palatino Linotype" w:cs="Palatino Linotype"/>
          <w:b/>
          <w:bCs/>
          <w:color w:val="000000"/>
          <w:u w:val="single"/>
        </w:rPr>
      </w:pPr>
    </w:p>
    <w:p w:rsidR="00CA1D4E" w:rsidRDefault="00DA6D22">
      <w:pPr>
        <w:numPr>
          <w:ilvl w:val="0"/>
          <w:numId w:val="1"/>
        </w:numPr>
        <w:tabs>
          <w:tab w:val="left" w:pos="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veintiocho de enero de dos mil veintiséis</w:t>
      </w:r>
      <w:r>
        <w:rPr>
          <w:rFonts w:ascii="Palatino Linotype" w:eastAsia="Palatino Linotype" w:hAnsi="Palatino Linotype" w:cs="Palatino Linotype"/>
        </w:rPr>
        <w:t>, el</w:t>
      </w:r>
      <w:r>
        <w:rPr>
          <w:rFonts w:ascii="Palatino Linotype" w:eastAsia="Palatino Linotype" w:hAnsi="Palatino Linotype" w:cs="Palatino Linotype"/>
          <w:b/>
          <w:bCs/>
        </w:rPr>
        <w:t xml:space="preserve"> </w:t>
      </w:r>
      <w:r>
        <w:rPr>
          <w:rFonts w:ascii="Palatino Linotype" w:eastAsia="Palatino Linotype" w:hAnsi="Palatino Linotype" w:cs="Palatino Linotype"/>
        </w:rPr>
        <w:t>solicitante</w:t>
      </w:r>
      <w:r>
        <w:rPr>
          <w:rFonts w:ascii="Palatino Linotype" w:eastAsia="Palatino Linotype" w:hAnsi="Palatino Linotype" w:cs="Palatino Linotype"/>
          <w:b/>
          <w:bCs/>
        </w:rPr>
        <w:t xml:space="preserve"> </w:t>
      </w:r>
      <w:r>
        <w:rPr>
          <w:rFonts w:ascii="Palatino Linotype" w:eastAsia="Palatino Linotype" w:hAnsi="Palatino Linotype" w:cs="Palatino Linotype"/>
        </w:rPr>
        <w:t>presentó</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ante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 través del Sistema de Acceso a la Información Mexiquense (SAIMEX), las solicitudes de información pública registradas con los números </w:t>
      </w:r>
      <w:r>
        <w:rPr>
          <w:rFonts w:ascii="Palatino Linotype" w:eastAsia="Palatino Linotype" w:hAnsi="Palatino Linotype" w:cs="Palatino Linotype"/>
          <w:b/>
          <w:bCs/>
        </w:rPr>
        <w:t>00003/PRDEDOMEX/IP/2026 y 00004/PRDEDOMEX/IP/2026</w:t>
      </w:r>
      <w:r>
        <w:rPr>
          <w:rFonts w:ascii="Palatino Linotype" w:eastAsia="Palatino Linotype" w:hAnsi="Palatino Linotype" w:cs="Palatino Linotype"/>
        </w:rPr>
        <w:t>, mediante la cual solicitó:</w:t>
      </w:r>
    </w:p>
    <w:p w:rsidR="00CA1D4E" w:rsidRDefault="00CA1D4E">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color w:val="000000"/>
        </w:rPr>
        <w:t>00003/PRDEDOMEX/IP/2026</w:t>
      </w: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“Requiero el envió de los currículos actualizados de todos los integrantes que forman las distintas áreas que marcan sus estatutos tanto a nivel estatal como municipal De igual modo enviarme los programas de trabajo que se realizaran durante el 2026 en el partido”. (Sic.)</w:t>
      </w:r>
    </w:p>
    <w:p w:rsidR="00CA1D4E" w:rsidRDefault="00CA1D4E">
      <w:pPr>
        <w:pBdr>
          <w:top w:val="nil"/>
          <w:left w:val="nil"/>
          <w:bottom w:val="nil"/>
          <w:right w:val="nil"/>
          <w:between w:val="nil"/>
        </w:pBdr>
        <w:ind w:left="567" w:right="567"/>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color w:val="000000"/>
        </w:rPr>
        <w:t>00004/PRDEDOMEX/IP/2026</w:t>
      </w:r>
    </w:p>
    <w:p w:rsidR="00CA1D4E" w:rsidRDefault="00CA1D4E">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“Requiero el envió del currículo de todos los servidores públicos en funciones que sean del partido y de los diputados del congreso del Estado”. (Sic.)</w:t>
      </w:r>
    </w:p>
    <w:p w:rsidR="00CA1D4E" w:rsidRDefault="00CA1D4E">
      <w:pPr>
        <w:pBdr>
          <w:top w:val="nil"/>
          <w:left w:val="nil"/>
          <w:bottom w:val="nil"/>
          <w:right w:val="nil"/>
          <w:between w:val="nil"/>
        </w:pBdr>
        <w:ind w:left="567" w:right="567"/>
        <w:jc w:val="both"/>
        <w:rPr>
          <w:rFonts w:ascii="Palatino Linotype" w:eastAsia="Palatino Linotype" w:hAnsi="Palatino Linotype" w:cs="Palatino Linotype"/>
          <w:i/>
          <w:iCs/>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Se hace constar que se señaló como modalidad de entrega de la información a través de SAIMEX.</w:t>
      </w:r>
    </w:p>
    <w:p w:rsidR="00CA1D4E" w:rsidRDefault="00CA1D4E">
      <w:pPr>
        <w:rPr>
          <w:rFonts w:ascii="Palatino Linotype" w:eastAsia="Palatino Linotype" w:hAnsi="Palatino Linotype" w:cs="Palatino Linotype"/>
          <w:sz w:val="22"/>
          <w:szCs w:val="22"/>
        </w:rPr>
      </w:pPr>
    </w:p>
    <w:p w:rsidR="00CA1D4E" w:rsidRPr="00E16408" w:rsidRDefault="00DA6D22">
      <w:pPr>
        <w:numPr>
          <w:ilvl w:val="0"/>
          <w:numId w:val="1"/>
        </w:numPr>
        <w:tabs>
          <w:tab w:val="left" w:pos="0"/>
        </w:tabs>
        <w:spacing w:line="360" w:lineRule="auto"/>
        <w:ind w:left="0" w:right="3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cuatro y cinco de febrero de dos mil veintiséis</w:t>
      </w:r>
      <w:r>
        <w:rPr>
          <w:rFonts w:ascii="Palatino Linotype" w:eastAsia="Palatino Linotype" w:hAnsi="Palatino Linotype" w:cs="Palatino Linotype"/>
        </w:rPr>
        <w:t xml:space="preserve">, el Sujeto Obligado dio </w:t>
      </w:r>
      <w:r w:rsidRPr="00E16408">
        <w:rPr>
          <w:rFonts w:ascii="Palatino Linotype" w:eastAsia="Palatino Linotype" w:hAnsi="Palatino Linotype" w:cs="Palatino Linotype"/>
        </w:rPr>
        <w:t>respuesta a la solicitud de información:</w:t>
      </w:r>
    </w:p>
    <w:p w:rsidR="00CA1D4E" w:rsidRPr="00E16408" w:rsidRDefault="008D202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E16408">
        <w:rPr>
          <w:rFonts w:ascii="Palatino Linotype" w:eastAsia="Palatino Linotype" w:hAnsi="Palatino Linotype" w:cs="Palatino Linotype"/>
          <w:b/>
          <w:bCs/>
          <w:color w:val="000000"/>
        </w:rPr>
        <w:t>1838/INFOEM/IP/RR/2026</w:t>
      </w:r>
    </w:p>
    <w:p w:rsidR="00CA1D4E" w:rsidRDefault="00DA6D22">
      <w:pPr>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w:t>
      </w:r>
      <w:r>
        <w:rPr>
          <w:rFonts w:ascii="Palatino Linotype" w:eastAsia="Palatino Linotype" w:hAnsi="Palatino Linotype" w:cs="Palatino Linotype"/>
          <w:i/>
          <w:iCs/>
          <w:sz w:val="22"/>
          <w:szCs w:val="22"/>
        </w:rPr>
        <w:t>EA ESTE EL MEDIO PARA ENVIARLE UN CORDIAL SALUDO , AL TIEMPO QUE EN ATENCION A SU SOLICITUD DE INFORMACION PUBLICA , OBRA NECESARIO HACER DE SU CONOCIMIENTO QUE EL PRESENTE INSTITUTO POLITICO PERDIO SU REGISTRO A NIVEL NACIONAL ,Y DEBIDO A QUE EN FECHA 07 DE MAYO DEL 2025 EN COSEJO GENERAL DEL INSTITUTO ELECTORAL DEL ESTADO DE MEXICO MEDIANTE ACUERDO IEEM/CG/85/2025 APROBO LA VERIFICACION DEL CUMPLIMIENTO DE LOS REQUISITOS LEGALES Y ESTATUTARIOS DE LA INTEGRACION DE LOS ORGANOS DE DIRECCION DEL PARTIDO DE LA REVOLUCION DEMOCRATICA ESTADO DE MEXICO Y SE DA CUMOPLIMIENTO A LA SENTENCIA RECAIDA AL EXPEDIENTE JDCL/368/2024 Y ACUMULADOS LO QUE LE DA EL REGISTRO COMO PARTIDO POLITICO COMO AHORA ACREDITACION LOCAL , POR ELLO ESTE SUJETO OBLIGADO NO HA LLEVADO A CABO NINGUNA CAMPAÑA POLITICA A SU CARGO” (Sic)</w:t>
      </w:r>
    </w:p>
    <w:p w:rsidR="00CA1D4E" w:rsidRDefault="00CA1D4E">
      <w:pPr>
        <w:tabs>
          <w:tab w:val="left" w:pos="0"/>
        </w:tabs>
        <w:spacing w:line="360" w:lineRule="auto"/>
        <w:ind w:right="34"/>
        <w:jc w:val="both"/>
        <w:rPr>
          <w:rFonts w:ascii="Palatino Linotype" w:eastAsia="Palatino Linotype" w:hAnsi="Palatino Linotype" w:cs="Palatino Linotype"/>
          <w:sz w:val="22"/>
          <w:szCs w:val="22"/>
        </w:rPr>
      </w:pPr>
      <w:bookmarkStart w:id="2" w:name="_heading=h.84m29ubv71gs" w:colFirst="0" w:colLast="0"/>
      <w:bookmarkEnd w:id="2"/>
    </w:p>
    <w:p w:rsidR="00CA1D4E" w:rsidRPr="00E16408" w:rsidRDefault="008D2022" w:rsidP="008D2022">
      <w:pPr>
        <w:pStyle w:val="Prrafodelista"/>
        <w:numPr>
          <w:ilvl w:val="0"/>
          <w:numId w:val="10"/>
        </w:numPr>
        <w:pBdr>
          <w:top w:val="nil"/>
          <w:left w:val="nil"/>
          <w:bottom w:val="nil"/>
          <w:right w:val="nil"/>
          <w:between w:val="nil"/>
        </w:pBdr>
        <w:spacing w:line="360" w:lineRule="auto"/>
        <w:ind w:left="1440" w:hanging="589"/>
        <w:jc w:val="both"/>
        <w:rPr>
          <w:rFonts w:ascii="Palatino Linotype" w:eastAsia="Palatino Linotype" w:hAnsi="Palatino Linotype" w:cs="Palatino Linotype"/>
          <w:b/>
          <w:bCs/>
          <w:color w:val="000000"/>
        </w:rPr>
      </w:pPr>
      <w:r w:rsidRPr="00E16408">
        <w:rPr>
          <w:rFonts w:ascii="Palatino Linotype" w:eastAsia="Palatino Linotype" w:hAnsi="Palatino Linotype" w:cs="Palatino Linotype"/>
          <w:b/>
          <w:bCs/>
          <w:color w:val="000000"/>
        </w:rPr>
        <w:t>1840</w:t>
      </w:r>
      <w:r w:rsidR="00DA6D22" w:rsidRPr="00E16408">
        <w:rPr>
          <w:rFonts w:ascii="Palatino Linotype" w:eastAsia="Palatino Linotype" w:hAnsi="Palatino Linotype" w:cs="Palatino Linotype"/>
          <w:b/>
          <w:bCs/>
          <w:color w:val="000000"/>
        </w:rPr>
        <w:t>/INFOEM/IP/RR/202</w:t>
      </w:r>
      <w:r w:rsidRPr="00E16408">
        <w:rPr>
          <w:rFonts w:ascii="Palatino Linotype" w:eastAsia="Palatino Linotype" w:hAnsi="Palatino Linotype" w:cs="Palatino Linotype"/>
          <w:b/>
          <w:bCs/>
          <w:color w:val="000000"/>
        </w:rPr>
        <w:t>6</w:t>
      </w:r>
    </w:p>
    <w:p w:rsidR="00CA1D4E" w:rsidRDefault="00CA1D4E">
      <w:pPr>
        <w:pBdr>
          <w:top w:val="nil"/>
          <w:left w:val="nil"/>
          <w:bottom w:val="nil"/>
          <w:right w:val="nil"/>
          <w:between w:val="nil"/>
        </w:pBdr>
        <w:spacing w:line="360" w:lineRule="auto"/>
        <w:ind w:firstLine="708"/>
        <w:jc w:val="both"/>
        <w:rPr>
          <w:rFonts w:ascii="Palatino Linotype" w:eastAsia="Palatino Linotype" w:hAnsi="Palatino Linotype" w:cs="Palatino Linotype"/>
          <w:b/>
          <w:bCs/>
          <w:color w:val="000000"/>
        </w:rPr>
      </w:pPr>
    </w:p>
    <w:p w:rsidR="00CA1D4E" w:rsidRDefault="00DA6D22">
      <w:pPr>
        <w:pBdr>
          <w:top w:val="nil"/>
          <w:left w:val="nil"/>
          <w:bottom w:val="nil"/>
          <w:right w:val="nil"/>
          <w:between w:val="nil"/>
        </w:pBdr>
        <w:ind w:left="567" w:right="560"/>
        <w:jc w:val="both"/>
        <w:rPr>
          <w:rFonts w:ascii="Palatino Linotype" w:eastAsia="Palatino Linotype" w:hAnsi="Palatino Linotype" w:cs="Palatino Linotype"/>
          <w:b/>
          <w:bCs/>
          <w:color w:val="000000"/>
        </w:rPr>
      </w:pPr>
      <w:r>
        <w:rPr>
          <w:rFonts w:ascii="Palatino Linotype" w:eastAsia="Palatino Linotype" w:hAnsi="Palatino Linotype" w:cs="Palatino Linotype"/>
          <w:i/>
          <w:iCs/>
          <w:color w:val="000000"/>
          <w:sz w:val="22"/>
          <w:szCs w:val="22"/>
        </w:rPr>
        <w:t xml:space="preserve">“En relación con la solicitud de acceso a la información pública mediante la cual se requiere el currículum vitae de servidores públicos y diputados pertenecientes a un partido de la revolución Democrático, se emite la siguiente determinación: La presente respuesta se </w:t>
      </w:r>
      <w:r>
        <w:rPr>
          <w:rFonts w:ascii="Palatino Linotype" w:eastAsia="Palatino Linotype" w:hAnsi="Palatino Linotype" w:cs="Palatino Linotype"/>
          <w:i/>
          <w:iCs/>
          <w:color w:val="000000"/>
          <w:sz w:val="22"/>
          <w:szCs w:val="22"/>
        </w:rPr>
        <w:lastRenderedPageBreak/>
        <w:t>sustenta en lo dispuesto por los artículos 1, 4, 11, 12, 23, 92 y 100 de la Ley de Transparencia y Acceso a la Información Pública del Estado de México y Municipios, así como en el principio de máxima publicidad, el cual establece que la información en posesión de los sujetos obligados es pública, siempre que no se encuentre clasificada como reservada o confidencial. Asimismo, el artículo 92 de la citada Ley establece que la información relativa a los servidores públicos, incluyendo su trayectoria académica y laboral, debe encontrarse disponible como información pública de oficio en los portales oficiales de los sujetos obligados. su información curricular se encuentra disponible en los portales oficiales municipales y del Poder Legislativo del Estado de México, así como en los sitios electrónicos institucionales correspondientes, conforme a la normatividad aplicable. con el fin de garantizar el derecho de acceso a la información, se orienta al solicitante a consultar los portales oficiales de transparencia de los sujetos obligados correspondientes, donde la información requerida se encuentra disponible para su consulta pública.”(Sic.)</w:t>
      </w:r>
      <w:r>
        <w:rPr>
          <w:rFonts w:ascii="Palatino Linotype" w:eastAsia="Palatino Linotype" w:hAnsi="Palatino Linotype" w:cs="Palatino Linotype"/>
          <w:b/>
          <w:bCs/>
          <w:color w:val="000000"/>
        </w:rPr>
        <w:t xml:space="preserve"> </w:t>
      </w:r>
    </w:p>
    <w:p w:rsidR="00CA1D4E" w:rsidRDefault="00CA1D4E">
      <w:pPr>
        <w:pBdr>
          <w:top w:val="nil"/>
          <w:left w:val="nil"/>
          <w:bottom w:val="nil"/>
          <w:right w:val="nil"/>
          <w:between w:val="nil"/>
        </w:pBdr>
        <w:spacing w:line="360" w:lineRule="auto"/>
        <w:ind w:firstLine="708"/>
        <w:jc w:val="both"/>
        <w:rPr>
          <w:rFonts w:ascii="Palatino Linotype" w:eastAsia="Palatino Linotype" w:hAnsi="Palatino Linotype" w:cs="Palatino Linotype"/>
          <w:b/>
          <w:bCs/>
          <w:color w:val="000000"/>
        </w:rPr>
      </w:pPr>
    </w:p>
    <w:p w:rsidR="00CA1D4E" w:rsidRDefault="00DA6D2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trece de febrero de dos mil dieciséis</w:t>
      </w:r>
      <w:r>
        <w:rPr>
          <w:rFonts w:ascii="Palatino Linotype" w:eastAsia="Palatino Linotype" w:hAnsi="Palatino Linotype" w:cs="Palatino Linotype"/>
          <w:color w:val="000000"/>
        </w:rPr>
        <w:t xml:space="preserve">, el solicitante interpuso recurso de revisión en las solicitudes de información </w:t>
      </w:r>
      <w:r>
        <w:rPr>
          <w:rFonts w:ascii="Palatino Linotype" w:eastAsia="Palatino Linotype" w:hAnsi="Palatino Linotype" w:cs="Palatino Linotype"/>
          <w:b/>
          <w:bCs/>
          <w:color w:val="000000"/>
        </w:rPr>
        <w:t xml:space="preserve">00003/PRDEDOMEX/IP/2026 y 00004/PRDEDOMEX/IP/2026 </w:t>
      </w:r>
      <w:r>
        <w:rPr>
          <w:rFonts w:ascii="Palatino Linotype" w:eastAsia="Palatino Linotype" w:hAnsi="Palatino Linotype" w:cs="Palatino Linotype"/>
          <w:color w:val="000000"/>
        </w:rPr>
        <w:t xml:space="preserve">en contra de las respuestas emitidas 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señalando las siguientes razones o motivos de inconformidad:</w:t>
      </w:r>
    </w:p>
    <w:p w:rsidR="00CA1D4E" w:rsidRDefault="00CA1D4E">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00003/PRDEDOMEX/IP/2026 </w:t>
      </w:r>
    </w:p>
    <w:p w:rsidR="00CA1D4E" w:rsidRDefault="00CA1D4E">
      <w:pPr>
        <w:pBdr>
          <w:top w:val="nil"/>
          <w:left w:val="nil"/>
          <w:bottom w:val="nil"/>
          <w:right w:val="nil"/>
          <w:between w:val="nil"/>
        </w:pBdr>
        <w:ind w:left="567" w:right="539"/>
        <w:jc w:val="both"/>
        <w:rPr>
          <w:rFonts w:ascii="Palatino Linotype" w:eastAsia="Palatino Linotype" w:hAnsi="Palatino Linotype" w:cs="Palatino Linotype"/>
          <w:b/>
          <w:bCs/>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Acto Impugnado</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 correspondiente al articulo 179 fracción I de la Ley de Transparencia Local”(Sic.)</w:t>
      </w:r>
    </w:p>
    <w:p w:rsidR="00CA1D4E" w:rsidRDefault="00CA1D4E">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Razones o Motivos de la Inconformidad</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“Se realizo la solitud de acceso a la información siguiente: “Requiero el envió de los currículos actualizados de todos los integrantes que forman las distintas áreas que marcan sus estatutos tanto a nivel estatal como municipal De igual modo enviarme los programas de trabajo que se realizarán durante el 2026 en el partido” Sin embargo, se me emite una respuesta en la que se hace de conocimiento la perdida de su registro a nivel nacional, lo cual no hace a la información peticionada ya que la información que se pidió fue los currículos de los integrantes del hoy partido político </w:t>
      </w:r>
      <w:r>
        <w:rPr>
          <w:rFonts w:ascii="Palatino Linotype" w:eastAsia="Palatino Linotype" w:hAnsi="Palatino Linotype" w:cs="Palatino Linotype"/>
          <w:i/>
          <w:iCs/>
          <w:color w:val="000000"/>
        </w:rPr>
        <w:lastRenderedPageBreak/>
        <w:t>con registro local. En ese orden de ideas el sujeto obligado esta vulnerando mi derecho de acceso a la información ya que en términos del articulo 92 y 100 de la Ley de Transparencia de la entidad, dentro de la información que deben de tener sus plataformas deben tener actualizado lo que hoy como solicitante requiero misma que no se encuentra en sus plataformas y por ello, hice uso por medio de solicitud de acceso a la información. Además, por lo que hace a los programas de trabajo no se me emitió respuesta alguna y de acuerdo con las normatividades del Instituto Nacional Electoral estos de igual modo deben ser entregados a esta dependencia por parte de los partidos políticos, por lo que claramente lo solicitado se encuentra dentro de sus archivos generados de acuerdo con sus atribuciones jurídicas..”(Sic.)</w:t>
      </w:r>
    </w:p>
    <w:p w:rsidR="00CA1D4E" w:rsidRDefault="00CA1D4E">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00004/PRDEDOMEX/IP/2026</w:t>
      </w:r>
    </w:p>
    <w:p w:rsidR="00CA1D4E" w:rsidRDefault="00CA1D4E">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Acto Impugnado</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falta, deficiencia o insuficiencia de la fundamentación y/o motivación en la respuesta?”(Sic.)</w:t>
      </w:r>
    </w:p>
    <w:p w:rsidR="00CA1D4E" w:rsidRDefault="00CA1D4E">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Razones o Motivos de la Inconformidad</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 ley señala que los sujetos obligados deben dar respuesta a las solicitudes y, de ser necesario, realizar la búsqueda en sus archivos, sin trasladar la carga de la búsqueda al particular y si la información solicitada no existe, la autoridad debe justificar la inexistencia o indicar que no corresponde a sus facultades. No obstante en la respuesta emitida por el sujeto obligado se me envia a los portales de otros sujetos obligados sin que su fundamento legal sea basto o suficiente y que se haga la búsqueda en su portal de transparencia lo que hace a mi como solicitante la obligación de realizar la búsqueda correspondiente evidenciando un indebido argumento de la norma pues dada la ley refiero nuevamente a que la carga no debe ser para los solicitantes si no que la máxima publicidad y la obligación de referir el documento especificado o peticionado corresponde exclusivamente al sujeto obligado..”(Sic.)</w:t>
      </w:r>
    </w:p>
    <w:p w:rsidR="00CA1D4E" w:rsidRDefault="00CA1D4E" w:rsidP="00021BD3">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rPr>
      </w:pPr>
    </w:p>
    <w:p w:rsidR="00CA1D4E" w:rsidRDefault="00DA6D22">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Se registraron los recursos de revisión bajo los números de expediente 0</w:t>
      </w:r>
      <w:r>
        <w:rPr>
          <w:rFonts w:ascii="Palatino Linotype" w:eastAsia="Palatino Linotype" w:hAnsi="Palatino Linotype" w:cs="Palatino Linotype"/>
          <w:b/>
          <w:bCs/>
          <w:color w:val="000000"/>
        </w:rPr>
        <w:t>01838/INFOEM/IP/RR/2026 y 001840/INFOEM/IP/RR/2026</w:t>
      </w:r>
      <w:r>
        <w:rPr>
          <w:rFonts w:ascii="Palatino Linotype" w:eastAsia="Palatino Linotype" w:hAnsi="Palatino Linotype" w:cs="Palatino Linotype"/>
        </w:rPr>
        <w:t xml:space="preserve">, asimismo con </w:t>
      </w:r>
      <w:r>
        <w:rPr>
          <w:rFonts w:ascii="Palatino Linotype" w:eastAsia="Palatino Linotype" w:hAnsi="Palatino Linotype" w:cs="Palatino Linotype"/>
        </w:rPr>
        <w:lastRenderedPageBreak/>
        <w:t xml:space="preserve">fundamento en lo dispuesto por el artículo 185 fracción I de la Ley de Transparencia y Acceso a la Información Pública del Estado de México y Municipios se turnaron a la </w:t>
      </w:r>
      <w:r>
        <w:rPr>
          <w:rFonts w:ascii="Palatino Linotype" w:eastAsia="Palatino Linotype" w:hAnsi="Palatino Linotype" w:cs="Palatino Linotype"/>
          <w:b/>
          <w:bCs/>
        </w:rPr>
        <w:t xml:space="preserve">Comisionada María del Rosario Mejía Ayala y al Comisionado Presidente José Martínez Vilchis, </w:t>
      </w:r>
      <w:r>
        <w:rPr>
          <w:rFonts w:ascii="Palatino Linotype" w:eastAsia="Palatino Linotype" w:hAnsi="Palatino Linotype" w:cs="Palatino Linotype"/>
        </w:rPr>
        <w:t>con el objeto de su análisis.</w:t>
      </w:r>
    </w:p>
    <w:p w:rsidR="00CA1D4E" w:rsidRDefault="00CA1D4E">
      <w:pPr>
        <w:spacing w:line="360" w:lineRule="auto"/>
        <w:jc w:val="both"/>
        <w:rPr>
          <w:rFonts w:ascii="Palatino Linotype" w:eastAsia="Palatino Linotype" w:hAnsi="Palatino Linotype" w:cs="Palatino Linotype"/>
          <w:i/>
          <w:iCs/>
          <w:color w:val="000000"/>
          <w:sz w:val="22"/>
          <w:szCs w:val="22"/>
        </w:rPr>
      </w:pPr>
    </w:p>
    <w:p w:rsidR="00CA1D4E" w:rsidRDefault="00DA6D22">
      <w:pPr>
        <w:numPr>
          <w:ilvl w:val="0"/>
          <w:numId w:val="1"/>
        </w:numPr>
        <w:pBdr>
          <w:top w:val="nil"/>
          <w:left w:val="nil"/>
          <w:bottom w:val="nil"/>
          <w:right w:val="nil"/>
          <w:between w:val="nil"/>
        </w:pBdr>
        <w:tabs>
          <w:tab w:val="left" w:pos="0"/>
          <w:tab w:val="left" w:pos="567"/>
        </w:tabs>
        <w:spacing w:line="360" w:lineRule="auto"/>
        <w:ind w:left="0" w:right="-14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Posteriormente, en la</w:t>
      </w:r>
      <w:r>
        <w:rPr>
          <w:rFonts w:ascii="Palatino Linotype" w:eastAsia="Palatino Linotype" w:hAnsi="Palatino Linotype" w:cs="Palatino Linotype"/>
          <w:b/>
          <w:bCs/>
          <w:color w:val="000000"/>
        </w:rPr>
        <w:t xml:space="preserve"> Séptima Sesión Ordinaria, </w:t>
      </w:r>
      <w:r>
        <w:rPr>
          <w:rFonts w:ascii="Palatino Linotype" w:eastAsia="Palatino Linotype" w:hAnsi="Palatino Linotype" w:cs="Palatino Linotype"/>
          <w:color w:val="000000"/>
        </w:rPr>
        <w:t>celebrada el veinticinco de febrero de dos mil veintiséis, el Pleno de este Órgano Autónomo ordenó la acumulación del recurso de revisión</w:t>
      </w:r>
      <w:r>
        <w:rPr>
          <w:rFonts w:ascii="Palatino Linotype" w:eastAsia="Palatino Linotype" w:hAnsi="Palatino Linotype" w:cs="Palatino Linotype"/>
          <w:b/>
          <w:bCs/>
          <w:color w:val="000000"/>
        </w:rPr>
        <w:t xml:space="preserve"> 01840/INFOEM/IP/RR/2026 </w:t>
      </w:r>
      <w:r>
        <w:rPr>
          <w:rFonts w:ascii="Palatino Linotype" w:eastAsia="Palatino Linotype" w:hAnsi="Palatino Linotype" w:cs="Palatino Linotype"/>
          <w:color w:val="000000"/>
        </w:rPr>
        <w:t xml:space="preserve">al diverso </w:t>
      </w:r>
      <w:r>
        <w:rPr>
          <w:rFonts w:ascii="Palatino Linotype" w:eastAsia="Palatino Linotype" w:hAnsi="Palatino Linotype" w:cs="Palatino Linotype"/>
          <w:b/>
          <w:bCs/>
          <w:color w:val="000000"/>
        </w:rPr>
        <w:t>001838/INFOEM/IP/RR/2026</w:t>
      </w:r>
      <w:r>
        <w:rPr>
          <w:rFonts w:ascii="Palatino Linotype" w:eastAsia="Palatino Linotype" w:hAnsi="Palatino Linotype" w:cs="Palatino Linotype"/>
          <w:color w:val="000000"/>
        </w:rPr>
        <w:t>, a efecto de que este Órgano Garante formulará y presentará el proyecto de resolución correspondiente, de conformidad con el numeral ONCE, incisos b) y c), de los Lineamientos para la Recepción, Trámite y Resolución de las Solicitudes de Acceso a la Información Pública.</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0"/>
          <w:tab w:val="left" w:pos="567"/>
        </w:tabs>
        <w:spacing w:line="360" w:lineRule="auto"/>
        <w:ind w:left="0" w:right="-14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 los acuerdos de admisión </w:t>
      </w:r>
      <w:r>
        <w:rPr>
          <w:rFonts w:ascii="Palatino Linotype" w:eastAsia="Palatino Linotype" w:hAnsi="Palatino Linotype" w:cs="Palatino Linotype"/>
          <w:b/>
          <w:bCs/>
          <w:color w:val="000000"/>
        </w:rPr>
        <w:t>de fechas dieciséis y dieciocho de febrero de dos mil veintiséis,</w:t>
      </w:r>
      <w:r>
        <w:rPr>
          <w:rFonts w:ascii="Palatino Linotype" w:eastAsia="Palatino Linotype" w:hAnsi="Palatino Linotype" w:cs="Palatino Linotype"/>
          <w:color w:val="000000"/>
        </w:rPr>
        <w:t xml:space="preserve"> puso a disposición de las partes el expediente electrónico vía Sistema de Acceso a la Información Mexiquense </w:t>
      </w:r>
      <w:r>
        <w:rPr>
          <w:rFonts w:ascii="Palatino Linotype" w:eastAsia="Palatino Linotype" w:hAnsi="Palatino Linotype" w:cs="Palatino Linotype"/>
          <w:b/>
          <w:bCs/>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manifestaran</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de esta forma para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presentará el Informe Justificado procedente.</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0"/>
        </w:tabs>
        <w:spacing w:line="360" w:lineRule="auto"/>
        <w:ind w:left="0" w:right="-14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veintisiete de febrero y dieciocho de marzo de dos mil veintiséis,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rindió </w:t>
      </w:r>
      <w:r>
        <w:rPr>
          <w:rFonts w:ascii="Palatino Linotype" w:eastAsia="Palatino Linotype" w:hAnsi="Palatino Linotype" w:cs="Palatino Linotype"/>
        </w:rPr>
        <w:t>los informes</w:t>
      </w:r>
      <w:r>
        <w:rPr>
          <w:rFonts w:ascii="Palatino Linotype" w:eastAsia="Palatino Linotype" w:hAnsi="Palatino Linotype" w:cs="Palatino Linotype"/>
          <w:color w:val="000000"/>
        </w:rPr>
        <w:t xml:space="preserve"> justificados correspondientes, adjuntando los siguientes documentos:</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00003/PRDEDOMEX/IP/2026</w:t>
      </w:r>
    </w:p>
    <w:p w:rsidR="00CA1D4E" w:rsidRDefault="00DA6D22">
      <w:pPr>
        <w:pBdr>
          <w:top w:val="nil"/>
          <w:left w:val="nil"/>
          <w:bottom w:val="nil"/>
          <w:right w:val="nil"/>
          <w:between w:val="nil"/>
        </w:pBdr>
        <w:ind w:left="567"/>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001838/INFOEM/IP/RR/2026</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2"/>
        </w:numPr>
        <w:pBdr>
          <w:top w:val="nil"/>
          <w:left w:val="nil"/>
          <w:bottom w:val="nil"/>
          <w:right w:val="nil"/>
          <w:between w:val="nil"/>
        </w:pBdr>
        <w:tabs>
          <w:tab w:val="left" w:pos="0"/>
        </w:tabs>
        <w:spacing w:line="360" w:lineRule="auto"/>
        <w:ind w:right="-144"/>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SL0000327022026_0001.pdf: </w:t>
      </w:r>
      <w:r>
        <w:rPr>
          <w:rFonts w:ascii="Palatino Linotype" w:eastAsia="Palatino Linotype" w:hAnsi="Palatino Linotype" w:cs="Palatino Linotype"/>
          <w:color w:val="000000"/>
        </w:rPr>
        <w:t>Oficio PRDE/UTE/034/2026 de fecha veintisiete de febrero de dos mil veintiséis, suscrito por el Titular de la Unidad y Enlace de Trasparencia Estatal, mediante el cual refiere que la información requerida por el particular se encuentra disponible para su consulta en la página oficial, por tanto proporciona las siguientes ligas de acceso:</w:t>
      </w:r>
    </w:p>
    <w:p w:rsidR="00CA1D4E" w:rsidRDefault="00DA6D22">
      <w:pPr>
        <w:pBdr>
          <w:top w:val="nil"/>
          <w:left w:val="nil"/>
          <w:bottom w:val="nil"/>
          <w:right w:val="nil"/>
          <w:between w:val="nil"/>
        </w:pBdr>
        <w:tabs>
          <w:tab w:val="left" w:pos="0"/>
        </w:tabs>
        <w:spacing w:line="360" w:lineRule="auto"/>
        <w:ind w:left="1080" w:right="-144"/>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3537907" cy="692424"/>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537907" cy="692424"/>
                    </a:xfrm>
                    <a:prstGeom prst="rect">
                      <a:avLst/>
                    </a:prstGeom>
                    <a:ln/>
                  </pic:spPr>
                </pic:pic>
              </a:graphicData>
            </a:graphic>
          </wp:inline>
        </w:drawing>
      </w:r>
    </w:p>
    <w:p w:rsidR="00CA1D4E" w:rsidRDefault="00DA6D22">
      <w:pPr>
        <w:pBdr>
          <w:top w:val="nil"/>
          <w:left w:val="nil"/>
          <w:bottom w:val="nil"/>
          <w:right w:val="nil"/>
          <w:between w:val="nil"/>
        </w:pBdr>
        <w:tabs>
          <w:tab w:val="left" w:pos="0"/>
        </w:tabs>
        <w:spacing w:line="360" w:lineRule="auto"/>
        <w:ind w:left="1080" w:right="-14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Cabe precisar que las ligas a las que hace referencia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fueron enviada en Datos cerrados.</w:t>
      </w:r>
    </w:p>
    <w:p w:rsidR="00CA1D4E" w:rsidRDefault="00CA1D4E">
      <w:pPr>
        <w:pBdr>
          <w:top w:val="nil"/>
          <w:left w:val="nil"/>
          <w:bottom w:val="nil"/>
          <w:right w:val="nil"/>
          <w:between w:val="nil"/>
        </w:pBdr>
        <w:tabs>
          <w:tab w:val="left" w:pos="0"/>
        </w:tabs>
        <w:spacing w:line="360" w:lineRule="auto"/>
        <w:ind w:left="1080" w:right="-144"/>
        <w:jc w:val="both"/>
        <w:rPr>
          <w:rFonts w:ascii="Palatino Linotype" w:eastAsia="Palatino Linotype" w:hAnsi="Palatino Linotype" w:cs="Palatino Linotype"/>
          <w:color w:val="000000"/>
        </w:rPr>
      </w:pPr>
    </w:p>
    <w:p w:rsidR="00CA1D4E" w:rsidRDefault="00DA6D22">
      <w:pPr>
        <w:pBdr>
          <w:top w:val="nil"/>
          <w:left w:val="nil"/>
          <w:bottom w:val="nil"/>
          <w:right w:val="nil"/>
          <w:between w:val="nil"/>
        </w:pBdr>
        <w:tabs>
          <w:tab w:val="left" w:pos="0"/>
        </w:tabs>
        <w:spacing w:line="360" w:lineRule="auto"/>
        <w:ind w:left="1080" w:right="-14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Respecto al requerimiento a nivel municipal, se hace del conocimiento que las únicas áreas formalmente reconocidas en su estructura orgánica son las Direcciones Municipales, por lo que solicitan al particular se más preciso respecto de los cargos, áreas o personas de las que requiere la información a nivel municipal.</w:t>
      </w:r>
    </w:p>
    <w:p w:rsidR="00CA1D4E" w:rsidRDefault="00CA1D4E">
      <w:pPr>
        <w:pBdr>
          <w:top w:val="nil"/>
          <w:left w:val="nil"/>
          <w:bottom w:val="nil"/>
          <w:right w:val="nil"/>
          <w:between w:val="nil"/>
        </w:pBdr>
        <w:tabs>
          <w:tab w:val="left" w:pos="0"/>
        </w:tabs>
        <w:spacing w:line="360" w:lineRule="auto"/>
        <w:ind w:left="1080" w:right="-144"/>
        <w:jc w:val="both"/>
        <w:rPr>
          <w:rFonts w:ascii="Palatino Linotype" w:eastAsia="Palatino Linotype" w:hAnsi="Palatino Linotype" w:cs="Palatino Linotype"/>
          <w:color w:val="000000"/>
        </w:rPr>
      </w:pPr>
    </w:p>
    <w:p w:rsidR="00CA1D4E" w:rsidRDefault="00DA6D22">
      <w:pPr>
        <w:pBdr>
          <w:top w:val="nil"/>
          <w:left w:val="nil"/>
          <w:bottom w:val="nil"/>
          <w:right w:val="nil"/>
          <w:between w:val="nil"/>
        </w:pBdr>
        <w:tabs>
          <w:tab w:val="left" w:pos="0"/>
        </w:tabs>
        <w:spacing w:line="360" w:lineRule="auto"/>
        <w:ind w:left="1080" w:right="-14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mismo, informa que el Reglamento de Fiscalización del Instituto Nacional Electoral, dispone que los partidos políticos deberán elaborar un Programa Anual de Trabajo, documento en el que se consideran actividades específicas como la capacitación, promoción y desarrollo de liderazgo político de las </w:t>
      </w:r>
      <w:r>
        <w:rPr>
          <w:rFonts w:ascii="Palatino Linotype" w:eastAsia="Palatino Linotype" w:hAnsi="Palatino Linotype" w:cs="Palatino Linotype"/>
          <w:color w:val="000000"/>
        </w:rPr>
        <w:lastRenderedPageBreak/>
        <w:t xml:space="preserve">mujeres, documento que deberán presentar dentro de los treinta días siguientes a la aprobación del financiamiento público que le corresponda para sus actividades ordinarias permanentes, por lo que a la fecha de la solicitud de información, el Plan Anual de Trabajo no había sido registrado, ni mucho menos existía una versión definitiva ante el Instituto Nacional Electoral, por lo que no es posible entregar dicha información hasta que sea presentado oficialmente y validado conforme a lo establecido por la autoridad electoral, por lo que a fin de corroborar lo informado, proporciona la liga electrónica </w:t>
      </w:r>
      <w:r>
        <w:rPr>
          <w:rFonts w:ascii="Palatino Linotype" w:eastAsia="Palatino Linotype" w:hAnsi="Palatino Linotype" w:cs="Palatino Linotype"/>
          <w:noProof/>
          <w:color w:val="000000"/>
          <w:lang w:val="es-MX"/>
        </w:rPr>
        <w:drawing>
          <wp:inline distT="0" distB="0" distL="0" distR="0">
            <wp:extent cx="4449596" cy="175106"/>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449596" cy="175106"/>
                    </a:xfrm>
                    <a:prstGeom prst="rect">
                      <a:avLst/>
                    </a:prstGeom>
                    <a:ln/>
                  </pic:spPr>
                </pic:pic>
              </a:graphicData>
            </a:graphic>
          </wp:inline>
        </w:drawing>
      </w:r>
      <w:r>
        <w:rPr>
          <w:rFonts w:ascii="Palatino Linotype" w:eastAsia="Palatino Linotype" w:hAnsi="Palatino Linotype" w:cs="Palatino Linotype"/>
          <w:color w:val="000000"/>
        </w:rPr>
        <w:t>, en el cual se puede consultar el Acuerdo emitido por el Instituto Electoral del Estado de México</w:t>
      </w:r>
    </w:p>
    <w:p w:rsidR="00CA1D4E" w:rsidRDefault="00CA1D4E">
      <w:pPr>
        <w:pBdr>
          <w:top w:val="nil"/>
          <w:left w:val="nil"/>
          <w:bottom w:val="nil"/>
          <w:right w:val="nil"/>
          <w:between w:val="nil"/>
        </w:pBdr>
        <w:tabs>
          <w:tab w:val="left" w:pos="0"/>
        </w:tabs>
        <w:spacing w:line="360" w:lineRule="auto"/>
        <w:ind w:left="1080" w:right="-144"/>
        <w:jc w:val="both"/>
        <w:rPr>
          <w:rFonts w:ascii="Palatino Linotype" w:eastAsia="Palatino Linotype" w:hAnsi="Palatino Linotype" w:cs="Palatino Linotype"/>
          <w:color w:val="000000"/>
        </w:rPr>
      </w:pP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01840/INFOEM/IP/RR/2026</w:t>
      </w: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color w:val="000000"/>
        </w:rPr>
        <w:t>00004/PRDEDOMEX/IP/2026</w:t>
      </w:r>
    </w:p>
    <w:p w:rsidR="00CA1D4E" w:rsidRDefault="00CA1D4E">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p>
    <w:p w:rsidR="00CA1D4E" w:rsidRDefault="00DA6D22">
      <w:pPr>
        <w:numPr>
          <w:ilvl w:val="0"/>
          <w:numId w:val="2"/>
        </w:numPr>
        <w:pBdr>
          <w:top w:val="nil"/>
          <w:left w:val="nil"/>
          <w:bottom w:val="nil"/>
          <w:right w:val="nil"/>
          <w:between w:val="nil"/>
        </w:pBdr>
        <w:tabs>
          <w:tab w:val="left" w:pos="0"/>
        </w:tabs>
        <w:spacing w:line="360" w:lineRule="auto"/>
        <w:ind w:right="-144"/>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CV LEGISLADORES27022026.pdf: </w:t>
      </w:r>
      <w:r>
        <w:rPr>
          <w:rFonts w:ascii="Palatino Linotype" w:eastAsia="Palatino Linotype" w:hAnsi="Palatino Linotype" w:cs="Palatino Linotype"/>
          <w:color w:val="000000"/>
        </w:rPr>
        <w:t>Documento constante de dos fojas del que se advierte el Currículum de la Representante del PRDEM ante el Consejo General del Instituto Electoral del Estado de México como propietaria; así como del Coordinador Parlamentario en el H. Congreso del Estado de México de la LXII Legislatura.</w:t>
      </w:r>
    </w:p>
    <w:p w:rsidR="00CA1D4E" w:rsidRDefault="00DA6D22">
      <w:pPr>
        <w:numPr>
          <w:ilvl w:val="0"/>
          <w:numId w:val="2"/>
        </w:numPr>
        <w:pBdr>
          <w:top w:val="nil"/>
          <w:left w:val="nil"/>
          <w:bottom w:val="nil"/>
          <w:right w:val="nil"/>
          <w:between w:val="nil"/>
        </w:pBdr>
        <w:tabs>
          <w:tab w:val="left" w:pos="0"/>
        </w:tabs>
        <w:spacing w:line="360" w:lineRule="auto"/>
        <w:ind w:right="-144"/>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0000427022026_0001.pdf: </w:t>
      </w:r>
      <w:r>
        <w:rPr>
          <w:rFonts w:ascii="Palatino Linotype" w:eastAsia="Palatino Linotype" w:hAnsi="Palatino Linotype" w:cs="Palatino Linotype"/>
          <w:color w:val="000000"/>
        </w:rPr>
        <w:t xml:space="preserve">Documento constante de dos fojas del que se advierte el oficio PRDE/UTE/033/2025 de fecha veintisiete de febrero de dos mil veintiséis, suscrito por el Titular de la Unidad y el Enlace de Transparencia Estatal, a través del cual remite el currículo de todos los </w:t>
      </w:r>
      <w:r>
        <w:rPr>
          <w:rFonts w:ascii="Palatino Linotype" w:eastAsia="Palatino Linotype" w:hAnsi="Palatino Linotype" w:cs="Palatino Linotype"/>
          <w:color w:val="000000"/>
        </w:rPr>
        <w:lastRenderedPageBreak/>
        <w:t xml:space="preserve">servidores públicos en funciones; así mismo  remite los enlaces </w:t>
      </w:r>
      <w:r>
        <w:rPr>
          <w:rFonts w:ascii="Palatino Linotype" w:eastAsia="Palatino Linotype" w:hAnsi="Palatino Linotype" w:cs="Palatino Linotype"/>
          <w:noProof/>
          <w:color w:val="000000"/>
          <w:lang w:val="es-MX"/>
        </w:rPr>
        <w:drawing>
          <wp:inline distT="0" distB="0" distL="0" distR="0">
            <wp:extent cx="5153594" cy="807809"/>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153594" cy="807809"/>
                    </a:xfrm>
                    <a:prstGeom prst="rect">
                      <a:avLst/>
                    </a:prstGeom>
                    <a:ln/>
                  </pic:spPr>
                </pic:pic>
              </a:graphicData>
            </a:graphic>
          </wp:inline>
        </w:drawing>
      </w:r>
      <w:r>
        <w:rPr>
          <w:rFonts w:ascii="Palatino Linotype" w:eastAsia="Palatino Linotype" w:hAnsi="Palatino Linotype" w:cs="Palatino Linotype"/>
          <w:color w:val="000000"/>
        </w:rPr>
        <w:t xml:space="preserve"> en los cuales puede consultar los currículos de los legisladores, cabe precisar que fueron remitidos en datos cerrados, no obstante adicionalmente remite dicha información en formato digital  </w:t>
      </w:r>
    </w:p>
    <w:p w:rsidR="00CA1D4E" w:rsidRDefault="00DA6D22">
      <w:pPr>
        <w:numPr>
          <w:ilvl w:val="0"/>
          <w:numId w:val="2"/>
        </w:numPr>
        <w:pBdr>
          <w:top w:val="nil"/>
          <w:left w:val="nil"/>
          <w:bottom w:val="nil"/>
          <w:right w:val="nil"/>
          <w:between w:val="nil"/>
        </w:pBdr>
        <w:tabs>
          <w:tab w:val="left" w:pos="0"/>
        </w:tabs>
        <w:spacing w:line="360" w:lineRule="auto"/>
        <w:ind w:right="-144"/>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CV MUNICIPALES27022026.pdf: </w:t>
      </w:r>
      <w:r>
        <w:rPr>
          <w:rFonts w:ascii="Palatino Linotype" w:eastAsia="Palatino Linotype" w:hAnsi="Palatino Linotype" w:cs="Palatino Linotype"/>
          <w:color w:val="000000"/>
        </w:rPr>
        <w:t xml:space="preserve">Documento constante de trece fojas del que se desprende la información curricular de doce servidores públicos, documentos que se pusieron a la vista del particular el </w:t>
      </w:r>
      <w:r>
        <w:rPr>
          <w:rFonts w:ascii="Palatino Linotype" w:eastAsia="Palatino Linotype" w:hAnsi="Palatino Linotype" w:cs="Palatino Linotype"/>
          <w:b/>
          <w:bCs/>
          <w:color w:val="000000"/>
        </w:rPr>
        <w:t>veinticinco de marzo de dos mil veintiséis</w:t>
      </w:r>
      <w:r>
        <w:rPr>
          <w:rFonts w:ascii="Palatino Linotype" w:eastAsia="Palatino Linotype" w:hAnsi="Palatino Linotype" w:cs="Palatino Linotype"/>
          <w:color w:val="000000"/>
        </w:rPr>
        <w:t>.</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Pr="00021BD3" w:rsidRDefault="00DA6D22">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 xml:space="preserve">dejó de realizar manifestaciones que a su derecho conviniera y asistiera, respectivamente en cada uno de los recursos de revisión. </w:t>
      </w:r>
    </w:p>
    <w:p w:rsidR="00021BD3" w:rsidRDefault="00021BD3" w:rsidP="00021BD3">
      <w:pPr>
        <w:spacing w:line="360" w:lineRule="auto"/>
        <w:jc w:val="both"/>
        <w:rPr>
          <w:rFonts w:ascii="Palatino Linotype" w:eastAsia="Palatino Linotype" w:hAnsi="Palatino Linotype" w:cs="Palatino Linotype"/>
          <w:i/>
          <w:iCs/>
          <w:color w:val="000000"/>
        </w:rPr>
      </w:pPr>
    </w:p>
    <w:p w:rsidR="00CA1D4E" w:rsidRPr="00021BD3" w:rsidRDefault="00DA6D22">
      <w:pPr>
        <w:numPr>
          <w:ilvl w:val="0"/>
          <w:numId w:val="1"/>
        </w:numP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rPr>
        <w:t xml:space="preserve">Finalmente, la Comisionada Ponente mediante acuerdo del </w:t>
      </w:r>
      <w:r>
        <w:rPr>
          <w:rFonts w:ascii="Palatino Linotype" w:eastAsia="Palatino Linotype" w:hAnsi="Palatino Linotype" w:cs="Palatino Linotype"/>
          <w:b/>
          <w:bCs/>
        </w:rPr>
        <w:t>siete de abril de dos mil veintiséis</w:t>
      </w:r>
      <w:r>
        <w:rPr>
          <w:rFonts w:ascii="Palatino Linotype" w:eastAsia="Palatino Linotype" w:hAnsi="Palatino Linotype" w:cs="Palatino Linotype"/>
        </w:rPr>
        <w:t>, decretó el cierre de instrucción del expediente, por lo que no habiendo más que hacer constar, y</w:t>
      </w:r>
      <w:r w:rsidR="00021BD3">
        <w:rPr>
          <w:rFonts w:ascii="Palatino Linotype" w:eastAsia="Palatino Linotype" w:hAnsi="Palatino Linotype" w:cs="Palatino Linotype"/>
          <w:color w:val="000000"/>
        </w:rPr>
        <w:t xml:space="preserve"> -------------------------------------------------------------------</w:t>
      </w:r>
    </w:p>
    <w:p w:rsidR="00021BD3" w:rsidRDefault="00021BD3" w:rsidP="00021BD3">
      <w:pPr>
        <w:pStyle w:val="Prrafodelista"/>
        <w:rPr>
          <w:rFonts w:ascii="Palatino Linotype" w:eastAsia="Palatino Linotype" w:hAnsi="Palatino Linotype" w:cs="Palatino Linotype"/>
          <w:i/>
          <w:iCs/>
          <w:color w:val="000000"/>
        </w:rPr>
      </w:pPr>
    </w:p>
    <w:p w:rsidR="00021BD3" w:rsidRDefault="00021BD3" w:rsidP="00021BD3">
      <w:pPr>
        <w:spacing w:line="360" w:lineRule="auto"/>
        <w:jc w:val="both"/>
        <w:rPr>
          <w:rFonts w:ascii="Palatino Linotype" w:eastAsia="Palatino Linotype" w:hAnsi="Palatino Linotype" w:cs="Palatino Linotype"/>
          <w:i/>
          <w:iCs/>
          <w:color w:val="000000"/>
        </w:rPr>
      </w:pPr>
    </w:p>
    <w:p w:rsidR="00021BD3" w:rsidRDefault="00021BD3" w:rsidP="00021BD3">
      <w:pPr>
        <w:spacing w:line="360" w:lineRule="auto"/>
        <w:jc w:val="both"/>
        <w:rPr>
          <w:rFonts w:ascii="Palatino Linotype" w:eastAsia="Palatino Linotype" w:hAnsi="Palatino Linotype" w:cs="Palatino Linotype"/>
          <w:i/>
          <w:iCs/>
          <w:color w:val="000000"/>
        </w:rPr>
      </w:pPr>
    </w:p>
    <w:p w:rsidR="00AF5C27" w:rsidRDefault="00AF5C27" w:rsidP="00021BD3">
      <w:pPr>
        <w:spacing w:line="360" w:lineRule="auto"/>
        <w:jc w:val="both"/>
        <w:rPr>
          <w:rFonts w:ascii="Palatino Linotype" w:eastAsia="Palatino Linotype" w:hAnsi="Palatino Linotype" w:cs="Palatino Linotype"/>
          <w:i/>
          <w:iCs/>
          <w:color w:val="000000"/>
        </w:rPr>
      </w:pPr>
    </w:p>
    <w:p w:rsidR="00CA1D4E" w:rsidRDefault="00CA1D4E">
      <w:pPr>
        <w:pBdr>
          <w:top w:val="nil"/>
          <w:left w:val="nil"/>
          <w:bottom w:val="nil"/>
          <w:right w:val="nil"/>
          <w:between w:val="nil"/>
        </w:pBdr>
        <w:ind w:right="-788"/>
        <w:jc w:val="both"/>
        <w:rPr>
          <w:rFonts w:ascii="Palatino Linotype" w:eastAsia="Palatino Linotype" w:hAnsi="Palatino Linotype" w:cs="Palatino Linotype"/>
          <w:b/>
          <w:bCs/>
          <w:color w:val="000000"/>
        </w:rPr>
      </w:pPr>
    </w:p>
    <w:p w:rsidR="00E8569E" w:rsidRDefault="00E8569E">
      <w:pPr>
        <w:pBdr>
          <w:top w:val="nil"/>
          <w:left w:val="nil"/>
          <w:bottom w:val="nil"/>
          <w:right w:val="nil"/>
          <w:between w:val="nil"/>
        </w:pBdr>
        <w:ind w:right="-788"/>
        <w:jc w:val="both"/>
        <w:rPr>
          <w:rFonts w:ascii="Palatino Linotype" w:eastAsia="Palatino Linotype" w:hAnsi="Palatino Linotype" w:cs="Palatino Linotype"/>
          <w:b/>
          <w:bCs/>
          <w:color w:val="000000"/>
        </w:rPr>
      </w:pPr>
    </w:p>
    <w:p w:rsidR="00CA1D4E" w:rsidRDefault="00DA6D22">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 O N S I D E R A C I O N E S</w:t>
      </w:r>
    </w:p>
    <w:p w:rsidR="00CA1D4E" w:rsidRDefault="00CA1D4E">
      <w:pPr>
        <w:pBdr>
          <w:top w:val="nil"/>
          <w:left w:val="nil"/>
          <w:bottom w:val="nil"/>
          <w:right w:val="nil"/>
          <w:between w:val="nil"/>
        </w:pBdr>
        <w:ind w:right="-788"/>
        <w:jc w:val="both"/>
        <w:rPr>
          <w:rFonts w:ascii="Palatino Linotype" w:eastAsia="Palatino Linotype" w:hAnsi="Palatino Linotype" w:cs="Palatino Linotype"/>
          <w:b/>
          <w:bCs/>
          <w:color w:val="000000"/>
        </w:rPr>
      </w:pPr>
    </w:p>
    <w:p w:rsidR="00CA1D4E" w:rsidRDefault="00DA6D22">
      <w:pPr>
        <w:pStyle w:val="Ttulo2"/>
        <w:spacing w:before="0" w:line="360" w:lineRule="auto"/>
        <w:ind w:right="-787"/>
        <w:rPr>
          <w:rFonts w:ascii="Palatino Linotype" w:eastAsia="Palatino Linotype" w:hAnsi="Palatino Linotype" w:cs="Palatino Linotype"/>
          <w:b/>
          <w:bCs/>
          <w:color w:val="000000"/>
          <w:sz w:val="24"/>
          <w:szCs w:val="24"/>
        </w:rPr>
      </w:pPr>
      <w:bookmarkStart w:id="3" w:name="_heading=h.2et92p0" w:colFirst="0" w:colLast="0"/>
      <w:bookmarkEnd w:id="3"/>
      <w:r>
        <w:rPr>
          <w:rFonts w:ascii="Palatino Linotype" w:eastAsia="Palatino Linotype" w:hAnsi="Palatino Linotype" w:cs="Palatino Linotype"/>
          <w:b/>
          <w:bCs/>
          <w:color w:val="000000"/>
          <w:sz w:val="24"/>
          <w:szCs w:val="24"/>
        </w:rPr>
        <w:t>PRIMERA. Competencia</w:t>
      </w:r>
    </w:p>
    <w:p w:rsidR="00CA1D4E" w:rsidRDefault="00DA6D2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8°, 9°, 10, 37 y 42, fracciones I, II y III, de la Ley General de Transparencia y Acceso a la Información Pública, vigente a la fecha de la solicitud de información;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CA1D4E" w:rsidRDefault="00CA1D4E">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rsidR="00CA1D4E" w:rsidRDefault="00DA6D22">
      <w:pPr>
        <w:pStyle w:val="Ttulo2"/>
        <w:spacing w:before="0" w:line="360" w:lineRule="auto"/>
        <w:ind w:right="-787"/>
        <w:rPr>
          <w:rFonts w:ascii="Palatino Linotype" w:eastAsia="Palatino Linotype" w:hAnsi="Palatino Linotype" w:cs="Palatino Linotype"/>
          <w:b/>
          <w:bCs/>
          <w:color w:val="000000"/>
          <w:sz w:val="24"/>
          <w:szCs w:val="24"/>
        </w:rPr>
      </w:pPr>
      <w:bookmarkStart w:id="4" w:name="_heading=h.tyjcwt" w:colFirst="0" w:colLast="0"/>
      <w:bookmarkEnd w:id="4"/>
      <w:r>
        <w:rPr>
          <w:rFonts w:ascii="Palatino Linotype" w:eastAsia="Palatino Linotype" w:hAnsi="Palatino Linotype" w:cs="Palatino Linotype"/>
          <w:b/>
          <w:bCs/>
          <w:color w:val="000000"/>
          <w:sz w:val="24"/>
          <w:szCs w:val="24"/>
        </w:rPr>
        <w:t>SEGUNDA. Procedencia.</w:t>
      </w:r>
    </w:p>
    <w:p w:rsidR="00CA1D4E" w:rsidRDefault="00DA6D22">
      <w:pPr>
        <w:numPr>
          <w:ilvl w:val="0"/>
          <w:numId w:val="1"/>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respuestas el día </w:t>
      </w:r>
      <w:r>
        <w:rPr>
          <w:rFonts w:ascii="Palatino Linotype" w:eastAsia="Palatino Linotype" w:hAnsi="Palatino Linotype" w:cs="Palatino Linotype"/>
          <w:b/>
          <w:bCs/>
        </w:rPr>
        <w:t>cuatro y cinco de febrero de dos mil veintiséis</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bCs/>
        </w:rPr>
        <w:t>cinco al veinticinco de febrero de dos mil veinticinco y del seis al veintiséis de febrero de dos mil veintiséis</w:t>
      </w:r>
      <w:r>
        <w:rPr>
          <w:rFonts w:ascii="Palatino Linotype" w:eastAsia="Palatino Linotype" w:hAnsi="Palatino Linotype" w:cs="Palatino Linotype"/>
        </w:rPr>
        <w:t xml:space="preserve">, de </w:t>
      </w:r>
      <w:r>
        <w:rPr>
          <w:rFonts w:ascii="Palatino Linotype" w:eastAsia="Palatino Linotype" w:hAnsi="Palatino Linotype" w:cs="Palatino Linotype"/>
        </w:rPr>
        <w:lastRenderedPageBreak/>
        <w:t xml:space="preserve">acuerdo al calendario oficial del Instituto de Transparencia del Estado de México y Municipios; en consecuencia, si el particular presentó sus inconformidades el día </w:t>
      </w:r>
      <w:r>
        <w:rPr>
          <w:rFonts w:ascii="Palatino Linotype" w:eastAsia="Palatino Linotype" w:hAnsi="Palatino Linotype" w:cs="Palatino Linotype"/>
          <w:b/>
          <w:bCs/>
        </w:rPr>
        <w:t>trece de febrero de dos mil veintiséis</w:t>
      </w:r>
      <w:r>
        <w:rPr>
          <w:rFonts w:ascii="Palatino Linotype" w:eastAsia="Palatino Linotype" w:hAnsi="Palatino Linotype" w:cs="Palatino Linotype"/>
        </w:rPr>
        <w:t xml:space="preserv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A1D4E" w:rsidRDefault="00CA1D4E">
      <w:pPr>
        <w:spacing w:line="360" w:lineRule="auto"/>
        <w:jc w:val="both"/>
        <w:rPr>
          <w:rFonts w:ascii="Palatino Linotype" w:eastAsia="Palatino Linotype" w:hAnsi="Palatino Linotype" w:cs="Palatino Linotype"/>
        </w:rPr>
      </w:pPr>
    </w:p>
    <w:p w:rsidR="00CA1D4E" w:rsidRDefault="00DA6D22">
      <w:pPr>
        <w:pBdr>
          <w:top w:val="nil"/>
          <w:left w:val="nil"/>
          <w:bottom w:val="nil"/>
          <w:right w:val="nil"/>
          <w:between w:val="nil"/>
        </w:pBdr>
        <w:tabs>
          <w:tab w:val="left" w:pos="7655"/>
        </w:tabs>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Las solicitudes anónimas</w:t>
      </w:r>
      <w:r>
        <w:rPr>
          <w:rFonts w:ascii="Palatino Linotype" w:eastAsia="Palatino Linotype" w:hAnsi="Palatino Linotype" w:cs="Palatino Linotype"/>
          <w:i/>
          <w:iCs/>
          <w:color w:val="000000"/>
        </w:rPr>
        <w:t xml:space="preserve">, con nombre incompleto o seudónimo </w:t>
      </w:r>
      <w:r>
        <w:rPr>
          <w:rFonts w:ascii="Palatino Linotype" w:eastAsia="Palatino Linotype" w:hAnsi="Palatino Linotype" w:cs="Palatino Linotype"/>
          <w:b/>
          <w:bCs/>
          <w:i/>
          <w:iCs/>
          <w:color w:val="000000"/>
        </w:rPr>
        <w:t>serán procedentes para su trámite por parte del sujeto obligado ante quien se presente</w:t>
      </w:r>
      <w:r>
        <w:rPr>
          <w:rFonts w:ascii="Palatino Linotype" w:eastAsia="Palatino Linotype" w:hAnsi="Palatino Linotype" w:cs="Palatino Linotype"/>
          <w:i/>
          <w:iCs/>
          <w:color w:val="000000"/>
        </w:rPr>
        <w:t>. No podrá requerirse información adicional con motivo del nombre proporcionado por el solicitante."</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Artículo 6.-</w:t>
      </w:r>
      <w:r>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w:t>
      </w:r>
      <w:r>
        <w:rPr>
          <w:rFonts w:ascii="Palatino Linotype" w:eastAsia="Palatino Linotype" w:hAnsi="Palatino Linotype" w:cs="Palatino Linotype"/>
          <w:i/>
          <w:iCs/>
          <w:color w:val="000000"/>
        </w:rPr>
        <w:lastRenderedPageBreak/>
        <w:t>derecho de réplica será ejercido en los términos dispuestos por la ley. El derecho a la información será garantizado por el Estado.</w:t>
      </w:r>
    </w:p>
    <w:p w:rsidR="00CA1D4E" w:rsidRDefault="00CA1D4E">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Para efectos de lo dispuesto en el presente artículo se observará lo siguiente:</w:t>
      </w:r>
    </w:p>
    <w:p w:rsidR="00CA1D4E" w:rsidRDefault="00CA1D4E">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rsidR="00CA1D4E" w:rsidRDefault="00CA1D4E">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color w:val="000000"/>
        </w:rPr>
        <w:t>(Sic)</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CA1D4E" w:rsidRDefault="00CA1D4E">
      <w:pPr>
        <w:tabs>
          <w:tab w:val="left" w:pos="7655"/>
        </w:tabs>
        <w:ind w:left="567"/>
        <w:jc w:val="both"/>
        <w:rPr>
          <w:rFonts w:ascii="Palatino Linotype" w:eastAsia="Palatino Linotype" w:hAnsi="Palatino Linotype" w:cs="Palatino Linotype"/>
          <w:i/>
          <w:iCs/>
          <w:sz w:val="22"/>
          <w:szCs w:val="22"/>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Artículo 5.-</w:t>
      </w:r>
      <w:r>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color w:val="000000"/>
        </w:rPr>
        <w:t>(Sic)</w:t>
      </w:r>
    </w:p>
    <w:p w:rsidR="00CA1D4E" w:rsidRDefault="00CA1D4E">
      <w:pPr>
        <w:tabs>
          <w:tab w:val="left" w:pos="7655"/>
        </w:tabs>
        <w:ind w:left="567"/>
        <w:jc w:val="both"/>
        <w:rPr>
          <w:rFonts w:ascii="Palatino Linotype" w:eastAsia="Palatino Linotype" w:hAnsi="Palatino Linotype" w:cs="Palatino Linotype"/>
          <w:i/>
          <w:iCs/>
          <w:sz w:val="22"/>
          <w:szCs w:val="22"/>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CA1D4E" w:rsidRDefault="00CA1D4E">
      <w:pPr>
        <w:spacing w:line="360" w:lineRule="auto"/>
        <w:jc w:val="both"/>
        <w:rPr>
          <w:rFonts w:ascii="Palatino Linotype" w:eastAsia="Palatino Linotype" w:hAnsi="Palatino Linotype" w:cs="Palatino Linotype"/>
        </w:rPr>
      </w:pP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Artículo 1</w:t>
      </w:r>
      <w:r>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CA1D4E" w:rsidRDefault="00DA6D22">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A1D4E" w:rsidRDefault="00CA1D4E">
      <w:pPr>
        <w:spacing w:line="360" w:lineRule="auto"/>
        <w:jc w:val="both"/>
        <w:rPr>
          <w:rFonts w:ascii="Palatino Linotype" w:eastAsia="Palatino Linotype" w:hAnsi="Palatino Linotype" w:cs="Palatino Linotype"/>
        </w:rPr>
      </w:pPr>
    </w:p>
    <w:p w:rsidR="00CA1D4E" w:rsidRDefault="00DA6D2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iCs/>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A1D4E" w:rsidRDefault="00CA1D4E">
      <w:pPr>
        <w:spacing w:line="360" w:lineRule="auto"/>
        <w:jc w:val="both"/>
        <w:rPr>
          <w:rFonts w:ascii="Palatino Linotype" w:eastAsia="Palatino Linotype" w:hAnsi="Palatino Linotype" w:cs="Palatino Linotype"/>
          <w:b/>
          <w:bCs/>
          <w:sz w:val="22"/>
          <w:szCs w:val="22"/>
        </w:rPr>
      </w:pPr>
    </w:p>
    <w:p w:rsidR="00CA1D4E" w:rsidRDefault="00DA6D2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el escrito contiene las formalidades previstas por el artículo 180, último párrafo, de la citada Ley de la materia, por lo que es procedente que este Instituto conozca y resuelva el presente recurso.</w:t>
      </w:r>
    </w:p>
    <w:p w:rsidR="00CA1D4E" w:rsidRDefault="00CA1D4E">
      <w:pPr>
        <w:pStyle w:val="Ttulo2"/>
        <w:spacing w:before="0" w:line="360" w:lineRule="auto"/>
        <w:ind w:right="-787"/>
        <w:rPr>
          <w:rFonts w:ascii="Palatino Linotype" w:eastAsia="Palatino Linotype" w:hAnsi="Palatino Linotype" w:cs="Palatino Linotype"/>
          <w:color w:val="000000"/>
        </w:rPr>
      </w:pPr>
    </w:p>
    <w:p w:rsidR="00CA1D4E" w:rsidRDefault="00DA6D22">
      <w:pPr>
        <w:pStyle w:val="Ttulo1"/>
        <w:spacing w:before="0" w:line="360" w:lineRule="auto"/>
        <w:ind w:right="-787"/>
        <w:rPr>
          <w:rFonts w:ascii="Palatino Linotype" w:eastAsia="Palatino Linotype" w:hAnsi="Palatino Linotype" w:cs="Palatino Linotype"/>
          <w:b/>
          <w:bCs/>
          <w:color w:val="000000"/>
          <w:sz w:val="24"/>
          <w:szCs w:val="24"/>
        </w:rPr>
      </w:pPr>
      <w:bookmarkStart w:id="5" w:name="_heading=h.3dy6vkm" w:colFirst="0" w:colLast="0"/>
      <w:bookmarkEnd w:id="5"/>
      <w:r>
        <w:rPr>
          <w:rFonts w:ascii="Palatino Linotype" w:eastAsia="Palatino Linotype" w:hAnsi="Palatino Linotype" w:cs="Palatino Linotype"/>
          <w:b/>
          <w:bCs/>
          <w:color w:val="000000"/>
          <w:sz w:val="24"/>
          <w:szCs w:val="24"/>
        </w:rPr>
        <w:t>TERCERA. Descripción de hechos y planteamiento de la controversia.</w:t>
      </w:r>
    </w:p>
    <w:p w:rsidR="00CA1D4E" w:rsidRDefault="00DA6D22">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rsidR="00CA1D4E" w:rsidRDefault="00DA6D22">
      <w:pPr>
        <w:numPr>
          <w:ilvl w:val="0"/>
          <w:numId w:val="3"/>
        </w:numPr>
        <w:pBdr>
          <w:top w:val="nil"/>
          <w:left w:val="nil"/>
          <w:bottom w:val="nil"/>
          <w:right w:val="nil"/>
          <w:between w:val="nil"/>
        </w:pBdr>
        <w:ind w:right="-78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Currículum de todos los integrantes que forman las distintas áreas que marca el estatuto a nivel municipal y estatal; así como de los Diputados del Congreso del Estado.</w:t>
      </w:r>
    </w:p>
    <w:p w:rsidR="00CA1D4E" w:rsidRDefault="00CA1D4E">
      <w:pPr>
        <w:ind w:right="-788"/>
        <w:jc w:val="both"/>
        <w:rPr>
          <w:rFonts w:ascii="Palatino Linotype" w:eastAsia="Palatino Linotype" w:hAnsi="Palatino Linotype" w:cs="Palatino Linotype"/>
          <w:b/>
          <w:bCs/>
        </w:rPr>
      </w:pPr>
    </w:p>
    <w:p w:rsidR="00CA1D4E" w:rsidRDefault="00DA6D22">
      <w:pPr>
        <w:numPr>
          <w:ilvl w:val="0"/>
          <w:numId w:val="3"/>
        </w:numPr>
        <w:pBdr>
          <w:top w:val="nil"/>
          <w:left w:val="nil"/>
          <w:bottom w:val="nil"/>
          <w:right w:val="nil"/>
          <w:between w:val="nil"/>
        </w:pBdr>
        <w:ind w:right="-78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Programas de Trabajo que se realizaran durante el ejercicio fiscal 2026</w:t>
      </w:r>
    </w:p>
    <w:p w:rsidR="00CA1D4E" w:rsidRDefault="00CA1D4E">
      <w:pPr>
        <w:pBdr>
          <w:top w:val="nil"/>
          <w:left w:val="nil"/>
          <w:bottom w:val="nil"/>
          <w:right w:val="nil"/>
          <w:between w:val="nil"/>
        </w:pBdr>
        <w:ind w:left="720" w:right="-788"/>
        <w:jc w:val="both"/>
        <w:rPr>
          <w:rFonts w:ascii="Palatino Linotype" w:eastAsia="Palatino Linotype" w:hAnsi="Palatino Linotype" w:cs="Palatino Linotype"/>
          <w:b/>
          <w:bCs/>
          <w:color w:val="000000"/>
        </w:rPr>
      </w:pPr>
    </w:p>
    <w:p w:rsidR="00CA1D4E" w:rsidRDefault="00CA1D4E">
      <w:pPr>
        <w:ind w:right="-788"/>
        <w:jc w:val="both"/>
        <w:rPr>
          <w:rFonts w:ascii="Palatino Linotype" w:eastAsia="Palatino Linotype" w:hAnsi="Palatino Linotype" w:cs="Palatino Linotype"/>
          <w:b/>
          <w:bCs/>
        </w:rPr>
      </w:pPr>
    </w:p>
    <w:p w:rsidR="00CA1D4E" w:rsidRDefault="00DA6D22">
      <w:pPr>
        <w:numPr>
          <w:ilvl w:val="0"/>
          <w:numId w:val="1"/>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 rindo respuesta en términos del numeral 3 de la presente resolución.</w:t>
      </w:r>
    </w:p>
    <w:p w:rsidR="00CA1D4E" w:rsidRDefault="00CA1D4E">
      <w:pPr>
        <w:spacing w:line="360" w:lineRule="auto"/>
        <w:ind w:right="-787"/>
        <w:jc w:val="both"/>
        <w:rPr>
          <w:rFonts w:ascii="Palatino Linotype" w:eastAsia="Palatino Linotype" w:hAnsi="Palatino Linotype" w:cs="Palatino Linotype"/>
          <w:i/>
          <w:iCs/>
          <w:color w:val="000000"/>
        </w:rPr>
      </w:pPr>
    </w:p>
    <w:p w:rsidR="00CA1D4E" w:rsidRDefault="00DA6D22">
      <w:pPr>
        <w:numPr>
          <w:ilvl w:val="0"/>
          <w:numId w:val="1"/>
        </w:numPr>
        <w:pBdr>
          <w:top w:val="nil"/>
          <w:left w:val="nil"/>
          <w:bottom w:val="nil"/>
          <w:right w:val="nil"/>
          <w:between w:val="nil"/>
        </w:pBdr>
        <w:spacing w:line="360" w:lineRule="auto"/>
        <w:ind w:left="0" w:right="-858"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Posteriormente,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interpuso los recursos de revisión </w:t>
      </w:r>
      <w:r>
        <w:rPr>
          <w:rFonts w:ascii="Palatino Linotype" w:eastAsia="Palatino Linotype" w:hAnsi="Palatino Linotype" w:cs="Palatino Linotype"/>
          <w:b/>
          <w:bCs/>
          <w:color w:val="000000"/>
        </w:rPr>
        <w:t xml:space="preserve">01838/INFOEM/IP/RR/2026 y 1840/INFOEM/IP/RR/2026 </w:t>
      </w:r>
      <w:r>
        <w:rPr>
          <w:rFonts w:ascii="Palatino Linotype" w:eastAsia="Palatino Linotype" w:hAnsi="Palatino Linotype" w:cs="Palatino Linotype"/>
          <w:color w:val="000000"/>
        </w:rPr>
        <w:t xml:space="preserve">en el que señaló su inconformidad por la negativa de la información. </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Pr>
          <w:rFonts w:ascii="Palatino Linotype" w:eastAsia="Palatino Linotype" w:hAnsi="Palatino Linotype" w:cs="Palatino Linotype"/>
          <w:b/>
          <w:bCs/>
        </w:rPr>
        <w:t>179, fracción I, de la 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relativa a </w:t>
      </w:r>
      <w:r>
        <w:rPr>
          <w:rFonts w:ascii="Palatino Linotype" w:eastAsia="Palatino Linotype" w:hAnsi="Palatino Linotype" w:cs="Palatino Linotype"/>
          <w:b/>
          <w:bCs/>
          <w:color w:val="000000"/>
        </w:rPr>
        <w:t>la negativa a la información solicitada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contexto del cual se dolió el Recurrente al momento de interponer su </w:t>
      </w:r>
      <w:r>
        <w:rPr>
          <w:rFonts w:ascii="Palatino Linotype" w:eastAsia="Palatino Linotype" w:hAnsi="Palatino Linotype" w:cs="Palatino Linotype"/>
        </w:rPr>
        <w:lastRenderedPageBreak/>
        <w:t>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señalada. </w:t>
      </w:r>
    </w:p>
    <w:p w:rsidR="00CA1D4E" w:rsidRDefault="00CA1D4E">
      <w:pPr>
        <w:spacing w:line="360" w:lineRule="auto"/>
        <w:ind w:right="-787"/>
        <w:rPr>
          <w:rFonts w:ascii="Palatino Linotype" w:eastAsia="Palatino Linotype" w:hAnsi="Palatino Linotype" w:cs="Palatino Linotype"/>
        </w:rPr>
      </w:pPr>
    </w:p>
    <w:p w:rsidR="00CA1D4E" w:rsidRDefault="00DA6D22">
      <w:pPr>
        <w:pStyle w:val="Ttulo2"/>
        <w:spacing w:before="0" w:line="360" w:lineRule="auto"/>
        <w:ind w:right="-787"/>
        <w:rPr>
          <w:rFonts w:ascii="Palatino Linotype" w:eastAsia="Palatino Linotype" w:hAnsi="Palatino Linotype" w:cs="Palatino Linotype"/>
          <w:b/>
          <w:bCs/>
          <w:color w:val="000000"/>
          <w:sz w:val="24"/>
          <w:szCs w:val="24"/>
        </w:rPr>
      </w:pPr>
      <w:bookmarkStart w:id="6" w:name="_heading=h.1t3h5sf" w:colFirst="0" w:colLast="0"/>
      <w:bookmarkEnd w:id="6"/>
      <w:r>
        <w:rPr>
          <w:rFonts w:ascii="Palatino Linotype" w:eastAsia="Palatino Linotype" w:hAnsi="Palatino Linotype" w:cs="Palatino Linotype"/>
          <w:b/>
          <w:bCs/>
          <w:color w:val="000000"/>
          <w:sz w:val="24"/>
          <w:szCs w:val="24"/>
        </w:rPr>
        <w:t>CUARTA. Estudio de la controversia.</w:t>
      </w:r>
    </w:p>
    <w:p w:rsidR="00CA1D4E" w:rsidRDefault="00DA6D22">
      <w:pP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I</w:t>
      </w:r>
      <w:r w:rsidR="00277A9F">
        <w:rPr>
          <w:rFonts w:ascii="Palatino Linotype" w:eastAsia="Palatino Linotype" w:hAnsi="Palatino Linotype" w:cs="Palatino Linotype"/>
          <w:b/>
          <w:bCs/>
          <w:color w:val="000000"/>
        </w:rPr>
        <w:t>.</w:t>
      </w:r>
      <w:r>
        <w:rPr>
          <w:rFonts w:ascii="Palatino Linotype" w:eastAsia="Palatino Linotype" w:hAnsi="Palatino Linotype" w:cs="Palatino Linotype"/>
          <w:b/>
          <w:bCs/>
          <w:color w:val="000000"/>
        </w:rPr>
        <w:t xml:space="preserve"> Del Derecho de acceso a la información </w:t>
      </w:r>
    </w:p>
    <w:p w:rsidR="00CA1D4E" w:rsidRDefault="00CA1D4E"/>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Definiendo el Derecho de Acceso a la Información Pública como: </w:t>
      </w:r>
      <w:r>
        <w:rPr>
          <w:rFonts w:ascii="Palatino Linotype" w:eastAsia="Palatino Linotype" w:hAnsi="Palatino Linotype" w:cs="Palatino Linotype"/>
          <w:i/>
          <w:iCs/>
          <w:color w:val="000000"/>
        </w:rPr>
        <w:t>La igualdad de oportunidades para recibir, buscar e impartir información</w:t>
      </w:r>
      <w:r>
        <w:rPr>
          <w:i/>
          <w:iCs/>
          <w:color w:val="000000"/>
          <w:vertAlign w:val="superscript"/>
        </w:rPr>
        <w:footnoteReference w:id="1"/>
      </w:r>
      <w:r>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i/>
          <w:iCs/>
          <w:color w:val="000000"/>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Pr>
          <w:i/>
          <w:iCs/>
          <w:color w:val="000000"/>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iCs/>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iCs/>
          <w:color w:val="000000"/>
        </w:rPr>
        <w:t xml:space="preserve"> la </w:t>
      </w:r>
      <w:r>
        <w:rPr>
          <w:rFonts w:ascii="Palatino Linotype" w:eastAsia="Palatino Linotype" w:hAnsi="Palatino Linotype" w:cs="Palatino Linotype"/>
          <w:i/>
          <w:iCs/>
          <w:color w:val="000000"/>
        </w:rPr>
        <w:lastRenderedPageBreak/>
        <w:t>responsabilidad de los funcionarios sobre su gestión pública,</w:t>
      </w:r>
      <w:r>
        <w:rPr>
          <w:i/>
          <w:iCs/>
          <w:color w:val="000000"/>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CA1D4E" w:rsidRDefault="00CA1D4E">
      <w:pPr>
        <w:spacing w:line="360" w:lineRule="auto"/>
        <w:ind w:right="49"/>
        <w:jc w:val="both"/>
        <w:rPr>
          <w:rFonts w:ascii="Palatino Linotype" w:eastAsia="Palatino Linotype" w:hAnsi="Palatino Linotype" w:cs="Palatino Linotype"/>
          <w:sz w:val="22"/>
          <w:szCs w:val="22"/>
        </w:rPr>
      </w:pPr>
    </w:p>
    <w:p w:rsidR="00CA1D4E" w:rsidRDefault="00DA6D22">
      <w:pPr>
        <w:tabs>
          <w:tab w:val="left" w:pos="7655"/>
        </w:tabs>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xml:space="preserve"> </w:t>
      </w:r>
    </w:p>
    <w:p w:rsidR="00CA1D4E" w:rsidRDefault="00DA6D22">
      <w:pPr>
        <w:tabs>
          <w:tab w:val="left" w:pos="7655"/>
        </w:tabs>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CA1D4E" w:rsidRDefault="00DA6D22">
      <w:pPr>
        <w:tabs>
          <w:tab w:val="left" w:pos="7655"/>
        </w:tabs>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A1D4E" w:rsidRDefault="00DA6D22">
      <w:pPr>
        <w:tabs>
          <w:tab w:val="left" w:pos="7655"/>
        </w:tabs>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Pr>
          <w:rFonts w:ascii="Palatino Linotype" w:eastAsia="Palatino Linotype" w:hAnsi="Palatino Linotype" w:cs="Palatino Linotype"/>
        </w:rPr>
        <w:lastRenderedPageBreak/>
        <w:t>relacionadas con el Derecho de Acceso a la Información Pública, permiten que todas las autoridades, en el ámbito de sus atribuciones lo respeten, protejan y garanticen.</w:t>
      </w:r>
    </w:p>
    <w:p w:rsidR="00CA1D4E" w:rsidRDefault="00DA6D22">
      <w:pPr>
        <w:spacing w:after="240"/>
        <w:ind w:left="567"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 los Estados Unidos Mexicanos</w:t>
      </w:r>
    </w:p>
    <w:p w:rsidR="00CA1D4E" w:rsidRDefault="00DA6D22">
      <w:pPr>
        <w:spacing w:before="240" w:after="240"/>
        <w:ind w:left="567"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rsidR="00CA1D4E" w:rsidRDefault="00DA6D22">
      <w:pPr>
        <w:spacing w:before="240" w:after="240"/>
        <w:ind w:left="567"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el ejercicio del derecho de acceso a la información</w:t>
      </w:r>
      <w:r>
        <w:rPr>
          <w:rFonts w:ascii="Palatino Linotype" w:eastAsia="Palatino Linotype" w:hAnsi="Palatino Linotype" w:cs="Palatino Linotype"/>
          <w:i/>
          <w:iCs/>
          <w:sz w:val="22"/>
          <w:szCs w:val="22"/>
        </w:rPr>
        <w:t xml:space="preserve">, la Federación y </w:t>
      </w:r>
      <w:r>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autoridad</w:t>
      </w:r>
      <w:r>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sz w:val="22"/>
          <w:szCs w:val="22"/>
        </w:rPr>
        <w:t>municipal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CA1D4E" w:rsidRDefault="00CA1D4E">
      <w:pPr>
        <w:tabs>
          <w:tab w:val="left" w:pos="567"/>
        </w:tabs>
        <w:spacing w:before="240"/>
        <w:ind w:left="567" w:right="567"/>
        <w:jc w:val="both"/>
        <w:rPr>
          <w:rFonts w:ascii="Palatino Linotype" w:eastAsia="Palatino Linotype" w:hAnsi="Palatino Linotype" w:cs="Palatino Linotype"/>
          <w:b/>
          <w:bCs/>
          <w:i/>
          <w:iCs/>
          <w:sz w:val="22"/>
          <w:szCs w:val="22"/>
        </w:rPr>
      </w:pPr>
    </w:p>
    <w:p w:rsidR="00CA1D4E" w:rsidRDefault="00DA6D22">
      <w:pPr>
        <w:spacing w:after="240"/>
        <w:ind w:left="567" w:right="56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del Estado Libre y Soberano de México</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sz w:val="22"/>
          <w:szCs w:val="22"/>
        </w:rPr>
        <w:t>.</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Para garantizar el ejercicio del derecho de transparencia, acceso a la información pública y protección de datos personales, los poderes públicos y los organismos autónomos, </w:t>
      </w:r>
      <w:r>
        <w:rPr>
          <w:rFonts w:ascii="Palatino Linotype" w:eastAsia="Palatino Linotype" w:hAnsi="Palatino Linotype" w:cs="Palatino Linotype"/>
          <w:i/>
          <w:iCs/>
          <w:sz w:val="22"/>
          <w:szCs w:val="22"/>
        </w:rPr>
        <w:lastRenderedPageBreak/>
        <w:t>transparentarán sus acciones, en términos de las disposiciones aplicables, la información será oportuna, clara, veraz y de fácil acceso.</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Este derecho se regirá por los principios y bases siguientes</w:t>
      </w:r>
      <w:r>
        <w:rPr>
          <w:rFonts w:ascii="Palatino Linotype" w:eastAsia="Palatino Linotype" w:hAnsi="Palatino Linotype" w:cs="Palatino Linotype"/>
          <w:i/>
          <w:iCs/>
          <w:sz w:val="22"/>
          <w:szCs w:val="22"/>
        </w:rPr>
        <w:t>:</w:t>
      </w:r>
    </w:p>
    <w:p w:rsidR="00CA1D4E" w:rsidRDefault="00DA6D22">
      <w:pPr>
        <w:spacing w:before="240" w:after="240"/>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 autoridad, entidad, órgano y organismos de los</w:t>
      </w:r>
      <w:r>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bCs/>
          <w:i/>
          <w:iCs/>
          <w:sz w:val="22"/>
          <w:szCs w:val="22"/>
        </w:rPr>
        <w:t>municipales</w:t>
      </w:r>
      <w:r>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CA1D4E" w:rsidRDefault="00CA1D4E">
      <w:pPr>
        <w:spacing w:before="240" w:line="360" w:lineRule="auto"/>
        <w:ind w:right="49"/>
        <w:jc w:val="both"/>
        <w:rPr>
          <w:rFonts w:ascii="Palatino Linotype" w:eastAsia="Palatino Linotype" w:hAnsi="Palatino Linotype" w:cs="Palatino Linotype"/>
        </w:rPr>
      </w:pPr>
    </w:p>
    <w:p w:rsidR="00CA1D4E" w:rsidRDefault="00DA6D22">
      <w:pPr>
        <w:numPr>
          <w:ilvl w:val="0"/>
          <w:numId w:val="1"/>
        </w:numPr>
        <w:spacing w:before="24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iCs/>
        </w:rPr>
        <w:t>solicitudes de acceso a la información</w:t>
      </w:r>
      <w:r>
        <w:rPr>
          <w:rFonts w:ascii="Palatino Linotype" w:eastAsia="Palatino Linotype" w:hAnsi="Palatino Linotype" w:cs="Palatino Linotype"/>
        </w:rPr>
        <w:t>.</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al atender la solicitud de acceso a la información, satisfizo la garantía primaria del </w:t>
      </w:r>
      <w:r>
        <w:rPr>
          <w:rFonts w:ascii="Palatino Linotype" w:eastAsia="Palatino Linotype" w:hAnsi="Palatino Linotype" w:cs="Palatino Linotype"/>
        </w:rPr>
        <w:lastRenderedPageBreak/>
        <w:t>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keepNext/>
        <w:keepLines/>
        <w:spacing w:after="240" w:line="360" w:lineRule="auto"/>
        <w:rPr>
          <w:rFonts w:ascii="Palatino Linotype" w:eastAsia="Palatino Linotype" w:hAnsi="Palatino Linotype" w:cs="Palatino Linotype"/>
          <w:b/>
          <w:bCs/>
        </w:rPr>
      </w:pPr>
      <w:r>
        <w:rPr>
          <w:rFonts w:ascii="Palatino Linotype" w:eastAsia="Palatino Linotype" w:hAnsi="Palatino Linotype" w:cs="Palatino Linotype"/>
          <w:b/>
          <w:bCs/>
        </w:rPr>
        <w:t>II. De la información solicitada y la respuesta del SUJETO OBLIGADO</w:t>
      </w: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efectos de estudio es conveniente reiterar que el solicitante requirió lo siguiente:</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3"/>
        </w:numPr>
        <w:pBdr>
          <w:top w:val="nil"/>
          <w:left w:val="nil"/>
          <w:bottom w:val="nil"/>
          <w:right w:val="nil"/>
          <w:between w:val="nil"/>
        </w:pBdr>
        <w:ind w:right="-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Currículum de todos los integrantes que forman las distintas áreas que marca el estatuto a nivel municipal y estatal; así como de los Diputados del Congreso del Estado.</w:t>
      </w:r>
    </w:p>
    <w:p w:rsidR="00CA1D4E" w:rsidRDefault="00CA1D4E">
      <w:pPr>
        <w:ind w:right="-788"/>
        <w:jc w:val="both"/>
        <w:rPr>
          <w:rFonts w:ascii="Palatino Linotype" w:eastAsia="Palatino Linotype" w:hAnsi="Palatino Linotype" w:cs="Palatino Linotype"/>
          <w:b/>
          <w:bCs/>
        </w:rPr>
      </w:pPr>
    </w:p>
    <w:p w:rsidR="00CA1D4E" w:rsidRDefault="00DA6D22">
      <w:pPr>
        <w:numPr>
          <w:ilvl w:val="0"/>
          <w:numId w:val="3"/>
        </w:numPr>
        <w:pBdr>
          <w:top w:val="nil"/>
          <w:left w:val="nil"/>
          <w:bottom w:val="nil"/>
          <w:right w:val="nil"/>
          <w:between w:val="nil"/>
        </w:pBdr>
        <w:ind w:right="-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Programas de Trabajo que se realizaran durante el ejercicio fiscal 2026</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en primer término indicó que el instituto político perdió su registro a nivel nacional, no obstante en fecha siete de mayo </w:t>
      </w:r>
      <w:r>
        <w:rPr>
          <w:rFonts w:ascii="Palatino Linotype" w:eastAsia="Palatino Linotype" w:hAnsi="Palatino Linotype" w:cs="Palatino Linotype"/>
          <w:color w:val="000000"/>
        </w:rPr>
        <w:lastRenderedPageBreak/>
        <w:t>del año próximo pasado se le dio el registro como partido político con acreditación local; así mismo informó que la información curricular relativa a los servidores públicos, incluyendo su trayectoria académica y laboral se encuentra disponible en los portales oficiales municipales y del poder legislativo del Estado de México; así como en los sitios electrónicos institucionales correspondientes, por lo que se piden al particular consulte los portales oficiales de transparencia; situación de la que se duele el particular.</w:t>
      </w:r>
    </w:p>
    <w:p w:rsidR="00CA1D4E" w:rsidRDefault="00CA1D4E">
      <w:pPr>
        <w:spacing w:line="360" w:lineRule="auto"/>
        <w:jc w:val="both"/>
        <w:rPr>
          <w:rFonts w:ascii="Palatino Linotype" w:eastAsia="Palatino Linotype" w:hAnsi="Palatino Linotype" w:cs="Palatino Linotype"/>
        </w:rPr>
      </w:pPr>
    </w:p>
    <w:p w:rsidR="00CA1D4E" w:rsidRDefault="00DA6D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mediante un acto jurídico posterior como lo es el informe justificado, el Titular de la Unidad y Enlace de Trasparencia Estatal, refiere que la información respecto a los currículum del personal, se encuentra disponible para su consulta en la página oficial, por tanto proporciona las siguientes ligas de acceso:</w:t>
      </w:r>
      <w:r>
        <w:rPr>
          <w:noProof/>
          <w:lang w:val="es-MX"/>
        </w:rPr>
        <w:drawing>
          <wp:inline distT="0" distB="0" distL="0" distR="0">
            <wp:extent cx="3537907" cy="692424"/>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537907" cy="692424"/>
                    </a:xfrm>
                    <a:prstGeom prst="rect">
                      <a:avLst/>
                    </a:prstGeom>
                    <a:ln/>
                  </pic:spPr>
                </pic:pic>
              </a:graphicData>
            </a:graphic>
          </wp:inline>
        </w:drawing>
      </w:r>
      <w:r>
        <w:rPr>
          <w:rFonts w:ascii="Palatino Linotype" w:eastAsia="Palatino Linotype" w:hAnsi="Palatino Linotype" w:cs="Palatino Linotype"/>
        </w:rPr>
        <w:t xml:space="preserve">mientras que para la información relativa a los legisladores podrá consultarse a través de las ligas electrónicas </w:t>
      </w:r>
    </w:p>
    <w:p w:rsidR="00CA1D4E" w:rsidRDefault="00DA6D2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color w:val="000000"/>
          <w:sz w:val="18"/>
          <w:szCs w:val="18"/>
          <w:lang w:val="es-MX"/>
        </w:rPr>
        <w:drawing>
          <wp:inline distT="0" distB="0" distL="0" distR="0">
            <wp:extent cx="3581796" cy="807809"/>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581796" cy="807809"/>
                    </a:xfrm>
                    <a:prstGeom prst="rect">
                      <a:avLst/>
                    </a:prstGeom>
                    <a:ln/>
                  </pic:spPr>
                </pic:pic>
              </a:graphicData>
            </a:graphic>
          </wp:inline>
        </w:drawing>
      </w:r>
      <w:r>
        <w:rPr>
          <w:rFonts w:ascii="Palatino Linotype" w:eastAsia="Palatino Linotype" w:hAnsi="Palatino Linotype" w:cs="Palatino Linotype"/>
        </w:rPr>
        <w:t xml:space="preserve">; Cabe precisar que los links proporcionados fueron remitidos en formato cerrado; </w:t>
      </w:r>
      <w:r>
        <w:rPr>
          <w:rFonts w:ascii="Palatino Linotype" w:eastAsia="Palatino Linotype" w:hAnsi="Palatino Linotype" w:cs="Palatino Linotype"/>
          <w:color w:val="000000"/>
        </w:rPr>
        <w:t xml:space="preserve">toda vez que no permite el acceso directo, ni mucho menos copiar y pegar el link proporcionado en el buscador de internet, a fin de ingresar al documento; </w:t>
      </w:r>
      <w:r>
        <w:rPr>
          <w:rFonts w:ascii="Palatino Linotype" w:eastAsia="Palatino Linotype" w:hAnsi="Palatino Linotype" w:cs="Palatino Linotype"/>
        </w:rPr>
        <w:t xml:space="preserve">no omite mencionar que respecto a las actividades contempladas para el ejercicio fiscal 2026, refiere que a la fecha de la </w:t>
      </w:r>
      <w:r>
        <w:rPr>
          <w:rFonts w:ascii="Palatino Linotype" w:eastAsia="Palatino Linotype" w:hAnsi="Palatino Linotype" w:cs="Palatino Linotype"/>
        </w:rPr>
        <w:lastRenderedPageBreak/>
        <w:t xml:space="preserve">solitud aún no se contaba con el Plana Anual de Trabajo, toda vez que de acuerdo a la establecido en las leyes de la materia, este deberá ser presentado dentro de los treinta días siguientes a la aprobación del financiamiento público que le corresponda; así mismo remitió 2 Currículum correspondientes a la Representante del Partido ante el Consejo General del IEEM y del Coordinador Parlamentario en el Congreso del Estado de México; así como 12 fichas curriculares, correspondiente a un integrante de la Comisión Política Estatal, Secretaria de Comunicación Política, de un presidente municipal, ocho regidores y un síndico. </w:t>
      </w:r>
    </w:p>
    <w:p w:rsidR="00CA1D4E" w:rsidRDefault="00CA1D4E">
      <w:pPr>
        <w:spacing w:line="360" w:lineRule="auto"/>
        <w:jc w:val="both"/>
        <w:rPr>
          <w:rFonts w:ascii="Palatino Linotype" w:eastAsia="Palatino Linotype" w:hAnsi="Palatino Linotype" w:cs="Palatino Linotype"/>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retomando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pretendió colmar el requerimiento del particular respecto a los currículum de los servidores públicos que conforman las distintas áreas que marcan los estatutos, a través de la entrega de unos links de acceso y estos fueron remitidos en datos cerrados; </w:t>
      </w:r>
      <w:r>
        <w:rPr>
          <w:rFonts w:ascii="Palatino Linotype" w:eastAsia="Palatino Linotype" w:hAnsi="Palatino Linotype" w:cs="Palatino Linotype"/>
          <w:color w:val="222222"/>
        </w:rPr>
        <w:t>es oportuno mencionar lo que debemos entender por datos abiertos, siendo estos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  En este mismo sentido, nuestra Ley de Transparencia y Acceso a la Información Pública del Estado de México y Municipios, expresa en su artículo 3, de manera textual lo siguiente:</w:t>
      </w:r>
    </w:p>
    <w:p w:rsidR="00CA1D4E" w:rsidRDefault="00CA1D4E">
      <w:pPr>
        <w:spacing w:line="360" w:lineRule="auto"/>
        <w:jc w:val="both"/>
        <w:rPr>
          <w:rFonts w:ascii="Palatino Linotype" w:eastAsia="Palatino Linotype" w:hAnsi="Palatino Linotype" w:cs="Palatino Linotype"/>
        </w:rPr>
      </w:pP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b/>
          <w:bCs/>
          <w:i/>
          <w:iCs/>
          <w:color w:val="222222"/>
        </w:rPr>
        <w:t>“VIII. Datos abiertos: Los datos digitales de carácter público que son accesibles en línea que pueden ser usados, reutilizados y redistribuidos por cualquier interesado y que tienen las siguientes características:</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i/>
          <w:iCs/>
          <w:color w:val="222222"/>
        </w:rPr>
        <w:lastRenderedPageBreak/>
        <w:t>a) Accesibles: Los datos están disponibles para la gama más amplia de usuarios, para cualquier propósito;</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i/>
          <w:iCs/>
          <w:color w:val="222222"/>
        </w:rPr>
        <w:t>b) Integrales: Contienen el tema que describen a detalle y con los metadatos necesarios;</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i/>
          <w:iCs/>
          <w:color w:val="222222"/>
        </w:rPr>
        <w:t>c) Gratuitos: Se obtienen sin entregar a cambio contraprestación alguna;</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i/>
          <w:iCs/>
          <w:color w:val="222222"/>
        </w:rPr>
        <w:t>d) No discriminatorios: Los datos están disponibles para cualquier persona, sin necesidad de registro;</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i/>
          <w:iCs/>
          <w:color w:val="222222"/>
        </w:rPr>
        <w:t>e) Oportunos: Son actualizados, periódicamente, conforme se generen;</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i/>
          <w:iCs/>
          <w:color w:val="222222"/>
        </w:rPr>
        <w:t>f) Permanentes: Se conservan en el tiempo, para lo cual, las versiones históricas relevantes para uso público se mantendrán disponibles con identificadores adecuados al efecto;</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i/>
          <w:iCs/>
          <w:color w:val="222222"/>
        </w:rPr>
        <w:t>g) Primarios: Provienen de la fuente de origen con el máximo nivel de desagregación posible;</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i/>
          <w:iCs/>
          <w:color w:val="222222"/>
        </w:rPr>
      </w:pPr>
      <w:r>
        <w:rPr>
          <w:rFonts w:ascii="Palatino Linotype" w:eastAsia="Palatino Linotype" w:hAnsi="Palatino Linotype" w:cs="Palatino Linotype"/>
          <w:i/>
          <w:iCs/>
          <w:color w:val="222222"/>
        </w:rPr>
        <w:t>h) Legibles por máquinas: Deberán estar estructurados, total o parcialmente, para ser procesados e interpretados por equipos electrónicos de manera automática;</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b/>
          <w:bCs/>
          <w:i/>
          <w:iCs/>
          <w:color w:val="2222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Pr>
          <w:rFonts w:ascii="Palatino Linotype" w:eastAsia="Palatino Linotype" w:hAnsi="Palatino Linotype" w:cs="Palatino Linotype"/>
          <w:i/>
          <w:iCs/>
          <w:color w:val="222222"/>
        </w:rPr>
        <w:t>; y</w:t>
      </w:r>
    </w:p>
    <w:p w:rsidR="00CA1D4E" w:rsidRDefault="00DA6D22">
      <w:pPr>
        <w:pBdr>
          <w:top w:val="nil"/>
          <w:left w:val="nil"/>
          <w:bottom w:val="nil"/>
          <w:right w:val="nil"/>
          <w:between w:val="nil"/>
        </w:pBdr>
        <w:shd w:val="clear" w:color="auto" w:fill="FFFFFF"/>
        <w:ind w:left="567" w:right="565"/>
        <w:jc w:val="both"/>
        <w:rPr>
          <w:rFonts w:ascii="Palatino Linotype" w:eastAsia="Palatino Linotype" w:hAnsi="Palatino Linotype" w:cs="Palatino Linotype"/>
          <w:color w:val="222222"/>
        </w:rPr>
      </w:pPr>
      <w:r>
        <w:rPr>
          <w:rFonts w:ascii="Palatino Linotype" w:eastAsia="Palatino Linotype" w:hAnsi="Palatino Linotype" w:cs="Palatino Linotype"/>
          <w:i/>
          <w:iCs/>
          <w:color w:val="222222"/>
        </w:rPr>
        <w:t>j) De libre uso: Citan la fuente de origen como único requerimiento para ser utilizados libremente.</w:t>
      </w:r>
    </w:p>
    <w:p w:rsidR="00CA1D4E" w:rsidRDefault="00CA1D4E">
      <w:pPr>
        <w:spacing w:line="360" w:lineRule="auto"/>
        <w:jc w:val="both"/>
        <w:rPr>
          <w:rFonts w:ascii="Palatino Linotype" w:eastAsia="Palatino Linotype" w:hAnsi="Palatino Linotype" w:cs="Palatino Linotype"/>
        </w:rPr>
      </w:pPr>
    </w:p>
    <w:p w:rsidR="00CA1D4E" w:rsidRDefault="00DA6D22">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Por lo anterior, este Organismo Garante considera que el enlace proporcionado en respuesta no puede tenerse por válido, toda vez que los enlaces electrónicos deben ser precisos y directos, sin embargo, en el caso particular, la información no se encuentra disponible para su consulta.</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es necesario traer a contexto lo establecido por los artículos 11 y 161 de la Ley de Transparencia y Acceso a la Información Pública del Estado de México y </w:t>
      </w:r>
      <w:r>
        <w:rPr>
          <w:rFonts w:ascii="Palatino Linotype" w:eastAsia="Palatino Linotype" w:hAnsi="Palatino Linotype" w:cs="Palatino Linotype"/>
          <w:color w:val="000000"/>
        </w:rPr>
        <w:lastRenderedPageBreak/>
        <w:t>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“Artículo 11. </w:t>
      </w:r>
      <w:r>
        <w:rPr>
          <w:rFonts w:ascii="Palatino Linotype" w:eastAsia="Palatino Linotype" w:hAnsi="Palatino Linotype" w:cs="Palatino Linotype"/>
          <w:b/>
          <w:bCs/>
          <w:i/>
          <w:iCs/>
          <w:color w:val="000000"/>
          <w:u w:val="single"/>
        </w:rPr>
        <w:t>En la generación, publicación y entrega de información se deberá garantizar que ésta sea accesible, actualizada, completa, congruente, confiable, verificable, veraz, integral, oportuna y expedita</w:t>
      </w:r>
      <w:r>
        <w:rPr>
          <w:rFonts w:ascii="Palatino Linotype" w:eastAsia="Palatino Linotype" w:hAnsi="Palatino Linotype" w:cs="Palatino Linotype"/>
          <w:i/>
          <w:iCs/>
          <w:color w:val="000000"/>
        </w:rPr>
        <w:t>, sujeta a un claro régimen de excepciones que deberá estar definido y ser además legítima y estrictamente necesaria en una sociedad democrática, por lo que atenderá las necesidades del derecho de acceso a la información de toda persona.</w:t>
      </w: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pBdr>
          <w:top w:val="nil"/>
          <w:left w:val="nil"/>
          <w:bottom w:val="nil"/>
          <w:right w:val="nil"/>
          <w:between w:val="nil"/>
        </w:pBdr>
        <w:ind w:left="567" w:right="567"/>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i/>
          <w:iCs/>
          <w:color w:val="000000"/>
          <w:sz w:val="22"/>
          <w:szCs w:val="22"/>
        </w:rPr>
        <w:t>Artículo 161</w:t>
      </w:r>
      <w:r>
        <w:rPr>
          <w:rFonts w:ascii="Palatino Linotype" w:eastAsia="Palatino Linotype" w:hAnsi="Palatino Linotype" w:cs="Palatino Linotype"/>
          <w:b/>
          <w:bCs/>
          <w:i/>
          <w:iCs/>
          <w:color w:val="000000"/>
          <w:sz w:val="22"/>
          <w:szCs w:val="22"/>
        </w:rPr>
        <w:t xml:space="preserve">. </w:t>
      </w:r>
      <w:r>
        <w:rPr>
          <w:rFonts w:ascii="Palatino Linotype" w:eastAsia="Palatino Linotype" w:hAnsi="Palatino Linotype" w:cs="Palatino Linotype"/>
          <w:b/>
          <w:bCs/>
          <w:i/>
          <w:iCs/>
          <w:color w:val="000000"/>
          <w:sz w:val="22"/>
          <w:szCs w:val="22"/>
          <w:u w:val="single"/>
        </w:rPr>
        <w:t>Cuando la información requerida por el solicitante ya esté disponible al público</w:t>
      </w:r>
      <w:r>
        <w:rPr>
          <w:rFonts w:ascii="Palatino Linotype" w:eastAsia="Palatino Linotype" w:hAnsi="Palatino Linotype" w:cs="Palatino Linotype"/>
          <w:i/>
          <w:iCs/>
          <w:color w:val="000000"/>
          <w:sz w:val="22"/>
          <w:szCs w:val="22"/>
        </w:rPr>
        <w:t xml:space="preserve"> en medios impresos, tales como libros, compendios, trípticos, registros públicos, </w:t>
      </w:r>
      <w:r>
        <w:rPr>
          <w:rFonts w:ascii="Palatino Linotype" w:eastAsia="Palatino Linotype" w:hAnsi="Palatino Linotype" w:cs="Palatino Linotype"/>
          <w:b/>
          <w:bCs/>
          <w:i/>
          <w:iCs/>
          <w:color w:val="000000"/>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w:t>
      </w:r>
      <w:r>
        <w:rPr>
          <w:rFonts w:ascii="Palatino Linotype" w:eastAsia="Palatino Linotype" w:hAnsi="Palatino Linotype" w:cs="Palatino Linotype"/>
          <w:b/>
          <w:bCs/>
          <w:color w:val="000000"/>
        </w:rPr>
        <w:t>no mayor a cinco días hábiles</w:t>
      </w:r>
      <w:r>
        <w:rPr>
          <w:rFonts w:ascii="Palatino Linotype" w:eastAsia="Palatino Linotype" w:hAnsi="Palatino Linotype" w:cs="Palatino Linotype"/>
          <w:color w:val="000000"/>
        </w:rPr>
        <w:t xml:space="preserve">, comprendiendo la fuente, el lugar y la forma. Así mismo se establece que la </w:t>
      </w:r>
      <w:r>
        <w:rPr>
          <w:rFonts w:ascii="Palatino Linotype" w:eastAsia="Palatino Linotype" w:hAnsi="Palatino Linotype" w:cs="Palatino Linotype"/>
          <w:color w:val="000000"/>
        </w:rPr>
        <w:lastRenderedPageBreak/>
        <w:t>fuente de la información deberá ser precisa, concreta y no debe de implicar que el solicitante realice una búsqueda en toda la información que se encuentre disponible.</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Imperativos legales que establecen el procedimiento que debe seguir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para que pueda tomarse como válida su orientación sobre la forma en que puede consultar la información requerida, y que, en el caso en concreto, no acontece; ello porque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se limitó a remitir la dirección electrónica en datos cerrados, es decir no permite el acceso directo, ni mucho menos permite copiar y pegar la liga de acceso en el buscador, lo que implica que la fuente no es precisa; no es concreta, sino por el contrario ésta resulta abstracta y genera incertidumbre, lo que a todas luces transgrede el numeral citado.</w:t>
      </w:r>
    </w:p>
    <w:p w:rsidR="00CA1D4E" w:rsidRDefault="00CA1D4E">
      <w:pPr>
        <w:spacing w:line="360" w:lineRule="auto"/>
        <w:jc w:val="both"/>
        <w:rPr>
          <w:rFonts w:ascii="Palatino Linotype" w:eastAsia="Palatino Linotype" w:hAnsi="Palatino Linotype" w:cs="Palatino Linotype"/>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Aclarado lo anterior, resulta necesario referir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asume de manera expresa que genera, posee y administra lo solicitado, tan es así que remite links de acceso; así como </w:t>
      </w:r>
      <w:r>
        <w:rPr>
          <w:rFonts w:ascii="Palatino Linotype" w:eastAsia="Palatino Linotype" w:hAnsi="Palatino Linotype" w:cs="Palatino Linotype"/>
        </w:rPr>
        <w:t>14 currículums correspondientes a la Representante del Partido ante el Consejo General del IEEM y del Coordinador Parlamentario en el Congreso del Estado de México, un integrante de la Comisión Política Estatal, Secretaria de Comunicación Política, de un presidente municipal, ocho regidores y un síndico; sin embargo no colma lo requerido por el particular, toda vez que se requirió de todos los integrantes de las diversas áreas que se enmarcan a nivel estatal y municipal.</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spacing w:line="360" w:lineRule="auto"/>
        <w:ind w:left="0" w:right="-7" w:firstLine="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rPr>
        <w:lastRenderedPageBreak/>
        <w:t>El Partido de la Revolución Democrática es un partido político local y dentro de su estructura se encuentra integrada por los siguientes órganos, de conformidad con lo publicado en el portal de Información Pública de Oficio Mexiquense:</w:t>
      </w:r>
    </w:p>
    <w:p w:rsidR="00CA1D4E" w:rsidRDefault="00DA6D22">
      <w:pPr>
        <w:pBdr>
          <w:top w:val="nil"/>
          <w:left w:val="nil"/>
          <w:bottom w:val="nil"/>
          <w:right w:val="nil"/>
          <w:between w:val="nil"/>
        </w:pBdr>
        <w:ind w:left="-1559" w:firstLine="140"/>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7474487" cy="5818922"/>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474487" cy="5818922"/>
                    </a:xfrm>
                    <a:prstGeom prst="rect">
                      <a:avLst/>
                    </a:prstGeom>
                    <a:ln/>
                  </pic:spPr>
                </pic:pic>
              </a:graphicData>
            </a:graphic>
          </wp:inline>
        </w:drawing>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 lo anterior se advierte que se conforma por diversas Unidades Administrativas; sin embargo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se limitó a remitir 14 fichas curriculares, lo que advierte que la información remitida se encuentra incompleta, lo que advierte que no se cumplimiento la búsqueda exhaustiva exigida por la ley de la materia. </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mismo, se advierte que dentro de sus estructura cuenta la Coordinación del Patrimonio y Recursos Financieros, que de acuerdo al Reglamento de Patrimonio y Recursos Financieros del Partido de la Revolución Democrática Estado de México, será el responsable de administrar el patrimonio y los recursos financieros del partido; teniendo las siguientes atribuciones de acuerdo al artículo 17 a la letra señala:</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pBdr>
          <w:top w:val="nil"/>
          <w:left w:val="nil"/>
          <w:bottom w:val="nil"/>
          <w:right w:val="nil"/>
          <w:between w:val="nil"/>
        </w:pBdr>
        <w:tabs>
          <w:tab w:val="left" w:pos="709"/>
        </w:tabs>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17.</w:t>
      </w:r>
      <w:r>
        <w:rPr>
          <w:rFonts w:ascii="Palatino Linotype" w:eastAsia="Palatino Linotype" w:hAnsi="Palatino Linotype" w:cs="Palatino Linotype"/>
          <w:i/>
          <w:iCs/>
          <w:sz w:val="22"/>
          <w:szCs w:val="22"/>
        </w:rPr>
        <w:t>- Son atribuciones específicas de la Coordinación, además de las señaladas anteriormente:</w:t>
      </w:r>
    </w:p>
    <w:p w:rsidR="00CA1D4E" w:rsidRDefault="00DA6D22">
      <w:pPr>
        <w:pBdr>
          <w:top w:val="nil"/>
          <w:left w:val="nil"/>
          <w:bottom w:val="nil"/>
          <w:right w:val="nil"/>
          <w:between w:val="nil"/>
        </w:pBdr>
        <w:tabs>
          <w:tab w:val="left" w:pos="709"/>
        </w:tabs>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 Realizar la planeación y administración de los recursos patrimoniales del Partido de conformidad a las normas electorales aplicables, al Estatuto y al presente Reglamento.</w:t>
      </w:r>
    </w:p>
    <w:p w:rsidR="00CA1D4E" w:rsidRDefault="00DA6D22">
      <w:pPr>
        <w:pBdr>
          <w:top w:val="nil"/>
          <w:left w:val="nil"/>
          <w:bottom w:val="nil"/>
          <w:right w:val="nil"/>
          <w:between w:val="nil"/>
        </w:pBdr>
        <w:tabs>
          <w:tab w:val="left" w:pos="709"/>
        </w:tabs>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b) Preparar el presupuesto anual, así como el informe financiero estatal del año anterior, que Dirección Estatal Ejecutiva presente al Consejo Estatal en el primer pleno de cada año.</w:t>
      </w:r>
    </w:p>
    <w:p w:rsidR="00CA1D4E" w:rsidRDefault="00DA6D22">
      <w:pPr>
        <w:pBdr>
          <w:top w:val="nil"/>
          <w:left w:val="nil"/>
          <w:bottom w:val="nil"/>
          <w:right w:val="nil"/>
          <w:between w:val="nil"/>
        </w:pBdr>
        <w:tabs>
          <w:tab w:val="left" w:pos="709"/>
        </w:tabs>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 Proveer con oportunidad los recursos para la realización de los proyectos y actividades del Partido.</w:t>
      </w:r>
    </w:p>
    <w:p w:rsidR="00CA1D4E" w:rsidRDefault="00DA6D22">
      <w:pPr>
        <w:pBdr>
          <w:top w:val="nil"/>
          <w:left w:val="nil"/>
          <w:bottom w:val="nil"/>
          <w:right w:val="nil"/>
          <w:between w:val="nil"/>
        </w:pBdr>
        <w:tabs>
          <w:tab w:val="left" w:pos="709"/>
        </w:tabs>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d) Cubrir los compromisos patrimoniales asumidos por la Dirección Estatal Ejecutiva, en apego a las normas aplicables.</w:t>
      </w:r>
    </w:p>
    <w:p w:rsidR="00CA1D4E" w:rsidRDefault="00DA6D22">
      <w:pPr>
        <w:pBdr>
          <w:top w:val="nil"/>
          <w:left w:val="nil"/>
          <w:bottom w:val="nil"/>
          <w:right w:val="nil"/>
          <w:between w:val="nil"/>
        </w:pBdr>
        <w:tabs>
          <w:tab w:val="left" w:pos="709"/>
        </w:tabs>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 Proveer los recursos materiales, servicios generales e informáticos, bienes y la ocupación de inmuebles adecuados para el desarrollo de las actividades del Partido.</w:t>
      </w:r>
    </w:p>
    <w:p w:rsidR="00CA1D4E" w:rsidRDefault="00DA6D22">
      <w:pPr>
        <w:pBdr>
          <w:top w:val="nil"/>
          <w:left w:val="nil"/>
          <w:bottom w:val="nil"/>
          <w:right w:val="nil"/>
          <w:between w:val="nil"/>
        </w:pBdr>
        <w:tabs>
          <w:tab w:val="left" w:pos="709"/>
        </w:tabs>
        <w:ind w:left="567" w:right="560"/>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b/>
          <w:bCs/>
          <w:i/>
          <w:iCs/>
          <w:sz w:val="22"/>
          <w:szCs w:val="22"/>
          <w:u w:val="single"/>
        </w:rPr>
        <w:t>f) Administrar los recursos humanos del Partido.</w:t>
      </w:r>
    </w:p>
    <w:p w:rsidR="00CA1D4E" w:rsidRDefault="00DA6D22">
      <w:pPr>
        <w:pBdr>
          <w:top w:val="nil"/>
          <w:left w:val="nil"/>
          <w:bottom w:val="nil"/>
          <w:right w:val="nil"/>
          <w:between w:val="nil"/>
        </w:pBdr>
        <w:tabs>
          <w:tab w:val="left" w:pos="709"/>
        </w:tabs>
        <w:ind w:left="567" w:right="560"/>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i/>
          <w:iCs/>
          <w:sz w:val="22"/>
          <w:szCs w:val="22"/>
        </w:rPr>
        <w:t>g) Atender los asuntos jurídicos corporativos y litigiosos en los que el Partido sea parte.</w:t>
      </w:r>
    </w:p>
    <w:p w:rsidR="00CA1D4E" w:rsidRDefault="00CA1D4E">
      <w:pPr>
        <w:pBdr>
          <w:top w:val="nil"/>
          <w:left w:val="nil"/>
          <w:bottom w:val="nil"/>
          <w:right w:val="nil"/>
          <w:between w:val="nil"/>
        </w:pBdr>
        <w:tabs>
          <w:tab w:val="left" w:pos="0"/>
        </w:tabs>
        <w:spacing w:line="360" w:lineRule="auto"/>
        <w:ind w:right="-7"/>
        <w:jc w:val="both"/>
        <w:rPr>
          <w:rFonts w:ascii="Palatino Linotype" w:eastAsia="Palatino Linotype" w:hAnsi="Palatino Linotype" w:cs="Palatino Linotype"/>
          <w:b/>
          <w:bCs/>
          <w:u w:val="single"/>
        </w:rPr>
      </w:pP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lo anterior se vislumbra que la Unidad Administrativa que genera, posee y administra la información completa requerida por el particular; sin embargo del expediente electrónico en que se actúa no se advierte que se haya pronunciado, ni mucho menos que se le haya realizado el requerimiento correspondiente.</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E65E9A">
      <w:pPr>
        <w:numPr>
          <w:ilvl w:val="0"/>
          <w:numId w:val="1"/>
        </w:numPr>
        <w:pBdr>
          <w:top w:val="nil"/>
          <w:left w:val="nil"/>
          <w:bottom w:val="nil"/>
          <w:right w:val="nil"/>
          <w:between w:val="nil"/>
        </w:pBdr>
        <w:tabs>
          <w:tab w:val="left" w:pos="0"/>
        </w:tabs>
        <w:spacing w:line="360" w:lineRule="auto"/>
        <w:ind w:left="0" w:right="-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cabe </w:t>
      </w:r>
      <w:r w:rsidR="00DA6D22">
        <w:rPr>
          <w:rFonts w:ascii="Palatino Linotype" w:eastAsia="Palatino Linotype" w:hAnsi="Palatino Linotype" w:cs="Palatino Linotype"/>
          <w:color w:val="000000"/>
        </w:rPr>
        <w:t>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A1D4E" w:rsidRDefault="00CA1D4E">
      <w:pPr>
        <w:pBdr>
          <w:top w:val="nil"/>
          <w:left w:val="nil"/>
          <w:bottom w:val="nil"/>
          <w:right w:val="nil"/>
          <w:between w:val="nil"/>
        </w:pBdr>
        <w:tabs>
          <w:tab w:val="left" w:pos="2475"/>
        </w:tabs>
        <w:spacing w:line="360" w:lineRule="auto"/>
        <w:ind w:right="-7"/>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426"/>
          <w:tab w:val="left" w:pos="567"/>
        </w:tabs>
        <w:spacing w:line="360" w:lineRule="auto"/>
        <w:ind w:left="0" w:right="-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en los términos de la Ley General y la Ley de Transparencia y Acceso a la Información Pública del Estado de México y Municipios</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w:t>
      </w:r>
    </w:p>
    <w:p w:rsidR="00CA1D4E" w:rsidRDefault="00CA1D4E">
      <w:pPr>
        <w:ind w:right="-7"/>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426"/>
          <w:tab w:val="left" w:pos="567"/>
        </w:tabs>
        <w:spacing w:line="360" w:lineRule="auto"/>
        <w:ind w:left="0" w:right="-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De conformidad con lo dispuesto en la Ley de Transparencia y Acceso a la Información Pública del Estado de México y Municipios, las Unidades de Transparencia tendrán, entre sus atribuciones, las siguientes:</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1"/>
          <w:numId w:val="5"/>
        </w:numPr>
        <w:pBdr>
          <w:top w:val="nil"/>
          <w:left w:val="nil"/>
          <w:bottom w:val="nil"/>
          <w:right w:val="nil"/>
          <w:between w:val="nil"/>
        </w:pBdr>
        <w:ind w:left="709" w:right="560" w:hanging="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Recibir, tramitar y dar respuesta a las solicitudes de acceso a la información;</w:t>
      </w:r>
    </w:p>
    <w:p w:rsidR="00CA1D4E" w:rsidRDefault="00DA6D22">
      <w:pPr>
        <w:numPr>
          <w:ilvl w:val="1"/>
          <w:numId w:val="5"/>
        </w:numPr>
        <w:pBdr>
          <w:top w:val="nil"/>
          <w:left w:val="nil"/>
          <w:bottom w:val="nil"/>
          <w:right w:val="nil"/>
          <w:between w:val="nil"/>
        </w:pBdr>
        <w:ind w:left="709" w:right="560" w:hanging="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Realizar, con efectividad, los trámites internos necesarios para la atención de las solicitudes de acceso a la información; </w:t>
      </w:r>
    </w:p>
    <w:p w:rsidR="00CA1D4E" w:rsidRDefault="00DA6D22">
      <w:pPr>
        <w:numPr>
          <w:ilvl w:val="1"/>
          <w:numId w:val="5"/>
        </w:numPr>
        <w:pBdr>
          <w:top w:val="nil"/>
          <w:left w:val="nil"/>
          <w:bottom w:val="nil"/>
          <w:right w:val="nil"/>
          <w:between w:val="nil"/>
        </w:pBdr>
        <w:ind w:left="709" w:right="560" w:hanging="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Entregar, en su caso, a los particulares la información solicitada; y </w:t>
      </w:r>
    </w:p>
    <w:p w:rsidR="00CA1D4E" w:rsidRDefault="00DA6D22">
      <w:pPr>
        <w:numPr>
          <w:ilvl w:val="1"/>
          <w:numId w:val="5"/>
        </w:numPr>
        <w:pBdr>
          <w:top w:val="nil"/>
          <w:left w:val="nil"/>
          <w:bottom w:val="nil"/>
          <w:right w:val="nil"/>
          <w:between w:val="nil"/>
        </w:pBdr>
        <w:spacing w:after="240"/>
        <w:ind w:left="709" w:right="560" w:hanging="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Efectuar las notificaciones a los solicitantes.</w:t>
      </w:r>
    </w:p>
    <w:p w:rsidR="00CA1D4E" w:rsidRDefault="00CA1D4E">
      <w:pPr>
        <w:spacing w:before="240" w:after="240"/>
        <w:ind w:right="-7"/>
        <w:jc w:val="both"/>
        <w:rPr>
          <w:rFonts w:ascii="Palatino Linotype" w:eastAsia="Palatino Linotype" w:hAnsi="Palatino Linotype" w:cs="Palatino Linotype"/>
          <w:color w:val="000000"/>
          <w:sz w:val="22"/>
          <w:szCs w:val="22"/>
        </w:rPr>
      </w:pPr>
    </w:p>
    <w:p w:rsidR="00CA1D4E" w:rsidRDefault="00DA6D22">
      <w:pPr>
        <w:numPr>
          <w:ilvl w:val="0"/>
          <w:numId w:val="1"/>
        </w:numPr>
        <w:pBdr>
          <w:top w:val="nil"/>
          <w:left w:val="nil"/>
          <w:bottom w:val="nil"/>
          <w:right w:val="nil"/>
          <w:between w:val="nil"/>
        </w:pBdr>
        <w:tabs>
          <w:tab w:val="left" w:pos="426"/>
          <w:tab w:val="left" w:pos="567"/>
        </w:tabs>
        <w:spacing w:line="360" w:lineRule="auto"/>
        <w:ind w:left="0" w:right="-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a propuesta del responsable de la Unidad de Transparencia</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y tendrán, entre sus atribuciones, las siguientes</w:t>
      </w:r>
      <w:r>
        <w:rPr>
          <w:rFonts w:ascii="Palatino Linotype" w:eastAsia="Palatino Linotype" w:hAnsi="Palatino Linotype" w:cs="Palatino Linotype"/>
          <w:color w:val="000000"/>
          <w:vertAlign w:val="superscript"/>
        </w:rPr>
        <w:footnoteReference w:id="8"/>
      </w:r>
      <w:r>
        <w:rPr>
          <w:rFonts w:ascii="Palatino Linotype" w:eastAsia="Palatino Linotype" w:hAnsi="Palatino Linotype" w:cs="Palatino Linotype"/>
          <w:color w:val="000000"/>
        </w:rPr>
        <w:t>:</w:t>
      </w:r>
    </w:p>
    <w:p w:rsidR="00CA1D4E" w:rsidRDefault="00DA6D22">
      <w:pPr>
        <w:numPr>
          <w:ilvl w:val="1"/>
          <w:numId w:val="6"/>
        </w:numPr>
        <w:pBdr>
          <w:top w:val="nil"/>
          <w:left w:val="nil"/>
          <w:bottom w:val="nil"/>
          <w:right w:val="nil"/>
          <w:between w:val="nil"/>
        </w:pBdr>
        <w:spacing w:before="240"/>
        <w:ind w:left="709" w:right="-7" w:hanging="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Localizar la información que le solicite la Unidad de Transparencia; y</w:t>
      </w:r>
    </w:p>
    <w:p w:rsidR="00CA1D4E" w:rsidRDefault="00DA6D22">
      <w:pPr>
        <w:numPr>
          <w:ilvl w:val="1"/>
          <w:numId w:val="6"/>
        </w:numPr>
        <w:pBdr>
          <w:top w:val="nil"/>
          <w:left w:val="nil"/>
          <w:bottom w:val="nil"/>
          <w:right w:val="nil"/>
          <w:between w:val="nil"/>
        </w:pBdr>
        <w:spacing w:after="240"/>
        <w:ind w:left="709" w:right="560" w:hanging="14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Proporcionar la información que obre en los archivos y que le sea solicitada por la Unidad de Transparencia.</w:t>
      </w:r>
    </w:p>
    <w:p w:rsidR="00CA1D4E" w:rsidRDefault="00CA1D4E">
      <w:pPr>
        <w:tabs>
          <w:tab w:val="left" w:pos="426"/>
          <w:tab w:val="left" w:pos="567"/>
        </w:tabs>
        <w:ind w:right="-7"/>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426"/>
          <w:tab w:val="left" w:pos="567"/>
        </w:tabs>
        <w:spacing w:line="360" w:lineRule="auto"/>
        <w:ind w:left="0" w:right="-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tal manera que cada una de las áreas administrativas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w:t>
      </w:r>
      <w:r>
        <w:rPr>
          <w:rFonts w:ascii="Palatino Linotype" w:eastAsia="Palatino Linotype" w:hAnsi="Palatino Linotype" w:cs="Palatino Linotype"/>
          <w:color w:val="000000"/>
        </w:rPr>
        <w:lastRenderedPageBreak/>
        <w:t>y proporcionar la información que se requiera a través de las solicitudes de acceso a la información.</w:t>
      </w:r>
    </w:p>
    <w:p w:rsidR="00CA1D4E" w:rsidRDefault="00CA1D4E">
      <w:pPr>
        <w:ind w:right="-7"/>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426"/>
          <w:tab w:val="left" w:pos="567"/>
        </w:tabs>
        <w:spacing w:line="360" w:lineRule="auto"/>
        <w:ind w:left="0" w:right="-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rsidR="00CA1D4E" w:rsidRDefault="00CA1D4E">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sz w:val="22"/>
          <w:szCs w:val="22"/>
        </w:rPr>
      </w:pP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“Artículo 53</w:t>
      </w:r>
      <w:r>
        <w:rPr>
          <w:rFonts w:ascii="Palatino Linotype" w:eastAsia="Palatino Linotype" w:hAnsi="Palatino Linotype" w:cs="Palatino Linotype"/>
          <w:i/>
          <w:iCs/>
          <w:color w:val="000000"/>
          <w:sz w:val="22"/>
          <w:szCs w:val="22"/>
        </w:rPr>
        <w:t xml:space="preserve">. Las Unidades de Transparencia tendrán las siguientes funciones: </w:t>
      </w:r>
    </w:p>
    <w:p w:rsidR="00CA1D4E" w:rsidRDefault="00CA1D4E">
      <w:pPr>
        <w:pBdr>
          <w:top w:val="nil"/>
          <w:left w:val="nil"/>
          <w:bottom w:val="nil"/>
          <w:right w:val="nil"/>
          <w:between w:val="nil"/>
        </w:pBdr>
        <w:tabs>
          <w:tab w:val="left" w:pos="426"/>
        </w:tabs>
        <w:ind w:left="567" w:right="-7"/>
        <w:jc w:val="both"/>
        <w:rPr>
          <w:rFonts w:ascii="Palatino Linotype" w:eastAsia="Palatino Linotype" w:hAnsi="Palatino Linotype" w:cs="Palatino Linotype"/>
          <w:i/>
          <w:iCs/>
          <w:color w:val="000000"/>
          <w:sz w:val="22"/>
          <w:szCs w:val="22"/>
        </w:rPr>
      </w:pP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CA1D4E" w:rsidRDefault="00DA6D22">
      <w:pPr>
        <w:pBdr>
          <w:top w:val="nil"/>
          <w:left w:val="nil"/>
          <w:bottom w:val="nil"/>
          <w:right w:val="nil"/>
          <w:between w:val="nil"/>
        </w:pBdr>
        <w:tabs>
          <w:tab w:val="left" w:pos="426"/>
        </w:tabs>
        <w:ind w:left="567" w:right="-7"/>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II. Recibir, tramitar y dar respuesta a las solicitudes de acceso a la información;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III. Auxiliar a los particulares en la elaboración de solicitudes de acceso a la información y, en su caso, orientarlos sobre los sujetos obligados competentes conforme a la normatividad aplicable;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IV. Realizar, con efectividad, los trámites internos necesarios para la atención de las solicitudes de acceso a la información; </w:t>
      </w:r>
    </w:p>
    <w:p w:rsidR="00CA1D4E" w:rsidRDefault="00DA6D22">
      <w:pPr>
        <w:pBdr>
          <w:top w:val="nil"/>
          <w:left w:val="nil"/>
          <w:bottom w:val="nil"/>
          <w:right w:val="nil"/>
          <w:between w:val="nil"/>
        </w:pBdr>
        <w:tabs>
          <w:tab w:val="left" w:pos="426"/>
        </w:tabs>
        <w:ind w:left="567" w:right="-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V. Entregar, en su caso, a los particulares la información solicitada;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VI. Efectuar las notificaciones a los solicitantes;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VII. Proponer al Comité de Transparencia, los procedimientos internos que aseguren la mayor eficiencia en la gestión de las solicitudes de acceso a la información, conforme a la normatividad aplicable;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VIII. Proponer a quien preside el Comité de Transparencia, personal habilitado que sea necesario para recibir y dar trámite a las solicitudes de acceso a la información;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X. Presentar ante el Comité, el proyecto de clasificación de información; </w:t>
      </w:r>
    </w:p>
    <w:p w:rsidR="00CA1D4E" w:rsidRDefault="00DA6D22">
      <w:pPr>
        <w:pBdr>
          <w:top w:val="nil"/>
          <w:left w:val="nil"/>
          <w:bottom w:val="nil"/>
          <w:right w:val="nil"/>
          <w:between w:val="nil"/>
        </w:pBdr>
        <w:tabs>
          <w:tab w:val="left" w:pos="426"/>
        </w:tabs>
        <w:ind w:left="567" w:right="-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XI. Promover e implementar políticas de transparencia proactiva procurando su accesibilidad;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XII. Fomentar la transparencia y accesibilidad al interior del sujeto obligado; </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XIII. Hacer del conocimiento de la instancia competente la probable responsabilidad por el incumplimiento de las obligaciones previstas en la presente Ley; y</w:t>
      </w:r>
    </w:p>
    <w:p w:rsidR="00CA1D4E" w:rsidRDefault="00DA6D22">
      <w:pPr>
        <w:pBdr>
          <w:top w:val="nil"/>
          <w:left w:val="nil"/>
          <w:bottom w:val="nil"/>
          <w:right w:val="nil"/>
          <w:between w:val="nil"/>
        </w:pBdr>
        <w:tabs>
          <w:tab w:val="left" w:pos="426"/>
        </w:tabs>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XIV. Las demás que resulten necesarias para facilitar el acceso a la información y aquellas que se desprenden de la presente Ley y demás disposiciones jurídicas aplicables. (…)</w:t>
      </w:r>
    </w:p>
    <w:p w:rsidR="00CA1D4E" w:rsidRDefault="00DA6D22">
      <w:pPr>
        <w:pBdr>
          <w:top w:val="nil"/>
          <w:left w:val="nil"/>
          <w:bottom w:val="nil"/>
          <w:right w:val="nil"/>
          <w:between w:val="nil"/>
        </w:pBdr>
        <w:tabs>
          <w:tab w:val="left" w:pos="426"/>
        </w:tabs>
        <w:spacing w:after="240"/>
        <w:ind w:left="567"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CA1D4E" w:rsidRDefault="00CA1D4E">
      <w:pPr>
        <w:tabs>
          <w:tab w:val="left" w:pos="426"/>
        </w:tabs>
        <w:spacing w:before="240" w:after="240"/>
        <w:ind w:right="-7"/>
        <w:jc w:val="both"/>
        <w:rPr>
          <w:rFonts w:ascii="Palatino Linotype" w:eastAsia="Palatino Linotype" w:hAnsi="Palatino Linotype" w:cs="Palatino Linotype"/>
          <w:i/>
          <w:iCs/>
        </w:rPr>
      </w:pPr>
    </w:p>
    <w:p w:rsidR="00CA1D4E" w:rsidRDefault="00DA6D22">
      <w:pPr>
        <w:numPr>
          <w:ilvl w:val="0"/>
          <w:numId w:val="1"/>
        </w:numPr>
        <w:pBdr>
          <w:top w:val="nil"/>
          <w:left w:val="nil"/>
          <w:bottom w:val="nil"/>
          <w:right w:val="nil"/>
          <w:between w:val="nil"/>
        </w:pBdr>
        <w:tabs>
          <w:tab w:val="left" w:pos="426"/>
          <w:tab w:val="left" w:pos="567"/>
        </w:tabs>
        <w:spacing w:line="360" w:lineRule="auto"/>
        <w:ind w:left="0" w:right="-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De lo expuesto y con relación a lo solicitado, se tiene que, la Unidad de Transparencia es la encargada de recibir, tramitar y dar respuesta a las solicitudes de acceso a la información.</w:t>
      </w:r>
    </w:p>
    <w:p w:rsidR="00CA1D4E" w:rsidRDefault="00CA1D4E">
      <w:pPr>
        <w:pBdr>
          <w:top w:val="nil"/>
          <w:left w:val="nil"/>
          <w:bottom w:val="nil"/>
          <w:right w:val="nil"/>
          <w:between w:val="nil"/>
        </w:pBdr>
        <w:tabs>
          <w:tab w:val="left" w:pos="426"/>
          <w:tab w:val="left" w:pos="567"/>
        </w:tabs>
        <w:spacing w:line="360" w:lineRule="auto"/>
        <w:ind w:right="-7"/>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426"/>
          <w:tab w:val="left" w:pos="567"/>
        </w:tabs>
        <w:spacing w:line="360" w:lineRule="auto"/>
        <w:ind w:left="0" w:right="-7" w:firstLine="0"/>
        <w:jc w:val="both"/>
        <w:rPr>
          <w:rFonts w:ascii="Palatino Linotype" w:eastAsia="Palatino Linotype" w:hAnsi="Palatino Linotype" w:cs="Palatino Linotype"/>
          <w:b/>
          <w:bCs/>
        </w:rPr>
      </w:pPr>
      <w:r>
        <w:rPr>
          <w:rFonts w:ascii="Palatino Linotype" w:eastAsia="Palatino Linotype" w:hAnsi="Palatino Linotype" w:cs="Palatino Linotype"/>
          <w:color w:val="000000"/>
        </w:rPr>
        <w:t xml:space="preserve">En este sentido, se advierte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no cumplió con el procedimiento de búsqueda exhaustiva y razonable, pues no gestionó la solicitud de información en la unidad en donde </w:t>
      </w:r>
      <w:r>
        <w:rPr>
          <w:rFonts w:ascii="Palatino Linotype" w:eastAsia="Palatino Linotype" w:hAnsi="Palatino Linotype" w:cs="Palatino Linotype"/>
          <w:color w:val="000000"/>
          <w:u w:val="single"/>
        </w:rPr>
        <w:t>pudiera</w:t>
      </w:r>
      <w:r>
        <w:rPr>
          <w:rFonts w:ascii="Palatino Linotype" w:eastAsia="Palatino Linotype" w:hAnsi="Palatino Linotype" w:cs="Palatino Linotype"/>
          <w:color w:val="000000"/>
        </w:rPr>
        <w:t xml:space="preserve"> obrar la citada información, siendo esta: </w:t>
      </w:r>
      <w:r>
        <w:rPr>
          <w:rFonts w:ascii="Palatino Linotype" w:eastAsia="Palatino Linotype" w:hAnsi="Palatino Linotype" w:cs="Palatino Linotype"/>
          <w:b/>
          <w:bCs/>
          <w:color w:val="000000"/>
        </w:rPr>
        <w:t>la Coordinación Estatal de Patrimonio y Recursos Financieros</w:t>
      </w:r>
      <w:r>
        <w:rPr>
          <w:rFonts w:ascii="Palatino Linotype" w:eastAsia="Palatino Linotype" w:hAnsi="Palatino Linotype" w:cs="Palatino Linotype"/>
          <w:color w:val="000000"/>
        </w:rPr>
        <w:t xml:space="preserve">; por tal </w:t>
      </w:r>
      <w:r w:rsidR="00E65E9A">
        <w:rPr>
          <w:rFonts w:ascii="Palatino Linotype" w:eastAsia="Palatino Linotype" w:hAnsi="Palatino Linotype" w:cs="Palatino Linotype"/>
          <w:color w:val="000000"/>
        </w:rPr>
        <w:t>motivo, s</w:t>
      </w:r>
      <w:r>
        <w:rPr>
          <w:rFonts w:ascii="Palatino Linotype" w:eastAsia="Palatino Linotype" w:hAnsi="Palatino Linotype" w:cs="Palatino Linotype"/>
          <w:color w:val="000000"/>
        </w:rPr>
        <w:t>e advierte que no se llevó a cabo la búsqueda exhaustiva exigida por la ley de la materia</w:t>
      </w:r>
      <w:r>
        <w:rPr>
          <w:rFonts w:ascii="Palatino Linotype" w:eastAsia="Palatino Linotype" w:hAnsi="Palatino Linotype" w:cs="Palatino Linotype"/>
          <w:b/>
          <w:bCs/>
          <w:color w:val="000000"/>
        </w:rPr>
        <w:t>.</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para lograr un mejor análisis del expediente en que se actúa, surge la necesidad se exponer el estudio de las documentales que se solicitan por el recurrente. </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 xml:space="preserve">Currículum </w:t>
      </w: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corresponde a lo relativo al, Currículum, es importante mencionar que la ficha curricular o currículum vitae contienen entre otra información, </w:t>
      </w:r>
      <w:r>
        <w:rPr>
          <w:rFonts w:ascii="Palatino Linotype" w:eastAsia="Palatino Linotype" w:hAnsi="Palatino Linotype" w:cs="Palatino Linotype"/>
          <w:b/>
          <w:bCs/>
          <w:color w:val="000000"/>
        </w:rPr>
        <w:t>la preparación académica, laboral y méritos con los que cuentan los servidores públicos</w:t>
      </w:r>
      <w:r>
        <w:rPr>
          <w:rFonts w:ascii="Palatino Linotype" w:eastAsia="Palatino Linotype" w:hAnsi="Palatino Linotype" w:cs="Palatino Linotype"/>
          <w:color w:val="000000"/>
        </w:rPr>
        <w:t xml:space="preserve"> para ocupar un cargo público. Se cita lo que dispone la Real Academia de la Lengua Española define como currículum vitae: </w:t>
      </w:r>
    </w:p>
    <w:p w:rsidR="00CA1D4E" w:rsidRDefault="00CA1D4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CA1D4E" w:rsidRDefault="00DA6D22">
      <w:pPr>
        <w:tabs>
          <w:tab w:val="left" w:pos="426"/>
        </w:tabs>
        <w:spacing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currículum vítae</w:t>
      </w:r>
      <w:r>
        <w:rPr>
          <w:rFonts w:ascii="Palatino Linotype" w:eastAsia="Palatino Linotype" w:hAnsi="Palatino Linotype" w:cs="Palatino Linotype"/>
          <w:i/>
          <w:iCs/>
          <w:sz w:val="22"/>
          <w:szCs w:val="22"/>
        </w:rPr>
        <w:t>. </w:t>
      </w:r>
      <w:r>
        <w:rPr>
          <w:rFonts w:ascii="Palatino Linotype" w:eastAsia="Palatino Linotype" w:hAnsi="Palatino Linotype" w:cs="Palatino Linotype"/>
          <w:b/>
          <w:bCs/>
          <w:i/>
          <w:iCs/>
          <w:sz w:val="22"/>
          <w:szCs w:val="22"/>
        </w:rPr>
        <w:t>1.</w:t>
      </w:r>
      <w:r>
        <w:rPr>
          <w:rFonts w:ascii="Palatino Linotype" w:eastAsia="Palatino Linotype" w:hAnsi="Palatino Linotype" w:cs="Palatino Linotype"/>
          <w:i/>
          <w:iCs/>
          <w:sz w:val="22"/>
          <w:szCs w:val="22"/>
        </w:rPr>
        <w:t xml:space="preserve"> Loc. lat. que significa literalmente ‘carrera de la vida’. Se usa como locución nominal masculina para designar la relación de los datos personales, </w:t>
      </w:r>
      <w:r>
        <w:rPr>
          <w:rFonts w:ascii="Palatino Linotype" w:eastAsia="Palatino Linotype" w:hAnsi="Palatino Linotype" w:cs="Palatino Linotype"/>
          <w:b/>
          <w:bCs/>
          <w:i/>
          <w:iCs/>
          <w:sz w:val="22"/>
          <w:szCs w:val="22"/>
        </w:rPr>
        <w:t>formación académica</w:t>
      </w:r>
      <w:r>
        <w:rPr>
          <w:rFonts w:ascii="Palatino Linotype" w:eastAsia="Palatino Linotype" w:hAnsi="Palatino Linotype" w:cs="Palatino Linotype"/>
          <w:i/>
          <w:iCs/>
          <w:sz w:val="22"/>
          <w:szCs w:val="22"/>
        </w:rPr>
        <w:t>, actividad laboral y méritos de una persona.</w:t>
      </w:r>
      <w:r>
        <w:rPr>
          <w:rFonts w:ascii="Palatino Linotype" w:eastAsia="Palatino Linotype" w:hAnsi="Palatino Linotype" w:cs="Palatino Linotype"/>
          <w:sz w:val="22"/>
          <w:szCs w:val="22"/>
        </w:rPr>
        <w:t>”</w:t>
      </w:r>
    </w:p>
    <w:p w:rsidR="00CA1D4E" w:rsidRDefault="00CA1D4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interpretación a esta definición se desprende que tanto la ficha curricular como el currículum vitae están relacionados con la hoja de vida, carrera de vida o currícula de una persona, donde se podría apreciar la preparación académica y laboral que tiene, además de los méritos como bien lo podrían ser cursos o certificaciones.</w:t>
      </w:r>
    </w:p>
    <w:p w:rsidR="00CA1D4E" w:rsidRDefault="00CA1D4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ende, la ficha curricular o currículum vítae puede existir información más detallada y relacionada con la </w:t>
      </w:r>
      <w:r>
        <w:rPr>
          <w:rFonts w:ascii="Palatino Linotype" w:eastAsia="Palatino Linotype" w:hAnsi="Palatino Linotype" w:cs="Palatino Linotype"/>
          <w:b/>
          <w:bCs/>
          <w:color w:val="000000"/>
        </w:rPr>
        <w:t xml:space="preserve">trayectoria académica o profesional, </w:t>
      </w:r>
      <w:r>
        <w:rPr>
          <w:rFonts w:ascii="Palatino Linotype" w:eastAsia="Palatino Linotype" w:hAnsi="Palatino Linotype" w:cs="Palatino Linotype"/>
          <w:color w:val="000000"/>
        </w:rPr>
        <w:t xml:space="preserve">debiendo conservar los documentos soporte como puede ser </w:t>
      </w:r>
      <w:r>
        <w:rPr>
          <w:rFonts w:ascii="Palatino Linotype" w:eastAsia="Palatino Linotype" w:hAnsi="Palatino Linotype" w:cs="Palatino Linotype"/>
          <w:b/>
          <w:bCs/>
          <w:color w:val="000000"/>
        </w:rPr>
        <w:t>el título profesional o cédula profesional</w:t>
      </w:r>
      <w:r>
        <w:rPr>
          <w:rFonts w:ascii="Palatino Linotype" w:eastAsia="Palatino Linotype" w:hAnsi="Palatino Linotype" w:cs="Palatino Linotype"/>
          <w:color w:val="000000"/>
        </w:rPr>
        <w:t xml:space="preserve"> o el documento que avale el grado académico de los servidores públicos, los cuales son susceptibles de proporcionarse en versión pública.</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la información contenida en el currículum vitae permite conocer el perfil profesional del servidor público. Además, el currículum vitae o ficha curricular </w:t>
      </w:r>
      <w:r>
        <w:rPr>
          <w:rFonts w:ascii="Palatino Linotype" w:eastAsia="Palatino Linotype" w:hAnsi="Palatino Linotype" w:cs="Palatino Linotype"/>
          <w:color w:val="000000"/>
        </w:rPr>
        <w:lastRenderedPageBreak/>
        <w:t>forman parte de las obligaciones d transparencia común que todos los Sujetos Obligados deben publicar periódicamente en sus portales IPOMEX, según lo dispuesto en el artículo 92, fracción XXI, de la Ley de Transparencia y Acceso a la Información del Estado de México y Municipios, disponen lo siguiente:</w:t>
      </w:r>
    </w:p>
    <w:p w:rsidR="00CA1D4E" w:rsidRDefault="00CA1D4E">
      <w:pPr>
        <w:ind w:left="851" w:right="851"/>
        <w:jc w:val="center"/>
        <w:rPr>
          <w:rFonts w:ascii="Palatino Linotype" w:eastAsia="Palatino Linotype" w:hAnsi="Palatino Linotype" w:cs="Palatino Linotype"/>
          <w:b/>
          <w:bCs/>
          <w:i/>
          <w:iCs/>
          <w:sz w:val="22"/>
          <w:szCs w:val="22"/>
        </w:rPr>
      </w:pPr>
    </w:p>
    <w:p w:rsidR="00CA1D4E" w:rsidRDefault="00DA6D22">
      <w:pPr>
        <w:ind w:left="567" w:right="539"/>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Ley de Transparencia y Acceso a la Información Pública del Estado de México y Municipios</w:t>
      </w:r>
    </w:p>
    <w:p w:rsidR="00CA1D4E" w:rsidRDefault="00DA6D22">
      <w:pPr>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92</w:t>
      </w:r>
      <w:r>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CA1D4E" w:rsidRDefault="00DA6D22">
      <w:pPr>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CA1D4E" w:rsidRDefault="00DA6D22">
      <w:pPr>
        <w:ind w:left="567" w:right="539"/>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u w:val="single"/>
        </w:rPr>
        <w:t>La información curricular</w:t>
      </w:r>
      <w:r>
        <w:rPr>
          <w:rFonts w:ascii="Palatino Linotype" w:eastAsia="Palatino Linotype" w:hAnsi="Palatino Linotype" w:cs="Palatino Linotype"/>
          <w:i/>
          <w:iCs/>
          <w:sz w:val="22"/>
          <w:szCs w:val="22"/>
        </w:rPr>
        <w:t>, desde el nivel de jefe de departamento o equivalente, hasta el titular del sujeto obligado, así como, en su caso, las sanciones administrativas de que haya sido objeto;</w:t>
      </w:r>
    </w:p>
    <w:p w:rsidR="00CA1D4E" w:rsidRDefault="00DA6D22">
      <w:pPr>
        <w:spacing w:line="360"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CA1D4E" w:rsidRDefault="00CA1D4E">
      <w:pPr>
        <w:tabs>
          <w:tab w:val="left" w:pos="426"/>
        </w:tabs>
        <w:spacing w:line="360" w:lineRule="auto"/>
        <w:ind w:right="567"/>
        <w:jc w:val="both"/>
        <w:rPr>
          <w:rFonts w:ascii="Palatino Linotype" w:eastAsia="Palatino Linotype" w:hAnsi="Palatino Linotype" w:cs="Palatino Linotype"/>
          <w:sz w:val="22"/>
          <w:szCs w:val="22"/>
        </w:rPr>
      </w:pPr>
    </w:p>
    <w:p w:rsidR="00CA1D4E" w:rsidRDefault="00DA6D22">
      <w:pPr>
        <w:numPr>
          <w:ilvl w:val="0"/>
          <w:numId w:val="1"/>
        </w:numPr>
        <w:tabs>
          <w:tab w:val="left" w:pos="426"/>
        </w:tabs>
        <w:spacing w:after="240" w:line="360" w:lineRule="auto"/>
        <w:ind w:left="0" w:right="48"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se coligue que, el Sujeto Obligado cuenta con fuente obligacional para generar, administrar y poseer la información requerida por el Particular, además, los </w:t>
      </w:r>
      <w:r>
        <w:rPr>
          <w:rFonts w:ascii="Palatino Linotype" w:eastAsia="Palatino Linotype" w:hAnsi="Palatino Linotype" w:cs="Palatino Linotype"/>
          <w:i/>
          <w:iCs/>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CA1D4E" w:rsidRDefault="00DA6D22">
      <w:pPr>
        <w:pBdr>
          <w:top w:val="nil"/>
          <w:left w:val="nil"/>
          <w:bottom w:val="nil"/>
          <w:right w:val="nil"/>
          <w:between w:val="nil"/>
        </w:pBdr>
        <w:spacing w:before="240"/>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XVII. La información curricular desde el nivel de jefe de departamento o equivalente    hasta el titular del sujeto obligado, así como, en su caso, las sanciones administrativas de que haya sido objeto  </w:t>
      </w:r>
    </w:p>
    <w:p w:rsidR="00CA1D4E" w:rsidRDefault="00CA1D4E">
      <w:pPr>
        <w:pBdr>
          <w:top w:val="nil"/>
          <w:left w:val="nil"/>
          <w:bottom w:val="nil"/>
          <w:right w:val="nil"/>
          <w:between w:val="nil"/>
        </w:pBdr>
        <w:ind w:left="567" w:right="616"/>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La información que los sujetos obligados deberán publicar en cumplimiento a la presente fracción es la curricular no confidencial relacionada con todos los(as) </w:t>
      </w:r>
      <w:r>
        <w:rPr>
          <w:rFonts w:ascii="Palatino Linotype" w:eastAsia="Palatino Linotype" w:hAnsi="Palatino Linotype" w:cs="Palatino Linotype"/>
          <w:i/>
          <w:iCs/>
          <w:color w:val="000000"/>
        </w:rPr>
        <w:lastRenderedPageBreak/>
        <w:t>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Por cada servidor(a) público(a) se deberá especificar si ha sido acreedor a sanciones administrativas definitivas y que hayan sido aplicadas por autoridad u organismo competente.</w:t>
      </w:r>
    </w:p>
    <w:p w:rsidR="00CA1D4E" w:rsidRDefault="00CA1D4E">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Criterios sustantivos de contenido </w:t>
      </w: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Criterio 1 Ejercicio </w:t>
      </w: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Criterio 2 Periodo que se informa (fecha de inicio y fecha de término con el formato día/mes/año) </w:t>
      </w: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Criterio 3 Denominación del puesto (de acuerdo con el catálogo que en su caso regule la actividad del sujeto obligado) </w:t>
      </w: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Criterio 4 Denominación del cargo (de conformidad con nombramiento otorgado) </w:t>
      </w: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Criterio 5 Nombre del servidor(a) público(a), integrante y/o, miembro del sujeto obligado, y/o persona que desempeñe un empleo, cargo o comisión y/o ejerza actos de autoridad (nombre[s], primer apellido, segundo apellido) </w:t>
      </w: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Criterio 6 Área de adscripción (de acuerdo con el catálogo que en su caso regule la actividad del sujeto obligado) Respecto a la información curricular del (la) servidor(a) público(a) y/o persona que desempeñe un empleo, cargo o comisión en el sujeto obligado se deberá publicar: </w:t>
      </w: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Criterio 7 Escolaridad, nivel máximo de estudios concluido y comprobable (catálogo): Ninguno/Primaria/Secundaria/Bachillerato/Carrera técnica/Licenciatura/Maestría/Doctorado/Posdoctorado/Especialización </w:t>
      </w:r>
    </w:p>
    <w:p w:rsidR="00CA1D4E" w:rsidRDefault="00DA6D22">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Criterio 8 Carrera genérica, en su caso</w:t>
      </w:r>
    </w:p>
    <w:p w:rsidR="00CA1D4E" w:rsidRDefault="00DA6D2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Dicho lo anterior,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tiene la obligación de entregar lo solicitado por el </w:t>
      </w:r>
      <w:r>
        <w:rPr>
          <w:rFonts w:ascii="Palatino Linotype" w:eastAsia="Palatino Linotype" w:hAnsi="Palatino Linotype" w:cs="Palatino Linotype"/>
          <w:b/>
          <w:bCs/>
          <w:color w:val="000000"/>
        </w:rPr>
        <w:t>RECUERRENTE</w:t>
      </w:r>
      <w:r>
        <w:rPr>
          <w:rFonts w:ascii="Palatino Linotype" w:eastAsia="Palatino Linotype" w:hAnsi="Palatino Linotype" w:cs="Palatino Linotype"/>
          <w:color w:val="000000"/>
        </w:rPr>
        <w:t xml:space="preserve">, toda vez que como ya se expuso, a través de la Coordinación Estatal de Patrimonio y Recursos Financieros, coordina el </w:t>
      </w:r>
      <w:r>
        <w:rPr>
          <w:rFonts w:ascii="Palatino Linotype" w:eastAsia="Palatino Linotype" w:hAnsi="Palatino Linotype" w:cs="Palatino Linotype"/>
          <w:color w:val="000000"/>
        </w:rPr>
        <w:lastRenderedPageBreak/>
        <w:t xml:space="preserve">aprovisionamiento de recursos humanos, a fin de contribuir con el desarrollo de las funciones del propio Partido. </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continuidad, hemos de recordar que de igual manera se solicitó el currículum de los Diputados del Congresos del Estado, por lo que personal de este Institutito procedió a indagar sobre los diputados que conforman la LXII Legislatura y que pertenecen al Partido, indagación de la que se obtuvo que dos diputados de la Legislatura pertenecen a dicho Grupo Parlamentario, tal y como se muestra con la siguiente captura de pantalla:</w:t>
      </w:r>
    </w:p>
    <w:p w:rsidR="00CA1D4E" w:rsidRDefault="00DA6D22">
      <w:pPr>
        <w:pBdr>
          <w:top w:val="nil"/>
          <w:left w:val="nil"/>
          <w:bottom w:val="nil"/>
          <w:right w:val="nil"/>
          <w:between w:val="nil"/>
        </w:pBdr>
        <w:ind w:left="72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2890450" cy="305912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90450" cy="3059125"/>
                    </a:xfrm>
                    <a:prstGeom prst="rect">
                      <a:avLst/>
                    </a:prstGeom>
                    <a:ln/>
                  </pic:spPr>
                </pic:pic>
              </a:graphicData>
            </a:graphic>
          </wp:inline>
        </w:drawing>
      </w:r>
    </w:p>
    <w:p w:rsidR="00CA1D4E" w:rsidRDefault="00CA1D4E">
      <w:pPr>
        <w:spacing w:line="360" w:lineRule="auto"/>
        <w:jc w:val="both"/>
        <w:rPr>
          <w:rFonts w:ascii="Palatino Linotype" w:eastAsia="Palatino Linotype" w:hAnsi="Palatino Linotype" w:cs="Palatino Linotype"/>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 menester referir que mediante un acto jurídico posterior como lo es el informe justificado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remitió el currículum de dichos </w:t>
      </w:r>
      <w:r>
        <w:rPr>
          <w:rFonts w:ascii="Palatino Linotype" w:eastAsia="Palatino Linotype" w:hAnsi="Palatino Linotype" w:cs="Palatino Linotype"/>
          <w:color w:val="000000"/>
        </w:rPr>
        <w:lastRenderedPageBreak/>
        <w:t>integrantes de la LXII Legislatura, por tanto se tiene por colmado este requerimiento de la solicitud, con la información proporcionada.</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Programas de Trabajo</w:t>
      </w:r>
    </w:p>
    <w:p w:rsidR="00CA1D4E" w:rsidRPr="00E16408"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16408">
        <w:rPr>
          <w:rFonts w:ascii="Palatino Linotype" w:eastAsia="Palatino Linotype" w:hAnsi="Palatino Linotype" w:cs="Palatino Linotype"/>
          <w:color w:val="000000"/>
        </w:rPr>
        <w:t xml:space="preserve">Al respecto el </w:t>
      </w:r>
      <w:r w:rsidRPr="00E16408">
        <w:rPr>
          <w:rFonts w:ascii="Palatino Linotype" w:eastAsia="Palatino Linotype" w:hAnsi="Palatino Linotype" w:cs="Palatino Linotype"/>
          <w:b/>
          <w:bCs/>
          <w:color w:val="000000"/>
        </w:rPr>
        <w:t xml:space="preserve">SUJETO OBLIGADO, </w:t>
      </w:r>
      <w:r w:rsidRPr="00E16408">
        <w:rPr>
          <w:rFonts w:ascii="Palatino Linotype" w:eastAsia="Palatino Linotype" w:hAnsi="Palatino Linotype" w:cs="Palatino Linotype"/>
          <w:color w:val="000000"/>
        </w:rPr>
        <w:t>en a través de un acto jurídico posterior como lo es el informe justificado, indicó que a la fecha de la solicitud, no contaba con el Plan Anual de Trabajo, toda vez que los partidos políticos deben presentar su Programa Anual de Trabajo en donde establezcan las actividades específicas, capacitación, programación y liderazgo político de las mujeres,  relativo al gasto programado dentro de los 30 días siguientes a la aprobación del financiamiento público que les corresponde para actividades ordinarias permanentes.</w:t>
      </w:r>
    </w:p>
    <w:p w:rsidR="00DA6D22" w:rsidRPr="00DA6D22" w:rsidRDefault="00DA6D22" w:rsidP="00DA6D22">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mismo, el artículo 170 del Reglamento de Procedimientos Sancionadores en Materia de Fiscalización del Instituto Nacional Electoral, nos establece lo siguiente:</w:t>
      </w:r>
    </w:p>
    <w:p w:rsidR="00CA1D4E" w:rsidRDefault="00CA1D4E">
      <w:pPr>
        <w:spacing w:line="360" w:lineRule="auto"/>
        <w:jc w:val="both"/>
        <w:rPr>
          <w:rFonts w:ascii="Palatino Linotype" w:eastAsia="Palatino Linotype" w:hAnsi="Palatino Linotype" w:cs="Palatino Linotype"/>
        </w:rPr>
      </w:pPr>
    </w:p>
    <w:p w:rsidR="00CA1D4E" w:rsidRDefault="00DA6D22">
      <w:pP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Artículo 170. </w:t>
      </w:r>
    </w:p>
    <w:p w:rsidR="00CA1D4E" w:rsidRDefault="00DA6D22">
      <w:pP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Del Programa Anual de Trabajo </w:t>
      </w:r>
    </w:p>
    <w:p w:rsidR="00CA1D4E" w:rsidRDefault="00CA1D4E">
      <w:pPr>
        <w:ind w:left="567" w:right="560"/>
        <w:jc w:val="both"/>
        <w:rPr>
          <w:rFonts w:ascii="Palatino Linotype" w:eastAsia="Palatino Linotype" w:hAnsi="Palatino Linotype" w:cs="Palatino Linotype"/>
          <w:i/>
          <w:iCs/>
          <w:sz w:val="22"/>
          <w:szCs w:val="22"/>
        </w:rPr>
      </w:pPr>
    </w:p>
    <w:p w:rsidR="00CA1D4E" w:rsidRDefault="00DA6D22">
      <w:pP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 Los partidos, dentro de los treinta días siguientes a la aprobación del financiamiento público para actividades ordinarias permanentes por parte del Consejo General</w:t>
      </w:r>
      <w:r>
        <w:rPr>
          <w:rFonts w:ascii="Palatino Linotype" w:eastAsia="Palatino Linotype" w:hAnsi="Palatino Linotype" w:cs="Palatino Linotype"/>
          <w:i/>
          <w:iCs/>
          <w:sz w:val="22"/>
          <w:szCs w:val="22"/>
        </w:rPr>
        <w:t>, deberán presentar un programa de gasto para el desarrollo de las actividades específicas y otro para el gasto correspondiente a la capacitación, promoción y el desarrollo del liderazgo político de las mujeres.</w:t>
      </w:r>
    </w:p>
    <w:p w:rsidR="00CA1D4E" w:rsidRDefault="00DA6D22">
      <w:pPr>
        <w:ind w:left="567"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resulta pertinente referir que en la sesión extraordinaria del treinta de enero de dos mil veintiséis, el Consejo General del Instituto Electoral del Estado de </w:t>
      </w:r>
      <w:r>
        <w:rPr>
          <w:rFonts w:ascii="Palatino Linotype" w:eastAsia="Palatino Linotype" w:hAnsi="Palatino Linotype" w:cs="Palatino Linotype"/>
          <w:color w:val="000000"/>
        </w:rPr>
        <w:lastRenderedPageBreak/>
        <w:t xml:space="preserve">México, a través del Acuerdo IEEM/CG/05/2026 determino el financiamiento público para las actividades ordinarias y específicas de los partidos políticos para el año 2026, tal como se muestra con la siguiente captura de pantalla: </w:t>
      </w:r>
    </w:p>
    <w:p w:rsidR="00CA1D4E" w:rsidRDefault="00DA6D22">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3887738" cy="378609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887738" cy="3786095"/>
                    </a:xfrm>
                    <a:prstGeom prst="rect">
                      <a:avLst/>
                    </a:prstGeom>
                    <a:ln/>
                  </pic:spPr>
                </pic:pic>
              </a:graphicData>
            </a:graphic>
          </wp:inline>
        </w:drawing>
      </w:r>
    </w:p>
    <w:p w:rsidR="00CA1D4E" w:rsidRDefault="00CA1D4E">
      <w:pPr>
        <w:spacing w:line="360" w:lineRule="auto"/>
        <w:jc w:val="both"/>
        <w:rPr>
          <w:rFonts w:ascii="Palatino Linotype" w:eastAsia="Palatino Linotype" w:hAnsi="Palatino Linotype" w:cs="Palatino Linotype"/>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considerando lo establecido en el Reglamento de Procedimientos Sancionadores en Materia de Fiscalización, que establece el termino para la entrega del Plan Anual de Trabajo y el Acuerdo IEEM/CG/05/2026 emitido en fecha 30 de enero de dos mil veintiséis, emitido por el Instituto Electoral del Estado de México, donde determina el financiamiento público para las actividades ordinarias y específicas de los partidos políticos para el año 2026, se advierte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tenía </w:t>
      </w:r>
      <w:r>
        <w:rPr>
          <w:rFonts w:ascii="Palatino Linotype" w:eastAsia="Palatino Linotype" w:hAnsi="Palatino Linotype" w:cs="Palatino Linotype"/>
          <w:color w:val="000000"/>
        </w:rPr>
        <w:lastRenderedPageBreak/>
        <w:t>como termino para la entrega del</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Plan Anual de Trabajo del tres de febrero al dieciocho de marzo de do mil veintiséis</w:t>
      </w:r>
      <w:r>
        <w:rPr>
          <w:rFonts w:ascii="Palatino Linotype" w:eastAsia="Palatino Linotype" w:hAnsi="Palatino Linotype" w:cs="Palatino Linotype"/>
          <w:b/>
          <w:bCs/>
          <w:color w:val="000000"/>
        </w:rPr>
        <w:t>.</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es ineludible señalar que la información sobre hechos que aún no se han generado debido a la temporalidad, son hechos futuros e inciertos, los cuales no se pueden determinar ya que están supeditados a la conclusión de los mismos; por lo que no es procedente que los Sujetos Obligados proporcionen dicha información.</w:t>
      </w:r>
    </w:p>
    <w:p w:rsidR="00CA1D4E" w:rsidRDefault="00CA1D4E">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se robustece con la Tesis Aislada con número de registro 209001</w:t>
      </w:r>
      <w:r>
        <w:rPr>
          <w:color w:val="000000"/>
          <w:vertAlign w:val="superscript"/>
        </w:rPr>
        <w:footnoteReference w:id="9"/>
      </w:r>
      <w:r>
        <w:rPr>
          <w:rFonts w:ascii="Palatino Linotype" w:eastAsia="Palatino Linotype" w:hAnsi="Palatino Linotype" w:cs="Palatino Linotype"/>
          <w:color w:val="000000"/>
        </w:rPr>
        <w:t>, de la Suprema Corte de Justicia de la Nación, emitida por los Tribunales Colegiados de Circuito,  que a la letra señala:</w:t>
      </w:r>
    </w:p>
    <w:p w:rsidR="00CA1D4E" w:rsidRDefault="00DA6D22">
      <w:pPr>
        <w:pBdr>
          <w:top w:val="nil"/>
          <w:left w:val="nil"/>
          <w:bottom w:val="nil"/>
          <w:right w:val="nil"/>
          <w:between w:val="nil"/>
        </w:pBdr>
        <w:tabs>
          <w:tab w:val="left" w:pos="8080"/>
        </w:tabs>
        <w:ind w:left="567" w:right="56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“ACTOS FUTUROS DE REALIZACION INCIERTA. NO PROCEDE EL JUICIO DE AMPARO CONTRA LOS. </w:t>
      </w:r>
      <w:r>
        <w:rPr>
          <w:rFonts w:ascii="Palatino Linotype" w:eastAsia="Palatino Linotype" w:hAnsi="Palatino Linotype" w:cs="Palatino Linotype"/>
          <w:i/>
          <w:iCs/>
          <w:color w:val="000000"/>
        </w:rPr>
        <w:t>Contra actos futuros de realización incierta no procede el juicio de garantías.”</w:t>
      </w:r>
    </w:p>
    <w:p w:rsidR="00CA1D4E" w:rsidRDefault="00CA1D4E">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en el caso concreto no es procedente la exigencia de la parte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de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atienda el requerimiento en los términos solicitados, pues dicha autoridad únicamente está constreñida a proporcionar la información pública que genere en uso de sus atribuciones de derecho público con anterioridad a la fecha en la que se presenten las solicitudes de información, en el caso concreto, al veintiocho de enero de dos mil veintiséis, por tanto se confirma la respuesta emitida 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w:t>
      </w:r>
    </w:p>
    <w:p w:rsidR="00CA1D4E" w:rsidRDefault="00CA1D4E">
      <w:pPr>
        <w:spacing w:line="360" w:lineRule="auto"/>
        <w:ind w:right="134"/>
        <w:jc w:val="both"/>
        <w:rPr>
          <w:color w:val="000000"/>
        </w:rPr>
      </w:pPr>
    </w:p>
    <w:p w:rsidR="00CA1D4E" w:rsidRDefault="00DA6D22">
      <w:pPr>
        <w:numPr>
          <w:ilvl w:val="0"/>
          <w:numId w:val="1"/>
        </w:numPr>
        <w:spacing w:line="360" w:lineRule="auto"/>
        <w:ind w:left="0" w:right="134" w:firstLine="0"/>
        <w:jc w:val="both"/>
        <w:rPr>
          <w:color w:val="000000"/>
        </w:rPr>
      </w:pPr>
      <w:r>
        <w:rPr>
          <w:rFonts w:ascii="Palatino Linotype" w:eastAsia="Palatino Linotype" w:hAnsi="Palatino Linotype" w:cs="Palatino Linotype"/>
          <w:color w:val="000000"/>
        </w:rPr>
        <w:lastRenderedPageBreak/>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A1D4E" w:rsidRDefault="00CA1D4E">
      <w:pPr>
        <w:spacing w:line="360" w:lineRule="auto"/>
        <w:ind w:right="560"/>
        <w:jc w:val="both"/>
        <w:rPr>
          <w:color w:val="000000"/>
        </w:rPr>
      </w:pPr>
    </w:p>
    <w:p w:rsidR="00CA1D4E" w:rsidRDefault="00DA6D22">
      <w:pPr>
        <w:ind w:left="1134"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 xml:space="preserve">Artículo 3. </w:t>
      </w:r>
      <w:r>
        <w:rPr>
          <w:rFonts w:ascii="Palatino Linotype" w:eastAsia="Palatino Linotype" w:hAnsi="Palatino Linotype" w:cs="Palatino Linotype"/>
          <w:i/>
          <w:iCs/>
          <w:color w:val="000000"/>
          <w:sz w:val="22"/>
          <w:szCs w:val="22"/>
        </w:rPr>
        <w:t>Para los efectos de la presente Ley se entenderá por:</w:t>
      </w:r>
    </w:p>
    <w:p w:rsidR="00CA1D4E" w:rsidRDefault="00DA6D22">
      <w:pPr>
        <w:ind w:left="1134"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CA1D4E" w:rsidRDefault="00DA6D22">
      <w:pPr>
        <w:ind w:left="1134"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XI. Documento:</w:t>
      </w:r>
      <w:r>
        <w:rPr>
          <w:rFonts w:ascii="Palatino Linotype" w:eastAsia="Palatino Linotype" w:hAnsi="Palatino Linotype" w:cs="Palatino Linotype"/>
          <w:i/>
          <w:iCs/>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A1D4E" w:rsidRDefault="00DA6D22">
      <w:pPr>
        <w:spacing w:line="360" w:lineRule="auto"/>
        <w:ind w:left="1134" w:right="5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CA1D4E" w:rsidRDefault="00CA1D4E">
      <w:pPr>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right="134" w:firstLine="0"/>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A1D4E" w:rsidRDefault="00DA6D22">
      <w:pPr>
        <w:ind w:left="850" w:right="56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CRITERIO 0002-11</w:t>
      </w:r>
    </w:p>
    <w:p w:rsidR="00CA1D4E" w:rsidRDefault="00DA6D22">
      <w:pPr>
        <w:ind w:left="850"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A1D4E" w:rsidRDefault="00DA6D22">
      <w:pPr>
        <w:ind w:left="850"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CA1D4E" w:rsidRDefault="00DA6D22">
      <w:pPr>
        <w:ind w:left="850" w:right="56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1) </w:t>
      </w:r>
      <w:r>
        <w:rPr>
          <w:rFonts w:ascii="Palatino Linotype" w:eastAsia="Palatino Linotype" w:hAnsi="Palatino Linotype" w:cs="Palatino Linotype"/>
          <w:b/>
          <w:bCs/>
          <w:i/>
          <w:iCs/>
          <w:sz w:val="22"/>
          <w:szCs w:val="22"/>
          <w:u w:val="single"/>
        </w:rPr>
        <w:t>Que se trate de información registrada en cualquier soporte documental, que en ejercicio de las atribuciones conferidas, sea generada por los Sujetos Obligados;</w:t>
      </w:r>
    </w:p>
    <w:p w:rsidR="00CA1D4E" w:rsidRDefault="00DA6D22">
      <w:pPr>
        <w:ind w:left="850"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rsidR="00CA1D4E" w:rsidRDefault="00DA6D22">
      <w:pPr>
        <w:ind w:left="850"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rsidR="00CA1D4E" w:rsidRDefault="00DA6D22">
      <w:pPr>
        <w:tabs>
          <w:tab w:val="left" w:pos="851"/>
        </w:tabs>
        <w:spacing w:line="360" w:lineRule="auto"/>
        <w:ind w:left="850" w:right="56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CA1D4E" w:rsidRDefault="00CA1D4E">
      <w:pPr>
        <w:pBdr>
          <w:top w:val="nil"/>
          <w:left w:val="nil"/>
          <w:bottom w:val="nil"/>
          <w:right w:val="nil"/>
          <w:between w:val="nil"/>
        </w:pBdr>
        <w:ind w:right="-7"/>
        <w:jc w:val="both"/>
        <w:rPr>
          <w:rFonts w:ascii="Palatino Linotype" w:eastAsia="Palatino Linotype" w:hAnsi="Palatino Linotype" w:cs="Palatino Linotype"/>
          <w:color w:val="000000"/>
        </w:rPr>
      </w:pPr>
    </w:p>
    <w:p w:rsidR="00CA1D4E" w:rsidRDefault="00DA6D22">
      <w:pPr>
        <w:numPr>
          <w:ilvl w:val="0"/>
          <w:numId w:val="1"/>
        </w:numPr>
        <w:spacing w:line="360" w:lineRule="auto"/>
        <w:ind w:left="0" w:right="-7" w:firstLine="0"/>
        <w:jc w:val="both"/>
        <w:rPr>
          <w:color w:val="000000"/>
        </w:rPr>
      </w:pPr>
      <w:r>
        <w:rPr>
          <w:rFonts w:ascii="Palatino Linotype" w:eastAsia="Palatino Linotype" w:hAnsi="Palatino Linotype" w:cs="Palatino Linotype"/>
          <w:color w:val="000000"/>
        </w:rPr>
        <w:t>Por su parte los artículos 160 y 166, de la Ley local en la materia, que se reproduce de la siguiente forma:</w:t>
      </w:r>
    </w:p>
    <w:p w:rsidR="00CA1D4E" w:rsidRDefault="00DA6D22">
      <w:pPr>
        <w:ind w:left="566"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160.</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i/>
          <w:iCs/>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sz w:val="22"/>
          <w:szCs w:val="22"/>
        </w:rPr>
        <w:t>.</w:t>
      </w:r>
    </w:p>
    <w:p w:rsidR="00CA1D4E" w:rsidRDefault="00CA1D4E">
      <w:pPr>
        <w:ind w:left="566" w:right="560"/>
        <w:jc w:val="both"/>
        <w:rPr>
          <w:rFonts w:ascii="Palatino Linotype" w:eastAsia="Palatino Linotype" w:hAnsi="Palatino Linotype" w:cs="Palatino Linotype"/>
          <w:i/>
          <w:iCs/>
          <w:sz w:val="22"/>
          <w:szCs w:val="22"/>
        </w:rPr>
      </w:pPr>
    </w:p>
    <w:p w:rsidR="00CA1D4E" w:rsidRDefault="00DA6D22">
      <w:pPr>
        <w:ind w:left="566" w:right="56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caso que la información solicitada consista en bases de datos se deberá privilegiar la entrega de la misma en formatos abiertos.</w:t>
      </w:r>
    </w:p>
    <w:p w:rsidR="00CA1D4E" w:rsidRDefault="00DA6D22">
      <w:pPr>
        <w:ind w:left="566" w:right="560"/>
        <w:jc w:val="both"/>
        <w:rPr>
          <w:rFonts w:ascii="Palatino Linotype" w:eastAsia="Palatino Linotype" w:hAnsi="Palatino Linotype" w:cs="Palatino Linotype"/>
          <w:i/>
          <w:iCs/>
          <w:sz w:val="22"/>
          <w:szCs w:val="22"/>
          <w:u w:val="single"/>
        </w:rPr>
      </w:pPr>
      <w:r>
        <w:rPr>
          <w:rFonts w:ascii="Palatino Linotype" w:eastAsia="Palatino Linotype" w:hAnsi="Palatino Linotype" w:cs="Palatino Linotype"/>
          <w:b/>
          <w:bCs/>
          <w:i/>
          <w:iCs/>
          <w:sz w:val="22"/>
          <w:szCs w:val="22"/>
        </w:rPr>
        <w:t>Artículo 166.</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i/>
          <w:iCs/>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CA1D4E" w:rsidRDefault="00DA6D22">
      <w:pPr>
        <w:spacing w:line="360" w:lineRule="auto"/>
        <w:ind w:left="566" w:right="5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CA1D4E" w:rsidRDefault="00CA1D4E">
      <w:pPr>
        <w:ind w:right="-787"/>
        <w:jc w:val="both"/>
        <w:rPr>
          <w:rFonts w:ascii="Palatino Linotype" w:eastAsia="Palatino Linotype" w:hAnsi="Palatino Linotype" w:cs="Palatino Linotype"/>
        </w:rPr>
      </w:pPr>
    </w:p>
    <w:p w:rsidR="00CA1D4E" w:rsidRDefault="00DA6D22">
      <w:pPr>
        <w:numPr>
          <w:ilvl w:val="0"/>
          <w:numId w:val="1"/>
        </w:numPr>
        <w:spacing w:line="360" w:lineRule="auto"/>
        <w:ind w:left="0" w:right="-7" w:firstLine="0"/>
        <w:jc w:val="both"/>
        <w:rPr>
          <w:color w:val="000000"/>
        </w:rPr>
      </w:pPr>
      <w:r>
        <w:rPr>
          <w:rFonts w:ascii="Palatino Linotype" w:eastAsia="Palatino Linotype" w:hAnsi="Palatino Linotype" w:cs="Palatino Linotype"/>
          <w:color w:val="000000"/>
        </w:rPr>
        <w:lastRenderedPageBreak/>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señalado, se advierte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fundadas las razones o motivos de inconformidad hechos valer por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dentro de los recursos de revisión </w:t>
      </w:r>
      <w:r>
        <w:rPr>
          <w:rFonts w:ascii="Palatino Linotype" w:eastAsia="Palatino Linotype" w:hAnsi="Palatino Linotype" w:cs="Palatino Linotype"/>
          <w:b/>
          <w:bCs/>
          <w:color w:val="000000"/>
        </w:rPr>
        <w:t>01838/INFOEM/IP/RR/2026 y 01840/INFOEM/IP/RR/2026</w:t>
      </w:r>
      <w:r>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bCs/>
          <w:color w:val="000000"/>
        </w:rPr>
        <w:t>REVOCA</w:t>
      </w:r>
      <w:r>
        <w:rPr>
          <w:rFonts w:ascii="Palatino Linotype" w:eastAsia="Palatino Linotype" w:hAnsi="Palatino Linotype" w:cs="Palatino Linotype"/>
          <w:color w:val="000000"/>
        </w:rPr>
        <w:t xml:space="preserve"> la respuesta del Sujeto Obligado. </w:t>
      </w:r>
    </w:p>
    <w:p w:rsidR="00CA1D4E" w:rsidRDefault="00CA1D4E">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rsidR="00CA1D4E" w:rsidRDefault="00DA6D22">
      <w:pPr>
        <w:keepNext/>
        <w:keepLines/>
        <w:spacing w:after="160" w:line="36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QUINTO. De la versión pública.</w:t>
      </w:r>
    </w:p>
    <w:p w:rsidR="00CA1D4E" w:rsidRDefault="00DA6D22">
      <w:pPr>
        <w:keepNext/>
        <w:keepLines/>
        <w:numPr>
          <w:ilvl w:val="0"/>
          <w:numId w:val="8"/>
        </w:numPr>
        <w:tabs>
          <w:tab w:val="left" w:pos="284"/>
        </w:tabs>
        <w:spacing w:after="160" w:line="36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Nociones generales. </w:t>
      </w:r>
    </w:p>
    <w:p w:rsidR="00CA1D4E" w:rsidRDefault="00DA6D22">
      <w:pPr>
        <w:numPr>
          <w:ilvl w:val="0"/>
          <w:numId w:val="1"/>
        </w:numPr>
        <w:spacing w:line="360" w:lineRule="auto"/>
        <w:ind w:left="0" w:right="-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Debe</w:t>
      </w:r>
      <w:r>
        <w:rPr>
          <w:rFonts w:ascii="Palatino Linotype" w:eastAsia="Palatino Linotype" w:hAnsi="Palatino Linotype" w:cs="Palatino Linotype"/>
          <w:color w:val="000000"/>
        </w:rPr>
        <w:t xml:space="preserve"> destacarse </w:t>
      </w:r>
      <w:r>
        <w:rPr>
          <w:rFonts w:ascii="Palatino Linotype" w:eastAsia="Palatino Linotype" w:hAnsi="Palatino Linotype" w:cs="Palatino Linotype"/>
        </w:rPr>
        <w:t>que</w:t>
      </w:r>
      <w:r>
        <w:rPr>
          <w:rFonts w:ascii="Palatino Linotype" w:eastAsia="Palatino Linotype" w:hAnsi="Palatino Linotype" w:cs="Palatino Linotype"/>
          <w:color w:val="000000"/>
        </w:rPr>
        <w:t>, si debido a la naturaleza de la información solicitada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eventualmente pudieran obrar datos personales susceptibles de protegerse,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CA1D4E" w:rsidRDefault="00CA1D4E">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CA1D4E" w:rsidRDefault="00DA6D22">
      <w:pPr>
        <w:numPr>
          <w:ilvl w:val="0"/>
          <w:numId w:val="1"/>
        </w:numPr>
        <w:spacing w:line="360" w:lineRule="auto"/>
        <w:ind w:left="0" w:right="-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No pasa desapercibido para este Órgano Garante que los Sujetos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A1D4E" w:rsidRDefault="00CA1D4E">
      <w:pPr>
        <w:tabs>
          <w:tab w:val="left" w:pos="284"/>
        </w:tabs>
        <w:spacing w:after="160" w:line="360" w:lineRule="auto"/>
        <w:ind w:right="49"/>
        <w:jc w:val="both"/>
        <w:rPr>
          <w:rFonts w:ascii="Palatino Linotype" w:eastAsia="Palatino Linotype" w:hAnsi="Palatino Linotype" w:cs="Palatino Linotype"/>
          <w:color w:val="000000"/>
        </w:rPr>
      </w:pPr>
    </w:p>
    <w:tbl>
      <w:tblPr>
        <w:tblStyle w:val="a"/>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CA1D4E">
        <w:tc>
          <w:tcPr>
            <w:tcW w:w="2689" w:type="dxa"/>
          </w:tcPr>
          <w:p w:rsidR="00CA1D4E" w:rsidRDefault="00DA6D22">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 Requisitos previos.</w:t>
            </w:r>
          </w:p>
        </w:tc>
        <w:tc>
          <w:tcPr>
            <w:tcW w:w="6520" w:type="dxa"/>
          </w:tcPr>
          <w:p w:rsidR="00CA1D4E" w:rsidRDefault="00DA6D22">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CA1D4E" w:rsidRDefault="00DA6D22">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Al hacerlo tienen que precisar de qué información se trata, señalando el supuesto de clasificación (confidencialidad o reserva).</w:t>
            </w:r>
          </w:p>
          <w:p w:rsidR="00CA1D4E" w:rsidRDefault="00DA6D22">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Además, se debe señalar el procedimiento, de los tres que establecen los artículos 132 y 106 de la Ley Estatal y General, respectivamente.</w:t>
            </w:r>
          </w:p>
          <w:p w:rsidR="00CA1D4E" w:rsidRDefault="00DA6D22">
            <w:pPr>
              <w:tabs>
                <w:tab w:val="left" w:pos="284"/>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b/>
                <w:bCs/>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b/>
                <w:bCs/>
                <w:color w:val="000000"/>
                <w:sz w:val="22"/>
                <w:szCs w:val="22"/>
              </w:rPr>
              <w:t xml:space="preserve"> individualizar su análisis y tampoco se puede hacer un acuerdo </w:t>
            </w:r>
            <w:r>
              <w:rPr>
                <w:rFonts w:ascii="Palatino Linotype" w:eastAsia="Palatino Linotype" w:hAnsi="Palatino Linotype" w:cs="Palatino Linotype"/>
                <w:b/>
                <w:bCs/>
                <w:color w:val="000000"/>
                <w:sz w:val="22"/>
                <w:szCs w:val="22"/>
              </w:rPr>
              <w:lastRenderedPageBreak/>
              <w:t>por cada dato que se vaya a clasificar dentro de un documento con diez datos, por ejemplo, susceptibles de ser clasificados.</w:t>
            </w:r>
          </w:p>
        </w:tc>
      </w:tr>
      <w:tr w:rsidR="00CA1D4E">
        <w:tc>
          <w:tcPr>
            <w:tcW w:w="2689" w:type="dxa"/>
          </w:tcPr>
          <w:p w:rsidR="00CA1D4E" w:rsidRDefault="00DA6D22">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b) Supuestos de clasificación.</w:t>
            </w:r>
          </w:p>
        </w:tc>
        <w:tc>
          <w:tcPr>
            <w:tcW w:w="6520" w:type="dxa"/>
          </w:tcPr>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A1D4E" w:rsidRDefault="00DA6D22">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A1D4E">
        <w:tc>
          <w:tcPr>
            <w:tcW w:w="2689" w:type="dxa"/>
          </w:tcPr>
          <w:p w:rsidR="00CA1D4E" w:rsidRDefault="00DA6D22">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 Formalidades para emitir el acuerdo de clasificación.</w:t>
            </w:r>
          </w:p>
        </w:tc>
        <w:tc>
          <w:tcPr>
            <w:tcW w:w="6520" w:type="dxa"/>
          </w:tcPr>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Es necesario que </w:t>
            </w:r>
            <w:r>
              <w:rPr>
                <w:rFonts w:ascii="Palatino Linotype" w:eastAsia="Palatino Linotype" w:hAnsi="Palatino Linotype" w:cs="Palatino Linotype"/>
                <w:b/>
                <w:bCs/>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CA1D4E" w:rsidRDefault="00DA6D22">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A1D4E">
        <w:tc>
          <w:tcPr>
            <w:tcW w:w="2689" w:type="dxa"/>
          </w:tcPr>
          <w:p w:rsidR="00CA1D4E" w:rsidRDefault="00CA1D4E">
            <w:pPr>
              <w:tabs>
                <w:tab w:val="left" w:pos="284"/>
              </w:tabs>
              <w:spacing w:line="360" w:lineRule="auto"/>
              <w:rPr>
                <w:rFonts w:ascii="Palatino Linotype" w:eastAsia="Palatino Linotype" w:hAnsi="Palatino Linotype" w:cs="Palatino Linotype"/>
                <w:b/>
                <w:bCs/>
                <w:sz w:val="22"/>
                <w:szCs w:val="22"/>
              </w:rPr>
            </w:pPr>
          </w:p>
          <w:p w:rsidR="00CA1D4E" w:rsidRDefault="00DA6D22">
            <w:pPr>
              <w:tabs>
                <w:tab w:val="left" w:pos="284"/>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 xml:space="preserve">d) Requisitos de fondo del acuerdo de clasificación. </w:t>
            </w:r>
          </w:p>
        </w:tc>
        <w:tc>
          <w:tcPr>
            <w:tcW w:w="6520" w:type="dxa"/>
          </w:tcPr>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que para una correcta </w:t>
            </w:r>
            <w:r>
              <w:rPr>
                <w:rFonts w:ascii="Palatino Linotype" w:eastAsia="Palatino Linotype" w:hAnsi="Palatino Linotype" w:cs="Palatino Linotype"/>
                <w:b/>
                <w:bCs/>
                <w:color w:val="000000"/>
                <w:sz w:val="22"/>
                <w:szCs w:val="22"/>
              </w:rPr>
              <w:t>clasificación total o parcial</w:t>
            </w:r>
            <w:r>
              <w:rPr>
                <w:rFonts w:ascii="Palatino Linotype" w:eastAsia="Palatino Linotype" w:hAnsi="Palatino Linotype" w:cs="Palatino Linotype"/>
                <w:color w:val="000000"/>
                <w:sz w:val="22"/>
                <w:szCs w:val="22"/>
              </w:rPr>
              <w:t xml:space="preserve">, esto es determinar los datos que se suprimen en las versiones públicas, es necesario fundar y motivar, de manera correcta, la clasificación; considerando que todo acto que la autoridad pronuncie en el ejercicio de sus atribuciones, debe </w:t>
            </w:r>
            <w:r>
              <w:rPr>
                <w:rFonts w:ascii="Palatino Linotype" w:eastAsia="Palatino Linotype" w:hAnsi="Palatino Linotype" w:cs="Palatino Linotype"/>
                <w:color w:val="000000"/>
                <w:sz w:val="22"/>
                <w:szCs w:val="22"/>
              </w:rPr>
              <w:lastRenderedPageBreak/>
              <w:t>expresar los fundamentos legales que le dieron origen y las razones por las que se deben aplicar al caso concreto.</w:t>
            </w:r>
          </w:p>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bCs/>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A1D4E">
        <w:tc>
          <w:tcPr>
            <w:tcW w:w="2689" w:type="dxa"/>
          </w:tcPr>
          <w:p w:rsidR="00CA1D4E" w:rsidRDefault="00DA6D22">
            <w:pPr>
              <w:tabs>
                <w:tab w:val="left" w:pos="284"/>
              </w:tabs>
              <w:spacing w:line="360" w:lineRule="auto"/>
              <w:ind w:right="4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 xml:space="preserve">e) Condiciones especiales de la clasificación de la </w:t>
            </w:r>
            <w:r>
              <w:rPr>
                <w:rFonts w:ascii="Palatino Linotype" w:eastAsia="Palatino Linotype" w:hAnsi="Palatino Linotype" w:cs="Palatino Linotype"/>
                <w:b/>
                <w:bCs/>
                <w:sz w:val="22"/>
                <w:szCs w:val="22"/>
              </w:rPr>
              <w:lastRenderedPageBreak/>
              <w:t xml:space="preserve">información como confidencial. </w:t>
            </w:r>
          </w:p>
        </w:tc>
        <w:tc>
          <w:tcPr>
            <w:tcW w:w="6520" w:type="dxa"/>
          </w:tcPr>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Los artículos 148 y 120 de la Ley Estatal y de la Ley General, vigente a la fecha de la solicitud de información, respectivamente, establecen que aun tratándose de datos </w:t>
            </w:r>
            <w:r>
              <w:rPr>
                <w:rFonts w:ascii="Palatino Linotype" w:eastAsia="Palatino Linotype" w:hAnsi="Palatino Linotype" w:cs="Palatino Linotype"/>
                <w:color w:val="000000"/>
                <w:sz w:val="22"/>
                <w:szCs w:val="22"/>
              </w:rPr>
              <w:lastRenderedPageBreak/>
              <w:t xml:space="preserve">personales, se podrán proporcionar, incluso sin solicitar el consentimiento de su titular. </w:t>
            </w:r>
          </w:p>
          <w:p w:rsidR="00CA1D4E" w:rsidRDefault="00DA6D22">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A1D4E" w:rsidRDefault="00DA6D22">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A1D4E" w:rsidRDefault="00CA1D4E">
      <w:pPr>
        <w:tabs>
          <w:tab w:val="left" w:pos="284"/>
        </w:tabs>
        <w:spacing w:line="360" w:lineRule="auto"/>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A1D4E" w:rsidRDefault="00CA1D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tabs>
          <w:tab w:val="left" w:pos="284"/>
        </w:tabs>
        <w:spacing w:line="360" w:lineRule="auto"/>
        <w:ind w:left="0" w:right="-2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rPr>
        <w:t>Por otro lado, de manera enunciativa más no limitativas, dentro de los elementos que se pueden encontrar en el currículum son los siguientes:</w:t>
      </w:r>
    </w:p>
    <w:p w:rsidR="00CA1D4E" w:rsidRDefault="00DA6D22">
      <w:pPr>
        <w:numPr>
          <w:ilvl w:val="0"/>
          <w:numId w:val="9"/>
        </w:numPr>
        <w:pBdr>
          <w:top w:val="nil"/>
          <w:left w:val="nil"/>
          <w:bottom w:val="nil"/>
          <w:right w:val="nil"/>
          <w:between w:val="nil"/>
        </w:pBdr>
        <w:shd w:val="clear" w:color="auto" w:fill="FFFFFF"/>
        <w:spacing w:before="240" w:line="360" w:lineRule="auto"/>
        <w:ind w:right="-28"/>
        <w:jc w:val="both"/>
        <w:rPr>
          <w:rFonts w:ascii="Palatino Linotype" w:eastAsia="Palatino Linotype" w:hAnsi="Palatino Linotype" w:cs="Palatino Linotype"/>
          <w:b/>
          <w:bCs/>
          <w:color w:val="222222"/>
        </w:rPr>
      </w:pPr>
      <w:r>
        <w:rPr>
          <w:rFonts w:ascii="Palatino Linotype" w:eastAsia="Palatino Linotype" w:hAnsi="Palatino Linotype" w:cs="Palatino Linotype"/>
          <w:b/>
          <w:bCs/>
          <w:color w:val="222222"/>
        </w:rPr>
        <w:t>De la fotografía</w:t>
      </w:r>
    </w:p>
    <w:p w:rsidR="00CA1D4E" w:rsidRDefault="00DA6D22">
      <w:pPr>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Fotografía de servidores públicos</w:t>
      </w:r>
      <w:r>
        <w:rPr>
          <w:rFonts w:ascii="Palatino Linotype" w:eastAsia="Palatino Linotype" w:hAnsi="Palatino Linotype" w:cs="Palatino Linotype"/>
          <w:color w:val="000000"/>
        </w:rPr>
        <w:t xml:space="preserve">: es preciso señalar que estas dan cuenta de las características físicas de los servidores públicos; por lo que, no debe perderse de vista que la imagen personal es la apariencia física, la cual puede ser captada en dibujo, </w:t>
      </w:r>
      <w:r>
        <w:rPr>
          <w:rFonts w:ascii="Palatino Linotype" w:eastAsia="Palatino Linotype" w:hAnsi="Palatino Linotype" w:cs="Palatino Linotype"/>
          <w:color w:val="000000"/>
        </w:rPr>
        <w:lastRenderedPageBreak/>
        <w:t>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CA1D4E" w:rsidRDefault="00CA1D4E">
      <w:pPr>
        <w:pBdr>
          <w:top w:val="nil"/>
          <w:left w:val="nil"/>
          <w:bottom w:val="nil"/>
          <w:right w:val="nil"/>
          <w:between w:val="nil"/>
        </w:pBdr>
        <w:spacing w:line="360" w:lineRule="auto"/>
        <w:ind w:right="-25"/>
        <w:jc w:val="both"/>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acreditará e identificaría a una persona como servidor público, por lo que es posible advertir que existe cierto interés público, cuando la fotografía obra en documentos de servidores públicos vinculados con el cumplimiento de disposiciones legales.</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Conforme a lo anterior, las fotografías de servidores públicos sin importar el nivel o rango guardan la naturaleza de públicas (con excepción del personal operativo </w:t>
      </w:r>
      <w:r>
        <w:rPr>
          <w:rFonts w:ascii="Palatino Linotype" w:eastAsia="Palatino Linotype" w:hAnsi="Palatino Linotype" w:cs="Palatino Linotype"/>
          <w:color w:val="000000"/>
        </w:rPr>
        <w:lastRenderedPageBreak/>
        <w:t>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CA1D4E" w:rsidRDefault="00CA1D4E">
      <w:pPr>
        <w:pBdr>
          <w:top w:val="nil"/>
          <w:left w:val="nil"/>
          <w:bottom w:val="nil"/>
          <w:right w:val="nil"/>
          <w:between w:val="nil"/>
        </w:pBdr>
        <w:ind w:left="720"/>
        <w:rPr>
          <w:rFonts w:ascii="Palatino Linotype" w:eastAsia="Palatino Linotype" w:hAnsi="Palatino Linotype" w:cs="Palatino Linotype"/>
          <w:color w:val="000000"/>
        </w:rPr>
      </w:pPr>
    </w:p>
    <w:p w:rsidR="00CA1D4E" w:rsidRDefault="00DA6D22">
      <w:pPr>
        <w:numPr>
          <w:ilvl w:val="0"/>
          <w:numId w:val="1"/>
        </w:numPr>
        <w:pBdr>
          <w:top w:val="nil"/>
          <w:left w:val="nil"/>
          <w:bottom w:val="nil"/>
          <w:right w:val="nil"/>
          <w:between w:val="nil"/>
        </w:pBdr>
        <w:spacing w:line="360" w:lineRule="auto"/>
        <w:ind w:left="0" w:right="-2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no escapa de la óptica de éste órgano garante que el documento que da cuenta de lo requerido es un título o cédula profesional, por lo que resulta conveniente traer a contexto el criterio 001/2013 y 015/2017 del Instituto Nacional de Transparencia, Acceso a la Información y Protección de Datos Personales, cuyo rubro y contenido son los siguientes:</w:t>
      </w:r>
    </w:p>
    <w:p w:rsidR="00CA1D4E" w:rsidRDefault="00CA1D4E">
      <w:pPr>
        <w:pBdr>
          <w:top w:val="nil"/>
          <w:left w:val="nil"/>
          <w:bottom w:val="nil"/>
          <w:right w:val="nil"/>
          <w:between w:val="nil"/>
        </w:pBdr>
        <w:ind w:left="720" w:right="-25"/>
        <w:rPr>
          <w:rFonts w:ascii="Palatino Linotype" w:eastAsia="Palatino Linotype" w:hAnsi="Palatino Linotype" w:cs="Palatino Linotype"/>
          <w:color w:val="000000"/>
          <w:sz w:val="22"/>
          <w:szCs w:val="22"/>
        </w:rPr>
      </w:pPr>
    </w:p>
    <w:p w:rsidR="00CA1D4E" w:rsidRDefault="00DA6D22">
      <w:pPr>
        <w:spacing w:line="360" w:lineRule="auto"/>
        <w:ind w:left="851" w:right="822"/>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Fotografía de una persona física que conste en su título o cédula profesional no es susceptible de clasificarse con carácter de confidencial. </w:t>
      </w:r>
      <w:r>
        <w:rPr>
          <w:rFonts w:ascii="Palatino Linotype" w:eastAsia="Palatino Linotype" w:hAnsi="Palatino Linotype" w:cs="Palatino Linotype"/>
          <w:i/>
          <w:iCs/>
          <w:color w:val="000000"/>
          <w:sz w:val="22"/>
          <w:szCs w:val="22"/>
        </w:rPr>
        <w:t>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rsidR="00CA1D4E" w:rsidRDefault="00CA1D4E">
      <w:pPr>
        <w:spacing w:line="360" w:lineRule="auto"/>
        <w:ind w:left="851" w:right="822"/>
        <w:jc w:val="both"/>
        <w:rPr>
          <w:rFonts w:ascii="Palatino Linotype" w:eastAsia="Palatino Linotype" w:hAnsi="Palatino Linotype" w:cs="Palatino Linotype"/>
          <w:i/>
          <w:iCs/>
          <w:color w:val="000000"/>
          <w:sz w:val="22"/>
          <w:szCs w:val="22"/>
        </w:rPr>
      </w:pPr>
    </w:p>
    <w:p w:rsidR="00CA1D4E" w:rsidRDefault="00DA6D22">
      <w:pPr>
        <w:spacing w:line="360" w:lineRule="auto"/>
        <w:ind w:left="851" w:right="82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Fotografía en título o cédula profesional es de acceso público.</w:t>
      </w:r>
      <w:r>
        <w:rPr>
          <w:rFonts w:ascii="Palatino Linotype" w:eastAsia="Palatino Linotype" w:hAnsi="Palatino Linotype" w:cs="Palatino Linotype"/>
          <w:i/>
          <w:iCs/>
          <w:sz w:val="22"/>
          <w:szCs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CA1D4E" w:rsidRDefault="00CA1D4E">
      <w:pPr>
        <w:ind w:right="-25"/>
        <w:jc w:val="both"/>
        <w:rPr>
          <w:rFonts w:ascii="Arial" w:eastAsia="Arial" w:hAnsi="Arial" w:cs="Arial"/>
          <w:b/>
          <w:bCs/>
          <w:color w:val="000000"/>
          <w:sz w:val="22"/>
          <w:szCs w:val="22"/>
        </w:rPr>
      </w:pPr>
    </w:p>
    <w:p w:rsidR="00CA1D4E" w:rsidRDefault="00DA6D22">
      <w:pPr>
        <w:numPr>
          <w:ilvl w:val="0"/>
          <w:numId w:val="1"/>
        </w:numPr>
        <w:pBdr>
          <w:top w:val="nil"/>
          <w:left w:val="nil"/>
          <w:bottom w:val="nil"/>
          <w:right w:val="nil"/>
          <w:between w:val="nil"/>
        </w:pBdr>
        <w:tabs>
          <w:tab w:val="left" w:pos="284"/>
        </w:tabs>
        <w:spacing w:line="360" w:lineRule="auto"/>
        <w:ind w:left="0" w:right="-25"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Resultando así que, la fotografía de los servidores públicos, cuando obre en título o cédula profesional es de acceso público y no procede su clasificación como información confidencial, aún y cuando corresponde a un dato personal.</w:t>
      </w:r>
    </w:p>
    <w:p w:rsidR="00CA1D4E" w:rsidRDefault="00CA1D4E">
      <w:pPr>
        <w:spacing w:line="360" w:lineRule="auto"/>
        <w:ind w:right="-7"/>
        <w:jc w:val="both"/>
        <w:rPr>
          <w:rFonts w:ascii="Palatino Linotype" w:eastAsia="Palatino Linotype" w:hAnsi="Palatino Linotype" w:cs="Palatino Linotype"/>
        </w:rPr>
      </w:pPr>
    </w:p>
    <w:p w:rsidR="00CA1D4E" w:rsidRDefault="00DA6D22">
      <w:pPr>
        <w:numPr>
          <w:ilvl w:val="0"/>
          <w:numId w:val="1"/>
        </w:numPr>
        <w:spacing w:line="360" w:lineRule="auto"/>
        <w:ind w:left="0" w:right="-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 fundamento en lo prescrito en los artículos </w:t>
      </w:r>
      <w:r>
        <w:rPr>
          <w:rFonts w:ascii="Palatino Linotype" w:eastAsia="Palatino Linotype" w:hAnsi="Palatino Linotype" w:cs="Palatino Linotype"/>
          <w:color w:val="000000"/>
        </w:rPr>
        <w:t>5°, párrafos trigésimo séptimo, trigésimo octavo y trigésimo noveno, fracciones IV y V, de la Constitución Política del Estado Libre y Soberano de México</w:t>
      </w:r>
      <w:r>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CA1D4E" w:rsidRDefault="00CA1D4E">
      <w:pPr>
        <w:ind w:right="278"/>
        <w:rPr>
          <w:rFonts w:ascii="Palatino Linotype" w:eastAsia="Palatino Linotype" w:hAnsi="Palatino Linotype" w:cs="Palatino Linotype"/>
        </w:rPr>
      </w:pPr>
    </w:p>
    <w:p w:rsidR="00CA1D4E" w:rsidRDefault="00DA6D22">
      <w:pPr>
        <w:spacing w:line="360" w:lineRule="auto"/>
        <w:ind w:right="276"/>
        <w:jc w:val="center"/>
        <w:rPr>
          <w:rFonts w:ascii="Palatino Linotype" w:eastAsia="Palatino Linotype" w:hAnsi="Palatino Linotype" w:cs="Palatino Linotype"/>
          <w:b/>
          <w:bCs/>
        </w:rPr>
      </w:pPr>
      <w:r>
        <w:rPr>
          <w:rFonts w:ascii="Palatino Linotype" w:eastAsia="Palatino Linotype" w:hAnsi="Palatino Linotype" w:cs="Palatino Linotype"/>
          <w:b/>
          <w:bCs/>
        </w:rPr>
        <w:t>R E S U E L V E</w:t>
      </w:r>
    </w:p>
    <w:p w:rsidR="00CA1D4E" w:rsidRDefault="00CA1D4E">
      <w:pPr>
        <w:spacing w:line="360" w:lineRule="auto"/>
        <w:ind w:right="-787"/>
        <w:jc w:val="center"/>
        <w:rPr>
          <w:rFonts w:ascii="Palatino Linotype" w:eastAsia="Palatino Linotype" w:hAnsi="Palatino Linotype" w:cs="Palatino Linotype"/>
          <w:b/>
          <w:bCs/>
        </w:rPr>
      </w:pPr>
    </w:p>
    <w:p w:rsidR="00CA1D4E" w:rsidRDefault="00DA6D22">
      <w:pPr>
        <w:spacing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bCs/>
        </w:rPr>
        <w:t>FUNDADAS</w:t>
      </w:r>
      <w:r>
        <w:rPr>
          <w:rFonts w:ascii="Palatino Linotype" w:eastAsia="Palatino Linotype" w:hAnsi="Palatino Linotype" w:cs="Palatino Linotype"/>
        </w:rPr>
        <w:t xml:space="preserve"> las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razones o motivos de inconformidad hechos valer en </w:t>
      </w:r>
      <w:r>
        <w:rPr>
          <w:rFonts w:ascii="Palatino Linotype" w:eastAsia="Palatino Linotype" w:hAnsi="Palatino Linotype" w:cs="Palatino Linotype"/>
          <w:color w:val="000000"/>
        </w:rPr>
        <w:t xml:space="preserve">los Recursos de Revisión </w:t>
      </w:r>
      <w:r>
        <w:rPr>
          <w:rFonts w:ascii="Palatino Linotype" w:eastAsia="Palatino Linotype" w:hAnsi="Palatino Linotype" w:cs="Palatino Linotype"/>
          <w:b/>
          <w:bCs/>
          <w:color w:val="000000"/>
        </w:rPr>
        <w:t>01838/INFOEM/IP/RR/2026 y 01840/INFOEM/IP/RR/2026</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bCs/>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bCs/>
        </w:rPr>
        <w:t>CUARTO y QUINTO</w:t>
      </w:r>
      <w:r>
        <w:rPr>
          <w:rFonts w:ascii="Palatino Linotype" w:eastAsia="Palatino Linotype" w:hAnsi="Palatino Linotype" w:cs="Palatino Linotype"/>
        </w:rPr>
        <w:t xml:space="preserve"> de la presente Resolución.</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spacing w:line="360" w:lineRule="auto"/>
        <w:ind w:right="-7"/>
        <w:jc w:val="both"/>
        <w:rPr>
          <w:rFonts w:ascii="Palatino Linotype" w:eastAsia="Palatino Linotype" w:hAnsi="Palatino Linotype" w:cs="Palatino Linotype"/>
        </w:rPr>
      </w:pPr>
      <w:bookmarkStart w:id="7" w:name="_heading=h.4d34og8" w:colFirst="0" w:colLast="0"/>
      <w:bookmarkEnd w:id="7"/>
      <w:r>
        <w:rPr>
          <w:rFonts w:ascii="Palatino Linotype" w:eastAsia="Palatino Linotype" w:hAnsi="Palatino Linotype" w:cs="Palatino Linotype"/>
          <w:b/>
          <w:bCs/>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bCs/>
          <w:smallCaps/>
        </w:rPr>
        <w:t>REVOCAN</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las respuestas otorgadas por el </w:t>
      </w:r>
      <w:r>
        <w:rPr>
          <w:rFonts w:ascii="Palatino Linotype" w:eastAsia="Palatino Linotype" w:hAnsi="Palatino Linotype" w:cs="Palatino Linotype"/>
          <w:b/>
          <w:bCs/>
        </w:rPr>
        <w:t xml:space="preserve">Partido de la Revolución Democrática </w:t>
      </w:r>
      <w:r w:rsidR="00E65E9A">
        <w:rPr>
          <w:rFonts w:ascii="Palatino Linotype" w:eastAsia="Palatino Linotype" w:hAnsi="Palatino Linotype" w:cs="Palatino Linotype"/>
          <w:b/>
          <w:bCs/>
        </w:rPr>
        <w:t xml:space="preserve">Estado de México </w:t>
      </w:r>
      <w:r>
        <w:rPr>
          <w:rFonts w:ascii="Palatino Linotype" w:eastAsia="Palatino Linotype" w:hAnsi="Palatino Linotype" w:cs="Palatino Linotype"/>
        </w:rPr>
        <w:t>y se</w:t>
      </w:r>
      <w:r>
        <w:rPr>
          <w:rFonts w:ascii="Palatino Linotype" w:eastAsia="Palatino Linotype" w:hAnsi="Palatino Linotype" w:cs="Palatino Linotype"/>
          <w:b/>
          <w:bCs/>
        </w:rPr>
        <w:t xml:space="preserve"> ORDENA </w:t>
      </w:r>
      <w:r>
        <w:rPr>
          <w:rFonts w:ascii="Palatino Linotype" w:eastAsia="Palatino Linotype" w:hAnsi="Palatino Linotype" w:cs="Palatino Linotype"/>
          <w:color w:val="000000"/>
        </w:rPr>
        <w:t xml:space="preserve">entregar, vía Sistema de Acceso a la Información Mexiquense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previa búsqueda exhaustiva y razonable</w:t>
      </w:r>
      <w:r>
        <w:rPr>
          <w:rFonts w:ascii="Palatino Linotype" w:eastAsia="Palatino Linotype" w:hAnsi="Palatino Linotype" w:cs="Palatino Linotype"/>
        </w:rPr>
        <w:t>, de ser procedente en versión pública, al veintiocho de enero de dos mil veintiséis la siguiente información:</w:t>
      </w:r>
    </w:p>
    <w:p w:rsidR="00CA1D4E" w:rsidRDefault="00CA1D4E">
      <w:pPr>
        <w:spacing w:line="360" w:lineRule="auto"/>
        <w:ind w:right="49"/>
        <w:jc w:val="both"/>
        <w:rPr>
          <w:rFonts w:ascii="Palatino Linotype" w:eastAsia="Palatino Linotype" w:hAnsi="Palatino Linotype" w:cs="Palatino Linotype"/>
        </w:rPr>
      </w:pPr>
    </w:p>
    <w:p w:rsidR="00CA1D4E" w:rsidRPr="00E16408" w:rsidRDefault="00C14A3E" w:rsidP="00C14A3E">
      <w:pPr>
        <w:numPr>
          <w:ilvl w:val="0"/>
          <w:numId w:val="7"/>
        </w:numPr>
        <w:pBdr>
          <w:top w:val="nil"/>
          <w:left w:val="nil"/>
          <w:bottom w:val="nil"/>
          <w:right w:val="nil"/>
          <w:between w:val="nil"/>
        </w:pBdr>
        <w:spacing w:line="360" w:lineRule="auto"/>
        <w:ind w:right="560"/>
        <w:jc w:val="both"/>
        <w:rPr>
          <w:rFonts w:ascii="Palatino Linotype" w:eastAsia="Palatino Linotype" w:hAnsi="Palatino Linotype" w:cs="Palatino Linotype"/>
          <w:b/>
          <w:bCs/>
          <w:color w:val="000000"/>
        </w:rPr>
      </w:pPr>
      <w:r w:rsidRPr="00E16408">
        <w:rPr>
          <w:rFonts w:ascii="Palatino Linotype" w:eastAsia="Palatino Linotype" w:hAnsi="Palatino Linotype" w:cs="Palatino Linotype"/>
          <w:b/>
          <w:bCs/>
          <w:color w:val="000000"/>
        </w:rPr>
        <w:t xml:space="preserve">Currículum, ficha curricular o documento análogo </w:t>
      </w:r>
      <w:r w:rsidR="00DA6D22" w:rsidRPr="00E16408">
        <w:rPr>
          <w:rFonts w:ascii="Palatino Linotype" w:eastAsia="Palatino Linotype" w:hAnsi="Palatino Linotype" w:cs="Palatino Linotype"/>
          <w:b/>
          <w:bCs/>
          <w:color w:val="000000"/>
        </w:rPr>
        <w:t xml:space="preserve">de todo el personal adscritos a las diversas áreas que conforman el Partido a nivel Estatal y Municipal </w:t>
      </w:r>
    </w:p>
    <w:p w:rsidR="00CA1D4E" w:rsidRDefault="00CA1D4E">
      <w:pPr>
        <w:pBdr>
          <w:top w:val="nil"/>
          <w:left w:val="nil"/>
          <w:bottom w:val="nil"/>
          <w:right w:val="nil"/>
          <w:between w:val="nil"/>
        </w:pBdr>
        <w:ind w:left="1287" w:right="560"/>
        <w:rPr>
          <w:rFonts w:ascii="Palatino Linotype" w:eastAsia="Palatino Linotype" w:hAnsi="Palatino Linotype" w:cs="Palatino Linotype"/>
          <w:b/>
          <w:bCs/>
          <w:color w:val="000000"/>
        </w:rPr>
      </w:pPr>
    </w:p>
    <w:p w:rsidR="00CA1D4E" w:rsidRDefault="00DA6D22">
      <w:pPr>
        <w:spacing w:line="360" w:lineRule="auto"/>
        <w:ind w:right="-7"/>
        <w:jc w:val="both"/>
        <w:rPr>
          <w:rFonts w:ascii="Palatino Linotype" w:eastAsia="Palatino Linotype" w:hAnsi="Palatino Linotype" w:cs="Palatino Linotype"/>
          <w:b/>
          <w:bCs/>
        </w:rPr>
      </w:pPr>
      <w:r>
        <w:rPr>
          <w:rFonts w:ascii="Palatino Linotype" w:eastAsia="Palatino Linotype" w:hAnsi="Palatino Linotype" w:cs="Palatino Linotype"/>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bCs/>
        </w:rPr>
        <w:t>RECURRENTE.</w:t>
      </w:r>
    </w:p>
    <w:p w:rsidR="00CA1D4E" w:rsidRDefault="00CA1D4E">
      <w:pPr>
        <w:spacing w:line="360" w:lineRule="auto"/>
        <w:ind w:right="-787"/>
        <w:jc w:val="both"/>
        <w:rPr>
          <w:rFonts w:ascii="Palatino Linotype" w:eastAsia="Palatino Linotype" w:hAnsi="Palatino Linotype" w:cs="Palatino Linotype"/>
          <w:color w:val="222222"/>
        </w:rPr>
      </w:pPr>
    </w:p>
    <w:p w:rsidR="00CA1D4E" w:rsidRDefault="00DA6D22">
      <w:pPr>
        <w:tabs>
          <w:tab w:val="left" w:pos="8080"/>
        </w:tabs>
        <w:spacing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b/>
          <w:bCs/>
        </w:rPr>
        <w:t xml:space="preserve">TERCERO. </w:t>
      </w:r>
      <w:r>
        <w:rPr>
          <w:rFonts w:ascii="Palatino Linotype" w:eastAsia="Palatino Linotype" w:hAnsi="Palatino Linotype" w:cs="Palatino Linotype"/>
          <w:b/>
          <w:bCs/>
          <w:color w:val="000000"/>
        </w:rPr>
        <w:t>Notifíquese</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color w:val="222222"/>
        </w:rPr>
        <w:t xml:space="preserve">Titular de la Unidad de Transparencia del </w:t>
      </w:r>
      <w:r>
        <w:rPr>
          <w:rFonts w:ascii="Palatino Linotype" w:eastAsia="Palatino Linotype" w:hAnsi="Palatino Linotype" w:cs="Palatino Linotype"/>
          <w:b/>
          <w:bCs/>
          <w:color w:val="222222"/>
        </w:rPr>
        <w:t>SUJETO OBLIGADO</w:t>
      </w:r>
      <w:r>
        <w:rPr>
          <w:rFonts w:ascii="Palatino Linotype" w:eastAsia="Palatino Linotype" w:hAnsi="Palatino Linotype" w:cs="Palatino Linotype"/>
          <w:color w:val="222222"/>
        </w:rPr>
        <w:t xml:space="preserve">, vía SAIMEX, la presente resolución,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rPr>
        <w:t>de cumplimiento a lo ordenado dentro del plazo de diez días hábiles,</w:t>
      </w:r>
      <w:r>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w:t>
      </w:r>
      <w:r>
        <w:rPr>
          <w:rFonts w:ascii="Palatino Linotype" w:eastAsia="Palatino Linotype" w:hAnsi="Palatino Linotype" w:cs="Palatino Linotype"/>
          <w:color w:val="222222"/>
        </w:rPr>
        <w:lastRenderedPageBreak/>
        <w:t>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Palatino Linotype" w:hAnsi="Palatino Linotype" w:cs="Palatino Linotype"/>
        </w:rPr>
        <w:t>.</w:t>
      </w:r>
    </w:p>
    <w:p w:rsidR="00CA1D4E" w:rsidRDefault="00CA1D4E">
      <w:pPr>
        <w:spacing w:line="360" w:lineRule="auto"/>
        <w:ind w:right="-787"/>
        <w:jc w:val="both"/>
        <w:rPr>
          <w:rFonts w:ascii="Palatino Linotype" w:eastAsia="Palatino Linotype" w:hAnsi="Palatino Linotype" w:cs="Palatino Linotype"/>
        </w:rPr>
      </w:pPr>
    </w:p>
    <w:p w:rsidR="00CA1D4E" w:rsidRDefault="00DA6D22">
      <w:pPr>
        <w:spacing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CA1D4E" w:rsidRDefault="00CA1D4E">
      <w:pPr>
        <w:spacing w:line="360" w:lineRule="auto"/>
        <w:ind w:right="-787"/>
        <w:jc w:val="both"/>
        <w:rPr>
          <w:rFonts w:ascii="Palatino Linotype" w:eastAsia="Palatino Linotype" w:hAnsi="Palatino Linotype" w:cs="Palatino Linotype"/>
          <w:b/>
          <w:bCs/>
        </w:rPr>
      </w:pPr>
    </w:p>
    <w:p w:rsidR="00CA1D4E" w:rsidRDefault="00DA6D22">
      <w:pPr>
        <w:spacing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b/>
          <w:bCs/>
        </w:rPr>
        <w:t xml:space="preserve">QUINTO. </w:t>
      </w:r>
      <w:r>
        <w:rPr>
          <w:rFonts w:ascii="Palatino Linotype" w:eastAsia="Palatino Linotype" w:hAnsi="Palatino Linotype" w:cs="Palatino Linotype"/>
        </w:rPr>
        <w:t xml:space="preserve">Notifíquese al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la presente resolución vía Sistema de Acceso a Información Mexiquense (SAIMEX)</w:t>
      </w:r>
      <w:r>
        <w:rPr>
          <w:rFonts w:ascii="Palatino Linotype" w:eastAsia="Palatino Linotype" w:hAnsi="Palatino Linotype" w:cs="Palatino Linotype"/>
          <w:b/>
          <w:bCs/>
        </w:rPr>
        <w:t xml:space="preserve"> </w:t>
      </w:r>
      <w:r>
        <w:rPr>
          <w:rFonts w:ascii="Palatino Linotype" w:eastAsia="Palatino Linotype" w:hAnsi="Palatino Linotype" w:cs="Palatino Linotype"/>
        </w:rPr>
        <w:t>y se hace de su conocimiento</w:t>
      </w:r>
      <w:r>
        <w:rPr>
          <w:rFonts w:ascii="Palatino Linotype" w:eastAsia="Palatino Linotype" w:hAnsi="Palatino Linotype" w:cs="Palatino Linotype"/>
          <w:b/>
          <w:bCs/>
        </w:rPr>
        <w:t xml:space="preserv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CA1D4E" w:rsidRDefault="00CA1D4E">
      <w:pPr>
        <w:spacing w:line="360" w:lineRule="auto"/>
        <w:ind w:right="-787"/>
        <w:jc w:val="both"/>
        <w:rPr>
          <w:rFonts w:ascii="Palatino Linotype" w:eastAsia="Palatino Linotype" w:hAnsi="Palatino Linotype" w:cs="Palatino Linotype"/>
        </w:rPr>
      </w:pPr>
    </w:p>
    <w:p w:rsidR="00E65E9A" w:rsidRPr="003E2295" w:rsidRDefault="00E65E9A" w:rsidP="00E65E9A">
      <w:pPr>
        <w:spacing w:before="240" w:after="240" w:line="360" w:lineRule="auto"/>
        <w:ind w:firstLine="1"/>
        <w:jc w:val="both"/>
        <w:rPr>
          <w:rFonts w:ascii="Palatino Linotype" w:hAnsi="Palatino Linotype"/>
        </w:rPr>
      </w:pPr>
      <w:bookmarkStart w:id="8" w:name="_Hlk99014733"/>
      <w:r w:rsidRPr="003E2295">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A1150">
        <w:rPr>
          <w:rFonts w:ascii="Palatino Linotype" w:hAnsi="Palatino Linotype" w:cs="Palatino Linotype"/>
        </w:rPr>
        <w:t xml:space="preserve"> </w:t>
      </w:r>
      <w:r w:rsidR="00EA1150">
        <w:rPr>
          <w:rFonts w:ascii="Palatino Linotype" w:hAnsi="Palatino Linotype" w:cs="Palatino Linotype"/>
          <w:sz w:val="22"/>
        </w:rPr>
        <w:t>EMITIENDO VOTO PARTICULAR</w:t>
      </w:r>
      <w:r w:rsidRPr="003E2295">
        <w:rPr>
          <w:rFonts w:ascii="Palatino Linotype" w:hAnsi="Palatino Linotype" w:cs="Palatino Linotype"/>
        </w:rPr>
        <w:t>, LUIS GUSTAVO PARRA NORIEGA Y GUADALUPE RAMÍREZ PEÑA</w:t>
      </w:r>
      <w:r w:rsidR="00EA1150">
        <w:rPr>
          <w:rFonts w:ascii="Palatino Linotype" w:hAnsi="Palatino Linotype" w:cs="Palatino Linotype"/>
        </w:rPr>
        <w:t xml:space="preserve"> </w:t>
      </w:r>
      <w:r w:rsidR="00EA1150">
        <w:rPr>
          <w:rFonts w:ascii="Palatino Linotype" w:hAnsi="Palatino Linotype" w:cs="Palatino Linotype"/>
          <w:sz w:val="22"/>
        </w:rPr>
        <w:t>EMITIENDO VOTO PARTICULAR</w:t>
      </w:r>
      <w:r w:rsidRPr="003E2295">
        <w:rPr>
          <w:rFonts w:ascii="Palatino Linotype" w:hAnsi="Palatino Linotype" w:cs="Palatino Linotype"/>
        </w:rPr>
        <w:t xml:space="preserve">;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lastRenderedPageBreak/>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8"/>
    <w:p w:rsidR="00CA1D4E" w:rsidRDefault="00CA1D4E">
      <w:pPr>
        <w:spacing w:line="360" w:lineRule="auto"/>
        <w:ind w:right="-787"/>
        <w:jc w:val="both"/>
        <w:rPr>
          <w:rFonts w:ascii="Palatino Linotype" w:eastAsia="Palatino Linotype" w:hAnsi="Palatino Linotype" w:cs="Palatino Linotype"/>
        </w:rPr>
      </w:pPr>
    </w:p>
    <w:p w:rsidR="00CA1D4E" w:rsidRDefault="00CA1D4E">
      <w:pPr>
        <w:spacing w:line="360" w:lineRule="auto"/>
        <w:ind w:right="-787"/>
        <w:jc w:val="both"/>
        <w:rPr>
          <w:rFonts w:ascii="Palatino Linotype" w:eastAsia="Palatino Linotype" w:hAnsi="Palatino Linotype" w:cs="Palatino Linotype"/>
        </w:rPr>
      </w:pPr>
    </w:p>
    <w:p w:rsidR="00CA1D4E" w:rsidRDefault="00CA1D4E">
      <w:pPr>
        <w:spacing w:line="360" w:lineRule="auto"/>
        <w:ind w:right="-787"/>
        <w:jc w:val="both"/>
        <w:rPr>
          <w:rFonts w:ascii="Palatino Linotype" w:eastAsia="Palatino Linotype" w:hAnsi="Palatino Linotype" w:cs="Palatino Linotype"/>
        </w:rPr>
      </w:pPr>
    </w:p>
    <w:p w:rsidR="00CA1D4E" w:rsidRDefault="00CA1D4E">
      <w:pPr>
        <w:spacing w:line="360" w:lineRule="auto"/>
        <w:ind w:right="-787"/>
        <w:jc w:val="both"/>
        <w:rPr>
          <w:rFonts w:ascii="Palatino Linotype" w:eastAsia="Palatino Linotype" w:hAnsi="Palatino Linotype" w:cs="Palatino Linotype"/>
        </w:rPr>
      </w:pPr>
    </w:p>
    <w:p w:rsidR="00CA1D4E" w:rsidRDefault="00CA1D4E">
      <w:pPr>
        <w:spacing w:line="360" w:lineRule="auto"/>
        <w:ind w:right="-787"/>
        <w:jc w:val="both"/>
        <w:rPr>
          <w:rFonts w:ascii="Palatino Linotype" w:eastAsia="Palatino Linotype" w:hAnsi="Palatino Linotype" w:cs="Palatino Linotype"/>
        </w:rPr>
      </w:pPr>
    </w:p>
    <w:p w:rsidR="00CA1D4E" w:rsidRDefault="00CA1D4E">
      <w:pPr>
        <w:spacing w:line="360" w:lineRule="auto"/>
        <w:ind w:right="-787"/>
        <w:jc w:val="both"/>
        <w:rPr>
          <w:rFonts w:ascii="Palatino Linotype" w:eastAsia="Palatino Linotype" w:hAnsi="Palatino Linotype" w:cs="Palatino Linotype"/>
        </w:rPr>
      </w:pPr>
    </w:p>
    <w:p w:rsidR="00CA1D4E" w:rsidRDefault="00CA1D4E">
      <w:pPr>
        <w:spacing w:line="360" w:lineRule="auto"/>
        <w:ind w:right="-787"/>
        <w:jc w:val="both"/>
        <w:rPr>
          <w:rFonts w:ascii="Palatino Linotype" w:eastAsia="Palatino Linotype" w:hAnsi="Palatino Linotype" w:cs="Palatino Linotype"/>
        </w:rPr>
      </w:pPr>
    </w:p>
    <w:p w:rsidR="00CA1D4E" w:rsidRDefault="00CA1D4E">
      <w:pPr>
        <w:spacing w:line="360" w:lineRule="auto"/>
        <w:ind w:right="-787"/>
        <w:jc w:val="both"/>
        <w:rPr>
          <w:rFonts w:ascii="Palatino Linotype" w:eastAsia="Palatino Linotype" w:hAnsi="Palatino Linotype" w:cs="Palatino Linotype"/>
        </w:rPr>
      </w:pPr>
    </w:p>
    <w:p w:rsidR="00CA1D4E" w:rsidRDefault="00CA1D4E">
      <w:pPr>
        <w:spacing w:line="360" w:lineRule="auto"/>
        <w:ind w:right="-787"/>
        <w:jc w:val="both"/>
        <w:rPr>
          <w:rFonts w:ascii="Palatino Linotype" w:eastAsia="Palatino Linotype" w:hAnsi="Palatino Linotype" w:cs="Palatino Linotype"/>
        </w:rPr>
      </w:pPr>
    </w:p>
    <w:p w:rsidR="00CA1D4E" w:rsidRDefault="00CA1D4E">
      <w:pPr>
        <w:tabs>
          <w:tab w:val="left" w:pos="3374"/>
        </w:tabs>
        <w:spacing w:line="360" w:lineRule="auto"/>
        <w:ind w:right="-787"/>
        <w:rPr>
          <w:rFonts w:ascii="Palatino Linotype" w:eastAsia="Palatino Linotype" w:hAnsi="Palatino Linotype" w:cs="Palatino Linotype"/>
        </w:rPr>
      </w:pPr>
      <w:bookmarkStart w:id="9" w:name="_heading=h.z64h8pw2c5r2" w:colFirst="0" w:colLast="0"/>
      <w:bookmarkStart w:id="10" w:name="_heading=h.lnxbz9" w:colFirst="0" w:colLast="0"/>
      <w:bookmarkEnd w:id="9"/>
      <w:bookmarkEnd w:id="10"/>
    </w:p>
    <w:p w:rsidR="00E8569E" w:rsidRDefault="00E8569E">
      <w:pPr>
        <w:tabs>
          <w:tab w:val="left" w:pos="3374"/>
        </w:tabs>
        <w:spacing w:line="360" w:lineRule="auto"/>
        <w:ind w:right="-787"/>
        <w:rPr>
          <w:rFonts w:ascii="Palatino Linotype" w:eastAsia="Palatino Linotype" w:hAnsi="Palatino Linotype" w:cs="Palatino Linotype"/>
        </w:rPr>
      </w:pPr>
    </w:p>
    <w:p w:rsidR="00E8569E" w:rsidRDefault="00E8569E">
      <w:pPr>
        <w:tabs>
          <w:tab w:val="left" w:pos="3374"/>
        </w:tabs>
        <w:spacing w:line="360" w:lineRule="auto"/>
        <w:ind w:right="-787"/>
        <w:rPr>
          <w:rFonts w:ascii="Palatino Linotype" w:eastAsia="Palatino Linotype" w:hAnsi="Palatino Linotype" w:cs="Palatino Linotype"/>
        </w:rPr>
      </w:pPr>
    </w:p>
    <w:p w:rsidR="00E8569E" w:rsidRDefault="00E8569E">
      <w:pPr>
        <w:tabs>
          <w:tab w:val="left" w:pos="3374"/>
        </w:tabs>
        <w:spacing w:line="360" w:lineRule="auto"/>
        <w:ind w:right="-787"/>
        <w:rPr>
          <w:rFonts w:ascii="Palatino Linotype" w:eastAsia="Palatino Linotype" w:hAnsi="Palatino Linotype" w:cs="Palatino Linotype"/>
        </w:rPr>
      </w:pPr>
    </w:p>
    <w:p w:rsidR="00E8569E" w:rsidRDefault="00E8569E">
      <w:pPr>
        <w:tabs>
          <w:tab w:val="left" w:pos="3374"/>
        </w:tabs>
        <w:spacing w:line="360" w:lineRule="auto"/>
        <w:ind w:right="-787"/>
        <w:rPr>
          <w:rFonts w:ascii="Palatino Linotype" w:eastAsia="Palatino Linotype" w:hAnsi="Palatino Linotype" w:cs="Palatino Linotype"/>
        </w:rPr>
      </w:pPr>
    </w:p>
    <w:p w:rsidR="00E8569E" w:rsidRDefault="00E8569E">
      <w:pPr>
        <w:tabs>
          <w:tab w:val="left" w:pos="3374"/>
        </w:tabs>
        <w:spacing w:line="360" w:lineRule="auto"/>
        <w:ind w:right="-787"/>
        <w:rPr>
          <w:rFonts w:ascii="Palatino Linotype" w:eastAsia="Palatino Linotype" w:hAnsi="Palatino Linotype" w:cs="Palatino Linotype"/>
        </w:rPr>
      </w:pPr>
    </w:p>
    <w:p w:rsidR="00E8569E" w:rsidRDefault="00E8569E">
      <w:pPr>
        <w:tabs>
          <w:tab w:val="left" w:pos="3374"/>
        </w:tabs>
        <w:spacing w:line="360" w:lineRule="auto"/>
        <w:ind w:right="-787"/>
        <w:rPr>
          <w:rFonts w:ascii="Palatino Linotype" w:eastAsia="Palatino Linotype" w:hAnsi="Palatino Linotype" w:cs="Palatino Linotype"/>
        </w:rPr>
      </w:pPr>
    </w:p>
    <w:p w:rsidR="00E8569E" w:rsidRDefault="00E8569E">
      <w:pPr>
        <w:tabs>
          <w:tab w:val="left" w:pos="3374"/>
        </w:tabs>
        <w:spacing w:line="360" w:lineRule="auto"/>
        <w:ind w:right="-787"/>
        <w:rPr>
          <w:rFonts w:ascii="Palatino Linotype" w:eastAsia="Palatino Linotype" w:hAnsi="Palatino Linotype" w:cs="Palatino Linotype"/>
        </w:rPr>
      </w:pPr>
    </w:p>
    <w:p w:rsidR="00E8569E" w:rsidRDefault="00E8569E">
      <w:pPr>
        <w:tabs>
          <w:tab w:val="left" w:pos="3374"/>
        </w:tabs>
        <w:spacing w:line="360" w:lineRule="auto"/>
        <w:ind w:right="-787"/>
        <w:rPr>
          <w:rFonts w:ascii="Palatino Linotype" w:eastAsia="Palatino Linotype" w:hAnsi="Palatino Linotype" w:cs="Palatino Linotype"/>
        </w:rPr>
      </w:pPr>
    </w:p>
    <w:p w:rsidR="00E8569E" w:rsidRDefault="00E8569E">
      <w:pPr>
        <w:tabs>
          <w:tab w:val="left" w:pos="3374"/>
        </w:tabs>
        <w:spacing w:line="360" w:lineRule="auto"/>
        <w:ind w:right="-787"/>
        <w:rPr>
          <w:rFonts w:ascii="Palatino Linotype" w:eastAsia="Palatino Linotype" w:hAnsi="Palatino Linotype" w:cs="Palatino Linotype"/>
        </w:rPr>
      </w:pPr>
    </w:p>
    <w:p w:rsidR="00E16408" w:rsidRDefault="00E16408">
      <w:pPr>
        <w:tabs>
          <w:tab w:val="left" w:pos="3374"/>
        </w:tabs>
        <w:spacing w:line="360" w:lineRule="auto"/>
        <w:ind w:right="-787"/>
        <w:rPr>
          <w:rFonts w:ascii="Palatino Linotype" w:eastAsia="Palatino Linotype" w:hAnsi="Palatino Linotype" w:cs="Palatino Linotype"/>
        </w:rPr>
      </w:pPr>
    </w:p>
    <w:p w:rsidR="00E16408" w:rsidRDefault="00E16408">
      <w:pPr>
        <w:tabs>
          <w:tab w:val="left" w:pos="3374"/>
        </w:tabs>
        <w:spacing w:line="360" w:lineRule="auto"/>
        <w:ind w:right="-787"/>
        <w:rPr>
          <w:rFonts w:ascii="Palatino Linotype" w:eastAsia="Palatino Linotype" w:hAnsi="Palatino Linotype" w:cs="Palatino Linotype"/>
        </w:rPr>
      </w:pPr>
    </w:p>
    <w:p w:rsidR="00E16408" w:rsidRDefault="00E16408">
      <w:pPr>
        <w:tabs>
          <w:tab w:val="left" w:pos="3374"/>
        </w:tabs>
        <w:spacing w:line="360" w:lineRule="auto"/>
        <w:ind w:right="-787"/>
        <w:rPr>
          <w:rFonts w:ascii="Palatino Linotype" w:eastAsia="Palatino Linotype" w:hAnsi="Palatino Linotype" w:cs="Palatino Linotype"/>
        </w:rPr>
      </w:pPr>
    </w:p>
    <w:p w:rsidR="00E16408" w:rsidRDefault="00E16408">
      <w:pPr>
        <w:tabs>
          <w:tab w:val="left" w:pos="3374"/>
        </w:tabs>
        <w:spacing w:line="360" w:lineRule="auto"/>
        <w:ind w:right="-787"/>
        <w:rPr>
          <w:rFonts w:ascii="Palatino Linotype" w:eastAsia="Palatino Linotype" w:hAnsi="Palatino Linotype" w:cs="Palatino Linotype"/>
        </w:rPr>
      </w:pPr>
    </w:p>
    <w:p w:rsidR="00E16408" w:rsidRDefault="00E16408">
      <w:pPr>
        <w:tabs>
          <w:tab w:val="left" w:pos="3374"/>
        </w:tabs>
        <w:spacing w:line="360" w:lineRule="auto"/>
        <w:ind w:right="-787"/>
        <w:rPr>
          <w:rFonts w:ascii="Palatino Linotype" w:eastAsia="Palatino Linotype" w:hAnsi="Palatino Linotype" w:cs="Palatino Linotype"/>
        </w:rPr>
      </w:pPr>
    </w:p>
    <w:p w:rsidR="00E16408" w:rsidRDefault="00E16408">
      <w:pPr>
        <w:tabs>
          <w:tab w:val="left" w:pos="3374"/>
        </w:tabs>
        <w:spacing w:line="360" w:lineRule="auto"/>
        <w:ind w:right="-787"/>
        <w:rPr>
          <w:rFonts w:ascii="Palatino Linotype" w:eastAsia="Palatino Linotype" w:hAnsi="Palatino Linotype" w:cs="Palatino Linotype"/>
        </w:rPr>
      </w:pPr>
    </w:p>
    <w:p w:rsidR="00E16408" w:rsidRDefault="00E16408">
      <w:pPr>
        <w:tabs>
          <w:tab w:val="left" w:pos="3374"/>
        </w:tabs>
        <w:spacing w:line="360" w:lineRule="auto"/>
        <w:ind w:right="-787"/>
        <w:rPr>
          <w:rFonts w:ascii="Palatino Linotype" w:eastAsia="Palatino Linotype" w:hAnsi="Palatino Linotype" w:cs="Palatino Linotype"/>
        </w:rPr>
      </w:pPr>
    </w:p>
    <w:sectPr w:rsidR="00E16408">
      <w:headerReference w:type="even" r:id="rId15"/>
      <w:headerReference w:type="default" r:id="rId16"/>
      <w:footerReference w:type="default" r:id="rId17"/>
      <w:headerReference w:type="first" r:id="rId18"/>
      <w:footerReference w:type="first" r:id="rId19"/>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825" w:rsidRDefault="00030825">
      <w:r>
        <w:separator/>
      </w:r>
    </w:p>
  </w:endnote>
  <w:endnote w:type="continuationSeparator" w:id="0">
    <w:p w:rsidR="00030825" w:rsidRDefault="0003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7C55E7B-F786-43F9-85A6-6E8960BFA8CB}"/>
  </w:font>
  <w:font w:name="Palatino Linotype">
    <w:altName w:val="Palatino"/>
    <w:panose1 w:val="02040502050505030304"/>
    <w:charset w:val="00"/>
    <w:family w:val="roman"/>
    <w:pitch w:val="variable"/>
    <w:sig w:usb0="E0000287" w:usb1="40000013" w:usb2="00000000" w:usb3="00000000" w:csb0="0000019F" w:csb1="00000000"/>
    <w:embedRegular r:id="rId2" w:fontKey="{21AFEA15-755B-4DB0-9EE1-619FD64F6598}"/>
    <w:embedBold r:id="rId3" w:fontKey="{466022E4-FBB1-461D-9F57-AA007FC2FD61}"/>
    <w:embedItalic r:id="rId4" w:fontKey="{49D03B72-EA5A-402F-8BF1-B90713146F37}"/>
    <w:embedBoldItalic r:id="rId5" w:fontKey="{A2E24DB3-173E-4222-854A-71FB173B84F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AB833E6-E7EA-460A-A979-3B18126F3AE4}"/>
    <w:embedBold r:id="rId7" w:fontKey="{D998E98D-8B70-4819-87CD-CBDC983A0373}"/>
    <w:embedItalic r:id="rId8" w:fontKey="{58345563-ACC9-4F07-83A2-E2DB1A956F08}"/>
  </w:font>
  <w:font w:name="Calibri Light">
    <w:panose1 w:val="020F0302020204030204"/>
    <w:charset w:val="00"/>
    <w:family w:val="swiss"/>
    <w:pitch w:val="variable"/>
    <w:sig w:usb0="E4002EFF" w:usb1="C200247B" w:usb2="00000009" w:usb3="00000000" w:csb0="000001FF" w:csb1="00000000"/>
    <w:embedRegular r:id="rId9" w:fontKey="{53CF2169-7033-4533-92A4-CF61133E552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AD0173A7-4285-4331-AD0C-7CF6E6B07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22" w:rsidRDefault="00DA6D2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77A9F">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77A9F">
      <w:rPr>
        <w:rFonts w:ascii="Palatino Linotype" w:eastAsia="Palatino Linotype" w:hAnsi="Palatino Linotype" w:cs="Palatino Linotype"/>
        <w:noProof/>
        <w:color w:val="000000"/>
        <w:sz w:val="20"/>
        <w:szCs w:val="20"/>
      </w:rPr>
      <w:t>52</w:t>
    </w:r>
    <w:r>
      <w:rPr>
        <w:rFonts w:ascii="Palatino Linotype" w:eastAsia="Palatino Linotype" w:hAnsi="Palatino Linotype" w:cs="Palatino Linotype"/>
        <w:color w:val="000000"/>
        <w:sz w:val="20"/>
        <w:szCs w:val="20"/>
      </w:rPr>
      <w:fldChar w:fldCharType="end"/>
    </w:r>
  </w:p>
  <w:p w:rsidR="00DA6D22" w:rsidRDefault="00DA6D2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22" w:rsidRDefault="00DA6D2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77A9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77A9F">
      <w:rPr>
        <w:rFonts w:ascii="Palatino Linotype" w:eastAsia="Palatino Linotype" w:hAnsi="Palatino Linotype" w:cs="Palatino Linotype"/>
        <w:noProof/>
        <w:color w:val="000000"/>
        <w:sz w:val="20"/>
        <w:szCs w:val="20"/>
      </w:rPr>
      <w:t>52</w:t>
    </w:r>
    <w:r>
      <w:rPr>
        <w:rFonts w:ascii="Palatino Linotype" w:eastAsia="Palatino Linotype" w:hAnsi="Palatino Linotype" w:cs="Palatino Linotype"/>
        <w:color w:val="000000"/>
        <w:sz w:val="20"/>
        <w:szCs w:val="20"/>
      </w:rPr>
      <w:fldChar w:fldCharType="end"/>
    </w:r>
  </w:p>
  <w:p w:rsidR="00DA6D22" w:rsidRDefault="00DA6D2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825" w:rsidRDefault="00030825">
      <w:r>
        <w:separator/>
      </w:r>
    </w:p>
  </w:footnote>
  <w:footnote w:type="continuationSeparator" w:id="0">
    <w:p w:rsidR="00030825" w:rsidRDefault="00030825">
      <w:r>
        <w:continuationSeparator/>
      </w:r>
    </w:p>
  </w:footnote>
  <w:footnote w:id="1">
    <w:p w:rsidR="00DA6D22" w:rsidRDefault="00DA6D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DA6D22" w:rsidRDefault="00DA6D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DA6D22" w:rsidRDefault="00DA6D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DA6D22" w:rsidRDefault="00DA6D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DA6D22" w:rsidRDefault="00DA6D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6">
    <w:p w:rsidR="00DA6D22" w:rsidRDefault="00DA6D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7">
    <w:p w:rsidR="00DA6D22" w:rsidRDefault="00DA6D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8">
    <w:p w:rsidR="00DA6D22" w:rsidRDefault="00DA6D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 w:id="9">
    <w:p w:rsidR="00DA6D22" w:rsidRDefault="00DA6D22">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XX.308 K, </w:t>
      </w:r>
      <w:r>
        <w:rPr>
          <w:rFonts w:ascii="Palatino Linotype" w:eastAsia="Palatino Linotype" w:hAnsi="Palatino Linotype" w:cs="Palatino Linotype"/>
          <w:i/>
          <w:iCs/>
          <w:color w:val="000000"/>
          <w:sz w:val="16"/>
          <w:szCs w:val="16"/>
        </w:rPr>
        <w:t>Semanario Judicial de la Federación</w:t>
      </w:r>
      <w:r>
        <w:rPr>
          <w:rFonts w:ascii="Palatino Linotype" w:eastAsia="Palatino Linotype" w:hAnsi="Palatino Linotype" w:cs="Palatino Linotype"/>
          <w:color w:val="000000"/>
          <w:sz w:val="16"/>
          <w:szCs w:val="16"/>
        </w:rPr>
        <w:t>, Octava Época, tomo XV-1, febrero de 1995, pág. 138.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22" w:rsidRDefault="0003082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22" w:rsidRDefault="00DA6D22">
    <w:pPr>
      <w:widowControl w:val="0"/>
      <w:pBdr>
        <w:top w:val="nil"/>
        <w:left w:val="nil"/>
        <w:bottom w:val="nil"/>
        <w:right w:val="nil"/>
        <w:between w:val="nil"/>
      </w:pBdr>
      <w:spacing w:line="276" w:lineRule="auto"/>
      <w:rPr>
        <w:color w:val="000000"/>
      </w:rPr>
    </w:pPr>
  </w:p>
  <w:tbl>
    <w:tblPr>
      <w:tblStyle w:val="a0"/>
      <w:tblW w:w="5811" w:type="dxa"/>
      <w:tblInd w:w="3261" w:type="dxa"/>
      <w:tblLayout w:type="fixed"/>
      <w:tblLook w:val="0400" w:firstRow="0" w:lastRow="0" w:firstColumn="0" w:lastColumn="0" w:noHBand="0" w:noVBand="1"/>
    </w:tblPr>
    <w:tblGrid>
      <w:gridCol w:w="2509"/>
      <w:gridCol w:w="3302"/>
    </w:tblGrid>
    <w:tr w:rsidR="00DA6D22">
      <w:trPr>
        <w:trHeight w:val="227"/>
      </w:trPr>
      <w:tc>
        <w:tcPr>
          <w:tcW w:w="2509" w:type="dxa"/>
        </w:tcPr>
        <w:p w:rsidR="00DA6D22" w:rsidRDefault="00DA6D22">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302" w:type="dxa"/>
        </w:tcPr>
        <w:p w:rsidR="00DA6D22" w:rsidRPr="00E16408" w:rsidRDefault="00DA6D22">
          <w:pPr>
            <w:pBdr>
              <w:top w:val="nil"/>
              <w:left w:val="nil"/>
              <w:bottom w:val="nil"/>
              <w:right w:val="nil"/>
              <w:between w:val="nil"/>
            </w:pBdr>
            <w:tabs>
              <w:tab w:val="right" w:pos="8838"/>
            </w:tabs>
            <w:ind w:right="33"/>
            <w:rPr>
              <w:rFonts w:ascii="Palatino Linotype" w:eastAsia="Palatino Linotype" w:hAnsi="Palatino Linotype" w:cs="Palatino Linotype"/>
              <w:color w:val="000000"/>
              <w:sz w:val="22"/>
              <w:szCs w:val="22"/>
            </w:rPr>
          </w:pPr>
          <w:r w:rsidRPr="00E16408">
            <w:rPr>
              <w:rFonts w:ascii="Palatino Linotype" w:eastAsia="Palatino Linotype" w:hAnsi="Palatino Linotype" w:cs="Palatino Linotype"/>
              <w:color w:val="000000"/>
              <w:sz w:val="22"/>
              <w:szCs w:val="22"/>
            </w:rPr>
            <w:t>01838/INFOEM/IP/RR/2026 y Acumulado</w:t>
          </w:r>
        </w:p>
      </w:tc>
    </w:tr>
    <w:tr w:rsidR="00DA6D22">
      <w:trPr>
        <w:trHeight w:val="342"/>
      </w:trPr>
      <w:tc>
        <w:tcPr>
          <w:tcW w:w="2509" w:type="dxa"/>
        </w:tcPr>
        <w:p w:rsidR="00DA6D22" w:rsidRDefault="00DA6D22">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302" w:type="dxa"/>
        </w:tcPr>
        <w:p w:rsidR="00DA6D22" w:rsidRDefault="00DA6D22">
          <w:pP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Partido de la Revolución Democrática</w:t>
          </w:r>
          <w:r w:rsidR="007178C4">
            <w:rPr>
              <w:rFonts w:ascii="Palatino Linotype" w:eastAsia="Palatino Linotype" w:hAnsi="Palatino Linotype" w:cs="Palatino Linotype"/>
              <w:color w:val="000000"/>
              <w:sz w:val="22"/>
              <w:szCs w:val="22"/>
            </w:rPr>
            <w:t xml:space="preserve"> Estado de México</w:t>
          </w:r>
        </w:p>
      </w:tc>
    </w:tr>
    <w:tr w:rsidR="00DA6D22">
      <w:trPr>
        <w:trHeight w:val="342"/>
      </w:trPr>
      <w:tc>
        <w:tcPr>
          <w:tcW w:w="2509" w:type="dxa"/>
        </w:tcPr>
        <w:p w:rsidR="00DA6D22" w:rsidRDefault="00DA6D22">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302" w:type="dxa"/>
        </w:tcPr>
        <w:p w:rsidR="00DA6D22" w:rsidRDefault="00DA6D22">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A6D22" w:rsidRDefault="00030825">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22" w:rsidRDefault="00DA6D22">
    <w:pPr>
      <w:widowControl w:val="0"/>
      <w:pBdr>
        <w:top w:val="nil"/>
        <w:left w:val="nil"/>
        <w:bottom w:val="nil"/>
        <w:right w:val="nil"/>
        <w:between w:val="nil"/>
      </w:pBdr>
      <w:spacing w:line="276" w:lineRule="auto"/>
      <w:rPr>
        <w:color w:val="000000"/>
        <w:sz w:val="14"/>
        <w:szCs w:val="14"/>
      </w:rPr>
    </w:pPr>
  </w:p>
  <w:tbl>
    <w:tblPr>
      <w:tblStyle w:val="a1"/>
      <w:tblW w:w="5811" w:type="dxa"/>
      <w:tblInd w:w="3261" w:type="dxa"/>
      <w:tblLayout w:type="fixed"/>
      <w:tblLook w:val="0400" w:firstRow="0" w:lastRow="0" w:firstColumn="0" w:lastColumn="0" w:noHBand="0" w:noVBand="1"/>
    </w:tblPr>
    <w:tblGrid>
      <w:gridCol w:w="2509"/>
      <w:gridCol w:w="3302"/>
    </w:tblGrid>
    <w:tr w:rsidR="00DA6D22">
      <w:trPr>
        <w:trHeight w:val="227"/>
      </w:trPr>
      <w:tc>
        <w:tcPr>
          <w:tcW w:w="2509" w:type="dxa"/>
        </w:tcPr>
        <w:p w:rsidR="00DA6D22" w:rsidRDefault="00DA6D22">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302" w:type="dxa"/>
        </w:tcPr>
        <w:p w:rsidR="00DA6D22" w:rsidRDefault="00DA6D22">
          <w:pPr>
            <w:pBdr>
              <w:top w:val="nil"/>
              <w:left w:val="nil"/>
              <w:bottom w:val="nil"/>
              <w:right w:val="nil"/>
              <w:between w:val="nil"/>
            </w:pBdr>
            <w:tabs>
              <w:tab w:val="right" w:pos="8838"/>
            </w:tabs>
            <w:rPr>
              <w:rFonts w:ascii="Palatino Linotype" w:eastAsia="Palatino Linotype" w:hAnsi="Palatino Linotype" w:cs="Palatino Linotype"/>
              <w:color w:val="000000"/>
              <w:sz w:val="22"/>
              <w:szCs w:val="22"/>
              <w:highlight w:val="green"/>
            </w:rPr>
          </w:pPr>
          <w:r w:rsidRPr="00E8569E">
            <w:rPr>
              <w:rFonts w:ascii="Palatino Linotype" w:eastAsia="Palatino Linotype" w:hAnsi="Palatino Linotype" w:cs="Palatino Linotype"/>
              <w:color w:val="000000"/>
              <w:sz w:val="22"/>
              <w:szCs w:val="22"/>
            </w:rPr>
            <w:t>01838/INFOEM/IP/RR/2026 y</w:t>
          </w:r>
          <w:r>
            <w:rPr>
              <w:rFonts w:ascii="Palatino Linotype" w:eastAsia="Palatino Linotype" w:hAnsi="Palatino Linotype" w:cs="Palatino Linotype"/>
              <w:color w:val="000000"/>
              <w:sz w:val="22"/>
              <w:szCs w:val="22"/>
            </w:rPr>
            <w:t xml:space="preserve"> Acumulado</w:t>
          </w:r>
        </w:p>
      </w:tc>
    </w:tr>
    <w:tr w:rsidR="00DA6D22">
      <w:trPr>
        <w:trHeight w:val="242"/>
      </w:trPr>
      <w:tc>
        <w:tcPr>
          <w:tcW w:w="2509" w:type="dxa"/>
        </w:tcPr>
        <w:p w:rsidR="00DA6D22" w:rsidRDefault="00DA6D22">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302" w:type="dxa"/>
        </w:tcPr>
        <w:p w:rsidR="00DA6D22" w:rsidRDefault="00DB1E57">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XXXX</w:t>
          </w:r>
        </w:p>
      </w:tc>
    </w:tr>
    <w:tr w:rsidR="00DA6D22">
      <w:trPr>
        <w:trHeight w:val="342"/>
      </w:trPr>
      <w:tc>
        <w:tcPr>
          <w:tcW w:w="2509" w:type="dxa"/>
        </w:tcPr>
        <w:p w:rsidR="00DA6D22" w:rsidRDefault="00DA6D22">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302" w:type="dxa"/>
        </w:tcPr>
        <w:p w:rsidR="00DA6D22" w:rsidRDefault="00DA6D22">
          <w:pP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Partido de la Revolución Democrática </w:t>
          </w:r>
          <w:r w:rsidR="007178C4">
            <w:rPr>
              <w:rFonts w:ascii="Palatino Linotype" w:eastAsia="Palatino Linotype" w:hAnsi="Palatino Linotype" w:cs="Palatino Linotype"/>
              <w:color w:val="000000"/>
              <w:sz w:val="22"/>
              <w:szCs w:val="22"/>
            </w:rPr>
            <w:t>Estado de México</w:t>
          </w:r>
        </w:p>
      </w:tc>
    </w:tr>
    <w:tr w:rsidR="00DA6D22">
      <w:trPr>
        <w:trHeight w:val="342"/>
      </w:trPr>
      <w:tc>
        <w:tcPr>
          <w:tcW w:w="2509" w:type="dxa"/>
        </w:tcPr>
        <w:p w:rsidR="00DA6D22" w:rsidRDefault="00DA6D22">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302" w:type="dxa"/>
        </w:tcPr>
        <w:p w:rsidR="00DA6D22" w:rsidRDefault="00DA6D22">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A6D22" w:rsidRDefault="00030825">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1DEA"/>
    <w:multiLevelType w:val="multilevel"/>
    <w:tmpl w:val="8D58D790"/>
    <w:lvl w:ilvl="0">
      <w:start w:val="1"/>
      <w:numFmt w:val="lowerLetter"/>
      <w:lvlText w:val="%1)"/>
      <w:lvlJc w:val="left"/>
      <w:pPr>
        <w:ind w:left="1287" w:hanging="360"/>
      </w:pPr>
      <w:rPr>
        <w:b/>
        <w:bCs/>
        <w:i w:val="0"/>
        <w:iCs w:val="0"/>
        <w:color w:val="000000"/>
        <w:sz w:val="24"/>
        <w:szCs w:val="24"/>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1A130C74"/>
    <w:multiLevelType w:val="multilevel"/>
    <w:tmpl w:val="C6D8F514"/>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EA3FE7"/>
    <w:multiLevelType w:val="hybridMultilevel"/>
    <w:tmpl w:val="77A683B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0CC6A59"/>
    <w:multiLevelType w:val="multilevel"/>
    <w:tmpl w:val="423A0144"/>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107504"/>
    <w:multiLevelType w:val="multilevel"/>
    <w:tmpl w:val="E466D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7426D1"/>
    <w:multiLevelType w:val="multilevel"/>
    <w:tmpl w:val="AA585E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1275EC"/>
    <w:multiLevelType w:val="multilevel"/>
    <w:tmpl w:val="5AF28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ED11E0"/>
    <w:multiLevelType w:val="multilevel"/>
    <w:tmpl w:val="D1D8EC3C"/>
    <w:lvl w:ilvl="0">
      <w:start w:val="1"/>
      <w:numFmt w:val="decimal"/>
      <w:pStyle w:val="Listaconvietas2"/>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B2783F"/>
    <w:multiLevelType w:val="multilevel"/>
    <w:tmpl w:val="D534D8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025089F"/>
    <w:multiLevelType w:val="multilevel"/>
    <w:tmpl w:val="EF9A8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8"/>
  </w:num>
  <w:num w:numId="3">
    <w:abstractNumId w:val="9"/>
  </w:num>
  <w:num w:numId="4">
    <w:abstractNumId w:val="4"/>
  </w:num>
  <w:num w:numId="5">
    <w:abstractNumId w:val="7"/>
  </w:num>
  <w:num w:numId="6">
    <w:abstractNumId w:val="3"/>
  </w:num>
  <w:num w:numId="7">
    <w:abstractNumId w:val="0"/>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D4E"/>
    <w:rsid w:val="00021BD3"/>
    <w:rsid w:val="00030825"/>
    <w:rsid w:val="00212F6F"/>
    <w:rsid w:val="00277A9F"/>
    <w:rsid w:val="003D344E"/>
    <w:rsid w:val="006818A7"/>
    <w:rsid w:val="007178C4"/>
    <w:rsid w:val="007616CB"/>
    <w:rsid w:val="00774EF3"/>
    <w:rsid w:val="007B27F1"/>
    <w:rsid w:val="00863BB2"/>
    <w:rsid w:val="008D2022"/>
    <w:rsid w:val="00AF5C27"/>
    <w:rsid w:val="00C14A3E"/>
    <w:rsid w:val="00CA1D4E"/>
    <w:rsid w:val="00DA6D22"/>
    <w:rsid w:val="00DB1E57"/>
    <w:rsid w:val="00E16408"/>
    <w:rsid w:val="00E65E9A"/>
    <w:rsid w:val="00E76C4B"/>
    <w:rsid w:val="00E8569E"/>
    <w:rsid w:val="00EA11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C1E6B9E-51E4-41A8-8D68-1B209874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9">
    <w:name w:val="9"/>
    <w:basedOn w:val="TableNormal1"/>
    <w:tblPr>
      <w:tblStyleRowBandSize w:val="1"/>
      <w:tblStyleColBandSize w:val="1"/>
      <w:tblCellMar>
        <w:left w:w="70" w:type="dxa"/>
        <w:right w:w="70"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70" w:type="dxa"/>
        <w:right w:w="70" w:type="dxa"/>
      </w:tblCellMar>
    </w:tblPr>
  </w:style>
  <w:style w:type="table" w:customStyle="1" w:styleId="1">
    <w:name w:val="1"/>
    <w:basedOn w:val="TableNormal2"/>
    <w:tblPr>
      <w:tblStyleRowBandSize w:val="1"/>
      <w:tblStyleColBandSize w:val="1"/>
      <w:tblCellMar>
        <w:left w:w="70" w:type="dxa"/>
        <w:right w:w="70" w:type="dxa"/>
      </w:tblCellMar>
    </w:tblPr>
  </w:style>
  <w:style w:type="paragraph" w:styleId="NormalWeb">
    <w:name w:val="Normal (Web)"/>
    <w:basedOn w:val="Normal"/>
    <w:uiPriority w:val="99"/>
    <w:rsid w:val="00E23049"/>
    <w:pPr>
      <w:spacing w:before="100" w:beforeAutospacing="1" w:after="100" w:afterAutospacing="1"/>
    </w:pPr>
    <w:rPr>
      <w:rFonts w:ascii="Times New Roman" w:eastAsia="Times New Roman" w:hAnsi="Times New Roman" w:cs="Times New Roman"/>
      <w:lang w:val="es-ES"/>
    </w:rPr>
  </w:style>
  <w:style w:type="paragraph" w:customStyle="1" w:styleId="Default">
    <w:name w:val="Default"/>
    <w:rsid w:val="00444D78"/>
    <w:pPr>
      <w:autoSpaceDE w:val="0"/>
      <w:autoSpaceDN w:val="0"/>
      <w:adjustRightInd w:val="0"/>
    </w:pPr>
    <w:rPr>
      <w:rFonts w:ascii="Arial" w:eastAsiaTheme="minorHAnsi" w:hAnsi="Arial" w:cs="Arial"/>
      <w:color w:val="000000"/>
      <w:lang w:val="es-MX"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Kf16GH0xugcu35HpAiQUa/qYbA==">CgMxLjAyCGguZ2pkZ3hzMg5oLjg0bTI5dWJ2NzFnczIJaC4yZXQ5MnAwMghoLnR5amN3dDIJaC4zZHk2dmttMgloLjF0M2g1c2YyCWguNGQzNG9nODIOaC56NjRoOHB3MmM1cjIyCGgubG54Yno5OAByITFuc3Z0NUJNYkhUUHRQbkdxNW53aDFmcUdXSFdSWU10VA==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52</Pages>
  <Words>11784</Words>
  <Characters>64816</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14</cp:revision>
  <cp:lastPrinted>2026-04-10T16:06:00Z</cp:lastPrinted>
  <dcterms:created xsi:type="dcterms:W3CDTF">2026-03-26T01:34:00Z</dcterms:created>
  <dcterms:modified xsi:type="dcterms:W3CDTF">2026-04-15T18:39:00Z</dcterms:modified>
</cp:coreProperties>
</file>