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ED9F4C" w14:textId="1A18B22A" w:rsidR="00C877F6" w:rsidRPr="003B0000" w:rsidRDefault="00F36565">
      <w:pPr>
        <w:spacing w:line="360" w:lineRule="auto"/>
        <w:ind w:right="49" w:hanging="22"/>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426E89" w:rsidRPr="003B0000">
        <w:rPr>
          <w:rFonts w:ascii="Palatino Linotype" w:eastAsia="Palatino Linotype" w:hAnsi="Palatino Linotype" w:cs="Palatino Linotype"/>
          <w:b/>
          <w:sz w:val="22"/>
          <w:szCs w:val="22"/>
        </w:rPr>
        <w:t>cinco</w:t>
      </w:r>
      <w:r w:rsidR="00D52078" w:rsidRPr="003B0000">
        <w:rPr>
          <w:rFonts w:ascii="Palatino Linotype" w:eastAsia="Palatino Linotype" w:hAnsi="Palatino Linotype" w:cs="Palatino Linotype"/>
          <w:b/>
          <w:sz w:val="22"/>
          <w:szCs w:val="22"/>
        </w:rPr>
        <w:t xml:space="preserve"> de </w:t>
      </w:r>
      <w:r w:rsidR="00426E89" w:rsidRPr="003B0000">
        <w:rPr>
          <w:rFonts w:ascii="Palatino Linotype" w:eastAsia="Palatino Linotype" w:hAnsi="Palatino Linotype" w:cs="Palatino Linotype"/>
          <w:b/>
          <w:sz w:val="22"/>
          <w:szCs w:val="22"/>
        </w:rPr>
        <w:t>febrero</w:t>
      </w:r>
      <w:r w:rsidRPr="003B0000">
        <w:rPr>
          <w:rFonts w:ascii="Palatino Linotype" w:eastAsia="Palatino Linotype" w:hAnsi="Palatino Linotype" w:cs="Palatino Linotype"/>
          <w:sz w:val="22"/>
          <w:szCs w:val="22"/>
        </w:rPr>
        <w:t xml:space="preserve"> </w:t>
      </w:r>
      <w:r w:rsidR="000C6DFE" w:rsidRPr="003B0000">
        <w:rPr>
          <w:rFonts w:ascii="Palatino Linotype" w:eastAsia="Palatino Linotype" w:hAnsi="Palatino Linotype" w:cs="Palatino Linotype"/>
          <w:b/>
          <w:sz w:val="22"/>
          <w:szCs w:val="22"/>
        </w:rPr>
        <w:t>de dos mil veintiséis.</w:t>
      </w:r>
    </w:p>
    <w:p w14:paraId="7F051BA5" w14:textId="77777777" w:rsidR="00C877F6" w:rsidRPr="003B0000" w:rsidRDefault="00C877F6">
      <w:pPr>
        <w:spacing w:line="360" w:lineRule="auto"/>
        <w:ind w:right="49"/>
        <w:jc w:val="both"/>
        <w:rPr>
          <w:rFonts w:ascii="Palatino Linotype" w:eastAsia="Palatino Linotype" w:hAnsi="Palatino Linotype" w:cs="Palatino Linotype"/>
          <w:sz w:val="22"/>
          <w:szCs w:val="22"/>
        </w:rPr>
      </w:pPr>
    </w:p>
    <w:p w14:paraId="02027E82" w14:textId="303BC13C" w:rsidR="00C877F6" w:rsidRPr="003B0000" w:rsidRDefault="00F36565">
      <w:pPr>
        <w:spacing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 xml:space="preserve">VISTO </w:t>
      </w:r>
      <w:r w:rsidRPr="003B0000">
        <w:rPr>
          <w:rFonts w:ascii="Palatino Linotype" w:eastAsia="Palatino Linotype" w:hAnsi="Palatino Linotype" w:cs="Palatino Linotype"/>
          <w:sz w:val="22"/>
          <w:szCs w:val="22"/>
        </w:rPr>
        <w:t xml:space="preserve">el expediente relativo al recurso de revisión </w:t>
      </w:r>
      <w:r w:rsidR="00426E89" w:rsidRPr="003B0000">
        <w:rPr>
          <w:rFonts w:ascii="Palatino Linotype" w:eastAsia="Palatino Linotype" w:hAnsi="Palatino Linotype" w:cs="Palatino Linotype"/>
          <w:b/>
          <w:sz w:val="22"/>
          <w:szCs w:val="22"/>
        </w:rPr>
        <w:t>12969/INFOEM/IP/RR/2025</w:t>
      </w:r>
      <w:r w:rsidRPr="003B0000">
        <w:rPr>
          <w:rFonts w:ascii="Palatino Linotype" w:eastAsia="Palatino Linotype" w:hAnsi="Palatino Linotype" w:cs="Palatino Linotype"/>
          <w:b/>
          <w:sz w:val="22"/>
          <w:szCs w:val="22"/>
        </w:rPr>
        <w:t xml:space="preserve">, </w:t>
      </w:r>
      <w:r w:rsidRPr="003B0000">
        <w:rPr>
          <w:rFonts w:ascii="Palatino Linotype" w:eastAsia="Palatino Linotype" w:hAnsi="Palatino Linotype" w:cs="Palatino Linotype"/>
          <w:sz w:val="22"/>
          <w:szCs w:val="22"/>
        </w:rPr>
        <w:t xml:space="preserve">interpuesto por </w:t>
      </w:r>
      <w:r w:rsidR="00136E5E" w:rsidRPr="00136E5E">
        <w:rPr>
          <w:rFonts w:ascii="Palatino Linotype" w:eastAsia="Palatino Linotype" w:hAnsi="Palatino Linotype" w:cs="Palatino Linotype"/>
          <w:b/>
          <w:sz w:val="22"/>
          <w:szCs w:val="20"/>
        </w:rPr>
        <w:t>XXXXXXXXX XXXXX</w:t>
      </w:r>
      <w:r w:rsidR="00DE7292" w:rsidRPr="00136E5E">
        <w:rPr>
          <w:rFonts w:ascii="Palatino Linotype" w:eastAsia="Palatino Linotype" w:hAnsi="Palatino Linotype" w:cs="Palatino Linotype"/>
          <w:b/>
          <w:sz w:val="22"/>
          <w:szCs w:val="20"/>
        </w:rPr>
        <w:t>,</w:t>
      </w:r>
      <w:bookmarkStart w:id="0" w:name="_GoBack"/>
      <w:bookmarkEnd w:id="0"/>
      <w:r w:rsidRPr="003B0000">
        <w:rPr>
          <w:rFonts w:ascii="Palatino Linotype" w:eastAsia="Palatino Linotype" w:hAnsi="Palatino Linotype" w:cs="Palatino Linotype"/>
          <w:sz w:val="22"/>
          <w:szCs w:val="22"/>
        </w:rPr>
        <w:t xml:space="preserve"> en lo sucesivo la parte </w:t>
      </w:r>
      <w:r w:rsidRPr="003B0000">
        <w:rPr>
          <w:rFonts w:ascii="Palatino Linotype" w:eastAsia="Palatino Linotype" w:hAnsi="Palatino Linotype" w:cs="Palatino Linotype"/>
          <w:b/>
          <w:sz w:val="22"/>
          <w:szCs w:val="22"/>
        </w:rPr>
        <w:t>Recurrente</w:t>
      </w:r>
      <w:r w:rsidRPr="003B0000">
        <w:rPr>
          <w:rFonts w:ascii="Palatino Linotype" w:eastAsia="Palatino Linotype" w:hAnsi="Palatino Linotype" w:cs="Palatino Linotype"/>
          <w:sz w:val="22"/>
          <w:szCs w:val="22"/>
        </w:rPr>
        <w:t xml:space="preserve">, en contra de la respuesta a la solicitud de información por parte del </w:t>
      </w:r>
      <w:r w:rsidR="00426E89" w:rsidRPr="003B0000">
        <w:rPr>
          <w:rFonts w:ascii="Palatino Linotype" w:eastAsia="Palatino Linotype" w:hAnsi="Palatino Linotype" w:cs="Palatino Linotype"/>
          <w:b/>
          <w:sz w:val="22"/>
          <w:szCs w:val="22"/>
        </w:rPr>
        <w:t>Poder Legislativo</w:t>
      </w:r>
      <w:r w:rsidRPr="003B0000">
        <w:rPr>
          <w:rFonts w:ascii="Palatino Linotype" w:eastAsia="Palatino Linotype" w:hAnsi="Palatino Linotype" w:cs="Palatino Linotype"/>
          <w:sz w:val="22"/>
          <w:szCs w:val="22"/>
        </w:rPr>
        <w:t xml:space="preserve">, en lo sucesivo el </w:t>
      </w:r>
      <w:r w:rsidRPr="003B0000">
        <w:rPr>
          <w:rFonts w:ascii="Palatino Linotype" w:eastAsia="Palatino Linotype" w:hAnsi="Palatino Linotype" w:cs="Palatino Linotype"/>
          <w:b/>
          <w:sz w:val="22"/>
          <w:szCs w:val="22"/>
        </w:rPr>
        <w:t xml:space="preserve">Sujeto Obligado; </w:t>
      </w:r>
      <w:r w:rsidRPr="003B0000">
        <w:rPr>
          <w:rFonts w:ascii="Palatino Linotype" w:eastAsia="Palatino Linotype" w:hAnsi="Palatino Linotype" w:cs="Palatino Linotype"/>
          <w:sz w:val="22"/>
          <w:szCs w:val="22"/>
        </w:rPr>
        <w:t>se procede a dictar la presente resolución, con base en lo siguiente.</w:t>
      </w:r>
    </w:p>
    <w:p w14:paraId="34BBF48E" w14:textId="77777777" w:rsidR="00C877F6" w:rsidRPr="003B0000" w:rsidRDefault="00C877F6">
      <w:pPr>
        <w:spacing w:line="360" w:lineRule="auto"/>
        <w:ind w:right="49"/>
        <w:jc w:val="both"/>
        <w:rPr>
          <w:rFonts w:ascii="Palatino Linotype" w:eastAsia="Palatino Linotype" w:hAnsi="Palatino Linotype" w:cs="Palatino Linotype"/>
          <w:sz w:val="22"/>
          <w:szCs w:val="22"/>
        </w:rPr>
      </w:pPr>
    </w:p>
    <w:p w14:paraId="29A1AF53" w14:textId="5EB2DA70" w:rsidR="00C877F6" w:rsidRPr="003B0000" w:rsidRDefault="00F36565">
      <w:pPr>
        <w:spacing w:line="360" w:lineRule="auto"/>
        <w:ind w:right="49"/>
        <w:jc w:val="center"/>
        <w:rPr>
          <w:rFonts w:ascii="Palatino Linotype" w:eastAsia="Palatino Linotype" w:hAnsi="Palatino Linotype" w:cs="Palatino Linotype"/>
          <w:b/>
          <w:sz w:val="22"/>
          <w:szCs w:val="22"/>
        </w:rPr>
      </w:pPr>
      <w:r w:rsidRPr="003B0000">
        <w:rPr>
          <w:rFonts w:ascii="Palatino Linotype" w:eastAsia="Palatino Linotype" w:hAnsi="Palatino Linotype" w:cs="Palatino Linotype"/>
          <w:b/>
          <w:sz w:val="22"/>
          <w:szCs w:val="22"/>
        </w:rPr>
        <w:t>I.</w:t>
      </w:r>
      <w:r w:rsidRPr="003B0000">
        <w:rPr>
          <w:rFonts w:ascii="Palatino Linotype" w:eastAsia="Palatino Linotype" w:hAnsi="Palatino Linotype" w:cs="Palatino Linotype"/>
          <w:b/>
          <w:sz w:val="22"/>
          <w:szCs w:val="22"/>
        </w:rPr>
        <w:tab/>
        <w:t>A N T E C E D E N T E S</w:t>
      </w:r>
      <w:r w:rsidR="005C74CB" w:rsidRPr="003B0000">
        <w:rPr>
          <w:rFonts w:ascii="Palatino Linotype" w:eastAsia="Palatino Linotype" w:hAnsi="Palatino Linotype" w:cs="Palatino Linotype"/>
          <w:b/>
          <w:sz w:val="22"/>
          <w:szCs w:val="22"/>
        </w:rPr>
        <w:t xml:space="preserve"> </w:t>
      </w:r>
    </w:p>
    <w:p w14:paraId="3ACFD56D" w14:textId="77777777" w:rsidR="00C877F6" w:rsidRPr="003B0000" w:rsidRDefault="00C877F6">
      <w:pPr>
        <w:spacing w:line="360" w:lineRule="auto"/>
        <w:ind w:right="49"/>
        <w:jc w:val="both"/>
        <w:rPr>
          <w:rFonts w:ascii="Palatino Linotype" w:eastAsia="Palatino Linotype" w:hAnsi="Palatino Linotype" w:cs="Palatino Linotype"/>
          <w:sz w:val="22"/>
          <w:szCs w:val="22"/>
        </w:rPr>
      </w:pPr>
    </w:p>
    <w:p w14:paraId="523B7B02" w14:textId="3CDCBA26" w:rsidR="00C877F6" w:rsidRPr="003B0000" w:rsidRDefault="00F36565">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1.</w:t>
      </w:r>
      <w:r w:rsidRPr="003B0000">
        <w:rPr>
          <w:rFonts w:ascii="Palatino Linotype" w:eastAsia="Palatino Linotype" w:hAnsi="Palatino Linotype" w:cs="Palatino Linotype"/>
          <w:sz w:val="22"/>
          <w:szCs w:val="22"/>
        </w:rPr>
        <w:t xml:space="preserve"> </w:t>
      </w:r>
      <w:r w:rsidRPr="003B0000">
        <w:rPr>
          <w:rFonts w:ascii="Palatino Linotype" w:eastAsia="Palatino Linotype" w:hAnsi="Palatino Linotype" w:cs="Palatino Linotype"/>
          <w:b/>
          <w:sz w:val="22"/>
          <w:szCs w:val="22"/>
        </w:rPr>
        <w:t xml:space="preserve">Solicitud </w:t>
      </w:r>
      <w:r w:rsidR="00D3382D" w:rsidRPr="003B0000">
        <w:rPr>
          <w:rFonts w:ascii="Palatino Linotype" w:eastAsia="Palatino Linotype" w:hAnsi="Palatino Linotype" w:cs="Palatino Linotype"/>
          <w:b/>
          <w:sz w:val="22"/>
          <w:szCs w:val="22"/>
        </w:rPr>
        <w:t xml:space="preserve">de </w:t>
      </w:r>
      <w:r w:rsidR="009456FA" w:rsidRPr="003B0000">
        <w:rPr>
          <w:rFonts w:ascii="Palatino Linotype" w:eastAsia="Palatino Linotype" w:hAnsi="Palatino Linotype" w:cs="Palatino Linotype"/>
          <w:b/>
          <w:sz w:val="22"/>
          <w:szCs w:val="22"/>
        </w:rPr>
        <w:t xml:space="preserve">Acceso a la Información. El </w:t>
      </w:r>
      <w:r w:rsidR="00426E89" w:rsidRPr="003B0000">
        <w:rPr>
          <w:rFonts w:ascii="Palatino Linotype" w:eastAsia="Palatino Linotype" w:hAnsi="Palatino Linotype" w:cs="Palatino Linotype"/>
          <w:b/>
          <w:sz w:val="22"/>
          <w:szCs w:val="22"/>
        </w:rPr>
        <w:t xml:space="preserve">diecisiete </w:t>
      </w:r>
      <w:r w:rsidR="00D3382D" w:rsidRPr="003B0000">
        <w:rPr>
          <w:rFonts w:ascii="Palatino Linotype" w:eastAsia="Palatino Linotype" w:hAnsi="Palatino Linotype" w:cs="Palatino Linotype"/>
          <w:b/>
          <w:sz w:val="22"/>
          <w:szCs w:val="22"/>
        </w:rPr>
        <w:t xml:space="preserve">de </w:t>
      </w:r>
      <w:r w:rsidR="00426E89" w:rsidRPr="003B0000">
        <w:rPr>
          <w:rFonts w:ascii="Palatino Linotype" w:eastAsia="Palatino Linotype" w:hAnsi="Palatino Linotype" w:cs="Palatino Linotype"/>
          <w:b/>
          <w:sz w:val="22"/>
          <w:szCs w:val="22"/>
        </w:rPr>
        <w:t>octubre</w:t>
      </w:r>
      <w:r w:rsidRPr="003B0000">
        <w:rPr>
          <w:rFonts w:ascii="Palatino Linotype" w:eastAsia="Palatino Linotype" w:hAnsi="Palatino Linotype" w:cs="Palatino Linotype"/>
          <w:b/>
          <w:sz w:val="22"/>
          <w:szCs w:val="22"/>
        </w:rPr>
        <w:t xml:space="preserve"> de dos mil veinticinco</w:t>
      </w:r>
      <w:r w:rsidRPr="003B0000">
        <w:rPr>
          <w:rFonts w:ascii="Palatino Linotype" w:eastAsia="Palatino Linotype" w:hAnsi="Palatino Linotype" w:cs="Palatino Linotype"/>
          <w:sz w:val="22"/>
          <w:szCs w:val="22"/>
        </w:rPr>
        <w:t xml:space="preserve">, </w:t>
      </w:r>
      <w:r w:rsidRPr="003B0000">
        <w:rPr>
          <w:rFonts w:ascii="Palatino Linotype" w:eastAsia="Palatino Linotype" w:hAnsi="Palatino Linotype" w:cs="Palatino Linotype"/>
          <w:b/>
          <w:sz w:val="22"/>
          <w:szCs w:val="22"/>
        </w:rPr>
        <w:t>LA PARTE</w:t>
      </w:r>
      <w:r w:rsidRPr="003B0000">
        <w:rPr>
          <w:rFonts w:ascii="Palatino Linotype" w:eastAsia="Palatino Linotype" w:hAnsi="Palatino Linotype" w:cs="Palatino Linotype"/>
          <w:sz w:val="22"/>
          <w:szCs w:val="22"/>
        </w:rPr>
        <w:t xml:space="preserve"> </w:t>
      </w:r>
      <w:r w:rsidRPr="003B0000">
        <w:rPr>
          <w:rFonts w:ascii="Palatino Linotype" w:eastAsia="Palatino Linotype" w:hAnsi="Palatino Linotype" w:cs="Palatino Linotype"/>
          <w:b/>
          <w:sz w:val="22"/>
          <w:szCs w:val="22"/>
        </w:rPr>
        <w:t>RECURRENTE</w:t>
      </w:r>
      <w:r w:rsidRPr="003B0000">
        <w:rPr>
          <w:rFonts w:ascii="Palatino Linotype" w:eastAsia="Palatino Linotype" w:hAnsi="Palatino Linotype" w:cs="Palatino Linotype"/>
          <w:sz w:val="22"/>
          <w:szCs w:val="22"/>
        </w:rPr>
        <w:t xml:space="preserve"> formuló solicitud de acceso a información pública a través del </w:t>
      </w:r>
      <w:r w:rsidRPr="003B0000">
        <w:rPr>
          <w:rFonts w:ascii="Palatino Linotype" w:eastAsia="Palatino Linotype" w:hAnsi="Palatino Linotype" w:cs="Palatino Linotype"/>
          <w:b/>
          <w:sz w:val="22"/>
          <w:szCs w:val="22"/>
        </w:rPr>
        <w:t>SAIMEX</w:t>
      </w:r>
      <w:r w:rsidRPr="003B0000">
        <w:rPr>
          <w:rFonts w:ascii="Palatino Linotype" w:eastAsia="Palatino Linotype" w:hAnsi="Palatino Linotype" w:cs="Palatino Linotype"/>
          <w:sz w:val="22"/>
          <w:szCs w:val="22"/>
        </w:rPr>
        <w:t xml:space="preserve">, en la que requirió lo siguiente: </w:t>
      </w:r>
    </w:p>
    <w:p w14:paraId="4EEACF59" w14:textId="77777777" w:rsidR="00C877F6" w:rsidRPr="003B0000" w:rsidRDefault="00C877F6">
      <w:pPr>
        <w:spacing w:line="360" w:lineRule="auto"/>
        <w:jc w:val="both"/>
        <w:rPr>
          <w:rFonts w:ascii="Palatino Linotype" w:eastAsia="Palatino Linotype" w:hAnsi="Palatino Linotype" w:cs="Palatino Linotype"/>
          <w:sz w:val="22"/>
          <w:szCs w:val="22"/>
        </w:rPr>
      </w:pPr>
    </w:p>
    <w:p w14:paraId="21215815" w14:textId="7D2CF485" w:rsidR="00C877F6" w:rsidRPr="003B0000" w:rsidRDefault="00F36565" w:rsidP="001244B6">
      <w:pPr>
        <w:numPr>
          <w:ilvl w:val="0"/>
          <w:numId w:val="2"/>
        </w:numPr>
        <w:pBdr>
          <w:top w:val="nil"/>
          <w:left w:val="nil"/>
          <w:bottom w:val="nil"/>
          <w:right w:val="nil"/>
          <w:between w:val="nil"/>
        </w:pBdr>
        <w:spacing w:line="360" w:lineRule="auto"/>
        <w:ind w:left="567" w:right="49"/>
        <w:jc w:val="both"/>
        <w:rPr>
          <w:rFonts w:ascii="Palatino Linotype" w:eastAsia="Palatino Linotype" w:hAnsi="Palatino Linotype" w:cs="Palatino Linotype"/>
          <w:b/>
          <w:sz w:val="22"/>
          <w:szCs w:val="22"/>
        </w:rPr>
      </w:pPr>
      <w:bookmarkStart w:id="1" w:name="_heading=h.3znysh7" w:colFirst="0" w:colLast="0"/>
      <w:bookmarkEnd w:id="1"/>
      <w:r w:rsidRPr="003B0000">
        <w:rPr>
          <w:rFonts w:ascii="Palatino Linotype" w:eastAsia="Palatino Linotype" w:hAnsi="Palatino Linotype" w:cs="Palatino Linotype"/>
          <w:b/>
          <w:sz w:val="22"/>
          <w:szCs w:val="22"/>
        </w:rPr>
        <w:t>0</w:t>
      </w:r>
      <w:r w:rsidR="00DE7292" w:rsidRPr="003B0000">
        <w:rPr>
          <w:rFonts w:ascii="Palatino Linotype" w:eastAsia="Palatino Linotype" w:hAnsi="Palatino Linotype" w:cs="Palatino Linotype"/>
          <w:b/>
          <w:sz w:val="22"/>
          <w:szCs w:val="22"/>
        </w:rPr>
        <w:t>0</w:t>
      </w:r>
      <w:r w:rsidR="00426E89" w:rsidRPr="003B0000">
        <w:rPr>
          <w:rFonts w:ascii="Palatino Linotype" w:eastAsia="Palatino Linotype" w:hAnsi="Palatino Linotype" w:cs="Palatino Linotype"/>
          <w:b/>
          <w:sz w:val="22"/>
          <w:szCs w:val="22"/>
        </w:rPr>
        <w:t>659</w:t>
      </w:r>
      <w:r w:rsidRPr="003B0000">
        <w:rPr>
          <w:rFonts w:ascii="Palatino Linotype" w:eastAsia="Palatino Linotype" w:hAnsi="Palatino Linotype" w:cs="Palatino Linotype"/>
          <w:b/>
          <w:sz w:val="22"/>
          <w:szCs w:val="22"/>
        </w:rPr>
        <w:t>/</w:t>
      </w:r>
      <w:r w:rsidR="00426E89" w:rsidRPr="003B0000">
        <w:rPr>
          <w:rFonts w:ascii="Palatino Linotype" w:eastAsia="Palatino Linotype" w:hAnsi="Palatino Linotype" w:cs="Palatino Linotype"/>
          <w:b/>
          <w:sz w:val="22"/>
          <w:szCs w:val="22"/>
        </w:rPr>
        <w:t>PLEGISLA</w:t>
      </w:r>
      <w:r w:rsidRPr="003B0000">
        <w:rPr>
          <w:rFonts w:ascii="Palatino Linotype" w:eastAsia="Palatino Linotype" w:hAnsi="Palatino Linotype" w:cs="Palatino Linotype"/>
          <w:b/>
          <w:sz w:val="22"/>
          <w:szCs w:val="22"/>
        </w:rPr>
        <w:t>/IP/2025</w:t>
      </w:r>
    </w:p>
    <w:p w14:paraId="173CF3CD" w14:textId="493A9B81" w:rsidR="00C877F6" w:rsidRPr="003B0000" w:rsidRDefault="00F36565">
      <w:pPr>
        <w:spacing w:line="276" w:lineRule="auto"/>
        <w:ind w:left="567" w:right="843"/>
        <w:jc w:val="both"/>
        <w:rPr>
          <w:rFonts w:ascii="Palatino Linotype" w:eastAsia="Palatino Linotype" w:hAnsi="Palatino Linotype" w:cs="Palatino Linotype"/>
          <w:b/>
          <w:i/>
          <w:sz w:val="22"/>
          <w:szCs w:val="22"/>
        </w:rPr>
      </w:pPr>
      <w:r w:rsidRPr="003B0000">
        <w:rPr>
          <w:rFonts w:ascii="Palatino Linotype" w:eastAsia="Palatino Linotype" w:hAnsi="Palatino Linotype" w:cs="Palatino Linotype"/>
          <w:i/>
          <w:sz w:val="22"/>
          <w:szCs w:val="22"/>
        </w:rPr>
        <w:t>"</w:t>
      </w:r>
      <w:r w:rsidR="00C1728E" w:rsidRPr="003B0000">
        <w:rPr>
          <w:rFonts w:ascii="Palatino Linotype" w:eastAsia="Palatino Linotype" w:hAnsi="Palatino Linotype" w:cs="Palatino Linotype"/>
          <w:i/>
          <w:sz w:val="22"/>
          <w:szCs w:val="22"/>
        </w:rPr>
        <w:t xml:space="preserve">La información académica de los servidores públicos es considerada información pública de oficio y es fundamental para verificar el cumplimiento de los perfiles profesionales requeridos para el cargo. Esta solicitud se realiza en el marco de la transparencia y la rendición de cuentas, buscando garantizar la legalidad y probidad en el ejercicio de la función pública, especialmente en relación con la asunción de grados académicos. Con fundamento en el Artículo 6° de la Constitución Política de los Estados Unidos Mexicanos, la Ley General de Transparencia y Acceso a la Información Pública, y la normatividad local aplicable, solicito la siguiente información pública y documentada: Copia del Título de Licenciatura de la C. Emma Aguilar, servidora pública adscrita a la Biblioteca Legislativa, perteneciente a la Dirección de Asuntos Parlamentarios. Copia de la Cédula Profesional que ampara el Título de Licenciatura de </w:t>
      </w:r>
      <w:r w:rsidR="00C1728E" w:rsidRPr="003B0000">
        <w:rPr>
          <w:rFonts w:ascii="Palatino Linotype" w:eastAsia="Palatino Linotype" w:hAnsi="Palatino Linotype" w:cs="Palatino Linotype"/>
          <w:i/>
          <w:sz w:val="22"/>
          <w:szCs w:val="22"/>
        </w:rPr>
        <w:lastRenderedPageBreak/>
        <w:t>la C. Emma Aguilar. Copia del Título de Maestría de la C. Emma Aguilar, dado que se ostenta con el grado de "Maestra" en el ejercicio de sus funciones públicas. Copia de la Cédula Profesional que ampara el Título de Maestría de la C. Emma Aguilar.</w:t>
      </w:r>
      <w:r w:rsidR="00DE7292" w:rsidRPr="003B0000">
        <w:rPr>
          <w:rFonts w:ascii="Palatino Linotype" w:eastAsia="Palatino Linotype" w:hAnsi="Palatino Linotype" w:cs="Palatino Linotype"/>
          <w:i/>
          <w:sz w:val="22"/>
          <w:szCs w:val="22"/>
        </w:rPr>
        <w:t>.</w:t>
      </w:r>
      <w:r w:rsidRPr="003B0000">
        <w:rPr>
          <w:rFonts w:ascii="Palatino Linotype" w:eastAsia="Palatino Linotype" w:hAnsi="Palatino Linotype" w:cs="Palatino Linotype"/>
          <w:b/>
          <w:i/>
          <w:sz w:val="22"/>
          <w:szCs w:val="22"/>
        </w:rPr>
        <w:t>” (Sic.)</w:t>
      </w:r>
    </w:p>
    <w:p w14:paraId="1861AE9B" w14:textId="77777777" w:rsidR="00C877F6" w:rsidRPr="003B0000" w:rsidRDefault="00C877F6">
      <w:pPr>
        <w:spacing w:line="360" w:lineRule="auto"/>
        <w:ind w:left="567" w:right="843"/>
        <w:jc w:val="both"/>
        <w:rPr>
          <w:rFonts w:ascii="Palatino Linotype" w:eastAsia="Palatino Linotype" w:hAnsi="Palatino Linotype" w:cs="Palatino Linotype"/>
          <w:i/>
          <w:sz w:val="22"/>
          <w:szCs w:val="22"/>
        </w:rPr>
      </w:pPr>
    </w:p>
    <w:p w14:paraId="76742D72" w14:textId="75EF5275" w:rsidR="00C877F6" w:rsidRPr="003B0000" w:rsidRDefault="00F36565">
      <w:pPr>
        <w:spacing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Modalidad elegida para la entrega de la información:</w:t>
      </w:r>
      <w:r w:rsidR="00C1728E" w:rsidRPr="003B0000">
        <w:rPr>
          <w:rFonts w:ascii="Palatino Linotype" w:eastAsia="Palatino Linotype" w:hAnsi="Palatino Linotype" w:cs="Palatino Linotype"/>
          <w:sz w:val="22"/>
          <w:szCs w:val="22"/>
        </w:rPr>
        <w:t xml:space="preserve"> Consulta directa sin costo</w:t>
      </w:r>
      <w:r w:rsidRPr="003B0000">
        <w:rPr>
          <w:rFonts w:ascii="Palatino Linotype" w:eastAsia="Palatino Linotype" w:hAnsi="Palatino Linotype" w:cs="Palatino Linotype"/>
          <w:sz w:val="22"/>
          <w:szCs w:val="22"/>
        </w:rPr>
        <w:t>.</w:t>
      </w:r>
    </w:p>
    <w:p w14:paraId="62007702" w14:textId="77777777" w:rsidR="00C877F6" w:rsidRPr="003B0000" w:rsidRDefault="00C877F6">
      <w:pPr>
        <w:widowControl w:val="0"/>
        <w:spacing w:line="360" w:lineRule="auto"/>
        <w:jc w:val="both"/>
        <w:rPr>
          <w:rFonts w:ascii="Palatino Linotype" w:eastAsia="Palatino Linotype" w:hAnsi="Palatino Linotype" w:cs="Palatino Linotype"/>
          <w:b/>
          <w:sz w:val="22"/>
          <w:szCs w:val="22"/>
        </w:rPr>
      </w:pPr>
    </w:p>
    <w:p w14:paraId="46E266A9" w14:textId="2116A4E7" w:rsidR="00C877F6" w:rsidRPr="003B0000" w:rsidRDefault="00F36565">
      <w:pPr>
        <w:widowControl w:val="0"/>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2. Respuesta.</w:t>
      </w:r>
      <w:r w:rsidRPr="003B0000">
        <w:rPr>
          <w:rFonts w:ascii="Palatino Linotype" w:eastAsia="Palatino Linotype" w:hAnsi="Palatino Linotype" w:cs="Palatino Linotype"/>
          <w:sz w:val="22"/>
          <w:szCs w:val="22"/>
        </w:rPr>
        <w:t xml:space="preserve"> El </w:t>
      </w:r>
      <w:r w:rsidR="00C1728E" w:rsidRPr="003B0000">
        <w:rPr>
          <w:rFonts w:ascii="Palatino Linotype" w:eastAsia="Palatino Linotype" w:hAnsi="Palatino Linotype" w:cs="Palatino Linotype"/>
          <w:b/>
          <w:sz w:val="22"/>
          <w:szCs w:val="22"/>
        </w:rPr>
        <w:t>siete</w:t>
      </w:r>
      <w:r w:rsidRPr="003B0000">
        <w:rPr>
          <w:rFonts w:ascii="Palatino Linotype" w:eastAsia="Palatino Linotype" w:hAnsi="Palatino Linotype" w:cs="Palatino Linotype"/>
          <w:sz w:val="22"/>
          <w:szCs w:val="22"/>
        </w:rPr>
        <w:t xml:space="preserve"> </w:t>
      </w:r>
      <w:r w:rsidRPr="003B0000">
        <w:rPr>
          <w:rFonts w:ascii="Palatino Linotype" w:eastAsia="Palatino Linotype" w:hAnsi="Palatino Linotype" w:cs="Palatino Linotype"/>
          <w:b/>
          <w:sz w:val="22"/>
          <w:szCs w:val="22"/>
        </w:rPr>
        <w:t xml:space="preserve">de </w:t>
      </w:r>
      <w:r w:rsidR="00A16203" w:rsidRPr="003B0000">
        <w:rPr>
          <w:rFonts w:ascii="Palatino Linotype" w:eastAsia="Palatino Linotype" w:hAnsi="Palatino Linotype" w:cs="Palatino Linotype"/>
          <w:b/>
          <w:sz w:val="22"/>
          <w:szCs w:val="22"/>
        </w:rPr>
        <w:t>noviembre</w:t>
      </w:r>
      <w:r w:rsidR="009456FA" w:rsidRPr="003B0000">
        <w:rPr>
          <w:rFonts w:ascii="Palatino Linotype" w:eastAsia="Palatino Linotype" w:hAnsi="Palatino Linotype" w:cs="Palatino Linotype"/>
          <w:b/>
          <w:sz w:val="22"/>
          <w:szCs w:val="22"/>
        </w:rPr>
        <w:t xml:space="preserve"> </w:t>
      </w:r>
      <w:r w:rsidRPr="003B0000">
        <w:rPr>
          <w:rFonts w:ascii="Palatino Linotype" w:eastAsia="Palatino Linotype" w:hAnsi="Palatino Linotype" w:cs="Palatino Linotype"/>
          <w:b/>
          <w:sz w:val="22"/>
          <w:szCs w:val="22"/>
        </w:rPr>
        <w:t>de dos mil veinticinco</w:t>
      </w:r>
      <w:r w:rsidRPr="003B0000">
        <w:rPr>
          <w:rFonts w:ascii="Palatino Linotype" w:eastAsia="Palatino Linotype" w:hAnsi="Palatino Linotype" w:cs="Palatino Linotype"/>
          <w:sz w:val="22"/>
          <w:szCs w:val="22"/>
        </w:rPr>
        <w:t>, el Sujeto Obligado dio respuesta a la solicitud en los siguientes términos:</w:t>
      </w:r>
    </w:p>
    <w:p w14:paraId="7689408D" w14:textId="77777777" w:rsidR="00C877F6" w:rsidRPr="003B0000" w:rsidRDefault="00C877F6">
      <w:pPr>
        <w:widowControl w:val="0"/>
        <w:spacing w:line="360" w:lineRule="auto"/>
        <w:jc w:val="both"/>
        <w:rPr>
          <w:rFonts w:ascii="Palatino Linotype" w:eastAsia="Palatino Linotype" w:hAnsi="Palatino Linotype" w:cs="Palatino Linotype"/>
          <w:sz w:val="22"/>
          <w:szCs w:val="22"/>
        </w:rPr>
      </w:pPr>
    </w:p>
    <w:p w14:paraId="430E06D3" w14:textId="77777777" w:rsidR="00C1728E" w:rsidRPr="003B0000" w:rsidRDefault="00F36565" w:rsidP="00C1728E">
      <w:pPr>
        <w:pBdr>
          <w:top w:val="nil"/>
          <w:left w:val="nil"/>
          <w:bottom w:val="nil"/>
          <w:right w:val="nil"/>
          <w:between w:val="nil"/>
        </w:pBdr>
        <w:spacing w:line="360" w:lineRule="auto"/>
        <w:ind w:left="567" w:right="49"/>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w:t>
      </w:r>
      <w:r w:rsidR="00C1728E" w:rsidRPr="003B0000">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C289E54" w14:textId="77777777" w:rsidR="00C1728E" w:rsidRPr="003B0000" w:rsidRDefault="00C1728E" w:rsidP="00C1728E">
      <w:pPr>
        <w:pBdr>
          <w:top w:val="nil"/>
          <w:left w:val="nil"/>
          <w:bottom w:val="nil"/>
          <w:right w:val="nil"/>
          <w:between w:val="nil"/>
        </w:pBdr>
        <w:spacing w:line="360" w:lineRule="auto"/>
        <w:ind w:left="567" w:right="49"/>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Conforme a la fecha de recepción de la presente y derivado de la búsqueda exhaustiva y razonable realizada en los archivos que obran en esta dependencia; se informa que no se localizaron registros documentales de título y cédula profesional referentes a licenciatura y maestría de la persona servidora pública María Emma Aguilar Delgado. La presente respuesta se genera en apego a lo establecido en el artículo 12 de la Ley de Transparencia y Acceso a la Información Pública del Estado de México y Municipios, que a la letra indica: “Quienes generen, recopilen, administren, manejen, procesen, archiven o conserven información pública, serán responsables de la misma en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0D4EAF8C" w14:textId="77777777" w:rsidR="00C1728E" w:rsidRPr="003B0000" w:rsidRDefault="00C1728E" w:rsidP="00C1728E">
      <w:pPr>
        <w:pBdr>
          <w:top w:val="nil"/>
          <w:left w:val="nil"/>
          <w:bottom w:val="nil"/>
          <w:right w:val="nil"/>
          <w:between w:val="nil"/>
        </w:pBdr>
        <w:spacing w:line="360" w:lineRule="auto"/>
        <w:ind w:left="567" w:right="49"/>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ATENTAMENTE</w:t>
      </w:r>
    </w:p>
    <w:p w14:paraId="7858BA1C" w14:textId="1EB135B9" w:rsidR="00C877F6" w:rsidRPr="003B0000" w:rsidRDefault="00C1728E" w:rsidP="00C1728E">
      <w:pPr>
        <w:pBdr>
          <w:top w:val="nil"/>
          <w:left w:val="nil"/>
          <w:bottom w:val="nil"/>
          <w:right w:val="nil"/>
          <w:between w:val="nil"/>
        </w:pBdr>
        <w:spacing w:line="360" w:lineRule="auto"/>
        <w:ind w:left="567" w:right="49"/>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JUAN MIGUEL HERNANDEZ MARTINEZ</w:t>
      </w:r>
      <w:r w:rsidR="00287278" w:rsidRPr="003B0000">
        <w:rPr>
          <w:rFonts w:ascii="Palatino Linotype" w:eastAsia="Palatino Linotype" w:hAnsi="Palatino Linotype" w:cs="Palatino Linotype"/>
          <w:i/>
          <w:sz w:val="22"/>
          <w:szCs w:val="22"/>
        </w:rPr>
        <w:t>”</w:t>
      </w:r>
    </w:p>
    <w:p w14:paraId="7C751FDF" w14:textId="77777777" w:rsidR="009456FA" w:rsidRPr="003B0000" w:rsidRDefault="009456FA" w:rsidP="009456FA">
      <w:pPr>
        <w:widowControl w:val="0"/>
        <w:spacing w:line="360" w:lineRule="auto"/>
        <w:ind w:left="567" w:right="843"/>
        <w:jc w:val="both"/>
        <w:rPr>
          <w:rFonts w:ascii="Palatino Linotype" w:eastAsia="Palatino Linotype" w:hAnsi="Palatino Linotype" w:cs="Palatino Linotype"/>
          <w:i/>
          <w:sz w:val="22"/>
          <w:szCs w:val="22"/>
        </w:rPr>
      </w:pPr>
    </w:p>
    <w:p w14:paraId="4BF20BD5" w14:textId="243DA369" w:rsidR="00DE7292" w:rsidRPr="003B0000" w:rsidRDefault="00F36565">
      <w:pPr>
        <w:widowControl w:val="0"/>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lastRenderedPageBreak/>
        <w:t>El Sujeto Obligado adjunt</w:t>
      </w:r>
      <w:r w:rsidR="00DE7292" w:rsidRPr="003B0000">
        <w:rPr>
          <w:rFonts w:ascii="Palatino Linotype" w:eastAsia="Palatino Linotype" w:hAnsi="Palatino Linotype" w:cs="Palatino Linotype"/>
          <w:sz w:val="22"/>
          <w:szCs w:val="22"/>
        </w:rPr>
        <w:t>ó el documento</w:t>
      </w:r>
      <w:r w:rsidR="00C1728E" w:rsidRPr="003B0000">
        <w:rPr>
          <w:rFonts w:ascii="Palatino Linotype" w:eastAsia="Palatino Linotype" w:hAnsi="Palatino Linotype" w:cs="Palatino Linotype"/>
          <w:sz w:val="22"/>
          <w:szCs w:val="22"/>
        </w:rPr>
        <w:t xml:space="preserve"> los documentos electrónicos denominados</w:t>
      </w:r>
      <w:r w:rsidR="006E3440" w:rsidRPr="003B0000">
        <w:rPr>
          <w:rFonts w:ascii="Palatino Linotype" w:eastAsia="Palatino Linotype" w:hAnsi="Palatino Linotype" w:cs="Palatino Linotype"/>
          <w:sz w:val="22"/>
          <w:szCs w:val="22"/>
        </w:rPr>
        <w:t>:</w:t>
      </w:r>
    </w:p>
    <w:p w14:paraId="10BDC3CC" w14:textId="77777777" w:rsidR="006E3440" w:rsidRPr="003B0000" w:rsidRDefault="006E3440">
      <w:pPr>
        <w:widowControl w:val="0"/>
        <w:spacing w:line="360" w:lineRule="auto"/>
        <w:jc w:val="both"/>
        <w:rPr>
          <w:rFonts w:ascii="Palatino Linotype" w:eastAsia="Palatino Linotype" w:hAnsi="Palatino Linotype" w:cs="Palatino Linotype"/>
          <w:sz w:val="22"/>
          <w:szCs w:val="22"/>
        </w:rPr>
      </w:pPr>
    </w:p>
    <w:p w14:paraId="727A253E" w14:textId="4E14E0CA" w:rsidR="00C1728E" w:rsidRPr="003B0000" w:rsidRDefault="00C1728E" w:rsidP="006E3440">
      <w:pPr>
        <w:pStyle w:val="Prrafodelista"/>
        <w:widowControl w:val="0"/>
        <w:numPr>
          <w:ilvl w:val="0"/>
          <w:numId w:val="37"/>
        </w:numPr>
        <w:spacing w:line="360" w:lineRule="auto"/>
        <w:ind w:left="426"/>
        <w:jc w:val="both"/>
        <w:rPr>
          <w:rFonts w:ascii="Palatino Linotype" w:eastAsia="Palatino Linotype" w:hAnsi="Palatino Linotype" w:cs="Palatino Linotype"/>
          <w:b/>
          <w:sz w:val="22"/>
          <w:szCs w:val="22"/>
        </w:rPr>
      </w:pPr>
      <w:r w:rsidRPr="003B0000">
        <w:rPr>
          <w:rFonts w:ascii="Palatino Linotype" w:eastAsia="Palatino Linotype" w:hAnsi="Palatino Linotype" w:cs="Palatino Linotype"/>
          <w:b/>
          <w:sz w:val="22"/>
          <w:szCs w:val="22"/>
        </w:rPr>
        <w:t>Oficio 0659.pdf:</w:t>
      </w:r>
      <w:r w:rsidR="004958B3" w:rsidRPr="003B0000">
        <w:rPr>
          <w:rFonts w:ascii="Palatino Linotype" w:eastAsia="Palatino Linotype" w:hAnsi="Palatino Linotype" w:cs="Palatino Linotype"/>
          <w:b/>
          <w:sz w:val="22"/>
          <w:szCs w:val="22"/>
        </w:rPr>
        <w:t xml:space="preserve"> </w:t>
      </w:r>
      <w:r w:rsidR="004958B3" w:rsidRPr="003B0000">
        <w:rPr>
          <w:rFonts w:ascii="Palatino Linotype" w:eastAsia="Palatino Linotype" w:hAnsi="Palatino Linotype" w:cs="Palatino Linotype"/>
          <w:sz w:val="22"/>
          <w:szCs w:val="22"/>
        </w:rPr>
        <w:t>Oficio suscrito por la Secretaría de Administración y Finanzas mediante el cual refiere que no se localizaron registros documentales de título y cédula profesional referentes a la licenciatura y maestría de la persona servidora pública señalada en la solicitud.</w:t>
      </w:r>
      <w:r w:rsidR="004958B3" w:rsidRPr="003B0000">
        <w:rPr>
          <w:rFonts w:ascii="Palatino Linotype" w:eastAsia="Palatino Linotype" w:hAnsi="Palatino Linotype" w:cs="Palatino Linotype"/>
          <w:b/>
          <w:sz w:val="22"/>
          <w:szCs w:val="22"/>
        </w:rPr>
        <w:t xml:space="preserve"> </w:t>
      </w:r>
    </w:p>
    <w:p w14:paraId="55D437CC" w14:textId="43892310" w:rsidR="00C1728E" w:rsidRPr="003B0000" w:rsidRDefault="00C1728E" w:rsidP="006E3440">
      <w:pPr>
        <w:pStyle w:val="Prrafodelista"/>
        <w:widowControl w:val="0"/>
        <w:numPr>
          <w:ilvl w:val="0"/>
          <w:numId w:val="37"/>
        </w:numPr>
        <w:spacing w:line="360" w:lineRule="auto"/>
        <w:ind w:left="426"/>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659 RESPUESTA.pdf:</w:t>
      </w:r>
      <w:r w:rsidR="004958B3" w:rsidRPr="003B0000">
        <w:rPr>
          <w:rFonts w:ascii="Palatino Linotype" w:eastAsia="Palatino Linotype" w:hAnsi="Palatino Linotype" w:cs="Palatino Linotype"/>
          <w:b/>
          <w:sz w:val="22"/>
          <w:szCs w:val="22"/>
        </w:rPr>
        <w:t xml:space="preserve"> </w:t>
      </w:r>
      <w:r w:rsidR="004958B3" w:rsidRPr="003B0000">
        <w:rPr>
          <w:rFonts w:ascii="Palatino Linotype" w:eastAsia="Palatino Linotype" w:hAnsi="Palatino Linotype" w:cs="Palatino Linotype"/>
          <w:sz w:val="22"/>
          <w:szCs w:val="22"/>
        </w:rPr>
        <w:t>Oficio suscrito por la Titular de la Unidad de Transparencia y Acceso a la Información Pública mediante el cual refiere que se adjunta la respuesta a la solicitud. Asimismo, informa que tiene el derecho de presentar el recurso de revisión.</w:t>
      </w:r>
    </w:p>
    <w:p w14:paraId="3A85D189" w14:textId="77777777" w:rsidR="00C1728E" w:rsidRPr="003B0000" w:rsidRDefault="00C1728E" w:rsidP="00C1728E">
      <w:pPr>
        <w:pStyle w:val="Prrafodelista"/>
        <w:widowControl w:val="0"/>
        <w:spacing w:line="360" w:lineRule="auto"/>
        <w:ind w:left="426"/>
        <w:jc w:val="both"/>
        <w:rPr>
          <w:rFonts w:ascii="Palatino Linotype" w:eastAsia="Palatino Linotype" w:hAnsi="Palatino Linotype" w:cs="Palatino Linotype"/>
          <w:sz w:val="22"/>
          <w:szCs w:val="22"/>
        </w:rPr>
      </w:pPr>
    </w:p>
    <w:p w14:paraId="4DA0D391" w14:textId="7FDDB6ED" w:rsidR="00C877F6" w:rsidRPr="003B0000" w:rsidRDefault="00F36565">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 xml:space="preserve">3. Del Recurso de Revisión. </w:t>
      </w:r>
      <w:r w:rsidRPr="003B0000">
        <w:rPr>
          <w:rFonts w:ascii="Palatino Linotype" w:eastAsia="Palatino Linotype" w:hAnsi="Palatino Linotype" w:cs="Palatino Linotype"/>
          <w:sz w:val="22"/>
          <w:szCs w:val="22"/>
        </w:rPr>
        <w:t>Inconforme con la respuesta del</w:t>
      </w:r>
      <w:r w:rsidRPr="003B0000">
        <w:rPr>
          <w:rFonts w:ascii="Palatino Linotype" w:eastAsia="Palatino Linotype" w:hAnsi="Palatino Linotype" w:cs="Palatino Linotype"/>
          <w:b/>
          <w:sz w:val="22"/>
          <w:szCs w:val="22"/>
        </w:rPr>
        <w:t xml:space="preserve"> SUJETO OBLIGADO, </w:t>
      </w:r>
      <w:r w:rsidRPr="003B0000">
        <w:rPr>
          <w:rFonts w:ascii="Palatino Linotype" w:eastAsia="Palatino Linotype" w:hAnsi="Palatino Linotype" w:cs="Palatino Linotype"/>
          <w:sz w:val="22"/>
          <w:szCs w:val="22"/>
        </w:rPr>
        <w:t xml:space="preserve">el </w:t>
      </w:r>
      <w:r w:rsidR="004958B3" w:rsidRPr="003B0000">
        <w:rPr>
          <w:rFonts w:ascii="Palatino Linotype" w:eastAsia="Palatino Linotype" w:hAnsi="Palatino Linotype" w:cs="Palatino Linotype"/>
          <w:b/>
          <w:sz w:val="22"/>
          <w:szCs w:val="22"/>
        </w:rPr>
        <w:t>diez</w:t>
      </w:r>
      <w:r w:rsidR="00507CDE" w:rsidRPr="003B0000">
        <w:rPr>
          <w:rFonts w:ascii="Palatino Linotype" w:eastAsia="Palatino Linotype" w:hAnsi="Palatino Linotype" w:cs="Palatino Linotype"/>
          <w:sz w:val="22"/>
          <w:szCs w:val="22"/>
        </w:rPr>
        <w:t xml:space="preserve"> </w:t>
      </w:r>
      <w:r w:rsidRPr="003B0000">
        <w:rPr>
          <w:rFonts w:ascii="Palatino Linotype" w:eastAsia="Palatino Linotype" w:hAnsi="Palatino Linotype" w:cs="Palatino Linotype"/>
          <w:sz w:val="22"/>
          <w:szCs w:val="22"/>
        </w:rPr>
        <w:t>d</w:t>
      </w:r>
      <w:r w:rsidRPr="003B0000">
        <w:rPr>
          <w:rFonts w:ascii="Palatino Linotype" w:eastAsia="Palatino Linotype" w:hAnsi="Palatino Linotype" w:cs="Palatino Linotype"/>
          <w:b/>
          <w:sz w:val="22"/>
          <w:szCs w:val="22"/>
        </w:rPr>
        <w:t xml:space="preserve">e </w:t>
      </w:r>
      <w:r w:rsidR="006E3440" w:rsidRPr="003B0000">
        <w:rPr>
          <w:rFonts w:ascii="Palatino Linotype" w:eastAsia="Palatino Linotype" w:hAnsi="Palatino Linotype" w:cs="Palatino Linotype"/>
          <w:b/>
          <w:sz w:val="22"/>
          <w:szCs w:val="22"/>
        </w:rPr>
        <w:t>noviembre</w:t>
      </w:r>
      <w:r w:rsidRPr="003B0000">
        <w:rPr>
          <w:rFonts w:ascii="Palatino Linotype" w:eastAsia="Palatino Linotype" w:hAnsi="Palatino Linotype" w:cs="Palatino Linotype"/>
          <w:b/>
          <w:sz w:val="22"/>
          <w:szCs w:val="22"/>
        </w:rPr>
        <w:t xml:space="preserve"> de dos mil veinticinco, LA PARTE RECURRENTE </w:t>
      </w:r>
      <w:r w:rsidRPr="003B0000">
        <w:rPr>
          <w:rFonts w:ascii="Palatino Linotype" w:eastAsia="Palatino Linotype" w:hAnsi="Palatino Linotype" w:cs="Palatino Linotype"/>
          <w:sz w:val="22"/>
          <w:szCs w:val="22"/>
        </w:rPr>
        <w:t xml:space="preserve">interpuso el recurso de revisión, mediante el cual y manifestó lo siguiente: </w:t>
      </w:r>
    </w:p>
    <w:p w14:paraId="624E8444" w14:textId="77777777" w:rsidR="006E3440" w:rsidRPr="003B0000" w:rsidRDefault="006E3440">
      <w:pPr>
        <w:spacing w:line="360" w:lineRule="auto"/>
        <w:jc w:val="both"/>
        <w:rPr>
          <w:rFonts w:ascii="Palatino Linotype" w:eastAsia="Palatino Linotype" w:hAnsi="Palatino Linotype" w:cs="Palatino Linotype"/>
          <w:sz w:val="22"/>
          <w:szCs w:val="22"/>
        </w:rPr>
      </w:pPr>
    </w:p>
    <w:p w14:paraId="36671519" w14:textId="42CDBCE3" w:rsidR="00C877F6" w:rsidRPr="003B0000" w:rsidRDefault="00F36565" w:rsidP="004958B3">
      <w:pPr>
        <w:numPr>
          <w:ilvl w:val="0"/>
          <w:numId w:val="2"/>
        </w:numPr>
        <w:pBdr>
          <w:top w:val="nil"/>
          <w:left w:val="nil"/>
          <w:bottom w:val="nil"/>
          <w:right w:val="nil"/>
          <w:between w:val="nil"/>
        </w:pBdr>
        <w:spacing w:line="360" w:lineRule="auto"/>
        <w:ind w:right="49"/>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b/>
          <w:i/>
          <w:sz w:val="22"/>
          <w:szCs w:val="22"/>
        </w:rPr>
        <w:t>Acto Impugnado:</w:t>
      </w:r>
      <w:r w:rsidRPr="003B0000">
        <w:rPr>
          <w:rFonts w:ascii="Palatino Linotype" w:eastAsia="Palatino Linotype" w:hAnsi="Palatino Linotype" w:cs="Palatino Linotype"/>
          <w:i/>
          <w:sz w:val="22"/>
          <w:szCs w:val="22"/>
        </w:rPr>
        <w:t xml:space="preserve"> “</w:t>
      </w:r>
      <w:r w:rsidR="004958B3" w:rsidRPr="003B0000">
        <w:rPr>
          <w:rFonts w:ascii="Palatino Linotype" w:eastAsia="Palatino Linotype" w:hAnsi="Palatino Linotype" w:cs="Palatino Linotype"/>
          <w:i/>
          <w:sz w:val="22"/>
          <w:szCs w:val="22"/>
        </w:rPr>
        <w:t>Con fundamento en el artículo 154 de la Ley de Transparencia y Acceso a la Información Pública del Estado de México y Municipios, me permito solicitar la revisión de la respuesta emitida por la Unidad de Transparencia del Poder Legislativo del Estado de México, relativa a la solicitud de información sobre el grado académico de la servidora pública María Emma Aguilar Delgado. La respuesta recibida indica que, tras una búsqueda exhaustiva y razonable, no se localizaron registros documentales de título y cédula profesional referentes a licenciatura y maestría de la mencionada servidora pública. Sin embargo, considero que dicha respuesta no satisface el principio de máxima publicidad ni el deber de conservación documental que rige a los sujetos obligados.</w:t>
      </w:r>
      <w:r w:rsidRPr="003B0000">
        <w:rPr>
          <w:rFonts w:ascii="Palatino Linotype" w:eastAsia="Palatino Linotype" w:hAnsi="Palatino Linotype" w:cs="Palatino Linotype"/>
          <w:i/>
          <w:sz w:val="22"/>
          <w:szCs w:val="22"/>
        </w:rPr>
        <w:t>” (Sic.)</w:t>
      </w:r>
    </w:p>
    <w:p w14:paraId="2BA13102" w14:textId="77777777" w:rsidR="00C877F6" w:rsidRPr="003B0000" w:rsidRDefault="00C877F6" w:rsidP="004958B3">
      <w:pPr>
        <w:pBdr>
          <w:top w:val="nil"/>
          <w:left w:val="nil"/>
          <w:bottom w:val="nil"/>
          <w:right w:val="nil"/>
          <w:between w:val="nil"/>
        </w:pBdr>
        <w:spacing w:line="276" w:lineRule="auto"/>
        <w:ind w:left="720" w:right="560"/>
        <w:jc w:val="both"/>
        <w:rPr>
          <w:rFonts w:ascii="Palatino Linotype" w:eastAsia="Palatino Linotype" w:hAnsi="Palatino Linotype" w:cs="Palatino Linotype"/>
          <w:i/>
          <w:sz w:val="22"/>
          <w:szCs w:val="22"/>
        </w:rPr>
      </w:pPr>
    </w:p>
    <w:p w14:paraId="61E1D3CB" w14:textId="37CC537E" w:rsidR="00C877F6" w:rsidRPr="003B0000" w:rsidRDefault="00F36565" w:rsidP="004958B3">
      <w:pPr>
        <w:pStyle w:val="Listaconvietas3"/>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b/>
          <w:i/>
          <w:sz w:val="22"/>
          <w:szCs w:val="22"/>
        </w:rPr>
        <w:t>Motivo de inconformidad:</w:t>
      </w:r>
      <w:r w:rsidRPr="003B0000">
        <w:rPr>
          <w:rFonts w:ascii="Palatino Linotype" w:eastAsia="Palatino Linotype" w:hAnsi="Palatino Linotype" w:cs="Palatino Linotype"/>
          <w:i/>
          <w:sz w:val="22"/>
          <w:szCs w:val="22"/>
        </w:rPr>
        <w:t xml:space="preserve"> “</w:t>
      </w:r>
      <w:r w:rsidR="004958B3" w:rsidRPr="003B0000">
        <w:rPr>
          <w:rFonts w:ascii="Palatino Linotype" w:eastAsia="Palatino Linotype" w:hAnsi="Palatino Linotype" w:cs="Palatino Linotype"/>
          <w:i/>
          <w:sz w:val="22"/>
          <w:szCs w:val="22"/>
        </w:rPr>
        <w:t>1. Obligación de contar con documentación académica del personal: Toda persona que desempeñe funciones públicas y perciba remuneración con cargo al presupuesto estatal debe cumplir con los requisitos de perfil profesional establecidos en la normatividad aplicable. Por tanto, la institución debe contar en sus archivos con la documentación que acredite el grado académico de sus servidores públicos, especialmente si estos ocupan cargos públicos. 2. Presunción de existencia de la información: La inexistencia de documentos como título y cédula profesional no puede presumirse válidamente sin una investigación administrativa que determine si hubo omisión en la integración del expediente laboral, pérdida de documentos, o incumplimiento de requisitos por parte del servidor público. La simple afirmación de que “no se localizaron registros” no exime al sujeto obligado de su responsabilidad documental. 3. Posible irregularidad administrativa: La ausencia de documentación académica en el expediente de personal podría constituir una falta administrativa grave, por lo que solicito que se turne el caso al área correspondiente para su investigación, conforme a lo previsto en la Ley de Responsabilidades Administrativas del Estado de México y Municipios. 4. Derecho a una respuesta completa y fundada: La respuesta recibida no explica si la persona en cuestión ocupa un cargo que requiere título profesional, ni si se ha verificado el cumplimiento de requisitos de ingreso. Tampoco se indica si se solicitó la documentación directamente al área de Recursos Humanos o si se agotaron otras fuentes institucionales. Petición concreta: Que se revise la actuación de la Unidad de Transparencia y se determine si la búsqueda fue efectivamente exhaustiva. Que se requiera al área de Recursos Humanos o Dirección de Personal la entrega de la documentación correspondiente, o en su caso, se informe si existe alguna irregularidad administrativa. Que se emita una nueva respuesta, completa y fundada, conforme al principio de máxima publicidad y al deber de conservación documental. Sin otro particular, agradezco la atención a la presente solicitud y quedo atento a la resolución que en derecho corresponda. A T E N T A M E N T E Alejandro Dumas *Por una sociedad más informada y por instituciones más transparentes.</w:t>
      </w:r>
      <w:r w:rsidRPr="003B0000">
        <w:rPr>
          <w:rFonts w:ascii="Palatino Linotype" w:eastAsia="Palatino Linotype" w:hAnsi="Palatino Linotype" w:cs="Palatino Linotype"/>
          <w:i/>
          <w:sz w:val="22"/>
          <w:szCs w:val="22"/>
        </w:rPr>
        <w:t>” (Sic.)</w:t>
      </w:r>
      <w:r w:rsidR="00171DF7" w:rsidRPr="003B0000">
        <w:rPr>
          <w:rFonts w:ascii="Palatino Linotype" w:eastAsia="Palatino Linotype" w:hAnsi="Palatino Linotype" w:cs="Palatino Linotype"/>
          <w:i/>
          <w:sz w:val="22"/>
          <w:szCs w:val="22"/>
        </w:rPr>
        <w:t xml:space="preserve"> </w:t>
      </w:r>
    </w:p>
    <w:p w14:paraId="5FFC28A4" w14:textId="77777777" w:rsidR="00422637" w:rsidRPr="003B0000" w:rsidRDefault="00422637" w:rsidP="00DC7D82">
      <w:pPr>
        <w:rPr>
          <w:rFonts w:ascii="Palatino Linotype" w:eastAsia="Palatino Linotype" w:hAnsi="Palatino Linotype" w:cs="Palatino Linotype"/>
          <w:i/>
          <w:sz w:val="22"/>
          <w:szCs w:val="22"/>
        </w:rPr>
      </w:pPr>
    </w:p>
    <w:p w14:paraId="2A5F9676" w14:textId="2B36D45F" w:rsidR="00DC7D82" w:rsidRPr="003B0000" w:rsidRDefault="00DC7D82" w:rsidP="00DC7D82">
      <w:pPr>
        <w:pStyle w:val="Prrafodelista"/>
        <w:numPr>
          <w:ilvl w:val="0"/>
          <w:numId w:val="43"/>
        </w:numPr>
        <w:spacing w:line="360" w:lineRule="auto"/>
        <w:ind w:left="426"/>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El Recurrente adjuntó el documento electrónico denominado</w:t>
      </w:r>
      <w:r w:rsidRPr="003B0000">
        <w:rPr>
          <w:rFonts w:ascii="Palatino Linotype" w:eastAsia="Palatino Linotype" w:hAnsi="Palatino Linotype" w:cs="Palatino Linotype"/>
          <w:i/>
          <w:sz w:val="22"/>
          <w:szCs w:val="22"/>
        </w:rPr>
        <w:t xml:space="preserve"> Oficio 0659.pdf </w:t>
      </w:r>
      <w:r w:rsidRPr="003B0000">
        <w:rPr>
          <w:rFonts w:ascii="Palatino Linotype" w:eastAsia="Palatino Linotype" w:hAnsi="Palatino Linotype" w:cs="Palatino Linotype"/>
          <w:sz w:val="22"/>
          <w:szCs w:val="22"/>
        </w:rPr>
        <w:t>que corresponde al oficio remitido en respuesta por el Sujeto Obligado.</w:t>
      </w:r>
    </w:p>
    <w:p w14:paraId="2F870A2F" w14:textId="77777777" w:rsidR="00C877F6" w:rsidRPr="003B0000" w:rsidRDefault="00C877F6" w:rsidP="00422637">
      <w:pPr>
        <w:pBdr>
          <w:top w:val="nil"/>
          <w:left w:val="nil"/>
          <w:bottom w:val="nil"/>
          <w:right w:val="nil"/>
          <w:between w:val="nil"/>
        </w:pBdr>
        <w:ind w:left="720"/>
        <w:rPr>
          <w:rFonts w:ascii="Palatino Linotype" w:eastAsia="Palatino Linotype" w:hAnsi="Palatino Linotype" w:cs="Palatino Linotype"/>
          <w:i/>
          <w:sz w:val="22"/>
          <w:szCs w:val="22"/>
        </w:rPr>
      </w:pPr>
    </w:p>
    <w:p w14:paraId="6A9E7514" w14:textId="439122A7" w:rsidR="00C877F6" w:rsidRPr="003B0000" w:rsidRDefault="00F36565">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 xml:space="preserve">4. Turno. </w:t>
      </w:r>
      <w:r w:rsidRPr="003B0000">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el recurso de revisión número </w:t>
      </w:r>
      <w:r w:rsidR="00426E89" w:rsidRPr="003B0000">
        <w:rPr>
          <w:rFonts w:ascii="Palatino Linotype" w:eastAsia="Palatino Linotype" w:hAnsi="Palatino Linotype" w:cs="Palatino Linotype"/>
          <w:b/>
          <w:sz w:val="22"/>
          <w:szCs w:val="22"/>
        </w:rPr>
        <w:t>12969/INFOEM/IP/RR/2025</w:t>
      </w:r>
      <w:r w:rsidRPr="003B0000">
        <w:rPr>
          <w:rFonts w:ascii="Palatino Linotype" w:eastAsia="Palatino Linotype" w:hAnsi="Palatino Linotype" w:cs="Palatino Linotype"/>
          <w:sz w:val="22"/>
          <w:szCs w:val="22"/>
        </w:rPr>
        <w:t xml:space="preserve">, se turnó por el sistema electrónico del Instituto de Transparencia, Acceso a la Información Pública y Protección de Datos Personales del Estado de México y Municipios, a la Comisionada </w:t>
      </w:r>
      <w:r w:rsidRPr="003B0000">
        <w:rPr>
          <w:rFonts w:ascii="Palatino Linotype" w:eastAsia="Palatino Linotype" w:hAnsi="Palatino Linotype" w:cs="Palatino Linotype"/>
          <w:b/>
          <w:sz w:val="22"/>
          <w:szCs w:val="22"/>
        </w:rPr>
        <w:t>Guadalupe Ramírez Peña</w:t>
      </w:r>
      <w:r w:rsidRPr="003B0000">
        <w:rPr>
          <w:rFonts w:ascii="Palatino Linotype" w:eastAsia="Palatino Linotype" w:hAnsi="Palatino Linotype" w:cs="Palatino Linotype"/>
          <w:sz w:val="22"/>
          <w:szCs w:val="22"/>
        </w:rPr>
        <w:t>, para su análisis, estudio, elaboración del proyecto y presentación ante el Pleno de este Instituto.</w:t>
      </w:r>
    </w:p>
    <w:p w14:paraId="5BFE6F75" w14:textId="77777777" w:rsidR="00C877F6" w:rsidRPr="003B0000" w:rsidRDefault="00C877F6">
      <w:pPr>
        <w:spacing w:line="360" w:lineRule="auto"/>
        <w:jc w:val="both"/>
        <w:rPr>
          <w:rFonts w:ascii="Palatino Linotype" w:eastAsia="Palatino Linotype" w:hAnsi="Palatino Linotype" w:cs="Palatino Linotype"/>
          <w:sz w:val="22"/>
          <w:szCs w:val="22"/>
        </w:rPr>
      </w:pPr>
    </w:p>
    <w:p w14:paraId="4B06CA9F" w14:textId="11B08335" w:rsidR="00C877F6" w:rsidRPr="003B0000" w:rsidRDefault="00F36565">
      <w:pPr>
        <w:spacing w:line="360" w:lineRule="auto"/>
        <w:jc w:val="both"/>
        <w:rPr>
          <w:rFonts w:ascii="Palatino Linotype" w:eastAsia="Palatino Linotype" w:hAnsi="Palatino Linotype" w:cs="Palatino Linotype"/>
          <w:b/>
          <w:sz w:val="22"/>
          <w:szCs w:val="22"/>
        </w:rPr>
      </w:pPr>
      <w:r w:rsidRPr="003B0000">
        <w:rPr>
          <w:rFonts w:ascii="Palatino Linotype" w:eastAsia="Palatino Linotype" w:hAnsi="Palatino Linotype" w:cs="Palatino Linotype"/>
          <w:b/>
          <w:sz w:val="22"/>
          <w:szCs w:val="22"/>
        </w:rPr>
        <w:t xml:space="preserve">5. Admisión. </w:t>
      </w:r>
      <w:r w:rsidRPr="003B0000">
        <w:rPr>
          <w:rFonts w:ascii="Palatino Linotype" w:eastAsia="Palatino Linotype" w:hAnsi="Palatino Linotype" w:cs="Palatino Linotype"/>
          <w:sz w:val="22"/>
          <w:szCs w:val="22"/>
        </w:rPr>
        <w:t xml:space="preserve">El </w:t>
      </w:r>
      <w:r w:rsidR="006E3440" w:rsidRPr="003B0000">
        <w:rPr>
          <w:rFonts w:ascii="Palatino Linotype" w:eastAsia="Palatino Linotype" w:hAnsi="Palatino Linotype" w:cs="Palatino Linotype"/>
          <w:b/>
          <w:sz w:val="22"/>
          <w:szCs w:val="22"/>
        </w:rPr>
        <w:t>veintiocho</w:t>
      </w:r>
      <w:r w:rsidR="005A4875" w:rsidRPr="003B0000">
        <w:rPr>
          <w:rFonts w:ascii="Palatino Linotype" w:eastAsia="Palatino Linotype" w:hAnsi="Palatino Linotype" w:cs="Palatino Linotype"/>
          <w:b/>
          <w:sz w:val="22"/>
          <w:szCs w:val="22"/>
        </w:rPr>
        <w:t xml:space="preserve"> de </w:t>
      </w:r>
      <w:r w:rsidR="006E3440" w:rsidRPr="003B0000">
        <w:rPr>
          <w:rFonts w:ascii="Palatino Linotype" w:eastAsia="Palatino Linotype" w:hAnsi="Palatino Linotype" w:cs="Palatino Linotype"/>
          <w:b/>
          <w:sz w:val="22"/>
          <w:szCs w:val="22"/>
        </w:rPr>
        <w:t>noviembre</w:t>
      </w:r>
      <w:r w:rsidRPr="003B0000">
        <w:rPr>
          <w:rFonts w:ascii="Palatino Linotype" w:eastAsia="Palatino Linotype" w:hAnsi="Palatino Linotype" w:cs="Palatino Linotype"/>
          <w:b/>
          <w:sz w:val="22"/>
          <w:szCs w:val="22"/>
        </w:rPr>
        <w:t xml:space="preserve"> de dos mil veinticinco</w:t>
      </w:r>
      <w:r w:rsidRPr="003B0000">
        <w:rPr>
          <w:rFonts w:ascii="Palatino Linotype" w:eastAsia="Palatino Linotype" w:hAnsi="Palatino Linotype" w:cs="Palatino Linotype"/>
          <w:sz w:val="22"/>
          <w:szCs w:val="22"/>
        </w:rPr>
        <w:t>, en términos de lo dispuesto en el artículo 185 fracciones I, II y IV de la Ley de Transparencia y Acceso a la Información Pública del Estado de México y Municipios, se admitió a trámite el recurso de revisión</w:t>
      </w:r>
      <w:r w:rsidRPr="003B0000">
        <w:rPr>
          <w:rFonts w:ascii="Palatino Linotype" w:eastAsia="Palatino Linotype" w:hAnsi="Palatino Linotype" w:cs="Palatino Linotype"/>
          <w:b/>
          <w:sz w:val="22"/>
          <w:szCs w:val="22"/>
        </w:rPr>
        <w:t>.</w:t>
      </w:r>
      <w:r w:rsidR="005A668A" w:rsidRPr="003B0000">
        <w:rPr>
          <w:rFonts w:ascii="Palatino Linotype" w:eastAsia="Palatino Linotype" w:hAnsi="Palatino Linotype" w:cs="Palatino Linotype"/>
          <w:b/>
          <w:sz w:val="22"/>
          <w:szCs w:val="22"/>
        </w:rPr>
        <w:t xml:space="preserve"> </w:t>
      </w:r>
    </w:p>
    <w:p w14:paraId="5E981DE9" w14:textId="77777777" w:rsidR="00C877F6" w:rsidRPr="003B0000" w:rsidRDefault="00C877F6">
      <w:pPr>
        <w:spacing w:line="360" w:lineRule="auto"/>
        <w:jc w:val="both"/>
        <w:rPr>
          <w:rFonts w:ascii="Palatino Linotype" w:eastAsia="Palatino Linotype" w:hAnsi="Palatino Linotype" w:cs="Palatino Linotype"/>
          <w:b/>
          <w:sz w:val="22"/>
          <w:szCs w:val="22"/>
        </w:rPr>
      </w:pPr>
    </w:p>
    <w:p w14:paraId="1B866BAE" w14:textId="21882C9A" w:rsidR="004958B3" w:rsidRPr="003B0000" w:rsidRDefault="00F36565">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6. Manifestaciones.</w:t>
      </w:r>
      <w:r w:rsidRPr="003B0000">
        <w:rPr>
          <w:rFonts w:ascii="Palatino Linotype" w:eastAsia="Palatino Linotype" w:hAnsi="Palatino Linotype" w:cs="Palatino Linotype"/>
          <w:sz w:val="22"/>
          <w:szCs w:val="22"/>
        </w:rPr>
        <w:t xml:space="preserve"> </w:t>
      </w:r>
      <w:r w:rsidR="00D411D4" w:rsidRPr="003B0000">
        <w:rPr>
          <w:rFonts w:ascii="Palatino Linotype" w:eastAsia="Palatino Linotype" w:hAnsi="Palatino Linotype" w:cs="Palatino Linotype"/>
          <w:sz w:val="22"/>
          <w:szCs w:val="22"/>
        </w:rPr>
        <w:t>De las constancias que obran en el expediente electrónico del SAIMEX, se advierte que el Sujeto Obligado rindió su informe justificado, el</w:t>
      </w:r>
      <w:r w:rsidR="00324821" w:rsidRPr="003B0000">
        <w:rPr>
          <w:rFonts w:ascii="Palatino Linotype" w:eastAsia="Palatino Linotype" w:hAnsi="Palatino Linotype" w:cs="Palatino Linotype"/>
          <w:sz w:val="22"/>
          <w:szCs w:val="22"/>
        </w:rPr>
        <w:t xml:space="preserve"> </w:t>
      </w:r>
      <w:r w:rsidR="00324821" w:rsidRPr="003B0000">
        <w:rPr>
          <w:rFonts w:ascii="Palatino Linotype" w:eastAsia="Palatino Linotype" w:hAnsi="Palatino Linotype" w:cs="Palatino Linotype"/>
          <w:b/>
          <w:sz w:val="22"/>
          <w:szCs w:val="22"/>
        </w:rPr>
        <w:t>veintiséis</w:t>
      </w:r>
      <w:r w:rsidR="00D411D4" w:rsidRPr="003B0000">
        <w:rPr>
          <w:rFonts w:ascii="Palatino Linotype" w:eastAsia="Palatino Linotype" w:hAnsi="Palatino Linotype" w:cs="Palatino Linotype"/>
          <w:b/>
          <w:sz w:val="22"/>
          <w:szCs w:val="22"/>
        </w:rPr>
        <w:t xml:space="preserve"> de </w:t>
      </w:r>
      <w:r w:rsidR="004958B3" w:rsidRPr="003B0000">
        <w:rPr>
          <w:rFonts w:ascii="Palatino Linotype" w:eastAsia="Palatino Linotype" w:hAnsi="Palatino Linotype" w:cs="Palatino Linotype"/>
          <w:b/>
          <w:sz w:val="22"/>
          <w:szCs w:val="22"/>
        </w:rPr>
        <w:t>noviembre</w:t>
      </w:r>
      <w:r w:rsidR="00D411D4" w:rsidRPr="003B0000">
        <w:rPr>
          <w:rFonts w:ascii="Palatino Linotype" w:eastAsia="Palatino Linotype" w:hAnsi="Palatino Linotype" w:cs="Palatino Linotype"/>
          <w:b/>
          <w:sz w:val="22"/>
          <w:szCs w:val="22"/>
        </w:rPr>
        <w:t xml:space="preserve"> de dos mil veinticinco,</w:t>
      </w:r>
      <w:r w:rsidR="00D411D4" w:rsidRPr="003B0000">
        <w:rPr>
          <w:rFonts w:ascii="Palatino Linotype" w:eastAsia="Palatino Linotype" w:hAnsi="Palatino Linotype" w:cs="Palatino Linotype"/>
          <w:sz w:val="22"/>
          <w:szCs w:val="22"/>
        </w:rPr>
        <w:t xml:space="preserve"> </w:t>
      </w:r>
      <w:r w:rsidR="004958B3" w:rsidRPr="003B0000">
        <w:rPr>
          <w:rFonts w:ascii="Palatino Linotype" w:eastAsia="Palatino Linotype" w:hAnsi="Palatino Linotype" w:cs="Palatino Linotype"/>
          <w:sz w:val="22"/>
          <w:szCs w:val="22"/>
        </w:rPr>
        <w:t xml:space="preserve">el cual se puso a disposición del Recurrente el </w:t>
      </w:r>
      <w:r w:rsidR="004958B3" w:rsidRPr="003B0000">
        <w:rPr>
          <w:rFonts w:ascii="Palatino Linotype" w:eastAsia="Palatino Linotype" w:hAnsi="Palatino Linotype" w:cs="Palatino Linotype"/>
          <w:b/>
          <w:sz w:val="22"/>
          <w:szCs w:val="22"/>
        </w:rPr>
        <w:t>veintiocho de enero de dos mil veintiséis</w:t>
      </w:r>
      <w:r w:rsidR="004958B3" w:rsidRPr="003B0000">
        <w:rPr>
          <w:rFonts w:ascii="Palatino Linotype" w:eastAsia="Palatino Linotype" w:hAnsi="Palatino Linotype" w:cs="Palatino Linotype"/>
          <w:sz w:val="22"/>
          <w:szCs w:val="22"/>
        </w:rPr>
        <w:t xml:space="preserve">; sin embargo, se describe su contenido medular, siendo el siguiente: </w:t>
      </w:r>
    </w:p>
    <w:p w14:paraId="2DA0E1A3" w14:textId="77777777" w:rsidR="004958B3" w:rsidRPr="003B0000" w:rsidRDefault="004958B3">
      <w:pPr>
        <w:spacing w:line="360" w:lineRule="auto"/>
        <w:jc w:val="both"/>
        <w:rPr>
          <w:rFonts w:ascii="Palatino Linotype" w:eastAsia="Palatino Linotype" w:hAnsi="Palatino Linotype" w:cs="Palatino Linotype"/>
          <w:sz w:val="22"/>
          <w:szCs w:val="22"/>
        </w:rPr>
      </w:pPr>
    </w:p>
    <w:p w14:paraId="0FFCF5F8" w14:textId="45EEBECC" w:rsidR="004958B3" w:rsidRPr="003B0000" w:rsidRDefault="004958B3" w:rsidP="006712A5">
      <w:pPr>
        <w:pStyle w:val="Prrafodelista"/>
        <w:numPr>
          <w:ilvl w:val="0"/>
          <w:numId w:val="42"/>
        </w:numPr>
        <w:spacing w:line="360" w:lineRule="auto"/>
        <w:ind w:left="567"/>
        <w:jc w:val="both"/>
        <w:rPr>
          <w:rFonts w:ascii="Palatino Linotype" w:eastAsia="Palatino Linotype" w:hAnsi="Palatino Linotype" w:cs="Palatino Linotype"/>
          <w:b/>
          <w:sz w:val="22"/>
          <w:szCs w:val="22"/>
        </w:rPr>
      </w:pPr>
      <w:r w:rsidRPr="003B0000">
        <w:rPr>
          <w:rFonts w:ascii="Palatino Linotype" w:eastAsia="Palatino Linotype" w:hAnsi="Palatino Linotype" w:cs="Palatino Linotype"/>
          <w:b/>
          <w:sz w:val="22"/>
          <w:szCs w:val="22"/>
        </w:rPr>
        <w:t>659-12969 Consideraciones.pdf:</w:t>
      </w:r>
      <w:r w:rsidR="009B7611" w:rsidRPr="003B0000">
        <w:rPr>
          <w:rFonts w:ascii="Palatino Linotype" w:eastAsia="Palatino Linotype" w:hAnsi="Palatino Linotype" w:cs="Palatino Linotype"/>
          <w:b/>
          <w:sz w:val="22"/>
          <w:szCs w:val="22"/>
        </w:rPr>
        <w:t xml:space="preserve"> </w:t>
      </w:r>
      <w:r w:rsidR="009B7611" w:rsidRPr="003B0000">
        <w:rPr>
          <w:rFonts w:ascii="Palatino Linotype" w:eastAsia="Palatino Linotype" w:hAnsi="Palatino Linotype" w:cs="Palatino Linotype"/>
          <w:sz w:val="22"/>
          <w:szCs w:val="22"/>
        </w:rPr>
        <w:t>Oficio suscrito por la Encargada de la Secretaría Técnica mediante el cual refiere que de la información que obra en sus archivos, se remite en versión pública el certificado de estudios de la Servidora Pública referida en la solicitud.</w:t>
      </w:r>
    </w:p>
    <w:p w14:paraId="7D69CE2C" w14:textId="5EF811B9" w:rsidR="004958B3" w:rsidRPr="003B0000" w:rsidRDefault="004958B3" w:rsidP="006712A5">
      <w:pPr>
        <w:pStyle w:val="Prrafodelista"/>
        <w:numPr>
          <w:ilvl w:val="0"/>
          <w:numId w:val="42"/>
        </w:numPr>
        <w:spacing w:line="360" w:lineRule="auto"/>
        <w:ind w:left="567"/>
        <w:jc w:val="both"/>
        <w:rPr>
          <w:rFonts w:ascii="Palatino Linotype" w:eastAsia="Palatino Linotype" w:hAnsi="Palatino Linotype" w:cs="Palatino Linotype"/>
          <w:b/>
          <w:sz w:val="22"/>
          <w:szCs w:val="22"/>
        </w:rPr>
      </w:pPr>
      <w:r w:rsidRPr="003B0000">
        <w:rPr>
          <w:rFonts w:ascii="Palatino Linotype" w:eastAsia="Palatino Linotype" w:hAnsi="Palatino Linotype" w:cs="Palatino Linotype"/>
          <w:b/>
          <w:sz w:val="22"/>
          <w:szCs w:val="22"/>
        </w:rPr>
        <w:t>Anexo RR12969 S659.pdf:</w:t>
      </w:r>
      <w:r w:rsidR="009B7611" w:rsidRPr="003B0000">
        <w:rPr>
          <w:rFonts w:ascii="Palatino Linotype" w:eastAsia="Palatino Linotype" w:hAnsi="Palatino Linotype" w:cs="Palatino Linotype"/>
          <w:b/>
          <w:sz w:val="22"/>
          <w:szCs w:val="22"/>
        </w:rPr>
        <w:t xml:space="preserve"> </w:t>
      </w:r>
      <w:r w:rsidR="009B7611" w:rsidRPr="003B0000">
        <w:rPr>
          <w:rFonts w:ascii="Palatino Linotype" w:eastAsia="Palatino Linotype" w:hAnsi="Palatino Linotype" w:cs="Palatino Linotype"/>
          <w:sz w:val="22"/>
          <w:szCs w:val="22"/>
        </w:rPr>
        <w:t>Certificado de estudios de la Servidora Pública referida en la solicitud, en versión pública.</w:t>
      </w:r>
      <w:r w:rsidR="009B7611" w:rsidRPr="003B0000">
        <w:rPr>
          <w:rFonts w:ascii="Palatino Linotype" w:eastAsia="Palatino Linotype" w:hAnsi="Palatino Linotype" w:cs="Palatino Linotype"/>
          <w:b/>
          <w:sz w:val="22"/>
          <w:szCs w:val="22"/>
        </w:rPr>
        <w:t xml:space="preserve"> </w:t>
      </w:r>
    </w:p>
    <w:p w14:paraId="15D63411" w14:textId="74AC31F9" w:rsidR="004958B3" w:rsidRPr="003B0000" w:rsidRDefault="004958B3" w:rsidP="006712A5">
      <w:pPr>
        <w:pStyle w:val="Prrafodelista"/>
        <w:numPr>
          <w:ilvl w:val="0"/>
          <w:numId w:val="42"/>
        </w:numPr>
        <w:spacing w:line="360" w:lineRule="auto"/>
        <w:ind w:left="567"/>
        <w:jc w:val="both"/>
        <w:rPr>
          <w:rFonts w:ascii="Palatino Linotype" w:eastAsia="Palatino Linotype" w:hAnsi="Palatino Linotype" w:cs="Palatino Linotype"/>
          <w:b/>
          <w:sz w:val="22"/>
          <w:szCs w:val="22"/>
        </w:rPr>
      </w:pPr>
      <w:r w:rsidRPr="003B0000">
        <w:rPr>
          <w:rFonts w:ascii="Palatino Linotype" w:eastAsia="Palatino Linotype" w:hAnsi="Palatino Linotype" w:cs="Palatino Linotype"/>
          <w:b/>
          <w:sz w:val="22"/>
          <w:szCs w:val="22"/>
        </w:rPr>
        <w:t>659-12969 Informe justificado.pdf:</w:t>
      </w:r>
      <w:r w:rsidR="00E33B49" w:rsidRPr="003B0000">
        <w:rPr>
          <w:rFonts w:ascii="Palatino Linotype" w:eastAsia="Palatino Linotype" w:hAnsi="Palatino Linotype" w:cs="Palatino Linotype"/>
          <w:b/>
          <w:sz w:val="22"/>
          <w:szCs w:val="22"/>
        </w:rPr>
        <w:t xml:space="preserve"> </w:t>
      </w:r>
      <w:r w:rsidR="00E33B49" w:rsidRPr="003B0000">
        <w:rPr>
          <w:rFonts w:ascii="Palatino Linotype" w:eastAsia="Palatino Linotype" w:hAnsi="Palatino Linotype" w:cs="Palatino Linotype"/>
          <w:sz w:val="22"/>
          <w:szCs w:val="22"/>
        </w:rPr>
        <w:t xml:space="preserve">Oficio suscrito por el Titular de la Unidad de Transparencia mediante el cual indica que se entregó la información que obra en sus archivos y que consiste en un certificado de estudios. </w:t>
      </w:r>
    </w:p>
    <w:p w14:paraId="6293E4E8" w14:textId="391AD5AC" w:rsidR="004958B3" w:rsidRPr="003B0000" w:rsidRDefault="004958B3" w:rsidP="006712A5">
      <w:pPr>
        <w:pStyle w:val="Prrafodelista"/>
        <w:numPr>
          <w:ilvl w:val="0"/>
          <w:numId w:val="42"/>
        </w:numPr>
        <w:spacing w:line="360" w:lineRule="auto"/>
        <w:ind w:left="567"/>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Leyenda Confidencial – RR12969 S659.pdf:</w:t>
      </w:r>
      <w:r w:rsidR="00E33B49" w:rsidRPr="003B0000">
        <w:rPr>
          <w:rFonts w:ascii="Palatino Linotype" w:eastAsia="Palatino Linotype" w:hAnsi="Palatino Linotype" w:cs="Palatino Linotype"/>
          <w:b/>
          <w:sz w:val="22"/>
          <w:szCs w:val="22"/>
        </w:rPr>
        <w:t xml:space="preserve"> </w:t>
      </w:r>
      <w:r w:rsidR="00E33B49" w:rsidRPr="003B0000">
        <w:rPr>
          <w:rFonts w:ascii="Palatino Linotype" w:eastAsia="Palatino Linotype" w:hAnsi="Palatino Linotype" w:cs="Palatino Linotype"/>
          <w:sz w:val="22"/>
          <w:szCs w:val="22"/>
        </w:rPr>
        <w:t>Cuadro de clasificación de la versión pública del certificado de estudios.</w:t>
      </w:r>
    </w:p>
    <w:p w14:paraId="7B9E02E8" w14:textId="41378CC6" w:rsidR="004958B3" w:rsidRPr="003B0000" w:rsidRDefault="004958B3" w:rsidP="006712A5">
      <w:pPr>
        <w:pStyle w:val="Prrafodelista"/>
        <w:numPr>
          <w:ilvl w:val="0"/>
          <w:numId w:val="42"/>
        </w:numPr>
        <w:spacing w:line="360" w:lineRule="auto"/>
        <w:ind w:left="567"/>
        <w:jc w:val="both"/>
        <w:rPr>
          <w:rFonts w:ascii="Palatino Linotype" w:eastAsia="Palatino Linotype" w:hAnsi="Palatino Linotype" w:cs="Palatino Linotype"/>
          <w:b/>
          <w:sz w:val="22"/>
          <w:szCs w:val="22"/>
        </w:rPr>
      </w:pPr>
      <w:r w:rsidRPr="003B0000">
        <w:rPr>
          <w:rFonts w:ascii="Palatino Linotype" w:eastAsia="Palatino Linotype" w:hAnsi="Palatino Linotype" w:cs="Palatino Linotype"/>
          <w:b/>
          <w:sz w:val="22"/>
          <w:szCs w:val="22"/>
        </w:rPr>
        <w:t>Acuerdo PLegisla-LXII-CT-04ª</w:t>
      </w:r>
      <w:r w:rsidR="00951057" w:rsidRPr="003B0000">
        <w:rPr>
          <w:rFonts w:ascii="Palatino Linotype" w:eastAsia="Palatino Linotype" w:hAnsi="Palatino Linotype" w:cs="Palatino Linotype"/>
          <w:b/>
          <w:sz w:val="22"/>
          <w:szCs w:val="22"/>
        </w:rPr>
        <w:t>ord</w:t>
      </w:r>
      <w:r w:rsidR="009B7611" w:rsidRPr="003B0000">
        <w:rPr>
          <w:rFonts w:ascii="Palatino Linotype" w:eastAsia="Palatino Linotype" w:hAnsi="Palatino Linotype" w:cs="Palatino Linotype"/>
          <w:b/>
          <w:sz w:val="22"/>
          <w:szCs w:val="22"/>
        </w:rPr>
        <w:t>-2025-QUINTO.pdf</w:t>
      </w:r>
      <w:r w:rsidR="00E33B49" w:rsidRPr="003B0000">
        <w:rPr>
          <w:rFonts w:ascii="Palatino Linotype" w:eastAsia="Palatino Linotype" w:hAnsi="Palatino Linotype" w:cs="Palatino Linotype"/>
          <w:b/>
          <w:sz w:val="22"/>
          <w:szCs w:val="22"/>
        </w:rPr>
        <w:t xml:space="preserve">: </w:t>
      </w:r>
      <w:r w:rsidR="00E33B49" w:rsidRPr="003B0000">
        <w:rPr>
          <w:rFonts w:ascii="Palatino Linotype" w:eastAsia="Palatino Linotype" w:hAnsi="Palatino Linotype" w:cs="Palatino Linotype"/>
          <w:sz w:val="22"/>
          <w:szCs w:val="22"/>
        </w:rPr>
        <w:t xml:space="preserve">Acta </w:t>
      </w:r>
      <w:r w:rsidR="000019BA" w:rsidRPr="003B0000">
        <w:rPr>
          <w:rFonts w:ascii="Palatino Linotype" w:eastAsia="Palatino Linotype" w:hAnsi="Palatino Linotype" w:cs="Palatino Linotype"/>
          <w:sz w:val="22"/>
          <w:szCs w:val="22"/>
        </w:rPr>
        <w:t xml:space="preserve">de la Cuarta Sesión Ordinaria </w:t>
      </w:r>
      <w:r w:rsidR="00E33B49" w:rsidRPr="003B0000">
        <w:rPr>
          <w:rFonts w:ascii="Palatino Linotype" w:eastAsia="Palatino Linotype" w:hAnsi="Palatino Linotype" w:cs="Palatino Linotype"/>
          <w:sz w:val="22"/>
          <w:szCs w:val="22"/>
        </w:rPr>
        <w:t xml:space="preserve">del Comité de Transparencia </w:t>
      </w:r>
      <w:r w:rsidR="000019BA" w:rsidRPr="003B0000">
        <w:rPr>
          <w:rFonts w:ascii="Palatino Linotype" w:eastAsia="Palatino Linotype" w:hAnsi="Palatino Linotype" w:cs="Palatino Linotype"/>
          <w:sz w:val="22"/>
          <w:szCs w:val="22"/>
        </w:rPr>
        <w:t>mediante el cual se sustenta la versión pública del certificado de Estudios proporcionado en informe justificado.</w:t>
      </w:r>
      <w:r w:rsidR="000019BA" w:rsidRPr="003B0000">
        <w:rPr>
          <w:rFonts w:ascii="Palatino Linotype" w:eastAsia="Palatino Linotype" w:hAnsi="Palatino Linotype" w:cs="Palatino Linotype"/>
          <w:b/>
          <w:sz w:val="22"/>
          <w:szCs w:val="22"/>
        </w:rPr>
        <w:t xml:space="preserve"> </w:t>
      </w:r>
    </w:p>
    <w:p w14:paraId="6BC5859E" w14:textId="77777777" w:rsidR="00627BA6" w:rsidRPr="003B0000" w:rsidRDefault="00627BA6">
      <w:pPr>
        <w:spacing w:line="360" w:lineRule="auto"/>
        <w:jc w:val="both"/>
        <w:rPr>
          <w:rFonts w:ascii="Palatino Linotype" w:eastAsia="Palatino Linotype" w:hAnsi="Palatino Linotype" w:cs="Palatino Linotype"/>
          <w:sz w:val="22"/>
          <w:szCs w:val="22"/>
        </w:rPr>
      </w:pPr>
    </w:p>
    <w:p w14:paraId="7674F711" w14:textId="4EE95A67" w:rsidR="004958B3" w:rsidRPr="003B0000" w:rsidRDefault="00E01C63">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Por su parte, el Recurrente</w:t>
      </w:r>
      <w:r w:rsidR="002E705D" w:rsidRPr="003B0000">
        <w:rPr>
          <w:rFonts w:ascii="Palatino Linotype" w:eastAsia="Palatino Linotype" w:hAnsi="Palatino Linotype" w:cs="Palatino Linotype"/>
          <w:sz w:val="22"/>
          <w:szCs w:val="22"/>
        </w:rPr>
        <w:t xml:space="preserve">, el veinticinco de noviembre de dos mil veinticinco, </w:t>
      </w:r>
      <w:r w:rsidRPr="003B0000">
        <w:rPr>
          <w:rFonts w:ascii="Palatino Linotype" w:eastAsia="Palatino Linotype" w:hAnsi="Palatino Linotype" w:cs="Palatino Linotype"/>
          <w:sz w:val="22"/>
          <w:szCs w:val="22"/>
        </w:rPr>
        <w:t xml:space="preserve">adjuntó el documento electrónico </w:t>
      </w:r>
      <w:r w:rsidRPr="003B0000">
        <w:rPr>
          <w:rFonts w:ascii="Palatino Linotype" w:eastAsia="Palatino Linotype" w:hAnsi="Palatino Linotype" w:cs="Palatino Linotype"/>
          <w:b/>
          <w:i/>
          <w:sz w:val="22"/>
          <w:szCs w:val="22"/>
        </w:rPr>
        <w:t>denominado 1.docx</w:t>
      </w:r>
      <w:r w:rsidRPr="003B0000">
        <w:rPr>
          <w:rFonts w:ascii="Palatino Linotype" w:eastAsia="Palatino Linotype" w:hAnsi="Palatino Linotype" w:cs="Palatino Linotype"/>
          <w:i/>
          <w:sz w:val="22"/>
          <w:szCs w:val="22"/>
        </w:rPr>
        <w:t xml:space="preserve"> </w:t>
      </w:r>
      <w:r w:rsidRPr="003B0000">
        <w:rPr>
          <w:rFonts w:ascii="Palatino Linotype" w:eastAsia="Palatino Linotype" w:hAnsi="Palatino Linotype" w:cs="Palatino Linotype"/>
          <w:sz w:val="22"/>
          <w:szCs w:val="22"/>
        </w:rPr>
        <w:t>que contiene la siguiente información:</w:t>
      </w:r>
    </w:p>
    <w:p w14:paraId="66C472B0" w14:textId="77777777" w:rsidR="00E01C63" w:rsidRPr="003B0000" w:rsidRDefault="00E01C63">
      <w:pPr>
        <w:spacing w:line="360" w:lineRule="auto"/>
        <w:jc w:val="both"/>
        <w:rPr>
          <w:rFonts w:ascii="Palatino Linotype" w:eastAsia="Palatino Linotype" w:hAnsi="Palatino Linotype" w:cs="Palatino Linotype"/>
          <w:sz w:val="22"/>
          <w:szCs w:val="22"/>
        </w:rPr>
      </w:pPr>
    </w:p>
    <w:p w14:paraId="414DCE80" w14:textId="77777777" w:rsidR="00E01C63" w:rsidRPr="003B0000" w:rsidRDefault="00E01C63" w:rsidP="00E01C63">
      <w:pPr>
        <w:ind w:left="284" w:right="843"/>
        <w:jc w:val="both"/>
        <w:rPr>
          <w:rFonts w:ascii="Palatino Linotype" w:hAnsi="Palatino Linotype"/>
          <w:i/>
          <w:sz w:val="22"/>
        </w:rPr>
      </w:pPr>
      <w:r w:rsidRPr="003B0000">
        <w:rPr>
          <w:rFonts w:ascii="Palatino Linotype" w:hAnsi="Palatino Linotype"/>
          <w:i/>
          <w:sz w:val="22"/>
        </w:rPr>
        <w:t xml:space="preserve">El 31 de marzo de 2025, en el marco de la presentación del libro </w:t>
      </w:r>
      <w:r w:rsidRPr="003B0000">
        <w:rPr>
          <w:rFonts w:ascii="Palatino Linotype" w:hAnsi="Palatino Linotype"/>
          <w:i/>
          <w:iCs/>
          <w:sz w:val="22"/>
        </w:rPr>
        <w:t>“Panorama de fechas mexiquenses 1824-2024”</w:t>
      </w:r>
      <w:r w:rsidRPr="003B0000">
        <w:rPr>
          <w:rFonts w:ascii="Palatino Linotype" w:hAnsi="Palatino Linotype"/>
          <w:i/>
          <w:sz w:val="22"/>
        </w:rPr>
        <w:t>, organizado por el Instituto de Administración Pública del Estado de México (IAPEM), se contó con la participación de diversas personalidades académicas y culturales.</w:t>
      </w:r>
    </w:p>
    <w:p w14:paraId="60F7DAAA" w14:textId="77777777" w:rsidR="00E01C63" w:rsidRPr="003B0000" w:rsidRDefault="00E01C63" w:rsidP="00E01C63">
      <w:pPr>
        <w:ind w:left="284" w:right="843"/>
        <w:jc w:val="both"/>
        <w:rPr>
          <w:rFonts w:ascii="Palatino Linotype" w:hAnsi="Palatino Linotype"/>
          <w:i/>
          <w:sz w:val="22"/>
        </w:rPr>
      </w:pPr>
      <w:r w:rsidRPr="003B0000">
        <w:rPr>
          <w:rFonts w:ascii="Palatino Linotype" w:hAnsi="Palatino Linotype"/>
          <w:i/>
          <w:sz w:val="22"/>
        </w:rPr>
        <w:t>Durante el acto, una de las participantes, María Emma Aguilar, se presentó públicamente con el grado de “Licenciada”, sin que exista constancia verificable de dicho grado académico en los registros oficiales disponibles.</w:t>
      </w:r>
    </w:p>
    <w:p w14:paraId="1F8CA79E" w14:textId="77777777" w:rsidR="00E01C63" w:rsidRPr="003B0000" w:rsidRDefault="00E01C63" w:rsidP="00E01C63">
      <w:pPr>
        <w:numPr>
          <w:ilvl w:val="0"/>
          <w:numId w:val="44"/>
        </w:numPr>
        <w:spacing w:after="160" w:line="278" w:lineRule="auto"/>
        <w:ind w:left="709" w:right="843" w:hanging="425"/>
        <w:jc w:val="both"/>
        <w:rPr>
          <w:rFonts w:ascii="Palatino Linotype" w:hAnsi="Palatino Linotype"/>
          <w:i/>
          <w:sz w:val="22"/>
        </w:rPr>
      </w:pPr>
      <w:r w:rsidRPr="003B0000">
        <w:rPr>
          <w:rFonts w:ascii="Palatino Linotype" w:hAnsi="Palatino Linotype"/>
          <w:i/>
          <w:sz w:val="22"/>
        </w:rPr>
        <w:t>La Ley General de Educación Superior y las disposiciones en materia de profesiones establecen que los grados académicos deben estar sustentados en títulos y cédulas profesionales emitidas por la autoridad competente.</w:t>
      </w:r>
    </w:p>
    <w:p w14:paraId="7207158A" w14:textId="77777777" w:rsidR="00E01C63" w:rsidRPr="003B0000" w:rsidRDefault="00E01C63" w:rsidP="00E01C63">
      <w:pPr>
        <w:numPr>
          <w:ilvl w:val="0"/>
          <w:numId w:val="44"/>
        </w:numPr>
        <w:spacing w:after="160" w:line="278" w:lineRule="auto"/>
        <w:ind w:left="709" w:right="843" w:hanging="425"/>
        <w:jc w:val="both"/>
        <w:rPr>
          <w:rFonts w:ascii="Palatino Linotype" w:hAnsi="Palatino Linotype"/>
          <w:i/>
          <w:sz w:val="22"/>
        </w:rPr>
      </w:pPr>
      <w:r w:rsidRPr="003B0000">
        <w:rPr>
          <w:rFonts w:ascii="Palatino Linotype" w:hAnsi="Palatino Linotype"/>
          <w:i/>
          <w:sz w:val="22"/>
        </w:rPr>
        <w:t>Al tratarse de un evento organizado por un ente público, el IAPEM tiene la obligación de garantizar la veracidad de las credenciales académicas de quienes participan en calidad de especialistas o ponentes.</w:t>
      </w:r>
    </w:p>
    <w:p w14:paraId="14D2315E" w14:textId="77777777" w:rsidR="00E01C63" w:rsidRPr="003B0000" w:rsidRDefault="00E01C63" w:rsidP="00E01C63">
      <w:pPr>
        <w:numPr>
          <w:ilvl w:val="0"/>
          <w:numId w:val="44"/>
        </w:numPr>
        <w:spacing w:after="160" w:line="278" w:lineRule="auto"/>
        <w:ind w:left="709" w:right="843" w:hanging="425"/>
        <w:jc w:val="both"/>
        <w:rPr>
          <w:rFonts w:ascii="Palatino Linotype" w:hAnsi="Palatino Linotype"/>
          <w:i/>
          <w:sz w:val="22"/>
        </w:rPr>
      </w:pPr>
      <w:r w:rsidRPr="003B0000">
        <w:rPr>
          <w:rFonts w:ascii="Palatino Linotype" w:hAnsi="Palatino Linotype"/>
          <w:i/>
          <w:sz w:val="22"/>
        </w:rPr>
        <w:t>Permitir la presentación de grados no comprobados puede interpretarse como falta de rigor académico y administrativo, afectando la credibilidad del Instituto.</w:t>
      </w:r>
    </w:p>
    <w:p w14:paraId="5EBC9BB8" w14:textId="77777777" w:rsidR="00E01C63" w:rsidRPr="003B0000" w:rsidRDefault="00E01C63" w:rsidP="00E01C63">
      <w:pPr>
        <w:numPr>
          <w:ilvl w:val="0"/>
          <w:numId w:val="44"/>
        </w:numPr>
        <w:spacing w:after="160" w:line="278" w:lineRule="auto"/>
        <w:ind w:left="709" w:right="843" w:hanging="425"/>
        <w:jc w:val="both"/>
        <w:rPr>
          <w:rFonts w:ascii="Palatino Linotype" w:hAnsi="Palatino Linotype"/>
          <w:i/>
          <w:sz w:val="22"/>
        </w:rPr>
      </w:pPr>
      <w:r w:rsidRPr="003B0000">
        <w:rPr>
          <w:rFonts w:ascii="Palatino Linotype" w:hAnsi="Palatino Linotype"/>
          <w:i/>
          <w:sz w:val="22"/>
        </w:rPr>
        <w:t>En caso de que se compruebe la inexistencia del grado, podría configurarse un uso indebido de denominaciones profesionales, lo cual genera consecuencias legales para la persona y responsabilidades de supervisión para la institución.</w:t>
      </w:r>
    </w:p>
    <w:p w14:paraId="1970B28A" w14:textId="77777777" w:rsidR="00E01C63" w:rsidRPr="003B0000" w:rsidRDefault="00E01C63">
      <w:pPr>
        <w:spacing w:line="360" w:lineRule="auto"/>
        <w:jc w:val="both"/>
        <w:rPr>
          <w:rFonts w:ascii="Palatino Linotype" w:eastAsia="Palatino Linotype" w:hAnsi="Palatino Linotype" w:cs="Palatino Linotype"/>
          <w:sz w:val="22"/>
          <w:szCs w:val="22"/>
        </w:rPr>
      </w:pPr>
    </w:p>
    <w:p w14:paraId="088E9545" w14:textId="5ED73684" w:rsidR="00837198" w:rsidRPr="003B0000" w:rsidRDefault="00837198" w:rsidP="0083719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7. Ampliación de plazo. El</w:t>
      </w:r>
      <w:r w:rsidR="00324821" w:rsidRPr="003B0000">
        <w:rPr>
          <w:rFonts w:ascii="Palatino Linotype" w:eastAsia="Palatino Linotype" w:hAnsi="Palatino Linotype" w:cs="Palatino Linotype"/>
          <w:b/>
          <w:sz w:val="22"/>
          <w:szCs w:val="22"/>
        </w:rPr>
        <w:t xml:space="preserve"> veintiocho de enero</w:t>
      </w:r>
      <w:r w:rsidR="00635F53" w:rsidRPr="003B0000">
        <w:rPr>
          <w:rFonts w:ascii="Palatino Linotype" w:eastAsia="Palatino Linotype" w:hAnsi="Palatino Linotype" w:cs="Palatino Linotype"/>
          <w:b/>
          <w:sz w:val="22"/>
          <w:szCs w:val="22"/>
        </w:rPr>
        <w:t xml:space="preserve"> de dos mil veintiséis</w:t>
      </w:r>
      <w:r w:rsidRPr="003B0000">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r w:rsidR="004921E1" w:rsidRPr="003B0000">
        <w:rPr>
          <w:rFonts w:ascii="Palatino Linotype" w:eastAsia="Palatino Linotype" w:hAnsi="Palatino Linotype" w:cs="Palatino Linotype"/>
          <w:sz w:val="22"/>
          <w:szCs w:val="22"/>
        </w:rPr>
        <w:t xml:space="preserve"> </w:t>
      </w:r>
    </w:p>
    <w:p w14:paraId="0EC0767F" w14:textId="77777777" w:rsidR="00837198" w:rsidRPr="003B0000" w:rsidRDefault="00837198">
      <w:pPr>
        <w:pBdr>
          <w:top w:val="nil"/>
          <w:left w:val="nil"/>
          <w:bottom w:val="nil"/>
          <w:right w:val="nil"/>
          <w:between w:val="nil"/>
        </w:pBdr>
        <w:spacing w:line="360" w:lineRule="auto"/>
        <w:jc w:val="both"/>
        <w:rPr>
          <w:rFonts w:ascii="Palatino Linotype" w:eastAsia="Palatino Linotype" w:hAnsi="Palatino Linotype" w:cs="Palatino Linotype"/>
          <w:b/>
          <w:sz w:val="22"/>
          <w:szCs w:val="22"/>
        </w:rPr>
      </w:pPr>
    </w:p>
    <w:p w14:paraId="646D2EDF" w14:textId="525CC77A" w:rsidR="00C877F6" w:rsidRPr="003B0000" w:rsidRDefault="00837198">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 xml:space="preserve">8. </w:t>
      </w:r>
      <w:r w:rsidR="00F36565" w:rsidRPr="003B0000">
        <w:rPr>
          <w:rFonts w:ascii="Palatino Linotype" w:eastAsia="Palatino Linotype" w:hAnsi="Palatino Linotype" w:cs="Palatino Linotype"/>
          <w:b/>
          <w:sz w:val="22"/>
          <w:szCs w:val="22"/>
        </w:rPr>
        <w:t>Cierre de instrucción</w:t>
      </w:r>
      <w:r w:rsidR="00F36565" w:rsidRPr="003B0000">
        <w:rPr>
          <w:rFonts w:ascii="Palatino Linotype" w:eastAsia="Palatino Linotype" w:hAnsi="Palatino Linotype" w:cs="Palatino Linotype"/>
          <w:sz w:val="22"/>
          <w:szCs w:val="22"/>
        </w:rPr>
        <w:t>. En fecha</w:t>
      </w:r>
      <w:r w:rsidR="00324821" w:rsidRPr="003B0000">
        <w:rPr>
          <w:rFonts w:ascii="Palatino Linotype" w:eastAsia="Palatino Linotype" w:hAnsi="Palatino Linotype" w:cs="Palatino Linotype"/>
          <w:sz w:val="22"/>
          <w:szCs w:val="22"/>
        </w:rPr>
        <w:t xml:space="preserve"> </w:t>
      </w:r>
      <w:r w:rsidR="00324821" w:rsidRPr="003B0000">
        <w:rPr>
          <w:rFonts w:ascii="Palatino Linotype" w:eastAsia="Palatino Linotype" w:hAnsi="Palatino Linotype" w:cs="Palatino Linotype"/>
          <w:b/>
          <w:sz w:val="22"/>
          <w:szCs w:val="22"/>
        </w:rPr>
        <w:t>c</w:t>
      </w:r>
      <w:r w:rsidR="00820DD0" w:rsidRPr="003B0000">
        <w:rPr>
          <w:rFonts w:ascii="Palatino Linotype" w:eastAsia="Palatino Linotype" w:hAnsi="Palatino Linotype" w:cs="Palatino Linotype"/>
          <w:b/>
          <w:sz w:val="22"/>
          <w:szCs w:val="22"/>
        </w:rPr>
        <w:t>inco</w:t>
      </w:r>
      <w:r w:rsidR="00324821" w:rsidRPr="003B0000">
        <w:rPr>
          <w:rFonts w:ascii="Palatino Linotype" w:eastAsia="Palatino Linotype" w:hAnsi="Palatino Linotype" w:cs="Palatino Linotype"/>
          <w:b/>
          <w:sz w:val="22"/>
          <w:szCs w:val="22"/>
        </w:rPr>
        <w:t xml:space="preserve"> de febrero</w:t>
      </w:r>
      <w:r w:rsidR="00F36565" w:rsidRPr="003B0000">
        <w:rPr>
          <w:rFonts w:ascii="Palatino Linotype" w:eastAsia="Palatino Linotype" w:hAnsi="Palatino Linotype" w:cs="Palatino Linotype"/>
          <w:b/>
          <w:sz w:val="22"/>
          <w:szCs w:val="22"/>
        </w:rPr>
        <w:t xml:space="preserve"> de dos mil veinti</w:t>
      </w:r>
      <w:r w:rsidR="00E111DF" w:rsidRPr="003B0000">
        <w:rPr>
          <w:rFonts w:ascii="Palatino Linotype" w:eastAsia="Palatino Linotype" w:hAnsi="Palatino Linotype" w:cs="Palatino Linotype"/>
          <w:b/>
          <w:sz w:val="22"/>
          <w:szCs w:val="22"/>
        </w:rPr>
        <w:t>séis</w:t>
      </w:r>
      <w:r w:rsidR="00F36565" w:rsidRPr="003B0000">
        <w:rPr>
          <w:rFonts w:ascii="Palatino Linotype" w:eastAsia="Palatino Linotype" w:hAnsi="Palatino Linotype" w:cs="Palatino Linotype"/>
          <w:sz w:val="22"/>
          <w:szCs w:val="22"/>
        </w:rPr>
        <w:t>, la Comisionada Ponente determinó el cierre de instrucción en términos de la fracción VI del artículo 185 de la Ley de Transparencia y Acceso a la Información Pública del Estado de México y Municipios.</w:t>
      </w:r>
    </w:p>
    <w:p w14:paraId="4BAC11C7" w14:textId="77777777" w:rsidR="00C877F6" w:rsidRPr="003B0000" w:rsidRDefault="00C877F6">
      <w:pPr>
        <w:spacing w:line="360" w:lineRule="auto"/>
        <w:ind w:right="49"/>
        <w:jc w:val="both"/>
        <w:rPr>
          <w:rFonts w:ascii="Palatino Linotype" w:eastAsia="Palatino Linotype" w:hAnsi="Palatino Linotype" w:cs="Palatino Linotype"/>
          <w:sz w:val="22"/>
          <w:szCs w:val="22"/>
        </w:rPr>
      </w:pPr>
    </w:p>
    <w:p w14:paraId="2332E74C" w14:textId="1BEBEA7B" w:rsidR="00C877F6" w:rsidRPr="003B0000" w:rsidRDefault="00F36565">
      <w:pPr>
        <w:spacing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Debido a que fue</w:t>
      </w:r>
      <w:r w:rsidR="008D5D61" w:rsidRPr="003B0000">
        <w:rPr>
          <w:rFonts w:ascii="Palatino Linotype" w:eastAsia="Palatino Linotype" w:hAnsi="Palatino Linotype" w:cs="Palatino Linotype"/>
          <w:sz w:val="22"/>
          <w:szCs w:val="22"/>
        </w:rPr>
        <w:t xml:space="preserve"> debidamente sustanciado</w:t>
      </w:r>
      <w:r w:rsidRPr="003B0000">
        <w:rPr>
          <w:rFonts w:ascii="Palatino Linotype" w:eastAsia="Palatino Linotype" w:hAnsi="Palatino Linotype" w:cs="Palatino Linotype"/>
          <w:sz w:val="22"/>
          <w:szCs w:val="22"/>
        </w:rPr>
        <w:t xml:space="preserve"> </w:t>
      </w:r>
      <w:r w:rsidR="008D5D61" w:rsidRPr="003B0000">
        <w:rPr>
          <w:rFonts w:ascii="Palatino Linotype" w:eastAsia="Palatino Linotype" w:hAnsi="Palatino Linotype" w:cs="Palatino Linotype"/>
          <w:sz w:val="22"/>
          <w:szCs w:val="22"/>
        </w:rPr>
        <w:tab/>
        <w:t>el</w:t>
      </w:r>
      <w:r w:rsidRPr="003B0000">
        <w:rPr>
          <w:rFonts w:ascii="Palatino Linotype" w:eastAsia="Palatino Linotype" w:hAnsi="Palatino Linotype" w:cs="Palatino Linotype"/>
          <w:sz w:val="22"/>
          <w:szCs w:val="22"/>
        </w:rPr>
        <w:t xml:space="preserve"> expediente electrónico y no existe diligencia pendiente de desahogo, se emite la Resolución que conforme a Derecho proceda, de acuerdo con los siguientes: </w:t>
      </w:r>
    </w:p>
    <w:p w14:paraId="72E00694" w14:textId="77777777" w:rsidR="00C877F6" w:rsidRPr="003B0000" w:rsidRDefault="00C877F6">
      <w:pPr>
        <w:spacing w:line="360" w:lineRule="auto"/>
        <w:ind w:right="49"/>
        <w:jc w:val="both"/>
        <w:rPr>
          <w:rFonts w:ascii="Palatino Linotype" w:eastAsia="Palatino Linotype" w:hAnsi="Palatino Linotype" w:cs="Palatino Linotype"/>
          <w:sz w:val="22"/>
          <w:szCs w:val="22"/>
        </w:rPr>
      </w:pPr>
    </w:p>
    <w:p w14:paraId="17694FE8" w14:textId="549072A2" w:rsidR="00C877F6" w:rsidRPr="003B0000" w:rsidRDefault="00F36565" w:rsidP="009A113E">
      <w:pPr>
        <w:spacing w:line="360" w:lineRule="auto"/>
        <w:ind w:left="720" w:right="49" w:hanging="720"/>
        <w:jc w:val="center"/>
        <w:rPr>
          <w:rFonts w:ascii="Palatino Linotype" w:eastAsia="Palatino Linotype" w:hAnsi="Palatino Linotype" w:cs="Palatino Linotype"/>
          <w:b/>
          <w:sz w:val="22"/>
          <w:szCs w:val="22"/>
        </w:rPr>
      </w:pPr>
      <w:r w:rsidRPr="003B0000">
        <w:rPr>
          <w:rFonts w:ascii="Palatino Linotype" w:eastAsia="Palatino Linotype" w:hAnsi="Palatino Linotype" w:cs="Palatino Linotype"/>
          <w:b/>
          <w:sz w:val="22"/>
          <w:szCs w:val="22"/>
        </w:rPr>
        <w:t>II.</w:t>
      </w:r>
      <w:r w:rsidRPr="003B0000">
        <w:rPr>
          <w:rFonts w:ascii="Palatino Linotype" w:eastAsia="Palatino Linotype" w:hAnsi="Palatino Linotype" w:cs="Palatino Linotype"/>
          <w:b/>
          <w:sz w:val="22"/>
          <w:szCs w:val="22"/>
        </w:rPr>
        <w:tab/>
        <w:t>C O N S I D E R A N D O:</w:t>
      </w:r>
      <w:r w:rsidR="00351E01" w:rsidRPr="003B0000">
        <w:rPr>
          <w:rFonts w:ascii="Palatino Linotype" w:eastAsia="Palatino Linotype" w:hAnsi="Palatino Linotype" w:cs="Palatino Linotype"/>
          <w:b/>
          <w:sz w:val="22"/>
          <w:szCs w:val="22"/>
        </w:rPr>
        <w:t xml:space="preserve"> </w:t>
      </w:r>
    </w:p>
    <w:p w14:paraId="3E2B3FBD" w14:textId="77777777" w:rsidR="00C877F6" w:rsidRPr="003B0000" w:rsidRDefault="00C877F6">
      <w:pPr>
        <w:spacing w:line="360" w:lineRule="auto"/>
        <w:ind w:right="49"/>
        <w:jc w:val="both"/>
        <w:rPr>
          <w:rFonts w:ascii="Palatino Linotype" w:eastAsia="Palatino Linotype" w:hAnsi="Palatino Linotype" w:cs="Palatino Linotype"/>
          <w:sz w:val="22"/>
          <w:szCs w:val="22"/>
        </w:rPr>
      </w:pPr>
    </w:p>
    <w:p w14:paraId="1C3901F1" w14:textId="77777777" w:rsidR="00C877F6" w:rsidRPr="003B0000" w:rsidRDefault="00F36565">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Primero. Competencia.</w:t>
      </w:r>
      <w:r w:rsidRPr="003B0000">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520C2A94" w14:textId="77777777" w:rsidR="00C877F6" w:rsidRPr="003B0000" w:rsidRDefault="00F36565">
      <w:pPr>
        <w:spacing w:before="240" w:after="240"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 xml:space="preserve">Segundo. Oportunidad y Procedibilidad del Recurso de Revisión. </w:t>
      </w:r>
      <w:r w:rsidRPr="003B0000">
        <w:rPr>
          <w:rFonts w:ascii="Palatino Linotype" w:eastAsia="Palatino Linotype" w:hAnsi="Palatino Linotype" w:cs="Palatino Linotype"/>
          <w:sz w:val="22"/>
          <w:szCs w:val="22"/>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37CA5A2A" w14:textId="77777777" w:rsidR="00C877F6" w:rsidRPr="003B0000" w:rsidRDefault="00F36565">
      <w:pPr>
        <w:spacing w:before="240" w:after="240"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Al respecto la Ley de Transparencia y Acceso a la Información Pública del Estado de México y Municipios, establece lo siguiente:</w:t>
      </w:r>
    </w:p>
    <w:p w14:paraId="68F1D466" w14:textId="77777777" w:rsidR="00C877F6" w:rsidRPr="003B0000" w:rsidRDefault="00F36565">
      <w:pPr>
        <w:spacing w:line="360" w:lineRule="auto"/>
        <w:ind w:left="851" w:right="900"/>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b/>
          <w:i/>
          <w:sz w:val="22"/>
          <w:szCs w:val="22"/>
        </w:rPr>
        <w:t xml:space="preserve">“Artículo 178. </w:t>
      </w:r>
      <w:r w:rsidRPr="003B0000">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206E3069" w14:textId="31013DCE" w:rsidR="00C877F6" w:rsidRPr="003B0000" w:rsidRDefault="00F36565">
      <w:pPr>
        <w:spacing w:before="240" w:after="240"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Del precepto legal transcrito, se desprende que cuando los solicitantes de información en el ejercicio del derecho de acceso a la información no se encuentren satisfechos con la información entregada por los sujetos obligados, podrán interponer recurso de revisión de manera directa o por medios electrónicos dentro de los quince días hábiles siguientes a la fecha de notificación de la respuesta, y, toda vez que el </w:t>
      </w:r>
      <w:r w:rsidRPr="003B0000">
        <w:rPr>
          <w:rFonts w:ascii="Palatino Linotype" w:eastAsia="Palatino Linotype" w:hAnsi="Palatino Linotype" w:cs="Palatino Linotype"/>
          <w:b/>
          <w:sz w:val="22"/>
          <w:szCs w:val="22"/>
        </w:rPr>
        <w:t>SUJETO OBLIGADO</w:t>
      </w:r>
      <w:r w:rsidRPr="003B0000">
        <w:rPr>
          <w:rFonts w:ascii="Palatino Linotype" w:eastAsia="Palatino Linotype" w:hAnsi="Palatino Linotype" w:cs="Palatino Linotype"/>
          <w:sz w:val="22"/>
          <w:szCs w:val="22"/>
        </w:rPr>
        <w:t xml:space="preserve"> remitió la respuesta a la solicitud de información el día </w:t>
      </w:r>
      <w:r w:rsidR="00E35B1C" w:rsidRPr="003B0000">
        <w:rPr>
          <w:rFonts w:ascii="Palatino Linotype" w:eastAsia="Palatino Linotype" w:hAnsi="Palatino Linotype" w:cs="Palatino Linotype"/>
          <w:b/>
          <w:sz w:val="22"/>
          <w:szCs w:val="22"/>
        </w:rPr>
        <w:t>siete</w:t>
      </w:r>
      <w:r w:rsidR="00A16203" w:rsidRPr="003B0000">
        <w:rPr>
          <w:rFonts w:ascii="Palatino Linotype" w:eastAsia="Palatino Linotype" w:hAnsi="Palatino Linotype" w:cs="Palatino Linotype"/>
          <w:sz w:val="22"/>
          <w:szCs w:val="22"/>
        </w:rPr>
        <w:t xml:space="preserve"> </w:t>
      </w:r>
      <w:r w:rsidRPr="003B0000">
        <w:rPr>
          <w:rFonts w:ascii="Palatino Linotype" w:eastAsia="Palatino Linotype" w:hAnsi="Palatino Linotype" w:cs="Palatino Linotype"/>
          <w:b/>
          <w:sz w:val="22"/>
          <w:szCs w:val="22"/>
        </w:rPr>
        <w:t xml:space="preserve">de </w:t>
      </w:r>
      <w:r w:rsidR="00A16203" w:rsidRPr="003B0000">
        <w:rPr>
          <w:rFonts w:ascii="Palatino Linotype" w:eastAsia="Palatino Linotype" w:hAnsi="Palatino Linotype" w:cs="Palatino Linotype"/>
          <w:b/>
          <w:sz w:val="22"/>
          <w:szCs w:val="22"/>
        </w:rPr>
        <w:t>noviembre</w:t>
      </w:r>
      <w:r w:rsidR="008E4A90" w:rsidRPr="003B0000">
        <w:rPr>
          <w:rFonts w:ascii="Palatino Linotype" w:eastAsia="Palatino Linotype" w:hAnsi="Palatino Linotype" w:cs="Palatino Linotype"/>
          <w:b/>
          <w:sz w:val="22"/>
          <w:szCs w:val="22"/>
        </w:rPr>
        <w:t xml:space="preserve"> </w:t>
      </w:r>
      <w:r w:rsidRPr="003B0000">
        <w:rPr>
          <w:rFonts w:ascii="Palatino Linotype" w:eastAsia="Palatino Linotype" w:hAnsi="Palatino Linotype" w:cs="Palatino Linotype"/>
          <w:b/>
          <w:sz w:val="22"/>
          <w:szCs w:val="22"/>
        </w:rPr>
        <w:t xml:space="preserve">de dos mil veinticinco, </w:t>
      </w:r>
      <w:r w:rsidRPr="003B0000">
        <w:rPr>
          <w:rFonts w:ascii="Palatino Linotype" w:eastAsia="Palatino Linotype" w:hAnsi="Palatino Linotype" w:cs="Palatino Linotype"/>
          <w:sz w:val="22"/>
          <w:szCs w:val="22"/>
        </w:rPr>
        <w:t xml:space="preserve">mientras que el recurso de revisión interpuesto por la parte </w:t>
      </w:r>
      <w:r w:rsidRPr="003B0000">
        <w:rPr>
          <w:rFonts w:ascii="Palatino Linotype" w:eastAsia="Palatino Linotype" w:hAnsi="Palatino Linotype" w:cs="Palatino Linotype"/>
          <w:b/>
          <w:sz w:val="22"/>
          <w:szCs w:val="22"/>
        </w:rPr>
        <w:t>RECURRENTE</w:t>
      </w:r>
      <w:r w:rsidRPr="003B0000">
        <w:rPr>
          <w:rFonts w:ascii="Palatino Linotype" w:eastAsia="Palatino Linotype" w:hAnsi="Palatino Linotype" w:cs="Palatino Linotype"/>
          <w:sz w:val="22"/>
          <w:szCs w:val="22"/>
        </w:rPr>
        <w:t xml:space="preserve">, se tuvo por presentado el </w:t>
      </w:r>
      <w:r w:rsidR="00E35B1C" w:rsidRPr="003B0000">
        <w:rPr>
          <w:rFonts w:ascii="Palatino Linotype" w:eastAsia="Palatino Linotype" w:hAnsi="Palatino Linotype" w:cs="Palatino Linotype"/>
          <w:b/>
          <w:sz w:val="22"/>
          <w:szCs w:val="22"/>
        </w:rPr>
        <w:t>diez</w:t>
      </w:r>
      <w:r w:rsidRPr="003B0000">
        <w:rPr>
          <w:rFonts w:ascii="Palatino Linotype" w:eastAsia="Palatino Linotype" w:hAnsi="Palatino Linotype" w:cs="Palatino Linotype"/>
          <w:b/>
          <w:sz w:val="22"/>
          <w:szCs w:val="22"/>
        </w:rPr>
        <w:t xml:space="preserve"> de </w:t>
      </w:r>
      <w:r w:rsidR="00A16203" w:rsidRPr="003B0000">
        <w:rPr>
          <w:rFonts w:ascii="Palatino Linotype" w:eastAsia="Palatino Linotype" w:hAnsi="Palatino Linotype" w:cs="Palatino Linotype"/>
          <w:b/>
          <w:sz w:val="22"/>
          <w:szCs w:val="22"/>
        </w:rPr>
        <w:t>noviembre</w:t>
      </w:r>
      <w:r w:rsidRPr="003B0000">
        <w:rPr>
          <w:rFonts w:ascii="Palatino Linotype" w:eastAsia="Palatino Linotype" w:hAnsi="Palatino Linotype" w:cs="Palatino Linotype"/>
          <w:b/>
          <w:sz w:val="22"/>
          <w:szCs w:val="22"/>
        </w:rPr>
        <w:t xml:space="preserve"> del año dos mil veinticinco</w:t>
      </w:r>
      <w:r w:rsidRPr="003B0000">
        <w:rPr>
          <w:rFonts w:ascii="Palatino Linotype" w:eastAsia="Palatino Linotype" w:hAnsi="Palatino Linotype" w:cs="Palatino Linotype"/>
          <w:sz w:val="22"/>
          <w:szCs w:val="22"/>
        </w:rPr>
        <w:t xml:space="preserve">; esto es, al </w:t>
      </w:r>
      <w:r w:rsidR="00A16203" w:rsidRPr="003B0000">
        <w:rPr>
          <w:rFonts w:ascii="Palatino Linotype" w:eastAsia="Palatino Linotype" w:hAnsi="Palatino Linotype" w:cs="Palatino Linotype"/>
          <w:b/>
          <w:sz w:val="22"/>
          <w:szCs w:val="22"/>
        </w:rPr>
        <w:t>primer</w:t>
      </w:r>
      <w:r w:rsidR="009D625A" w:rsidRPr="003B0000">
        <w:rPr>
          <w:rFonts w:ascii="Palatino Linotype" w:eastAsia="Palatino Linotype" w:hAnsi="Palatino Linotype" w:cs="Palatino Linotype"/>
          <w:b/>
          <w:sz w:val="22"/>
          <w:szCs w:val="22"/>
        </w:rPr>
        <w:t xml:space="preserve"> </w:t>
      </w:r>
      <w:r w:rsidRPr="003B0000">
        <w:rPr>
          <w:rFonts w:ascii="Palatino Linotype" w:eastAsia="Palatino Linotype" w:hAnsi="Palatino Linotype" w:cs="Palatino Linotype"/>
          <w:b/>
          <w:sz w:val="22"/>
          <w:szCs w:val="22"/>
        </w:rPr>
        <w:t xml:space="preserve">día hábil </w:t>
      </w:r>
      <w:r w:rsidRPr="003B0000">
        <w:rPr>
          <w:rFonts w:ascii="Palatino Linotype" w:eastAsia="Palatino Linotype" w:hAnsi="Palatino Linotype" w:cs="Palatino Linotype"/>
          <w:sz w:val="22"/>
          <w:szCs w:val="22"/>
        </w:rPr>
        <w:t>siguiente al que se tuvo conocimiento de la respuesta respectivamente.</w:t>
      </w:r>
    </w:p>
    <w:p w14:paraId="3E440070" w14:textId="77777777" w:rsidR="00C877F6" w:rsidRPr="003B0000" w:rsidRDefault="00F36565">
      <w:pPr>
        <w:spacing w:before="240" w:after="240"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Así también, por cuanto hace a la procedibilidad del recurso de revisión, una vez realizado el análisis de los formatos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7CD30A84" w14:textId="4487B7BC" w:rsidR="00C877F6" w:rsidRPr="003B0000" w:rsidRDefault="00F36565">
      <w:pPr>
        <w:spacing w:before="240" w:after="240"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Asimismo, resulta procedente la interposición del recurso de revisión al rubro anotado, toda vez que se actualiza las hipótesis prevista</w:t>
      </w:r>
      <w:r w:rsidR="00923A7C" w:rsidRPr="003B0000">
        <w:rPr>
          <w:rFonts w:ascii="Palatino Linotype" w:eastAsia="Palatino Linotype" w:hAnsi="Palatino Linotype" w:cs="Palatino Linotype"/>
          <w:sz w:val="22"/>
          <w:szCs w:val="22"/>
        </w:rPr>
        <w:t xml:space="preserve">s en el artículo 179, fracción </w:t>
      </w:r>
      <w:r w:rsidR="003C1D7A" w:rsidRPr="003B0000">
        <w:rPr>
          <w:rFonts w:ascii="Palatino Linotype" w:eastAsia="Palatino Linotype" w:hAnsi="Palatino Linotype" w:cs="Palatino Linotype"/>
          <w:sz w:val="22"/>
          <w:szCs w:val="22"/>
        </w:rPr>
        <w:t>III</w:t>
      </w:r>
      <w:r w:rsidRPr="003B0000">
        <w:rPr>
          <w:rFonts w:ascii="Palatino Linotype" w:eastAsia="Palatino Linotype" w:hAnsi="Palatino Linotype" w:cs="Palatino Linotype"/>
          <w:sz w:val="22"/>
          <w:szCs w:val="22"/>
        </w:rPr>
        <w:t xml:space="preserve"> de la ley de la materia, que a la letra dice:</w:t>
      </w:r>
    </w:p>
    <w:p w14:paraId="47475447" w14:textId="77777777" w:rsidR="00C877F6" w:rsidRPr="003B0000" w:rsidRDefault="00F36565">
      <w:pPr>
        <w:spacing w:line="360" w:lineRule="auto"/>
        <w:ind w:left="851" w:right="1041"/>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w:t>
      </w:r>
      <w:r w:rsidRPr="003B0000">
        <w:rPr>
          <w:rFonts w:ascii="Palatino Linotype" w:eastAsia="Palatino Linotype" w:hAnsi="Palatino Linotype" w:cs="Palatino Linotype"/>
          <w:b/>
          <w:i/>
          <w:sz w:val="22"/>
          <w:szCs w:val="22"/>
        </w:rPr>
        <w:t xml:space="preserve">Artículo 179. </w:t>
      </w:r>
      <w:r w:rsidRPr="003B0000">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1678F80B" w14:textId="7CF952C3" w:rsidR="00C877F6" w:rsidRPr="003B0000" w:rsidRDefault="00F36565">
      <w:pPr>
        <w:spacing w:line="360" w:lineRule="auto"/>
        <w:ind w:left="851" w:right="1041"/>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w:t>
      </w:r>
    </w:p>
    <w:p w14:paraId="63C76F03" w14:textId="7CB7812F" w:rsidR="00A16203" w:rsidRPr="003B0000" w:rsidRDefault="003C1D7A">
      <w:pPr>
        <w:spacing w:line="360" w:lineRule="auto"/>
        <w:ind w:left="851" w:right="1041"/>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III</w:t>
      </w:r>
      <w:r w:rsidR="00A16203" w:rsidRPr="003B0000">
        <w:rPr>
          <w:rFonts w:ascii="Palatino Linotype" w:eastAsia="Palatino Linotype" w:hAnsi="Palatino Linotype" w:cs="Palatino Linotype"/>
          <w:i/>
          <w:sz w:val="22"/>
          <w:szCs w:val="22"/>
        </w:rPr>
        <w:t xml:space="preserve">. La </w:t>
      </w:r>
      <w:r w:rsidRPr="003B0000">
        <w:rPr>
          <w:rFonts w:ascii="Palatino Linotype" w:eastAsia="Palatino Linotype" w:hAnsi="Palatino Linotype" w:cs="Palatino Linotype"/>
          <w:i/>
          <w:sz w:val="22"/>
          <w:szCs w:val="22"/>
        </w:rPr>
        <w:t>declaración de inexistencia de la información</w:t>
      </w:r>
      <w:r w:rsidR="00A16203" w:rsidRPr="003B0000">
        <w:rPr>
          <w:rFonts w:ascii="Palatino Linotype" w:eastAsia="Palatino Linotype" w:hAnsi="Palatino Linotype" w:cs="Palatino Linotype"/>
          <w:i/>
          <w:sz w:val="22"/>
          <w:szCs w:val="22"/>
        </w:rPr>
        <w:t>;</w:t>
      </w:r>
    </w:p>
    <w:p w14:paraId="384EF292" w14:textId="469D8569" w:rsidR="00A16203" w:rsidRPr="003B0000" w:rsidRDefault="00A16203">
      <w:pPr>
        <w:spacing w:line="360" w:lineRule="auto"/>
        <w:ind w:left="851" w:right="1041"/>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w:t>
      </w:r>
    </w:p>
    <w:p w14:paraId="1A2EB9D0" w14:textId="77777777" w:rsidR="00C877F6" w:rsidRPr="003B0000" w:rsidRDefault="00F36565">
      <w:pPr>
        <w:spacing w:before="240" w:after="240"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 xml:space="preserve">Tercero. Materia de la revisión. </w:t>
      </w:r>
      <w:r w:rsidRPr="003B0000">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3B0000">
        <w:rPr>
          <w:rFonts w:ascii="Palatino Linotype" w:eastAsia="Palatino Linotype" w:hAnsi="Palatino Linotype" w:cs="Palatino Linotype"/>
          <w:b/>
          <w:sz w:val="22"/>
          <w:szCs w:val="22"/>
        </w:rPr>
        <w:t xml:space="preserve">verificar si la respuesta otorgada por el Sujeto Obligado es adecuada y suficiente para satisfacer el derecho de acceso a la información pública </w:t>
      </w:r>
      <w:r w:rsidRPr="003B0000">
        <w:rPr>
          <w:rFonts w:ascii="Palatino Linotype" w:eastAsia="Palatino Linotype" w:hAnsi="Palatino Linotype" w:cs="Palatino Linotype"/>
          <w:sz w:val="22"/>
          <w:szCs w:val="22"/>
        </w:rPr>
        <w:t xml:space="preserve">de la parte </w:t>
      </w:r>
      <w:r w:rsidRPr="003B0000">
        <w:rPr>
          <w:rFonts w:ascii="Palatino Linotype" w:eastAsia="Palatino Linotype" w:hAnsi="Palatino Linotype" w:cs="Palatino Linotype"/>
          <w:b/>
          <w:sz w:val="22"/>
          <w:szCs w:val="22"/>
        </w:rPr>
        <w:t>Recurrente</w:t>
      </w:r>
      <w:r w:rsidRPr="003B0000">
        <w:rPr>
          <w:rFonts w:ascii="Palatino Linotype" w:eastAsia="Palatino Linotype" w:hAnsi="Palatino Linotype" w:cs="Palatino Linotype"/>
          <w:sz w:val="22"/>
          <w:szCs w:val="22"/>
        </w:rPr>
        <w:t>, o en su defecto, en caso de ser procedente, ordenar la entrega de información.</w:t>
      </w:r>
    </w:p>
    <w:p w14:paraId="0D9B22BA" w14:textId="77777777" w:rsidR="00C877F6" w:rsidRPr="003B0000" w:rsidRDefault="00F36565">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b/>
          <w:sz w:val="22"/>
          <w:szCs w:val="22"/>
        </w:rPr>
        <w:t xml:space="preserve">Cuarto. Estudio del asunto. </w:t>
      </w:r>
      <w:r w:rsidRPr="003B0000">
        <w:rPr>
          <w:rFonts w:ascii="Palatino Linotype" w:eastAsia="Palatino Linotype" w:hAnsi="Palatino Linotype" w:cs="Palatino Linotype"/>
          <w:sz w:val="22"/>
          <w:szCs w:val="22"/>
        </w:rPr>
        <w:t xml:space="preserve">En principio, es conveniente analizar si la respuesta del </w:t>
      </w:r>
      <w:r w:rsidRPr="003B0000">
        <w:rPr>
          <w:rFonts w:ascii="Palatino Linotype" w:eastAsia="Palatino Linotype" w:hAnsi="Palatino Linotype" w:cs="Palatino Linotype"/>
          <w:b/>
          <w:sz w:val="22"/>
          <w:szCs w:val="22"/>
        </w:rPr>
        <w:t>SUJETO OBLIGADO</w:t>
      </w:r>
      <w:r w:rsidRPr="003B0000">
        <w:rPr>
          <w:rFonts w:ascii="Palatino Linotype" w:eastAsia="Palatino Linotype" w:hAnsi="Palatino Linotype" w:cs="Palatino Linotype"/>
          <w:sz w:val="22"/>
          <w:szCs w:val="22"/>
        </w:rPr>
        <w:t xml:space="preserve"> 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138FFBF6" w14:textId="77777777" w:rsidR="00C877F6" w:rsidRPr="003B0000" w:rsidRDefault="00C877F6">
      <w:pPr>
        <w:spacing w:line="360" w:lineRule="auto"/>
        <w:jc w:val="both"/>
        <w:rPr>
          <w:rFonts w:ascii="Palatino Linotype" w:eastAsia="Palatino Linotype" w:hAnsi="Palatino Linotype" w:cs="Palatino Linotype"/>
          <w:sz w:val="22"/>
          <w:szCs w:val="22"/>
        </w:rPr>
      </w:pPr>
    </w:p>
    <w:p w14:paraId="15C1BD4C" w14:textId="77777777" w:rsidR="00C877F6" w:rsidRPr="003B0000" w:rsidRDefault="00F36565">
      <w:pPr>
        <w:spacing w:line="276" w:lineRule="auto"/>
        <w:ind w:left="567" w:right="616"/>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w:t>
      </w:r>
      <w:r w:rsidRPr="003B0000">
        <w:rPr>
          <w:rFonts w:ascii="Palatino Linotype" w:eastAsia="Palatino Linotype" w:hAnsi="Palatino Linotype" w:cs="Palatino Linotype"/>
          <w:b/>
          <w:i/>
          <w:sz w:val="22"/>
          <w:szCs w:val="22"/>
        </w:rPr>
        <w:t>Artículo 4</w:t>
      </w:r>
      <w:r w:rsidRPr="003B0000">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487D78A" w14:textId="77777777" w:rsidR="00C877F6" w:rsidRPr="003B0000" w:rsidRDefault="00F36565">
      <w:pPr>
        <w:spacing w:line="276" w:lineRule="auto"/>
        <w:ind w:left="567" w:right="616"/>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B0000">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649530" w14:textId="77777777" w:rsidR="00C877F6" w:rsidRPr="003B0000" w:rsidRDefault="00F36565">
      <w:pPr>
        <w:spacing w:line="276" w:lineRule="auto"/>
        <w:ind w:left="567" w:right="616"/>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B0000">
        <w:rPr>
          <w:rFonts w:ascii="Palatino Linotype" w:eastAsia="Palatino Linotype" w:hAnsi="Palatino Linotype" w:cs="Palatino Linotype"/>
          <w:i/>
          <w:sz w:val="22"/>
          <w:szCs w:val="22"/>
        </w:rPr>
        <w:t>.”</w:t>
      </w:r>
    </w:p>
    <w:p w14:paraId="6FBC13EC" w14:textId="77777777" w:rsidR="00C877F6" w:rsidRPr="003B0000" w:rsidRDefault="00C877F6">
      <w:pPr>
        <w:spacing w:line="276" w:lineRule="auto"/>
        <w:jc w:val="both"/>
        <w:rPr>
          <w:rFonts w:ascii="Palatino Linotype" w:eastAsia="Palatino Linotype" w:hAnsi="Palatino Linotype" w:cs="Palatino Linotype"/>
          <w:sz w:val="22"/>
          <w:szCs w:val="22"/>
        </w:rPr>
      </w:pPr>
    </w:p>
    <w:p w14:paraId="1D553B80" w14:textId="77777777" w:rsidR="00C877F6" w:rsidRPr="003B0000" w:rsidRDefault="00F36565">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69D84D3A" w14:textId="77777777" w:rsidR="00C877F6" w:rsidRPr="003B0000" w:rsidRDefault="00C877F6">
      <w:pPr>
        <w:spacing w:line="360" w:lineRule="auto"/>
        <w:jc w:val="both"/>
        <w:rPr>
          <w:rFonts w:ascii="Palatino Linotype" w:eastAsia="Palatino Linotype" w:hAnsi="Palatino Linotype" w:cs="Palatino Linotype"/>
          <w:sz w:val="22"/>
          <w:szCs w:val="22"/>
        </w:rPr>
      </w:pPr>
    </w:p>
    <w:p w14:paraId="2A179EF6" w14:textId="77777777" w:rsidR="00C877F6" w:rsidRPr="003B0000" w:rsidRDefault="00F36565">
      <w:pPr>
        <w:spacing w:line="276" w:lineRule="auto"/>
        <w:ind w:left="567" w:right="616"/>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b/>
          <w:i/>
          <w:sz w:val="22"/>
          <w:szCs w:val="22"/>
        </w:rPr>
        <w:t>“Artículo 12.-</w:t>
      </w:r>
      <w:r w:rsidRPr="003B0000">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73A04A1" w14:textId="77777777" w:rsidR="00C877F6" w:rsidRPr="003B0000" w:rsidRDefault="00C877F6">
      <w:pPr>
        <w:spacing w:line="276" w:lineRule="auto"/>
        <w:ind w:left="567" w:right="616"/>
        <w:jc w:val="both"/>
        <w:rPr>
          <w:rFonts w:ascii="Palatino Linotype" w:eastAsia="Palatino Linotype" w:hAnsi="Palatino Linotype" w:cs="Palatino Linotype"/>
          <w:i/>
          <w:sz w:val="22"/>
          <w:szCs w:val="22"/>
        </w:rPr>
      </w:pPr>
    </w:p>
    <w:p w14:paraId="37D07658" w14:textId="77777777" w:rsidR="00C877F6" w:rsidRPr="003B0000" w:rsidRDefault="00F36565">
      <w:pPr>
        <w:spacing w:line="276" w:lineRule="auto"/>
        <w:ind w:left="567" w:right="616"/>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B0000">
        <w:rPr>
          <w:rFonts w:ascii="Palatino Linotype" w:eastAsia="Palatino Linotype" w:hAnsi="Palatino Linotype" w:cs="Palatino Linotype"/>
          <w:i/>
          <w:sz w:val="22"/>
          <w:szCs w:val="22"/>
        </w:rPr>
        <w:t xml:space="preserve">. </w:t>
      </w:r>
      <w:r w:rsidRPr="003B0000">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5358F059" w14:textId="77777777" w:rsidR="00C877F6" w:rsidRPr="003B0000" w:rsidRDefault="00C877F6">
      <w:pPr>
        <w:spacing w:line="360" w:lineRule="auto"/>
        <w:ind w:right="-93"/>
        <w:jc w:val="both"/>
        <w:rPr>
          <w:rFonts w:ascii="Palatino Linotype" w:eastAsia="Palatino Linotype" w:hAnsi="Palatino Linotype" w:cs="Palatino Linotype"/>
          <w:sz w:val="22"/>
          <w:szCs w:val="22"/>
        </w:rPr>
      </w:pPr>
    </w:p>
    <w:p w14:paraId="16097321" w14:textId="77777777" w:rsidR="00C877F6" w:rsidRPr="003B0000" w:rsidRDefault="00F36565">
      <w:pPr>
        <w:spacing w:line="360" w:lineRule="auto"/>
        <w:ind w:right="-93"/>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14:paraId="039288F1" w14:textId="77777777" w:rsidR="00C877F6" w:rsidRPr="003B0000" w:rsidRDefault="00C877F6">
      <w:pPr>
        <w:spacing w:line="360" w:lineRule="auto"/>
        <w:ind w:right="-93"/>
        <w:jc w:val="both"/>
        <w:rPr>
          <w:rFonts w:ascii="Palatino Linotype" w:eastAsia="Palatino Linotype" w:hAnsi="Palatino Linotype" w:cs="Palatino Linotype"/>
          <w:sz w:val="22"/>
          <w:szCs w:val="22"/>
        </w:rPr>
      </w:pPr>
    </w:p>
    <w:p w14:paraId="279C31C3" w14:textId="77777777" w:rsidR="00C877F6" w:rsidRPr="003B0000" w:rsidRDefault="00F36565">
      <w:pPr>
        <w:spacing w:line="360" w:lineRule="auto"/>
        <w:ind w:right="-93"/>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3B0000">
        <w:rPr>
          <w:rFonts w:ascii="Palatino Linotype" w:eastAsia="Palatino Linotype" w:hAnsi="Palatino Linotype" w:cs="Palatino Linotype"/>
          <w:b/>
          <w:sz w:val="22"/>
          <w:szCs w:val="22"/>
        </w:rPr>
        <w:t xml:space="preserve"> </w:t>
      </w:r>
    </w:p>
    <w:p w14:paraId="2E2DBFC3" w14:textId="77777777" w:rsidR="00C877F6" w:rsidRPr="003B0000" w:rsidRDefault="00C877F6">
      <w:pPr>
        <w:spacing w:line="360" w:lineRule="auto"/>
        <w:jc w:val="both"/>
        <w:rPr>
          <w:rFonts w:ascii="Palatino Linotype" w:eastAsia="Palatino Linotype" w:hAnsi="Palatino Linotype" w:cs="Palatino Linotype"/>
          <w:b/>
          <w:sz w:val="22"/>
          <w:szCs w:val="22"/>
        </w:rPr>
      </w:pPr>
    </w:p>
    <w:p w14:paraId="2C225EFA" w14:textId="77777777" w:rsidR="00C877F6" w:rsidRPr="003B0000" w:rsidRDefault="00F36565">
      <w:pPr>
        <w:ind w:left="567" w:right="616"/>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w:t>
      </w:r>
      <w:r w:rsidRPr="003B0000">
        <w:rPr>
          <w:rFonts w:ascii="Palatino Linotype" w:eastAsia="Palatino Linotype" w:hAnsi="Palatino Linotype" w:cs="Palatino Linotype"/>
          <w:b/>
          <w:i/>
          <w:sz w:val="22"/>
          <w:szCs w:val="22"/>
        </w:rPr>
        <w:t>No existe obligación de elaborar documentos ad hoc para atender las solicitudes de acceso a la información.</w:t>
      </w:r>
      <w:r w:rsidRPr="003B0000">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3DA26D12" w14:textId="77777777" w:rsidR="00C877F6" w:rsidRPr="003B0000" w:rsidRDefault="00C877F6">
      <w:pPr>
        <w:spacing w:line="360" w:lineRule="auto"/>
        <w:ind w:right="-93"/>
        <w:jc w:val="both"/>
        <w:rPr>
          <w:rFonts w:ascii="Palatino Linotype" w:eastAsia="Palatino Linotype" w:hAnsi="Palatino Linotype" w:cs="Palatino Linotype"/>
          <w:sz w:val="22"/>
          <w:szCs w:val="22"/>
        </w:rPr>
      </w:pPr>
    </w:p>
    <w:p w14:paraId="1B3F139F" w14:textId="77777777" w:rsidR="00C877F6" w:rsidRPr="003B0000" w:rsidRDefault="00F36565">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5DE08A8F" w14:textId="77777777" w:rsidR="00C877F6" w:rsidRPr="003B0000" w:rsidRDefault="00C877F6">
      <w:pPr>
        <w:spacing w:line="360" w:lineRule="auto"/>
        <w:jc w:val="both"/>
        <w:rPr>
          <w:rFonts w:ascii="Palatino Linotype" w:eastAsia="Palatino Linotype" w:hAnsi="Palatino Linotype" w:cs="Palatino Linotype"/>
          <w:sz w:val="22"/>
          <w:szCs w:val="22"/>
        </w:rPr>
      </w:pPr>
    </w:p>
    <w:p w14:paraId="0A307AF3" w14:textId="77777777" w:rsidR="00C877F6" w:rsidRPr="003B0000" w:rsidRDefault="00F36565">
      <w:pPr>
        <w:spacing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0E97E71" w14:textId="77777777" w:rsidR="00C877F6" w:rsidRPr="003B0000" w:rsidRDefault="00C877F6">
      <w:pPr>
        <w:spacing w:line="360" w:lineRule="auto"/>
        <w:ind w:right="49"/>
        <w:jc w:val="both"/>
        <w:rPr>
          <w:rFonts w:ascii="Palatino Linotype" w:eastAsia="Palatino Linotype" w:hAnsi="Palatino Linotype" w:cs="Palatino Linotype"/>
          <w:sz w:val="22"/>
          <w:szCs w:val="22"/>
        </w:rPr>
      </w:pPr>
    </w:p>
    <w:p w14:paraId="18A47771" w14:textId="77777777" w:rsidR="00C877F6" w:rsidRPr="003B0000" w:rsidRDefault="00F36565">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7886DAFA" w14:textId="77777777" w:rsidR="00C877F6" w:rsidRPr="003B0000" w:rsidRDefault="00C877F6">
      <w:pPr>
        <w:spacing w:line="360" w:lineRule="auto"/>
        <w:ind w:left="567" w:right="616"/>
        <w:jc w:val="both"/>
        <w:rPr>
          <w:rFonts w:ascii="Palatino Linotype" w:eastAsia="Palatino Linotype" w:hAnsi="Palatino Linotype" w:cs="Palatino Linotype"/>
          <w:i/>
          <w:sz w:val="22"/>
          <w:szCs w:val="22"/>
        </w:rPr>
      </w:pPr>
    </w:p>
    <w:p w14:paraId="688BA59C" w14:textId="77777777" w:rsidR="00C877F6" w:rsidRPr="003B0000" w:rsidRDefault="00F36565">
      <w:pPr>
        <w:ind w:left="567" w:right="616"/>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w:t>
      </w:r>
      <w:r w:rsidRPr="003B0000">
        <w:rPr>
          <w:rFonts w:ascii="Palatino Linotype" w:eastAsia="Palatino Linotype" w:hAnsi="Palatino Linotype" w:cs="Palatino Linotype"/>
          <w:b/>
          <w:i/>
          <w:sz w:val="22"/>
          <w:szCs w:val="22"/>
        </w:rPr>
        <w:t xml:space="preserve">Artículo 3. </w:t>
      </w:r>
      <w:r w:rsidRPr="003B0000">
        <w:rPr>
          <w:rFonts w:ascii="Palatino Linotype" w:eastAsia="Palatino Linotype" w:hAnsi="Palatino Linotype" w:cs="Palatino Linotype"/>
          <w:i/>
          <w:sz w:val="22"/>
          <w:szCs w:val="22"/>
        </w:rPr>
        <w:t>Para los efectos de la presente Ley se entenderá por:</w:t>
      </w:r>
    </w:p>
    <w:p w14:paraId="505D52C6" w14:textId="77777777" w:rsidR="00C877F6" w:rsidRPr="003B0000" w:rsidRDefault="00F36565">
      <w:pPr>
        <w:ind w:left="567" w:right="616"/>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w:t>
      </w:r>
    </w:p>
    <w:p w14:paraId="273D4E7F" w14:textId="77777777" w:rsidR="00C877F6" w:rsidRPr="003B0000" w:rsidRDefault="00F36565">
      <w:pPr>
        <w:ind w:left="567" w:right="616"/>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b/>
          <w:i/>
          <w:sz w:val="22"/>
          <w:szCs w:val="22"/>
        </w:rPr>
        <w:t>XI. Documento:</w:t>
      </w:r>
      <w:r w:rsidRPr="003B0000">
        <w:rPr>
          <w:rFonts w:ascii="Palatino Linotype" w:eastAsia="Palatino Linotype" w:hAnsi="Palatino Linotype" w:cs="Palatino Linotype"/>
          <w:i/>
          <w:sz w:val="22"/>
          <w:szCs w:val="22"/>
        </w:rPr>
        <w:t xml:space="preserve"> Los expedientes, reportes, estudios, actas</w:t>
      </w:r>
      <w:r w:rsidRPr="003B0000">
        <w:rPr>
          <w:rFonts w:ascii="Palatino Linotype" w:eastAsia="Palatino Linotype" w:hAnsi="Palatino Linotype" w:cs="Palatino Linotype"/>
          <w:b/>
          <w:i/>
          <w:sz w:val="22"/>
          <w:szCs w:val="22"/>
        </w:rPr>
        <w:t>,</w:t>
      </w:r>
      <w:r w:rsidRPr="003B0000">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75F92C6F" w14:textId="77777777" w:rsidR="00C877F6" w:rsidRPr="003B0000" w:rsidRDefault="00C877F6">
      <w:pPr>
        <w:spacing w:line="360" w:lineRule="auto"/>
        <w:ind w:left="851" w:right="899"/>
        <w:jc w:val="both"/>
        <w:rPr>
          <w:rFonts w:ascii="Palatino Linotype" w:eastAsia="Palatino Linotype" w:hAnsi="Palatino Linotype" w:cs="Palatino Linotype"/>
          <w:sz w:val="22"/>
          <w:szCs w:val="22"/>
        </w:rPr>
      </w:pPr>
    </w:p>
    <w:p w14:paraId="732A9768" w14:textId="77777777" w:rsidR="00C877F6" w:rsidRPr="003B0000" w:rsidRDefault="00F36565">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43FF5F00" w14:textId="77777777" w:rsidR="00C877F6" w:rsidRPr="003B0000" w:rsidRDefault="00C877F6">
      <w:pPr>
        <w:spacing w:line="360" w:lineRule="auto"/>
        <w:jc w:val="both"/>
        <w:rPr>
          <w:rFonts w:ascii="Palatino Linotype" w:eastAsia="Palatino Linotype" w:hAnsi="Palatino Linotype" w:cs="Palatino Linotype"/>
          <w:sz w:val="22"/>
          <w:szCs w:val="22"/>
        </w:rPr>
      </w:pPr>
    </w:p>
    <w:p w14:paraId="36EC6455" w14:textId="77777777" w:rsidR="00C877F6" w:rsidRPr="003B0000" w:rsidRDefault="00F36565">
      <w:pPr>
        <w:ind w:left="567" w:right="616"/>
        <w:jc w:val="both"/>
        <w:rPr>
          <w:rFonts w:ascii="Palatino Linotype" w:eastAsia="Palatino Linotype" w:hAnsi="Palatino Linotype" w:cs="Palatino Linotype"/>
          <w:b/>
          <w:i/>
          <w:sz w:val="22"/>
          <w:szCs w:val="22"/>
        </w:rPr>
      </w:pPr>
      <w:r w:rsidRPr="003B0000">
        <w:rPr>
          <w:rFonts w:ascii="Palatino Linotype" w:eastAsia="Palatino Linotype" w:hAnsi="Palatino Linotype" w:cs="Palatino Linotype"/>
          <w:b/>
          <w:sz w:val="22"/>
          <w:szCs w:val="22"/>
        </w:rPr>
        <w:t>“</w:t>
      </w:r>
      <w:r w:rsidRPr="003B0000">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B0000">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5D1E8D9" w14:textId="77777777" w:rsidR="00C877F6" w:rsidRPr="003B0000" w:rsidRDefault="00F36565">
      <w:pPr>
        <w:ind w:left="567" w:right="616"/>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00DE89C1" w14:textId="77777777" w:rsidR="00C877F6" w:rsidRPr="003B0000" w:rsidRDefault="00F36565">
      <w:pPr>
        <w:ind w:left="567" w:right="616"/>
        <w:jc w:val="both"/>
        <w:rPr>
          <w:rFonts w:ascii="Palatino Linotype" w:eastAsia="Palatino Linotype" w:hAnsi="Palatino Linotype" w:cs="Palatino Linotype"/>
          <w:i/>
          <w:sz w:val="22"/>
          <w:szCs w:val="22"/>
        </w:rPr>
      </w:pPr>
      <w:r w:rsidRPr="003B0000">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74575813" w14:textId="77777777" w:rsidR="00C877F6" w:rsidRPr="003B0000" w:rsidRDefault="00F36565">
      <w:pPr>
        <w:ind w:left="567" w:right="616"/>
        <w:jc w:val="both"/>
        <w:rPr>
          <w:rFonts w:ascii="Palatino Linotype" w:eastAsia="Palatino Linotype" w:hAnsi="Palatino Linotype" w:cs="Palatino Linotype"/>
          <w:b/>
          <w:i/>
          <w:sz w:val="22"/>
          <w:szCs w:val="22"/>
        </w:rPr>
      </w:pPr>
      <w:r w:rsidRPr="003B0000">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5DABC20" w14:textId="77777777" w:rsidR="00C877F6" w:rsidRPr="003B0000" w:rsidRDefault="00F36565">
      <w:pPr>
        <w:ind w:left="567" w:right="616"/>
        <w:jc w:val="both"/>
        <w:rPr>
          <w:rFonts w:ascii="Palatino Linotype" w:eastAsia="Palatino Linotype" w:hAnsi="Palatino Linotype" w:cs="Palatino Linotype"/>
          <w:b/>
          <w:i/>
          <w:sz w:val="22"/>
          <w:szCs w:val="22"/>
        </w:rPr>
      </w:pPr>
      <w:r w:rsidRPr="003B0000">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436FFA4E" w14:textId="77777777" w:rsidR="00C877F6" w:rsidRPr="003B0000" w:rsidRDefault="00C877F6">
      <w:pPr>
        <w:tabs>
          <w:tab w:val="left" w:pos="8647"/>
        </w:tabs>
        <w:spacing w:line="360" w:lineRule="auto"/>
        <w:jc w:val="both"/>
        <w:rPr>
          <w:rFonts w:ascii="Palatino Linotype" w:eastAsia="Palatino Linotype" w:hAnsi="Palatino Linotype" w:cs="Palatino Linotype"/>
          <w:b/>
          <w:sz w:val="22"/>
          <w:szCs w:val="22"/>
        </w:rPr>
      </w:pPr>
    </w:p>
    <w:p w14:paraId="45427B9F" w14:textId="068A7DC3" w:rsidR="00E97AD5" w:rsidRPr="003B0000" w:rsidRDefault="00F36565">
      <w:pPr>
        <w:spacing w:after="240"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Del análisis de la solicitud de información motivo del recurso de revisión que ahora se resuelve, </w:t>
      </w:r>
      <w:r w:rsidR="008E4A90" w:rsidRPr="003B0000">
        <w:rPr>
          <w:rFonts w:ascii="Palatino Linotype" w:eastAsia="Palatino Linotype" w:hAnsi="Palatino Linotype" w:cs="Palatino Linotype"/>
          <w:sz w:val="22"/>
          <w:szCs w:val="22"/>
        </w:rPr>
        <w:t xml:space="preserve">se tiene que el Recurrente solicitó al </w:t>
      </w:r>
      <w:r w:rsidR="00426E89" w:rsidRPr="003B0000">
        <w:rPr>
          <w:rFonts w:ascii="Palatino Linotype" w:eastAsia="Palatino Linotype" w:hAnsi="Palatino Linotype" w:cs="Palatino Linotype"/>
          <w:b/>
          <w:sz w:val="22"/>
          <w:szCs w:val="22"/>
        </w:rPr>
        <w:t>Poder Legislativo</w:t>
      </w:r>
      <w:r w:rsidR="004B0E0F" w:rsidRPr="003B0000">
        <w:rPr>
          <w:rFonts w:ascii="Palatino Linotype" w:eastAsia="Palatino Linotype" w:hAnsi="Palatino Linotype" w:cs="Palatino Linotype"/>
          <w:sz w:val="22"/>
          <w:szCs w:val="22"/>
        </w:rPr>
        <w:t xml:space="preserve"> la siguiente información</w:t>
      </w:r>
      <w:r w:rsidR="00E97AD5" w:rsidRPr="003B0000">
        <w:rPr>
          <w:rFonts w:ascii="Palatino Linotype" w:eastAsia="Palatino Linotype" w:hAnsi="Palatino Linotype" w:cs="Palatino Linotype"/>
          <w:sz w:val="22"/>
          <w:szCs w:val="22"/>
        </w:rPr>
        <w:t>:</w:t>
      </w:r>
    </w:p>
    <w:p w14:paraId="60D5E6A6" w14:textId="38B50CC6" w:rsidR="003C1D7A" w:rsidRPr="003B0000" w:rsidRDefault="003C1D7A" w:rsidP="00241C45">
      <w:pPr>
        <w:pStyle w:val="Prrafodelista"/>
        <w:numPr>
          <w:ilvl w:val="0"/>
          <w:numId w:val="24"/>
        </w:numPr>
        <w:spacing w:line="360" w:lineRule="auto"/>
        <w:ind w:left="851"/>
        <w:jc w:val="both"/>
        <w:rPr>
          <w:rFonts w:ascii="Palatino Linotype" w:hAnsi="Palatino Linotype"/>
          <w:b/>
          <w:sz w:val="22"/>
          <w:szCs w:val="22"/>
        </w:rPr>
      </w:pPr>
      <w:r w:rsidRPr="003B0000">
        <w:rPr>
          <w:rFonts w:ascii="Palatino Linotype" w:hAnsi="Palatino Linotype"/>
          <w:b/>
          <w:sz w:val="22"/>
          <w:szCs w:val="22"/>
        </w:rPr>
        <w:t>Título y Cédula profesional del grado de Licenciatura y Maestría de la Servidora Pública referida en la solicitud.</w:t>
      </w:r>
    </w:p>
    <w:p w14:paraId="6014D997" w14:textId="77777777" w:rsidR="00E97AD5" w:rsidRPr="003B0000" w:rsidRDefault="00E97AD5" w:rsidP="00E97AD5">
      <w:pPr>
        <w:jc w:val="both"/>
        <w:rPr>
          <w:rFonts w:ascii="Palatino Linotype" w:hAnsi="Palatino Linotype"/>
          <w:sz w:val="22"/>
          <w:szCs w:val="22"/>
        </w:rPr>
      </w:pPr>
    </w:p>
    <w:p w14:paraId="624E027C" w14:textId="2AB17B1E" w:rsidR="00BB7C63" w:rsidRPr="003B0000" w:rsidRDefault="00BB7C63" w:rsidP="00BB7C63">
      <w:pPr>
        <w:tabs>
          <w:tab w:val="left" w:pos="993"/>
        </w:tabs>
        <w:spacing w:line="360" w:lineRule="auto"/>
        <w:ind w:right="-28"/>
        <w:jc w:val="both"/>
        <w:rPr>
          <w:rFonts w:ascii="Palatino Linotype" w:hAnsi="Palatino Linotype"/>
          <w:sz w:val="22"/>
          <w:szCs w:val="22"/>
        </w:rPr>
      </w:pPr>
      <w:r w:rsidRPr="003B0000">
        <w:rPr>
          <w:rFonts w:ascii="Palatino Linotype" w:eastAsia="Palatino Linotype" w:hAnsi="Palatino Linotype" w:cs="Palatino Linotype"/>
          <w:sz w:val="22"/>
        </w:rPr>
        <w:t xml:space="preserve">Derivado de la naturaleza de la información requerida </w:t>
      </w:r>
      <w:r w:rsidRPr="003B0000">
        <w:rPr>
          <w:rFonts w:ascii="Palatino Linotype" w:eastAsia="Palatino Linotype" w:hAnsi="Palatino Linotype" w:cs="Palatino Linotype"/>
          <w:sz w:val="22"/>
          <w:szCs w:val="22"/>
        </w:rPr>
        <w:t xml:space="preserve">debe considerarse lo dispuesto </w:t>
      </w:r>
      <w:r w:rsidRPr="003B0000">
        <w:rPr>
          <w:rFonts w:ascii="Palatino Linotype" w:hAnsi="Palatino Linotype"/>
          <w:sz w:val="22"/>
          <w:szCs w:val="22"/>
        </w:rPr>
        <w:t>en los artículos 60 de la Ley General de Educación, 3.27 fracción IV, 3.28, 3.29 y 3.31 segundo párrafo del Código Administrativo del Estado de México, que prevén:</w:t>
      </w:r>
    </w:p>
    <w:p w14:paraId="65C23C84" w14:textId="77777777" w:rsidR="00BB7C63" w:rsidRPr="003B0000" w:rsidRDefault="00BB7C63" w:rsidP="00BB7C63">
      <w:pPr>
        <w:pStyle w:val="NormalWeb"/>
        <w:spacing w:before="240" w:beforeAutospacing="0" w:after="240" w:afterAutospacing="0"/>
        <w:ind w:left="851" w:right="902"/>
        <w:jc w:val="center"/>
        <w:rPr>
          <w:rFonts w:ascii="Palatino Linotype" w:hAnsi="Palatino Linotype"/>
          <w:sz w:val="22"/>
          <w:szCs w:val="22"/>
        </w:rPr>
      </w:pPr>
      <w:r w:rsidRPr="003B0000">
        <w:rPr>
          <w:rFonts w:ascii="Palatino Linotype" w:hAnsi="Palatino Linotype"/>
          <w:b/>
          <w:bCs/>
          <w:i/>
          <w:iCs/>
          <w:sz w:val="22"/>
          <w:szCs w:val="22"/>
        </w:rPr>
        <w:t>Ley General de Educación</w:t>
      </w:r>
    </w:p>
    <w:p w14:paraId="67987C40" w14:textId="77777777" w:rsidR="00BB7C63" w:rsidRPr="003B0000" w:rsidRDefault="00BB7C63" w:rsidP="00BB7C63">
      <w:pPr>
        <w:pStyle w:val="NormalWeb"/>
        <w:spacing w:before="0" w:beforeAutospacing="0" w:after="0" w:afterAutospacing="0"/>
        <w:ind w:left="851" w:right="902"/>
        <w:jc w:val="both"/>
        <w:rPr>
          <w:rFonts w:ascii="Palatino Linotype" w:hAnsi="Palatino Linotype"/>
          <w:sz w:val="22"/>
          <w:szCs w:val="22"/>
        </w:rPr>
      </w:pPr>
      <w:r w:rsidRPr="003B0000">
        <w:rPr>
          <w:rFonts w:ascii="Palatino Linotype" w:hAnsi="Palatino Linotype"/>
          <w:b/>
          <w:bCs/>
          <w:i/>
          <w:iCs/>
          <w:sz w:val="22"/>
          <w:szCs w:val="22"/>
        </w:rPr>
        <w:t>“ARTÍCULO 60.-</w:t>
      </w:r>
      <w:r w:rsidRPr="003B0000">
        <w:rPr>
          <w:rFonts w:ascii="Palatino Linotype" w:hAnsi="Palatino Linotype"/>
          <w:i/>
          <w:iCs/>
          <w:sz w:val="22"/>
          <w:szCs w:val="22"/>
        </w:rPr>
        <w:t xml:space="preserve"> Los estudios realizados dentro del sistema educativo nacional tendrán validez en toda la República.</w:t>
      </w:r>
    </w:p>
    <w:p w14:paraId="5FE39D75" w14:textId="77777777" w:rsidR="00BB7C63" w:rsidRPr="003B0000" w:rsidRDefault="00BB7C63" w:rsidP="00BB7C63">
      <w:pPr>
        <w:rPr>
          <w:rFonts w:ascii="Palatino Linotype" w:hAnsi="Palatino Linotype"/>
          <w:sz w:val="22"/>
          <w:szCs w:val="22"/>
        </w:rPr>
      </w:pPr>
    </w:p>
    <w:p w14:paraId="3A1C7529" w14:textId="77777777" w:rsidR="00BB7C63" w:rsidRPr="003B0000" w:rsidRDefault="00BB7C63" w:rsidP="00BB7C63">
      <w:pPr>
        <w:pStyle w:val="NormalWeb"/>
        <w:spacing w:before="0" w:beforeAutospacing="0" w:after="0" w:afterAutospacing="0"/>
        <w:ind w:left="851" w:right="902"/>
        <w:jc w:val="both"/>
        <w:rPr>
          <w:rFonts w:ascii="Palatino Linotype" w:hAnsi="Palatino Linotype"/>
          <w:sz w:val="22"/>
          <w:szCs w:val="22"/>
        </w:rPr>
      </w:pPr>
      <w:r w:rsidRPr="003B0000">
        <w:rPr>
          <w:rFonts w:ascii="Palatino Linotype" w:hAnsi="Palatino Linotype"/>
          <w:i/>
          <w:iCs/>
          <w:sz w:val="22"/>
          <w:szCs w:val="22"/>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14:paraId="70C76FB2" w14:textId="77777777" w:rsidR="00BB7C63" w:rsidRPr="003B0000" w:rsidRDefault="00BB7C63" w:rsidP="00BB7C63">
      <w:pPr>
        <w:rPr>
          <w:rFonts w:ascii="Palatino Linotype" w:hAnsi="Palatino Linotype"/>
          <w:sz w:val="22"/>
          <w:szCs w:val="22"/>
        </w:rPr>
      </w:pPr>
    </w:p>
    <w:p w14:paraId="2E14FCA5" w14:textId="77777777" w:rsidR="00BB7C63" w:rsidRPr="003B0000" w:rsidRDefault="00BB7C63" w:rsidP="00BB7C63">
      <w:pPr>
        <w:pStyle w:val="NormalWeb"/>
        <w:spacing w:before="0" w:beforeAutospacing="0" w:after="0" w:afterAutospacing="0"/>
        <w:ind w:left="851" w:right="902"/>
        <w:jc w:val="center"/>
        <w:rPr>
          <w:rFonts w:ascii="Palatino Linotype" w:hAnsi="Palatino Linotype"/>
          <w:sz w:val="22"/>
          <w:szCs w:val="22"/>
        </w:rPr>
      </w:pPr>
      <w:r w:rsidRPr="003B0000">
        <w:rPr>
          <w:rFonts w:ascii="Palatino Linotype" w:hAnsi="Palatino Linotype"/>
          <w:b/>
          <w:bCs/>
          <w:i/>
          <w:iCs/>
          <w:sz w:val="22"/>
          <w:szCs w:val="22"/>
        </w:rPr>
        <w:t>Código Administrativo del Estado de México</w:t>
      </w:r>
    </w:p>
    <w:p w14:paraId="762D1EE1" w14:textId="77777777" w:rsidR="00BB7C63" w:rsidRPr="003B0000" w:rsidRDefault="00BB7C63" w:rsidP="00BB7C63">
      <w:pPr>
        <w:pStyle w:val="NormalWeb"/>
        <w:spacing w:before="0" w:beforeAutospacing="0" w:after="0" w:afterAutospacing="0"/>
        <w:ind w:left="851" w:right="902"/>
        <w:jc w:val="both"/>
        <w:rPr>
          <w:rFonts w:ascii="Palatino Linotype" w:hAnsi="Palatino Linotype"/>
          <w:sz w:val="22"/>
          <w:szCs w:val="22"/>
        </w:rPr>
      </w:pPr>
      <w:r w:rsidRPr="003B0000">
        <w:rPr>
          <w:rFonts w:ascii="Palatino Linotype" w:hAnsi="Palatino Linotype"/>
          <w:i/>
          <w:iCs/>
          <w:sz w:val="22"/>
          <w:szCs w:val="22"/>
        </w:rPr>
        <w:t>Artículo 3.27.- Son atribuciones de la Secretaría de Educación, Ciencia, Tecnología e Innovación, en materia de profesiones:</w:t>
      </w:r>
    </w:p>
    <w:p w14:paraId="3C068EE1" w14:textId="77777777" w:rsidR="00BB7C63" w:rsidRPr="003B0000" w:rsidRDefault="00BB7C63" w:rsidP="00BB7C63">
      <w:pPr>
        <w:pStyle w:val="NormalWeb"/>
        <w:spacing w:before="0" w:beforeAutospacing="0" w:after="0" w:afterAutospacing="0"/>
        <w:ind w:left="851" w:right="902"/>
        <w:jc w:val="both"/>
        <w:rPr>
          <w:rFonts w:ascii="Palatino Linotype" w:hAnsi="Palatino Linotype"/>
          <w:sz w:val="22"/>
          <w:szCs w:val="22"/>
        </w:rPr>
      </w:pPr>
      <w:r w:rsidRPr="003B0000">
        <w:rPr>
          <w:rFonts w:ascii="Palatino Linotype" w:hAnsi="Palatino Linotype"/>
          <w:i/>
          <w:iCs/>
          <w:sz w:val="22"/>
          <w:szCs w:val="22"/>
        </w:rPr>
        <w:t>[…]</w:t>
      </w:r>
    </w:p>
    <w:p w14:paraId="62A4325D" w14:textId="77777777" w:rsidR="00BB7C63" w:rsidRPr="003B0000" w:rsidRDefault="00BB7C63" w:rsidP="00BB7C63">
      <w:pPr>
        <w:pStyle w:val="NormalWeb"/>
        <w:spacing w:before="0" w:beforeAutospacing="0" w:after="0" w:afterAutospacing="0"/>
        <w:ind w:left="851" w:right="902"/>
        <w:jc w:val="both"/>
        <w:rPr>
          <w:rFonts w:ascii="Palatino Linotype" w:hAnsi="Palatino Linotype"/>
          <w:sz w:val="22"/>
          <w:szCs w:val="22"/>
        </w:rPr>
      </w:pPr>
      <w:r w:rsidRPr="003B0000">
        <w:rPr>
          <w:rFonts w:ascii="Palatino Linotype" w:hAnsi="Palatino Linotype"/>
          <w:i/>
          <w:iCs/>
          <w:sz w:val="22"/>
          <w:szCs w:val="22"/>
        </w:rPr>
        <w:t>IV. Otorgar, negar, revocar o cancelar cédulas de pasante, cédula para autorización del ejercicio profesional, y el registro de asociaciones de profesionistas;[…]”</w:t>
      </w:r>
    </w:p>
    <w:p w14:paraId="502D17D0" w14:textId="77777777" w:rsidR="00BB7C63" w:rsidRPr="003B0000" w:rsidRDefault="00BB7C63" w:rsidP="00BB7C63">
      <w:pPr>
        <w:pStyle w:val="NormalWeb"/>
        <w:spacing w:before="240" w:beforeAutospacing="0" w:after="240" w:afterAutospacing="0"/>
        <w:ind w:left="851" w:right="902"/>
        <w:jc w:val="both"/>
        <w:rPr>
          <w:rFonts w:ascii="Palatino Linotype" w:hAnsi="Palatino Linotype"/>
          <w:sz w:val="22"/>
          <w:szCs w:val="22"/>
        </w:rPr>
      </w:pPr>
      <w:r w:rsidRPr="003B0000">
        <w:rPr>
          <w:rFonts w:ascii="Palatino Linotype" w:hAnsi="Palatino Linotype"/>
          <w:i/>
          <w:iCs/>
          <w:sz w:val="22"/>
          <w:szCs w:val="22"/>
        </w:rPr>
        <w:t>Artículo 3.28.- Todas las profesiones creadas o que lo fueren en el futuro, en todas sus ramas y especialidades, requerirán título y cédula para su ejercicio. </w:t>
      </w:r>
    </w:p>
    <w:p w14:paraId="6CF77454" w14:textId="77777777" w:rsidR="00BB7C63" w:rsidRPr="003B0000" w:rsidRDefault="00BB7C63" w:rsidP="00BB7C63">
      <w:pPr>
        <w:pStyle w:val="NormalWeb"/>
        <w:spacing w:before="240" w:beforeAutospacing="0" w:after="240" w:afterAutospacing="0"/>
        <w:ind w:left="851" w:right="902"/>
        <w:jc w:val="both"/>
        <w:rPr>
          <w:rFonts w:ascii="Palatino Linotype" w:hAnsi="Palatino Linotype"/>
          <w:sz w:val="22"/>
          <w:szCs w:val="22"/>
        </w:rPr>
      </w:pPr>
      <w:r w:rsidRPr="003B0000">
        <w:rPr>
          <w:rFonts w:ascii="Palatino Linotype" w:hAnsi="Palatino Linotype"/>
          <w:i/>
          <w:iCs/>
          <w:sz w:val="22"/>
          <w:szCs w:val="22"/>
        </w:rPr>
        <w:t>Artículo 3.29.- Los títulos expedidos en el extranjero podrán obtener la revalidación con apego a lo establecido en la reglamentación correspondiente. </w:t>
      </w:r>
    </w:p>
    <w:p w14:paraId="6C36BEB0" w14:textId="77777777" w:rsidR="00BB7C63" w:rsidRPr="003B0000" w:rsidRDefault="00BB7C63" w:rsidP="00BB7C63">
      <w:pPr>
        <w:pStyle w:val="NormalWeb"/>
        <w:spacing w:before="240" w:beforeAutospacing="0" w:after="240" w:afterAutospacing="0"/>
        <w:ind w:left="851" w:right="902"/>
        <w:jc w:val="both"/>
        <w:rPr>
          <w:rFonts w:ascii="Palatino Linotype" w:hAnsi="Palatino Linotype"/>
          <w:sz w:val="22"/>
          <w:szCs w:val="22"/>
        </w:rPr>
      </w:pPr>
      <w:r w:rsidRPr="003B0000">
        <w:rPr>
          <w:rFonts w:ascii="Palatino Linotype" w:hAnsi="Palatino Linotype"/>
          <w:i/>
          <w:iCs/>
          <w:sz w:val="22"/>
          <w:szCs w:val="22"/>
        </w:rPr>
        <w:t>Artículo 3.30.- La persona titular del Poder Ejecutivo del Estado, previo dictamen de la Secretaría de Educación, Ciencia, Tecnología e Innovación, y oyendo la opinión de las instituciones de educación media superior y superior, de las asociaciones de profesionistas y del Consejo Técnico de Educación, expedirá los reglamentos correspondientes a los distintos campos de acción profesional. </w:t>
      </w:r>
    </w:p>
    <w:p w14:paraId="0B3E4FAA" w14:textId="77777777" w:rsidR="00BB7C63" w:rsidRPr="003B0000" w:rsidRDefault="00BB7C63" w:rsidP="00BB7C63">
      <w:pPr>
        <w:pStyle w:val="NormalWeb"/>
        <w:spacing w:before="240" w:beforeAutospacing="0" w:after="240" w:afterAutospacing="0"/>
        <w:ind w:left="851" w:right="902"/>
        <w:jc w:val="both"/>
        <w:rPr>
          <w:rFonts w:ascii="Palatino Linotype" w:hAnsi="Palatino Linotype"/>
          <w:sz w:val="22"/>
          <w:szCs w:val="22"/>
        </w:rPr>
      </w:pPr>
      <w:r w:rsidRPr="003B0000">
        <w:rPr>
          <w:rFonts w:ascii="Palatino Linotype" w:hAnsi="Palatino Linotype"/>
          <w:i/>
          <w:iCs/>
          <w:sz w:val="22"/>
          <w:szCs w:val="22"/>
        </w:rPr>
        <w:t>Artículo 3.31.- Para ejercer una profesión en el Estado o ejercer como perito se requiere cumplir con lo que disponga el reglamento correspondiente. </w:t>
      </w:r>
    </w:p>
    <w:p w14:paraId="7082EB9F" w14:textId="77777777" w:rsidR="00BB7C63" w:rsidRPr="003B0000" w:rsidRDefault="00BB7C63" w:rsidP="00BB7C63">
      <w:pPr>
        <w:pStyle w:val="NormalWeb"/>
        <w:spacing w:before="240" w:beforeAutospacing="0" w:after="240" w:afterAutospacing="0"/>
        <w:ind w:left="851" w:right="902"/>
        <w:jc w:val="both"/>
        <w:rPr>
          <w:rFonts w:ascii="Palatino Linotype" w:hAnsi="Palatino Linotype"/>
          <w:sz w:val="22"/>
          <w:szCs w:val="22"/>
        </w:rPr>
      </w:pPr>
      <w:r w:rsidRPr="003B0000">
        <w:rPr>
          <w:rFonts w:ascii="Palatino Linotype" w:hAnsi="Palatino Linotype"/>
          <w:i/>
          <w:iCs/>
          <w:sz w:val="22"/>
          <w:szCs w:val="22"/>
        </w:rPr>
        <w:t>Para efectos de este Título se entiende por profesión, a la facultad adquirida a través de la formación académica de tipo medio superior o superior, para prestar un servicio profesional, y por profesionista; a la persona que obtenga o revalide el título legalmente expedido por las instituciones facultadas para ello; o el extranjero que obtenga la autorización para ejercer su profesión en la entidad, de la autoridad federal competente, conforme a las leyes aplicables.”</w:t>
      </w:r>
    </w:p>
    <w:p w14:paraId="69961BCF" w14:textId="77777777" w:rsidR="00BB7C63" w:rsidRPr="003B0000" w:rsidRDefault="00BB7C63" w:rsidP="00BB7C63">
      <w:pPr>
        <w:rPr>
          <w:rFonts w:ascii="Palatino Linotype" w:hAnsi="Palatino Linotype"/>
          <w:sz w:val="22"/>
          <w:szCs w:val="22"/>
        </w:rPr>
      </w:pPr>
    </w:p>
    <w:p w14:paraId="3EB5C784" w14:textId="77777777" w:rsidR="00BB7C63" w:rsidRPr="003B0000" w:rsidRDefault="00BB7C63" w:rsidP="00BB7C63">
      <w:pPr>
        <w:pStyle w:val="NormalWeb"/>
        <w:spacing w:before="0" w:beforeAutospacing="0" w:after="0" w:afterAutospacing="0" w:line="360" w:lineRule="auto"/>
        <w:ind w:right="49"/>
        <w:jc w:val="both"/>
        <w:rPr>
          <w:rFonts w:ascii="Palatino Linotype" w:hAnsi="Palatino Linotype"/>
          <w:sz w:val="22"/>
          <w:szCs w:val="22"/>
        </w:rPr>
      </w:pPr>
      <w:r w:rsidRPr="003B0000">
        <w:rPr>
          <w:rFonts w:ascii="Palatino Linotype" w:hAnsi="Palatino Linotype"/>
          <w:sz w:val="22"/>
          <w:szCs w:val="22"/>
        </w:rPr>
        <w:t>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constancias, diplomas, títulos o grados académicos a las personas que hayan concluido estudios de conformidad con los requisitos establecidos en los planes y programas de estudio correspondientes.</w:t>
      </w:r>
    </w:p>
    <w:p w14:paraId="5EB3DB55" w14:textId="77777777" w:rsidR="00BB7C63" w:rsidRPr="003B0000" w:rsidRDefault="00BB7C63" w:rsidP="00BB7C63">
      <w:pPr>
        <w:spacing w:line="360" w:lineRule="auto"/>
        <w:rPr>
          <w:rFonts w:ascii="Palatino Linotype" w:hAnsi="Palatino Linotype"/>
          <w:sz w:val="22"/>
          <w:szCs w:val="22"/>
        </w:rPr>
      </w:pPr>
    </w:p>
    <w:p w14:paraId="34F2378D" w14:textId="77777777" w:rsidR="00BB7C63" w:rsidRPr="003B0000" w:rsidRDefault="00BB7C63" w:rsidP="00BB7C63">
      <w:pPr>
        <w:pStyle w:val="NormalWeb"/>
        <w:spacing w:before="0" w:beforeAutospacing="0" w:after="0" w:afterAutospacing="0" w:line="360" w:lineRule="auto"/>
        <w:jc w:val="both"/>
        <w:rPr>
          <w:rFonts w:ascii="Palatino Linotype" w:hAnsi="Palatino Linotype"/>
          <w:sz w:val="22"/>
          <w:szCs w:val="22"/>
        </w:rPr>
      </w:pPr>
      <w:r w:rsidRPr="003B0000">
        <w:rPr>
          <w:rFonts w:ascii="Palatino Linotype" w:hAnsi="Palatino Linotype"/>
          <w:sz w:val="22"/>
          <w:szCs w:val="22"/>
        </w:rPr>
        <w:t xml:space="preserve">Ante los argumentos planteados, se puede concluir que constituyen documentos probatorios de estudios, de manera enunciativa más no limitativa: </w:t>
      </w:r>
      <w:r w:rsidRPr="003B0000">
        <w:rPr>
          <w:rFonts w:ascii="Palatino Linotype" w:hAnsi="Palatino Linotype"/>
          <w:b/>
          <w:bCs/>
          <w:sz w:val="22"/>
          <w:szCs w:val="22"/>
          <w:u w:val="single"/>
        </w:rPr>
        <w:t>los certificados, constancias, diplomas, títulos y/o cédula profesional</w:t>
      </w:r>
      <w:r w:rsidRPr="003B0000">
        <w:rPr>
          <w:rFonts w:ascii="Palatino Linotype" w:hAnsi="Palatino Linotype"/>
          <w:b/>
          <w:bCs/>
          <w:sz w:val="22"/>
          <w:szCs w:val="22"/>
        </w:rPr>
        <w:t>,</w:t>
      </w:r>
      <w:r w:rsidRPr="003B0000">
        <w:rPr>
          <w:rFonts w:ascii="Palatino Linotype" w:hAnsi="Palatino Linotype"/>
          <w:sz w:val="22"/>
          <w:szCs w:val="22"/>
        </w:rPr>
        <w:t xml:space="preserve"> por tratarse de expresiones documentales que permiten acreditar el grado de estudios de los servidores públicos.</w:t>
      </w:r>
    </w:p>
    <w:p w14:paraId="4B49F6BC" w14:textId="77777777" w:rsidR="00BB7C63" w:rsidRPr="003B0000" w:rsidRDefault="00BB7C63" w:rsidP="00BB7C63">
      <w:pPr>
        <w:spacing w:line="360" w:lineRule="auto"/>
        <w:rPr>
          <w:rFonts w:ascii="Palatino Linotype" w:hAnsi="Palatino Linotype"/>
          <w:sz w:val="22"/>
          <w:szCs w:val="22"/>
        </w:rPr>
      </w:pPr>
    </w:p>
    <w:p w14:paraId="43815880" w14:textId="7D57E98B" w:rsidR="00BB7C63" w:rsidRPr="003B0000" w:rsidRDefault="00BB7C63" w:rsidP="00BB7C63">
      <w:pPr>
        <w:pStyle w:val="NormalWeb"/>
        <w:spacing w:before="0" w:beforeAutospacing="0" w:after="0" w:afterAutospacing="0" w:line="360" w:lineRule="auto"/>
        <w:jc w:val="both"/>
        <w:rPr>
          <w:rFonts w:ascii="Palatino Linotype" w:hAnsi="Palatino Linotype"/>
          <w:b/>
          <w:bCs/>
          <w:sz w:val="22"/>
          <w:szCs w:val="22"/>
          <w:u w:val="single"/>
        </w:rPr>
      </w:pPr>
      <w:r w:rsidRPr="003B0000">
        <w:rPr>
          <w:rFonts w:ascii="Palatino Linotype" w:hAnsi="Palatino Linotype"/>
          <w:sz w:val="22"/>
          <w:szCs w:val="22"/>
        </w:rPr>
        <w:t xml:space="preserve">Sin embargo, es de interés para el presente asunto en particular únicamente lo relativo </w:t>
      </w:r>
      <w:r w:rsidRPr="003B0000">
        <w:rPr>
          <w:rFonts w:ascii="Palatino Linotype" w:hAnsi="Palatino Linotype"/>
          <w:b/>
          <w:bCs/>
          <w:sz w:val="22"/>
          <w:szCs w:val="22"/>
          <w:u w:val="single"/>
        </w:rPr>
        <w:t>al Título y Cédula profesional.</w:t>
      </w:r>
    </w:p>
    <w:p w14:paraId="5A67DE53" w14:textId="77777777" w:rsidR="00BB7C63" w:rsidRPr="003B0000" w:rsidRDefault="00BB7C63" w:rsidP="00BB7C63">
      <w:pPr>
        <w:pStyle w:val="NormalWeb"/>
        <w:spacing w:before="0" w:beforeAutospacing="0" w:after="0" w:afterAutospacing="0" w:line="360" w:lineRule="auto"/>
        <w:jc w:val="both"/>
        <w:rPr>
          <w:rFonts w:ascii="Palatino Linotype" w:hAnsi="Palatino Linotype"/>
          <w:sz w:val="22"/>
          <w:szCs w:val="22"/>
        </w:rPr>
      </w:pPr>
    </w:p>
    <w:p w14:paraId="6F8B7451" w14:textId="542CEC08" w:rsidR="00BB7C63" w:rsidRPr="003B0000" w:rsidRDefault="00BB7C63" w:rsidP="00BB7C63">
      <w:pPr>
        <w:pStyle w:val="NormalWeb"/>
        <w:spacing w:before="0" w:beforeAutospacing="0" w:after="0" w:afterAutospacing="0" w:line="360" w:lineRule="auto"/>
        <w:jc w:val="both"/>
        <w:rPr>
          <w:rFonts w:ascii="Palatino Linotype" w:hAnsi="Palatino Linotype"/>
          <w:sz w:val="22"/>
          <w:szCs w:val="22"/>
        </w:rPr>
      </w:pPr>
      <w:r w:rsidRPr="003B0000">
        <w:rPr>
          <w:rFonts w:ascii="Palatino Linotype" w:hAnsi="Palatino Linotype"/>
          <w:sz w:val="22"/>
          <w:szCs w:val="22"/>
        </w:rPr>
        <w:t>Por su lado, el título profesional o el certificado de estudios corresponden a documentos emitidos por instituciones del Estado, Autónomas, Descentralizadas y Particulares, que tengan reconocimiento de validez oficial de estudios, a favor de una persona que haya concluido sus estudios correspondientes o demostrado tener determinados conocimientos, en términos de los artículos 1° y 8° de la Ley Reglamentaria del Artículo 5° Constitucional, Relativo al Ejercicio de las Profesiones en la Ciudad de México.</w:t>
      </w:r>
    </w:p>
    <w:p w14:paraId="53FA4874" w14:textId="77777777" w:rsidR="00BB7C63" w:rsidRPr="003B0000" w:rsidRDefault="00BB7C63" w:rsidP="00BB7C63">
      <w:pPr>
        <w:spacing w:line="360" w:lineRule="auto"/>
        <w:rPr>
          <w:rFonts w:ascii="Palatino Linotype" w:hAnsi="Palatino Linotype"/>
          <w:sz w:val="22"/>
          <w:szCs w:val="22"/>
        </w:rPr>
      </w:pPr>
    </w:p>
    <w:p w14:paraId="43BA5BE3" w14:textId="77777777" w:rsidR="00BB7C63" w:rsidRPr="003B0000" w:rsidRDefault="00BB7C63" w:rsidP="00BB7C63">
      <w:pPr>
        <w:pStyle w:val="NormalWeb"/>
        <w:spacing w:before="0" w:beforeAutospacing="0" w:after="0" w:afterAutospacing="0" w:line="360" w:lineRule="auto"/>
        <w:jc w:val="both"/>
        <w:rPr>
          <w:rFonts w:ascii="Palatino Linotype" w:hAnsi="Palatino Linotype"/>
          <w:sz w:val="22"/>
          <w:szCs w:val="22"/>
        </w:rPr>
      </w:pPr>
      <w:r w:rsidRPr="003B0000">
        <w:rPr>
          <w:rFonts w:ascii="Palatino Linotype" w:hAnsi="Palatino Linotype"/>
          <w:sz w:val="22"/>
          <w:szCs w:val="22"/>
        </w:rPr>
        <w:t xml:space="preserve">Por su parte la cédula profesional, es el documento que toda persona a quien legalmente se le haya expedido título profesional o grado académico equivalente, podrá obtener </w:t>
      </w:r>
      <w:r w:rsidRPr="003B0000">
        <w:rPr>
          <w:rFonts w:ascii="Palatino Linotype" w:hAnsi="Palatino Linotype"/>
          <w:b/>
          <w:bCs/>
          <w:sz w:val="22"/>
          <w:szCs w:val="22"/>
        </w:rPr>
        <w:t xml:space="preserve">con efectos de patente; </w:t>
      </w:r>
      <w:r w:rsidRPr="003B0000">
        <w:rPr>
          <w:rFonts w:ascii="Palatino Linotype" w:hAnsi="Palatino Linotype"/>
          <w:sz w:val="22"/>
          <w:szCs w:val="22"/>
        </w:rPr>
        <w:t>esta es otorgada por la Dirección General de Profesiones, para identidad en todas las actividades profesionales, de conformidad con los artículos 3° y 23, fracción IV de la Ley Reglamentaria del Artículo 5° Constitucional, Relativo al Ejercicio de las Profesiones en la Ciudad de México. Así, los documentos que dan cuenta de la preparación académica sirven como medios de identificación, para que a su titular lo relacionen con el nivel de estudios con que cuenta independientemente de que estos sean o no medios de identificación oficiales.</w:t>
      </w:r>
    </w:p>
    <w:p w14:paraId="30A77CD9" w14:textId="77777777" w:rsidR="00BB7C63" w:rsidRPr="003B0000" w:rsidRDefault="00BB7C63" w:rsidP="00BB7C63">
      <w:pPr>
        <w:pStyle w:val="NormalWeb"/>
        <w:spacing w:before="0" w:beforeAutospacing="0" w:after="0" w:afterAutospacing="0" w:line="360" w:lineRule="auto"/>
        <w:jc w:val="both"/>
        <w:rPr>
          <w:rFonts w:ascii="Palatino Linotype" w:hAnsi="Palatino Linotype"/>
          <w:sz w:val="22"/>
          <w:szCs w:val="22"/>
        </w:rPr>
      </w:pPr>
    </w:p>
    <w:p w14:paraId="246D5458" w14:textId="6EAE4E72" w:rsidR="00BB7C63" w:rsidRPr="003B0000" w:rsidRDefault="00F77DCA" w:rsidP="00BB7C63">
      <w:pPr>
        <w:pStyle w:val="NormalWeb"/>
        <w:spacing w:before="0" w:beforeAutospacing="0" w:after="0" w:afterAutospacing="0" w:line="360" w:lineRule="auto"/>
        <w:jc w:val="both"/>
        <w:rPr>
          <w:rFonts w:ascii="Palatino Linotype" w:hAnsi="Palatino Linotype"/>
          <w:sz w:val="22"/>
          <w:szCs w:val="22"/>
        </w:rPr>
      </w:pPr>
      <w:r w:rsidRPr="003B0000">
        <w:rPr>
          <w:rFonts w:ascii="Palatino Linotype" w:hAnsi="Palatino Linotype"/>
          <w:sz w:val="22"/>
          <w:szCs w:val="22"/>
        </w:rPr>
        <w:t xml:space="preserve">Ahora bien </w:t>
      </w:r>
      <w:r w:rsidR="00171044" w:rsidRPr="003B0000">
        <w:rPr>
          <w:rFonts w:ascii="Palatino Linotype" w:hAnsi="Palatino Linotype"/>
          <w:sz w:val="22"/>
          <w:szCs w:val="22"/>
        </w:rPr>
        <w:t xml:space="preserve">es necesario precisar que, en el presente asunto en particular, se turnó la solicitud a la Secretaría de Administración y Finanzas, que de acuerdo al Reglamento del Sujeto Obligado tiene las siguientes atribuciones: </w:t>
      </w:r>
    </w:p>
    <w:p w14:paraId="30045211" w14:textId="77777777" w:rsidR="00171044" w:rsidRPr="003B0000" w:rsidRDefault="00171044" w:rsidP="00BB7C63">
      <w:pPr>
        <w:pStyle w:val="NormalWeb"/>
        <w:spacing w:before="0" w:beforeAutospacing="0" w:after="0" w:afterAutospacing="0" w:line="360" w:lineRule="auto"/>
        <w:jc w:val="both"/>
        <w:rPr>
          <w:rFonts w:ascii="Palatino Linotype" w:hAnsi="Palatino Linotype"/>
          <w:sz w:val="22"/>
          <w:szCs w:val="22"/>
        </w:rPr>
      </w:pPr>
    </w:p>
    <w:p w14:paraId="465451F5" w14:textId="77777777" w:rsidR="00171044" w:rsidRPr="003B0000" w:rsidRDefault="00171044" w:rsidP="00171044">
      <w:pPr>
        <w:pStyle w:val="NormalWeb"/>
        <w:spacing w:before="0" w:beforeAutospacing="0" w:after="0" w:afterAutospacing="0" w:line="360" w:lineRule="auto"/>
        <w:ind w:left="567" w:right="843"/>
        <w:jc w:val="both"/>
        <w:rPr>
          <w:rFonts w:ascii="Palatino Linotype" w:hAnsi="Palatino Linotype"/>
          <w:i/>
          <w:sz w:val="22"/>
        </w:rPr>
      </w:pPr>
      <w:r w:rsidRPr="003B0000">
        <w:rPr>
          <w:rFonts w:ascii="Palatino Linotype" w:hAnsi="Palatino Linotype"/>
          <w:i/>
          <w:sz w:val="22"/>
        </w:rPr>
        <w:t>Artículo 160.- La Secretaría de Administración y Finanzas, tendrá las atribuciones siguientes:</w:t>
      </w:r>
    </w:p>
    <w:p w14:paraId="09F4C353" w14:textId="40FBFD35" w:rsidR="00171044" w:rsidRPr="003B0000" w:rsidRDefault="00171044" w:rsidP="00171044">
      <w:pPr>
        <w:pStyle w:val="NormalWeb"/>
        <w:spacing w:before="0" w:beforeAutospacing="0" w:after="0" w:afterAutospacing="0" w:line="360" w:lineRule="auto"/>
        <w:ind w:left="567" w:right="843"/>
        <w:jc w:val="both"/>
        <w:rPr>
          <w:rFonts w:ascii="Palatino Linotype" w:hAnsi="Palatino Linotype"/>
          <w:i/>
          <w:sz w:val="22"/>
        </w:rPr>
      </w:pPr>
      <w:r w:rsidRPr="003B0000">
        <w:rPr>
          <w:rFonts w:ascii="Palatino Linotype" w:hAnsi="Palatino Linotype"/>
          <w:i/>
          <w:sz w:val="22"/>
        </w:rPr>
        <w:t xml:space="preserve">I. Planear, organizar, coordinar y controlar los recursos humanos, financieros, materiales y tecnologías de la información y comunicación con los que cuente el Poder Legislativo; </w:t>
      </w:r>
    </w:p>
    <w:p w14:paraId="30CD2A52" w14:textId="0DF5F217" w:rsidR="00171044" w:rsidRPr="003B0000" w:rsidRDefault="00171044" w:rsidP="00171044">
      <w:pPr>
        <w:pStyle w:val="NormalWeb"/>
        <w:spacing w:before="0" w:beforeAutospacing="0" w:after="0" w:afterAutospacing="0" w:line="360" w:lineRule="auto"/>
        <w:ind w:left="567" w:right="843"/>
        <w:jc w:val="both"/>
        <w:rPr>
          <w:rFonts w:ascii="Palatino Linotype" w:hAnsi="Palatino Linotype"/>
          <w:i/>
          <w:sz w:val="22"/>
        </w:rPr>
      </w:pPr>
      <w:r w:rsidRPr="003B0000">
        <w:rPr>
          <w:rFonts w:ascii="Palatino Linotype" w:hAnsi="Palatino Linotype"/>
          <w:i/>
          <w:sz w:val="22"/>
        </w:rPr>
        <w:t>II. Definir y establecer normas, objetivos, políticas y procedimientos, en materia de recursos humanos, financieros, materiales y tecnologías de la información y comunicación del Poder Legislativo;</w:t>
      </w:r>
    </w:p>
    <w:p w14:paraId="2F5512E8" w14:textId="73727402" w:rsidR="00171044" w:rsidRPr="003B0000" w:rsidRDefault="00171044" w:rsidP="00171044">
      <w:pPr>
        <w:pStyle w:val="NormalWeb"/>
        <w:spacing w:before="0" w:beforeAutospacing="0" w:after="0" w:afterAutospacing="0" w:line="360" w:lineRule="auto"/>
        <w:ind w:left="567" w:right="843"/>
        <w:jc w:val="both"/>
        <w:rPr>
          <w:rFonts w:ascii="Palatino Linotype" w:hAnsi="Palatino Linotype"/>
          <w:i/>
          <w:sz w:val="22"/>
        </w:rPr>
      </w:pPr>
      <w:r w:rsidRPr="003B0000">
        <w:rPr>
          <w:rFonts w:ascii="Palatino Linotype" w:hAnsi="Palatino Linotype"/>
          <w:i/>
          <w:sz w:val="22"/>
        </w:rPr>
        <w:t>…</w:t>
      </w:r>
    </w:p>
    <w:p w14:paraId="08D974D4" w14:textId="7CE3C315" w:rsidR="00171044" w:rsidRPr="003B0000" w:rsidRDefault="00171044" w:rsidP="00171044">
      <w:pPr>
        <w:pStyle w:val="NormalWeb"/>
        <w:spacing w:before="0" w:beforeAutospacing="0" w:after="0" w:afterAutospacing="0" w:line="360" w:lineRule="auto"/>
        <w:ind w:left="567" w:right="843"/>
        <w:jc w:val="both"/>
        <w:rPr>
          <w:rFonts w:ascii="Palatino Linotype" w:hAnsi="Palatino Linotype"/>
          <w:i/>
          <w:sz w:val="20"/>
          <w:szCs w:val="22"/>
        </w:rPr>
      </w:pPr>
      <w:r w:rsidRPr="003B0000">
        <w:rPr>
          <w:rFonts w:ascii="Palatino Linotype" w:hAnsi="Palatino Linotype"/>
          <w:i/>
          <w:sz w:val="22"/>
        </w:rPr>
        <w:t>XVIII. Administrar los documentos generados por el Poder Legislativo mediante el Sistema Institucional de Archivos y el Área Coordinadora de Archivos, en términos de la ley en la materia y demás normatividad aplicable;</w:t>
      </w:r>
    </w:p>
    <w:p w14:paraId="5F63F3D2" w14:textId="77777777" w:rsidR="00BB7C63" w:rsidRPr="003B0000" w:rsidRDefault="00BB7C63" w:rsidP="00BB7C63">
      <w:pPr>
        <w:pStyle w:val="NormalWeb"/>
        <w:spacing w:before="0" w:beforeAutospacing="0" w:after="0" w:afterAutospacing="0" w:line="360" w:lineRule="auto"/>
        <w:jc w:val="both"/>
        <w:rPr>
          <w:rFonts w:ascii="Palatino Linotype" w:hAnsi="Palatino Linotype"/>
          <w:sz w:val="22"/>
          <w:szCs w:val="22"/>
        </w:rPr>
      </w:pPr>
    </w:p>
    <w:p w14:paraId="4746E7BC" w14:textId="7524D370" w:rsidR="00AA5D5B" w:rsidRPr="003B0000" w:rsidRDefault="00477E95" w:rsidP="00477E95">
      <w:pPr>
        <w:spacing w:after="240" w:line="360" w:lineRule="auto"/>
        <w:jc w:val="both"/>
        <w:rPr>
          <w:rFonts w:ascii="Palatino Linotype" w:eastAsia="Palatino Linotype" w:hAnsi="Palatino Linotype" w:cs="Palatino Linotype"/>
          <w:sz w:val="22"/>
          <w:szCs w:val="22"/>
        </w:rPr>
      </w:pPr>
      <w:r w:rsidRPr="003B0000">
        <w:rPr>
          <w:rFonts w:ascii="Palatino Linotype" w:hAnsi="Palatino Linotype"/>
          <w:sz w:val="22"/>
          <w:szCs w:val="22"/>
        </w:rPr>
        <w:t xml:space="preserve">En el presente asunto en particular se </w:t>
      </w:r>
      <w:r w:rsidR="00B95CC7" w:rsidRPr="003B0000">
        <w:rPr>
          <w:rFonts w:ascii="Palatino Linotype" w:hAnsi="Palatino Linotype"/>
          <w:sz w:val="22"/>
          <w:szCs w:val="22"/>
        </w:rPr>
        <w:t xml:space="preserve">turnó la solicitud a la </w:t>
      </w:r>
      <w:r w:rsidR="00171044" w:rsidRPr="003B0000">
        <w:rPr>
          <w:rFonts w:ascii="Palatino Linotype" w:hAnsi="Palatino Linotype"/>
          <w:sz w:val="22"/>
          <w:szCs w:val="22"/>
        </w:rPr>
        <w:t>Secretaría de Administración y Finanzas</w:t>
      </w:r>
      <w:r w:rsidR="00B95CC7" w:rsidRPr="003B0000">
        <w:rPr>
          <w:rFonts w:ascii="Palatino Linotype" w:hAnsi="Palatino Linotype"/>
          <w:sz w:val="22"/>
          <w:szCs w:val="22"/>
        </w:rPr>
        <w:t xml:space="preserve">, con lo que </w:t>
      </w:r>
      <w:r w:rsidR="00D561F5" w:rsidRPr="003B0000">
        <w:rPr>
          <w:rFonts w:ascii="Palatino Linotype" w:eastAsia="Palatino Linotype" w:hAnsi="Palatino Linotype" w:cs="Palatino Linotype"/>
          <w:sz w:val="22"/>
          <w:szCs w:val="22"/>
        </w:rPr>
        <w:t>se tiene que se</w:t>
      </w:r>
      <w:r w:rsidR="00AA5D5B" w:rsidRPr="003B0000">
        <w:rPr>
          <w:rFonts w:ascii="Palatino Linotype" w:eastAsia="Palatino Linotype" w:hAnsi="Palatino Linotype" w:cs="Palatino Linotype"/>
          <w:sz w:val="22"/>
          <w:szCs w:val="22"/>
        </w:rPr>
        <w:t xml:space="preserve"> siguió con ello el procedimiento para la atención a las solicitudes de acceso a la información, establecido en los artículos 151, 160, 162, 163, 164, 165 y 166, de la Ley de Transparencia y Acceso a la Información Pública del Estado de México y Municipios: </w:t>
      </w:r>
    </w:p>
    <w:p w14:paraId="0634EBF8" w14:textId="77777777" w:rsidR="00AA5D5B" w:rsidRPr="003B0000" w:rsidRDefault="00AA5D5B" w:rsidP="00AA5D5B">
      <w:pPr>
        <w:spacing w:line="360" w:lineRule="auto"/>
        <w:ind w:right="-7"/>
        <w:jc w:val="both"/>
        <w:rPr>
          <w:rFonts w:ascii="Palatino Linotype" w:eastAsia="Palatino Linotype" w:hAnsi="Palatino Linotype" w:cs="Palatino Linotype"/>
          <w:sz w:val="22"/>
          <w:szCs w:val="22"/>
        </w:rPr>
      </w:pPr>
    </w:p>
    <w:p w14:paraId="374D4650" w14:textId="77777777" w:rsidR="00AA5D5B" w:rsidRPr="003B0000" w:rsidRDefault="00AA5D5B" w:rsidP="00AA5D5B">
      <w:pPr>
        <w:spacing w:after="240" w:line="360" w:lineRule="auto"/>
        <w:ind w:left="284"/>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 Las Unidades de Transparencia de los sujetos obligados deben garantizar las medidas y condiciones de accesibilidad para que toda persona pueda ejercer el derecho de acceso a la información; por lo que, son las responsables de hacer las notificaciones correspondientes, además de llevar a cabo todas las gestiones necesarias para facilitar el acceso de la información; </w:t>
      </w:r>
    </w:p>
    <w:p w14:paraId="2A8F2DE6" w14:textId="6EF62DC9" w:rsidR="00AA5D5B" w:rsidRPr="003B0000" w:rsidRDefault="00AA5D5B" w:rsidP="00AA5D5B">
      <w:pPr>
        <w:spacing w:after="240" w:line="360" w:lineRule="auto"/>
        <w:ind w:left="284"/>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La respuesta a los requerimientos informativos, deberá notificarse al interesado en el menor tiempo posible, que no podrá exceder de quince días hábiles, contados a partir del día siguie</w:t>
      </w:r>
      <w:r w:rsidR="00602DB8" w:rsidRPr="003B0000">
        <w:rPr>
          <w:rFonts w:ascii="Palatino Linotype" w:eastAsia="Palatino Linotype" w:hAnsi="Palatino Linotype" w:cs="Palatino Linotype"/>
          <w:sz w:val="22"/>
          <w:szCs w:val="22"/>
        </w:rPr>
        <w:t xml:space="preserve">nte a la presentación de esta. </w:t>
      </w:r>
    </w:p>
    <w:p w14:paraId="51E0AB4B" w14:textId="77777777" w:rsidR="00AA5D5B" w:rsidRPr="003B0000" w:rsidRDefault="00AA5D5B" w:rsidP="00AA5D5B">
      <w:pPr>
        <w:spacing w:after="240" w:line="360" w:lineRule="auto"/>
        <w:ind w:left="284"/>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Excepcionalmente, el plazo referido podrá ampliarse por siete días hábiles más, cuando existan razones fundadas y motivadas, a través del Comité de Transparencia; </w:t>
      </w:r>
    </w:p>
    <w:p w14:paraId="331834D0" w14:textId="77777777" w:rsidR="00AA5D5B" w:rsidRPr="003B0000" w:rsidRDefault="00AA5D5B" w:rsidP="00AA5D5B">
      <w:pPr>
        <w:spacing w:after="240" w:line="360" w:lineRule="auto"/>
        <w:ind w:left="284"/>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 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 </w:t>
      </w:r>
    </w:p>
    <w:p w14:paraId="42AEDDDD" w14:textId="77777777" w:rsidR="00AA5D5B" w:rsidRPr="003B0000" w:rsidRDefault="00AA5D5B" w:rsidP="00AA5D5B">
      <w:pPr>
        <w:spacing w:after="240" w:line="360" w:lineRule="auto"/>
        <w:ind w:left="284"/>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 El acceso se dará en la modalidad de entrega y en su caso, de envío elegido por la solicitante, cuando no pueda entregarse en dicha modalidad, el Sujeto Obligado deberá ofrecer otras; por lo cual, deberá fundar y motivar la necesidad de modificar el medio de entrega; y </w:t>
      </w:r>
    </w:p>
    <w:p w14:paraId="49823A01" w14:textId="77777777" w:rsidR="00AA5D5B" w:rsidRPr="003B0000" w:rsidRDefault="00AA5D5B" w:rsidP="00AA5D5B">
      <w:pPr>
        <w:spacing w:after="240" w:line="360" w:lineRule="auto"/>
        <w:ind w:left="284"/>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 Las Unidades de Transparencia, tendrán disponible la información requerida durante un plazo mínimo de sesenta días hábiles, contados a partir de que la solicitante hubiere realizado, en su caso, el pago respectivo, el cual deberá efectuarse en un plazo no mayor a treinta días hábiles; por lo que, una vez transcurrida dicha temporalidad, los Sujetos Obligados darán por concluida la solicitud y procederán de ser el caso, a la destrucción del material; </w:t>
      </w:r>
    </w:p>
    <w:p w14:paraId="4E0D7C21" w14:textId="24AF0E5B" w:rsidR="00B95CC7" w:rsidRPr="003B0000" w:rsidRDefault="00AA5D5B" w:rsidP="00AA5D5B">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En este orden de ideas, se reitera que la </w:t>
      </w:r>
      <w:r w:rsidR="00171044" w:rsidRPr="003B0000">
        <w:rPr>
          <w:rFonts w:ascii="Palatino Linotype" w:eastAsia="Palatino Linotype" w:hAnsi="Palatino Linotype" w:cs="Palatino Linotype"/>
          <w:sz w:val="22"/>
          <w:szCs w:val="22"/>
        </w:rPr>
        <w:t>Secretaría de Administración y Finanzas</w:t>
      </w:r>
      <w:r w:rsidR="00B95CC7" w:rsidRPr="003B0000">
        <w:rPr>
          <w:rFonts w:ascii="Palatino Linotype" w:eastAsia="Palatino Linotype" w:hAnsi="Palatino Linotype" w:cs="Palatino Linotype"/>
          <w:sz w:val="22"/>
          <w:szCs w:val="22"/>
        </w:rPr>
        <w:t xml:space="preserve"> </w:t>
      </w:r>
      <w:r w:rsidR="00F50BF6" w:rsidRPr="003B0000">
        <w:rPr>
          <w:rFonts w:ascii="Palatino Linotype" w:eastAsia="Palatino Linotype" w:hAnsi="Palatino Linotype" w:cs="Palatino Linotype"/>
          <w:sz w:val="22"/>
          <w:szCs w:val="22"/>
        </w:rPr>
        <w:t xml:space="preserve">es el área competente para generar, administrar y poseer la información requerida por el particular. </w:t>
      </w:r>
    </w:p>
    <w:p w14:paraId="569429ED" w14:textId="77777777" w:rsidR="00B95CC7" w:rsidRPr="003B0000" w:rsidRDefault="00B95CC7" w:rsidP="00AA5D5B">
      <w:pPr>
        <w:spacing w:line="360" w:lineRule="auto"/>
        <w:jc w:val="both"/>
        <w:rPr>
          <w:rFonts w:ascii="Palatino Linotype" w:eastAsia="Palatino Linotype" w:hAnsi="Palatino Linotype" w:cs="Palatino Linotype"/>
          <w:sz w:val="22"/>
          <w:szCs w:val="22"/>
        </w:rPr>
      </w:pPr>
    </w:p>
    <w:p w14:paraId="6AC66D82" w14:textId="34F30F4A" w:rsidR="00171044" w:rsidRPr="003B0000" w:rsidRDefault="00171044"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Ahora bien, a través de su respuesta, el Sujeto Obligado indicó que derivado de una búsqueda exhaustiva y razonable realizada en los archivos que obran en la dependencia, se informa que no se localizaron registros documentales de título y cédula profesional referentes a licenciatura y maestría de la servidora pública referida en la solicitud. </w:t>
      </w:r>
    </w:p>
    <w:p w14:paraId="7037A9FE" w14:textId="77777777" w:rsidR="00C801A6" w:rsidRPr="003B0000" w:rsidRDefault="00C801A6"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22817661" w14:textId="324EFF63" w:rsidR="00C801A6" w:rsidRPr="003B0000" w:rsidRDefault="00C801A6"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Posteriormente, mediante informe justificado, </w:t>
      </w:r>
      <w:r w:rsidR="001E449F" w:rsidRPr="003B0000">
        <w:rPr>
          <w:rFonts w:ascii="Palatino Linotype" w:eastAsia="Palatino Linotype" w:hAnsi="Palatino Linotype" w:cs="Palatino Linotype"/>
          <w:sz w:val="22"/>
          <w:szCs w:val="22"/>
        </w:rPr>
        <w:t xml:space="preserve">el Sujeto Obligado </w:t>
      </w:r>
      <w:r w:rsidR="00565104" w:rsidRPr="003B0000">
        <w:rPr>
          <w:rFonts w:ascii="Palatino Linotype" w:eastAsia="Palatino Linotype" w:hAnsi="Palatino Linotype" w:cs="Palatino Linotype"/>
          <w:sz w:val="22"/>
          <w:szCs w:val="22"/>
        </w:rPr>
        <w:t>refirió que de una nueva búsqueda exhaustiva se localizó un certificado de estudios, de la servidora pública referida en la solicitud</w:t>
      </w:r>
      <w:r w:rsidR="00D85947" w:rsidRPr="003B0000">
        <w:rPr>
          <w:rFonts w:ascii="Palatino Linotype" w:eastAsia="Palatino Linotype" w:hAnsi="Palatino Linotype" w:cs="Palatino Linotype"/>
          <w:sz w:val="22"/>
          <w:szCs w:val="22"/>
        </w:rPr>
        <w:t>, mismo que se adjuntó en versión pública.</w:t>
      </w:r>
    </w:p>
    <w:p w14:paraId="1BA844DF" w14:textId="77777777" w:rsidR="00D85947" w:rsidRPr="003B0000" w:rsidRDefault="00D85947"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2166D291" w14:textId="7A8CEDDA" w:rsidR="00D85947" w:rsidRPr="003B0000" w:rsidRDefault="00D85947" w:rsidP="00DB3E69">
      <w:pPr>
        <w:pStyle w:val="NormalWeb"/>
        <w:spacing w:before="0" w:beforeAutospacing="0" w:after="0" w:afterAutospacing="0" w:line="360" w:lineRule="auto"/>
        <w:ind w:right="49"/>
        <w:jc w:val="both"/>
        <w:rPr>
          <w:rFonts w:ascii="Palatino Linotype" w:eastAsia="Palatino Linotype" w:hAnsi="Palatino Linotype" w:cs="Palatino Linotype"/>
          <w:b/>
          <w:bCs/>
          <w:sz w:val="22"/>
          <w:szCs w:val="22"/>
          <w:u w:val="single"/>
        </w:rPr>
      </w:pPr>
      <w:r w:rsidRPr="003B0000">
        <w:rPr>
          <w:rFonts w:ascii="Palatino Linotype" w:eastAsia="Palatino Linotype" w:hAnsi="Palatino Linotype" w:cs="Palatino Linotype"/>
          <w:sz w:val="22"/>
          <w:szCs w:val="22"/>
        </w:rPr>
        <w:t xml:space="preserve">Al respecto, es de mencionar que la información que proporcionó el Sujeto Obligado mediante el informe justificado no corresponde con la información solicitada, </w:t>
      </w:r>
      <w:r w:rsidRPr="003B0000">
        <w:rPr>
          <w:rFonts w:ascii="Palatino Linotype" w:eastAsia="Palatino Linotype" w:hAnsi="Palatino Linotype" w:cs="Palatino Linotype"/>
          <w:b/>
          <w:bCs/>
          <w:sz w:val="22"/>
          <w:szCs w:val="22"/>
          <w:u w:val="single"/>
        </w:rPr>
        <w:t xml:space="preserve">es decir, título y cédula profesional de licenciatura y maestría. </w:t>
      </w:r>
    </w:p>
    <w:p w14:paraId="0B8DBDC5" w14:textId="77777777" w:rsidR="00D85947" w:rsidRPr="003B0000" w:rsidRDefault="00D85947"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522CE0E6" w14:textId="42C40EC0" w:rsidR="00D85947" w:rsidRPr="003B0000" w:rsidRDefault="00D85947"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Lo anterior es importante, ya que el Recurrente solicitó el acceso a dos documentos específicos</w:t>
      </w:r>
      <w:r w:rsidR="0082404E" w:rsidRPr="003B0000">
        <w:rPr>
          <w:rFonts w:ascii="Palatino Linotype" w:eastAsia="Palatino Linotype" w:hAnsi="Palatino Linotype" w:cs="Palatino Linotype"/>
          <w:sz w:val="22"/>
          <w:szCs w:val="22"/>
        </w:rPr>
        <w:t xml:space="preserve"> como lo es el Título y Cédula Profesional; mientras que el Sujeto Obligado proporcionó en informe justificado el certificado de estudios, lo cual no corresponde con lo solicitado.</w:t>
      </w:r>
    </w:p>
    <w:p w14:paraId="7676BEE1" w14:textId="77777777" w:rsidR="004921E1" w:rsidRPr="003B0000" w:rsidRDefault="004921E1"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3EB134A3" w14:textId="397276AC" w:rsidR="00B67739" w:rsidRPr="003B0000" w:rsidRDefault="0082404E"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Sin embargo, es de mencionar que, desde la respuesta, el Sujeto Obligado señaló, a través del Servidor Público Habilitado Competente que, después de una búsqueda exhaustiva y razonable,</w:t>
      </w:r>
      <w:r w:rsidR="00B67739" w:rsidRPr="003B0000">
        <w:rPr>
          <w:rFonts w:ascii="Palatino Linotype" w:eastAsia="Palatino Linotype" w:hAnsi="Palatino Linotype" w:cs="Palatino Linotype"/>
          <w:sz w:val="22"/>
          <w:szCs w:val="22"/>
        </w:rPr>
        <w:t xml:space="preserve"> no se localizaron registros documentales de título y cédula profesional referentes a licenciatura y maestría de la persona servidora pública, situación que fue ratificada a través del informe justificado, haciendo mención que la respuesta se genera en apego a lo establecido en el artículo 12 de la Ley de Transparencia y Acceso a la Información Pública del Estado de México y Municipios. </w:t>
      </w:r>
    </w:p>
    <w:p w14:paraId="773F78C7" w14:textId="77777777" w:rsidR="00B67739" w:rsidRPr="003B0000" w:rsidRDefault="00B67739"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59095165" w14:textId="6853421E" w:rsidR="00B67739" w:rsidRPr="003B0000" w:rsidRDefault="00B67739"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Bajo ese orden de ideas, se tiene que el Sujeto Obligado no cuenta con la información relativa al Título y Cédula profesional de Licenciatura y Maestría, por no obrar esa información en sus archivos, siendo el documento único el certificado de estudios. </w:t>
      </w:r>
    </w:p>
    <w:p w14:paraId="5D1C7787" w14:textId="77777777" w:rsidR="00B67739" w:rsidRPr="003B0000" w:rsidRDefault="00B67739"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70CE6387" w14:textId="77777777" w:rsidR="00F330F8" w:rsidRPr="003B0000" w:rsidRDefault="00F330F8" w:rsidP="00F330F8">
      <w:pPr>
        <w:spacing w:line="360" w:lineRule="auto"/>
        <w:ind w:right="49"/>
        <w:jc w:val="both"/>
        <w:rPr>
          <w:rFonts w:ascii="Palatino Linotype" w:eastAsia="Palatino Linotype" w:hAnsi="Palatino Linotype" w:cs="Palatino Linotype"/>
          <w:b/>
          <w:sz w:val="22"/>
          <w:szCs w:val="22"/>
          <w:u w:val="single"/>
        </w:rPr>
      </w:pPr>
      <w:r w:rsidRPr="003B0000">
        <w:rPr>
          <w:rFonts w:ascii="Palatino Linotype" w:eastAsia="Palatino Linotype" w:hAnsi="Palatino Linotype" w:cs="Palatino Linotype"/>
          <w:b/>
          <w:sz w:val="22"/>
          <w:szCs w:val="22"/>
          <w:u w:val="single"/>
        </w:rPr>
        <w:t xml:space="preserve">De lo anterior, se concluye que resulta materialmente imposible la entrega de información que no se ha generado, poseído o administrado por el Sujeto Obligado, debido a que no obra en sus archivos. </w:t>
      </w:r>
    </w:p>
    <w:p w14:paraId="38CD164C" w14:textId="77777777" w:rsidR="00F330F8" w:rsidRPr="003B0000" w:rsidRDefault="00F330F8" w:rsidP="00F330F8">
      <w:pPr>
        <w:spacing w:line="360" w:lineRule="auto"/>
        <w:ind w:right="49"/>
        <w:jc w:val="both"/>
        <w:rPr>
          <w:rFonts w:ascii="Palatino Linotype" w:eastAsia="Palatino Linotype" w:hAnsi="Palatino Linotype" w:cs="Palatino Linotype"/>
          <w:sz w:val="22"/>
          <w:szCs w:val="22"/>
        </w:rPr>
      </w:pPr>
    </w:p>
    <w:p w14:paraId="2EDD3CF3" w14:textId="77777777" w:rsidR="00F330F8" w:rsidRPr="003B0000" w:rsidRDefault="00F330F8" w:rsidP="00F330F8">
      <w:pPr>
        <w:spacing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De ello, resulta necesario traer a colación lo que establece el Criterio orientador 31/10 emitido por el entonces  Instituto Nacional de Transparencia, Acceso a la Información y Protección de Datos Personales que señala lo siguiente: </w:t>
      </w:r>
    </w:p>
    <w:p w14:paraId="7877F9DC" w14:textId="77777777" w:rsidR="00F330F8" w:rsidRPr="003B0000" w:rsidRDefault="00F330F8" w:rsidP="00F330F8">
      <w:pPr>
        <w:spacing w:line="360" w:lineRule="auto"/>
        <w:ind w:right="49"/>
        <w:jc w:val="both"/>
        <w:rPr>
          <w:rFonts w:ascii="Palatino Linotype" w:eastAsia="Palatino Linotype" w:hAnsi="Palatino Linotype" w:cs="Palatino Linotype"/>
          <w:sz w:val="22"/>
          <w:szCs w:val="22"/>
        </w:rPr>
      </w:pPr>
    </w:p>
    <w:p w14:paraId="2DB966FB" w14:textId="77777777" w:rsidR="00F330F8" w:rsidRPr="003B0000" w:rsidRDefault="00F330F8" w:rsidP="00F330F8">
      <w:pPr>
        <w:spacing w:line="360" w:lineRule="auto"/>
        <w:ind w:left="851" w:right="843"/>
        <w:jc w:val="both"/>
        <w:rPr>
          <w:rFonts w:ascii="Palatino Linotype" w:hAnsi="Palatino Linotype" w:cs="Arial"/>
          <w:i/>
          <w:sz w:val="22"/>
          <w:szCs w:val="22"/>
        </w:rPr>
      </w:pPr>
      <w:r w:rsidRPr="003B0000">
        <w:rPr>
          <w:rFonts w:ascii="Palatino Linotype" w:hAnsi="Palatino Linotype" w:cs="Arial"/>
          <w:b/>
          <w:i/>
          <w:sz w:val="22"/>
          <w:szCs w:val="22"/>
        </w:rPr>
        <w:t xml:space="preserve">El Instituto Federal de Acceso a la Información y Protección de Datos no cuenta con facultades para pronunciarse respecto de la veracidad de los documentos proporcionados por los sujetos obligados. </w:t>
      </w:r>
      <w:r w:rsidRPr="003B0000">
        <w:rPr>
          <w:rFonts w:ascii="Palatino Linotype" w:hAnsi="Palatino Linotype" w:cs="Arial"/>
          <w:i/>
          <w:sz w:val="22"/>
          <w:szCs w:val="22"/>
        </w:rPr>
        <w:t>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CB080FA" w14:textId="77777777" w:rsidR="00F330F8" w:rsidRPr="003B0000" w:rsidRDefault="00F330F8" w:rsidP="00F330F8">
      <w:pPr>
        <w:spacing w:line="360" w:lineRule="auto"/>
        <w:ind w:right="49"/>
        <w:jc w:val="both"/>
        <w:rPr>
          <w:rFonts w:ascii="Palatino Linotype" w:eastAsia="Palatino Linotype" w:hAnsi="Palatino Linotype" w:cs="Palatino Linotype"/>
          <w:sz w:val="22"/>
          <w:szCs w:val="22"/>
        </w:rPr>
      </w:pPr>
    </w:p>
    <w:p w14:paraId="5A50CFD5" w14:textId="77777777" w:rsidR="00F330F8" w:rsidRPr="003B0000" w:rsidRDefault="00F330F8" w:rsidP="00F330F8">
      <w:pPr>
        <w:spacing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Es así que, este Organismo Garante no cuenta con facultades para pronunciarse de la veracidad de la información que los sujetos obligados ponen a disposición de los particulares, aunado a ello, de conformidad con el artículo 12 de la Ley de Transparencia y Acceso a la Información Pública del Estado de México y Municipios, los sujetos obligados únicamente proporcionarán la información que se les requiera, tal como obren en sus archivos. </w:t>
      </w:r>
    </w:p>
    <w:p w14:paraId="6942167D" w14:textId="77777777" w:rsidR="00F330F8" w:rsidRPr="003B0000" w:rsidRDefault="00F330F8" w:rsidP="00F330F8">
      <w:pPr>
        <w:spacing w:line="360" w:lineRule="auto"/>
        <w:ind w:right="49"/>
        <w:jc w:val="both"/>
        <w:rPr>
          <w:rFonts w:ascii="Palatino Linotype" w:eastAsia="Palatino Linotype" w:hAnsi="Palatino Linotype" w:cs="Palatino Linotype"/>
          <w:sz w:val="22"/>
          <w:szCs w:val="22"/>
        </w:rPr>
      </w:pPr>
    </w:p>
    <w:p w14:paraId="276599C5" w14:textId="4AEA6BF3" w:rsidR="00F330F8" w:rsidRPr="003B0000" w:rsidRDefault="00F330F8" w:rsidP="00F330F8">
      <w:pPr>
        <w:spacing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Por último y no menos importante es necesario mencionar que, al tratarse de facultades que no se han ejercido, no es necesario la emisión de un acto formal que declare la inexistencia de la información, ya que, para que la información obre en los archivos del Sujeto Obligado es necesario que el servidor público los proporcione. </w:t>
      </w:r>
    </w:p>
    <w:p w14:paraId="57F71474" w14:textId="77777777" w:rsidR="00324821" w:rsidRPr="003B0000" w:rsidRDefault="00324821" w:rsidP="00F330F8">
      <w:pPr>
        <w:spacing w:line="360" w:lineRule="auto"/>
        <w:ind w:right="49"/>
        <w:jc w:val="both"/>
        <w:rPr>
          <w:rFonts w:ascii="Palatino Linotype" w:eastAsia="Palatino Linotype" w:hAnsi="Palatino Linotype" w:cs="Palatino Linotype"/>
          <w:sz w:val="22"/>
          <w:szCs w:val="22"/>
        </w:rPr>
      </w:pPr>
    </w:p>
    <w:p w14:paraId="3CD88B25" w14:textId="51F91BE9" w:rsidR="00324821" w:rsidRPr="003B0000" w:rsidRDefault="00324821" w:rsidP="00F330F8">
      <w:pPr>
        <w:spacing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En ese sentido, de acuerdo con la información que se encuentra disponible en el apartado de “Remuneraciones” del IPOMEX del Sujeto Obligado, se advierte que la Servidora Pública ostenta el cargo de Analista, adscrita a Biblioteca Legislativa; sin que se haya localizado un perfil o cédula de puestos en el que se establezca la obligatoriedad de contar con un título o cédula profesional, en consecuencia, no hay elementos que permitan determinar la existencia de determinado nivel académico para ocupar el cargo de la Servidora Pública. </w:t>
      </w:r>
    </w:p>
    <w:p w14:paraId="7FC8E4AB" w14:textId="77777777" w:rsidR="00F330F8" w:rsidRPr="003B0000" w:rsidRDefault="00F330F8" w:rsidP="00F330F8">
      <w:pPr>
        <w:spacing w:line="360" w:lineRule="auto"/>
        <w:ind w:right="49"/>
        <w:jc w:val="both"/>
        <w:rPr>
          <w:rFonts w:ascii="Palatino Linotype" w:eastAsia="Palatino Linotype" w:hAnsi="Palatino Linotype" w:cs="Palatino Linotype"/>
          <w:sz w:val="22"/>
          <w:szCs w:val="22"/>
        </w:rPr>
      </w:pPr>
    </w:p>
    <w:p w14:paraId="6767F0FB" w14:textId="77777777" w:rsidR="00F330F8" w:rsidRPr="003B0000" w:rsidRDefault="00F330F8" w:rsidP="00F330F8">
      <w:pPr>
        <w:spacing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Por lo anterior, toda vez que, no se ha generado, administrado o poseído la información solicitada por la parte </w:t>
      </w:r>
      <w:r w:rsidRPr="003B0000">
        <w:rPr>
          <w:rFonts w:ascii="Palatino Linotype" w:eastAsia="Palatino Linotype" w:hAnsi="Palatino Linotype" w:cs="Palatino Linotype"/>
          <w:b/>
          <w:sz w:val="22"/>
          <w:szCs w:val="22"/>
        </w:rPr>
        <w:t>Recurrente</w:t>
      </w:r>
      <w:r w:rsidRPr="003B0000">
        <w:rPr>
          <w:rFonts w:ascii="Palatino Linotype" w:eastAsia="Palatino Linotype" w:hAnsi="Palatino Linotype" w:cs="Palatino Linotype"/>
          <w:sz w:val="22"/>
          <w:szCs w:val="22"/>
        </w:rPr>
        <w:t xml:space="preserve">; los agravios hechos valer por esta devienen </w:t>
      </w:r>
      <w:r w:rsidRPr="003B0000">
        <w:rPr>
          <w:rFonts w:ascii="Palatino Linotype" w:eastAsia="Palatino Linotype" w:hAnsi="Palatino Linotype" w:cs="Palatino Linotype"/>
          <w:b/>
          <w:sz w:val="22"/>
          <w:szCs w:val="22"/>
        </w:rPr>
        <w:t xml:space="preserve">infundados </w:t>
      </w:r>
      <w:r w:rsidRPr="003B0000">
        <w:rPr>
          <w:rFonts w:ascii="Palatino Linotype" w:eastAsia="Palatino Linotype" w:hAnsi="Palatino Linotype" w:cs="Palatino Linotype"/>
          <w:sz w:val="22"/>
          <w:szCs w:val="22"/>
        </w:rPr>
        <w:t xml:space="preserve">y, por lo tanto, resulta procedente </w:t>
      </w:r>
      <w:r w:rsidRPr="003B0000">
        <w:rPr>
          <w:rFonts w:ascii="Palatino Linotype" w:eastAsia="Palatino Linotype" w:hAnsi="Palatino Linotype" w:cs="Palatino Linotype"/>
          <w:b/>
          <w:sz w:val="22"/>
          <w:szCs w:val="22"/>
        </w:rPr>
        <w:t xml:space="preserve">Confirmar </w:t>
      </w:r>
      <w:r w:rsidRPr="003B0000">
        <w:rPr>
          <w:rFonts w:ascii="Palatino Linotype" w:eastAsia="Palatino Linotype" w:hAnsi="Palatino Linotype" w:cs="Palatino Linotype"/>
          <w:sz w:val="22"/>
          <w:szCs w:val="22"/>
        </w:rPr>
        <w:t xml:space="preserve">la respuesta emitida por el Sujeto Obligado, en términos de la fracción II del artículo 186 de la Ley de Transparencia y Acceso a la Información Pública del Estado de México y Municipios. </w:t>
      </w:r>
    </w:p>
    <w:p w14:paraId="1E3C18A1" w14:textId="77777777" w:rsidR="00F330F8" w:rsidRPr="003B0000" w:rsidRDefault="00F330F8" w:rsidP="00F330F8">
      <w:pPr>
        <w:spacing w:line="360" w:lineRule="auto"/>
        <w:jc w:val="both"/>
        <w:rPr>
          <w:rFonts w:ascii="Palatino Linotype" w:eastAsia="Palatino Linotype" w:hAnsi="Palatino Linotype" w:cs="Palatino Linotype"/>
          <w:sz w:val="22"/>
          <w:szCs w:val="22"/>
        </w:rPr>
      </w:pPr>
    </w:p>
    <w:p w14:paraId="028999AE" w14:textId="3C0E7A7B" w:rsidR="00F330F8" w:rsidRPr="003B0000" w:rsidRDefault="00F330F8" w:rsidP="00F330F8">
      <w:pPr>
        <w:spacing w:line="360" w:lineRule="auto"/>
        <w:jc w:val="both"/>
        <w:rPr>
          <w:rFonts w:ascii="Palatino Linotype" w:hAnsi="Palatino Linotype"/>
        </w:rPr>
      </w:pPr>
      <w:r w:rsidRPr="003B0000">
        <w:rPr>
          <w:rFonts w:ascii="Palatino Linotype" w:hAnsi="Palatino Linotype"/>
        </w:rPr>
        <w:t xml:space="preserve">Ahora bien, respecto de las manifestaciones realizadas por el Recurrente como razones o motivos de inconformidad, consistentes en </w:t>
      </w:r>
      <w:r w:rsidRPr="003B0000">
        <w:rPr>
          <w:rFonts w:ascii="Palatino Linotype" w:hAnsi="Palatino Linotype"/>
          <w:i/>
          <w:iCs/>
        </w:rPr>
        <w:t>“…</w:t>
      </w:r>
      <w:r w:rsidRPr="003B0000">
        <w:rPr>
          <w:rFonts w:ascii="Palatino Linotype" w:eastAsia="Palatino Linotype" w:hAnsi="Palatino Linotype" w:cs="Palatino Linotype"/>
          <w:i/>
          <w:sz w:val="22"/>
          <w:szCs w:val="22"/>
        </w:rPr>
        <w:t xml:space="preserve">2. Presunción de existencia de la información: La inexistencia de documentos como título y cédula profesional no puede presumirse válidamente sin una investigación administrativa que determine si hubo omisión en la integración del expediente laboral, pérdida de documentos, o incumplimiento de requisitos por parte del servidor público. La simple afirmación de que “no se localizaron registros” no exime al sujeto obligado de su responsabilidad documental. 3. Posible irregularidad administrativa: </w:t>
      </w:r>
      <w:r w:rsidRPr="003B0000">
        <w:rPr>
          <w:rFonts w:ascii="Palatino Linotype" w:eastAsia="Palatino Linotype" w:hAnsi="Palatino Linotype" w:cs="Palatino Linotype"/>
          <w:b/>
          <w:i/>
          <w:sz w:val="22"/>
          <w:szCs w:val="22"/>
          <w:u w:val="single"/>
        </w:rPr>
        <w:t>La ausencia de documentación académica en el expediente de personal podría constituir una falta administrativa grave, por lo que solicito que se turne el caso al área correspondiente para su investigación,</w:t>
      </w:r>
      <w:r w:rsidRPr="003B0000">
        <w:rPr>
          <w:rFonts w:ascii="Palatino Linotype" w:eastAsia="Palatino Linotype" w:hAnsi="Palatino Linotype" w:cs="Palatino Linotype"/>
          <w:i/>
          <w:sz w:val="22"/>
          <w:szCs w:val="22"/>
        </w:rPr>
        <w:t xml:space="preserve"> conforme a lo previsto en la Ley de Responsabilidades Administrativas del Estado de México y Municipios. </w:t>
      </w:r>
      <w:r w:rsidRPr="003B0000">
        <w:rPr>
          <w:rFonts w:ascii="Palatino Linotype" w:hAnsi="Palatino Linotype"/>
          <w:i/>
          <w:iCs/>
        </w:rPr>
        <w:t>…” (sic)</w:t>
      </w:r>
      <w:r w:rsidRPr="003B0000">
        <w:rPr>
          <w:rFonts w:ascii="Palatino Linotype" w:hAnsi="Palatino Linotype"/>
        </w:rPr>
        <w:t>; y derivado que el Recurso de Revisión no es el medio para sancionar, este Organismo Garante sugiere a la persona solicitante, interponer su queja o denuncia ante la autoridad competente.</w:t>
      </w:r>
    </w:p>
    <w:p w14:paraId="5BD44DD0" w14:textId="77777777" w:rsidR="0073595F" w:rsidRPr="003B0000" w:rsidRDefault="0073595F" w:rsidP="00F330F8">
      <w:pPr>
        <w:spacing w:line="360" w:lineRule="auto"/>
        <w:jc w:val="both"/>
        <w:rPr>
          <w:rFonts w:ascii="Palatino Linotype" w:hAnsi="Palatino Linotype"/>
        </w:rPr>
      </w:pPr>
    </w:p>
    <w:p w14:paraId="2DC46ABC" w14:textId="49C7CE80" w:rsidR="001F5076" w:rsidRPr="003B0000" w:rsidRDefault="001F5076" w:rsidP="001F5076">
      <w:pPr>
        <w:spacing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Por último y no menos importante por lo que se refiere a la inconformidad planteada, es de precisar que del análisis a lo vertido en el escrito de recurso de revisión se advierte que la expresión “…</w:t>
      </w:r>
      <w:r w:rsidRPr="003B0000">
        <w:rPr>
          <w:rFonts w:ascii="Palatino Linotype" w:eastAsia="Palatino Linotype" w:hAnsi="Palatino Linotype" w:cs="Palatino Linotype"/>
          <w:i/>
          <w:sz w:val="22"/>
          <w:szCs w:val="22"/>
        </w:rPr>
        <w:t>4. Derecho a una respuesta completa y fundada: La respuesta recibida no explica si la persona en cuestión ocupa un cargo que requiere título profesional, ni si se ha verificado el cumplimiento de requisitos de ingreso. Tampoco se indica si se solicitó la documentación directamente al área de Recursos Humanos o si se agotaron otras fuentes institucionales.</w:t>
      </w:r>
      <w:r w:rsidRPr="003B0000">
        <w:rPr>
          <w:rFonts w:ascii="Palatino Linotype" w:eastAsia="Palatino Linotype" w:hAnsi="Palatino Linotype"/>
          <w:i/>
          <w:sz w:val="22"/>
          <w:szCs w:val="22"/>
        </w:rPr>
        <w:t>.</w:t>
      </w:r>
      <w:r w:rsidRPr="003B0000">
        <w:rPr>
          <w:rFonts w:ascii="Palatino Linotype" w:eastAsia="Palatino Linotype" w:hAnsi="Palatino Linotype" w:cs="Palatino Linotype"/>
          <w:sz w:val="22"/>
          <w:szCs w:val="22"/>
        </w:rPr>
        <w:t xml:space="preserve">.” constituye para este Organismo Garante un nuevo requerimiento de información, configurándose así lo que se conoce como plus petitio, que consiste en una ampliación a su requerimiento informativo, argumentos que no son susceptibles de ser valorados en términos de la fracción VII del Artículo 191 de la Ley de Transparencia y Acceso a la Información Pública del Estado de México y Municipios, el cual señala la improcedencia cuando la parte Recurrente amplíe su solicitud en el Recurso de Revisión, únicamente respecto de los nuevos contenidos; cuestión que tuvo lugar en el presente caso, pues la parte Recurrente formuló un nuevo requerimiento, en los que solicitó información que no formó parte de su solicitud inicial y por lo tanto son inatendibles a través del recurso de revisión. </w:t>
      </w:r>
    </w:p>
    <w:p w14:paraId="1149D161" w14:textId="77777777" w:rsidR="001F5076" w:rsidRPr="003B0000" w:rsidRDefault="001F5076" w:rsidP="001F5076">
      <w:pPr>
        <w:spacing w:line="360" w:lineRule="auto"/>
        <w:ind w:right="49"/>
        <w:jc w:val="both"/>
        <w:rPr>
          <w:rFonts w:ascii="Palatino Linotype" w:eastAsia="Palatino Linotype" w:hAnsi="Palatino Linotype" w:cs="Palatino Linotype"/>
          <w:sz w:val="22"/>
          <w:szCs w:val="22"/>
        </w:rPr>
      </w:pPr>
    </w:p>
    <w:p w14:paraId="57F237A6" w14:textId="5720A6DB" w:rsidR="001F5076" w:rsidRPr="003B0000" w:rsidRDefault="001F5076" w:rsidP="001F5076">
      <w:pPr>
        <w:spacing w:line="360" w:lineRule="auto"/>
        <w:ind w:right="49"/>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Sin embargo, se dejan a salvo los derechos del particular para que, si así lo desea, formule nuevas solicitudes con la información de su interés. </w:t>
      </w:r>
    </w:p>
    <w:p w14:paraId="1994AB72" w14:textId="77777777" w:rsidR="00F330F8" w:rsidRPr="003B0000" w:rsidRDefault="00F330F8" w:rsidP="00F330F8">
      <w:pPr>
        <w:spacing w:before="240" w:after="240" w:line="360" w:lineRule="auto"/>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Por lo anteriormente expuesto y con fundamento en lo prescrito en los artículos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y 186 fracción II de la Ley de Transparencia y Acceso a la Información Pública del Estado de México y Municipios, este Pleno:</w:t>
      </w:r>
    </w:p>
    <w:p w14:paraId="4CC16413" w14:textId="77777777" w:rsidR="00014376" w:rsidRPr="003B0000" w:rsidRDefault="00014376" w:rsidP="00F330F8">
      <w:pPr>
        <w:spacing w:before="240" w:after="240" w:line="360" w:lineRule="auto"/>
        <w:jc w:val="both"/>
        <w:rPr>
          <w:rFonts w:ascii="Palatino Linotype" w:eastAsia="Palatino Linotype" w:hAnsi="Palatino Linotype" w:cs="Palatino Linotype"/>
          <w:sz w:val="22"/>
          <w:szCs w:val="22"/>
        </w:rPr>
      </w:pPr>
    </w:p>
    <w:p w14:paraId="3229119B" w14:textId="77777777" w:rsidR="00014376" w:rsidRPr="003B0000" w:rsidRDefault="00014376" w:rsidP="00F330F8">
      <w:pPr>
        <w:spacing w:before="240" w:after="240" w:line="360" w:lineRule="auto"/>
        <w:jc w:val="both"/>
        <w:rPr>
          <w:rFonts w:ascii="Palatino Linotype" w:eastAsia="Palatino Linotype" w:hAnsi="Palatino Linotype" w:cs="Palatino Linotype"/>
          <w:sz w:val="22"/>
          <w:szCs w:val="22"/>
        </w:rPr>
      </w:pPr>
    </w:p>
    <w:p w14:paraId="7781FB38" w14:textId="77777777" w:rsidR="00F330F8" w:rsidRPr="003B0000" w:rsidRDefault="00F330F8" w:rsidP="00F330F8">
      <w:pPr>
        <w:pBdr>
          <w:top w:val="nil"/>
          <w:left w:val="nil"/>
          <w:bottom w:val="nil"/>
          <w:right w:val="nil"/>
          <w:between w:val="nil"/>
        </w:pBdr>
        <w:spacing w:before="240" w:after="240" w:line="360" w:lineRule="auto"/>
        <w:ind w:left="567"/>
        <w:jc w:val="center"/>
        <w:rPr>
          <w:rFonts w:ascii="Palatino Linotype" w:eastAsia="Palatino Linotype" w:hAnsi="Palatino Linotype" w:cs="Palatino Linotype"/>
          <w:b/>
          <w:sz w:val="22"/>
          <w:szCs w:val="22"/>
        </w:rPr>
      </w:pPr>
      <w:r w:rsidRPr="003B0000">
        <w:rPr>
          <w:rFonts w:ascii="Palatino Linotype" w:eastAsia="Palatino Linotype" w:hAnsi="Palatino Linotype" w:cs="Palatino Linotype"/>
          <w:b/>
          <w:sz w:val="22"/>
          <w:szCs w:val="22"/>
        </w:rPr>
        <w:t>R E S U E L V E:</w:t>
      </w:r>
    </w:p>
    <w:p w14:paraId="508F8622" w14:textId="5A562AB4" w:rsidR="00F330F8" w:rsidRPr="003B0000" w:rsidRDefault="00F330F8" w:rsidP="00F330F8">
      <w:pPr>
        <w:pStyle w:val="NormalWeb"/>
        <w:spacing w:before="0" w:beforeAutospacing="0" w:after="0" w:afterAutospacing="0" w:line="360" w:lineRule="auto"/>
        <w:jc w:val="both"/>
      </w:pPr>
      <w:r w:rsidRPr="003B0000">
        <w:rPr>
          <w:rFonts w:ascii="Palatino Linotype" w:hAnsi="Palatino Linotype"/>
          <w:b/>
          <w:bCs/>
          <w:sz w:val="22"/>
          <w:szCs w:val="22"/>
        </w:rPr>
        <w:t xml:space="preserve">Primero. </w:t>
      </w:r>
      <w:r w:rsidRPr="003B0000">
        <w:rPr>
          <w:rFonts w:ascii="Palatino Linotype" w:hAnsi="Palatino Linotype"/>
          <w:sz w:val="22"/>
          <w:szCs w:val="22"/>
        </w:rPr>
        <w:t xml:space="preserve">Resultan </w:t>
      </w:r>
      <w:r w:rsidRPr="003B0000">
        <w:rPr>
          <w:rFonts w:ascii="Palatino Linotype" w:hAnsi="Palatino Linotype"/>
          <w:b/>
          <w:bCs/>
          <w:sz w:val="22"/>
          <w:szCs w:val="22"/>
        </w:rPr>
        <w:t>Infundados</w:t>
      </w:r>
      <w:r w:rsidRPr="003B0000">
        <w:rPr>
          <w:rFonts w:ascii="Palatino Linotype" w:hAnsi="Palatino Linotype"/>
          <w:sz w:val="22"/>
          <w:szCs w:val="22"/>
        </w:rPr>
        <w:t xml:space="preserve"> los motivos de inconformidad hechos valer por la parte </w:t>
      </w:r>
      <w:r w:rsidRPr="003B0000">
        <w:rPr>
          <w:rFonts w:ascii="Palatino Linotype" w:hAnsi="Palatino Linotype"/>
          <w:b/>
          <w:bCs/>
          <w:sz w:val="22"/>
          <w:szCs w:val="22"/>
        </w:rPr>
        <w:t>Recurrente</w:t>
      </w:r>
      <w:r w:rsidRPr="003B0000">
        <w:rPr>
          <w:rFonts w:ascii="Palatino Linotype" w:hAnsi="Palatino Linotype"/>
          <w:sz w:val="22"/>
          <w:szCs w:val="22"/>
        </w:rPr>
        <w:t xml:space="preserve"> en el Recurso de Revisión </w:t>
      </w:r>
      <w:r w:rsidR="00EB342A" w:rsidRPr="003B0000">
        <w:rPr>
          <w:rFonts w:ascii="Palatino Linotype" w:hAnsi="Palatino Linotype"/>
          <w:b/>
          <w:sz w:val="22"/>
          <w:szCs w:val="22"/>
        </w:rPr>
        <w:t>12969</w:t>
      </w:r>
      <w:r w:rsidRPr="003B0000">
        <w:rPr>
          <w:rFonts w:ascii="Palatino Linotype" w:eastAsia="Palatino Linotype" w:hAnsi="Palatino Linotype" w:cs="Palatino Linotype"/>
          <w:b/>
          <w:sz w:val="22"/>
          <w:szCs w:val="22"/>
        </w:rPr>
        <w:t>/INFOEM/IP/RR/2025</w:t>
      </w:r>
      <w:r w:rsidRPr="003B0000">
        <w:rPr>
          <w:rFonts w:ascii="Palatino Linotype" w:hAnsi="Palatino Linotype"/>
          <w:sz w:val="22"/>
          <w:szCs w:val="22"/>
        </w:rPr>
        <w:t xml:space="preserve"> por lo que, en términos del</w:t>
      </w:r>
      <w:r w:rsidRPr="003B0000">
        <w:rPr>
          <w:rFonts w:ascii="Palatino Linotype" w:hAnsi="Palatino Linotype"/>
          <w:b/>
          <w:bCs/>
          <w:sz w:val="22"/>
          <w:szCs w:val="22"/>
        </w:rPr>
        <w:t xml:space="preserve"> Considerando Cuarto </w:t>
      </w:r>
      <w:r w:rsidRPr="003B0000">
        <w:rPr>
          <w:rFonts w:ascii="Palatino Linotype" w:hAnsi="Palatino Linotype"/>
          <w:sz w:val="22"/>
          <w:szCs w:val="22"/>
        </w:rPr>
        <w:t xml:space="preserve">de esta resolución, se </w:t>
      </w:r>
      <w:r w:rsidRPr="003B0000">
        <w:rPr>
          <w:rFonts w:ascii="Palatino Linotype" w:hAnsi="Palatino Linotype"/>
          <w:b/>
          <w:bCs/>
          <w:sz w:val="22"/>
          <w:szCs w:val="22"/>
        </w:rPr>
        <w:t xml:space="preserve">Confirma </w:t>
      </w:r>
      <w:r w:rsidRPr="003B0000">
        <w:rPr>
          <w:rFonts w:ascii="Palatino Linotype" w:hAnsi="Palatino Linotype"/>
          <w:sz w:val="22"/>
          <w:szCs w:val="22"/>
        </w:rPr>
        <w:t xml:space="preserve">la respuesta emitida por el </w:t>
      </w:r>
      <w:r w:rsidRPr="003B0000">
        <w:rPr>
          <w:rFonts w:ascii="Palatino Linotype" w:hAnsi="Palatino Linotype"/>
          <w:b/>
          <w:bCs/>
          <w:sz w:val="22"/>
          <w:szCs w:val="22"/>
        </w:rPr>
        <w:t>Sujeto Obligado</w:t>
      </w:r>
      <w:r w:rsidRPr="003B0000">
        <w:rPr>
          <w:rFonts w:ascii="Palatino Linotype" w:hAnsi="Palatino Linotype"/>
          <w:sz w:val="22"/>
          <w:szCs w:val="22"/>
        </w:rPr>
        <w:t>.</w:t>
      </w:r>
    </w:p>
    <w:p w14:paraId="2D19AAAF" w14:textId="77777777" w:rsidR="00F330F8" w:rsidRPr="003B0000" w:rsidRDefault="00F330F8" w:rsidP="00F330F8">
      <w:pPr>
        <w:spacing w:line="360" w:lineRule="auto"/>
      </w:pPr>
    </w:p>
    <w:p w14:paraId="4CB5B75E" w14:textId="77777777" w:rsidR="00F330F8" w:rsidRPr="003B0000" w:rsidRDefault="00F330F8" w:rsidP="00F330F8">
      <w:pPr>
        <w:pStyle w:val="NormalWeb"/>
        <w:spacing w:before="0" w:beforeAutospacing="0" w:after="0" w:afterAutospacing="0" w:line="360" w:lineRule="auto"/>
        <w:jc w:val="both"/>
      </w:pPr>
      <w:r w:rsidRPr="003B0000">
        <w:rPr>
          <w:rFonts w:ascii="Palatino Linotype" w:hAnsi="Palatino Linotype"/>
          <w:b/>
          <w:bCs/>
          <w:sz w:val="22"/>
          <w:szCs w:val="22"/>
        </w:rPr>
        <w:t>Segundo. Notifíquese vía Sistema de Acceso a la Información Mexiquense (SAIMEX)</w:t>
      </w:r>
      <w:r w:rsidRPr="003B0000">
        <w:rPr>
          <w:rFonts w:ascii="Palatino Linotype" w:hAnsi="Palatino Linotype"/>
          <w:sz w:val="22"/>
          <w:szCs w:val="22"/>
        </w:rPr>
        <w:t>, al Titular de la Unidad de Transparencia del Sujeto Obligado, para su conocimiento.</w:t>
      </w:r>
    </w:p>
    <w:p w14:paraId="72486909" w14:textId="77777777" w:rsidR="00F330F8" w:rsidRPr="003B0000" w:rsidRDefault="00F330F8" w:rsidP="00F330F8">
      <w:pPr>
        <w:spacing w:line="360" w:lineRule="auto"/>
      </w:pPr>
    </w:p>
    <w:p w14:paraId="5EF280F1" w14:textId="77777777" w:rsidR="00F330F8" w:rsidRPr="003B0000" w:rsidRDefault="00F330F8" w:rsidP="00F330F8">
      <w:pPr>
        <w:pStyle w:val="NormalWeb"/>
        <w:spacing w:before="0" w:beforeAutospacing="0" w:after="0" w:afterAutospacing="0" w:line="360" w:lineRule="auto"/>
        <w:jc w:val="both"/>
      </w:pPr>
      <w:r w:rsidRPr="003B0000">
        <w:rPr>
          <w:rFonts w:ascii="Palatino Linotype" w:hAnsi="Palatino Linotype"/>
          <w:b/>
          <w:bCs/>
          <w:sz w:val="22"/>
          <w:szCs w:val="22"/>
        </w:rPr>
        <w:t xml:space="preserve">Tercero. Notifíquese vía Sistema de Acceso a la Información Mexiquense (SAIMEX) </w:t>
      </w:r>
      <w:r w:rsidRPr="003B0000">
        <w:rPr>
          <w:rFonts w:ascii="Palatino Linotype" w:hAnsi="Palatino Linotype"/>
          <w:sz w:val="22"/>
          <w:szCs w:val="22"/>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28224ED6" w14:textId="77777777" w:rsidR="00B67739" w:rsidRPr="003B0000" w:rsidRDefault="00B67739" w:rsidP="00DB3E69">
      <w:pPr>
        <w:pStyle w:val="NormalWeb"/>
        <w:spacing w:before="0" w:beforeAutospacing="0" w:after="0" w:afterAutospacing="0" w:line="360" w:lineRule="auto"/>
        <w:ind w:right="49"/>
        <w:jc w:val="both"/>
        <w:rPr>
          <w:rFonts w:ascii="Palatino Linotype" w:eastAsia="Palatino Linotype" w:hAnsi="Palatino Linotype" w:cs="Palatino Linotype"/>
          <w:sz w:val="22"/>
          <w:szCs w:val="22"/>
        </w:rPr>
      </w:pPr>
    </w:p>
    <w:p w14:paraId="124DF890" w14:textId="7E391368" w:rsidR="00C877F6" w:rsidRPr="00820DD0" w:rsidRDefault="00F36565">
      <w:pPr>
        <w:spacing w:line="360" w:lineRule="auto"/>
        <w:ind w:right="-93"/>
        <w:jc w:val="both"/>
        <w:rPr>
          <w:rFonts w:ascii="Palatino Linotype" w:eastAsia="Palatino Linotype" w:hAnsi="Palatino Linotype" w:cs="Palatino Linotype"/>
          <w:sz w:val="22"/>
          <w:szCs w:val="22"/>
        </w:rPr>
      </w:pPr>
      <w:r w:rsidRPr="003B0000">
        <w:rPr>
          <w:rFonts w:ascii="Palatino Linotype" w:eastAsia="Palatino Linotype" w:hAnsi="Palatino Linotype" w:cs="Palatino Linotype"/>
          <w:sz w:val="22"/>
          <w:szCs w:val="22"/>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426E89" w:rsidRPr="003B0000">
        <w:rPr>
          <w:rFonts w:ascii="Palatino Linotype" w:eastAsia="Palatino Linotype" w:hAnsi="Palatino Linotype" w:cs="Palatino Linotype"/>
          <w:sz w:val="22"/>
          <w:szCs w:val="22"/>
        </w:rPr>
        <w:t>CUARTA</w:t>
      </w:r>
      <w:r w:rsidRPr="003B0000">
        <w:rPr>
          <w:rFonts w:ascii="Palatino Linotype" w:eastAsia="Palatino Linotype" w:hAnsi="Palatino Linotype" w:cs="Palatino Linotype"/>
          <w:sz w:val="22"/>
          <w:szCs w:val="22"/>
        </w:rPr>
        <w:t xml:space="preserve"> S</w:t>
      </w:r>
      <w:r w:rsidR="001244B6" w:rsidRPr="003B0000">
        <w:rPr>
          <w:rFonts w:ascii="Palatino Linotype" w:eastAsia="Palatino Linotype" w:hAnsi="Palatino Linotype" w:cs="Palatino Linotype"/>
          <w:sz w:val="22"/>
          <w:szCs w:val="22"/>
        </w:rPr>
        <w:t xml:space="preserve">ESIÓN ORDINARIA CELEBRADA EL </w:t>
      </w:r>
      <w:r w:rsidR="00426E89" w:rsidRPr="003B0000">
        <w:rPr>
          <w:rFonts w:ascii="Palatino Linotype" w:eastAsia="Palatino Linotype" w:hAnsi="Palatino Linotype" w:cs="Palatino Linotype"/>
          <w:sz w:val="22"/>
          <w:szCs w:val="22"/>
        </w:rPr>
        <w:t>CINCO</w:t>
      </w:r>
      <w:r w:rsidRPr="003B0000">
        <w:rPr>
          <w:rFonts w:ascii="Palatino Linotype" w:eastAsia="Palatino Linotype" w:hAnsi="Palatino Linotype" w:cs="Palatino Linotype"/>
          <w:sz w:val="22"/>
          <w:szCs w:val="22"/>
        </w:rPr>
        <w:t xml:space="preserve"> DE </w:t>
      </w:r>
      <w:r w:rsidR="00426E89" w:rsidRPr="003B0000">
        <w:rPr>
          <w:rFonts w:ascii="Palatino Linotype" w:eastAsia="Palatino Linotype" w:hAnsi="Palatino Linotype" w:cs="Palatino Linotype"/>
          <w:sz w:val="22"/>
          <w:szCs w:val="22"/>
        </w:rPr>
        <w:t>FEBRERO</w:t>
      </w:r>
      <w:r w:rsidRPr="003B0000">
        <w:rPr>
          <w:rFonts w:ascii="Palatino Linotype" w:eastAsia="Palatino Linotype" w:hAnsi="Palatino Linotype" w:cs="Palatino Linotype"/>
          <w:sz w:val="22"/>
          <w:szCs w:val="22"/>
        </w:rPr>
        <w:t xml:space="preserve"> DE DOS MIL VEINTI</w:t>
      </w:r>
      <w:r w:rsidR="000C6DFE" w:rsidRPr="003B0000">
        <w:rPr>
          <w:rFonts w:ascii="Palatino Linotype" w:eastAsia="Palatino Linotype" w:hAnsi="Palatino Linotype" w:cs="Palatino Linotype"/>
          <w:sz w:val="22"/>
          <w:szCs w:val="22"/>
        </w:rPr>
        <w:t>SÉIS</w:t>
      </w:r>
      <w:r w:rsidRPr="003B0000">
        <w:rPr>
          <w:rFonts w:ascii="Palatino Linotype" w:eastAsia="Palatino Linotype" w:hAnsi="Palatino Linotype" w:cs="Palatino Linotype"/>
          <w:sz w:val="22"/>
          <w:szCs w:val="22"/>
        </w:rPr>
        <w:t>, ANTE EL SECRETARIO TÉCNICO DEL PLENO ALEXIS TAPIA RAMÍREZ.</w:t>
      </w:r>
    </w:p>
    <w:p w14:paraId="54455659" w14:textId="77777777" w:rsidR="00C877F6" w:rsidRPr="00820DD0" w:rsidRDefault="00C877F6">
      <w:pPr>
        <w:spacing w:line="360" w:lineRule="auto"/>
        <w:ind w:right="-93"/>
        <w:jc w:val="both"/>
        <w:rPr>
          <w:rFonts w:ascii="Palatino Linotype" w:eastAsia="Palatino Linotype" w:hAnsi="Palatino Linotype" w:cs="Palatino Linotype"/>
          <w:sz w:val="22"/>
          <w:szCs w:val="22"/>
        </w:rPr>
      </w:pPr>
    </w:p>
    <w:p w14:paraId="030E6A5B" w14:textId="77777777" w:rsidR="00C877F6" w:rsidRPr="00820DD0" w:rsidRDefault="00C877F6">
      <w:pPr>
        <w:spacing w:line="360" w:lineRule="auto"/>
        <w:ind w:right="-93"/>
        <w:jc w:val="both"/>
        <w:rPr>
          <w:rFonts w:ascii="Palatino Linotype" w:eastAsia="Palatino Linotype" w:hAnsi="Palatino Linotype" w:cs="Palatino Linotype"/>
          <w:sz w:val="22"/>
          <w:szCs w:val="22"/>
        </w:rPr>
      </w:pPr>
    </w:p>
    <w:p w14:paraId="5B12C640" w14:textId="77777777" w:rsidR="00C877F6" w:rsidRPr="00820DD0" w:rsidRDefault="00C877F6">
      <w:pPr>
        <w:spacing w:line="360" w:lineRule="auto"/>
        <w:ind w:right="-93"/>
        <w:jc w:val="both"/>
        <w:rPr>
          <w:rFonts w:ascii="Palatino Linotype" w:eastAsia="Palatino Linotype" w:hAnsi="Palatino Linotype" w:cs="Palatino Linotype"/>
          <w:sz w:val="22"/>
          <w:szCs w:val="22"/>
        </w:rPr>
      </w:pPr>
    </w:p>
    <w:p w14:paraId="7A4C70FF" w14:textId="77777777" w:rsidR="00C877F6" w:rsidRPr="00820DD0" w:rsidRDefault="00C877F6">
      <w:pPr>
        <w:spacing w:line="360" w:lineRule="auto"/>
        <w:ind w:right="-93"/>
        <w:jc w:val="both"/>
        <w:rPr>
          <w:rFonts w:ascii="Palatino Linotype" w:eastAsia="Palatino Linotype" w:hAnsi="Palatino Linotype" w:cs="Palatino Linotype"/>
          <w:sz w:val="22"/>
          <w:szCs w:val="22"/>
        </w:rPr>
      </w:pPr>
    </w:p>
    <w:p w14:paraId="6197DF1F" w14:textId="77777777" w:rsidR="00C877F6" w:rsidRPr="00820DD0" w:rsidRDefault="00C877F6">
      <w:pPr>
        <w:spacing w:line="360" w:lineRule="auto"/>
        <w:ind w:right="-93"/>
        <w:jc w:val="both"/>
        <w:rPr>
          <w:rFonts w:ascii="Palatino Linotype" w:eastAsia="Palatino Linotype" w:hAnsi="Palatino Linotype" w:cs="Palatino Linotype"/>
          <w:sz w:val="22"/>
          <w:szCs w:val="22"/>
        </w:rPr>
      </w:pPr>
    </w:p>
    <w:p w14:paraId="1A57851A" w14:textId="77777777" w:rsidR="00C877F6" w:rsidRPr="00820DD0" w:rsidRDefault="00C877F6">
      <w:pPr>
        <w:spacing w:line="360" w:lineRule="auto"/>
        <w:ind w:right="49"/>
        <w:jc w:val="both"/>
        <w:rPr>
          <w:rFonts w:ascii="Palatino Linotype" w:eastAsia="Palatino Linotype" w:hAnsi="Palatino Linotype" w:cs="Palatino Linotype"/>
          <w:sz w:val="22"/>
          <w:szCs w:val="22"/>
        </w:rPr>
      </w:pPr>
    </w:p>
    <w:sectPr w:rsidR="00C877F6" w:rsidRPr="00820DD0">
      <w:headerReference w:type="default" r:id="rId8"/>
      <w:footerReference w:type="default" r:id="rId9"/>
      <w:headerReference w:type="first" r:id="rId10"/>
      <w:footerReference w:type="first" r:id="rId11"/>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81A629" w14:textId="77777777" w:rsidR="00993206" w:rsidRDefault="00993206">
      <w:r>
        <w:separator/>
      </w:r>
    </w:p>
  </w:endnote>
  <w:endnote w:type="continuationSeparator" w:id="0">
    <w:p w14:paraId="545642E4" w14:textId="77777777" w:rsidR="00993206" w:rsidRDefault="009932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1" w:fontKey="{FD64DA05-1C3C-4ACF-A9EE-50412A7280AA}"/>
    <w:embedBold r:id="rId2" w:fontKey="{AE1E3D19-D5D3-4B62-9B62-AA595384C96C}"/>
    <w:embedItalic r:id="rId3" w:fontKey="{0D15F38C-03BA-45CA-A2B7-BFB0986EB6CB}"/>
    <w:embedBoldItalic r:id="rId4" w:fontKey="{73679EE7-952F-4AFB-A785-8705065B2E25}"/>
  </w:font>
  <w:font w:name="Noto Sans Symbols">
    <w:altName w:val="Times New Roman"/>
    <w:charset w:val="00"/>
    <w:family w:val="auto"/>
    <w:pitch w:val="default"/>
    <w:embedRegular r:id="rId5" w:fontKey="{3CFF70DD-EBBC-48A3-9289-5B58FACD0C06}"/>
  </w:font>
  <w:font w:name="Tahoma">
    <w:panose1 w:val="020B0604030504040204"/>
    <w:charset w:val="00"/>
    <w:family w:val="swiss"/>
    <w:pitch w:val="variable"/>
    <w:sig w:usb0="E1002EFF" w:usb1="C000605B" w:usb2="00000029" w:usb3="00000000" w:csb0="000101FF" w:csb1="00000000"/>
    <w:embedRegular r:id="rId6" w:fontKey="{69EED55C-5F8E-4437-8B7E-40346A508C20}"/>
  </w:font>
  <w:font w:name="Calibri">
    <w:panose1 w:val="020F0502020204030204"/>
    <w:charset w:val="00"/>
    <w:family w:val="swiss"/>
    <w:pitch w:val="variable"/>
    <w:sig w:usb0="E4002EFF" w:usb1="C200247B" w:usb2="00000009" w:usb3="00000000" w:csb0="000001FF" w:csb1="00000000"/>
    <w:embedRegular r:id="rId7" w:fontKey="{2CEA3DEF-8932-42B1-A22A-773C0481ED6A}"/>
    <w:embedBold r:id="rId8" w:fontKey="{02EC82FD-245F-4B8F-8CCE-EF1D5F10A734}"/>
    <w:embedItalic r:id="rId9" w:fontKey="{483FF03A-1D51-4D34-8E82-86BCAF648EEC}"/>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1F1CBC1F-9A61-48A5-BFA2-AE5CBF0C3443}"/>
    <w:embedItalic r:id="rId11" w:fontKey="{EE9FBC0F-08B9-4948-AEFE-A6040D0C134F}"/>
  </w:font>
  <w:font w:name="Calibri Light">
    <w:panose1 w:val="020F0302020204030204"/>
    <w:charset w:val="00"/>
    <w:family w:val="swiss"/>
    <w:pitch w:val="variable"/>
    <w:sig w:usb0="E4002EFF" w:usb1="C200247B" w:usb2="00000009" w:usb3="00000000" w:csb0="000001FF" w:csb1="00000000"/>
    <w:embedRegular r:id="rId12" w:fontKey="{EA641AA5-4042-43F2-926D-F9DD202D56AC}"/>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27024" w14:textId="06B6D3D2" w:rsidR="0073595F" w:rsidRDefault="0073595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36E5E">
      <w:rPr>
        <w:b/>
        <w:noProof/>
        <w:color w:val="000000"/>
      </w:rPr>
      <w:t>3</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36E5E">
      <w:rPr>
        <w:b/>
        <w:noProof/>
        <w:color w:val="000000"/>
      </w:rPr>
      <w:t>24</w:t>
    </w:r>
    <w:r>
      <w:rPr>
        <w:b/>
        <w:color w:val="000000"/>
      </w:rPr>
      <w:fldChar w:fldCharType="end"/>
    </w:r>
  </w:p>
  <w:p w14:paraId="7AE4EEFD" w14:textId="77777777" w:rsidR="0073595F" w:rsidRDefault="0073595F">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01E332" w14:textId="1258DA33" w:rsidR="0073595F" w:rsidRDefault="0073595F">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36E5E">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36E5E">
      <w:rPr>
        <w:b/>
        <w:noProof/>
        <w:color w:val="000000"/>
      </w:rPr>
      <w:t>24</w:t>
    </w:r>
    <w:r>
      <w:rPr>
        <w:b/>
        <w:color w:val="000000"/>
      </w:rPr>
      <w:fldChar w:fldCharType="end"/>
    </w:r>
  </w:p>
  <w:p w14:paraId="6675DA9D" w14:textId="77777777" w:rsidR="0073595F" w:rsidRDefault="0073595F">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F6D3FB" w14:textId="77777777" w:rsidR="00993206" w:rsidRDefault="00993206">
      <w:r>
        <w:separator/>
      </w:r>
    </w:p>
  </w:footnote>
  <w:footnote w:type="continuationSeparator" w:id="0">
    <w:p w14:paraId="6BFBC539" w14:textId="77777777" w:rsidR="00993206" w:rsidRDefault="009932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457D" w14:textId="77777777" w:rsidR="0073595F" w:rsidRDefault="0073595F">
    <w:pPr>
      <w:widowControl w:val="0"/>
      <w:pBdr>
        <w:top w:val="nil"/>
        <w:left w:val="nil"/>
        <w:bottom w:val="nil"/>
        <w:right w:val="nil"/>
        <w:between w:val="nil"/>
      </w:pBdr>
      <w:rPr>
        <w:color w:val="000000"/>
      </w:rPr>
    </w:pPr>
    <w:r>
      <w:rPr>
        <w:noProof/>
      </w:rPr>
      <w:drawing>
        <wp:anchor distT="0" distB="0" distL="0" distR="0" simplePos="0" relativeHeight="251658240" behindDoc="1" locked="0" layoutInCell="1" hidden="0" allowOverlap="1" wp14:anchorId="093A9E0D" wp14:editId="28CE1BC9">
          <wp:simplePos x="0" y="0"/>
          <wp:positionH relativeFrom="column">
            <wp:posOffset>0</wp:posOffset>
          </wp:positionH>
          <wp:positionV relativeFrom="paragraph">
            <wp:posOffset>-401953</wp:posOffset>
          </wp:positionV>
          <wp:extent cx="7809876" cy="10165823"/>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6"/>
      <w:tblW w:w="5603" w:type="dxa"/>
      <w:tblInd w:w="3611" w:type="dxa"/>
      <w:tblLayout w:type="fixed"/>
      <w:tblLook w:val="0400" w:firstRow="0" w:lastRow="0" w:firstColumn="0" w:lastColumn="0" w:noHBand="0" w:noVBand="1"/>
    </w:tblPr>
    <w:tblGrid>
      <w:gridCol w:w="2551"/>
      <w:gridCol w:w="3052"/>
    </w:tblGrid>
    <w:tr w:rsidR="0073595F" w14:paraId="3DE1F927" w14:textId="77777777">
      <w:tc>
        <w:tcPr>
          <w:tcW w:w="2551" w:type="dxa"/>
          <w:vAlign w:val="center"/>
        </w:tcPr>
        <w:p w14:paraId="27218DF9" w14:textId="77777777" w:rsidR="0073595F" w:rsidRDefault="0073595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Recurso de Revisión:</w:t>
          </w:r>
        </w:p>
        <w:p w14:paraId="4D5060D3" w14:textId="77777777" w:rsidR="0073595F" w:rsidRDefault="0073595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p>
      </w:tc>
      <w:tc>
        <w:tcPr>
          <w:tcW w:w="3052" w:type="dxa"/>
          <w:vAlign w:val="center"/>
        </w:tcPr>
        <w:p w14:paraId="1F9F508D" w14:textId="0E6F2D54" w:rsidR="0073595F" w:rsidRDefault="0073595F" w:rsidP="00426E89">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12969/INFOEM/IP/RR/2025</w:t>
          </w:r>
        </w:p>
      </w:tc>
    </w:tr>
    <w:tr w:rsidR="0073595F" w14:paraId="6E2D1273" w14:textId="77777777">
      <w:trPr>
        <w:trHeight w:val="217"/>
      </w:trPr>
      <w:tc>
        <w:tcPr>
          <w:tcW w:w="2551" w:type="dxa"/>
          <w:vAlign w:val="center"/>
        </w:tcPr>
        <w:p w14:paraId="21203565" w14:textId="77777777" w:rsidR="0073595F" w:rsidRDefault="0073595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Sujeto obligado:</w:t>
          </w:r>
        </w:p>
      </w:tc>
      <w:tc>
        <w:tcPr>
          <w:tcW w:w="3052" w:type="dxa"/>
          <w:vAlign w:val="center"/>
        </w:tcPr>
        <w:p w14:paraId="6BAD3091" w14:textId="75F9E783" w:rsidR="0073595F" w:rsidRDefault="0073595F" w:rsidP="00287278">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Poder Legislativo</w:t>
          </w:r>
        </w:p>
      </w:tc>
    </w:tr>
    <w:tr w:rsidR="0073595F" w14:paraId="651D01A7" w14:textId="77777777">
      <w:tc>
        <w:tcPr>
          <w:tcW w:w="2551" w:type="dxa"/>
          <w:vAlign w:val="center"/>
        </w:tcPr>
        <w:p w14:paraId="5229B5A5" w14:textId="77777777" w:rsidR="0073595F" w:rsidRDefault="0073595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Comisionada ponente:</w:t>
          </w:r>
        </w:p>
      </w:tc>
      <w:tc>
        <w:tcPr>
          <w:tcW w:w="3052" w:type="dxa"/>
          <w:vAlign w:val="center"/>
        </w:tcPr>
        <w:p w14:paraId="252A5C20" w14:textId="77777777" w:rsidR="0073595F" w:rsidRDefault="0073595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2"/>
              <w:szCs w:val="22"/>
            </w:rPr>
          </w:pPr>
          <w:r>
            <w:rPr>
              <w:rFonts w:ascii="Palatino Linotype" w:eastAsia="Palatino Linotype" w:hAnsi="Palatino Linotype" w:cs="Palatino Linotype"/>
              <w:b/>
              <w:color w:val="000000"/>
              <w:sz w:val="22"/>
              <w:szCs w:val="22"/>
            </w:rPr>
            <w:t>Guadalupe Ramírez Peña</w:t>
          </w:r>
        </w:p>
      </w:tc>
    </w:tr>
  </w:tbl>
  <w:p w14:paraId="24D54F31" w14:textId="77777777" w:rsidR="0073595F" w:rsidRDefault="0073595F">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30C5A" w14:textId="77777777" w:rsidR="0073595F" w:rsidRDefault="0073595F">
    <w:pPr>
      <w:widowControl w:val="0"/>
      <w:pBdr>
        <w:top w:val="nil"/>
        <w:left w:val="nil"/>
        <w:bottom w:val="nil"/>
        <w:right w:val="nil"/>
        <w:between w:val="nil"/>
      </w:pBdr>
      <w:rPr>
        <w:rFonts w:ascii="Palatino Linotype" w:eastAsia="Palatino Linotype" w:hAnsi="Palatino Linotype" w:cs="Palatino Linotype"/>
        <w:sz w:val="22"/>
        <w:szCs w:val="22"/>
      </w:rPr>
    </w:pPr>
    <w:r>
      <w:rPr>
        <w:noProof/>
      </w:rPr>
      <w:drawing>
        <wp:anchor distT="0" distB="0" distL="0" distR="0" simplePos="0" relativeHeight="251659264" behindDoc="1" locked="0" layoutInCell="1" hidden="0" allowOverlap="1" wp14:anchorId="060CB74E" wp14:editId="30E0D12D">
          <wp:simplePos x="0" y="0"/>
          <wp:positionH relativeFrom="column">
            <wp:posOffset>-929004</wp:posOffset>
          </wp:positionH>
          <wp:positionV relativeFrom="paragraph">
            <wp:posOffset>-644524</wp:posOffset>
          </wp:positionV>
          <wp:extent cx="7809865" cy="10165715"/>
          <wp:effectExtent l="0" t="0" r="0" b="0"/>
          <wp:wrapNone/>
          <wp:docPr id="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7"/>
      <w:tblW w:w="5461" w:type="dxa"/>
      <w:tblInd w:w="3611" w:type="dxa"/>
      <w:tblLayout w:type="fixed"/>
      <w:tblLook w:val="0400" w:firstRow="0" w:lastRow="0" w:firstColumn="0" w:lastColumn="0" w:noHBand="0" w:noVBand="1"/>
    </w:tblPr>
    <w:tblGrid>
      <w:gridCol w:w="2343"/>
      <w:gridCol w:w="3118"/>
    </w:tblGrid>
    <w:tr w:rsidR="0073595F" w14:paraId="1419E4B9" w14:textId="77777777">
      <w:tc>
        <w:tcPr>
          <w:tcW w:w="2343" w:type="dxa"/>
          <w:vAlign w:val="center"/>
        </w:tcPr>
        <w:p w14:paraId="0A4DAE44" w14:textId="77777777" w:rsidR="0073595F" w:rsidRDefault="0073595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Recurso de Revisión:</w:t>
          </w:r>
        </w:p>
        <w:p w14:paraId="61232AD0" w14:textId="77777777" w:rsidR="0073595F" w:rsidRDefault="0073595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1D2E4BAD" w14:textId="2EEDD343" w:rsidR="0073595F" w:rsidRDefault="0073595F" w:rsidP="00DE7292">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12969/INFOEM/IP/RR/2025</w:t>
          </w:r>
        </w:p>
      </w:tc>
    </w:tr>
    <w:tr w:rsidR="0073595F" w14:paraId="5406FED2" w14:textId="77777777">
      <w:tc>
        <w:tcPr>
          <w:tcW w:w="2343" w:type="dxa"/>
          <w:vAlign w:val="center"/>
        </w:tcPr>
        <w:p w14:paraId="40683B83" w14:textId="77777777" w:rsidR="0073595F" w:rsidRDefault="0073595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Recurrente:</w:t>
          </w:r>
        </w:p>
      </w:tc>
      <w:tc>
        <w:tcPr>
          <w:tcW w:w="3118" w:type="dxa"/>
          <w:vAlign w:val="center"/>
        </w:tcPr>
        <w:p w14:paraId="79BFF42B" w14:textId="709596D8" w:rsidR="0073595F" w:rsidRDefault="00136E5E" w:rsidP="00136E5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 xml:space="preserve">XXXXXXXXX XXXXX </w:t>
          </w:r>
        </w:p>
      </w:tc>
    </w:tr>
    <w:tr w:rsidR="0073595F" w14:paraId="0CE2BEAE" w14:textId="77777777">
      <w:trPr>
        <w:trHeight w:val="152"/>
      </w:trPr>
      <w:tc>
        <w:tcPr>
          <w:tcW w:w="2343" w:type="dxa"/>
          <w:vAlign w:val="center"/>
        </w:tcPr>
        <w:p w14:paraId="2B6A9907" w14:textId="77777777" w:rsidR="0073595F" w:rsidRDefault="0073595F">
          <w:pP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Sujeto obligado:</w:t>
          </w:r>
        </w:p>
        <w:p w14:paraId="337D7A1C" w14:textId="77777777" w:rsidR="0073595F" w:rsidRDefault="0073595F">
          <w:pPr>
            <w:tabs>
              <w:tab w:val="center" w:pos="4419"/>
              <w:tab w:val="right" w:pos="8838"/>
            </w:tabs>
            <w:rPr>
              <w:rFonts w:ascii="Palatino Linotype" w:eastAsia="Palatino Linotype" w:hAnsi="Palatino Linotype" w:cs="Palatino Linotype"/>
              <w:b/>
              <w:color w:val="000000"/>
              <w:sz w:val="20"/>
              <w:szCs w:val="20"/>
            </w:rPr>
          </w:pPr>
        </w:p>
      </w:tc>
      <w:tc>
        <w:tcPr>
          <w:tcW w:w="3118" w:type="dxa"/>
          <w:vAlign w:val="center"/>
        </w:tcPr>
        <w:p w14:paraId="6FC25278" w14:textId="773DA26C" w:rsidR="0073595F" w:rsidRDefault="0073595F" w:rsidP="000C6DF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2"/>
              <w:szCs w:val="22"/>
            </w:rPr>
            <w:t>Poder Legislativo</w:t>
          </w:r>
        </w:p>
      </w:tc>
    </w:tr>
    <w:tr w:rsidR="0073595F" w14:paraId="1EF4B579" w14:textId="77777777">
      <w:tc>
        <w:tcPr>
          <w:tcW w:w="2343" w:type="dxa"/>
          <w:vAlign w:val="center"/>
        </w:tcPr>
        <w:p w14:paraId="71B9E111" w14:textId="77777777" w:rsidR="0073595F" w:rsidRDefault="0073595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Comisionada ponente:</w:t>
          </w:r>
        </w:p>
      </w:tc>
      <w:tc>
        <w:tcPr>
          <w:tcW w:w="3118" w:type="dxa"/>
          <w:vAlign w:val="center"/>
        </w:tcPr>
        <w:p w14:paraId="02FC2A70" w14:textId="77777777" w:rsidR="0073595F" w:rsidRDefault="0073595F">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sz w:val="20"/>
              <w:szCs w:val="20"/>
            </w:rPr>
          </w:pPr>
          <w:r>
            <w:rPr>
              <w:rFonts w:ascii="Palatino Linotype" w:eastAsia="Palatino Linotype" w:hAnsi="Palatino Linotype" w:cs="Palatino Linotype"/>
              <w:b/>
              <w:color w:val="000000"/>
              <w:sz w:val="20"/>
              <w:szCs w:val="20"/>
            </w:rPr>
            <w:t>Guadalupe Ramírez Peña</w:t>
          </w:r>
        </w:p>
      </w:tc>
    </w:tr>
  </w:tbl>
  <w:p w14:paraId="2CE2B1EF" w14:textId="77777777" w:rsidR="0073595F" w:rsidRDefault="0073595F">
    <w:pPr>
      <w:rPr>
        <w:color w:val="000000"/>
        <w:sz w:val="22"/>
        <w:szCs w:val="22"/>
      </w:rPr>
    </w:pPr>
    <w:r>
      <w:rPr>
        <w:color w:val="000000"/>
        <w:sz w:val="22"/>
        <w:szCs w:val="22"/>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44A65"/>
    <w:multiLevelType w:val="hybridMultilevel"/>
    <w:tmpl w:val="79C4E488"/>
    <w:lvl w:ilvl="0" w:tplc="080A0001">
      <w:start w:val="1"/>
      <w:numFmt w:val="bullet"/>
      <w:lvlText w:val=""/>
      <w:lvlJc w:val="left"/>
      <w:pPr>
        <w:ind w:left="721" w:hanging="360"/>
      </w:pPr>
      <w:rPr>
        <w:rFonts w:ascii="Symbol" w:hAnsi="Symbol" w:hint="default"/>
      </w:rPr>
    </w:lvl>
    <w:lvl w:ilvl="1" w:tplc="080A0003" w:tentative="1">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1" w15:restartNumberingAfterBreak="0">
    <w:nsid w:val="023556E8"/>
    <w:multiLevelType w:val="hybridMultilevel"/>
    <w:tmpl w:val="77B60772"/>
    <w:lvl w:ilvl="0" w:tplc="CAF81CC8">
      <w:start w:val="5"/>
      <w:numFmt w:val="bullet"/>
      <w:lvlText w:val="-"/>
      <w:lvlJc w:val="left"/>
      <w:pPr>
        <w:ind w:left="1571" w:hanging="360"/>
      </w:pPr>
      <w:rPr>
        <w:rFonts w:ascii="Palatino Linotype" w:eastAsia="Times New Roman" w:hAnsi="Palatino Linotype" w:cs="Times New Roman"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 w15:restartNumberingAfterBreak="0">
    <w:nsid w:val="03E752D9"/>
    <w:multiLevelType w:val="hybridMultilevel"/>
    <w:tmpl w:val="40626B42"/>
    <w:lvl w:ilvl="0" w:tplc="3C3C5B4E">
      <w:start w:val="2"/>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24464E"/>
    <w:multiLevelType w:val="hybridMultilevel"/>
    <w:tmpl w:val="C74070C2"/>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8B943D9"/>
    <w:multiLevelType w:val="hybridMultilevel"/>
    <w:tmpl w:val="27D0DE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A6D1963"/>
    <w:multiLevelType w:val="hybridMultilevel"/>
    <w:tmpl w:val="4CAE23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736AFE"/>
    <w:multiLevelType w:val="multilevel"/>
    <w:tmpl w:val="E3E087FC"/>
    <w:lvl w:ilvl="0">
      <w:start w:val="1"/>
      <w:numFmt w:val="decimal"/>
      <w:lvlText w:val="%1)"/>
      <w:lvlJc w:val="left"/>
      <w:pPr>
        <w:ind w:left="927" w:hanging="360"/>
      </w:p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7" w15:restartNumberingAfterBreak="0">
    <w:nsid w:val="0BD8054D"/>
    <w:multiLevelType w:val="multilevel"/>
    <w:tmpl w:val="F53484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D9D70DC"/>
    <w:multiLevelType w:val="multilevel"/>
    <w:tmpl w:val="113A3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8AB154A"/>
    <w:multiLevelType w:val="hybridMultilevel"/>
    <w:tmpl w:val="20ACA70E"/>
    <w:lvl w:ilvl="0" w:tplc="8C96CC16">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066694"/>
    <w:multiLevelType w:val="multilevel"/>
    <w:tmpl w:val="2A2C67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F052BDB"/>
    <w:multiLevelType w:val="hybridMultilevel"/>
    <w:tmpl w:val="648CE1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FBA60E1"/>
    <w:multiLevelType w:val="hybridMultilevel"/>
    <w:tmpl w:val="833C01C6"/>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6EC77F1"/>
    <w:multiLevelType w:val="multilevel"/>
    <w:tmpl w:val="6BB0D1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8707C06"/>
    <w:multiLevelType w:val="multilevel"/>
    <w:tmpl w:val="B0CC12D8"/>
    <w:lvl w:ilvl="0">
      <w:start w:val="2"/>
      <w:numFmt w:val="bullet"/>
      <w:lvlText w:val="-"/>
      <w:lvlJc w:val="left"/>
      <w:pPr>
        <w:ind w:left="720" w:hanging="360"/>
      </w:pPr>
      <w:rPr>
        <w:rFonts w:ascii="Calibri" w:eastAsia="Calibri" w:hAnsi="Calibri" w:cs="Calibri"/>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DCF1BB0"/>
    <w:multiLevelType w:val="hybridMultilevel"/>
    <w:tmpl w:val="A8845E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E23727"/>
    <w:multiLevelType w:val="hybridMultilevel"/>
    <w:tmpl w:val="CA28EB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3130A81"/>
    <w:multiLevelType w:val="multilevel"/>
    <w:tmpl w:val="6D7835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34E74C6D"/>
    <w:multiLevelType w:val="multilevel"/>
    <w:tmpl w:val="61E029E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387E6610"/>
    <w:multiLevelType w:val="multilevel"/>
    <w:tmpl w:val="79705BE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0"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1" w15:restartNumberingAfterBreak="0">
    <w:nsid w:val="40B05F98"/>
    <w:multiLevelType w:val="hybridMultilevel"/>
    <w:tmpl w:val="209676F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70850CC"/>
    <w:multiLevelType w:val="hybridMultilevel"/>
    <w:tmpl w:val="EB7CAB56"/>
    <w:lvl w:ilvl="0" w:tplc="46966750">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E14D4F"/>
    <w:multiLevelType w:val="multilevel"/>
    <w:tmpl w:val="20A6CE84"/>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48AE11EE"/>
    <w:multiLevelType w:val="multilevel"/>
    <w:tmpl w:val="1BCCDE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59484C"/>
    <w:multiLevelType w:val="multilevel"/>
    <w:tmpl w:val="ADD0A2AC"/>
    <w:lvl w:ilvl="0">
      <w:start w:val="1"/>
      <w:numFmt w:val="lowerLetter"/>
      <w:lvlText w:val="%1)"/>
      <w:lvlJc w:val="left"/>
      <w:pPr>
        <w:ind w:left="927" w:hanging="36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26" w15:restartNumberingAfterBreak="0">
    <w:nsid w:val="4F042564"/>
    <w:multiLevelType w:val="hybridMultilevel"/>
    <w:tmpl w:val="4B4E66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0691881"/>
    <w:multiLevelType w:val="multilevel"/>
    <w:tmpl w:val="9208DD3A"/>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2B53A72"/>
    <w:multiLevelType w:val="hybridMultilevel"/>
    <w:tmpl w:val="B0647A12"/>
    <w:lvl w:ilvl="0" w:tplc="080A0017">
      <w:start w:val="1"/>
      <w:numFmt w:val="lowerLetter"/>
      <w:lvlText w:val="%1)"/>
      <w:lvlJc w:val="left"/>
      <w:pPr>
        <w:ind w:left="1647" w:hanging="360"/>
      </w:pPr>
    </w:lvl>
    <w:lvl w:ilvl="1" w:tplc="080A0019" w:tentative="1">
      <w:start w:val="1"/>
      <w:numFmt w:val="lowerLetter"/>
      <w:lvlText w:val="%2."/>
      <w:lvlJc w:val="left"/>
      <w:pPr>
        <w:ind w:left="2367" w:hanging="360"/>
      </w:pPr>
    </w:lvl>
    <w:lvl w:ilvl="2" w:tplc="080A001B" w:tentative="1">
      <w:start w:val="1"/>
      <w:numFmt w:val="lowerRoman"/>
      <w:lvlText w:val="%3."/>
      <w:lvlJc w:val="right"/>
      <w:pPr>
        <w:ind w:left="3087" w:hanging="180"/>
      </w:pPr>
    </w:lvl>
    <w:lvl w:ilvl="3" w:tplc="080A000F" w:tentative="1">
      <w:start w:val="1"/>
      <w:numFmt w:val="decimal"/>
      <w:lvlText w:val="%4."/>
      <w:lvlJc w:val="left"/>
      <w:pPr>
        <w:ind w:left="3807" w:hanging="360"/>
      </w:pPr>
    </w:lvl>
    <w:lvl w:ilvl="4" w:tplc="080A0019" w:tentative="1">
      <w:start w:val="1"/>
      <w:numFmt w:val="lowerLetter"/>
      <w:lvlText w:val="%5."/>
      <w:lvlJc w:val="left"/>
      <w:pPr>
        <w:ind w:left="4527" w:hanging="360"/>
      </w:pPr>
    </w:lvl>
    <w:lvl w:ilvl="5" w:tplc="080A001B" w:tentative="1">
      <w:start w:val="1"/>
      <w:numFmt w:val="lowerRoman"/>
      <w:lvlText w:val="%6."/>
      <w:lvlJc w:val="right"/>
      <w:pPr>
        <w:ind w:left="5247" w:hanging="180"/>
      </w:pPr>
    </w:lvl>
    <w:lvl w:ilvl="6" w:tplc="080A000F" w:tentative="1">
      <w:start w:val="1"/>
      <w:numFmt w:val="decimal"/>
      <w:lvlText w:val="%7."/>
      <w:lvlJc w:val="left"/>
      <w:pPr>
        <w:ind w:left="5967" w:hanging="360"/>
      </w:pPr>
    </w:lvl>
    <w:lvl w:ilvl="7" w:tplc="080A0019" w:tentative="1">
      <w:start w:val="1"/>
      <w:numFmt w:val="lowerLetter"/>
      <w:lvlText w:val="%8."/>
      <w:lvlJc w:val="left"/>
      <w:pPr>
        <w:ind w:left="6687" w:hanging="360"/>
      </w:pPr>
    </w:lvl>
    <w:lvl w:ilvl="8" w:tplc="080A001B" w:tentative="1">
      <w:start w:val="1"/>
      <w:numFmt w:val="lowerRoman"/>
      <w:lvlText w:val="%9."/>
      <w:lvlJc w:val="right"/>
      <w:pPr>
        <w:ind w:left="7407" w:hanging="180"/>
      </w:pPr>
    </w:lvl>
  </w:abstractNum>
  <w:abstractNum w:abstractNumId="29" w15:restartNumberingAfterBreak="0">
    <w:nsid w:val="56635056"/>
    <w:multiLevelType w:val="multilevel"/>
    <w:tmpl w:val="8C18E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EFF26A4"/>
    <w:multiLevelType w:val="hybridMultilevel"/>
    <w:tmpl w:val="146A8F7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1" w15:restartNumberingAfterBreak="0">
    <w:nsid w:val="61414336"/>
    <w:multiLevelType w:val="hybridMultilevel"/>
    <w:tmpl w:val="526C8C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3046A1F"/>
    <w:multiLevelType w:val="multilevel"/>
    <w:tmpl w:val="F320C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5652EE7"/>
    <w:multiLevelType w:val="multilevel"/>
    <w:tmpl w:val="2F789F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142C49"/>
    <w:multiLevelType w:val="multilevel"/>
    <w:tmpl w:val="30B4AF1A"/>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68717A16"/>
    <w:multiLevelType w:val="multilevel"/>
    <w:tmpl w:val="FE0A5F92"/>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6C3508A3"/>
    <w:multiLevelType w:val="multilevel"/>
    <w:tmpl w:val="11345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D4715E4"/>
    <w:multiLevelType w:val="hybridMultilevel"/>
    <w:tmpl w:val="BCEC5E1E"/>
    <w:lvl w:ilvl="0" w:tplc="583EAEC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717D094A"/>
    <w:multiLevelType w:val="hybridMultilevel"/>
    <w:tmpl w:val="2D64BC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6C591C"/>
    <w:multiLevelType w:val="multilevel"/>
    <w:tmpl w:val="BBF4F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9C01BB5"/>
    <w:multiLevelType w:val="multilevel"/>
    <w:tmpl w:val="5D2CB75E"/>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15:restartNumberingAfterBreak="0">
    <w:nsid w:val="7A5A1DCB"/>
    <w:multiLevelType w:val="multilevel"/>
    <w:tmpl w:val="59964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B083A9B"/>
    <w:multiLevelType w:val="multilevel"/>
    <w:tmpl w:val="01A0AE9C"/>
    <w:lvl w:ilvl="0">
      <w:start w:val="2"/>
      <w:numFmt w:val="bullet"/>
      <w:pStyle w:val="Listaconvietas"/>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abstractNum w:abstractNumId="43" w15:restartNumberingAfterBreak="0">
    <w:nsid w:val="7C337F65"/>
    <w:multiLevelType w:val="multilevel"/>
    <w:tmpl w:val="4A4A5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7"/>
  </w:num>
  <w:num w:numId="3">
    <w:abstractNumId w:val="25"/>
  </w:num>
  <w:num w:numId="4">
    <w:abstractNumId w:val="42"/>
  </w:num>
  <w:num w:numId="5">
    <w:abstractNumId w:val="13"/>
  </w:num>
  <w:num w:numId="6">
    <w:abstractNumId w:val="33"/>
  </w:num>
  <w:num w:numId="7">
    <w:abstractNumId w:val="43"/>
  </w:num>
  <w:num w:numId="8">
    <w:abstractNumId w:val="8"/>
  </w:num>
  <w:num w:numId="9">
    <w:abstractNumId w:val="1"/>
  </w:num>
  <w:num w:numId="10">
    <w:abstractNumId w:val="6"/>
  </w:num>
  <w:num w:numId="11">
    <w:abstractNumId w:val="30"/>
  </w:num>
  <w:num w:numId="12">
    <w:abstractNumId w:val="21"/>
  </w:num>
  <w:num w:numId="13">
    <w:abstractNumId w:val="29"/>
  </w:num>
  <w:num w:numId="14">
    <w:abstractNumId w:val="28"/>
  </w:num>
  <w:num w:numId="15">
    <w:abstractNumId w:val="19"/>
  </w:num>
  <w:num w:numId="16">
    <w:abstractNumId w:val="17"/>
  </w:num>
  <w:num w:numId="17">
    <w:abstractNumId w:val="40"/>
  </w:num>
  <w:num w:numId="18">
    <w:abstractNumId w:val="35"/>
  </w:num>
  <w:num w:numId="19">
    <w:abstractNumId w:val="18"/>
  </w:num>
  <w:num w:numId="20">
    <w:abstractNumId w:val="34"/>
  </w:num>
  <w:num w:numId="21">
    <w:abstractNumId w:val="2"/>
  </w:num>
  <w:num w:numId="22">
    <w:abstractNumId w:val="12"/>
  </w:num>
  <w:num w:numId="23">
    <w:abstractNumId w:val="15"/>
  </w:num>
  <w:num w:numId="24">
    <w:abstractNumId w:val="3"/>
  </w:num>
  <w:num w:numId="25">
    <w:abstractNumId w:val="10"/>
  </w:num>
  <w:num w:numId="26">
    <w:abstractNumId w:val="22"/>
  </w:num>
  <w:num w:numId="27">
    <w:abstractNumId w:val="9"/>
  </w:num>
  <w:num w:numId="28">
    <w:abstractNumId w:val="41"/>
  </w:num>
  <w:num w:numId="29">
    <w:abstractNumId w:val="0"/>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num>
  <w:num w:numId="32">
    <w:abstractNumId w:val="37"/>
  </w:num>
  <w:num w:numId="33">
    <w:abstractNumId w:val="31"/>
  </w:num>
  <w:num w:numId="34">
    <w:abstractNumId w:val="16"/>
  </w:num>
  <w:num w:numId="35">
    <w:abstractNumId w:val="14"/>
  </w:num>
  <w:num w:numId="36">
    <w:abstractNumId w:val="23"/>
  </w:num>
  <w:num w:numId="37">
    <w:abstractNumId w:val="26"/>
  </w:num>
  <w:num w:numId="38">
    <w:abstractNumId w:val="39"/>
  </w:num>
  <w:num w:numId="39">
    <w:abstractNumId w:val="32"/>
  </w:num>
  <w:num w:numId="40">
    <w:abstractNumId w:val="24"/>
  </w:num>
  <w:num w:numId="41">
    <w:abstractNumId w:val="11"/>
  </w:num>
  <w:num w:numId="42">
    <w:abstractNumId w:val="5"/>
  </w:num>
  <w:num w:numId="43">
    <w:abstractNumId w:val="38"/>
  </w:num>
  <w:num w:numId="44">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77F6"/>
    <w:rsid w:val="000019BA"/>
    <w:rsid w:val="00003CC0"/>
    <w:rsid w:val="00011BB7"/>
    <w:rsid w:val="000140E9"/>
    <w:rsid w:val="00014376"/>
    <w:rsid w:val="00025074"/>
    <w:rsid w:val="000413D1"/>
    <w:rsid w:val="000472DB"/>
    <w:rsid w:val="000505A2"/>
    <w:rsid w:val="000710D6"/>
    <w:rsid w:val="00085E1F"/>
    <w:rsid w:val="000C2D35"/>
    <w:rsid w:val="000C6DFE"/>
    <w:rsid w:val="000F461B"/>
    <w:rsid w:val="000F5AFD"/>
    <w:rsid w:val="00102B00"/>
    <w:rsid w:val="00106A63"/>
    <w:rsid w:val="0010766B"/>
    <w:rsid w:val="0011572F"/>
    <w:rsid w:val="00115C81"/>
    <w:rsid w:val="0012241A"/>
    <w:rsid w:val="001244B6"/>
    <w:rsid w:val="00136E5E"/>
    <w:rsid w:val="00137C81"/>
    <w:rsid w:val="00167CFB"/>
    <w:rsid w:val="00171044"/>
    <w:rsid w:val="00171DF7"/>
    <w:rsid w:val="00177120"/>
    <w:rsid w:val="00195613"/>
    <w:rsid w:val="001A7868"/>
    <w:rsid w:val="001D787B"/>
    <w:rsid w:val="001E449F"/>
    <w:rsid w:val="001F5076"/>
    <w:rsid w:val="00215433"/>
    <w:rsid w:val="00220962"/>
    <w:rsid w:val="00241C45"/>
    <w:rsid w:val="00251552"/>
    <w:rsid w:val="00261424"/>
    <w:rsid w:val="00271603"/>
    <w:rsid w:val="00282A93"/>
    <w:rsid w:val="00287278"/>
    <w:rsid w:val="00290A1C"/>
    <w:rsid w:val="00294BBE"/>
    <w:rsid w:val="002A38A5"/>
    <w:rsid w:val="002A642E"/>
    <w:rsid w:val="002C4916"/>
    <w:rsid w:val="002C6140"/>
    <w:rsid w:val="002C63CA"/>
    <w:rsid w:val="002E51A0"/>
    <w:rsid w:val="002E705D"/>
    <w:rsid w:val="002F289C"/>
    <w:rsid w:val="00324821"/>
    <w:rsid w:val="00334A1C"/>
    <w:rsid w:val="00336C8D"/>
    <w:rsid w:val="003412FF"/>
    <w:rsid w:val="00351E01"/>
    <w:rsid w:val="003535F7"/>
    <w:rsid w:val="00357E62"/>
    <w:rsid w:val="00374863"/>
    <w:rsid w:val="00381615"/>
    <w:rsid w:val="00382B63"/>
    <w:rsid w:val="00385ACA"/>
    <w:rsid w:val="003B0000"/>
    <w:rsid w:val="003B746B"/>
    <w:rsid w:val="003C1D7A"/>
    <w:rsid w:val="003D17CE"/>
    <w:rsid w:val="003E0545"/>
    <w:rsid w:val="003F6A2A"/>
    <w:rsid w:val="004066C2"/>
    <w:rsid w:val="00413D80"/>
    <w:rsid w:val="00421C3A"/>
    <w:rsid w:val="00422637"/>
    <w:rsid w:val="00426E89"/>
    <w:rsid w:val="0045016F"/>
    <w:rsid w:val="00451E0D"/>
    <w:rsid w:val="004652A0"/>
    <w:rsid w:val="00477E95"/>
    <w:rsid w:val="004921E1"/>
    <w:rsid w:val="004958B3"/>
    <w:rsid w:val="004A4D59"/>
    <w:rsid w:val="004B0400"/>
    <w:rsid w:val="004B0E0F"/>
    <w:rsid w:val="004B37BF"/>
    <w:rsid w:val="004B699A"/>
    <w:rsid w:val="004C147A"/>
    <w:rsid w:val="004C6A5F"/>
    <w:rsid w:val="00507CDE"/>
    <w:rsid w:val="005116B7"/>
    <w:rsid w:val="00524582"/>
    <w:rsid w:val="00541989"/>
    <w:rsid w:val="00565104"/>
    <w:rsid w:val="00571BF7"/>
    <w:rsid w:val="005736AA"/>
    <w:rsid w:val="005764D6"/>
    <w:rsid w:val="0058244A"/>
    <w:rsid w:val="0059705D"/>
    <w:rsid w:val="005A4875"/>
    <w:rsid w:val="005A668A"/>
    <w:rsid w:val="005B15F7"/>
    <w:rsid w:val="005B79A1"/>
    <w:rsid w:val="005C3FA2"/>
    <w:rsid w:val="005C74CB"/>
    <w:rsid w:val="005D28FA"/>
    <w:rsid w:val="005D6395"/>
    <w:rsid w:val="005E009A"/>
    <w:rsid w:val="005F460A"/>
    <w:rsid w:val="00602DB8"/>
    <w:rsid w:val="0060454F"/>
    <w:rsid w:val="00605693"/>
    <w:rsid w:val="00607DE9"/>
    <w:rsid w:val="00617B63"/>
    <w:rsid w:val="00627BA6"/>
    <w:rsid w:val="0063148C"/>
    <w:rsid w:val="00635F53"/>
    <w:rsid w:val="00646AA6"/>
    <w:rsid w:val="006712A5"/>
    <w:rsid w:val="0067251B"/>
    <w:rsid w:val="006B413C"/>
    <w:rsid w:val="006C5268"/>
    <w:rsid w:val="006D0447"/>
    <w:rsid w:val="006D2F09"/>
    <w:rsid w:val="006D4A7D"/>
    <w:rsid w:val="006E3440"/>
    <w:rsid w:val="00707E5B"/>
    <w:rsid w:val="00730751"/>
    <w:rsid w:val="007342D3"/>
    <w:rsid w:val="0073595F"/>
    <w:rsid w:val="00740429"/>
    <w:rsid w:val="007425E8"/>
    <w:rsid w:val="007668BD"/>
    <w:rsid w:val="007671AC"/>
    <w:rsid w:val="00776154"/>
    <w:rsid w:val="0079048E"/>
    <w:rsid w:val="007A113B"/>
    <w:rsid w:val="007A250C"/>
    <w:rsid w:val="007A6122"/>
    <w:rsid w:val="007B023D"/>
    <w:rsid w:val="007C365E"/>
    <w:rsid w:val="008012C6"/>
    <w:rsid w:val="00816709"/>
    <w:rsid w:val="00820DD0"/>
    <w:rsid w:val="00822722"/>
    <w:rsid w:val="00822FC6"/>
    <w:rsid w:val="0082404E"/>
    <w:rsid w:val="0083209D"/>
    <w:rsid w:val="00837198"/>
    <w:rsid w:val="00843597"/>
    <w:rsid w:val="00850987"/>
    <w:rsid w:val="0085476E"/>
    <w:rsid w:val="008655BD"/>
    <w:rsid w:val="008749A3"/>
    <w:rsid w:val="00874D15"/>
    <w:rsid w:val="008903B9"/>
    <w:rsid w:val="0089595B"/>
    <w:rsid w:val="008A3B54"/>
    <w:rsid w:val="008D5D61"/>
    <w:rsid w:val="008E4A90"/>
    <w:rsid w:val="008E5996"/>
    <w:rsid w:val="008E5C4C"/>
    <w:rsid w:val="00923A7C"/>
    <w:rsid w:val="009264E2"/>
    <w:rsid w:val="00941BA0"/>
    <w:rsid w:val="009456FA"/>
    <w:rsid w:val="00951057"/>
    <w:rsid w:val="009653D4"/>
    <w:rsid w:val="00992177"/>
    <w:rsid w:val="00992C9D"/>
    <w:rsid w:val="00993206"/>
    <w:rsid w:val="009A113E"/>
    <w:rsid w:val="009B7611"/>
    <w:rsid w:val="009C5423"/>
    <w:rsid w:val="009D0B8C"/>
    <w:rsid w:val="009D1375"/>
    <w:rsid w:val="009D625A"/>
    <w:rsid w:val="009D7455"/>
    <w:rsid w:val="009E3BCC"/>
    <w:rsid w:val="00A16203"/>
    <w:rsid w:val="00A342FD"/>
    <w:rsid w:val="00A63728"/>
    <w:rsid w:val="00A91027"/>
    <w:rsid w:val="00AA08AE"/>
    <w:rsid w:val="00AA5D5B"/>
    <w:rsid w:val="00AB4893"/>
    <w:rsid w:val="00AB6007"/>
    <w:rsid w:val="00AD35BC"/>
    <w:rsid w:val="00AE1500"/>
    <w:rsid w:val="00AE181D"/>
    <w:rsid w:val="00AE34F4"/>
    <w:rsid w:val="00AE4C99"/>
    <w:rsid w:val="00AF516B"/>
    <w:rsid w:val="00AF6459"/>
    <w:rsid w:val="00AF6A93"/>
    <w:rsid w:val="00B01F31"/>
    <w:rsid w:val="00B0784B"/>
    <w:rsid w:val="00B11D16"/>
    <w:rsid w:val="00B21479"/>
    <w:rsid w:val="00B27D30"/>
    <w:rsid w:val="00B4317F"/>
    <w:rsid w:val="00B50137"/>
    <w:rsid w:val="00B5111D"/>
    <w:rsid w:val="00B67739"/>
    <w:rsid w:val="00B67B0F"/>
    <w:rsid w:val="00B705EB"/>
    <w:rsid w:val="00B8230E"/>
    <w:rsid w:val="00B95CC7"/>
    <w:rsid w:val="00BB7C63"/>
    <w:rsid w:val="00BF7077"/>
    <w:rsid w:val="00C1728E"/>
    <w:rsid w:val="00C2497E"/>
    <w:rsid w:val="00C64701"/>
    <w:rsid w:val="00C801A6"/>
    <w:rsid w:val="00C877F6"/>
    <w:rsid w:val="00C93CB2"/>
    <w:rsid w:val="00C94A83"/>
    <w:rsid w:val="00C975DF"/>
    <w:rsid w:val="00C9792E"/>
    <w:rsid w:val="00CB4C69"/>
    <w:rsid w:val="00CC63A3"/>
    <w:rsid w:val="00CD4BE9"/>
    <w:rsid w:val="00CE32E2"/>
    <w:rsid w:val="00CF7200"/>
    <w:rsid w:val="00D261B6"/>
    <w:rsid w:val="00D3382D"/>
    <w:rsid w:val="00D35935"/>
    <w:rsid w:val="00D411D4"/>
    <w:rsid w:val="00D47A86"/>
    <w:rsid w:val="00D501D9"/>
    <w:rsid w:val="00D503A7"/>
    <w:rsid w:val="00D5108C"/>
    <w:rsid w:val="00D52078"/>
    <w:rsid w:val="00D548D9"/>
    <w:rsid w:val="00D561F5"/>
    <w:rsid w:val="00D632AD"/>
    <w:rsid w:val="00D63364"/>
    <w:rsid w:val="00D71419"/>
    <w:rsid w:val="00D85947"/>
    <w:rsid w:val="00D86E05"/>
    <w:rsid w:val="00DA6825"/>
    <w:rsid w:val="00DA69F8"/>
    <w:rsid w:val="00DB20F5"/>
    <w:rsid w:val="00DB2ED8"/>
    <w:rsid w:val="00DB3E69"/>
    <w:rsid w:val="00DC2CE2"/>
    <w:rsid w:val="00DC5898"/>
    <w:rsid w:val="00DC7D82"/>
    <w:rsid w:val="00DE7292"/>
    <w:rsid w:val="00DF2ABD"/>
    <w:rsid w:val="00DF4BF2"/>
    <w:rsid w:val="00E01C63"/>
    <w:rsid w:val="00E111DF"/>
    <w:rsid w:val="00E21C9B"/>
    <w:rsid w:val="00E26AFB"/>
    <w:rsid w:val="00E33B49"/>
    <w:rsid w:val="00E34B63"/>
    <w:rsid w:val="00E35B1C"/>
    <w:rsid w:val="00E36FCB"/>
    <w:rsid w:val="00E40539"/>
    <w:rsid w:val="00E41166"/>
    <w:rsid w:val="00E542DD"/>
    <w:rsid w:val="00E70C81"/>
    <w:rsid w:val="00E70D5E"/>
    <w:rsid w:val="00E90A7F"/>
    <w:rsid w:val="00E9219F"/>
    <w:rsid w:val="00E97AD5"/>
    <w:rsid w:val="00EB342A"/>
    <w:rsid w:val="00ED1F46"/>
    <w:rsid w:val="00EE30D8"/>
    <w:rsid w:val="00F0001E"/>
    <w:rsid w:val="00F0041B"/>
    <w:rsid w:val="00F11903"/>
    <w:rsid w:val="00F330F8"/>
    <w:rsid w:val="00F36565"/>
    <w:rsid w:val="00F50BF6"/>
    <w:rsid w:val="00F60B31"/>
    <w:rsid w:val="00F63FA8"/>
    <w:rsid w:val="00F6784D"/>
    <w:rsid w:val="00F77DCA"/>
    <w:rsid w:val="00F80CD2"/>
    <w:rsid w:val="00F90408"/>
    <w:rsid w:val="00FA6C9F"/>
    <w:rsid w:val="00FB389B"/>
    <w:rsid w:val="00FF4F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203C616"/>
  <w15:docId w15:val="{9B6F5DC6-6478-4D7C-BEBD-2CE441658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pPr>
    <w:rPr>
      <w:rFonts w:ascii="Arial" w:hAnsi="Arial" w:cs="Arial"/>
      <w:color w:val="000000"/>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rPr>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table" w:customStyle="1" w:styleId="9">
    <w:name w:val="9"/>
    <w:basedOn w:val="TableNormal20"/>
    <w:tblPr>
      <w:tblStyleRowBandSize w:val="1"/>
      <w:tblStyleColBandSize w:val="1"/>
      <w:tblCellMar>
        <w:left w:w="108" w:type="dxa"/>
        <w:right w:w="108" w:type="dxa"/>
      </w:tblCellMar>
    </w:tblPr>
  </w:style>
  <w:style w:type="table" w:customStyle="1" w:styleId="8">
    <w:name w:val="8"/>
    <w:basedOn w:val="TableNormal20"/>
    <w:tblPr>
      <w:tblStyleRowBandSize w:val="1"/>
      <w:tblStyleColBandSize w:val="1"/>
      <w:tblCellMar>
        <w:top w:w="15" w:type="dxa"/>
        <w:left w:w="115" w:type="dxa"/>
        <w:bottom w:w="15" w:type="dxa"/>
        <w:right w:w="115" w:type="dxa"/>
      </w:tblCellMar>
    </w:tblPr>
  </w:style>
  <w:style w:type="table" w:customStyle="1" w:styleId="7">
    <w:name w:val="7"/>
    <w:basedOn w:val="TableNormal20"/>
    <w:tblPr>
      <w:tblStyleRowBandSize w:val="1"/>
      <w:tblStyleColBandSize w:val="1"/>
      <w:tblCellMar>
        <w:top w:w="15" w:type="dxa"/>
        <w:left w:w="115" w:type="dxa"/>
        <w:bottom w:w="15" w:type="dxa"/>
        <w:right w:w="115" w:type="dxa"/>
      </w:tblCellMar>
    </w:tblPr>
  </w:style>
  <w:style w:type="character" w:customStyle="1" w:styleId="Mencinsinresolver3">
    <w:name w:val="Mención sin resolver3"/>
    <w:basedOn w:val="Fuentedeprrafopredeter"/>
    <w:uiPriority w:val="99"/>
    <w:semiHidden/>
    <w:unhideWhenUsed/>
    <w:rsid w:val="00B91EC4"/>
    <w:rPr>
      <w:color w:val="605E5C"/>
      <w:shd w:val="clear" w:color="auto" w:fill="E1DFDD"/>
    </w:rPr>
  </w:style>
  <w:style w:type="character" w:styleId="Refdecomentario">
    <w:name w:val="annotation reference"/>
    <w:basedOn w:val="Fuentedeprrafopredeter"/>
    <w:uiPriority w:val="99"/>
    <w:semiHidden/>
    <w:unhideWhenUsed/>
    <w:rsid w:val="007266CA"/>
    <w:rPr>
      <w:sz w:val="16"/>
      <w:szCs w:val="16"/>
    </w:rPr>
  </w:style>
  <w:style w:type="paragraph" w:styleId="Textocomentario">
    <w:name w:val="annotation text"/>
    <w:basedOn w:val="Normal"/>
    <w:link w:val="TextocomentarioCar"/>
    <w:uiPriority w:val="99"/>
    <w:semiHidden/>
    <w:unhideWhenUsed/>
    <w:rsid w:val="007266CA"/>
    <w:rPr>
      <w:sz w:val="20"/>
      <w:szCs w:val="20"/>
    </w:rPr>
  </w:style>
  <w:style w:type="character" w:customStyle="1" w:styleId="TextocomentarioCar">
    <w:name w:val="Texto comentario Car"/>
    <w:basedOn w:val="Fuentedeprrafopredeter"/>
    <w:link w:val="Textocomentario"/>
    <w:uiPriority w:val="99"/>
    <w:semiHidden/>
    <w:rsid w:val="007266CA"/>
    <w:rPr>
      <w:rFonts w:eastAsia="Times New Roman" w:cs="Times New Roman"/>
      <w:sz w:val="20"/>
      <w:szCs w:val="20"/>
      <w:lang w:eastAsia="en-US"/>
    </w:rPr>
  </w:style>
  <w:style w:type="paragraph" w:styleId="Asuntodelcomentario">
    <w:name w:val="annotation subject"/>
    <w:basedOn w:val="Textocomentario"/>
    <w:next w:val="Textocomentario"/>
    <w:link w:val="AsuntodelcomentarioCar"/>
    <w:uiPriority w:val="99"/>
    <w:semiHidden/>
    <w:unhideWhenUsed/>
    <w:rsid w:val="007266CA"/>
    <w:rPr>
      <w:b/>
      <w:bCs/>
    </w:rPr>
  </w:style>
  <w:style w:type="character" w:customStyle="1" w:styleId="AsuntodelcomentarioCar">
    <w:name w:val="Asunto del comentario Car"/>
    <w:basedOn w:val="TextocomentarioCar"/>
    <w:link w:val="Asuntodelcomentario"/>
    <w:uiPriority w:val="99"/>
    <w:semiHidden/>
    <w:rsid w:val="007266CA"/>
    <w:rPr>
      <w:rFonts w:eastAsia="Times New Roman" w:cs="Times New Roman"/>
      <w:b/>
      <w:bCs/>
      <w:sz w:val="20"/>
      <w:szCs w:val="20"/>
      <w:lang w:eastAsia="en-US"/>
    </w:rPr>
  </w:style>
  <w:style w:type="character" w:styleId="Textodelmarcadordeposicin">
    <w:name w:val="Placeholder Text"/>
    <w:basedOn w:val="Fuentedeprrafopredeter"/>
    <w:uiPriority w:val="99"/>
    <w:semiHidden/>
    <w:rsid w:val="007266CA"/>
    <w:rPr>
      <w:color w:val="808080"/>
    </w:rPr>
  </w:style>
  <w:style w:type="character" w:styleId="Hipervnculovisitado">
    <w:name w:val="FollowedHyperlink"/>
    <w:basedOn w:val="Fuentedeprrafopredeter"/>
    <w:uiPriority w:val="99"/>
    <w:semiHidden/>
    <w:unhideWhenUsed/>
    <w:rsid w:val="00FC1F2B"/>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C1F2B"/>
    <w:rPr>
      <w:rFonts w:asciiTheme="minorHAnsi" w:eastAsiaTheme="minorHAnsi" w:hAnsiTheme="minorHAnsi" w:cstheme="minorBidi"/>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C1F2B"/>
    <w:rPr>
      <w:rFonts w:asciiTheme="minorHAnsi" w:eastAsiaTheme="minorHAnsi" w:hAnsiTheme="minorHAnsi" w:cstheme="minorBidi"/>
      <w:sz w:val="20"/>
      <w:szCs w:val="20"/>
      <w:lang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FC1F2B"/>
    <w:rPr>
      <w:vertAlign w:val="superscript"/>
    </w:rPr>
  </w:style>
  <w:style w:type="character" w:customStyle="1" w:styleId="PuestoCar">
    <w:name w:val="Puesto Car"/>
    <w:aliases w:val="Cita textual Car"/>
    <w:basedOn w:val="Fuentedeprrafopredeter"/>
    <w:uiPriority w:val="10"/>
    <w:rsid w:val="00EC101D"/>
    <w:rPr>
      <w:rFonts w:eastAsia="Times New Roman" w:cs="Times New Roman"/>
      <w:b/>
      <w:sz w:val="72"/>
      <w:szCs w:val="72"/>
      <w:lang w:eastAsia="en-US"/>
    </w:rPr>
  </w:style>
  <w:style w:type="table" w:customStyle="1" w:styleId="Tablanormal11">
    <w:name w:val="Tabla normal 11"/>
    <w:basedOn w:val="Tablanormal"/>
    <w:uiPriority w:val="41"/>
    <w:rsid w:val="009A0A8D"/>
    <w:rPr>
      <w:rFonts w:asciiTheme="minorHAnsi" w:eastAsiaTheme="minorHAnsi" w:hAnsiTheme="minorHAnsi" w:cstheme="minorBid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
    <w:basedOn w:val="TableNormal4"/>
    <w:tblPr>
      <w:tblStyleRowBandSize w:val="1"/>
      <w:tblStyleColBandSize w:val="1"/>
      <w:tblCellMar>
        <w:left w:w="115" w:type="dxa"/>
        <w:right w:w="115" w:type="dxa"/>
      </w:tblCellMar>
    </w:tblPr>
  </w:style>
  <w:style w:type="table" w:customStyle="1" w:styleId="a0">
    <w:basedOn w:val="TableNormal4"/>
    <w:tblPr>
      <w:tblStyleRowBandSize w:val="1"/>
      <w:tblStyleColBandSize w:val="1"/>
      <w:tblCellMar>
        <w:left w:w="115" w:type="dxa"/>
        <w:right w:w="115" w:type="dxa"/>
      </w:tblCellMar>
    </w:tblPr>
  </w:style>
  <w:style w:type="table" w:customStyle="1" w:styleId="a1">
    <w:basedOn w:val="TableNormal4"/>
    <w:tblPr>
      <w:tblStyleRowBandSize w:val="1"/>
      <w:tblStyleColBandSize w:val="1"/>
      <w:tblCellMar>
        <w:left w:w="115" w:type="dxa"/>
        <w:right w:w="115" w:type="dxa"/>
      </w:tblCellMar>
    </w:tblPr>
  </w:style>
  <w:style w:type="table" w:customStyle="1" w:styleId="a2">
    <w:basedOn w:val="TableNormal4"/>
    <w:tblPr>
      <w:tblStyleRowBandSize w:val="1"/>
      <w:tblStyleColBandSize w:val="1"/>
      <w:tblCellMar>
        <w:left w:w="115" w:type="dxa"/>
        <w:right w:w="115" w:type="dxa"/>
      </w:tblCellMar>
    </w:tblPr>
  </w:style>
  <w:style w:type="table" w:customStyle="1" w:styleId="a3">
    <w:basedOn w:val="TableNormal4"/>
    <w:tblPr>
      <w:tblStyleRowBandSize w:val="1"/>
      <w:tblStyleColBandSize w:val="1"/>
      <w:tblCellMar>
        <w:top w:w="15" w:type="dxa"/>
        <w:left w:w="115" w:type="dxa"/>
        <w:bottom w:w="15" w:type="dxa"/>
        <w:right w:w="115" w:type="dxa"/>
      </w:tblCellMar>
    </w:tblPr>
  </w:style>
  <w:style w:type="table" w:customStyle="1" w:styleId="a4">
    <w:basedOn w:val="TableNormal4"/>
    <w:tblPr>
      <w:tblStyleRowBandSize w:val="1"/>
      <w:tblStyleColBandSize w:val="1"/>
      <w:tblCellMar>
        <w:top w:w="15" w:type="dxa"/>
        <w:left w:w="115" w:type="dxa"/>
        <w:bottom w:w="15" w:type="dxa"/>
        <w:right w:w="115" w:type="dxa"/>
      </w:tblCellMar>
    </w:tblPr>
  </w:style>
  <w:style w:type="table" w:customStyle="1" w:styleId="a5">
    <w:basedOn w:val="TableNormal3"/>
    <w:tblPr>
      <w:tblStyleRowBandSize w:val="1"/>
      <w:tblStyleColBandSize w:val="1"/>
      <w:tblCellMar>
        <w:left w:w="115" w:type="dxa"/>
        <w:right w:w="115" w:type="dxa"/>
      </w:tblCellMar>
    </w:tblPr>
  </w:style>
  <w:style w:type="table" w:customStyle="1" w:styleId="a6">
    <w:basedOn w:val="TableNormal3"/>
    <w:tblPr>
      <w:tblStyleRowBandSize w:val="1"/>
      <w:tblStyleColBandSize w:val="1"/>
      <w:tblCellMar>
        <w:left w:w="115" w:type="dxa"/>
        <w:right w:w="115" w:type="dxa"/>
      </w:tblCellMar>
    </w:tblPr>
  </w:style>
  <w:style w:type="table" w:customStyle="1" w:styleId="a7">
    <w:basedOn w:val="TableNormal3"/>
    <w:tblPr>
      <w:tblStyleRowBandSize w:val="1"/>
      <w:tblStyleColBandSize w:val="1"/>
      <w:tblCellMar>
        <w:left w:w="115" w:type="dxa"/>
        <w:right w:w="115" w:type="dxa"/>
      </w:tblCellMar>
    </w:tblPr>
  </w:style>
  <w:style w:type="table" w:customStyle="1" w:styleId="a8">
    <w:basedOn w:val="TableNormal3"/>
    <w:tblPr>
      <w:tblStyleRowBandSize w:val="1"/>
      <w:tblStyleColBandSize w:val="1"/>
      <w:tblCellMar>
        <w:left w:w="115" w:type="dxa"/>
        <w:right w:w="115" w:type="dxa"/>
      </w:tblCellMar>
    </w:tblPr>
  </w:style>
  <w:style w:type="table" w:customStyle="1" w:styleId="a9">
    <w:basedOn w:val="TableNormal3"/>
    <w:tblPr>
      <w:tblStyleRowBandSize w:val="1"/>
      <w:tblStyleColBandSize w:val="1"/>
      <w:tblCellMar>
        <w:top w:w="15" w:type="dxa"/>
        <w:left w:w="115" w:type="dxa"/>
        <w:bottom w:w="15" w:type="dxa"/>
        <w:right w:w="115" w:type="dxa"/>
      </w:tblCellMar>
    </w:tblPr>
  </w:style>
  <w:style w:type="table" w:customStyle="1" w:styleId="aa">
    <w:basedOn w:val="TableNormal3"/>
    <w:tblPr>
      <w:tblStyleRowBandSize w:val="1"/>
      <w:tblStyleColBandSize w:val="1"/>
      <w:tblCellMar>
        <w:top w:w="15" w:type="dxa"/>
        <w:left w:w="115" w:type="dxa"/>
        <w:bottom w:w="15" w:type="dxa"/>
        <w:right w:w="115" w:type="dxa"/>
      </w:tblCellMar>
    </w:tblPr>
  </w:style>
  <w:style w:type="table" w:customStyle="1" w:styleId="ab">
    <w:basedOn w:val="TableNormal2"/>
    <w:tblPr>
      <w:tblStyleRowBandSize w:val="1"/>
      <w:tblStyleColBandSize w:val="1"/>
      <w:tblCellMar>
        <w:left w:w="115" w:type="dxa"/>
        <w:right w:w="115" w:type="dxa"/>
      </w:tblCellMar>
    </w:tblPr>
  </w:style>
  <w:style w:type="table" w:customStyle="1" w:styleId="ac">
    <w:basedOn w:val="TableNormal2"/>
    <w:tblPr>
      <w:tblStyleRowBandSize w:val="1"/>
      <w:tblStyleColBandSize w:val="1"/>
      <w:tblCellMar>
        <w:left w:w="115" w:type="dxa"/>
        <w:right w:w="115" w:type="dxa"/>
      </w:tblCellMar>
    </w:tblPr>
  </w:style>
  <w:style w:type="table" w:customStyle="1" w:styleId="ad">
    <w:basedOn w:val="TableNormal2"/>
    <w:tblPr>
      <w:tblStyleRowBandSize w:val="1"/>
      <w:tblStyleColBandSize w:val="1"/>
      <w:tblCellMar>
        <w:left w:w="115" w:type="dxa"/>
        <w:right w:w="115" w:type="dxa"/>
      </w:tblCellMar>
    </w:tblPr>
  </w:style>
  <w:style w:type="table" w:customStyle="1" w:styleId="ae">
    <w:basedOn w:val="TableNormal2"/>
    <w:tblPr>
      <w:tblStyleRowBandSize w:val="1"/>
      <w:tblStyleColBandSize w:val="1"/>
      <w:tblCellMar>
        <w:left w:w="115" w:type="dxa"/>
        <w:right w:w="115" w:type="dxa"/>
      </w:tblCellMar>
    </w:tblPr>
  </w:style>
  <w:style w:type="table" w:customStyle="1" w:styleId="af">
    <w:basedOn w:val="TableNormal2"/>
    <w:tblPr>
      <w:tblStyleRowBandSize w:val="1"/>
      <w:tblStyleColBandSize w:val="1"/>
      <w:tblCellMar>
        <w:left w:w="108"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top w:w="15" w:type="dxa"/>
        <w:left w:w="115" w:type="dxa"/>
        <w:bottom w:w="15" w:type="dxa"/>
        <w:right w:w="115" w:type="dxa"/>
      </w:tblCellMar>
    </w:tblPr>
  </w:style>
  <w:style w:type="table" w:customStyle="1" w:styleId="af2">
    <w:basedOn w:val="TableNormal2"/>
    <w:tblPr>
      <w:tblStyleRowBandSize w:val="1"/>
      <w:tblStyleColBandSize w:val="1"/>
      <w:tblCellMar>
        <w:top w:w="15" w:type="dxa"/>
        <w:left w:w="115" w:type="dxa"/>
        <w:bottom w:w="15" w:type="dxa"/>
        <w:right w:w="115" w:type="dxa"/>
      </w:tblCellMar>
    </w:tblPr>
  </w:style>
  <w:style w:type="character" w:styleId="Textoennegrita">
    <w:name w:val="Strong"/>
    <w:basedOn w:val="Fuentedeprrafopredeter"/>
    <w:uiPriority w:val="22"/>
    <w:qFormat/>
    <w:rsid w:val="00AC6527"/>
    <w:rPr>
      <w:b/>
      <w:bCs/>
    </w:rPr>
  </w:style>
  <w:style w:type="character" w:customStyle="1" w:styleId="apple-tab-span">
    <w:name w:val="apple-tab-span"/>
    <w:basedOn w:val="Fuentedeprrafopredeter"/>
    <w:rsid w:val="00EB58F7"/>
  </w:style>
  <w:style w:type="paragraph" w:styleId="Listaconvietas3">
    <w:name w:val="List Bullet 3"/>
    <w:basedOn w:val="Normal"/>
    <w:uiPriority w:val="99"/>
    <w:unhideWhenUsed/>
    <w:rsid w:val="00AF720B"/>
    <w:pPr>
      <w:numPr>
        <w:numId w:val="1"/>
      </w:numPr>
      <w:contextualSpacing/>
    </w:pPr>
  </w:style>
  <w:style w:type="table" w:customStyle="1" w:styleId="af3">
    <w:basedOn w:val="TableNormal1"/>
    <w:tblPr>
      <w:tblStyleRowBandSize w:val="1"/>
      <w:tblStyleColBandSize w:val="1"/>
      <w:tblCellMar>
        <w:left w:w="115" w:type="dxa"/>
        <w:right w:w="115" w:type="dxa"/>
      </w:tblCellMar>
    </w:tblPr>
  </w:style>
  <w:style w:type="table" w:customStyle="1" w:styleId="af4">
    <w:basedOn w:val="TableNormal1"/>
    <w:tblPr>
      <w:tblStyleRowBandSize w:val="1"/>
      <w:tblStyleColBandSize w:val="1"/>
      <w:tblCellMar>
        <w:top w:w="15" w:type="dxa"/>
        <w:left w:w="115" w:type="dxa"/>
        <w:bottom w:w="15" w:type="dxa"/>
        <w:right w:w="115" w:type="dxa"/>
      </w:tblCellMar>
    </w:tblPr>
  </w:style>
  <w:style w:type="table" w:customStyle="1" w:styleId="af5">
    <w:basedOn w:val="TableNormal1"/>
    <w:tblPr>
      <w:tblStyleRowBandSize w:val="1"/>
      <w:tblStyleColBandSize w:val="1"/>
      <w:tblCellMar>
        <w:top w:w="15" w:type="dxa"/>
        <w:left w:w="115" w:type="dxa"/>
        <w:bottom w:w="15" w:type="dxa"/>
        <w:right w:w="115" w:type="dxa"/>
      </w:tblCellMar>
    </w:tblPr>
  </w:style>
  <w:style w:type="paragraph" w:styleId="Listaconvietas">
    <w:name w:val="List Bullet"/>
    <w:basedOn w:val="Normal"/>
    <w:uiPriority w:val="99"/>
    <w:unhideWhenUsed/>
    <w:rsid w:val="00E97D6F"/>
    <w:pPr>
      <w:numPr>
        <w:numId w:val="4"/>
      </w:numPr>
      <w:contextualSpacing/>
    </w:pPr>
    <w:rPr>
      <w:lang w:val="es-ES"/>
    </w:rPr>
  </w:style>
  <w:style w:type="character" w:customStyle="1" w:styleId="Mencinsinresolver4">
    <w:name w:val="Mención sin resolver4"/>
    <w:basedOn w:val="Fuentedeprrafopredeter"/>
    <w:uiPriority w:val="99"/>
    <w:semiHidden/>
    <w:unhideWhenUsed/>
    <w:rsid w:val="00E8288F"/>
    <w:rPr>
      <w:color w:val="605E5C"/>
      <w:shd w:val="clear" w:color="auto" w:fill="E1DFDD"/>
    </w:rPr>
  </w:style>
  <w:style w:type="paragraph" w:customStyle="1" w:styleId="xgmail-msonormal">
    <w:name w:val="x_gmail-msonormal"/>
    <w:basedOn w:val="Normal"/>
    <w:rsid w:val="009B2050"/>
    <w:pPr>
      <w:spacing w:before="100" w:beforeAutospacing="1" w:after="100" w:afterAutospacing="1"/>
    </w:pPr>
    <w:rPr>
      <w:lang w:val="en-US" w:eastAsia="en-US"/>
    </w:rPr>
  </w:style>
  <w:style w:type="table" w:customStyle="1" w:styleId="11">
    <w:name w:val="11"/>
    <w:basedOn w:val="Tablanormal"/>
    <w:rsid w:val="0087332C"/>
    <w:rPr>
      <w:lang w:val="es-ES"/>
    </w:rPr>
    <w:tblPr>
      <w:tblStyleRowBandSize w:val="1"/>
      <w:tblStyleColBandSize w:val="1"/>
      <w:tblInd w:w="0" w:type="nil"/>
      <w:tblCellMar>
        <w:left w:w="115" w:type="dxa"/>
        <w:right w:w="115" w:type="dxa"/>
      </w:tblCellMar>
    </w:tblPr>
  </w:style>
  <w:style w:type="table" w:customStyle="1" w:styleId="10">
    <w:name w:val="10"/>
    <w:basedOn w:val="Tablanormal"/>
    <w:rsid w:val="0087332C"/>
    <w:rPr>
      <w:lang w:val="es-ES"/>
    </w:rPr>
    <w:tblPr>
      <w:tblStyleRowBandSize w:val="1"/>
      <w:tblStyleColBandSize w:val="1"/>
      <w:tblInd w:w="0" w:type="nil"/>
      <w:tblCellMar>
        <w:left w:w="115" w:type="dxa"/>
        <w:right w:w="115"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6">
    <w:basedOn w:val="TableNormal0"/>
    <w:tblPr>
      <w:tblStyleRowBandSize w:val="1"/>
      <w:tblStyleColBandSize w:val="1"/>
      <w:tblCellMar>
        <w:top w:w="15" w:type="dxa"/>
        <w:left w:w="115" w:type="dxa"/>
        <w:bottom w:w="15" w:type="dxa"/>
        <w:right w:w="115" w:type="dxa"/>
      </w:tblCellMar>
    </w:tblPr>
  </w:style>
  <w:style w:type="table" w:customStyle="1" w:styleId="af7">
    <w:basedOn w:val="TableNormal0"/>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99"/>
    <w:unhideWhenUsed/>
    <w:rsid w:val="00FB389B"/>
    <w:pPr>
      <w:spacing w:after="120"/>
    </w:pPr>
    <w:rPr>
      <w:lang w:val="es-ES" w:eastAsia="es-ES"/>
    </w:rPr>
  </w:style>
  <w:style w:type="character" w:customStyle="1" w:styleId="TextoindependienteCar">
    <w:name w:val="Texto independiente Car"/>
    <w:basedOn w:val="Fuentedeprrafopredeter"/>
    <w:link w:val="Textoindependiente"/>
    <w:uiPriority w:val="99"/>
    <w:rsid w:val="00FB389B"/>
    <w:rPr>
      <w:lang w:val="es-ES" w:eastAsia="es-ES"/>
    </w:rPr>
  </w:style>
  <w:style w:type="paragraph" w:customStyle="1" w:styleId="INFOEM">
    <w:name w:val="INFOEM"/>
    <w:basedOn w:val="Normal"/>
    <w:qFormat/>
    <w:rsid w:val="00D5108C"/>
    <w:pPr>
      <w:spacing w:before="240" w:after="160" w:line="360" w:lineRule="auto"/>
      <w:ind w:left="851" w:right="851"/>
      <w:jc w:val="both"/>
    </w:pPr>
    <w:rPr>
      <w:rFonts w:ascii="Palatino Linotype" w:eastAsiaTheme="minorHAnsi" w:hAnsi="Palatino Linotype" w:cstheme="minorBidi"/>
      <w:i/>
      <w:sz w:val="22"/>
      <w:szCs w:val="1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09859">
      <w:bodyDiv w:val="1"/>
      <w:marLeft w:val="0"/>
      <w:marRight w:val="0"/>
      <w:marTop w:val="0"/>
      <w:marBottom w:val="0"/>
      <w:divBdr>
        <w:top w:val="none" w:sz="0" w:space="0" w:color="auto"/>
        <w:left w:val="none" w:sz="0" w:space="0" w:color="auto"/>
        <w:bottom w:val="none" w:sz="0" w:space="0" w:color="auto"/>
        <w:right w:val="none" w:sz="0" w:space="0" w:color="auto"/>
      </w:divBdr>
    </w:div>
    <w:div w:id="65151976">
      <w:bodyDiv w:val="1"/>
      <w:marLeft w:val="0"/>
      <w:marRight w:val="0"/>
      <w:marTop w:val="0"/>
      <w:marBottom w:val="0"/>
      <w:divBdr>
        <w:top w:val="none" w:sz="0" w:space="0" w:color="auto"/>
        <w:left w:val="none" w:sz="0" w:space="0" w:color="auto"/>
        <w:bottom w:val="none" w:sz="0" w:space="0" w:color="auto"/>
        <w:right w:val="none" w:sz="0" w:space="0" w:color="auto"/>
      </w:divBdr>
    </w:div>
    <w:div w:id="177890315">
      <w:bodyDiv w:val="1"/>
      <w:marLeft w:val="0"/>
      <w:marRight w:val="0"/>
      <w:marTop w:val="0"/>
      <w:marBottom w:val="0"/>
      <w:divBdr>
        <w:top w:val="none" w:sz="0" w:space="0" w:color="auto"/>
        <w:left w:val="none" w:sz="0" w:space="0" w:color="auto"/>
        <w:bottom w:val="none" w:sz="0" w:space="0" w:color="auto"/>
        <w:right w:val="none" w:sz="0" w:space="0" w:color="auto"/>
      </w:divBdr>
    </w:div>
    <w:div w:id="325672825">
      <w:bodyDiv w:val="1"/>
      <w:marLeft w:val="0"/>
      <w:marRight w:val="0"/>
      <w:marTop w:val="0"/>
      <w:marBottom w:val="0"/>
      <w:divBdr>
        <w:top w:val="none" w:sz="0" w:space="0" w:color="auto"/>
        <w:left w:val="none" w:sz="0" w:space="0" w:color="auto"/>
        <w:bottom w:val="none" w:sz="0" w:space="0" w:color="auto"/>
        <w:right w:val="none" w:sz="0" w:space="0" w:color="auto"/>
      </w:divBdr>
    </w:div>
    <w:div w:id="387192999">
      <w:bodyDiv w:val="1"/>
      <w:marLeft w:val="0"/>
      <w:marRight w:val="0"/>
      <w:marTop w:val="0"/>
      <w:marBottom w:val="0"/>
      <w:divBdr>
        <w:top w:val="none" w:sz="0" w:space="0" w:color="auto"/>
        <w:left w:val="none" w:sz="0" w:space="0" w:color="auto"/>
        <w:bottom w:val="none" w:sz="0" w:space="0" w:color="auto"/>
        <w:right w:val="none" w:sz="0" w:space="0" w:color="auto"/>
      </w:divBdr>
    </w:div>
    <w:div w:id="423452016">
      <w:bodyDiv w:val="1"/>
      <w:marLeft w:val="0"/>
      <w:marRight w:val="0"/>
      <w:marTop w:val="0"/>
      <w:marBottom w:val="0"/>
      <w:divBdr>
        <w:top w:val="none" w:sz="0" w:space="0" w:color="auto"/>
        <w:left w:val="none" w:sz="0" w:space="0" w:color="auto"/>
        <w:bottom w:val="none" w:sz="0" w:space="0" w:color="auto"/>
        <w:right w:val="none" w:sz="0" w:space="0" w:color="auto"/>
      </w:divBdr>
    </w:div>
    <w:div w:id="424571006">
      <w:bodyDiv w:val="1"/>
      <w:marLeft w:val="0"/>
      <w:marRight w:val="0"/>
      <w:marTop w:val="0"/>
      <w:marBottom w:val="0"/>
      <w:divBdr>
        <w:top w:val="none" w:sz="0" w:space="0" w:color="auto"/>
        <w:left w:val="none" w:sz="0" w:space="0" w:color="auto"/>
        <w:bottom w:val="none" w:sz="0" w:space="0" w:color="auto"/>
        <w:right w:val="none" w:sz="0" w:space="0" w:color="auto"/>
      </w:divBdr>
    </w:div>
    <w:div w:id="435564847">
      <w:bodyDiv w:val="1"/>
      <w:marLeft w:val="0"/>
      <w:marRight w:val="0"/>
      <w:marTop w:val="0"/>
      <w:marBottom w:val="0"/>
      <w:divBdr>
        <w:top w:val="none" w:sz="0" w:space="0" w:color="auto"/>
        <w:left w:val="none" w:sz="0" w:space="0" w:color="auto"/>
        <w:bottom w:val="none" w:sz="0" w:space="0" w:color="auto"/>
        <w:right w:val="none" w:sz="0" w:space="0" w:color="auto"/>
      </w:divBdr>
    </w:div>
    <w:div w:id="475949336">
      <w:bodyDiv w:val="1"/>
      <w:marLeft w:val="0"/>
      <w:marRight w:val="0"/>
      <w:marTop w:val="0"/>
      <w:marBottom w:val="0"/>
      <w:divBdr>
        <w:top w:val="none" w:sz="0" w:space="0" w:color="auto"/>
        <w:left w:val="none" w:sz="0" w:space="0" w:color="auto"/>
        <w:bottom w:val="none" w:sz="0" w:space="0" w:color="auto"/>
        <w:right w:val="none" w:sz="0" w:space="0" w:color="auto"/>
      </w:divBdr>
    </w:div>
    <w:div w:id="493766585">
      <w:bodyDiv w:val="1"/>
      <w:marLeft w:val="0"/>
      <w:marRight w:val="0"/>
      <w:marTop w:val="0"/>
      <w:marBottom w:val="0"/>
      <w:divBdr>
        <w:top w:val="none" w:sz="0" w:space="0" w:color="auto"/>
        <w:left w:val="none" w:sz="0" w:space="0" w:color="auto"/>
        <w:bottom w:val="none" w:sz="0" w:space="0" w:color="auto"/>
        <w:right w:val="none" w:sz="0" w:space="0" w:color="auto"/>
      </w:divBdr>
    </w:div>
    <w:div w:id="505479442">
      <w:bodyDiv w:val="1"/>
      <w:marLeft w:val="0"/>
      <w:marRight w:val="0"/>
      <w:marTop w:val="0"/>
      <w:marBottom w:val="0"/>
      <w:divBdr>
        <w:top w:val="none" w:sz="0" w:space="0" w:color="auto"/>
        <w:left w:val="none" w:sz="0" w:space="0" w:color="auto"/>
        <w:bottom w:val="none" w:sz="0" w:space="0" w:color="auto"/>
        <w:right w:val="none" w:sz="0" w:space="0" w:color="auto"/>
      </w:divBdr>
    </w:div>
    <w:div w:id="544413487">
      <w:bodyDiv w:val="1"/>
      <w:marLeft w:val="0"/>
      <w:marRight w:val="0"/>
      <w:marTop w:val="0"/>
      <w:marBottom w:val="0"/>
      <w:divBdr>
        <w:top w:val="none" w:sz="0" w:space="0" w:color="auto"/>
        <w:left w:val="none" w:sz="0" w:space="0" w:color="auto"/>
        <w:bottom w:val="none" w:sz="0" w:space="0" w:color="auto"/>
        <w:right w:val="none" w:sz="0" w:space="0" w:color="auto"/>
      </w:divBdr>
    </w:div>
    <w:div w:id="652173721">
      <w:bodyDiv w:val="1"/>
      <w:marLeft w:val="0"/>
      <w:marRight w:val="0"/>
      <w:marTop w:val="0"/>
      <w:marBottom w:val="0"/>
      <w:divBdr>
        <w:top w:val="none" w:sz="0" w:space="0" w:color="auto"/>
        <w:left w:val="none" w:sz="0" w:space="0" w:color="auto"/>
        <w:bottom w:val="none" w:sz="0" w:space="0" w:color="auto"/>
        <w:right w:val="none" w:sz="0" w:space="0" w:color="auto"/>
      </w:divBdr>
    </w:div>
    <w:div w:id="718289741">
      <w:bodyDiv w:val="1"/>
      <w:marLeft w:val="0"/>
      <w:marRight w:val="0"/>
      <w:marTop w:val="0"/>
      <w:marBottom w:val="0"/>
      <w:divBdr>
        <w:top w:val="none" w:sz="0" w:space="0" w:color="auto"/>
        <w:left w:val="none" w:sz="0" w:space="0" w:color="auto"/>
        <w:bottom w:val="none" w:sz="0" w:space="0" w:color="auto"/>
        <w:right w:val="none" w:sz="0" w:space="0" w:color="auto"/>
      </w:divBdr>
    </w:div>
    <w:div w:id="787360933">
      <w:bodyDiv w:val="1"/>
      <w:marLeft w:val="0"/>
      <w:marRight w:val="0"/>
      <w:marTop w:val="0"/>
      <w:marBottom w:val="0"/>
      <w:divBdr>
        <w:top w:val="none" w:sz="0" w:space="0" w:color="auto"/>
        <w:left w:val="none" w:sz="0" w:space="0" w:color="auto"/>
        <w:bottom w:val="none" w:sz="0" w:space="0" w:color="auto"/>
        <w:right w:val="none" w:sz="0" w:space="0" w:color="auto"/>
      </w:divBdr>
    </w:div>
    <w:div w:id="862203982">
      <w:bodyDiv w:val="1"/>
      <w:marLeft w:val="0"/>
      <w:marRight w:val="0"/>
      <w:marTop w:val="0"/>
      <w:marBottom w:val="0"/>
      <w:divBdr>
        <w:top w:val="none" w:sz="0" w:space="0" w:color="auto"/>
        <w:left w:val="none" w:sz="0" w:space="0" w:color="auto"/>
        <w:bottom w:val="none" w:sz="0" w:space="0" w:color="auto"/>
        <w:right w:val="none" w:sz="0" w:space="0" w:color="auto"/>
      </w:divBdr>
    </w:div>
    <w:div w:id="871069611">
      <w:bodyDiv w:val="1"/>
      <w:marLeft w:val="0"/>
      <w:marRight w:val="0"/>
      <w:marTop w:val="0"/>
      <w:marBottom w:val="0"/>
      <w:divBdr>
        <w:top w:val="none" w:sz="0" w:space="0" w:color="auto"/>
        <w:left w:val="none" w:sz="0" w:space="0" w:color="auto"/>
        <w:bottom w:val="none" w:sz="0" w:space="0" w:color="auto"/>
        <w:right w:val="none" w:sz="0" w:space="0" w:color="auto"/>
      </w:divBdr>
    </w:div>
    <w:div w:id="873923322">
      <w:bodyDiv w:val="1"/>
      <w:marLeft w:val="0"/>
      <w:marRight w:val="0"/>
      <w:marTop w:val="0"/>
      <w:marBottom w:val="0"/>
      <w:divBdr>
        <w:top w:val="none" w:sz="0" w:space="0" w:color="auto"/>
        <w:left w:val="none" w:sz="0" w:space="0" w:color="auto"/>
        <w:bottom w:val="none" w:sz="0" w:space="0" w:color="auto"/>
        <w:right w:val="none" w:sz="0" w:space="0" w:color="auto"/>
      </w:divBdr>
    </w:div>
    <w:div w:id="942223247">
      <w:bodyDiv w:val="1"/>
      <w:marLeft w:val="0"/>
      <w:marRight w:val="0"/>
      <w:marTop w:val="0"/>
      <w:marBottom w:val="0"/>
      <w:divBdr>
        <w:top w:val="none" w:sz="0" w:space="0" w:color="auto"/>
        <w:left w:val="none" w:sz="0" w:space="0" w:color="auto"/>
        <w:bottom w:val="none" w:sz="0" w:space="0" w:color="auto"/>
        <w:right w:val="none" w:sz="0" w:space="0" w:color="auto"/>
      </w:divBdr>
    </w:div>
    <w:div w:id="1051925407">
      <w:bodyDiv w:val="1"/>
      <w:marLeft w:val="0"/>
      <w:marRight w:val="0"/>
      <w:marTop w:val="0"/>
      <w:marBottom w:val="0"/>
      <w:divBdr>
        <w:top w:val="none" w:sz="0" w:space="0" w:color="auto"/>
        <w:left w:val="none" w:sz="0" w:space="0" w:color="auto"/>
        <w:bottom w:val="none" w:sz="0" w:space="0" w:color="auto"/>
        <w:right w:val="none" w:sz="0" w:space="0" w:color="auto"/>
      </w:divBdr>
    </w:div>
    <w:div w:id="1055548714">
      <w:bodyDiv w:val="1"/>
      <w:marLeft w:val="0"/>
      <w:marRight w:val="0"/>
      <w:marTop w:val="0"/>
      <w:marBottom w:val="0"/>
      <w:divBdr>
        <w:top w:val="none" w:sz="0" w:space="0" w:color="auto"/>
        <w:left w:val="none" w:sz="0" w:space="0" w:color="auto"/>
        <w:bottom w:val="none" w:sz="0" w:space="0" w:color="auto"/>
        <w:right w:val="none" w:sz="0" w:space="0" w:color="auto"/>
      </w:divBdr>
    </w:div>
    <w:div w:id="1073239938">
      <w:bodyDiv w:val="1"/>
      <w:marLeft w:val="0"/>
      <w:marRight w:val="0"/>
      <w:marTop w:val="0"/>
      <w:marBottom w:val="0"/>
      <w:divBdr>
        <w:top w:val="none" w:sz="0" w:space="0" w:color="auto"/>
        <w:left w:val="none" w:sz="0" w:space="0" w:color="auto"/>
        <w:bottom w:val="none" w:sz="0" w:space="0" w:color="auto"/>
        <w:right w:val="none" w:sz="0" w:space="0" w:color="auto"/>
      </w:divBdr>
    </w:div>
    <w:div w:id="1119957017">
      <w:bodyDiv w:val="1"/>
      <w:marLeft w:val="0"/>
      <w:marRight w:val="0"/>
      <w:marTop w:val="0"/>
      <w:marBottom w:val="0"/>
      <w:divBdr>
        <w:top w:val="none" w:sz="0" w:space="0" w:color="auto"/>
        <w:left w:val="none" w:sz="0" w:space="0" w:color="auto"/>
        <w:bottom w:val="none" w:sz="0" w:space="0" w:color="auto"/>
        <w:right w:val="none" w:sz="0" w:space="0" w:color="auto"/>
      </w:divBdr>
    </w:div>
    <w:div w:id="1159809554">
      <w:bodyDiv w:val="1"/>
      <w:marLeft w:val="0"/>
      <w:marRight w:val="0"/>
      <w:marTop w:val="0"/>
      <w:marBottom w:val="0"/>
      <w:divBdr>
        <w:top w:val="none" w:sz="0" w:space="0" w:color="auto"/>
        <w:left w:val="none" w:sz="0" w:space="0" w:color="auto"/>
        <w:bottom w:val="none" w:sz="0" w:space="0" w:color="auto"/>
        <w:right w:val="none" w:sz="0" w:space="0" w:color="auto"/>
      </w:divBdr>
    </w:div>
    <w:div w:id="1171140936">
      <w:bodyDiv w:val="1"/>
      <w:marLeft w:val="0"/>
      <w:marRight w:val="0"/>
      <w:marTop w:val="0"/>
      <w:marBottom w:val="0"/>
      <w:divBdr>
        <w:top w:val="none" w:sz="0" w:space="0" w:color="auto"/>
        <w:left w:val="none" w:sz="0" w:space="0" w:color="auto"/>
        <w:bottom w:val="none" w:sz="0" w:space="0" w:color="auto"/>
        <w:right w:val="none" w:sz="0" w:space="0" w:color="auto"/>
      </w:divBdr>
    </w:div>
    <w:div w:id="1268462703">
      <w:bodyDiv w:val="1"/>
      <w:marLeft w:val="0"/>
      <w:marRight w:val="0"/>
      <w:marTop w:val="0"/>
      <w:marBottom w:val="0"/>
      <w:divBdr>
        <w:top w:val="none" w:sz="0" w:space="0" w:color="auto"/>
        <w:left w:val="none" w:sz="0" w:space="0" w:color="auto"/>
        <w:bottom w:val="none" w:sz="0" w:space="0" w:color="auto"/>
        <w:right w:val="none" w:sz="0" w:space="0" w:color="auto"/>
      </w:divBdr>
    </w:div>
    <w:div w:id="1280915541">
      <w:bodyDiv w:val="1"/>
      <w:marLeft w:val="0"/>
      <w:marRight w:val="0"/>
      <w:marTop w:val="0"/>
      <w:marBottom w:val="0"/>
      <w:divBdr>
        <w:top w:val="none" w:sz="0" w:space="0" w:color="auto"/>
        <w:left w:val="none" w:sz="0" w:space="0" w:color="auto"/>
        <w:bottom w:val="none" w:sz="0" w:space="0" w:color="auto"/>
        <w:right w:val="none" w:sz="0" w:space="0" w:color="auto"/>
      </w:divBdr>
    </w:div>
    <w:div w:id="1416324621">
      <w:bodyDiv w:val="1"/>
      <w:marLeft w:val="0"/>
      <w:marRight w:val="0"/>
      <w:marTop w:val="0"/>
      <w:marBottom w:val="0"/>
      <w:divBdr>
        <w:top w:val="none" w:sz="0" w:space="0" w:color="auto"/>
        <w:left w:val="none" w:sz="0" w:space="0" w:color="auto"/>
        <w:bottom w:val="none" w:sz="0" w:space="0" w:color="auto"/>
        <w:right w:val="none" w:sz="0" w:space="0" w:color="auto"/>
      </w:divBdr>
    </w:div>
    <w:div w:id="1461847975">
      <w:bodyDiv w:val="1"/>
      <w:marLeft w:val="0"/>
      <w:marRight w:val="0"/>
      <w:marTop w:val="0"/>
      <w:marBottom w:val="0"/>
      <w:divBdr>
        <w:top w:val="none" w:sz="0" w:space="0" w:color="auto"/>
        <w:left w:val="none" w:sz="0" w:space="0" w:color="auto"/>
        <w:bottom w:val="none" w:sz="0" w:space="0" w:color="auto"/>
        <w:right w:val="none" w:sz="0" w:space="0" w:color="auto"/>
      </w:divBdr>
    </w:div>
    <w:div w:id="1473593885">
      <w:bodyDiv w:val="1"/>
      <w:marLeft w:val="0"/>
      <w:marRight w:val="0"/>
      <w:marTop w:val="0"/>
      <w:marBottom w:val="0"/>
      <w:divBdr>
        <w:top w:val="none" w:sz="0" w:space="0" w:color="auto"/>
        <w:left w:val="none" w:sz="0" w:space="0" w:color="auto"/>
        <w:bottom w:val="none" w:sz="0" w:space="0" w:color="auto"/>
        <w:right w:val="none" w:sz="0" w:space="0" w:color="auto"/>
      </w:divBdr>
    </w:div>
    <w:div w:id="1597059607">
      <w:bodyDiv w:val="1"/>
      <w:marLeft w:val="0"/>
      <w:marRight w:val="0"/>
      <w:marTop w:val="0"/>
      <w:marBottom w:val="0"/>
      <w:divBdr>
        <w:top w:val="none" w:sz="0" w:space="0" w:color="auto"/>
        <w:left w:val="none" w:sz="0" w:space="0" w:color="auto"/>
        <w:bottom w:val="none" w:sz="0" w:space="0" w:color="auto"/>
        <w:right w:val="none" w:sz="0" w:space="0" w:color="auto"/>
      </w:divBdr>
    </w:div>
    <w:div w:id="1600870388">
      <w:bodyDiv w:val="1"/>
      <w:marLeft w:val="0"/>
      <w:marRight w:val="0"/>
      <w:marTop w:val="0"/>
      <w:marBottom w:val="0"/>
      <w:divBdr>
        <w:top w:val="none" w:sz="0" w:space="0" w:color="auto"/>
        <w:left w:val="none" w:sz="0" w:space="0" w:color="auto"/>
        <w:bottom w:val="none" w:sz="0" w:space="0" w:color="auto"/>
        <w:right w:val="none" w:sz="0" w:space="0" w:color="auto"/>
      </w:divBdr>
    </w:div>
    <w:div w:id="1615021105">
      <w:bodyDiv w:val="1"/>
      <w:marLeft w:val="0"/>
      <w:marRight w:val="0"/>
      <w:marTop w:val="0"/>
      <w:marBottom w:val="0"/>
      <w:divBdr>
        <w:top w:val="none" w:sz="0" w:space="0" w:color="auto"/>
        <w:left w:val="none" w:sz="0" w:space="0" w:color="auto"/>
        <w:bottom w:val="none" w:sz="0" w:space="0" w:color="auto"/>
        <w:right w:val="none" w:sz="0" w:space="0" w:color="auto"/>
      </w:divBdr>
    </w:div>
    <w:div w:id="1892884422">
      <w:bodyDiv w:val="1"/>
      <w:marLeft w:val="0"/>
      <w:marRight w:val="0"/>
      <w:marTop w:val="0"/>
      <w:marBottom w:val="0"/>
      <w:divBdr>
        <w:top w:val="none" w:sz="0" w:space="0" w:color="auto"/>
        <w:left w:val="none" w:sz="0" w:space="0" w:color="auto"/>
        <w:bottom w:val="none" w:sz="0" w:space="0" w:color="auto"/>
        <w:right w:val="none" w:sz="0" w:space="0" w:color="auto"/>
      </w:divBdr>
    </w:div>
    <w:div w:id="1943561868">
      <w:bodyDiv w:val="1"/>
      <w:marLeft w:val="0"/>
      <w:marRight w:val="0"/>
      <w:marTop w:val="0"/>
      <w:marBottom w:val="0"/>
      <w:divBdr>
        <w:top w:val="none" w:sz="0" w:space="0" w:color="auto"/>
        <w:left w:val="none" w:sz="0" w:space="0" w:color="auto"/>
        <w:bottom w:val="none" w:sz="0" w:space="0" w:color="auto"/>
        <w:right w:val="none" w:sz="0" w:space="0" w:color="auto"/>
      </w:divBdr>
    </w:div>
    <w:div w:id="20292841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HBLDjWTp6p2cViPwAICSzCfqg==">CgMxLjAyCWguM3pueXNoNzIOaC55aGJmdjc1Njc2bXQyDmguajNwcHl4d2xiMXMyMghoLnR5amN3dDINaC5qbDBkbGFzb3Q0ZjgAciExT2VTcXNycWJ5dV9lUFpCNllQZmpuS1pnTFpXX0ZnbnM=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6591</Words>
  <Characters>36253</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Maricela Villagómez Martínez</cp:lastModifiedBy>
  <cp:revision>2</cp:revision>
  <cp:lastPrinted>2026-02-09T16:40:00Z</cp:lastPrinted>
  <dcterms:created xsi:type="dcterms:W3CDTF">2026-03-24T17:53:00Z</dcterms:created>
  <dcterms:modified xsi:type="dcterms:W3CDTF">2026-03-24T17:53:00Z</dcterms:modified>
</cp:coreProperties>
</file>