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474" w:rsidRDefault="00342EB7">
      <w:pPr>
        <w:tabs>
          <w:tab w:val="left" w:pos="3465"/>
        </w:tabs>
        <w:spacing w:line="360" w:lineRule="auto"/>
        <w:ind w:right="-787"/>
        <w:jc w:val="both"/>
        <w:rPr>
          <w:rFonts w:ascii="Palatino Linotype" w:eastAsia="Palatino Linotype" w:hAnsi="Palatino Linotype" w:cs="Palatino Linotype"/>
          <w:b/>
          <w:bCs/>
        </w:rPr>
      </w:pPr>
      <w:bookmarkStart w:id="0" w:name="_GoBack"/>
      <w:bookmarkEnd w:id="0"/>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Pr>
          <w:rFonts w:ascii="Palatino Linotype" w:eastAsia="Palatino Linotype" w:hAnsi="Palatino Linotype" w:cs="Palatino Linotype"/>
          <w:b/>
          <w:bCs/>
        </w:rPr>
        <w:t>de fecha veinte (20) de mayo de dos mil veintiséis.</w:t>
      </w:r>
    </w:p>
    <w:p w:rsidR="00D50474" w:rsidRDefault="00D50474">
      <w:pPr>
        <w:tabs>
          <w:tab w:val="left" w:pos="3465"/>
        </w:tabs>
        <w:spacing w:line="360" w:lineRule="auto"/>
        <w:ind w:right="-787"/>
        <w:jc w:val="both"/>
        <w:rPr>
          <w:rFonts w:ascii="Palatino Linotype" w:eastAsia="Palatino Linotype" w:hAnsi="Palatino Linotype" w:cs="Palatino Linotype"/>
        </w:rPr>
      </w:pPr>
    </w:p>
    <w:p w:rsidR="00D50474" w:rsidRDefault="00342EB7">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VISTAS </w:t>
      </w:r>
      <w:r>
        <w:rPr>
          <w:rFonts w:ascii="Palatino Linotype" w:eastAsia="Palatino Linotype" w:hAnsi="Palatino Linotype" w:cs="Palatino Linotype"/>
        </w:rPr>
        <w:t xml:space="preserve">las constancias para resolver </w:t>
      </w:r>
      <w:r>
        <w:rPr>
          <w:rFonts w:ascii="Palatino Linotype" w:eastAsia="Palatino Linotype" w:hAnsi="Palatino Linotype" w:cs="Palatino Linotype"/>
          <w:color w:val="000000"/>
        </w:rPr>
        <w:t xml:space="preserve">el Recurso de Revisión </w:t>
      </w:r>
      <w:r>
        <w:rPr>
          <w:rFonts w:ascii="Palatino Linotype" w:eastAsia="Palatino Linotype" w:hAnsi="Palatino Linotype" w:cs="Palatino Linotype"/>
          <w:b/>
          <w:bCs/>
          <w:color w:val="000000"/>
        </w:rPr>
        <w:t>13288/INFOEM/IP/RR/2025</w:t>
      </w:r>
      <w:r>
        <w:rPr>
          <w:rFonts w:ascii="Palatino Linotype" w:eastAsia="Palatino Linotype" w:hAnsi="Palatino Linotype" w:cs="Palatino Linotype"/>
          <w:color w:val="000000"/>
        </w:rPr>
        <w:t xml:space="preserve">, promovido por </w:t>
      </w:r>
      <w:r w:rsidR="00D07C4A">
        <w:rPr>
          <w:rFonts w:ascii="Palatino Linotype" w:eastAsia="Palatino Linotype" w:hAnsi="Palatino Linotype" w:cs="Palatino Linotype"/>
          <w:b/>
          <w:bCs/>
          <w:color w:val="000000"/>
        </w:rPr>
        <w:t>XXXX</w:t>
      </w:r>
      <w:r>
        <w:rPr>
          <w:rFonts w:ascii="Palatino Linotype" w:eastAsia="Palatino Linotype" w:hAnsi="Palatino Linotype" w:cs="Palatino Linotype"/>
          <w:color w:val="000000"/>
        </w:rPr>
        <w:t>,</w:t>
      </w:r>
      <w:r>
        <w:rPr>
          <w:rFonts w:ascii="Palatino Linotype" w:eastAsia="Palatino Linotype" w:hAnsi="Palatino Linotype" w:cs="Palatino Linotype"/>
        </w:rPr>
        <w:t xml:space="preserve"> en lo sucesivo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otorgada a la solicitud de información </w:t>
      </w:r>
      <w:r>
        <w:rPr>
          <w:rFonts w:ascii="Palatino Linotype" w:eastAsia="Palatino Linotype" w:hAnsi="Palatino Linotype" w:cs="Palatino Linotype"/>
          <w:b/>
          <w:bCs/>
        </w:rPr>
        <w:t>00100/ANTOISLA/IP/2025</w:t>
      </w:r>
      <w:r>
        <w:rPr>
          <w:rFonts w:ascii="Palatino Linotype" w:eastAsia="Palatino Linotype" w:hAnsi="Palatino Linotype" w:cs="Palatino Linotype"/>
        </w:rPr>
        <w:t xml:space="preserve">, por parte del </w:t>
      </w:r>
      <w:r>
        <w:rPr>
          <w:rFonts w:ascii="Palatino Linotype" w:eastAsia="Palatino Linotype" w:hAnsi="Palatino Linotype" w:cs="Palatino Linotype"/>
          <w:b/>
          <w:bCs/>
        </w:rPr>
        <w:t xml:space="preserve">Ayuntamiento de San Antonio la Isla, </w:t>
      </w:r>
      <w:r>
        <w:rPr>
          <w:rFonts w:ascii="Palatino Linotype" w:eastAsia="Palatino Linotype" w:hAnsi="Palatino Linotype" w:cs="Palatino Linotype"/>
        </w:rPr>
        <w:t xml:space="preserve">en adelante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se emite la presente resolución con base en los siguientes:</w:t>
      </w:r>
    </w:p>
    <w:p w:rsidR="00D50474" w:rsidRDefault="00D50474">
      <w:pPr>
        <w:spacing w:line="360" w:lineRule="auto"/>
        <w:ind w:right="-787"/>
        <w:jc w:val="both"/>
        <w:rPr>
          <w:rFonts w:ascii="Palatino Linotype" w:eastAsia="Palatino Linotype" w:hAnsi="Palatino Linotype" w:cs="Palatino Linotype"/>
        </w:rPr>
      </w:pPr>
    </w:p>
    <w:p w:rsidR="00D50474" w:rsidRDefault="00342EB7">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1" w:name="_heading=h.gjdgxs" w:colFirst="0" w:colLast="0"/>
      <w:bookmarkEnd w:id="1"/>
      <w:r>
        <w:rPr>
          <w:rFonts w:ascii="Palatino Linotype" w:eastAsia="Palatino Linotype" w:hAnsi="Palatino Linotype" w:cs="Palatino Linotype"/>
          <w:b/>
          <w:bCs/>
          <w:color w:val="000000"/>
          <w:sz w:val="24"/>
          <w:szCs w:val="24"/>
        </w:rPr>
        <w:t>A N T E C E D E N T E S</w:t>
      </w:r>
    </w:p>
    <w:p w:rsidR="00D50474" w:rsidRDefault="00D50474">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color w:val="000000"/>
          <w:u w:val="single"/>
        </w:rPr>
      </w:pPr>
    </w:p>
    <w:p w:rsidR="00D50474" w:rsidRDefault="00342EB7">
      <w:pPr>
        <w:numPr>
          <w:ilvl w:val="0"/>
          <w:numId w:val="4"/>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treinta de octubre de dos mil veinticinco</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Pr>
          <w:rFonts w:ascii="Palatino Linotype" w:eastAsia="Palatino Linotype" w:hAnsi="Palatino Linotype" w:cs="Palatino Linotype"/>
          <w:b/>
          <w:bCs/>
          <w:color w:val="000000"/>
        </w:rPr>
        <w:t>solicitud de información pública</w:t>
      </w:r>
      <w:r>
        <w:rPr>
          <w:rFonts w:ascii="Palatino Linotype" w:eastAsia="Palatino Linotype" w:hAnsi="Palatino Linotype" w:cs="Palatino Linotype"/>
          <w:color w:val="000000"/>
        </w:rPr>
        <w:t>:</w:t>
      </w:r>
    </w:p>
    <w:p w:rsidR="00D50474" w:rsidRDefault="00D50474">
      <w:pPr>
        <w:pBdr>
          <w:top w:val="nil"/>
          <w:left w:val="nil"/>
          <w:bottom w:val="nil"/>
          <w:right w:val="nil"/>
          <w:between w:val="nil"/>
        </w:pBdr>
        <w:ind w:right="-788"/>
        <w:jc w:val="both"/>
        <w:rPr>
          <w:rFonts w:ascii="Palatino Linotype" w:eastAsia="Palatino Linotype" w:hAnsi="Palatino Linotype" w:cs="Palatino Linotype"/>
          <w:color w:val="000000"/>
        </w:rPr>
      </w:pPr>
    </w:p>
    <w:p w:rsidR="00D50474" w:rsidRDefault="00342EB7">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“acta de instalación del comie de tranasparencia de la adminisnitracion 2025-2027.” (Sic)</w:t>
      </w:r>
    </w:p>
    <w:p w:rsidR="00D50474" w:rsidRDefault="00D50474">
      <w:pPr>
        <w:pBdr>
          <w:top w:val="nil"/>
          <w:left w:val="nil"/>
          <w:bottom w:val="nil"/>
          <w:right w:val="nil"/>
          <w:between w:val="nil"/>
        </w:pBdr>
        <w:ind w:right="-787"/>
        <w:jc w:val="both"/>
        <w:rPr>
          <w:rFonts w:ascii="Palatino Linotype" w:eastAsia="Palatino Linotype" w:hAnsi="Palatino Linotype" w:cs="Palatino Linotype"/>
          <w:i/>
          <w:iCs/>
        </w:rPr>
      </w:pPr>
    </w:p>
    <w:p w:rsidR="00D50474" w:rsidRDefault="00D50474">
      <w:pPr>
        <w:pBdr>
          <w:top w:val="nil"/>
          <w:left w:val="nil"/>
          <w:bottom w:val="nil"/>
          <w:right w:val="nil"/>
          <w:between w:val="nil"/>
        </w:pBdr>
        <w:ind w:right="-787"/>
        <w:jc w:val="both"/>
        <w:rPr>
          <w:rFonts w:ascii="Palatino Linotype" w:eastAsia="Palatino Linotype" w:hAnsi="Palatino Linotype" w:cs="Palatino Linotype"/>
          <w:i/>
          <w:iCs/>
        </w:rPr>
      </w:pPr>
    </w:p>
    <w:p w:rsidR="00D50474" w:rsidRDefault="00342EB7">
      <w:pPr>
        <w:numPr>
          <w:ilvl w:val="0"/>
          <w:numId w:val="2"/>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A través del </w:t>
      </w:r>
      <w:r>
        <w:rPr>
          <w:rFonts w:ascii="Palatino Linotype" w:eastAsia="Palatino Linotype" w:hAnsi="Palatino Linotype" w:cs="Palatino Linotype"/>
          <w:b/>
          <w:bCs/>
          <w:color w:val="000000"/>
        </w:rPr>
        <w:t>SAIMEX.</w:t>
      </w:r>
    </w:p>
    <w:p w:rsidR="00D50474" w:rsidRDefault="00D5047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rPr>
      </w:pPr>
    </w:p>
    <w:p w:rsidR="00D50474" w:rsidRDefault="00D5047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rPr>
      </w:pPr>
    </w:p>
    <w:p w:rsidR="00D50474" w:rsidRDefault="00342EB7">
      <w:pPr>
        <w:numPr>
          <w:ilvl w:val="0"/>
          <w:numId w:val="4"/>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diez de noviembre de dos mil veinticinco</w:t>
      </w:r>
      <w:r>
        <w:rPr>
          <w:rFonts w:ascii="Palatino Linotype" w:eastAsia="Palatino Linotype" w:hAnsi="Palatino Linotype" w:cs="Palatino Linotype"/>
          <w:color w:val="000000"/>
        </w:rPr>
        <w:t>, el Sujeto Obligado</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dio </w:t>
      </w:r>
      <w:r>
        <w:rPr>
          <w:rFonts w:ascii="Palatino Linotype" w:eastAsia="Palatino Linotype" w:hAnsi="Palatino Linotype" w:cs="Palatino Linotype"/>
          <w:b/>
          <w:bCs/>
          <w:color w:val="000000"/>
        </w:rPr>
        <w:t>respuesta</w:t>
      </w:r>
      <w:r>
        <w:rPr>
          <w:rFonts w:ascii="Palatino Linotype" w:eastAsia="Palatino Linotype" w:hAnsi="Palatino Linotype" w:cs="Palatino Linotype"/>
          <w:color w:val="000000"/>
        </w:rPr>
        <w:t xml:space="preserve"> a través de los siguientes archivos electrónicos</w:t>
      </w:r>
      <w:r>
        <w:rPr>
          <w:rFonts w:ascii="Palatino Linotype" w:eastAsia="Palatino Linotype" w:hAnsi="Palatino Linotype" w:cs="Palatino Linotype"/>
          <w:b/>
          <w:bCs/>
          <w:i/>
          <w:iCs/>
          <w:color w:val="000000"/>
        </w:rPr>
        <w:t>:</w:t>
      </w:r>
    </w:p>
    <w:p w:rsidR="00D50474" w:rsidRDefault="00D5047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D50474" w:rsidRDefault="00342EB7">
      <w:pPr>
        <w:pBdr>
          <w:top w:val="nil"/>
          <w:left w:val="nil"/>
          <w:bottom w:val="nil"/>
          <w:right w:val="nil"/>
          <w:between w:val="nil"/>
        </w:pBdr>
        <w:tabs>
          <w:tab w:val="left" w:pos="567"/>
        </w:tabs>
        <w:ind w:left="567" w:right="62"/>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RESPUESTA SOLICITUD 100 UT.pdf</w:t>
      </w:r>
    </w:p>
    <w:p w:rsidR="00D50474" w:rsidRDefault="00342EB7">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Oficio PM/ST/UT/0233/2025 de fecha 10 de noviembre de 2025, firmado por el Titular de la </w:t>
      </w:r>
      <w:r>
        <w:rPr>
          <w:rFonts w:ascii="Palatino Linotype" w:eastAsia="Palatino Linotype" w:hAnsi="Palatino Linotype" w:cs="Palatino Linotype"/>
          <w:b/>
          <w:bCs/>
          <w:color w:val="000000"/>
        </w:rPr>
        <w:t>Unidad de Transparencia</w:t>
      </w:r>
      <w:r>
        <w:rPr>
          <w:rFonts w:ascii="Palatino Linotype" w:eastAsia="Palatino Linotype" w:hAnsi="Palatino Linotype" w:cs="Palatino Linotype"/>
          <w:color w:val="000000"/>
        </w:rPr>
        <w:t xml:space="preserve"> a través del cual refiere que, después de realizar una búsqueda exhaustiva y minuciosa en los archivos físicos y registros electrónicos con los que cuenta la Unidad de Transparencia del Ayuntamiento de San Antonio la Isla; </w:t>
      </w:r>
      <w:r>
        <w:rPr>
          <w:rFonts w:ascii="Palatino Linotype" w:eastAsia="Palatino Linotype" w:hAnsi="Palatino Linotype" w:cs="Palatino Linotype"/>
          <w:b/>
          <w:bCs/>
          <w:color w:val="000000"/>
        </w:rPr>
        <w:t>se encontró el acta de instalación de dicho Comité de Transparencia, la cual se anexa al presente para su debida consulta.</w:t>
      </w:r>
    </w:p>
    <w:p w:rsidR="00D50474" w:rsidRDefault="00D50474">
      <w:pPr>
        <w:pBdr>
          <w:top w:val="nil"/>
          <w:left w:val="nil"/>
          <w:bottom w:val="nil"/>
          <w:right w:val="nil"/>
          <w:between w:val="nil"/>
        </w:pBdr>
        <w:tabs>
          <w:tab w:val="left" w:pos="567"/>
        </w:tabs>
        <w:ind w:left="567" w:right="62"/>
        <w:jc w:val="both"/>
        <w:rPr>
          <w:rFonts w:ascii="Palatino Linotype" w:eastAsia="Palatino Linotype" w:hAnsi="Palatino Linotype" w:cs="Palatino Linotype"/>
          <w:b/>
          <w:bCs/>
          <w:i/>
          <w:iCs/>
          <w:color w:val="000000"/>
        </w:rPr>
      </w:pPr>
    </w:p>
    <w:p w:rsidR="00D50474" w:rsidRDefault="00342EB7">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Pr>
          <w:rFonts w:ascii="Palatino Linotype" w:eastAsia="Palatino Linotype" w:hAnsi="Palatino Linotype" w:cs="Palatino Linotype"/>
          <w:b/>
          <w:bCs/>
          <w:i/>
          <w:iCs/>
          <w:color w:val="000000"/>
        </w:rPr>
        <w:t>SESIÓN DE INSTALACIÓN COMITÉ DE TRANSPARENCIA 2025.pdf</w:t>
      </w:r>
      <w:r>
        <w:rPr>
          <w:rFonts w:ascii="Palatino Linotype" w:eastAsia="Palatino Linotype" w:hAnsi="Palatino Linotype" w:cs="Palatino Linotype"/>
          <w:color w:val="000000"/>
        </w:rPr>
        <w:t xml:space="preserve">  </w:t>
      </w:r>
    </w:p>
    <w:p w:rsidR="00D50474" w:rsidRDefault="00342EB7">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ACTA DE INSTALACIÓN DEL COMITÉ DE TRANSPARENCIA DEL H. AYUNTAMIENTO DÈ SAN ANTONIO LA ISLA, ESTADO DE MÉXICO, de fecha 13 de enero de 2025.</w:t>
      </w:r>
    </w:p>
    <w:p w:rsidR="00D50474" w:rsidRDefault="00D50474">
      <w:pPr>
        <w:pBdr>
          <w:top w:val="nil"/>
          <w:left w:val="nil"/>
          <w:bottom w:val="nil"/>
          <w:right w:val="nil"/>
          <w:between w:val="nil"/>
        </w:pBdr>
        <w:tabs>
          <w:tab w:val="left" w:pos="567"/>
        </w:tabs>
        <w:ind w:right="62"/>
        <w:jc w:val="both"/>
        <w:rPr>
          <w:rFonts w:ascii="Palatino Linotype" w:eastAsia="Palatino Linotype" w:hAnsi="Palatino Linotype" w:cs="Palatino Linotype"/>
          <w:b/>
          <w:bCs/>
          <w:color w:val="000000"/>
        </w:rPr>
      </w:pPr>
    </w:p>
    <w:p w:rsidR="00D50474" w:rsidRDefault="00D50474">
      <w:pPr>
        <w:pBdr>
          <w:top w:val="nil"/>
          <w:left w:val="nil"/>
          <w:bottom w:val="nil"/>
          <w:right w:val="nil"/>
          <w:between w:val="nil"/>
        </w:pBdr>
        <w:tabs>
          <w:tab w:val="left" w:pos="567"/>
        </w:tabs>
        <w:ind w:right="62"/>
        <w:jc w:val="both"/>
        <w:rPr>
          <w:rFonts w:ascii="Palatino Linotype" w:eastAsia="Palatino Linotype" w:hAnsi="Palatino Linotype" w:cs="Palatino Linotype"/>
          <w:b/>
          <w:bCs/>
        </w:rPr>
      </w:pPr>
    </w:p>
    <w:p w:rsidR="00D50474" w:rsidRDefault="00342EB7">
      <w:pPr>
        <w:numPr>
          <w:ilvl w:val="0"/>
          <w:numId w:val="4"/>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veintisiete de noviembre de dos mil veinticinco</w:t>
      </w:r>
      <w:r>
        <w:rPr>
          <w:rFonts w:ascii="Palatino Linotype" w:eastAsia="Palatino Linotype" w:hAnsi="Palatino Linotype" w:cs="Palatino Linotype"/>
          <w:color w:val="000000"/>
        </w:rPr>
        <w:t xml:space="preserve">, el particular interpuso el </w:t>
      </w:r>
      <w:r>
        <w:rPr>
          <w:rFonts w:ascii="Palatino Linotype" w:eastAsia="Palatino Linotype" w:hAnsi="Palatino Linotype" w:cs="Palatino Linotype"/>
          <w:b/>
          <w:bCs/>
          <w:color w:val="000000"/>
        </w:rPr>
        <w:t>recurso de revisión</w:t>
      </w:r>
      <w:r>
        <w:rPr>
          <w:rFonts w:ascii="Palatino Linotype" w:eastAsia="Palatino Linotype" w:hAnsi="Palatino Linotype" w:cs="Palatino Linotype"/>
          <w:color w:val="000000"/>
        </w:rPr>
        <w:t xml:space="preserve"> al que se le asignó el folio </w:t>
      </w:r>
      <w:r>
        <w:rPr>
          <w:rFonts w:ascii="Palatino Linotype" w:eastAsia="Palatino Linotype" w:hAnsi="Palatino Linotype" w:cs="Palatino Linotype"/>
          <w:b/>
          <w:bCs/>
          <w:color w:val="000000"/>
        </w:rPr>
        <w:t xml:space="preserve">13288/INFOEM/IP/RR/2025 </w:t>
      </w:r>
      <w:r>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D50474" w:rsidRDefault="00D50474">
      <w:pPr>
        <w:pBdr>
          <w:top w:val="nil"/>
          <w:left w:val="nil"/>
          <w:bottom w:val="nil"/>
          <w:right w:val="nil"/>
          <w:between w:val="nil"/>
        </w:pBdr>
        <w:tabs>
          <w:tab w:val="left" w:pos="0"/>
        </w:tabs>
        <w:ind w:left="357" w:right="-788"/>
        <w:jc w:val="both"/>
        <w:rPr>
          <w:rFonts w:ascii="Palatino Linotype" w:eastAsia="Palatino Linotype" w:hAnsi="Palatino Linotype" w:cs="Palatino Linotype"/>
          <w:color w:val="000000"/>
        </w:rPr>
      </w:pPr>
    </w:p>
    <w:p w:rsidR="00D50474" w:rsidRDefault="00342EB7">
      <w:pPr>
        <w:numPr>
          <w:ilvl w:val="0"/>
          <w:numId w:val="1"/>
        </w:numPr>
        <w:pBdr>
          <w:top w:val="nil"/>
          <w:left w:val="nil"/>
          <w:bottom w:val="nil"/>
          <w:right w:val="nil"/>
          <w:between w:val="nil"/>
        </w:pBdr>
        <w:ind w:right="-787"/>
        <w:jc w:val="both"/>
        <w:rPr>
          <w:rFonts w:ascii="Palatino Linotype" w:eastAsia="Palatino Linotype" w:hAnsi="Palatino Linotype" w:cs="Palatino Linotype"/>
          <w:color w:val="000000"/>
        </w:rPr>
      </w:pPr>
      <w:bookmarkStart w:id="2" w:name="_heading=h.30j0zll" w:colFirst="0" w:colLast="0"/>
      <w:bookmarkEnd w:id="2"/>
      <w:r>
        <w:rPr>
          <w:rFonts w:ascii="Palatino Linotype" w:eastAsia="Palatino Linotype" w:hAnsi="Palatino Linotype" w:cs="Palatino Linotype"/>
          <w:b/>
          <w:bCs/>
          <w:color w:val="000000"/>
        </w:rPr>
        <w:t xml:space="preserve">Acto impugnado: </w:t>
      </w:r>
      <w:r>
        <w:rPr>
          <w:rFonts w:ascii="Palatino Linotype" w:eastAsia="Palatino Linotype" w:hAnsi="Palatino Linotype" w:cs="Palatino Linotype"/>
          <w:i/>
          <w:iCs/>
          <w:color w:val="000000"/>
        </w:rPr>
        <w:t>“no se atendio la iformacion” (Sic)</w:t>
      </w:r>
    </w:p>
    <w:p w:rsidR="00D50474" w:rsidRDefault="00D50474">
      <w:pPr>
        <w:pBdr>
          <w:top w:val="nil"/>
          <w:left w:val="nil"/>
          <w:bottom w:val="nil"/>
          <w:right w:val="nil"/>
          <w:between w:val="nil"/>
        </w:pBdr>
        <w:ind w:left="1440" w:right="-787"/>
        <w:jc w:val="both"/>
        <w:rPr>
          <w:rFonts w:ascii="Palatino Linotype" w:eastAsia="Palatino Linotype" w:hAnsi="Palatino Linotype" w:cs="Palatino Linotype"/>
          <w:i/>
          <w:iCs/>
        </w:rPr>
      </w:pPr>
      <w:bookmarkStart w:id="3" w:name="_heading=h.o9rzgoll7h2k" w:colFirst="0" w:colLast="0"/>
      <w:bookmarkEnd w:id="3"/>
    </w:p>
    <w:p w:rsidR="00D50474" w:rsidRDefault="00342EB7">
      <w:pPr>
        <w:numPr>
          <w:ilvl w:val="0"/>
          <w:numId w:val="1"/>
        </w:numPr>
        <w:pBdr>
          <w:top w:val="nil"/>
          <w:left w:val="nil"/>
          <w:bottom w:val="nil"/>
          <w:right w:val="nil"/>
          <w:between w:val="nil"/>
        </w:pBdr>
        <w:ind w:right="-787"/>
        <w:jc w:val="both"/>
        <w:rPr>
          <w:rFonts w:ascii="Palatino Linotype" w:eastAsia="Palatino Linotype" w:hAnsi="Palatino Linotype" w:cs="Palatino Linotype"/>
          <w:color w:val="000000"/>
        </w:rPr>
      </w:pPr>
      <w:bookmarkStart w:id="4" w:name="_heading=h.1fob9te" w:colFirst="0" w:colLast="0"/>
      <w:bookmarkEnd w:id="4"/>
      <w:r>
        <w:rPr>
          <w:rFonts w:ascii="Palatino Linotype" w:eastAsia="Palatino Linotype" w:hAnsi="Palatino Linotype" w:cs="Palatino Linotype"/>
          <w:b/>
          <w:bCs/>
          <w:color w:val="000000"/>
        </w:rPr>
        <w:t xml:space="preserve">Razones o Motivos de inconformidad: </w:t>
      </w:r>
      <w:r>
        <w:rPr>
          <w:rFonts w:ascii="Palatino Linotype" w:eastAsia="Palatino Linotype" w:hAnsi="Palatino Linotype" w:cs="Palatino Linotype"/>
          <w:i/>
          <w:iCs/>
          <w:color w:val="000000"/>
        </w:rPr>
        <w:t xml:space="preserve">“solicitud degenegada” </w:t>
      </w:r>
      <w:r>
        <w:rPr>
          <w:rFonts w:ascii="Palatino Linotype" w:eastAsia="Palatino Linotype" w:hAnsi="Palatino Linotype" w:cs="Palatino Linotype"/>
          <w:color w:val="000000"/>
        </w:rPr>
        <w:t>(Sic)</w:t>
      </w:r>
    </w:p>
    <w:p w:rsidR="00D50474" w:rsidRDefault="00D5047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rsidR="00D50474" w:rsidRDefault="00342EB7">
      <w:pPr>
        <w:numPr>
          <w:ilvl w:val="0"/>
          <w:numId w:val="4"/>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 fecha </w:t>
      </w:r>
      <w:r>
        <w:rPr>
          <w:rFonts w:ascii="Palatino Linotype" w:eastAsia="Palatino Linotype" w:hAnsi="Palatino Linotype" w:cs="Palatino Linotype"/>
          <w:b/>
          <w:bCs/>
          <w:color w:val="000000"/>
        </w:rPr>
        <w:t xml:space="preserve">uno de diciembre de dos mil veinticinco, </w:t>
      </w:r>
      <w:r>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D50474" w:rsidRDefault="00D5047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D50474" w:rsidRDefault="00342EB7">
      <w:pPr>
        <w:numPr>
          <w:ilvl w:val="0"/>
          <w:numId w:val="4"/>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El Recurrente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dejó de realizar manifestaciones que a su derecho conviniera y asistiera. Por su parte, el Sujeto Obligado,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no rindió informe justificado.</w:t>
      </w:r>
    </w:p>
    <w:p w:rsidR="00D50474" w:rsidRDefault="00342EB7">
      <w:pPr>
        <w:pBdr>
          <w:top w:val="nil"/>
          <w:left w:val="nil"/>
          <w:bottom w:val="nil"/>
          <w:right w:val="nil"/>
          <w:between w:val="nil"/>
        </w:pBdr>
        <w:tabs>
          <w:tab w:val="left" w:pos="0"/>
        </w:tabs>
        <w:spacing w:line="360" w:lineRule="auto"/>
        <w:ind w:right="-787"/>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drawing>
          <wp:inline distT="0" distB="0" distL="0" distR="0">
            <wp:extent cx="5756275" cy="138049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756275" cy="1380490"/>
                    </a:xfrm>
                    <a:prstGeom prst="rect">
                      <a:avLst/>
                    </a:prstGeom>
                    <a:ln/>
                  </pic:spPr>
                </pic:pic>
              </a:graphicData>
            </a:graphic>
          </wp:inline>
        </w:drawing>
      </w:r>
    </w:p>
    <w:p w:rsidR="00D50474" w:rsidRDefault="00D50474">
      <w:pPr>
        <w:pBdr>
          <w:top w:val="nil"/>
          <w:left w:val="nil"/>
          <w:bottom w:val="nil"/>
          <w:right w:val="nil"/>
          <w:between w:val="nil"/>
        </w:pBdr>
        <w:ind w:right="-716" w:firstLine="10"/>
        <w:jc w:val="center"/>
        <w:rPr>
          <w:rFonts w:ascii="Palatino Linotype" w:eastAsia="Palatino Linotype" w:hAnsi="Palatino Linotype" w:cs="Palatino Linotype"/>
          <w:color w:val="000000"/>
        </w:rPr>
      </w:pPr>
    </w:p>
    <w:p w:rsidR="00D50474" w:rsidRDefault="00342EB7">
      <w:pPr>
        <w:numPr>
          <w:ilvl w:val="0"/>
          <w:numId w:val="4"/>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5" w:name="_heading=h.3znysh7" w:colFirst="0" w:colLast="0"/>
      <w:bookmarkEnd w:id="5"/>
      <w:r>
        <w:rPr>
          <w:rFonts w:ascii="Palatino Linotype" w:eastAsia="Palatino Linotype" w:hAnsi="Palatino Linotype" w:cs="Palatino Linotype"/>
          <w:color w:val="000000"/>
        </w:rPr>
        <w:t>En fecha</w:t>
      </w:r>
      <w:r>
        <w:rPr>
          <w:rFonts w:ascii="Palatino Linotype" w:eastAsia="Palatino Linotype" w:hAnsi="Palatino Linotype" w:cs="Palatino Linotype"/>
          <w:b/>
          <w:bCs/>
          <w:color w:val="000000"/>
        </w:rPr>
        <w:t xml:space="preserve"> tres de febrero de dos mil veintiséis</w:t>
      </w:r>
      <w:r>
        <w:rPr>
          <w:rFonts w:ascii="Palatino Linotype" w:eastAsia="Palatino Linotype" w:hAnsi="Palatino Linotype" w:cs="Palatino Linotype"/>
          <w:color w:val="000000"/>
        </w:rPr>
        <w:t xml:space="preserve">, se acordó ampliar el </w:t>
      </w:r>
      <w:r>
        <w:rPr>
          <w:rFonts w:ascii="Palatino Linotype" w:eastAsia="Palatino Linotype" w:hAnsi="Palatino Linotype" w:cs="Palatino Linotype"/>
        </w:rPr>
        <w:t>plazo</w:t>
      </w:r>
      <w:r>
        <w:rPr>
          <w:rFonts w:ascii="Palatino Linotype" w:eastAsia="Palatino Linotype" w:hAnsi="Palatino Linotype" w:cs="Palatino Linotype"/>
          <w:color w:val="000000"/>
        </w:rPr>
        <w:t xml:space="preserve"> para resolver el presente Recurso de Revisión.</w:t>
      </w:r>
    </w:p>
    <w:p w:rsidR="00D50474" w:rsidRDefault="00D50474">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D50474" w:rsidRDefault="00342EB7">
      <w:pPr>
        <w:numPr>
          <w:ilvl w:val="0"/>
          <w:numId w:val="4"/>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Seguidamente, en fecha </w:t>
      </w:r>
      <w:r>
        <w:rPr>
          <w:rFonts w:ascii="Palatino Linotype" w:eastAsia="Palatino Linotype" w:hAnsi="Palatino Linotype" w:cs="Palatino Linotype"/>
          <w:b/>
          <w:bCs/>
          <w:color w:val="000000"/>
        </w:rPr>
        <w:t>doce de mayo de dos mil veintiséis</w:t>
      </w:r>
      <w:r>
        <w:rPr>
          <w:rFonts w:ascii="Palatino Linotype" w:eastAsia="Palatino Linotype" w:hAnsi="Palatino Linotype" w:cs="Palatino Linotype"/>
          <w:color w:val="000000"/>
        </w:rPr>
        <w:t xml:space="preserve">, la Comisionada Ponente dictó el </w:t>
      </w:r>
      <w:r>
        <w:rPr>
          <w:rFonts w:ascii="Palatino Linotype" w:eastAsia="Palatino Linotype" w:hAnsi="Palatino Linotype" w:cs="Palatino Linotype"/>
          <w:b/>
          <w:bCs/>
          <w:color w:val="000000"/>
        </w:rPr>
        <w:t>cierre del periodo de instrucción</w:t>
      </w:r>
      <w:r>
        <w:rPr>
          <w:rFonts w:ascii="Palatino Linotype" w:eastAsia="Palatino Linotype" w:hAnsi="Palatino Linotype" w:cs="Palatino Linotype"/>
          <w:color w:val="000000"/>
        </w:rPr>
        <w:t xml:space="preserve"> y, ordenó la resolución que conforme a Derecho proceda:</w:t>
      </w:r>
    </w:p>
    <w:p w:rsidR="00D50474" w:rsidRDefault="00D50474">
      <w:pPr>
        <w:pBdr>
          <w:top w:val="nil"/>
          <w:left w:val="nil"/>
          <w:bottom w:val="nil"/>
          <w:right w:val="nil"/>
          <w:between w:val="nil"/>
        </w:pBdr>
        <w:ind w:left="720" w:right="-787"/>
        <w:rPr>
          <w:rFonts w:ascii="Palatino Linotype" w:eastAsia="Palatino Linotype" w:hAnsi="Palatino Linotype" w:cs="Palatino Linotype"/>
          <w:b/>
          <w:bCs/>
          <w:color w:val="000000"/>
        </w:rPr>
      </w:pPr>
    </w:p>
    <w:p w:rsidR="00D50474" w:rsidRDefault="00342EB7">
      <w:pPr>
        <w:keepNext/>
        <w:keepLines/>
        <w:spacing w:line="360" w:lineRule="auto"/>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C O N S I D E R A N D O </w:t>
      </w:r>
    </w:p>
    <w:p w:rsidR="00D50474" w:rsidRDefault="00D50474">
      <w:pPr>
        <w:spacing w:line="360" w:lineRule="auto"/>
        <w:rPr>
          <w:rFonts w:ascii="Palatino Linotype" w:eastAsia="Palatino Linotype" w:hAnsi="Palatino Linotype" w:cs="Palatino Linotype"/>
        </w:rPr>
      </w:pPr>
    </w:p>
    <w:p w:rsidR="00D50474" w:rsidRDefault="00342EB7">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PRIMERO. De la competencia</w:t>
      </w:r>
    </w:p>
    <w:p w:rsidR="00D50474" w:rsidRDefault="00342EB7">
      <w:pPr>
        <w:numPr>
          <w:ilvl w:val="0"/>
          <w:numId w:val="4"/>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w:t>
      </w:r>
      <w:r>
        <w:rPr>
          <w:rFonts w:ascii="Palatino Linotype" w:eastAsia="Palatino Linotype" w:hAnsi="Palatino Linotype" w:cs="Palatino Linotype"/>
          <w:color w:val="000000"/>
        </w:rPr>
        <w:lastRenderedPageBreak/>
        <w:t>a la Información Pública del Estado de México y Municipios; 6, 9 fracciones I y XXIII, y 11 del Reglamento Interior del Instituto de Transparencia, Acceso a la Información Pública y Protección de Datos Personales del Estado de México y Municipios.</w:t>
      </w:r>
    </w:p>
    <w:p w:rsidR="00D50474" w:rsidRDefault="00D50474">
      <w:pPr>
        <w:tabs>
          <w:tab w:val="left" w:pos="426"/>
        </w:tabs>
        <w:spacing w:line="360" w:lineRule="auto"/>
        <w:jc w:val="both"/>
        <w:rPr>
          <w:rFonts w:ascii="Palatino Linotype" w:eastAsia="Palatino Linotype" w:hAnsi="Palatino Linotype" w:cs="Palatino Linotype"/>
          <w:color w:val="000000"/>
        </w:rPr>
      </w:pPr>
    </w:p>
    <w:p w:rsidR="00D50474" w:rsidRDefault="00342EB7">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SEGUNDO. De la oportunidad y procedencia.</w:t>
      </w:r>
    </w:p>
    <w:p w:rsidR="00D50474" w:rsidRDefault="00342EB7">
      <w:pPr>
        <w:numPr>
          <w:ilvl w:val="0"/>
          <w:numId w:val="4"/>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color w:val="000000"/>
        </w:rPr>
        <w:t>medio</w:t>
      </w:r>
      <w:r>
        <w:rPr>
          <w:rFonts w:ascii="Palatino Linotype" w:eastAsia="Palatino Linotype" w:hAnsi="Palatino Linotype" w:cs="Palatino Linotype"/>
        </w:rPr>
        <w:t xml:space="preserve">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w:t>
      </w:r>
      <w:r>
        <w:rPr>
          <w:rFonts w:ascii="Palatino Linotype" w:eastAsia="Palatino Linotype" w:hAnsi="Palatino Linotype" w:cs="Palatino Linotype"/>
          <w:b/>
          <w:bCs/>
        </w:rPr>
        <w:t>diez de noviembre de dos mil veinticinco</w:t>
      </w:r>
      <w:r>
        <w:rPr>
          <w:rFonts w:ascii="Palatino Linotype" w:eastAsia="Palatino Linotype" w:hAnsi="Palatino Linotype" w:cs="Palatino Linotype"/>
        </w:rPr>
        <w:t xml:space="preserve">, de tal forma que el plazo para interponer el recurso transcurrió del </w:t>
      </w:r>
      <w:r>
        <w:rPr>
          <w:rFonts w:ascii="Palatino Linotype" w:eastAsia="Palatino Linotype" w:hAnsi="Palatino Linotype" w:cs="Palatino Linotype"/>
          <w:b/>
          <w:bCs/>
        </w:rPr>
        <w:t xml:space="preserve">once de noviembre al dos de diciembre de dos mil veinticinco, </w:t>
      </w:r>
      <w:r>
        <w:rPr>
          <w:rFonts w:ascii="Palatino Linotype" w:eastAsia="Palatino Linotype" w:hAnsi="Palatino Linotype" w:cs="Palatino Linotype"/>
        </w:rPr>
        <w:t xml:space="preserve">en consecuencia, si el </w:t>
      </w:r>
      <w:r>
        <w:rPr>
          <w:rFonts w:ascii="Palatino Linotype" w:eastAsia="Palatino Linotype" w:hAnsi="Palatino Linotype" w:cs="Palatino Linotype"/>
          <w:b/>
          <w:bCs/>
        </w:rPr>
        <w:t>PARTICULAR</w:t>
      </w:r>
      <w:r>
        <w:rPr>
          <w:rFonts w:ascii="Palatino Linotype" w:eastAsia="Palatino Linotype" w:hAnsi="Palatino Linotype" w:cs="Palatino Linotype"/>
        </w:rPr>
        <w:t xml:space="preserve"> presentó su inconformidad el </w:t>
      </w:r>
      <w:r>
        <w:rPr>
          <w:rFonts w:ascii="Palatino Linotype" w:eastAsia="Palatino Linotype" w:hAnsi="Palatino Linotype" w:cs="Palatino Linotype"/>
          <w:b/>
          <w:bCs/>
        </w:rPr>
        <w:t>veintisiete de noviembre de dos mil veinticinco</w:t>
      </w:r>
      <w:r>
        <w:rPr>
          <w:rFonts w:ascii="Palatino Linotype" w:eastAsia="Palatino Linotype" w:hAnsi="Palatino Linotype" w:cs="Palatino Linotype"/>
        </w:rPr>
        <w:t xml:space="preserve">, este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vigente. </w:t>
      </w:r>
    </w:p>
    <w:p w:rsidR="00D50474" w:rsidRDefault="00D50474">
      <w:pPr>
        <w:spacing w:line="360" w:lineRule="auto"/>
        <w:ind w:right="49"/>
        <w:jc w:val="both"/>
        <w:rPr>
          <w:rFonts w:ascii="Palatino Linotype" w:eastAsia="Palatino Linotype" w:hAnsi="Palatino Linotype" w:cs="Palatino Linotype"/>
        </w:rPr>
      </w:pPr>
      <w:bookmarkStart w:id="6" w:name="_heading=h.2et92p0" w:colFirst="0" w:colLast="0"/>
      <w:bookmarkEnd w:id="6"/>
    </w:p>
    <w:p w:rsidR="00D50474" w:rsidRDefault="00342EB7">
      <w:pPr>
        <w:pStyle w:val="Ttulo2"/>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p>
    <w:p w:rsidR="00D50474" w:rsidRDefault="00D50474"/>
    <w:p w:rsidR="00D50474" w:rsidRDefault="00342EB7">
      <w:pPr>
        <w:numPr>
          <w:ilvl w:val="0"/>
          <w:numId w:val="4"/>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 solicitó tener acceso, a la información que a continuación se simplifica:</w:t>
      </w:r>
    </w:p>
    <w:p w:rsidR="00D50474" w:rsidRDefault="00342EB7">
      <w:pPr>
        <w:numPr>
          <w:ilvl w:val="0"/>
          <w:numId w:val="6"/>
        </w:numPr>
        <w:pBdr>
          <w:top w:val="nil"/>
          <w:left w:val="nil"/>
          <w:bottom w:val="nil"/>
          <w:right w:val="nil"/>
          <w:between w:val="nil"/>
        </w:pBdr>
        <w:ind w:left="993"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Acta de Instalación del Comité de Transparencia de la Administración 2025-2027.</w:t>
      </w:r>
    </w:p>
    <w:p w:rsidR="00D50474" w:rsidRDefault="00D50474">
      <w:pPr>
        <w:pBdr>
          <w:top w:val="nil"/>
          <w:left w:val="nil"/>
          <w:bottom w:val="nil"/>
          <w:right w:val="nil"/>
          <w:between w:val="nil"/>
        </w:pBdr>
        <w:ind w:left="720" w:right="-788"/>
        <w:jc w:val="both"/>
        <w:rPr>
          <w:rFonts w:ascii="Palatino Linotype" w:eastAsia="Palatino Linotype" w:hAnsi="Palatino Linotype" w:cs="Palatino Linotype"/>
          <w:color w:val="000000"/>
        </w:rPr>
      </w:pPr>
    </w:p>
    <w:p w:rsidR="00D50474" w:rsidRDefault="00342EB7">
      <w:pPr>
        <w:numPr>
          <w:ilvl w:val="0"/>
          <w:numId w:val="4"/>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En respuesta, el Sujeto Obligado</w:t>
      </w:r>
      <w:r>
        <w:rPr>
          <w:rFonts w:ascii="Palatino Linotype" w:eastAsia="Palatino Linotype" w:hAnsi="Palatino Linotype" w:cs="Palatino Linotype"/>
          <w:b/>
          <w:bCs/>
        </w:rPr>
        <w:t xml:space="preserve"> </w:t>
      </w:r>
      <w:r>
        <w:rPr>
          <w:rFonts w:ascii="Palatino Linotype" w:eastAsia="Palatino Linotype" w:hAnsi="Palatino Linotype" w:cs="Palatino Linotype"/>
        </w:rPr>
        <w:t>remitió los archivos ya descritos en el anterior párrafo 2, inconforme con la respuesta, se interpuso recurso de revisión argumentando sustancialmente la negativa de la información.</w:t>
      </w:r>
    </w:p>
    <w:p w:rsidR="00D50474" w:rsidRDefault="00D50474">
      <w:pPr>
        <w:ind w:left="720" w:right="-788"/>
        <w:jc w:val="both"/>
        <w:rPr>
          <w:rFonts w:ascii="Palatino Linotype" w:eastAsia="Palatino Linotype" w:hAnsi="Palatino Linotype" w:cs="Palatino Linotype"/>
          <w:i/>
          <w:iCs/>
          <w:color w:val="000000"/>
        </w:rPr>
      </w:pPr>
    </w:p>
    <w:p w:rsidR="00D50474" w:rsidRDefault="00342EB7">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w:t>
      </w:r>
      <w:r>
        <w:rPr>
          <w:rFonts w:ascii="Palatino Linotype" w:eastAsia="Palatino Linotype" w:hAnsi="Palatino Linotype" w:cs="Palatino Linotype"/>
          <w:b/>
          <w:bCs/>
        </w:rPr>
        <w:t xml:space="preserve">179, fracción I, de </w:t>
      </w:r>
      <w:r>
        <w:rPr>
          <w:rFonts w:ascii="Palatino Linotype" w:eastAsia="Palatino Linotype" w:hAnsi="Palatino Linotype" w:cs="Palatino Linotype"/>
          <w:b/>
          <w:bCs/>
        </w:rPr>
        <w:lastRenderedPageBreak/>
        <w:t>la Ley de Transparencia y Acceso a la Información Pública del Estado de México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fracción que determina la hipótesis relativa a </w:t>
      </w:r>
      <w:r>
        <w:rPr>
          <w:rFonts w:ascii="Palatino Linotype" w:eastAsia="Palatino Linotype" w:hAnsi="Palatino Linotype" w:cs="Palatino Linotype"/>
          <w:b/>
          <w:bCs/>
          <w:color w:val="000000"/>
        </w:rPr>
        <w:t>la negativa a la información solicitada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contexto del cual se dolió el Recurrente al momento de interponer su inconformidad.</w:t>
      </w:r>
      <w:r>
        <w:rPr>
          <w:rFonts w:ascii="Palatino Linotype" w:eastAsia="Palatino Linotype" w:hAnsi="Palatino Linotype" w:cs="Palatino Linotype"/>
          <w:color w:val="000000"/>
        </w:rPr>
        <w:t xml:space="preserve"> 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si el Sujeto Obligado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señalada.</w:t>
      </w:r>
    </w:p>
    <w:p w:rsidR="00D50474" w:rsidRDefault="00D50474">
      <w:pPr>
        <w:spacing w:line="360" w:lineRule="auto"/>
        <w:ind w:right="-787"/>
        <w:rPr>
          <w:rFonts w:ascii="Palatino Linotype" w:eastAsia="Palatino Linotype" w:hAnsi="Palatino Linotype" w:cs="Palatino Linotype"/>
        </w:rPr>
      </w:pPr>
    </w:p>
    <w:p w:rsidR="00D50474" w:rsidRDefault="00342EB7">
      <w:pPr>
        <w:pStyle w:val="Ttulo2"/>
        <w:rPr>
          <w:rFonts w:ascii="Palatino Linotype" w:eastAsia="Palatino Linotype" w:hAnsi="Palatino Linotype" w:cs="Palatino Linotype"/>
          <w:b/>
          <w:bCs/>
          <w:color w:val="000000"/>
          <w:sz w:val="24"/>
          <w:szCs w:val="24"/>
        </w:rPr>
      </w:pPr>
      <w:bookmarkStart w:id="7" w:name="_heading=h.1t3h5sf" w:colFirst="0" w:colLast="0"/>
      <w:bookmarkEnd w:id="7"/>
      <w:r>
        <w:rPr>
          <w:rFonts w:ascii="Palatino Linotype" w:eastAsia="Palatino Linotype" w:hAnsi="Palatino Linotype" w:cs="Palatino Linotype"/>
          <w:b/>
          <w:bCs/>
          <w:color w:val="000000"/>
          <w:sz w:val="24"/>
          <w:szCs w:val="24"/>
        </w:rPr>
        <w:t>CUARTO. Del estudio y resolución del asunto.</w:t>
      </w:r>
    </w:p>
    <w:p w:rsidR="00D50474" w:rsidRDefault="00342EB7">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D50474" w:rsidRDefault="00D50474">
      <w:pPr>
        <w:spacing w:line="360" w:lineRule="auto"/>
        <w:ind w:right="-787"/>
        <w:jc w:val="both"/>
        <w:rPr>
          <w:rFonts w:ascii="Palatino Linotype" w:eastAsia="Palatino Linotype" w:hAnsi="Palatino Linotype" w:cs="Palatino Linotype"/>
        </w:rPr>
      </w:pPr>
    </w:p>
    <w:p w:rsidR="00D50474" w:rsidRDefault="00342EB7">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D50474" w:rsidRDefault="00D50474">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D50474" w:rsidRDefault="00342EB7">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w:t>
      </w:r>
      <w:r>
        <w:rPr>
          <w:rFonts w:ascii="Palatino Linotype" w:eastAsia="Palatino Linotype" w:hAnsi="Palatino Linotype" w:cs="Palatino Linotype"/>
        </w:rPr>
        <w:lastRenderedPageBreak/>
        <w:t>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D50474" w:rsidRDefault="00D50474">
      <w:pPr>
        <w:spacing w:line="360" w:lineRule="auto"/>
        <w:ind w:right="-787"/>
        <w:jc w:val="both"/>
        <w:rPr>
          <w:rFonts w:ascii="Palatino Linotype" w:eastAsia="Palatino Linotype" w:hAnsi="Palatino Linotype" w:cs="Palatino Linotype"/>
        </w:rPr>
      </w:pPr>
    </w:p>
    <w:p w:rsidR="00D50474" w:rsidRDefault="00342EB7">
      <w:pPr>
        <w:numPr>
          <w:ilvl w:val="0"/>
          <w:numId w:val="5"/>
        </w:numPr>
        <w:pBdr>
          <w:top w:val="nil"/>
          <w:left w:val="nil"/>
          <w:bottom w:val="nil"/>
          <w:right w:val="nil"/>
          <w:between w:val="nil"/>
        </w:pBdr>
        <w:spacing w:line="360" w:lineRule="auto"/>
        <w:ind w:right="-78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Del Sujeto Obligado.</w:t>
      </w:r>
    </w:p>
    <w:p w:rsidR="00D50474" w:rsidRDefault="00342EB7">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La Presidencia Municipal para el desahogo de los trámites inherentes a la oficina de la Titular, en el ejercicio de sus funciones, se auxiliará de las dependencias administrativas cuyas atribuciones se encuentran conferidas en los diferentes ordenamientos legales y serán las siguientes, de conformidad con el artículo 35, del Bando Municipal 2025.</w:t>
      </w:r>
    </w:p>
    <w:p w:rsidR="00D50474" w:rsidRDefault="00342EB7">
      <w:pPr>
        <w:ind w:left="567" w:right="-220"/>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Bando Municipal 2025</w:t>
      </w:r>
    </w:p>
    <w:p w:rsidR="00D50474" w:rsidRDefault="00D50474">
      <w:pPr>
        <w:ind w:left="567" w:right="-220"/>
        <w:jc w:val="center"/>
        <w:rPr>
          <w:rFonts w:ascii="Palatino Linotype" w:eastAsia="Palatino Linotype" w:hAnsi="Palatino Linotype" w:cs="Palatino Linotype"/>
          <w:b/>
          <w:bCs/>
          <w:i/>
          <w:iCs/>
        </w:rPr>
      </w:pP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35.- La Presidencia Municipal para el desahogo de los trámites inherentes a la oficina de la Titular, en el ejercicio de sus funciones, se auxiliará de las dependencias administrativas cuyas atribuciones se encuentran conferidas en los diferentes ordenamientos legales y serán las siguientes: </w:t>
      </w:r>
    </w:p>
    <w:p w:rsidR="00D50474" w:rsidRDefault="00D50474">
      <w:pPr>
        <w:ind w:left="567" w:right="-574"/>
        <w:jc w:val="both"/>
        <w:rPr>
          <w:rFonts w:ascii="Palatino Linotype" w:eastAsia="Palatino Linotype" w:hAnsi="Palatino Linotype" w:cs="Palatino Linotype"/>
          <w:i/>
          <w:iCs/>
        </w:rPr>
      </w:pP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 Secretaría Particular </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 Coordinación de Comunicación Social </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 Coordinación de Informática </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3) Unidad Jurídica </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4) Unidad de Logística </w:t>
      </w:r>
    </w:p>
    <w:p w:rsidR="00D50474" w:rsidRDefault="00342EB7">
      <w:pPr>
        <w:ind w:left="567" w:right="-57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b) Secretaría Técnica</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 Unidad de Información, Planeación, Programación y Evaluación </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 Coordinación General Municipal de Mejora Regulatoria </w:t>
      </w:r>
    </w:p>
    <w:p w:rsidR="00D50474" w:rsidRDefault="00342EB7">
      <w:pPr>
        <w:ind w:left="567" w:right="-57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 xml:space="preserve">3) Unidad de Transparencia </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c) Coordinación Municipal de Protección Civil</w:t>
      </w:r>
    </w:p>
    <w:p w:rsidR="00D50474" w:rsidRDefault="00D50474">
      <w:pPr>
        <w:ind w:left="567" w:right="-574"/>
        <w:jc w:val="both"/>
        <w:rPr>
          <w:rFonts w:ascii="Palatino Linotype" w:eastAsia="Palatino Linotype" w:hAnsi="Palatino Linotype" w:cs="Palatino Linotype"/>
          <w:i/>
          <w:iCs/>
        </w:rPr>
      </w:pP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ARTICULO 35 SEPTIES. La </w:t>
      </w:r>
      <w:r>
        <w:rPr>
          <w:rFonts w:ascii="Palatino Linotype" w:eastAsia="Palatino Linotype" w:hAnsi="Palatino Linotype" w:cs="Palatino Linotype"/>
          <w:b/>
          <w:bCs/>
          <w:i/>
          <w:iCs/>
        </w:rPr>
        <w:t>Secretaria Técnica</w:t>
      </w:r>
      <w:r>
        <w:rPr>
          <w:rFonts w:ascii="Palatino Linotype" w:eastAsia="Palatino Linotype" w:hAnsi="Palatino Linotype" w:cs="Palatino Linotype"/>
          <w:i/>
          <w:iCs/>
        </w:rPr>
        <w:t xml:space="preserve"> Tendrá las siguientes atribuciones: </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w:t>
      </w:r>
      <w:r>
        <w:rPr>
          <w:rFonts w:ascii="Palatino Linotype" w:eastAsia="Palatino Linotype" w:hAnsi="Palatino Linotype" w:cs="Palatino Linotype"/>
          <w:b/>
          <w:bCs/>
          <w:i/>
          <w:iCs/>
        </w:rPr>
        <w:t>Coordinar los trabajos de la Unidad de Transparencia</w:t>
      </w:r>
      <w:r>
        <w:rPr>
          <w:rFonts w:ascii="Palatino Linotype" w:eastAsia="Palatino Linotype" w:hAnsi="Palatino Linotype" w:cs="Palatino Linotype"/>
          <w:i/>
          <w:iCs/>
        </w:rPr>
        <w:t>, Coordinación General de Mejora Regulatoria y la Unidad de Información Planeación y Evaluación.</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D50474" w:rsidRDefault="00D50474">
      <w:pPr>
        <w:spacing w:line="360" w:lineRule="auto"/>
        <w:ind w:right="-787"/>
        <w:jc w:val="both"/>
        <w:rPr>
          <w:rFonts w:ascii="Palatino Linotype" w:eastAsia="Palatino Linotype" w:hAnsi="Palatino Linotype" w:cs="Palatino Linotype"/>
        </w:rPr>
      </w:pPr>
    </w:p>
    <w:p w:rsidR="00D50474" w:rsidRDefault="00342EB7">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Ayuntamiento de San Antonio la Isla, garantizará los derechos de Acceso a la Información Pública y la Protección de Datos Personales, a través de la </w:t>
      </w:r>
      <w:r>
        <w:rPr>
          <w:rFonts w:ascii="Palatino Linotype" w:eastAsia="Palatino Linotype" w:hAnsi="Palatino Linotype" w:cs="Palatino Linotype"/>
          <w:b/>
          <w:bCs/>
        </w:rPr>
        <w:t>Unidad de Transparencia</w:t>
      </w:r>
      <w:r>
        <w:rPr>
          <w:rFonts w:ascii="Palatino Linotype" w:eastAsia="Palatino Linotype" w:hAnsi="Palatino Linotype" w:cs="Palatino Linotype"/>
        </w:rPr>
        <w:t>, dependencia que tendrá las siguientes funciones, de conformidad con el artículo 35 Decies, del Bando Municipal 2025.</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I. Turnar a los Servidores Públicos Habilitados de las Unidades Administrativas, las Solicitudes de Acceso a la Información Pública o las Solicitudes de Acceso, Rectificación, Cancelación y Oposición de Datos Personales, a través de la plataforma habilitada para tal efecto o a falta del correcto funcionamiento de esa por</w:t>
      </w:r>
      <w:r>
        <w:t xml:space="preserve"> </w:t>
      </w:r>
      <w:r>
        <w:rPr>
          <w:rFonts w:ascii="Palatino Linotype" w:eastAsia="Palatino Linotype" w:hAnsi="Palatino Linotype" w:cs="Palatino Linotype"/>
          <w:i/>
          <w:iCs/>
        </w:rPr>
        <w:t xml:space="preserve">escrito; </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Recibir y dar trámite a las notificaciones de las resoluciones del Instituto de Transparencia, Acceso a la Información Pública y Protección de Datos Personales del Estado de México y Municipios, respecto de los recursos de revisión. </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Notificar a las dependencias administrativas, a través de los Servidores Públicos Habilitados, las resoluciones del Instituto de Transparencia, Acceso a la Información Pública y Protección de Datos Personales del Estado de México y Municipios, respecto de los recursos de revisión, requiriendo la información que sea necesaria para dar cumplimiento a la misma. </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Notificar a las dependencias administrativas, a través de los Servidores Públicos Habilitados, los acuerdos de incumplimiento que emita el Instituto, respecto de los recursos de revisión, requiriendo la información que sea necesaria para dar cumplimiento a la misma. </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 Proponer a los Servidores Públicos Habilitados de las dependencias administrativas que sean necesarios para recibir y dar trámite a las solicitudes de acceso a la información. </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 Llevar un registro de las solicitudes de acceso a la información; así como del ejercicio de los derechos de acceso, rectificación, cancelación y oposición de datos personales. </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 De manera trimestral recordar a los Servidores Públicos Habilitados, la actualización de las obligaciones de transparencia comunes y específicas derivada de la información que generen sus dependencias administrativas. </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VIII. Las que expresamente le confieren los artículos 45 de la Ley General de Transparencia y Acceso a la información Pública y 53 de la ley de Transparencia y Acceso a la Información Pública del Estado de México y Municipios; así como los relativos a la Ley de Protección de Datos Personales en Posesión de Sujetos Obligados del Estado de México y Municipios y demás ordenamientos jurídicos aplicables.</w:t>
      </w:r>
    </w:p>
    <w:p w:rsidR="00D50474" w:rsidRDefault="00D50474">
      <w:pPr>
        <w:spacing w:line="360" w:lineRule="auto"/>
        <w:ind w:right="-787"/>
        <w:jc w:val="both"/>
        <w:rPr>
          <w:rFonts w:ascii="Palatino Linotype" w:eastAsia="Palatino Linotype" w:hAnsi="Palatino Linotype" w:cs="Palatino Linotype"/>
        </w:rPr>
      </w:pPr>
    </w:p>
    <w:p w:rsidR="00D50474" w:rsidRDefault="00342EB7">
      <w:pPr>
        <w:numPr>
          <w:ilvl w:val="0"/>
          <w:numId w:val="4"/>
        </w:numPr>
        <w:spacing w:line="360" w:lineRule="auto"/>
        <w:ind w:left="0" w:right="-787" w:firstLine="0"/>
        <w:jc w:val="both"/>
      </w:pPr>
      <w:r>
        <w:rPr>
          <w:rFonts w:ascii="Palatino Linotype" w:eastAsia="Palatino Linotype" w:hAnsi="Palatino Linotype" w:cs="Palatino Linotype"/>
        </w:rPr>
        <w:t xml:space="preserve">De lo expuesto es de precisar que la respuesta fue emitida por la </w:t>
      </w:r>
      <w:r>
        <w:rPr>
          <w:rFonts w:ascii="Palatino Linotype" w:eastAsia="Palatino Linotype" w:hAnsi="Palatino Linotype" w:cs="Palatino Linotype"/>
          <w:b/>
          <w:bCs/>
        </w:rPr>
        <w:t>Unidad de Transparencia</w:t>
      </w:r>
      <w:r>
        <w:rPr>
          <w:rFonts w:ascii="Palatino Linotype" w:eastAsia="Palatino Linotype" w:hAnsi="Palatino Linotype" w:cs="Palatino Linotype"/>
        </w:rPr>
        <w:t xml:space="preserve">, por lo que podemos advertir que </w:t>
      </w:r>
      <w:r>
        <w:rPr>
          <w:rFonts w:ascii="Palatino Linotype" w:eastAsia="Palatino Linotype" w:hAnsi="Palatino Linotype" w:cs="Palatino Linotype"/>
          <w:b/>
          <w:bCs/>
        </w:rPr>
        <w:t xml:space="preserve">EL SUJETO OBLIGADO </w:t>
      </w:r>
      <w:r>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D50474" w:rsidRDefault="00342EB7">
      <w:pPr>
        <w:ind w:left="567" w:right="62"/>
        <w:jc w:val="both"/>
        <w:rPr>
          <w:rFonts w:ascii="Palatino Linotype" w:eastAsia="Palatino Linotype" w:hAnsi="Palatino Linotype" w:cs="Palatino Linotype"/>
          <w:i/>
          <w:iCs/>
        </w:rPr>
      </w:pPr>
      <w:r>
        <w:rPr>
          <w:rFonts w:ascii="Palatino Linotype" w:eastAsia="Palatino Linotype" w:hAnsi="Palatino Linotype" w:cs="Palatino Linotype"/>
          <w:b/>
          <w:bCs/>
          <w:i/>
          <w:iCs/>
        </w:rPr>
        <w:t>XXXIX.</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Servidor público habilitado</w:t>
      </w:r>
      <w:r>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D50474" w:rsidRDefault="00D50474">
      <w:pPr>
        <w:spacing w:line="360" w:lineRule="auto"/>
        <w:ind w:left="708" w:right="62"/>
        <w:jc w:val="both"/>
        <w:rPr>
          <w:rFonts w:ascii="Palatino Linotype" w:eastAsia="Palatino Linotype" w:hAnsi="Palatino Linotype" w:cs="Palatino Linotype"/>
        </w:rPr>
      </w:pPr>
    </w:p>
    <w:p w:rsidR="00D50474" w:rsidRDefault="00342EB7">
      <w:pPr>
        <w:numPr>
          <w:ilvl w:val="0"/>
          <w:numId w:val="4"/>
        </w:numPr>
        <w:spacing w:line="360" w:lineRule="auto"/>
        <w:ind w:left="0" w:right="-787" w:firstLine="0"/>
        <w:jc w:val="both"/>
      </w:pPr>
      <w:r>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D50474" w:rsidRDefault="00342EB7">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162.</w:t>
      </w:r>
      <w:r>
        <w:rPr>
          <w:rFonts w:ascii="Palatino Linotype" w:eastAsia="Palatino Linotype" w:hAnsi="Palatino Linotype" w:cs="Palatino Linotype"/>
          <w:i/>
          <w:iCs/>
        </w:rPr>
        <w:t xml:space="preserve"> Las unidades de transparencia deberán garantizar que las solicitudes se turnen a </w:t>
      </w:r>
      <w:r>
        <w:rPr>
          <w:rFonts w:ascii="Palatino Linotype" w:eastAsia="Palatino Linotype" w:hAnsi="Palatino Linotype" w:cs="Palatino Linotype"/>
          <w:b/>
          <w:bCs/>
          <w:i/>
          <w:iCs/>
        </w:rPr>
        <w:t>todas las Áreas competentes</w:t>
      </w:r>
      <w:r>
        <w:rPr>
          <w:rFonts w:ascii="Palatino Linotype" w:eastAsia="Palatino Linotype" w:hAnsi="Palatino Linotype" w:cs="Palatino Linotype"/>
          <w:i/>
          <w:iCs/>
        </w:rPr>
        <w:t xml:space="preserve"> que cuenten con la información o deban tenerla de acuerdo a sus facultades, competencias y funciones, con el objeto de que realicen una búsqueda exhaustiva y razonable de la información solicitada.”</w:t>
      </w:r>
    </w:p>
    <w:p w:rsidR="00D50474" w:rsidRDefault="00D50474">
      <w:pPr>
        <w:spacing w:line="360" w:lineRule="auto"/>
        <w:ind w:right="-787"/>
        <w:jc w:val="both"/>
        <w:rPr>
          <w:rFonts w:ascii="Palatino Linotype" w:eastAsia="Palatino Linotype" w:hAnsi="Palatino Linotype" w:cs="Palatino Linotype"/>
          <w:color w:val="000000"/>
        </w:rPr>
      </w:pPr>
    </w:p>
    <w:p w:rsidR="00D50474" w:rsidRDefault="00342EB7">
      <w:pPr>
        <w:numPr>
          <w:ilvl w:val="0"/>
          <w:numId w:val="4"/>
        </w:numPr>
        <w:spacing w:line="360" w:lineRule="auto"/>
        <w:ind w:left="0" w:right="-787" w:firstLine="0"/>
        <w:jc w:val="both"/>
        <w:rPr>
          <w:color w:val="000000"/>
        </w:rPr>
      </w:pPr>
      <w:r>
        <w:rPr>
          <w:rFonts w:ascii="Palatino Linotype" w:eastAsia="Palatino Linotype" w:hAnsi="Palatino Linotype" w:cs="Palatino Linotype"/>
        </w:rPr>
        <w:lastRenderedPageBreak/>
        <w:t>Es</w:t>
      </w:r>
      <w:r>
        <w:rPr>
          <w:rFonts w:ascii="Palatino Linotype" w:eastAsia="Palatino Linotype" w:hAnsi="Palatino Linotype" w:cs="Palatino Linotype"/>
          <w:color w:val="000000"/>
        </w:rPr>
        <w:t xml:space="preserve">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D50474" w:rsidRDefault="00342EB7">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 xml:space="preserve">Artículo 3. </w:t>
      </w:r>
      <w:r>
        <w:rPr>
          <w:rFonts w:ascii="Palatino Linotype" w:eastAsia="Palatino Linotype" w:hAnsi="Palatino Linotype" w:cs="Palatino Linotype"/>
          <w:i/>
          <w:iCs/>
          <w:color w:val="000000"/>
        </w:rPr>
        <w:t>Para los efectos de la presente Ley se entenderá por:</w:t>
      </w:r>
    </w:p>
    <w:p w:rsidR="00D50474" w:rsidRDefault="00342EB7">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D50474" w:rsidRDefault="00342EB7">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XI. Documento:</w:t>
      </w:r>
      <w:r>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D50474" w:rsidRDefault="00342EB7">
      <w:pPr>
        <w:spacing w:line="360" w:lineRule="auto"/>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D50474" w:rsidRDefault="00D50474">
      <w:pPr>
        <w:ind w:right="-787"/>
        <w:jc w:val="both"/>
        <w:rPr>
          <w:rFonts w:ascii="Palatino Linotype" w:eastAsia="Palatino Linotype" w:hAnsi="Palatino Linotype" w:cs="Palatino Linotype"/>
        </w:rPr>
      </w:pPr>
    </w:p>
    <w:p w:rsidR="00D50474" w:rsidRDefault="00342EB7">
      <w:pPr>
        <w:numPr>
          <w:ilvl w:val="0"/>
          <w:numId w:val="4"/>
        </w:numPr>
        <w:spacing w:line="360" w:lineRule="auto"/>
        <w:ind w:left="0" w:right="-787" w:firstLine="0"/>
        <w:jc w:val="both"/>
        <w:rPr>
          <w:color w:val="000000"/>
        </w:rPr>
      </w:pPr>
      <w:r>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D50474" w:rsidRDefault="00342EB7">
      <w:pPr>
        <w:ind w:left="567"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rPr>
        <w:t>“</w:t>
      </w:r>
      <w:r>
        <w:rPr>
          <w:rFonts w:ascii="Palatino Linotype" w:eastAsia="Palatino Linotype" w:hAnsi="Palatino Linotype" w:cs="Palatino Linotype"/>
          <w:b/>
          <w:bCs/>
          <w:i/>
          <w:iCs/>
        </w:rPr>
        <w:t>CRITERIO 0002-11</w:t>
      </w:r>
    </w:p>
    <w:p w:rsidR="00D50474" w:rsidRDefault="00342EB7">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w:t>
      </w:r>
      <w:r>
        <w:rPr>
          <w:rFonts w:ascii="Palatino Linotype" w:eastAsia="Palatino Linotype" w:hAnsi="Palatino Linotype" w:cs="Palatino Linotype"/>
          <w:i/>
          <w:iCs/>
        </w:rPr>
        <w:lastRenderedPageBreak/>
        <w:t>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D50474" w:rsidRDefault="00342EB7">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rsidR="00D50474" w:rsidRDefault="00342EB7">
      <w:pPr>
        <w:ind w:left="567"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w:t>
      </w:r>
      <w:r>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D50474" w:rsidRDefault="00342EB7">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D50474" w:rsidRDefault="00342EB7">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D50474" w:rsidRDefault="00342EB7">
      <w:pPr>
        <w:tabs>
          <w:tab w:val="left" w:pos="851"/>
        </w:tabs>
        <w:spacing w:line="360" w:lineRule="auto"/>
        <w:ind w:left="567" w:right="-220"/>
        <w:rPr>
          <w:rFonts w:ascii="Palatino Linotype" w:eastAsia="Palatino Linotype" w:hAnsi="Palatino Linotype" w:cs="Palatino Linotype"/>
        </w:rPr>
      </w:pPr>
      <w:r>
        <w:rPr>
          <w:rFonts w:ascii="Palatino Linotype" w:eastAsia="Palatino Linotype" w:hAnsi="Palatino Linotype" w:cs="Palatino Linotype"/>
        </w:rPr>
        <w:t>(Énfasis Añadido)</w:t>
      </w:r>
    </w:p>
    <w:p w:rsidR="00D50474" w:rsidRDefault="00D50474">
      <w:pPr>
        <w:pBdr>
          <w:top w:val="nil"/>
          <w:left w:val="nil"/>
          <w:bottom w:val="nil"/>
          <w:right w:val="nil"/>
          <w:between w:val="nil"/>
        </w:pBdr>
        <w:ind w:right="-787"/>
        <w:jc w:val="both"/>
        <w:rPr>
          <w:rFonts w:ascii="Palatino Linotype" w:eastAsia="Palatino Linotype" w:hAnsi="Palatino Linotype" w:cs="Palatino Linotype"/>
          <w:color w:val="000000"/>
        </w:rPr>
      </w:pPr>
    </w:p>
    <w:p w:rsidR="00D50474" w:rsidRDefault="00342EB7">
      <w:pPr>
        <w:numPr>
          <w:ilvl w:val="0"/>
          <w:numId w:val="4"/>
        </w:numPr>
        <w:spacing w:line="360" w:lineRule="auto"/>
        <w:ind w:left="0" w:right="-787" w:firstLine="0"/>
        <w:jc w:val="both"/>
        <w:rPr>
          <w:color w:val="000000"/>
        </w:rPr>
      </w:pPr>
      <w:r>
        <w:rPr>
          <w:rFonts w:ascii="Palatino Linotype" w:eastAsia="Palatino Linotype" w:hAnsi="Palatino Linotype" w:cs="Palatino Linotype"/>
          <w:color w:val="000000"/>
        </w:rPr>
        <w:t>Por su parte los artículos 160 y 166, de la Ley local en la materia, que se reproduce de la siguiente forma:</w:t>
      </w:r>
    </w:p>
    <w:p w:rsidR="00D50474" w:rsidRDefault="00342EB7">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160.</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Pr>
          <w:rFonts w:ascii="Palatino Linotype" w:eastAsia="Palatino Linotype" w:hAnsi="Palatino Linotype" w:cs="Palatino Linotype"/>
          <w:i/>
          <w:iCs/>
        </w:rPr>
        <w:t>.</w:t>
      </w:r>
    </w:p>
    <w:p w:rsidR="00D50474" w:rsidRDefault="00D50474">
      <w:pPr>
        <w:ind w:left="566" w:right="-220"/>
        <w:jc w:val="both"/>
        <w:rPr>
          <w:rFonts w:ascii="Palatino Linotype" w:eastAsia="Palatino Linotype" w:hAnsi="Palatino Linotype" w:cs="Palatino Linotype"/>
          <w:i/>
          <w:iCs/>
        </w:rPr>
      </w:pPr>
    </w:p>
    <w:p w:rsidR="00D50474" w:rsidRDefault="00342EB7">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caso que la información solicitada consista en bases de datos se deberá privilegiar la entrega de la misma en formatos abiertos.</w:t>
      </w:r>
    </w:p>
    <w:p w:rsidR="00D50474" w:rsidRDefault="00D50474">
      <w:pPr>
        <w:ind w:left="566" w:right="-220"/>
        <w:jc w:val="both"/>
        <w:rPr>
          <w:rFonts w:ascii="Palatino Linotype" w:eastAsia="Palatino Linotype" w:hAnsi="Palatino Linotype" w:cs="Palatino Linotype"/>
          <w:i/>
          <w:iCs/>
        </w:rPr>
      </w:pPr>
    </w:p>
    <w:p w:rsidR="00D50474" w:rsidRDefault="00342EB7">
      <w:pPr>
        <w:ind w:left="566" w:right="-220"/>
        <w:jc w:val="both"/>
        <w:rPr>
          <w:rFonts w:ascii="Palatino Linotype" w:eastAsia="Palatino Linotype" w:hAnsi="Palatino Linotype" w:cs="Palatino Linotype"/>
          <w:i/>
          <w:iCs/>
          <w:u w:val="single"/>
        </w:rPr>
      </w:pPr>
      <w:r>
        <w:rPr>
          <w:rFonts w:ascii="Palatino Linotype" w:eastAsia="Palatino Linotype" w:hAnsi="Palatino Linotype" w:cs="Palatino Linotype"/>
          <w:b/>
          <w:bCs/>
          <w:i/>
          <w:iCs/>
        </w:rPr>
        <w:t>Artículo 166.</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D50474" w:rsidRDefault="00342EB7">
      <w:pPr>
        <w:spacing w:line="360" w:lineRule="auto"/>
        <w:ind w:left="566" w:right="-220"/>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D50474" w:rsidRDefault="00D50474">
      <w:pPr>
        <w:ind w:right="-787"/>
        <w:jc w:val="both"/>
        <w:rPr>
          <w:rFonts w:ascii="Palatino Linotype" w:eastAsia="Palatino Linotype" w:hAnsi="Palatino Linotype" w:cs="Palatino Linotype"/>
        </w:rPr>
      </w:pPr>
    </w:p>
    <w:p w:rsidR="00D50474" w:rsidRDefault="00342EB7">
      <w:pPr>
        <w:numPr>
          <w:ilvl w:val="0"/>
          <w:numId w:val="4"/>
        </w:numPr>
        <w:spacing w:line="360" w:lineRule="auto"/>
        <w:ind w:left="0" w:right="-787" w:firstLine="0"/>
        <w:jc w:val="both"/>
        <w:rPr>
          <w:color w:val="000000"/>
        </w:rPr>
      </w:pPr>
      <w:r>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D50474" w:rsidRDefault="00342EB7">
      <w:pPr>
        <w:numPr>
          <w:ilvl w:val="0"/>
          <w:numId w:val="3"/>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lastRenderedPageBreak/>
        <w:t xml:space="preserve">De la naturaleza de la información solicitada. </w:t>
      </w:r>
    </w:p>
    <w:p w:rsidR="00D50474" w:rsidRDefault="00342EB7">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 </w:t>
      </w:r>
      <w:r>
        <w:rPr>
          <w:rFonts w:ascii="Palatino Linotype" w:eastAsia="Palatino Linotype" w:hAnsi="Palatino Linotype" w:cs="Palatino Linotype"/>
          <w:color w:val="000000"/>
        </w:rPr>
        <w:t>precisa</w:t>
      </w:r>
      <w:r>
        <w:rPr>
          <w:rFonts w:ascii="Palatino Linotype" w:eastAsia="Palatino Linotype" w:hAnsi="Palatino Linotype" w:cs="Palatino Linotype"/>
        </w:rPr>
        <w:t xml:space="preserve"> que se obvia el análisis de la competencia por parte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para generar, administrar o poseer la información solicitada, dado que éste ha asumido la misma, en razón que otorgó respuesta admitiendo contar con dicha información, tan es así que se </w:t>
      </w:r>
      <w:r>
        <w:rPr>
          <w:rFonts w:ascii="Palatino Linotype" w:eastAsia="Palatino Linotype" w:hAnsi="Palatino Linotype" w:cs="Palatino Linotype"/>
          <w:b/>
          <w:bCs/>
        </w:rPr>
        <w:t>remitió el Acta de Instalación del Comité de Transparencia del H. Ayuntamiento de San Antonio la Isla, Estado de México,</w:t>
      </w:r>
    </w:p>
    <w:p w:rsidR="00D50474" w:rsidRDefault="00D50474">
      <w:pPr>
        <w:spacing w:line="360" w:lineRule="auto"/>
        <w:ind w:right="-879"/>
        <w:jc w:val="both"/>
        <w:rPr>
          <w:rFonts w:ascii="Palatino Linotype" w:eastAsia="Palatino Linotype" w:hAnsi="Palatino Linotype" w:cs="Palatino Linotype"/>
        </w:rPr>
      </w:pPr>
    </w:p>
    <w:p w:rsidR="00D50474" w:rsidRDefault="00342EB7">
      <w:pPr>
        <w:numPr>
          <w:ilvl w:val="0"/>
          <w:numId w:val="4"/>
        </w:numPr>
        <w:spacing w:line="360" w:lineRule="auto"/>
        <w:ind w:left="0" w:right="-787" w:firstLine="0"/>
        <w:jc w:val="both"/>
      </w:pPr>
      <w:bookmarkStart w:id="8" w:name="_heading=h.2s8eyo1" w:colFirst="0" w:colLast="0"/>
      <w:bookmarkEnd w:id="8"/>
      <w:r>
        <w:rPr>
          <w:rFonts w:ascii="Palatino Linotype" w:eastAsia="Palatino Linotype" w:hAnsi="Palatino Linotype" w:cs="Palatino Linotype"/>
        </w:rPr>
        <w:t xml:space="preserve">En efecto, el hecho de que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D50474" w:rsidRDefault="00342EB7">
      <w:pPr>
        <w:tabs>
          <w:tab w:val="left" w:pos="8505"/>
        </w:tabs>
        <w:ind w:left="709" w:right="-858"/>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12.</w:t>
      </w:r>
      <w:r>
        <w:rPr>
          <w:rFonts w:ascii="Palatino Linotype" w:eastAsia="Palatino Linotype" w:hAnsi="Palatino Linotype" w:cs="Palatino Linotype"/>
          <w:i/>
          <w:iCs/>
        </w:rPr>
        <w:t> Quienes generen, recopilen, administren, manejen, procesen, archiven o conserven información pública serán responsables de la misma en los términos de las disposiciones jurídicas aplicables.</w:t>
      </w:r>
    </w:p>
    <w:p w:rsidR="00D50474" w:rsidRDefault="00D50474">
      <w:pPr>
        <w:tabs>
          <w:tab w:val="left" w:pos="8505"/>
        </w:tabs>
        <w:ind w:left="709" w:right="-858"/>
        <w:jc w:val="both"/>
        <w:rPr>
          <w:rFonts w:ascii="Palatino Linotype" w:eastAsia="Palatino Linotype" w:hAnsi="Palatino Linotype" w:cs="Palatino Linotype"/>
          <w:i/>
          <w:iCs/>
        </w:rPr>
      </w:pPr>
    </w:p>
    <w:p w:rsidR="00D50474" w:rsidRDefault="00342EB7">
      <w:pPr>
        <w:tabs>
          <w:tab w:val="left" w:pos="8505"/>
        </w:tabs>
        <w:ind w:left="709" w:right="-858"/>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D50474" w:rsidRDefault="00D50474">
      <w:pPr>
        <w:tabs>
          <w:tab w:val="left" w:pos="8505"/>
        </w:tabs>
        <w:ind w:left="709" w:right="-858"/>
        <w:jc w:val="both"/>
        <w:rPr>
          <w:rFonts w:ascii="Palatino Linotype" w:eastAsia="Palatino Linotype" w:hAnsi="Palatino Linotype" w:cs="Palatino Linotype"/>
          <w:i/>
          <w:iCs/>
        </w:rPr>
      </w:pPr>
    </w:p>
    <w:p w:rsidR="00D50474" w:rsidRDefault="00D50474">
      <w:pPr>
        <w:pBdr>
          <w:top w:val="nil"/>
          <w:left w:val="nil"/>
          <w:bottom w:val="nil"/>
          <w:right w:val="nil"/>
          <w:between w:val="nil"/>
        </w:pBdr>
        <w:ind w:left="-566" w:right="-787"/>
        <w:rPr>
          <w:rFonts w:ascii="Palatino Linotype" w:eastAsia="Palatino Linotype" w:hAnsi="Palatino Linotype" w:cs="Palatino Linotype"/>
          <w:color w:val="000000"/>
        </w:rPr>
      </w:pPr>
    </w:p>
    <w:p w:rsidR="00D50474" w:rsidRDefault="00342EB7">
      <w:pPr>
        <w:numPr>
          <w:ilvl w:val="0"/>
          <w:numId w:val="4"/>
        </w:numPr>
        <w:spacing w:line="360" w:lineRule="auto"/>
        <w:ind w:left="0" w:right="-787" w:firstLine="0"/>
        <w:jc w:val="both"/>
        <w:rPr>
          <w:color w:val="000000"/>
        </w:rPr>
      </w:pPr>
      <w:r>
        <w:rPr>
          <w:rFonts w:ascii="Palatino Linotype" w:eastAsia="Palatino Linotype" w:hAnsi="Palatino Linotype" w:cs="Palatino Linotype"/>
        </w:rPr>
        <w:t xml:space="preserve">Así, el estudio de </w:t>
      </w:r>
      <w:r>
        <w:rPr>
          <w:rFonts w:ascii="Palatino Linotype" w:eastAsia="Palatino Linotype" w:hAnsi="Palatino Linotype" w:cs="Palatino Linotype"/>
          <w:color w:val="000000"/>
        </w:rPr>
        <w:t>la</w:t>
      </w:r>
      <w:r>
        <w:rPr>
          <w:rFonts w:ascii="Palatino Linotype" w:eastAsia="Palatino Linotype" w:hAnsi="Palatino Linotype" w:cs="Palatino Linotype"/>
        </w:rPr>
        <w:t xml:space="preserve"> naturaleza jurídica de la información pública solicitada, tiene por objeto determinar si ésta la genera, posee o administra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sin embargo, en aquellos casos en que éste la asume, a nada práctico nos conduciría su estudio, ya que se insiste, dicha información, fue admitida por el mismo; por lo que, la genera, posee y </w:t>
      </w:r>
      <w:r>
        <w:rPr>
          <w:rFonts w:ascii="Palatino Linotype" w:eastAsia="Palatino Linotype" w:hAnsi="Palatino Linotype" w:cs="Palatino Linotype"/>
        </w:rPr>
        <w:lastRenderedPageBreak/>
        <w:t>administra, en ejercicio de sus funciones de derecho público, motivo por el cual, se actualiza el supuesto jurídico, previsto en el artículo 12 de la Ley de la materia, anteriormente referido</w:t>
      </w:r>
    </w:p>
    <w:p w:rsidR="00D50474" w:rsidRDefault="00D50474">
      <w:pPr>
        <w:spacing w:line="360" w:lineRule="auto"/>
        <w:ind w:right="-787"/>
        <w:jc w:val="both"/>
        <w:rPr>
          <w:rFonts w:ascii="Palatino Linotype" w:eastAsia="Palatino Linotype" w:hAnsi="Palatino Linotype" w:cs="Palatino Linotype"/>
          <w:color w:val="000000"/>
        </w:rPr>
      </w:pPr>
    </w:p>
    <w:p w:rsidR="00D50474" w:rsidRDefault="00342EB7">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es de precisar que el particular requirió, </w:t>
      </w:r>
      <w:r>
        <w:rPr>
          <w:rFonts w:ascii="Palatino Linotype" w:eastAsia="Palatino Linotype" w:hAnsi="Palatino Linotype" w:cs="Palatino Linotype"/>
          <w:i/>
          <w:iCs/>
          <w:u w:val="single"/>
        </w:rPr>
        <w:t>el Acta de Instalación del Comité de Transparencia de la Administración 2025-2027</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 xml:space="preserve">en respuesta el Sujeto Obligado a través de la Unidad de </w:t>
      </w:r>
      <w:r>
        <w:rPr>
          <w:rFonts w:ascii="Palatino Linotype" w:eastAsia="Palatino Linotype" w:hAnsi="Palatino Linotype" w:cs="Palatino Linotype"/>
        </w:rPr>
        <w:t>Transparencia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rPr>
        <w:t xml:space="preserve">remitió el Acta de Instalación del Comité de Transparencia del H. Ayuntamiento de San Antonio la Isla, Estado de México, </w:t>
      </w:r>
      <w:r>
        <w:rPr>
          <w:rFonts w:ascii="Palatino Linotype" w:eastAsia="Palatino Linotype" w:hAnsi="Palatino Linotype" w:cs="Palatino Linotype"/>
        </w:rPr>
        <w:t>en consecuencia el particular se dolió por la negativa a la información requerida.</w:t>
      </w:r>
    </w:p>
    <w:p w:rsidR="00D50474" w:rsidRDefault="00D50474">
      <w:pPr>
        <w:spacing w:line="360" w:lineRule="auto"/>
        <w:ind w:right="-787"/>
        <w:jc w:val="both"/>
        <w:rPr>
          <w:rFonts w:ascii="Palatino Linotype" w:eastAsia="Palatino Linotype" w:hAnsi="Palatino Linotype" w:cs="Palatino Linotype"/>
        </w:rPr>
      </w:pPr>
    </w:p>
    <w:p w:rsidR="00D50474" w:rsidRDefault="00342EB7">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En primer lugar es de referir que de conformidad con la Ley de Transparencia y Acceso a la Información Pública del Estado de México y Municipios, establece en su artículo 46, que los sujetos obligados integrarán sus Comités de Transparencia de la siguiente forma:</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El titular de la unidad de transparencia; </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El responsable del área coordinadora de archivos o equivalente; y </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El titular del órgano de control interno o equivalente. </w:t>
      </w:r>
    </w:p>
    <w:p w:rsidR="00D50474" w:rsidRDefault="00D50474">
      <w:pPr>
        <w:ind w:left="567" w:right="-574"/>
        <w:jc w:val="both"/>
        <w:rPr>
          <w:rFonts w:ascii="Palatino Linotype" w:eastAsia="Palatino Linotype" w:hAnsi="Palatino Linotype" w:cs="Palatino Linotype"/>
          <w:i/>
          <w:iCs/>
        </w:rPr>
      </w:pP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También estará integrado por el servidor público encargado de la protección de los datos personales cuando sesione para cuestiones relacionadas con esta materia. </w:t>
      </w:r>
    </w:p>
    <w:p w:rsidR="00D50474" w:rsidRDefault="00D50474">
      <w:pPr>
        <w:ind w:left="567" w:right="-574"/>
        <w:jc w:val="both"/>
        <w:rPr>
          <w:rFonts w:ascii="Palatino Linotype" w:eastAsia="Palatino Linotype" w:hAnsi="Palatino Linotype" w:cs="Palatino Linotype"/>
          <w:i/>
          <w:iCs/>
        </w:rPr>
      </w:pP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Todos los Comités de Transparencia deberán registrarse ante el Instituto.</w:t>
      </w:r>
    </w:p>
    <w:p w:rsidR="00D50474" w:rsidRDefault="00D50474">
      <w:pPr>
        <w:ind w:left="567" w:right="-574"/>
        <w:jc w:val="both"/>
        <w:rPr>
          <w:rFonts w:ascii="Palatino Linotype" w:eastAsia="Palatino Linotype" w:hAnsi="Palatino Linotype" w:cs="Palatino Linotype"/>
          <w:i/>
          <w:iCs/>
        </w:rPr>
      </w:pPr>
    </w:p>
    <w:p w:rsidR="00D50474" w:rsidRDefault="00D50474">
      <w:pPr>
        <w:ind w:left="567" w:right="-574"/>
        <w:jc w:val="both"/>
        <w:rPr>
          <w:rFonts w:ascii="Palatino Linotype" w:eastAsia="Palatino Linotype" w:hAnsi="Palatino Linotype" w:cs="Palatino Linotype"/>
          <w:i/>
          <w:iCs/>
        </w:rPr>
      </w:pPr>
    </w:p>
    <w:p w:rsidR="00D50474" w:rsidRDefault="00342EB7">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En este mismo sentido, el ACUERDO MEDIANTE EL CUAL EL PLENO DEL INSTITUTO DE TRANSPARENCIA, ACCESO A LA INFORMACIÓN PÚBLICA Y PROTECCIÓN DE DATOS PERSONALES DEL ESTADO DE MÉXICO Y MUNICIPIOS APRUEBA LOS LINEAMIENTOS PARA LA INSTALACIÓN Y FUNCIONAMIENTO DE LOS COMITÉS DE TRANSPARENCIA DE LOS SUJETOS OBLIGADOS, establece en su capítulo III, lo relativo a la integración de los Comités de Transparencia.</w:t>
      </w:r>
    </w:p>
    <w:p w:rsidR="00D50474" w:rsidRDefault="00342EB7">
      <w:pPr>
        <w:ind w:left="567" w:right="-574"/>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CAPÍTULO III</w:t>
      </w:r>
    </w:p>
    <w:p w:rsidR="00D50474" w:rsidRDefault="00342EB7">
      <w:pPr>
        <w:ind w:left="567" w:right="-574"/>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DE LA INTEGRACIÓN DE LOS COMITÉS DE TRANSPARENCIA</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Sexto</w:t>
      </w:r>
      <w:r>
        <w:rPr>
          <w:rFonts w:ascii="Palatino Linotype" w:eastAsia="Palatino Linotype" w:hAnsi="Palatino Linotype" w:cs="Palatino Linotype"/>
          <w:i/>
          <w:iCs/>
        </w:rPr>
        <w:t xml:space="preserve">. Cada Sujeto Obligado establecerá un Comité de Transparencia, colegiado e integrado por lo menos por tres miembros, sin restricción de sus integrantes, el cual deberá de ser siempre un número impar y será la autoridad máxima al interior del Sujeto Obligado en materia del derecho de acceso a la información y en la protección de datos personales. </w:t>
      </w:r>
    </w:p>
    <w:p w:rsidR="00D50474" w:rsidRDefault="00D50474">
      <w:pPr>
        <w:ind w:left="567" w:right="-574"/>
        <w:jc w:val="both"/>
        <w:rPr>
          <w:rFonts w:ascii="Palatino Linotype" w:eastAsia="Palatino Linotype" w:hAnsi="Palatino Linotype" w:cs="Palatino Linotype"/>
          <w:i/>
          <w:iCs/>
        </w:rPr>
      </w:pP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Cada integrante designado deberá firmar el acta correspondiente o documentación de la materia, y participar en las respectivas sesiones. </w:t>
      </w:r>
    </w:p>
    <w:p w:rsidR="00D50474" w:rsidRDefault="00D50474">
      <w:pPr>
        <w:ind w:left="567" w:right="-574"/>
        <w:jc w:val="both"/>
        <w:rPr>
          <w:rFonts w:ascii="Palatino Linotype" w:eastAsia="Palatino Linotype" w:hAnsi="Palatino Linotype" w:cs="Palatino Linotype"/>
          <w:i/>
          <w:iCs/>
        </w:rPr>
      </w:pP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w:t>
      </w:r>
    </w:p>
    <w:p w:rsidR="00D50474" w:rsidRDefault="00D50474">
      <w:pPr>
        <w:ind w:left="567" w:right="-574"/>
        <w:jc w:val="both"/>
        <w:rPr>
          <w:rFonts w:ascii="Palatino Linotype" w:eastAsia="Palatino Linotype" w:hAnsi="Palatino Linotype" w:cs="Palatino Linotype"/>
          <w:i/>
          <w:iCs/>
        </w:rPr>
      </w:pP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Octavo</w:t>
      </w:r>
      <w:r>
        <w:rPr>
          <w:rFonts w:ascii="Palatino Linotype" w:eastAsia="Palatino Linotype" w:hAnsi="Palatino Linotype" w:cs="Palatino Linotype"/>
          <w:i/>
          <w:iCs/>
        </w:rPr>
        <w:t xml:space="preserve">. De conformidad con el artículo 46 de la Ley de Transparencia Local, los Sujetos Obligados integrarán sus Comités de Transparencia de la siguiente forma: </w:t>
      </w:r>
    </w:p>
    <w:p w:rsidR="00D50474" w:rsidRDefault="00D50474">
      <w:pPr>
        <w:ind w:left="567" w:right="-574"/>
        <w:jc w:val="both"/>
        <w:rPr>
          <w:rFonts w:ascii="Palatino Linotype" w:eastAsia="Palatino Linotype" w:hAnsi="Palatino Linotype" w:cs="Palatino Linotype"/>
          <w:i/>
          <w:iCs/>
        </w:rPr>
      </w:pP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El Titular de la Unidad de Transparencia; </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El responsable del área coordinadora de archivos o equivalente; y </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El Titular del Órgano de Control Interno o equivalente. </w:t>
      </w:r>
    </w:p>
    <w:p w:rsidR="00D50474" w:rsidRDefault="00D50474">
      <w:pPr>
        <w:ind w:left="567" w:right="-574"/>
        <w:jc w:val="both"/>
        <w:rPr>
          <w:rFonts w:ascii="Palatino Linotype" w:eastAsia="Palatino Linotype" w:hAnsi="Palatino Linotype" w:cs="Palatino Linotype"/>
          <w:i/>
          <w:iCs/>
        </w:rPr>
      </w:pP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También estará integrado por el servidor público encargado de la protección de los datos personales cuando sesione para cuestiones relacionadas con esta materia, siendo el encargado quien realizará las actividades de tratamiento de los datos personales sin ostentar poder alguno de decisión sobre el alcance y contenido del mismo, así como limitar sus actuaciones a los términos fijados por el responsable. </w:t>
      </w:r>
    </w:p>
    <w:p w:rsidR="00D50474" w:rsidRDefault="00D50474">
      <w:pPr>
        <w:ind w:left="567" w:right="-574"/>
        <w:jc w:val="both"/>
        <w:rPr>
          <w:rFonts w:ascii="Palatino Linotype" w:eastAsia="Palatino Linotype" w:hAnsi="Palatino Linotype" w:cs="Palatino Linotype"/>
          <w:i/>
          <w:iCs/>
        </w:rPr>
      </w:pP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El Comité de Transparencia de los Sujetos Obligados, se deberá constituir al menos por tres personas, de conformidad con su normatividad interna, y en el ámbito de sus posibilidades, por lo que, de manera enunciativa más no limitativa, podrán considerar en dicha integración, las figuras siguientes: </w:t>
      </w:r>
    </w:p>
    <w:p w:rsidR="00D50474" w:rsidRDefault="00D50474">
      <w:pPr>
        <w:ind w:left="567" w:right="-574"/>
        <w:jc w:val="both"/>
        <w:rPr>
          <w:rFonts w:ascii="Palatino Linotype" w:eastAsia="Palatino Linotype" w:hAnsi="Palatino Linotype" w:cs="Palatino Linotype"/>
          <w:i/>
          <w:iCs/>
        </w:rPr>
      </w:pP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Presidente; </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Secretario Técnico; y </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Vocal. </w:t>
      </w:r>
    </w:p>
    <w:p w:rsidR="00D50474" w:rsidRDefault="00D50474">
      <w:pPr>
        <w:ind w:left="567" w:right="-574"/>
        <w:jc w:val="both"/>
        <w:rPr>
          <w:rFonts w:ascii="Palatino Linotype" w:eastAsia="Palatino Linotype" w:hAnsi="Palatino Linotype" w:cs="Palatino Linotype"/>
          <w:i/>
          <w:iCs/>
        </w:rPr>
      </w:pP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Los integrantes del Comité deberán designar a su respectivo suplente, quienes deberán ser las personas que ocupen cargos de la jerarquía inmediata inferior. </w:t>
      </w:r>
    </w:p>
    <w:p w:rsidR="00D50474" w:rsidRDefault="00D50474">
      <w:pPr>
        <w:ind w:left="567" w:right="-574"/>
        <w:jc w:val="both"/>
        <w:rPr>
          <w:rFonts w:ascii="Palatino Linotype" w:eastAsia="Palatino Linotype" w:hAnsi="Palatino Linotype" w:cs="Palatino Linotype"/>
          <w:i/>
          <w:iCs/>
        </w:rPr>
      </w:pP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Noveno</w:t>
      </w:r>
      <w:r>
        <w:rPr>
          <w:rFonts w:ascii="Palatino Linotype" w:eastAsia="Palatino Linotype" w:hAnsi="Palatino Linotype" w:cs="Palatino Linotype"/>
          <w:i/>
          <w:iCs/>
        </w:rPr>
        <w:t>. Los integrantes del Comité estarán en funciones por el tiempo que duren en su encargo y una vez que éste concluya, serán sustituidos automáticamente por la persona designada en el referido cargo.</w:t>
      </w: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Décimo</w:t>
      </w:r>
      <w:r>
        <w:rPr>
          <w:rFonts w:ascii="Palatino Linotype" w:eastAsia="Palatino Linotype" w:hAnsi="Palatino Linotype" w:cs="Palatino Linotype"/>
          <w:i/>
          <w:iCs/>
        </w:rPr>
        <w:t xml:space="preserve">. En caso de existir alguna modificación al interior del Comité de Transparencia del Sujeto Obligado, el Titular de la Unidad de Transparencia deberá remitir el acta correspondiente y el nombramiento de ser el caso, dentro de los 5 días hábiles posteriores a dicha modificación. </w:t>
      </w:r>
    </w:p>
    <w:p w:rsidR="00D50474" w:rsidRDefault="00D50474">
      <w:pPr>
        <w:ind w:left="567" w:right="-574"/>
        <w:jc w:val="both"/>
        <w:rPr>
          <w:rFonts w:ascii="Palatino Linotype" w:eastAsia="Palatino Linotype" w:hAnsi="Palatino Linotype" w:cs="Palatino Linotype"/>
          <w:i/>
          <w:iCs/>
        </w:rPr>
      </w:pP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Décimo primero</w:t>
      </w:r>
      <w:r>
        <w:rPr>
          <w:rFonts w:ascii="Palatino Linotype" w:eastAsia="Palatino Linotype" w:hAnsi="Palatino Linotype" w:cs="Palatino Linotype"/>
          <w:i/>
          <w:iCs/>
        </w:rPr>
        <w:t xml:space="preserve">. En caso de que el Sujeto Obligado no cuente dentro de su estructura con alguno de los integrantes señalados en el numeral Octavo de los presentes criterios, el Titular del Sujeto Obligado deberá tomar las previsiones necesarias para que en el ámbito de sus posibilidades se instale debidamente el Comité de Transparencia y nombrar en su caso las equivalencias respectivas, donde se asegurará el número impar de integrantes para su conformación. </w:t>
      </w:r>
    </w:p>
    <w:p w:rsidR="00D50474" w:rsidRDefault="00D50474">
      <w:pPr>
        <w:ind w:left="567" w:right="-574"/>
        <w:jc w:val="both"/>
        <w:rPr>
          <w:rFonts w:ascii="Palatino Linotype" w:eastAsia="Palatino Linotype" w:hAnsi="Palatino Linotype" w:cs="Palatino Linotype"/>
          <w:i/>
          <w:iCs/>
        </w:rPr>
      </w:pP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Décimo segundo</w:t>
      </w:r>
      <w:r>
        <w:rPr>
          <w:rFonts w:ascii="Palatino Linotype" w:eastAsia="Palatino Linotype" w:hAnsi="Palatino Linotype" w:cs="Palatino Linotype"/>
          <w:i/>
          <w:iCs/>
        </w:rPr>
        <w:t xml:space="preserve">. Las personas servidoras públicas integrantes del Comité de Transparencia tendrán voz y voto y firmarán las actas de las sesiones que se lleven a cabo. El Comité de Transparencia será presidido por la persona servidora pública que determinen sus integrantes. </w:t>
      </w:r>
    </w:p>
    <w:p w:rsidR="00D50474" w:rsidRDefault="00D50474">
      <w:pPr>
        <w:ind w:left="567" w:right="-574"/>
        <w:jc w:val="both"/>
        <w:rPr>
          <w:rFonts w:ascii="Palatino Linotype" w:eastAsia="Palatino Linotype" w:hAnsi="Palatino Linotype" w:cs="Palatino Linotype"/>
          <w:i/>
          <w:iCs/>
        </w:rPr>
      </w:pPr>
    </w:p>
    <w:p w:rsidR="00D50474" w:rsidRDefault="00342EB7">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w:t>
      </w:r>
    </w:p>
    <w:p w:rsidR="00D50474" w:rsidRDefault="00D50474">
      <w:pPr>
        <w:spacing w:line="360" w:lineRule="auto"/>
        <w:ind w:right="-787"/>
        <w:jc w:val="both"/>
        <w:rPr>
          <w:rFonts w:ascii="Palatino Linotype" w:eastAsia="Palatino Linotype" w:hAnsi="Palatino Linotype" w:cs="Palatino Linotype"/>
        </w:rPr>
      </w:pPr>
    </w:p>
    <w:p w:rsidR="00D50474" w:rsidRDefault="00342EB7">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 lo expuesto es de reiterar que los Sujetos Obligados tienen la obligación de instalar el Comité de Transparencia, mismo que es la autoridad máxima al interior del Sujeto Obligado en materia del Derecho de Acceso a la Información y Protección de Datos Personales, así como sesionará de manera ordinaria y extraordinaria las veces que considere necesarias de conformidad con su normativa interna aprobada.</w:t>
      </w:r>
    </w:p>
    <w:p w:rsidR="00D50474" w:rsidRDefault="00D50474">
      <w:pPr>
        <w:spacing w:line="360" w:lineRule="auto"/>
        <w:ind w:right="-787"/>
        <w:jc w:val="both"/>
        <w:rPr>
          <w:rFonts w:ascii="Palatino Linotype" w:eastAsia="Palatino Linotype" w:hAnsi="Palatino Linotype" w:cs="Palatino Linotype"/>
          <w:i/>
          <w:iCs/>
          <w:u w:val="single"/>
        </w:rPr>
      </w:pPr>
    </w:p>
    <w:p w:rsidR="00D50474" w:rsidRDefault="00342EB7">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este mismo sentido, es de referir que los Sujetos Obligados para el cumplimiento de lo dispuesto en </w:t>
      </w:r>
      <w:r w:rsidR="009764A6">
        <w:rPr>
          <w:rFonts w:ascii="Palatino Linotype" w:eastAsia="Palatino Linotype" w:hAnsi="Palatino Linotype" w:cs="Palatino Linotype"/>
        </w:rPr>
        <w:t>el numeral octavo</w:t>
      </w:r>
      <w:r>
        <w:rPr>
          <w:rFonts w:ascii="Palatino Linotype" w:eastAsia="Palatino Linotype" w:hAnsi="Palatino Linotype" w:cs="Palatino Linotype"/>
        </w:rPr>
        <w:t xml:space="preserve"> y noveno de los Lineamientos de referencia, deberán </w:t>
      </w:r>
      <w:r>
        <w:rPr>
          <w:rFonts w:ascii="Palatino Linotype" w:eastAsia="Palatino Linotype" w:hAnsi="Palatino Linotype" w:cs="Palatino Linotype"/>
        </w:rPr>
        <w:lastRenderedPageBreak/>
        <w:t>registrar su Comité de Transparencia ante el Instituto dentro de los diez días hábiles posteriores a su integración por parte del Titular de la Unidad de Transparencia.</w:t>
      </w:r>
    </w:p>
    <w:p w:rsidR="00D50474" w:rsidRDefault="00D50474">
      <w:pPr>
        <w:spacing w:line="360" w:lineRule="auto"/>
        <w:ind w:right="-787"/>
        <w:jc w:val="both"/>
        <w:rPr>
          <w:rFonts w:ascii="Palatino Linotype" w:eastAsia="Palatino Linotype" w:hAnsi="Palatino Linotype" w:cs="Palatino Linotype"/>
          <w:i/>
          <w:iCs/>
          <w:u w:val="single"/>
        </w:rPr>
      </w:pPr>
    </w:p>
    <w:p w:rsidR="00D50474" w:rsidRDefault="00342EB7">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 así que del requerimiento realizado por el particular, el Sujeto Obligado a través de la unidad competente </w:t>
      </w:r>
      <w:r>
        <w:rPr>
          <w:rFonts w:ascii="Palatino Linotype" w:eastAsia="Palatino Linotype" w:hAnsi="Palatino Linotype" w:cs="Palatino Linotype"/>
          <w:b/>
          <w:bCs/>
        </w:rPr>
        <w:t xml:space="preserve">remitió el Acta de Instalación del Comité de Transparencia </w:t>
      </w:r>
      <w:r>
        <w:rPr>
          <w:rFonts w:ascii="Palatino Linotype" w:eastAsia="Palatino Linotype" w:hAnsi="Palatino Linotype" w:cs="Palatino Linotype"/>
        </w:rPr>
        <w:t>del H. Ayuntamiento de San Antonio la Isla, Estado de México, en la que se advierte la integración del mismo y la declaración formal de integración del Comité de Transparencia del Ayuntamiento Constitucional de San Antonio la Isla 2025 -2027, tal como se muestra en la imagen siguiente:</w:t>
      </w:r>
    </w:p>
    <w:p w:rsidR="00D50474" w:rsidRDefault="00342EB7">
      <w:pPr>
        <w:spacing w:line="360" w:lineRule="auto"/>
        <w:ind w:right="-787"/>
        <w:jc w:val="center"/>
        <w:rPr>
          <w:rFonts w:ascii="Palatino Linotype" w:eastAsia="Palatino Linotype" w:hAnsi="Palatino Linotype" w:cs="Palatino Linotype"/>
          <w:i/>
          <w:iCs/>
          <w:u w:val="single"/>
        </w:rPr>
      </w:pPr>
      <w:r>
        <w:rPr>
          <w:rFonts w:ascii="Palatino Linotype" w:eastAsia="Palatino Linotype" w:hAnsi="Palatino Linotype" w:cs="Palatino Linotype"/>
          <w:i/>
          <w:iCs/>
          <w:noProof/>
          <w:lang w:val="es-MX"/>
        </w:rPr>
        <w:drawing>
          <wp:inline distT="0" distB="0" distL="0" distR="0">
            <wp:extent cx="3231782" cy="449766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231782" cy="4497660"/>
                    </a:xfrm>
                    <a:prstGeom prst="rect">
                      <a:avLst/>
                    </a:prstGeom>
                    <a:ln/>
                  </pic:spPr>
                </pic:pic>
              </a:graphicData>
            </a:graphic>
          </wp:inline>
        </w:drawing>
      </w:r>
    </w:p>
    <w:p w:rsidR="00D50474" w:rsidRDefault="00342EB7">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lastRenderedPageBreak/>
        <w:t xml:space="preserve">De modo que el derecho de acceso a la información pública se satisface en aquellos casos en que se entregue el soporte documental en que conste la información pública, como ha sucedido en el caso concreto, </w:t>
      </w:r>
      <w:r>
        <w:rPr>
          <w:rFonts w:ascii="Palatino Linotype" w:eastAsia="Palatino Linotype" w:hAnsi="Palatino Linotype" w:cs="Palatino Linotype"/>
          <w:b/>
          <w:bCs/>
          <w:color w:val="000000"/>
        </w:rPr>
        <w:t>colmándose en su totalidad</w:t>
      </w:r>
      <w:r>
        <w:rPr>
          <w:rFonts w:ascii="Palatino Linotype" w:eastAsia="Palatino Linotype" w:hAnsi="Palatino Linotype" w:cs="Palatino Linotype"/>
          <w:color w:val="000000"/>
        </w:rPr>
        <w:t xml:space="preserve"> el requerimiento de información</w:t>
      </w:r>
    </w:p>
    <w:p w:rsidR="00D50474" w:rsidRDefault="00D50474">
      <w:pPr>
        <w:spacing w:line="360" w:lineRule="auto"/>
        <w:ind w:right="-787"/>
        <w:jc w:val="both"/>
        <w:rPr>
          <w:rFonts w:ascii="Palatino Linotype" w:eastAsia="Palatino Linotype" w:hAnsi="Palatino Linotype" w:cs="Palatino Linotype"/>
        </w:rPr>
      </w:pPr>
    </w:p>
    <w:p w:rsidR="00D50474" w:rsidRDefault="00342EB7">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lo </w:t>
      </w:r>
      <w:r>
        <w:rPr>
          <w:rFonts w:ascii="Palatino Linotype" w:eastAsia="Palatino Linotype" w:hAnsi="Palatino Linotype" w:cs="Palatino Linotype"/>
          <w:color w:val="000000"/>
        </w:rPr>
        <w:t>expuesto</w:t>
      </w:r>
      <w:r>
        <w:rPr>
          <w:rFonts w:ascii="Palatino Linotype" w:eastAsia="Palatino Linotype" w:hAnsi="Palatino Linotype" w:cs="Palatino Linotype"/>
        </w:rPr>
        <w:t xml:space="preserve"> se concluye que el Sujeto Obligado dio atención a la solicitud de información al entregar la información requerida; por ello, resultan </w:t>
      </w:r>
      <w:r>
        <w:rPr>
          <w:rFonts w:ascii="Palatino Linotype" w:eastAsia="Palatino Linotype" w:hAnsi="Palatino Linotype" w:cs="Palatino Linotype"/>
          <w:b/>
          <w:bCs/>
        </w:rPr>
        <w:t>INFUNDADAS</w:t>
      </w:r>
      <w:r>
        <w:rPr>
          <w:rFonts w:ascii="Palatino Linotype" w:eastAsia="Palatino Linotype" w:hAnsi="Palatino Linotype" w:cs="Palatino Linotype"/>
        </w:rPr>
        <w:t xml:space="preserve">, las razones o motivos de inconformidad hechos valer por el Recurrente, siendo procedente </w:t>
      </w:r>
      <w:r>
        <w:rPr>
          <w:rFonts w:ascii="Palatino Linotype" w:eastAsia="Palatino Linotype" w:hAnsi="Palatino Linotype" w:cs="Palatino Linotype"/>
          <w:b/>
          <w:bCs/>
        </w:rPr>
        <w:t>CONFIRMAR</w:t>
      </w:r>
      <w:r>
        <w:rPr>
          <w:rFonts w:ascii="Palatino Linotype" w:eastAsia="Palatino Linotype" w:hAnsi="Palatino Linotype" w:cs="Palatino Linotype"/>
        </w:rPr>
        <w:t xml:space="preserve"> la respuesta otorgada por el </w:t>
      </w:r>
      <w:r>
        <w:rPr>
          <w:rFonts w:ascii="Palatino Linotype" w:eastAsia="Palatino Linotype" w:hAnsi="Palatino Linotype" w:cs="Palatino Linotype"/>
          <w:b/>
          <w:bCs/>
        </w:rPr>
        <w:t xml:space="preserve">Ayuntamiento de San Antonio la Isla </w:t>
      </w:r>
      <w:r>
        <w:rPr>
          <w:rFonts w:ascii="Palatino Linotype" w:eastAsia="Palatino Linotype" w:hAnsi="Palatino Linotype" w:cs="Palatino Linotype"/>
        </w:rPr>
        <w:t xml:space="preserve">a la solicitud de información </w:t>
      </w:r>
      <w:r>
        <w:rPr>
          <w:rFonts w:ascii="Palatino Linotype" w:eastAsia="Palatino Linotype" w:hAnsi="Palatino Linotype" w:cs="Palatino Linotype"/>
          <w:b/>
          <w:bCs/>
        </w:rPr>
        <w:t>00100/ANTOISLA/IP/2025.</w:t>
      </w:r>
    </w:p>
    <w:p w:rsidR="00D50474" w:rsidRDefault="00D50474">
      <w:pPr>
        <w:spacing w:line="360" w:lineRule="auto"/>
        <w:ind w:right="-787"/>
        <w:jc w:val="both"/>
        <w:rPr>
          <w:rFonts w:ascii="Palatino Linotype" w:eastAsia="Palatino Linotype" w:hAnsi="Palatino Linotype" w:cs="Palatino Linotype"/>
        </w:rPr>
      </w:pPr>
    </w:p>
    <w:p w:rsidR="00D50474" w:rsidRDefault="00342EB7">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expuesto, y con fundamento en lo prescrito en los artículos </w:t>
      </w:r>
      <w:r>
        <w:rPr>
          <w:rFonts w:ascii="Palatino Linotype" w:eastAsia="Palatino Linotype" w:hAnsi="Palatino Linotype" w:cs="Palatino Linotype"/>
          <w:color w:val="000000"/>
        </w:rPr>
        <w:t xml:space="preserve">5, párrafos cuadragésimo cuarto, </w:t>
      </w:r>
      <w:r>
        <w:rPr>
          <w:rFonts w:ascii="Palatino Linotype" w:eastAsia="Palatino Linotype" w:hAnsi="Palatino Linotype" w:cs="Palatino Linotype"/>
        </w:rPr>
        <w:t>cuadragésimo</w:t>
      </w:r>
      <w:r>
        <w:rPr>
          <w:rFonts w:ascii="Palatino Linotype" w:eastAsia="Palatino Linotype" w:hAnsi="Palatino Linotype" w:cs="Palatino Linotype"/>
          <w:color w:val="000000"/>
        </w:rPr>
        <w:t xml:space="preserve"> quinto y cuadragésimo sexto, fracciones IV y V, de la Constitución Política del Estado Libre y Soberano de México</w:t>
      </w:r>
      <w:r>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D50474" w:rsidRDefault="00D50474">
      <w:pPr>
        <w:ind w:right="278"/>
        <w:rPr>
          <w:rFonts w:ascii="Palatino Linotype" w:eastAsia="Palatino Linotype" w:hAnsi="Palatino Linotype" w:cs="Palatino Linotype"/>
        </w:rPr>
      </w:pPr>
      <w:bookmarkStart w:id="9" w:name="_heading=h.5c97cvrgdmru" w:colFirst="0" w:colLast="0"/>
      <w:bookmarkEnd w:id="9"/>
    </w:p>
    <w:p w:rsidR="00D50474" w:rsidRDefault="00342EB7">
      <w:pPr>
        <w:spacing w:line="360" w:lineRule="auto"/>
        <w:ind w:right="-858"/>
        <w:jc w:val="center"/>
        <w:rPr>
          <w:rFonts w:ascii="Palatino Linotype" w:eastAsia="Palatino Linotype" w:hAnsi="Palatino Linotype" w:cs="Palatino Linotype"/>
          <w:b/>
          <w:bCs/>
        </w:rPr>
      </w:pPr>
      <w:r>
        <w:rPr>
          <w:rFonts w:ascii="Palatino Linotype" w:eastAsia="Palatino Linotype" w:hAnsi="Palatino Linotype" w:cs="Palatino Linotype"/>
          <w:b/>
          <w:bCs/>
        </w:rPr>
        <w:t>R E S U E L V E</w:t>
      </w:r>
    </w:p>
    <w:p w:rsidR="00D50474" w:rsidRDefault="00D50474">
      <w:pPr>
        <w:spacing w:line="360" w:lineRule="auto"/>
        <w:ind w:right="-787"/>
        <w:jc w:val="center"/>
        <w:rPr>
          <w:rFonts w:ascii="Palatino Linotype" w:eastAsia="Palatino Linotype" w:hAnsi="Palatino Linotype" w:cs="Palatino Linotype"/>
          <w:b/>
          <w:bCs/>
        </w:rPr>
      </w:pPr>
    </w:p>
    <w:p w:rsidR="00D50474" w:rsidRDefault="00342EB7">
      <w:pPr>
        <w:spacing w:line="360" w:lineRule="auto"/>
        <w:ind w:right="-851"/>
        <w:jc w:val="both"/>
        <w:rPr>
          <w:rFonts w:ascii="Palatino Linotype" w:eastAsia="Palatino Linotype" w:hAnsi="Palatino Linotype" w:cs="Palatino Linotype"/>
          <w:b/>
          <w:bCs/>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w:t>
      </w:r>
      <w:r>
        <w:rPr>
          <w:rFonts w:ascii="Palatino Linotype" w:eastAsia="Palatino Linotype" w:hAnsi="Palatino Linotype" w:cs="Palatino Linotype"/>
          <w:b/>
          <w:bCs/>
        </w:rPr>
        <w:t>INFUNDADAS</w:t>
      </w:r>
      <w:r>
        <w:rPr>
          <w:rFonts w:ascii="Palatino Linotype" w:eastAsia="Palatino Linotype" w:hAnsi="Palatino Linotype" w:cs="Palatino Linotype"/>
        </w:rPr>
        <w:t xml:space="preserve"> las razones o motivos de inconformidad hechos valer en el recurso de revisión </w:t>
      </w:r>
      <w:r>
        <w:rPr>
          <w:rFonts w:ascii="Palatino Linotype" w:eastAsia="Palatino Linotype" w:hAnsi="Palatino Linotype" w:cs="Palatino Linotype"/>
          <w:b/>
          <w:bCs/>
        </w:rPr>
        <w:t>13288/INFOEM/IP/RR/2025</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 xml:space="preserve">Considerando CUARTO </w:t>
      </w:r>
      <w:r>
        <w:rPr>
          <w:rFonts w:ascii="Palatino Linotype" w:eastAsia="Palatino Linotype" w:hAnsi="Palatino Linotype" w:cs="Palatino Linotype"/>
        </w:rPr>
        <w:t>de la presente resolución</w:t>
      </w:r>
      <w:r>
        <w:rPr>
          <w:rFonts w:ascii="Palatino Linotype" w:eastAsia="Palatino Linotype" w:hAnsi="Palatino Linotype" w:cs="Palatino Linotype"/>
          <w:b/>
          <w:bCs/>
        </w:rPr>
        <w:t>.</w:t>
      </w:r>
    </w:p>
    <w:p w:rsidR="00D50474" w:rsidRDefault="00D50474">
      <w:pPr>
        <w:spacing w:line="360" w:lineRule="auto"/>
        <w:ind w:right="-851"/>
        <w:jc w:val="both"/>
        <w:rPr>
          <w:rFonts w:ascii="Palatino Linotype" w:eastAsia="Palatino Linotype" w:hAnsi="Palatino Linotype" w:cs="Palatino Linotype"/>
          <w:b/>
          <w:bCs/>
        </w:rPr>
      </w:pPr>
    </w:p>
    <w:p w:rsidR="00D50474" w:rsidRDefault="00342EB7">
      <w:pPr>
        <w:pBdr>
          <w:top w:val="nil"/>
          <w:left w:val="nil"/>
          <w:bottom w:val="nil"/>
          <w:right w:val="nil"/>
          <w:between w:val="nil"/>
        </w:pBdr>
        <w:spacing w:line="360" w:lineRule="auto"/>
        <w:ind w:right="-851"/>
        <w:jc w:val="both"/>
        <w:rPr>
          <w:rFonts w:ascii="Palatino Linotype" w:eastAsia="Palatino Linotype" w:hAnsi="Palatino Linotype" w:cs="Palatino Linotype"/>
        </w:rPr>
      </w:pPr>
      <w:bookmarkStart w:id="10" w:name="_heading=h.1ksv4uv" w:colFirst="0" w:colLast="0"/>
      <w:bookmarkEnd w:id="10"/>
      <w:r>
        <w:rPr>
          <w:rFonts w:ascii="Palatino Linotype" w:eastAsia="Palatino Linotype" w:hAnsi="Palatino Linotype" w:cs="Palatino Linotype"/>
          <w:b/>
          <w:bCs/>
        </w:rPr>
        <w:t>SEGUNDO.</w:t>
      </w:r>
      <w:r>
        <w:rPr>
          <w:rFonts w:ascii="Palatino Linotype" w:eastAsia="Palatino Linotype" w:hAnsi="Palatino Linotype" w:cs="Palatino Linotype"/>
          <w:color w:val="2F5496"/>
        </w:rPr>
        <w:t xml:space="preserve">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CONFIRMA</w:t>
      </w:r>
      <w:r>
        <w:rPr>
          <w:rFonts w:ascii="Palatino Linotype" w:eastAsia="Palatino Linotype" w:hAnsi="Palatino Linotype" w:cs="Palatino Linotype"/>
          <w:color w:val="000000"/>
        </w:rPr>
        <w:t xml:space="preserve"> la respuesta emitida por el </w:t>
      </w:r>
      <w:r>
        <w:rPr>
          <w:rFonts w:ascii="Palatino Linotype" w:eastAsia="Palatino Linotype" w:hAnsi="Palatino Linotype" w:cs="Palatino Linotype"/>
          <w:b/>
          <w:bCs/>
        </w:rPr>
        <w:t xml:space="preserve">Ayuntamiento de San Antonio la Isla, </w:t>
      </w:r>
      <w:r>
        <w:rPr>
          <w:rFonts w:ascii="Palatino Linotype" w:eastAsia="Palatino Linotype" w:hAnsi="Palatino Linotype" w:cs="Palatino Linotype"/>
        </w:rPr>
        <w:t xml:space="preserve">a la solicitud de información </w:t>
      </w:r>
      <w:r>
        <w:rPr>
          <w:rFonts w:ascii="Palatino Linotype" w:eastAsia="Palatino Linotype" w:hAnsi="Palatino Linotype" w:cs="Palatino Linotype"/>
          <w:b/>
          <w:bCs/>
        </w:rPr>
        <w:t>00100/ANTOISLA/IP/2025.</w:t>
      </w:r>
    </w:p>
    <w:p w:rsidR="00D50474" w:rsidRDefault="00D50474">
      <w:pPr>
        <w:spacing w:line="360" w:lineRule="auto"/>
        <w:ind w:right="-851"/>
        <w:jc w:val="both"/>
        <w:rPr>
          <w:rFonts w:ascii="Palatino Linotype" w:eastAsia="Palatino Linotype" w:hAnsi="Palatino Linotype" w:cs="Palatino Linotype"/>
          <w:b/>
          <w:bCs/>
        </w:rPr>
      </w:pPr>
    </w:p>
    <w:p w:rsidR="00D50474" w:rsidRDefault="00342EB7">
      <w:pPr>
        <w:spacing w:line="360" w:lineRule="auto"/>
        <w:ind w:right="-851"/>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TERCERO</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rPr>
        <w:t xml:space="preserve">Notifíquese, </w:t>
      </w:r>
      <w:r>
        <w:rPr>
          <w:rFonts w:ascii="Palatino Linotype" w:eastAsia="Palatino Linotype" w:hAnsi="Palatino Linotype" w:cs="Palatino Linotype"/>
        </w:rPr>
        <w:t xml:space="preserve">vía Sistema de Acceso a la Información Mexiquense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la presente resolución al Titular de la Unidad de Transparencia del </w:t>
      </w:r>
      <w:r>
        <w:rPr>
          <w:rFonts w:ascii="Palatino Linotype" w:eastAsia="Palatino Linotype" w:hAnsi="Palatino Linotype" w:cs="Palatino Linotype"/>
          <w:b/>
          <w:bCs/>
        </w:rPr>
        <w:t>SUJETO OBLIGADO.</w:t>
      </w:r>
    </w:p>
    <w:p w:rsidR="00D50474" w:rsidRDefault="00D50474">
      <w:pPr>
        <w:tabs>
          <w:tab w:val="left" w:pos="8080"/>
        </w:tabs>
        <w:spacing w:line="360" w:lineRule="auto"/>
        <w:ind w:right="-851"/>
        <w:jc w:val="both"/>
        <w:rPr>
          <w:rFonts w:ascii="Palatino Linotype" w:eastAsia="Palatino Linotype" w:hAnsi="Palatino Linotype" w:cs="Palatino Linotype"/>
          <w:b/>
          <w:bCs/>
        </w:rPr>
      </w:pPr>
    </w:p>
    <w:p w:rsidR="00D50474" w:rsidRDefault="00342EB7">
      <w:pPr>
        <w:spacing w:line="360" w:lineRule="auto"/>
        <w:ind w:right="-851"/>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b/>
          <w:bCs/>
          <w:color w:val="222222"/>
        </w:rPr>
        <w:t>Notifíquese al</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la presente resolución, vía Sistema de Acceso a la Información Mexiquense </w:t>
      </w:r>
      <w:r>
        <w:rPr>
          <w:rFonts w:ascii="Palatino Linotype" w:eastAsia="Palatino Linotype" w:hAnsi="Palatino Linotype" w:cs="Palatino Linotype"/>
          <w:b/>
          <w:bCs/>
        </w:rPr>
        <w:t>(SAIMEX).</w:t>
      </w:r>
    </w:p>
    <w:p w:rsidR="00D50474" w:rsidRDefault="00D50474">
      <w:pPr>
        <w:shd w:val="clear" w:color="auto" w:fill="FFFFFF"/>
        <w:spacing w:line="360" w:lineRule="auto"/>
        <w:ind w:right="-851"/>
        <w:jc w:val="both"/>
        <w:rPr>
          <w:rFonts w:ascii="Palatino Linotype" w:eastAsia="Palatino Linotype" w:hAnsi="Palatino Linotype" w:cs="Palatino Linotype"/>
        </w:rPr>
      </w:pPr>
    </w:p>
    <w:p w:rsidR="00D50474" w:rsidRDefault="00342EB7">
      <w:pPr>
        <w:spacing w:line="360" w:lineRule="auto"/>
        <w:ind w:right="-851"/>
        <w:jc w:val="both"/>
        <w:rPr>
          <w:rFonts w:ascii="Palatino Linotype" w:eastAsia="Palatino Linotype" w:hAnsi="Palatino Linotype" w:cs="Palatino Linotype"/>
        </w:rPr>
      </w:pPr>
      <w:r>
        <w:rPr>
          <w:rFonts w:ascii="Palatino Linotype" w:eastAsia="Palatino Linotype" w:hAnsi="Palatino Linotype" w:cs="Palatino Linotype"/>
          <w:b/>
          <w:bCs/>
        </w:rPr>
        <w:t>QUINTO.</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D50474" w:rsidRDefault="00D50474">
      <w:pPr>
        <w:spacing w:line="360" w:lineRule="auto"/>
        <w:ind w:right="-787"/>
        <w:jc w:val="both"/>
        <w:rPr>
          <w:rFonts w:ascii="Palatino Linotype" w:eastAsia="Palatino Linotype" w:hAnsi="Palatino Linotype" w:cs="Palatino Linotype"/>
          <w:b/>
          <w:bCs/>
        </w:rPr>
      </w:pPr>
    </w:p>
    <w:p w:rsidR="00583A68" w:rsidRPr="003E2295" w:rsidRDefault="00583A68" w:rsidP="00583A68">
      <w:pPr>
        <w:spacing w:before="240" w:after="240" w:line="360" w:lineRule="auto"/>
        <w:ind w:right="-858" w:firstLine="1"/>
        <w:jc w:val="both"/>
        <w:rPr>
          <w:rFonts w:ascii="Palatino Linotype" w:hAnsi="Palatino Linotype"/>
        </w:rPr>
      </w:pPr>
      <w:bookmarkStart w:id="11"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OCTAVA </w:t>
      </w:r>
      <w:r w:rsidRPr="003E2295">
        <w:rPr>
          <w:rFonts w:ascii="Palatino Linotype" w:hAnsi="Palatino Linotype" w:cs="Palatino Linotype"/>
        </w:rPr>
        <w:t>SESIÓN O</w:t>
      </w:r>
      <w:r>
        <w:rPr>
          <w:rFonts w:ascii="Palatino Linotype" w:hAnsi="Palatino Linotype" w:cs="Palatino Linotype"/>
        </w:rPr>
        <w:t>RDINARIA, CELEBRADA EL VEINTE (20</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1"/>
    <w:p w:rsidR="00D50474" w:rsidRDefault="00D50474">
      <w:pPr>
        <w:spacing w:before="240" w:after="240" w:line="360" w:lineRule="auto"/>
        <w:ind w:right="-787"/>
        <w:jc w:val="both"/>
        <w:rPr>
          <w:rFonts w:ascii="Palatino Linotype" w:eastAsia="Palatino Linotype" w:hAnsi="Palatino Linotype" w:cs="Palatino Linotype"/>
        </w:rPr>
      </w:pPr>
    </w:p>
    <w:p w:rsidR="00D50474" w:rsidRDefault="00D50474">
      <w:pPr>
        <w:rPr>
          <w:rFonts w:ascii="Palatino Linotype" w:eastAsia="Palatino Linotype" w:hAnsi="Palatino Linotype" w:cs="Palatino Linotype"/>
        </w:rPr>
      </w:pPr>
      <w:bookmarkStart w:id="12" w:name="_heading=h.yb2we5ftotm2" w:colFirst="0" w:colLast="0"/>
      <w:bookmarkEnd w:id="12"/>
    </w:p>
    <w:p w:rsidR="00D50474" w:rsidRDefault="00D50474">
      <w:pPr>
        <w:spacing w:line="360" w:lineRule="auto"/>
        <w:ind w:right="-787"/>
        <w:rPr>
          <w:rFonts w:ascii="Palatino Linotype" w:eastAsia="Palatino Linotype" w:hAnsi="Palatino Linotype" w:cs="Palatino Linotype"/>
        </w:rPr>
      </w:pPr>
    </w:p>
    <w:p w:rsidR="00D50474" w:rsidRDefault="00D50474">
      <w:pPr>
        <w:spacing w:line="360" w:lineRule="auto"/>
        <w:ind w:right="-787"/>
        <w:rPr>
          <w:rFonts w:ascii="Palatino Linotype" w:eastAsia="Palatino Linotype" w:hAnsi="Palatino Linotype" w:cs="Palatino Linotype"/>
        </w:rPr>
      </w:pPr>
    </w:p>
    <w:p w:rsidR="00D50474" w:rsidRDefault="00D50474">
      <w:pPr>
        <w:spacing w:line="360" w:lineRule="auto"/>
        <w:ind w:right="-787"/>
        <w:rPr>
          <w:rFonts w:ascii="Palatino Linotype" w:eastAsia="Palatino Linotype" w:hAnsi="Palatino Linotype" w:cs="Palatino Linotype"/>
        </w:rPr>
      </w:pPr>
    </w:p>
    <w:p w:rsidR="00D50474" w:rsidRDefault="00342EB7">
      <w:pPr>
        <w:tabs>
          <w:tab w:val="left" w:pos="3374"/>
        </w:tabs>
        <w:spacing w:line="360" w:lineRule="auto"/>
        <w:ind w:right="-787"/>
        <w:rPr>
          <w:rFonts w:ascii="Palatino Linotype" w:eastAsia="Palatino Linotype" w:hAnsi="Palatino Linotype" w:cs="Palatino Linotype"/>
        </w:rPr>
      </w:pPr>
      <w:bookmarkStart w:id="13" w:name="_heading=h.lnxbz9" w:colFirst="0" w:colLast="0"/>
      <w:bookmarkEnd w:id="13"/>
      <w:r>
        <w:rPr>
          <w:rFonts w:ascii="Palatino Linotype" w:eastAsia="Palatino Linotype" w:hAnsi="Palatino Linotype" w:cs="Palatino Linotype"/>
        </w:rPr>
        <w:tab/>
      </w:r>
    </w:p>
    <w:p w:rsidR="00870C92" w:rsidRDefault="00870C92">
      <w:pPr>
        <w:tabs>
          <w:tab w:val="left" w:pos="3374"/>
        </w:tabs>
        <w:spacing w:line="360" w:lineRule="auto"/>
        <w:ind w:right="-787"/>
        <w:rPr>
          <w:rFonts w:ascii="Palatino Linotype" w:eastAsia="Palatino Linotype" w:hAnsi="Palatino Linotype" w:cs="Palatino Linotype"/>
        </w:rPr>
      </w:pPr>
    </w:p>
    <w:p w:rsidR="00870C92" w:rsidRDefault="00870C92">
      <w:pPr>
        <w:tabs>
          <w:tab w:val="left" w:pos="3374"/>
        </w:tabs>
        <w:spacing w:line="360" w:lineRule="auto"/>
        <w:ind w:right="-787"/>
        <w:rPr>
          <w:rFonts w:ascii="Palatino Linotype" w:eastAsia="Palatino Linotype" w:hAnsi="Palatino Linotype" w:cs="Palatino Linotype"/>
        </w:rPr>
      </w:pPr>
    </w:p>
    <w:p w:rsidR="00870C92" w:rsidRDefault="00870C92">
      <w:pPr>
        <w:tabs>
          <w:tab w:val="left" w:pos="3374"/>
        </w:tabs>
        <w:spacing w:line="360" w:lineRule="auto"/>
        <w:ind w:right="-787"/>
        <w:rPr>
          <w:rFonts w:ascii="Palatino Linotype" w:eastAsia="Palatino Linotype" w:hAnsi="Palatino Linotype" w:cs="Palatino Linotype"/>
        </w:rPr>
      </w:pPr>
    </w:p>
    <w:p w:rsidR="00870C92" w:rsidRDefault="00870C92">
      <w:pPr>
        <w:tabs>
          <w:tab w:val="left" w:pos="3374"/>
        </w:tabs>
        <w:spacing w:line="360" w:lineRule="auto"/>
        <w:ind w:right="-787"/>
        <w:rPr>
          <w:rFonts w:ascii="Palatino Linotype" w:eastAsia="Palatino Linotype" w:hAnsi="Palatino Linotype" w:cs="Palatino Linotype"/>
        </w:rPr>
      </w:pPr>
    </w:p>
    <w:p w:rsidR="00870C92" w:rsidRDefault="00870C92">
      <w:pPr>
        <w:tabs>
          <w:tab w:val="left" w:pos="3374"/>
        </w:tabs>
        <w:spacing w:line="360" w:lineRule="auto"/>
        <w:ind w:right="-787"/>
        <w:rPr>
          <w:rFonts w:ascii="Palatino Linotype" w:eastAsia="Palatino Linotype" w:hAnsi="Palatino Linotype" w:cs="Palatino Linotype"/>
        </w:rPr>
      </w:pPr>
    </w:p>
    <w:p w:rsidR="00870C92" w:rsidRDefault="00870C92">
      <w:pPr>
        <w:tabs>
          <w:tab w:val="left" w:pos="3374"/>
        </w:tabs>
        <w:spacing w:line="360" w:lineRule="auto"/>
        <w:ind w:right="-787"/>
        <w:rPr>
          <w:rFonts w:ascii="Palatino Linotype" w:eastAsia="Palatino Linotype" w:hAnsi="Palatino Linotype" w:cs="Palatino Linotype"/>
        </w:rPr>
      </w:pPr>
    </w:p>
    <w:sectPr w:rsidR="00870C92">
      <w:headerReference w:type="even" r:id="rId10"/>
      <w:headerReference w:type="default" r:id="rId11"/>
      <w:footerReference w:type="default" r:id="rId12"/>
      <w:headerReference w:type="first" r:id="rId13"/>
      <w:footerReference w:type="first" r:id="rId14"/>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89D" w:rsidRDefault="0012789D">
      <w:r>
        <w:separator/>
      </w:r>
    </w:p>
  </w:endnote>
  <w:endnote w:type="continuationSeparator" w:id="0">
    <w:p w:rsidR="0012789D" w:rsidRDefault="00127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altName w:val="Palatino"/>
    <w:panose1 w:val="02040502050505030304"/>
    <w:charset w:val="00"/>
    <w:family w:val="roman"/>
    <w:pitch w:val="variable"/>
    <w:sig w:usb0="E0000287" w:usb1="40000013" w:usb2="00000000" w:usb3="00000000" w:csb0="0000019F" w:csb1="00000000"/>
    <w:embedRegular r:id="rId1" w:fontKey="{58939757-A5C7-443D-B21E-47232E946E6C}"/>
    <w:embedBold r:id="rId2" w:fontKey="{45A3C399-2644-408F-8B5E-A3A0D7B30DA4}"/>
    <w:embedItalic r:id="rId3" w:fontKey="{2F5D1204-9232-403B-8E35-E99137A02A07}"/>
    <w:embedBoldItalic r:id="rId4" w:fontKey="{E35B5F56-647B-40CD-873D-C0A8802A90FD}"/>
  </w:font>
  <w:font w:name="Noto Sans Symbols">
    <w:altName w:val="Times New Roman"/>
    <w:charset w:val="00"/>
    <w:family w:val="auto"/>
    <w:pitch w:val="default"/>
    <w:embedRegular r:id="rId5" w:fontKey="{9FD874C8-5621-4163-B00C-963131D6C206}"/>
    <w:embedBold r:id="rId6" w:fontKey="{0846B77B-F294-4C1F-A944-2B0A641B545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C859E75F-06F0-4203-A5C8-5CAED71D577E}"/>
    <w:embedBold r:id="rId8" w:fontKey="{FD0BA16D-67ED-4141-931A-7C5DDF93B157}"/>
  </w:font>
  <w:font w:name="Georgia">
    <w:panose1 w:val="02040502050405020303"/>
    <w:charset w:val="00"/>
    <w:family w:val="roman"/>
    <w:pitch w:val="variable"/>
    <w:sig w:usb0="00000287" w:usb1="00000000" w:usb2="00000000" w:usb3="00000000" w:csb0="0000009F" w:csb1="00000000"/>
    <w:embedItalic r:id="rId9" w:fontKey="{E341C499-AFAE-4F12-9680-47440E05DB0B}"/>
  </w:font>
  <w:font w:name="Cambria">
    <w:panose1 w:val="02040503050406030204"/>
    <w:charset w:val="00"/>
    <w:family w:val="roman"/>
    <w:pitch w:val="variable"/>
    <w:sig w:usb0="E00006FF" w:usb1="420024FF" w:usb2="02000000" w:usb3="00000000" w:csb0="0000019F" w:csb1="00000000"/>
    <w:embedRegular r:id="rId10" w:fontKey="{60450200-67A8-4186-AAF8-18C85D8FD5D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474" w:rsidRDefault="00342EB7">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D07C4A">
      <w:rPr>
        <w:rFonts w:ascii="Palatino Linotype" w:eastAsia="Palatino Linotype" w:hAnsi="Palatino Linotype" w:cs="Palatino Linotype"/>
        <w:noProof/>
        <w:color w:val="000000"/>
        <w:sz w:val="22"/>
        <w:szCs w:val="22"/>
      </w:rPr>
      <w:t>18</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D07C4A">
      <w:rPr>
        <w:rFonts w:ascii="Palatino Linotype" w:eastAsia="Palatino Linotype" w:hAnsi="Palatino Linotype" w:cs="Palatino Linotype"/>
        <w:noProof/>
        <w:color w:val="000000"/>
        <w:sz w:val="22"/>
        <w:szCs w:val="22"/>
      </w:rPr>
      <w:t>18</w:t>
    </w:r>
    <w:r>
      <w:rPr>
        <w:rFonts w:ascii="Palatino Linotype" w:eastAsia="Palatino Linotype" w:hAnsi="Palatino Linotype" w:cs="Palatino Linotype"/>
        <w:color w:val="000000"/>
        <w:sz w:val="22"/>
        <w:szCs w:val="22"/>
      </w:rPr>
      <w:fldChar w:fldCharType="end"/>
    </w:r>
  </w:p>
  <w:p w:rsidR="00D50474" w:rsidRDefault="00D5047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474" w:rsidRDefault="00342EB7">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D07C4A">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D07C4A">
      <w:rPr>
        <w:rFonts w:ascii="Palatino Linotype" w:eastAsia="Palatino Linotype" w:hAnsi="Palatino Linotype" w:cs="Palatino Linotype"/>
        <w:noProof/>
        <w:color w:val="000000"/>
        <w:sz w:val="22"/>
        <w:szCs w:val="22"/>
      </w:rPr>
      <w:t>18</w:t>
    </w:r>
    <w:r>
      <w:rPr>
        <w:rFonts w:ascii="Palatino Linotype" w:eastAsia="Palatino Linotype" w:hAnsi="Palatino Linotype" w:cs="Palatino Linotype"/>
        <w:color w:val="000000"/>
        <w:sz w:val="22"/>
        <w:szCs w:val="22"/>
      </w:rPr>
      <w:fldChar w:fldCharType="end"/>
    </w:r>
  </w:p>
  <w:p w:rsidR="00D50474" w:rsidRDefault="00D5047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89D" w:rsidRDefault="0012789D">
      <w:r>
        <w:separator/>
      </w:r>
    </w:p>
  </w:footnote>
  <w:footnote w:type="continuationSeparator" w:id="0">
    <w:p w:rsidR="0012789D" w:rsidRDefault="001278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474" w:rsidRDefault="0012789D">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7655" w:type="dxa"/>
      <w:tblInd w:w="2268" w:type="dxa"/>
      <w:tblLayout w:type="fixed"/>
      <w:tblLook w:val="0400" w:firstRow="0" w:lastRow="0" w:firstColumn="0" w:lastColumn="0" w:noHBand="0" w:noVBand="1"/>
    </w:tblPr>
    <w:tblGrid>
      <w:gridCol w:w="3555"/>
      <w:gridCol w:w="4100"/>
    </w:tblGrid>
    <w:tr w:rsidR="00D50474" w:rsidTr="009764A6">
      <w:trPr>
        <w:trHeight w:val="227"/>
      </w:trPr>
      <w:tc>
        <w:tcPr>
          <w:tcW w:w="3555" w:type="dxa"/>
        </w:tcPr>
        <w:p w:rsidR="00D50474" w:rsidRDefault="00342EB7">
          <w:pPr>
            <w:ind w:left="-425" w:right="52"/>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100" w:type="dxa"/>
        </w:tcPr>
        <w:p w:rsidR="00D50474" w:rsidRDefault="00342EB7">
          <w:pPr>
            <w:pBdr>
              <w:top w:val="nil"/>
              <w:left w:val="nil"/>
              <w:bottom w:val="nil"/>
              <w:right w:val="nil"/>
              <w:between w:val="nil"/>
            </w:pBdr>
            <w:tabs>
              <w:tab w:val="right" w:pos="8838"/>
            </w:tabs>
            <w:ind w:left="-68" w:right="52"/>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13288/INFOEM/IP/RR/2025</w:t>
          </w:r>
        </w:p>
      </w:tc>
    </w:tr>
    <w:tr w:rsidR="00D50474" w:rsidTr="009764A6">
      <w:trPr>
        <w:trHeight w:val="342"/>
      </w:trPr>
      <w:tc>
        <w:tcPr>
          <w:tcW w:w="3555" w:type="dxa"/>
        </w:tcPr>
        <w:p w:rsidR="00D50474" w:rsidRDefault="00342EB7">
          <w:pPr>
            <w:ind w:left="-425" w:right="52"/>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100" w:type="dxa"/>
        </w:tcPr>
        <w:p w:rsidR="00D50474" w:rsidRPr="009764A6" w:rsidRDefault="00342EB7" w:rsidP="009764A6">
          <w:pPr>
            <w:pBdr>
              <w:top w:val="nil"/>
              <w:left w:val="nil"/>
              <w:bottom w:val="nil"/>
              <w:right w:val="nil"/>
              <w:between w:val="nil"/>
            </w:pBdr>
            <w:tabs>
              <w:tab w:val="right" w:pos="8838"/>
            </w:tabs>
            <w:ind w:left="-68" w:right="-615"/>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Ayuntamiento de San Antonio la Isla</w:t>
          </w:r>
        </w:p>
      </w:tc>
    </w:tr>
    <w:tr w:rsidR="00D50474" w:rsidTr="009764A6">
      <w:trPr>
        <w:trHeight w:val="342"/>
      </w:trPr>
      <w:tc>
        <w:tcPr>
          <w:tcW w:w="3555" w:type="dxa"/>
        </w:tcPr>
        <w:p w:rsidR="00D50474" w:rsidRDefault="00342EB7">
          <w:pPr>
            <w:ind w:left="-425" w:right="52"/>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100" w:type="dxa"/>
        </w:tcPr>
        <w:p w:rsidR="00D50474" w:rsidRDefault="00342EB7">
          <w:pPr>
            <w:pBdr>
              <w:top w:val="nil"/>
              <w:left w:val="nil"/>
              <w:bottom w:val="nil"/>
              <w:right w:val="nil"/>
              <w:between w:val="nil"/>
            </w:pBdr>
            <w:tabs>
              <w:tab w:val="right" w:pos="8838"/>
            </w:tabs>
            <w:ind w:left="-68" w:right="52"/>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D50474" w:rsidRDefault="0012789D">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72.1pt;margin-top:-121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785" w:type="dxa"/>
      <w:tblInd w:w="2511" w:type="dxa"/>
      <w:tblLayout w:type="fixed"/>
      <w:tblLook w:val="0400" w:firstRow="0" w:lastRow="0" w:firstColumn="0" w:lastColumn="0" w:noHBand="0" w:noVBand="1"/>
    </w:tblPr>
    <w:tblGrid>
      <w:gridCol w:w="3045"/>
      <w:gridCol w:w="4740"/>
    </w:tblGrid>
    <w:tr w:rsidR="00D50474">
      <w:trPr>
        <w:trHeight w:val="316"/>
      </w:trPr>
      <w:tc>
        <w:tcPr>
          <w:tcW w:w="3045" w:type="dxa"/>
        </w:tcPr>
        <w:p w:rsidR="00D50474" w:rsidRDefault="00342EB7">
          <w:pPr>
            <w:ind w:left="141" w:right="-81"/>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740" w:type="dxa"/>
        </w:tcPr>
        <w:p w:rsidR="00D50474" w:rsidRDefault="00342EB7">
          <w:pPr>
            <w:pBdr>
              <w:top w:val="nil"/>
              <w:left w:val="nil"/>
              <w:bottom w:val="nil"/>
              <w:right w:val="nil"/>
              <w:between w:val="nil"/>
            </w:pBdr>
            <w:tabs>
              <w:tab w:val="right" w:pos="8838"/>
            </w:tabs>
            <w:ind w:left="141" w:right="38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13288/INFOEM/IP/RR/2025</w:t>
          </w:r>
        </w:p>
      </w:tc>
    </w:tr>
    <w:tr w:rsidR="00D50474">
      <w:trPr>
        <w:trHeight w:val="316"/>
      </w:trPr>
      <w:tc>
        <w:tcPr>
          <w:tcW w:w="3045" w:type="dxa"/>
        </w:tcPr>
        <w:p w:rsidR="00D50474" w:rsidRDefault="00342EB7">
          <w:pPr>
            <w:ind w:left="141" w:right="-81"/>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740" w:type="dxa"/>
          <w:shd w:val="clear" w:color="auto" w:fill="auto"/>
        </w:tcPr>
        <w:p w:rsidR="00D50474" w:rsidRDefault="00D07C4A">
          <w:pPr>
            <w:pBdr>
              <w:top w:val="nil"/>
              <w:left w:val="nil"/>
              <w:bottom w:val="nil"/>
              <w:right w:val="nil"/>
              <w:between w:val="nil"/>
            </w:pBdr>
            <w:tabs>
              <w:tab w:val="right" w:pos="8838"/>
              <w:tab w:val="left" w:pos="521"/>
            </w:tabs>
            <w:ind w:left="141" w:right="38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XXXX</w:t>
          </w:r>
        </w:p>
      </w:tc>
    </w:tr>
    <w:tr w:rsidR="00D50474">
      <w:trPr>
        <w:trHeight w:val="337"/>
      </w:trPr>
      <w:tc>
        <w:tcPr>
          <w:tcW w:w="3045" w:type="dxa"/>
        </w:tcPr>
        <w:p w:rsidR="00D50474" w:rsidRDefault="00342EB7">
          <w:pPr>
            <w:ind w:left="141" w:right="-81"/>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740" w:type="dxa"/>
        </w:tcPr>
        <w:p w:rsidR="00D50474" w:rsidRDefault="00342EB7">
          <w:pPr>
            <w:pBdr>
              <w:top w:val="nil"/>
              <w:left w:val="nil"/>
              <w:bottom w:val="nil"/>
              <w:right w:val="nil"/>
              <w:between w:val="nil"/>
            </w:pBdr>
            <w:tabs>
              <w:tab w:val="right" w:pos="8838"/>
            </w:tabs>
            <w:ind w:left="141" w:right="38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San Antonio la Isla</w:t>
          </w:r>
        </w:p>
      </w:tc>
    </w:tr>
    <w:tr w:rsidR="00D50474">
      <w:trPr>
        <w:trHeight w:val="632"/>
      </w:trPr>
      <w:tc>
        <w:tcPr>
          <w:tcW w:w="3045" w:type="dxa"/>
        </w:tcPr>
        <w:p w:rsidR="00D50474" w:rsidRDefault="00342EB7">
          <w:pPr>
            <w:ind w:left="141" w:right="-81"/>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740" w:type="dxa"/>
        </w:tcPr>
        <w:p w:rsidR="00D50474" w:rsidRDefault="00342EB7">
          <w:pPr>
            <w:pBdr>
              <w:top w:val="nil"/>
              <w:left w:val="nil"/>
              <w:bottom w:val="nil"/>
              <w:right w:val="nil"/>
              <w:between w:val="nil"/>
            </w:pBdr>
            <w:tabs>
              <w:tab w:val="right" w:pos="8838"/>
            </w:tabs>
            <w:ind w:left="141" w:right="3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D50474" w:rsidRDefault="0012789D">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BA3214"/>
    <w:multiLevelType w:val="multilevel"/>
    <w:tmpl w:val="C0F2A1E0"/>
    <w:lvl w:ilvl="0">
      <w:start w:val="1"/>
      <w:numFmt w:val="decimal"/>
      <w:lvlText w:val="%1."/>
      <w:lvlJc w:val="left"/>
      <w:pPr>
        <w:ind w:left="2629"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bCs/>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FB746DA"/>
    <w:multiLevelType w:val="multilevel"/>
    <w:tmpl w:val="DAB4B02E"/>
    <w:lvl w:ilvl="0">
      <w:start w:val="1"/>
      <w:numFmt w:val="decimal"/>
      <w:lvlText w:val="%1)"/>
      <w:lvlJc w:val="left"/>
      <w:pPr>
        <w:ind w:left="1440" w:hanging="360"/>
      </w:pPr>
    </w:lvl>
    <w:lvl w:ilvl="1">
      <w:start w:val="1"/>
      <w:numFmt w:val="bullet"/>
      <w:lvlText w:val="●"/>
      <w:lvlJc w:val="left"/>
      <w:pPr>
        <w:ind w:left="2160" w:hanging="360"/>
      </w:pPr>
      <w:rPr>
        <w:rFonts w:ascii="Noto Sans Symbols" w:eastAsia="Noto Sans Symbols" w:hAnsi="Noto Sans Symbols" w:cs="Noto Sans Symbols"/>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3524564B"/>
    <w:multiLevelType w:val="multilevel"/>
    <w:tmpl w:val="83BE86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DC646BC"/>
    <w:multiLevelType w:val="multilevel"/>
    <w:tmpl w:val="CAF465D0"/>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4" w15:restartNumberingAfterBreak="0">
    <w:nsid w:val="5DDA3E1E"/>
    <w:multiLevelType w:val="multilevel"/>
    <w:tmpl w:val="6B54D546"/>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5" w15:restartNumberingAfterBreak="0">
    <w:nsid w:val="762D6982"/>
    <w:multiLevelType w:val="multilevel"/>
    <w:tmpl w:val="F176D4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5"/>
  </w:num>
  <w:num w:numId="2">
    <w:abstractNumId w:val="4"/>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474"/>
    <w:rsid w:val="0012789D"/>
    <w:rsid w:val="002523BA"/>
    <w:rsid w:val="00342EB7"/>
    <w:rsid w:val="003C6C15"/>
    <w:rsid w:val="00583A68"/>
    <w:rsid w:val="006857E4"/>
    <w:rsid w:val="00870C92"/>
    <w:rsid w:val="008D2890"/>
    <w:rsid w:val="009764A6"/>
    <w:rsid w:val="00D07C4A"/>
    <w:rsid w:val="00D504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31C926E-A00F-4FFE-B05B-1E08C81A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583A68"/>
    <w:pPr>
      <w:tabs>
        <w:tab w:val="center" w:pos="4419"/>
        <w:tab w:val="right" w:pos="8838"/>
      </w:tabs>
    </w:pPr>
  </w:style>
  <w:style w:type="character" w:customStyle="1" w:styleId="PiedepginaCar">
    <w:name w:val="Pie de página Car"/>
    <w:basedOn w:val="Fuentedeprrafopredeter"/>
    <w:link w:val="Piedepgina"/>
    <w:uiPriority w:val="99"/>
    <w:rsid w:val="00583A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hYT/bU5rWgIQbPVBpbUDEMNkag==">CgMxLjAyCGguZ2pkZ3hzMgloLjMwajB6bGwyDmgubzlyemdvbGw3aDJrMgloLjFmb2I5dGUyCWguM3pueXNoNzIJaC4yZXQ5MnAwMgloLjF0M2g1c2YyCWguMnM4ZXlvMTIOaC41Yzk3Y3ZyZ2RtcnUyCWguMWtzdjR1djIOaC55YjJ3ZTVmdG90bTIyCGgubG54Yno5OAByITFoY2ZPQWIwX0hfQlhDRFd3SGFXTUduU2dxWGhfVmx4eQ==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4291</Words>
  <Characters>23602</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27838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2026-05-21T23:22:00Z</cp:lastPrinted>
  <dcterms:created xsi:type="dcterms:W3CDTF">2026-05-20T22:57:00Z</dcterms:created>
  <dcterms:modified xsi:type="dcterms:W3CDTF">2026-05-29T00:02:00Z</dcterms:modified>
</cp:coreProperties>
</file>