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1162C4">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DCFAC35" w:rsidR="00C4052B" w:rsidRPr="0012520B" w:rsidRDefault="00C4052B" w:rsidP="001162C4">
          <w:pPr>
            <w:pStyle w:val="TtuloTDC"/>
            <w:spacing w:before="0" w:line="360" w:lineRule="auto"/>
            <w:jc w:val="center"/>
            <w:rPr>
              <w:rFonts w:ascii="Palatino Linotype" w:hAnsi="Palatino Linotype"/>
              <w:color w:val="auto"/>
              <w:sz w:val="22"/>
              <w:szCs w:val="22"/>
            </w:rPr>
          </w:pPr>
          <w:r w:rsidRPr="0012520B">
            <w:rPr>
              <w:rFonts w:ascii="Palatino Linotype" w:hAnsi="Palatino Linotype"/>
              <w:color w:val="auto"/>
              <w:sz w:val="22"/>
              <w:szCs w:val="22"/>
              <w:lang w:val="es-ES"/>
            </w:rPr>
            <w:t xml:space="preserve">RESOLUCIÓN DEL RECURSO DE REVISIÓN </w:t>
          </w:r>
          <w:r w:rsidR="00B32D97">
            <w:rPr>
              <w:rFonts w:ascii="Palatino Linotype" w:hAnsi="Palatino Linotype"/>
              <w:color w:val="auto"/>
              <w:sz w:val="22"/>
              <w:szCs w:val="22"/>
            </w:rPr>
            <w:t>13896</w:t>
          </w:r>
          <w:r w:rsidR="000D392E" w:rsidRPr="0012520B">
            <w:rPr>
              <w:rFonts w:ascii="Palatino Linotype" w:hAnsi="Palatino Linotype"/>
              <w:color w:val="auto"/>
              <w:sz w:val="22"/>
              <w:szCs w:val="22"/>
            </w:rPr>
            <w:t>/INFOEM/IP/RR/2025</w:t>
          </w:r>
        </w:p>
        <w:p w14:paraId="73933EFA" w14:textId="77777777" w:rsidR="00C4052B" w:rsidRPr="0012520B" w:rsidRDefault="00C4052B" w:rsidP="001162C4">
          <w:pPr>
            <w:spacing w:after="0" w:line="360" w:lineRule="auto"/>
          </w:pPr>
        </w:p>
        <w:p w14:paraId="228EFD37" w14:textId="6FABDADA" w:rsidR="0057076C" w:rsidRDefault="00C4052B">
          <w:pPr>
            <w:pStyle w:val="TDC1"/>
            <w:tabs>
              <w:tab w:val="right" w:leader="dot" w:pos="8921"/>
            </w:tabs>
            <w:rPr>
              <w:rFonts w:asciiTheme="minorHAnsi" w:eastAsiaTheme="minorEastAsia" w:hAnsiTheme="minorHAnsi" w:cstheme="minorBidi"/>
              <w:noProof/>
              <w:color w:val="auto"/>
            </w:rPr>
          </w:pPr>
          <w:r w:rsidRPr="0012520B">
            <w:fldChar w:fldCharType="begin"/>
          </w:r>
          <w:r w:rsidRPr="0012520B">
            <w:instrText xml:space="preserve"> TOC \o "1-3" \h \z \u </w:instrText>
          </w:r>
          <w:r w:rsidRPr="0012520B">
            <w:fldChar w:fldCharType="separate"/>
          </w:r>
          <w:hyperlink w:anchor="_Toc219289820" w:history="1">
            <w:r w:rsidR="0057076C" w:rsidRPr="00DA67DE">
              <w:rPr>
                <w:rStyle w:val="Hipervnculo"/>
                <w:noProof/>
              </w:rPr>
              <w:t>A N T E C E D E N T E S</w:t>
            </w:r>
            <w:r w:rsidR="0057076C">
              <w:rPr>
                <w:noProof/>
                <w:webHidden/>
              </w:rPr>
              <w:tab/>
            </w:r>
            <w:r w:rsidR="0057076C">
              <w:rPr>
                <w:noProof/>
                <w:webHidden/>
              </w:rPr>
              <w:fldChar w:fldCharType="begin"/>
            </w:r>
            <w:r w:rsidR="0057076C">
              <w:rPr>
                <w:noProof/>
                <w:webHidden/>
              </w:rPr>
              <w:instrText xml:space="preserve"> PAGEREF _Toc219289820 \h </w:instrText>
            </w:r>
            <w:r w:rsidR="0057076C">
              <w:rPr>
                <w:noProof/>
                <w:webHidden/>
              </w:rPr>
            </w:r>
            <w:r w:rsidR="0057076C">
              <w:rPr>
                <w:noProof/>
                <w:webHidden/>
              </w:rPr>
              <w:fldChar w:fldCharType="separate"/>
            </w:r>
            <w:r w:rsidR="00A15668">
              <w:rPr>
                <w:noProof/>
                <w:webHidden/>
              </w:rPr>
              <w:t>2</w:t>
            </w:r>
            <w:r w:rsidR="0057076C">
              <w:rPr>
                <w:noProof/>
                <w:webHidden/>
              </w:rPr>
              <w:fldChar w:fldCharType="end"/>
            </w:r>
          </w:hyperlink>
        </w:p>
        <w:p w14:paraId="6294FAC0" w14:textId="04F66FC0" w:rsidR="0057076C" w:rsidRDefault="0057076C">
          <w:pPr>
            <w:pStyle w:val="TDC2"/>
            <w:tabs>
              <w:tab w:val="right" w:leader="dot" w:pos="8921"/>
            </w:tabs>
            <w:rPr>
              <w:rFonts w:asciiTheme="minorHAnsi" w:eastAsiaTheme="minorEastAsia" w:hAnsiTheme="minorHAnsi" w:cstheme="minorBidi"/>
              <w:noProof/>
              <w:color w:val="auto"/>
            </w:rPr>
          </w:pPr>
          <w:hyperlink w:anchor="_Toc219289821" w:history="1">
            <w:r w:rsidRPr="00DA67DE">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_Toc219289821 \h </w:instrText>
            </w:r>
            <w:r>
              <w:rPr>
                <w:noProof/>
                <w:webHidden/>
              </w:rPr>
            </w:r>
            <w:r>
              <w:rPr>
                <w:noProof/>
                <w:webHidden/>
              </w:rPr>
              <w:fldChar w:fldCharType="separate"/>
            </w:r>
            <w:r w:rsidR="00A15668">
              <w:rPr>
                <w:noProof/>
                <w:webHidden/>
              </w:rPr>
              <w:t>2</w:t>
            </w:r>
            <w:r>
              <w:rPr>
                <w:noProof/>
                <w:webHidden/>
              </w:rPr>
              <w:fldChar w:fldCharType="end"/>
            </w:r>
          </w:hyperlink>
        </w:p>
        <w:p w14:paraId="08647471" w14:textId="7037082D" w:rsidR="0057076C" w:rsidRDefault="0057076C">
          <w:pPr>
            <w:pStyle w:val="TDC2"/>
            <w:tabs>
              <w:tab w:val="right" w:leader="dot" w:pos="8921"/>
            </w:tabs>
            <w:rPr>
              <w:rFonts w:asciiTheme="minorHAnsi" w:eastAsiaTheme="minorEastAsia" w:hAnsiTheme="minorHAnsi" w:cstheme="minorBidi"/>
              <w:noProof/>
              <w:color w:val="auto"/>
            </w:rPr>
          </w:pPr>
          <w:hyperlink w:anchor="_Toc219289822" w:history="1">
            <w:r w:rsidRPr="00DA67DE">
              <w:rPr>
                <w:rStyle w:val="Hipervnculo"/>
                <w:rFonts w:cs="Tahoma"/>
                <w:noProof/>
              </w:rPr>
              <w:t>II.</w:t>
            </w:r>
            <w:r w:rsidRPr="00DA67DE">
              <w:rPr>
                <w:rStyle w:val="Hipervnculo"/>
                <w:noProof/>
              </w:rPr>
              <w:t xml:space="preserve"> Respuesta del Sujeto Obligado</w:t>
            </w:r>
            <w:r>
              <w:rPr>
                <w:noProof/>
                <w:webHidden/>
              </w:rPr>
              <w:tab/>
            </w:r>
            <w:r>
              <w:rPr>
                <w:noProof/>
                <w:webHidden/>
              </w:rPr>
              <w:fldChar w:fldCharType="begin"/>
            </w:r>
            <w:r>
              <w:rPr>
                <w:noProof/>
                <w:webHidden/>
              </w:rPr>
              <w:instrText xml:space="preserve"> PAGEREF _Toc219289822 \h </w:instrText>
            </w:r>
            <w:r>
              <w:rPr>
                <w:noProof/>
                <w:webHidden/>
              </w:rPr>
            </w:r>
            <w:r>
              <w:rPr>
                <w:noProof/>
                <w:webHidden/>
              </w:rPr>
              <w:fldChar w:fldCharType="separate"/>
            </w:r>
            <w:r w:rsidR="00A15668">
              <w:rPr>
                <w:noProof/>
                <w:webHidden/>
              </w:rPr>
              <w:t>3</w:t>
            </w:r>
            <w:r>
              <w:rPr>
                <w:noProof/>
                <w:webHidden/>
              </w:rPr>
              <w:fldChar w:fldCharType="end"/>
            </w:r>
          </w:hyperlink>
        </w:p>
        <w:p w14:paraId="10D3BA9E" w14:textId="621ACA30" w:rsidR="0057076C" w:rsidRDefault="0057076C">
          <w:pPr>
            <w:pStyle w:val="TDC2"/>
            <w:tabs>
              <w:tab w:val="right" w:leader="dot" w:pos="8921"/>
            </w:tabs>
            <w:rPr>
              <w:rFonts w:asciiTheme="minorHAnsi" w:eastAsiaTheme="minorEastAsia" w:hAnsiTheme="minorHAnsi" w:cstheme="minorBidi"/>
              <w:noProof/>
              <w:color w:val="auto"/>
            </w:rPr>
          </w:pPr>
          <w:hyperlink w:anchor="_Toc219289823" w:history="1">
            <w:r w:rsidRPr="00DA67DE">
              <w:rPr>
                <w:rStyle w:val="Hipervnculo"/>
                <w:noProof/>
              </w:rPr>
              <w:t>III. Interposición del Recurso de Revisión</w:t>
            </w:r>
            <w:r>
              <w:rPr>
                <w:noProof/>
                <w:webHidden/>
              </w:rPr>
              <w:tab/>
            </w:r>
            <w:r>
              <w:rPr>
                <w:noProof/>
                <w:webHidden/>
              </w:rPr>
              <w:fldChar w:fldCharType="begin"/>
            </w:r>
            <w:r>
              <w:rPr>
                <w:noProof/>
                <w:webHidden/>
              </w:rPr>
              <w:instrText xml:space="preserve"> PAGEREF _Toc219289823 \h </w:instrText>
            </w:r>
            <w:r>
              <w:rPr>
                <w:noProof/>
                <w:webHidden/>
              </w:rPr>
            </w:r>
            <w:r>
              <w:rPr>
                <w:noProof/>
                <w:webHidden/>
              </w:rPr>
              <w:fldChar w:fldCharType="separate"/>
            </w:r>
            <w:r w:rsidR="00A15668">
              <w:rPr>
                <w:noProof/>
                <w:webHidden/>
              </w:rPr>
              <w:t>5</w:t>
            </w:r>
            <w:r>
              <w:rPr>
                <w:noProof/>
                <w:webHidden/>
              </w:rPr>
              <w:fldChar w:fldCharType="end"/>
            </w:r>
          </w:hyperlink>
        </w:p>
        <w:p w14:paraId="25AAEF48" w14:textId="6D1397D0" w:rsidR="0057076C" w:rsidRDefault="0057076C">
          <w:pPr>
            <w:pStyle w:val="TDC2"/>
            <w:tabs>
              <w:tab w:val="right" w:leader="dot" w:pos="8921"/>
            </w:tabs>
            <w:rPr>
              <w:rFonts w:asciiTheme="minorHAnsi" w:eastAsiaTheme="minorEastAsia" w:hAnsiTheme="minorHAnsi" w:cstheme="minorBidi"/>
              <w:noProof/>
              <w:color w:val="auto"/>
            </w:rPr>
          </w:pPr>
          <w:hyperlink w:anchor="_Toc219289824" w:history="1">
            <w:r w:rsidRPr="00DA67DE">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_Toc219289824 \h </w:instrText>
            </w:r>
            <w:r>
              <w:rPr>
                <w:noProof/>
                <w:webHidden/>
              </w:rPr>
            </w:r>
            <w:r>
              <w:rPr>
                <w:noProof/>
                <w:webHidden/>
              </w:rPr>
              <w:fldChar w:fldCharType="separate"/>
            </w:r>
            <w:r w:rsidR="00A15668">
              <w:rPr>
                <w:noProof/>
                <w:webHidden/>
              </w:rPr>
              <w:t>6</w:t>
            </w:r>
            <w:r>
              <w:rPr>
                <w:noProof/>
                <w:webHidden/>
              </w:rPr>
              <w:fldChar w:fldCharType="end"/>
            </w:r>
          </w:hyperlink>
        </w:p>
        <w:p w14:paraId="29AA5342" w14:textId="0BA80DEA" w:rsidR="0057076C" w:rsidRDefault="0057076C">
          <w:pPr>
            <w:pStyle w:val="TDC1"/>
            <w:tabs>
              <w:tab w:val="right" w:leader="dot" w:pos="8921"/>
            </w:tabs>
            <w:rPr>
              <w:rFonts w:asciiTheme="minorHAnsi" w:eastAsiaTheme="minorEastAsia" w:hAnsiTheme="minorHAnsi" w:cstheme="minorBidi"/>
              <w:noProof/>
              <w:color w:val="auto"/>
            </w:rPr>
          </w:pPr>
          <w:hyperlink w:anchor="_Toc219289825" w:history="1">
            <w:r w:rsidRPr="00DA67DE">
              <w:rPr>
                <w:rStyle w:val="Hipervnculo"/>
                <w:noProof/>
              </w:rPr>
              <w:t>C O N S I D E R A N D O S</w:t>
            </w:r>
            <w:r>
              <w:rPr>
                <w:noProof/>
                <w:webHidden/>
              </w:rPr>
              <w:tab/>
            </w:r>
            <w:r>
              <w:rPr>
                <w:noProof/>
                <w:webHidden/>
              </w:rPr>
              <w:fldChar w:fldCharType="begin"/>
            </w:r>
            <w:r>
              <w:rPr>
                <w:noProof/>
                <w:webHidden/>
              </w:rPr>
              <w:instrText xml:space="preserve"> PAGEREF _Toc219289825 \h </w:instrText>
            </w:r>
            <w:r>
              <w:rPr>
                <w:noProof/>
                <w:webHidden/>
              </w:rPr>
            </w:r>
            <w:r>
              <w:rPr>
                <w:noProof/>
                <w:webHidden/>
              </w:rPr>
              <w:fldChar w:fldCharType="separate"/>
            </w:r>
            <w:r w:rsidR="00A15668">
              <w:rPr>
                <w:noProof/>
                <w:webHidden/>
              </w:rPr>
              <w:t>8</w:t>
            </w:r>
            <w:r>
              <w:rPr>
                <w:noProof/>
                <w:webHidden/>
              </w:rPr>
              <w:fldChar w:fldCharType="end"/>
            </w:r>
          </w:hyperlink>
        </w:p>
        <w:p w14:paraId="0648C400" w14:textId="6376D265" w:rsidR="0057076C" w:rsidRDefault="0057076C">
          <w:pPr>
            <w:pStyle w:val="TDC2"/>
            <w:tabs>
              <w:tab w:val="right" w:leader="dot" w:pos="8921"/>
            </w:tabs>
            <w:rPr>
              <w:rFonts w:asciiTheme="minorHAnsi" w:eastAsiaTheme="minorEastAsia" w:hAnsiTheme="minorHAnsi" w:cstheme="minorBidi"/>
              <w:noProof/>
              <w:color w:val="auto"/>
            </w:rPr>
          </w:pPr>
          <w:hyperlink w:anchor="_Toc219289826" w:history="1">
            <w:r w:rsidRPr="00DA67DE">
              <w:rPr>
                <w:rStyle w:val="Hipervnculo"/>
                <w:noProof/>
              </w:rPr>
              <w:t>PRIMERO. Competencia</w:t>
            </w:r>
            <w:r>
              <w:rPr>
                <w:noProof/>
                <w:webHidden/>
              </w:rPr>
              <w:tab/>
            </w:r>
            <w:r>
              <w:rPr>
                <w:noProof/>
                <w:webHidden/>
              </w:rPr>
              <w:fldChar w:fldCharType="begin"/>
            </w:r>
            <w:r>
              <w:rPr>
                <w:noProof/>
                <w:webHidden/>
              </w:rPr>
              <w:instrText xml:space="preserve"> PAGEREF _Toc219289826 \h </w:instrText>
            </w:r>
            <w:r>
              <w:rPr>
                <w:noProof/>
                <w:webHidden/>
              </w:rPr>
            </w:r>
            <w:r>
              <w:rPr>
                <w:noProof/>
                <w:webHidden/>
              </w:rPr>
              <w:fldChar w:fldCharType="separate"/>
            </w:r>
            <w:r w:rsidR="00A15668">
              <w:rPr>
                <w:noProof/>
                <w:webHidden/>
              </w:rPr>
              <w:t>8</w:t>
            </w:r>
            <w:r>
              <w:rPr>
                <w:noProof/>
                <w:webHidden/>
              </w:rPr>
              <w:fldChar w:fldCharType="end"/>
            </w:r>
          </w:hyperlink>
        </w:p>
        <w:p w14:paraId="3093F03E" w14:textId="258BDD2A" w:rsidR="0057076C" w:rsidRDefault="0057076C">
          <w:pPr>
            <w:pStyle w:val="TDC2"/>
            <w:tabs>
              <w:tab w:val="right" w:leader="dot" w:pos="8921"/>
            </w:tabs>
            <w:rPr>
              <w:rFonts w:asciiTheme="minorHAnsi" w:eastAsiaTheme="minorEastAsia" w:hAnsiTheme="minorHAnsi" w:cstheme="minorBidi"/>
              <w:noProof/>
              <w:color w:val="auto"/>
            </w:rPr>
          </w:pPr>
          <w:hyperlink w:anchor="_Toc219289827" w:history="1">
            <w:r w:rsidRPr="00DA67DE">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_Toc219289827 \h </w:instrText>
            </w:r>
            <w:r>
              <w:rPr>
                <w:noProof/>
                <w:webHidden/>
              </w:rPr>
            </w:r>
            <w:r>
              <w:rPr>
                <w:noProof/>
                <w:webHidden/>
              </w:rPr>
              <w:fldChar w:fldCharType="separate"/>
            </w:r>
            <w:r w:rsidR="00A15668">
              <w:rPr>
                <w:noProof/>
                <w:webHidden/>
              </w:rPr>
              <w:t>8</w:t>
            </w:r>
            <w:r>
              <w:rPr>
                <w:noProof/>
                <w:webHidden/>
              </w:rPr>
              <w:fldChar w:fldCharType="end"/>
            </w:r>
          </w:hyperlink>
        </w:p>
        <w:p w14:paraId="367455DD" w14:textId="108289E3" w:rsidR="0057076C" w:rsidRDefault="0057076C">
          <w:pPr>
            <w:pStyle w:val="TDC2"/>
            <w:tabs>
              <w:tab w:val="right" w:leader="dot" w:pos="8921"/>
            </w:tabs>
            <w:rPr>
              <w:rFonts w:asciiTheme="minorHAnsi" w:eastAsiaTheme="minorEastAsia" w:hAnsiTheme="minorHAnsi" w:cstheme="minorBidi"/>
              <w:noProof/>
              <w:color w:val="auto"/>
            </w:rPr>
          </w:pPr>
          <w:hyperlink w:anchor="_Toc219289828" w:history="1">
            <w:r w:rsidRPr="00DA67DE">
              <w:rPr>
                <w:rStyle w:val="Hipervnculo"/>
                <w:noProof/>
              </w:rPr>
              <w:t>TERCERO. Determinación de la Controversia</w:t>
            </w:r>
            <w:r>
              <w:rPr>
                <w:noProof/>
                <w:webHidden/>
              </w:rPr>
              <w:tab/>
            </w:r>
            <w:r>
              <w:rPr>
                <w:noProof/>
                <w:webHidden/>
              </w:rPr>
              <w:fldChar w:fldCharType="begin"/>
            </w:r>
            <w:r>
              <w:rPr>
                <w:noProof/>
                <w:webHidden/>
              </w:rPr>
              <w:instrText xml:space="preserve"> PAGEREF _Toc219289828 \h </w:instrText>
            </w:r>
            <w:r>
              <w:rPr>
                <w:noProof/>
                <w:webHidden/>
              </w:rPr>
            </w:r>
            <w:r>
              <w:rPr>
                <w:noProof/>
                <w:webHidden/>
              </w:rPr>
              <w:fldChar w:fldCharType="separate"/>
            </w:r>
            <w:r w:rsidR="00A15668">
              <w:rPr>
                <w:noProof/>
                <w:webHidden/>
              </w:rPr>
              <w:t>10</w:t>
            </w:r>
            <w:r>
              <w:rPr>
                <w:noProof/>
                <w:webHidden/>
              </w:rPr>
              <w:fldChar w:fldCharType="end"/>
            </w:r>
          </w:hyperlink>
        </w:p>
        <w:p w14:paraId="280EC2DF" w14:textId="319A60F4" w:rsidR="0057076C" w:rsidRDefault="0057076C">
          <w:pPr>
            <w:pStyle w:val="TDC2"/>
            <w:tabs>
              <w:tab w:val="right" w:leader="dot" w:pos="8921"/>
            </w:tabs>
            <w:rPr>
              <w:rFonts w:asciiTheme="minorHAnsi" w:eastAsiaTheme="minorEastAsia" w:hAnsiTheme="minorHAnsi" w:cstheme="minorBidi"/>
              <w:noProof/>
              <w:color w:val="auto"/>
            </w:rPr>
          </w:pPr>
          <w:hyperlink w:anchor="_Toc219289829" w:history="1">
            <w:r w:rsidRPr="00DA67DE">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_Toc219289829 \h </w:instrText>
            </w:r>
            <w:r>
              <w:rPr>
                <w:noProof/>
                <w:webHidden/>
              </w:rPr>
            </w:r>
            <w:r>
              <w:rPr>
                <w:noProof/>
                <w:webHidden/>
              </w:rPr>
              <w:fldChar w:fldCharType="separate"/>
            </w:r>
            <w:r w:rsidR="00A15668">
              <w:rPr>
                <w:noProof/>
                <w:webHidden/>
              </w:rPr>
              <w:t>11</w:t>
            </w:r>
            <w:r>
              <w:rPr>
                <w:noProof/>
                <w:webHidden/>
              </w:rPr>
              <w:fldChar w:fldCharType="end"/>
            </w:r>
          </w:hyperlink>
        </w:p>
        <w:p w14:paraId="5956B8B5" w14:textId="6C2584C6" w:rsidR="0057076C" w:rsidRDefault="0057076C">
          <w:pPr>
            <w:pStyle w:val="TDC2"/>
            <w:tabs>
              <w:tab w:val="right" w:leader="dot" w:pos="8921"/>
            </w:tabs>
            <w:rPr>
              <w:rFonts w:asciiTheme="minorHAnsi" w:eastAsiaTheme="minorEastAsia" w:hAnsiTheme="minorHAnsi" w:cstheme="minorBidi"/>
              <w:noProof/>
              <w:color w:val="auto"/>
            </w:rPr>
          </w:pPr>
          <w:hyperlink w:anchor="_Toc219289830" w:history="1">
            <w:r w:rsidRPr="00DA67DE">
              <w:rPr>
                <w:rStyle w:val="Hipervnculo"/>
                <w:noProof/>
              </w:rPr>
              <w:t>QUINTO. Estudio de Fondo</w:t>
            </w:r>
            <w:r>
              <w:rPr>
                <w:noProof/>
                <w:webHidden/>
              </w:rPr>
              <w:tab/>
            </w:r>
            <w:r>
              <w:rPr>
                <w:noProof/>
                <w:webHidden/>
              </w:rPr>
              <w:fldChar w:fldCharType="begin"/>
            </w:r>
            <w:r>
              <w:rPr>
                <w:noProof/>
                <w:webHidden/>
              </w:rPr>
              <w:instrText xml:space="preserve"> PAGEREF _Toc219289830 \h </w:instrText>
            </w:r>
            <w:r>
              <w:rPr>
                <w:noProof/>
                <w:webHidden/>
              </w:rPr>
            </w:r>
            <w:r>
              <w:rPr>
                <w:noProof/>
                <w:webHidden/>
              </w:rPr>
              <w:fldChar w:fldCharType="separate"/>
            </w:r>
            <w:r w:rsidR="00A15668">
              <w:rPr>
                <w:noProof/>
                <w:webHidden/>
              </w:rPr>
              <w:t>12</w:t>
            </w:r>
            <w:r>
              <w:rPr>
                <w:noProof/>
                <w:webHidden/>
              </w:rPr>
              <w:fldChar w:fldCharType="end"/>
            </w:r>
          </w:hyperlink>
        </w:p>
        <w:p w14:paraId="6EF8CD78" w14:textId="6DDB804D" w:rsidR="0057076C" w:rsidRDefault="0057076C">
          <w:pPr>
            <w:pStyle w:val="TDC2"/>
            <w:tabs>
              <w:tab w:val="right" w:leader="dot" w:pos="8921"/>
            </w:tabs>
            <w:rPr>
              <w:rFonts w:asciiTheme="minorHAnsi" w:eastAsiaTheme="minorEastAsia" w:hAnsiTheme="minorHAnsi" w:cstheme="minorBidi"/>
              <w:noProof/>
              <w:color w:val="auto"/>
            </w:rPr>
          </w:pPr>
          <w:hyperlink w:anchor="_Toc219289831" w:history="1">
            <w:r w:rsidRPr="00DA67DE">
              <w:rPr>
                <w:rStyle w:val="Hipervnculo"/>
                <w:noProof/>
              </w:rPr>
              <w:t>SEXTO. Decisión</w:t>
            </w:r>
            <w:r>
              <w:rPr>
                <w:noProof/>
                <w:webHidden/>
              </w:rPr>
              <w:tab/>
            </w:r>
            <w:r>
              <w:rPr>
                <w:noProof/>
                <w:webHidden/>
              </w:rPr>
              <w:fldChar w:fldCharType="begin"/>
            </w:r>
            <w:r>
              <w:rPr>
                <w:noProof/>
                <w:webHidden/>
              </w:rPr>
              <w:instrText xml:space="preserve"> PAGEREF _Toc219289831 \h </w:instrText>
            </w:r>
            <w:r>
              <w:rPr>
                <w:noProof/>
                <w:webHidden/>
              </w:rPr>
            </w:r>
            <w:r>
              <w:rPr>
                <w:noProof/>
                <w:webHidden/>
              </w:rPr>
              <w:fldChar w:fldCharType="separate"/>
            </w:r>
            <w:r w:rsidR="00A15668">
              <w:rPr>
                <w:noProof/>
                <w:webHidden/>
              </w:rPr>
              <w:t>39</w:t>
            </w:r>
            <w:r>
              <w:rPr>
                <w:noProof/>
                <w:webHidden/>
              </w:rPr>
              <w:fldChar w:fldCharType="end"/>
            </w:r>
          </w:hyperlink>
        </w:p>
        <w:p w14:paraId="59EF6D01" w14:textId="6AA5F838" w:rsidR="0057076C" w:rsidRDefault="0057076C">
          <w:pPr>
            <w:pStyle w:val="TDC1"/>
            <w:tabs>
              <w:tab w:val="right" w:leader="dot" w:pos="8921"/>
            </w:tabs>
            <w:rPr>
              <w:rFonts w:asciiTheme="minorHAnsi" w:eastAsiaTheme="minorEastAsia" w:hAnsiTheme="minorHAnsi" w:cstheme="minorBidi"/>
              <w:noProof/>
              <w:color w:val="auto"/>
            </w:rPr>
          </w:pPr>
          <w:hyperlink w:anchor="_Toc219289832" w:history="1">
            <w:r w:rsidRPr="00DA67DE">
              <w:rPr>
                <w:rStyle w:val="Hipervnculo"/>
                <w:noProof/>
              </w:rPr>
              <w:t>R E S U E L V E</w:t>
            </w:r>
            <w:r>
              <w:rPr>
                <w:noProof/>
                <w:webHidden/>
              </w:rPr>
              <w:tab/>
            </w:r>
            <w:r>
              <w:rPr>
                <w:noProof/>
                <w:webHidden/>
              </w:rPr>
              <w:fldChar w:fldCharType="begin"/>
            </w:r>
            <w:r>
              <w:rPr>
                <w:noProof/>
                <w:webHidden/>
              </w:rPr>
              <w:instrText xml:space="preserve"> PAGEREF _Toc219289832 \h </w:instrText>
            </w:r>
            <w:r>
              <w:rPr>
                <w:noProof/>
                <w:webHidden/>
              </w:rPr>
            </w:r>
            <w:r>
              <w:rPr>
                <w:noProof/>
                <w:webHidden/>
              </w:rPr>
              <w:fldChar w:fldCharType="separate"/>
            </w:r>
            <w:r w:rsidR="00A15668">
              <w:rPr>
                <w:noProof/>
                <w:webHidden/>
              </w:rPr>
              <w:t>39</w:t>
            </w:r>
            <w:r>
              <w:rPr>
                <w:noProof/>
                <w:webHidden/>
              </w:rPr>
              <w:fldChar w:fldCharType="end"/>
            </w:r>
          </w:hyperlink>
        </w:p>
        <w:p w14:paraId="5B9D6C11" w14:textId="331DCCD6" w:rsidR="00C4052B" w:rsidRPr="0012520B" w:rsidRDefault="00C4052B" w:rsidP="001162C4">
          <w:pPr>
            <w:spacing w:after="0" w:line="360" w:lineRule="auto"/>
          </w:pPr>
          <w:r w:rsidRPr="0012520B">
            <w:rPr>
              <w:b/>
              <w:bCs/>
              <w:lang w:val="es-ES"/>
            </w:rPr>
            <w:fldChar w:fldCharType="end"/>
          </w:r>
        </w:p>
      </w:sdtContent>
    </w:sdt>
    <w:p w14:paraId="57481942" w14:textId="77777777" w:rsidR="00C4052B" w:rsidRPr="0012520B" w:rsidRDefault="00C4052B" w:rsidP="001162C4">
      <w:pPr>
        <w:tabs>
          <w:tab w:val="left" w:pos="8931"/>
        </w:tabs>
        <w:spacing w:after="0" w:line="360" w:lineRule="auto"/>
      </w:pPr>
    </w:p>
    <w:p w14:paraId="411B5995" w14:textId="77777777" w:rsidR="00C4052B" w:rsidRPr="0012520B" w:rsidRDefault="00C4052B" w:rsidP="001162C4">
      <w:pPr>
        <w:tabs>
          <w:tab w:val="left" w:pos="8931"/>
        </w:tabs>
        <w:spacing w:after="0" w:line="360" w:lineRule="auto"/>
      </w:pPr>
    </w:p>
    <w:p w14:paraId="6784625D" w14:textId="77777777" w:rsidR="00C4052B" w:rsidRPr="0012520B" w:rsidRDefault="00C4052B" w:rsidP="001162C4">
      <w:pPr>
        <w:tabs>
          <w:tab w:val="left" w:pos="8931"/>
        </w:tabs>
        <w:spacing w:after="0" w:line="360" w:lineRule="auto"/>
      </w:pPr>
    </w:p>
    <w:p w14:paraId="140888DD" w14:textId="77777777" w:rsidR="00C4052B" w:rsidRPr="0012520B" w:rsidRDefault="00C4052B" w:rsidP="001162C4">
      <w:pPr>
        <w:tabs>
          <w:tab w:val="left" w:pos="8931"/>
        </w:tabs>
        <w:spacing w:after="0" w:line="360" w:lineRule="auto"/>
      </w:pPr>
    </w:p>
    <w:p w14:paraId="46268890" w14:textId="77777777" w:rsidR="00C4052B" w:rsidRPr="0012520B" w:rsidRDefault="00C4052B" w:rsidP="001162C4">
      <w:pPr>
        <w:tabs>
          <w:tab w:val="left" w:pos="8931"/>
        </w:tabs>
        <w:spacing w:after="0" w:line="360" w:lineRule="auto"/>
      </w:pPr>
    </w:p>
    <w:p w14:paraId="147CC638" w14:textId="77777777" w:rsidR="00C4052B" w:rsidRPr="0012520B" w:rsidRDefault="00C4052B" w:rsidP="001162C4">
      <w:pPr>
        <w:tabs>
          <w:tab w:val="left" w:pos="8931"/>
        </w:tabs>
        <w:spacing w:after="0" w:line="360" w:lineRule="auto"/>
      </w:pPr>
    </w:p>
    <w:p w14:paraId="01BB5716" w14:textId="77777777" w:rsidR="00C4052B" w:rsidRPr="0012520B" w:rsidRDefault="00C4052B" w:rsidP="001162C4">
      <w:pPr>
        <w:tabs>
          <w:tab w:val="left" w:pos="8931"/>
        </w:tabs>
        <w:spacing w:after="0" w:line="360" w:lineRule="auto"/>
      </w:pPr>
    </w:p>
    <w:p w14:paraId="62C1CEC9" w14:textId="77777777" w:rsidR="00C4052B" w:rsidRPr="0012520B" w:rsidRDefault="00C4052B" w:rsidP="001162C4">
      <w:pPr>
        <w:tabs>
          <w:tab w:val="left" w:pos="8931"/>
        </w:tabs>
        <w:spacing w:after="0" w:line="360" w:lineRule="auto"/>
      </w:pPr>
    </w:p>
    <w:p w14:paraId="3FB7EB5E" w14:textId="6828A192" w:rsidR="005C690F" w:rsidRPr="0012520B" w:rsidRDefault="007D6307" w:rsidP="001162C4">
      <w:pPr>
        <w:tabs>
          <w:tab w:val="left" w:pos="8931"/>
        </w:tabs>
        <w:spacing w:after="0" w:line="360" w:lineRule="auto"/>
      </w:pPr>
      <w:r w:rsidRPr="0012520B">
        <w:lastRenderedPageBreak/>
        <w:t xml:space="preserve">Resolución del Pleno del Instituto de Transparencia, Acceso a la Información Pública y Protección de Datos Personales del Estado de México y Municipios, con domicilio en Metepec, Estado de México, de </w:t>
      </w:r>
      <w:r w:rsidR="00EF0C39" w:rsidRPr="0012520B">
        <w:t xml:space="preserve">fecha </w:t>
      </w:r>
      <w:r w:rsidR="00CA7C7A">
        <w:t>veintiuno de enero</w:t>
      </w:r>
      <w:r w:rsidR="00CF7AA5" w:rsidRPr="0012520B">
        <w:t xml:space="preserve"> </w:t>
      </w:r>
      <w:r w:rsidR="00B44085">
        <w:t>de dos mil veintiséis</w:t>
      </w:r>
      <w:r w:rsidRPr="0012520B">
        <w:t xml:space="preserve">. </w:t>
      </w:r>
    </w:p>
    <w:p w14:paraId="0DCD3B82" w14:textId="77777777" w:rsidR="005C690F" w:rsidRPr="0012520B" w:rsidRDefault="005C690F" w:rsidP="001162C4">
      <w:pPr>
        <w:spacing w:after="0" w:line="360" w:lineRule="auto"/>
        <w:rPr>
          <w:b/>
        </w:rPr>
      </w:pPr>
    </w:p>
    <w:p w14:paraId="1570B336" w14:textId="7ACADF70" w:rsidR="005C690F" w:rsidRPr="0012520B" w:rsidRDefault="007D6307" w:rsidP="001162C4">
      <w:pPr>
        <w:spacing w:after="0" w:line="360" w:lineRule="auto"/>
        <w:rPr>
          <w:color w:val="0D0D0D"/>
        </w:rPr>
      </w:pPr>
      <w:r w:rsidRPr="0012520B">
        <w:rPr>
          <w:b/>
        </w:rPr>
        <w:t xml:space="preserve">VISTO </w:t>
      </w:r>
      <w:r w:rsidRPr="0012520B">
        <w:t xml:space="preserve">el expediente electrónico conformado con motivo del Recurso de Revisión </w:t>
      </w:r>
      <w:r w:rsidR="00B32D97" w:rsidRPr="00981680">
        <w:rPr>
          <w:b/>
          <w:bCs/>
        </w:rPr>
        <w:t>13896</w:t>
      </w:r>
      <w:r w:rsidR="000D392E" w:rsidRPr="00981680">
        <w:rPr>
          <w:b/>
          <w:bCs/>
        </w:rPr>
        <w:t>/INFOEM/IP/RR/2025</w:t>
      </w:r>
      <w:r w:rsidRPr="0012520B">
        <w:rPr>
          <w:bCs/>
        </w:rPr>
        <w:t xml:space="preserve">, interpuesto </w:t>
      </w:r>
      <w:r w:rsidR="008415EA" w:rsidRPr="0012520B">
        <w:rPr>
          <w:bCs/>
        </w:rPr>
        <w:t>por</w:t>
      </w:r>
      <w:r w:rsidR="00EE1006" w:rsidRPr="0012520B">
        <w:rPr>
          <w:bCs/>
        </w:rPr>
        <w:t xml:space="preserve"> </w:t>
      </w:r>
      <w:r w:rsidR="0050631D" w:rsidRPr="0050631D">
        <w:rPr>
          <w:bCs/>
          <w:highlight w:val="black"/>
        </w:rPr>
        <w:t>XXXXXXXXXXXXXXX</w:t>
      </w:r>
      <w:r w:rsidR="007E7797">
        <w:rPr>
          <w:bCs/>
        </w:rPr>
        <w:t xml:space="preserve">, quien será </w:t>
      </w:r>
      <w:r w:rsidR="00D906B2" w:rsidRPr="0012520B">
        <w:rPr>
          <w:bCs/>
        </w:rPr>
        <w:t>la persona</w:t>
      </w:r>
      <w:r w:rsidRPr="0012520B">
        <w:rPr>
          <w:bCs/>
        </w:rPr>
        <w:t xml:space="preserve"> </w:t>
      </w:r>
      <w:r w:rsidRPr="0012520B">
        <w:rPr>
          <w:bCs/>
          <w:color w:val="0D0D0D"/>
        </w:rPr>
        <w:t>Recurrente o Particular, en contra de la respuesta del Sujeto Obligado</w:t>
      </w:r>
      <w:r w:rsidR="00705FBB" w:rsidRPr="0012520B">
        <w:rPr>
          <w:bCs/>
          <w:color w:val="0D0D0D"/>
        </w:rPr>
        <w:t xml:space="preserve">, </w:t>
      </w:r>
      <w:r w:rsidR="008246F7" w:rsidRPr="00981680">
        <w:rPr>
          <w:b/>
        </w:rPr>
        <w:t>Ayuntamiento d</w:t>
      </w:r>
      <w:r w:rsidR="00EC7CBF" w:rsidRPr="00981680">
        <w:rPr>
          <w:b/>
        </w:rPr>
        <w:t xml:space="preserve">e </w:t>
      </w:r>
      <w:r w:rsidR="007E7797" w:rsidRPr="00981680">
        <w:rPr>
          <w:b/>
        </w:rPr>
        <w:t>Ecatepec de Morelos</w:t>
      </w:r>
      <w:r w:rsidR="00EF0C39" w:rsidRPr="00981680">
        <w:rPr>
          <w:b/>
          <w:bCs/>
        </w:rPr>
        <w:t>,</w:t>
      </w:r>
      <w:r w:rsidRPr="0012520B">
        <w:rPr>
          <w:bCs/>
          <w:color w:val="0D0D0D"/>
        </w:rPr>
        <w:t xml:space="preserve"> </w:t>
      </w:r>
      <w:r w:rsidRPr="0012520B">
        <w:rPr>
          <w:color w:val="0D0D0D"/>
        </w:rPr>
        <w:t>a la solicitud de acceso a la información pública</w:t>
      </w:r>
      <w:r w:rsidR="00800641" w:rsidRPr="0012520B">
        <w:rPr>
          <w:color w:val="0D0D0D"/>
        </w:rPr>
        <w:t xml:space="preserve"> </w:t>
      </w:r>
      <w:r w:rsidR="00B32D97">
        <w:t>00908</w:t>
      </w:r>
      <w:r w:rsidR="00EE1006" w:rsidRPr="0012520B">
        <w:t>/</w:t>
      </w:r>
      <w:r w:rsidR="007E7797">
        <w:t>ECATEPEC</w:t>
      </w:r>
      <w:r w:rsidR="000D392E" w:rsidRPr="0012520B">
        <w:t>/IP/2025</w:t>
      </w:r>
      <w:r w:rsidRPr="0012520B">
        <w:rPr>
          <w:color w:val="000000"/>
        </w:rPr>
        <w:t xml:space="preserve">, </w:t>
      </w:r>
      <w:r w:rsidRPr="0012520B">
        <w:rPr>
          <w:color w:val="0D0D0D"/>
        </w:rPr>
        <w:t>se emite la presente Resolución, con base en los Antecedentes y Considerandos que se exponen a continuación:</w:t>
      </w:r>
    </w:p>
    <w:p w14:paraId="1F97CEF3" w14:textId="77777777" w:rsidR="005C690F" w:rsidRPr="0012520B" w:rsidRDefault="005C690F" w:rsidP="001162C4">
      <w:pPr>
        <w:spacing w:after="0" w:line="360" w:lineRule="auto"/>
        <w:rPr>
          <w:b/>
        </w:rPr>
      </w:pPr>
    </w:p>
    <w:p w14:paraId="1DEAF9D3" w14:textId="24D35555" w:rsidR="005C690F" w:rsidRPr="0012520B" w:rsidRDefault="00CD6238" w:rsidP="001162C4">
      <w:pPr>
        <w:pStyle w:val="Ttulo1"/>
        <w:spacing w:before="0" w:after="0" w:line="360" w:lineRule="auto"/>
        <w:jc w:val="center"/>
        <w:rPr>
          <w:sz w:val="22"/>
          <w:szCs w:val="22"/>
        </w:rPr>
      </w:pPr>
      <w:bookmarkStart w:id="0" w:name="_Toc219289820"/>
      <w:r w:rsidRPr="0012520B">
        <w:rPr>
          <w:sz w:val="22"/>
          <w:szCs w:val="22"/>
        </w:rPr>
        <w:t>A N T E C E D E N T E S</w:t>
      </w:r>
      <w:bookmarkEnd w:id="0"/>
    </w:p>
    <w:p w14:paraId="5A7EDA4F" w14:textId="77777777" w:rsidR="005C690F" w:rsidRPr="0012520B" w:rsidRDefault="005C690F" w:rsidP="001162C4">
      <w:pPr>
        <w:spacing w:after="0" w:line="360" w:lineRule="auto"/>
        <w:jc w:val="center"/>
        <w:rPr>
          <w:b/>
        </w:rPr>
      </w:pPr>
    </w:p>
    <w:p w14:paraId="4930DAB9" w14:textId="701611A7" w:rsidR="00E22EA8" w:rsidRPr="0012520B" w:rsidRDefault="009215C2" w:rsidP="001162C4">
      <w:pPr>
        <w:pStyle w:val="Ttulo2"/>
        <w:spacing w:before="0" w:after="0" w:line="360" w:lineRule="auto"/>
        <w:rPr>
          <w:sz w:val="22"/>
          <w:szCs w:val="22"/>
          <w:lang w:eastAsia="es-ES"/>
        </w:rPr>
      </w:pPr>
      <w:bookmarkStart w:id="1" w:name="_Toc219289821"/>
      <w:r w:rsidRPr="0012520B">
        <w:rPr>
          <w:sz w:val="22"/>
          <w:szCs w:val="22"/>
          <w:lang w:eastAsia="es-ES"/>
        </w:rPr>
        <w:t xml:space="preserve">I. </w:t>
      </w:r>
      <w:r w:rsidR="00E22EA8" w:rsidRPr="0012520B">
        <w:rPr>
          <w:sz w:val="22"/>
          <w:szCs w:val="22"/>
          <w:lang w:eastAsia="es-ES"/>
        </w:rPr>
        <w:t>Presentación de la solicitud de información</w:t>
      </w:r>
      <w:bookmarkEnd w:id="1"/>
    </w:p>
    <w:p w14:paraId="63A20E25" w14:textId="77777777" w:rsidR="009215C2" w:rsidRPr="0012520B" w:rsidRDefault="009215C2" w:rsidP="001162C4">
      <w:pPr>
        <w:tabs>
          <w:tab w:val="left" w:pos="567"/>
        </w:tabs>
        <w:spacing w:after="0" w:line="360" w:lineRule="auto"/>
        <w:rPr>
          <w:rFonts w:eastAsia="Times New Roman" w:cs="Tahoma"/>
          <w:lang w:eastAsia="es-ES"/>
        </w:rPr>
      </w:pPr>
    </w:p>
    <w:p w14:paraId="301B8A4E" w14:textId="666FB924" w:rsidR="00E22EA8" w:rsidRPr="0012520B" w:rsidRDefault="00D906B2" w:rsidP="001162C4">
      <w:pPr>
        <w:spacing w:after="0" w:line="360" w:lineRule="auto"/>
        <w:rPr>
          <w:rFonts w:eastAsia="Times New Roman" w:cs="Tahoma"/>
          <w:lang w:eastAsia="es-ES"/>
        </w:rPr>
      </w:pPr>
      <w:r w:rsidRPr="0012520B">
        <w:rPr>
          <w:rFonts w:eastAsia="Times New Roman" w:cs="Tahoma"/>
          <w:lang w:eastAsia="es-ES"/>
        </w:rPr>
        <w:t>El</w:t>
      </w:r>
      <w:r w:rsidR="00D52EC1" w:rsidRPr="0012520B">
        <w:rPr>
          <w:rFonts w:eastAsia="Times New Roman" w:cs="Tahoma"/>
          <w:lang w:eastAsia="es-ES"/>
        </w:rPr>
        <w:t xml:space="preserve"> </w:t>
      </w:r>
      <w:r w:rsidR="00B32D97">
        <w:rPr>
          <w:rFonts w:eastAsia="Times New Roman" w:cs="Tahoma"/>
          <w:lang w:eastAsia="es-ES"/>
        </w:rPr>
        <w:t>doce de noviembre</w:t>
      </w:r>
      <w:r w:rsidR="00A41789" w:rsidRPr="0012520B">
        <w:rPr>
          <w:rFonts w:eastAsia="Times New Roman" w:cs="Tahoma"/>
          <w:lang w:eastAsia="es-ES"/>
        </w:rPr>
        <w:t xml:space="preserve"> </w:t>
      </w:r>
      <w:r w:rsidR="008E0DC4" w:rsidRPr="0012520B">
        <w:rPr>
          <w:rFonts w:eastAsia="Times New Roman" w:cs="Tahoma"/>
          <w:lang w:eastAsia="es-ES"/>
        </w:rPr>
        <w:t>de dos mil veinticinco</w:t>
      </w:r>
      <w:r w:rsidR="00BF362A" w:rsidRPr="0012520B">
        <w:rPr>
          <w:rFonts w:eastAsia="Times New Roman" w:cs="Tahoma"/>
          <w:lang w:eastAsia="es-ES"/>
        </w:rPr>
        <w:t xml:space="preserve">, </w:t>
      </w:r>
      <w:r w:rsidR="00E22EA8" w:rsidRPr="0012520B">
        <w:rPr>
          <w:rFonts w:eastAsia="Times New Roman" w:cs="Tahoma"/>
          <w:lang w:eastAsia="es-ES"/>
        </w:rPr>
        <w:t>el Particular presentó una solicitud de acceso a la información pública, a través del Sistema de Acceso a la Información Mexiquense (SAIMEX), ante</w:t>
      </w:r>
      <w:r w:rsidR="000B3C56" w:rsidRPr="0012520B">
        <w:rPr>
          <w:rFonts w:eastAsia="Times New Roman" w:cs="Tahoma"/>
          <w:lang w:eastAsia="es-ES"/>
        </w:rPr>
        <w:t xml:space="preserve"> </w:t>
      </w:r>
      <w:r w:rsidR="00DC175C" w:rsidRPr="0012520B">
        <w:rPr>
          <w:rFonts w:eastAsia="Times New Roman" w:cs="Tahoma"/>
          <w:lang w:eastAsia="es-ES"/>
        </w:rPr>
        <w:t>el</w:t>
      </w:r>
      <w:r w:rsidR="008246F7" w:rsidRPr="0012520B">
        <w:t xml:space="preserve"> Ayuntamiento de </w:t>
      </w:r>
      <w:r w:rsidR="007E7797">
        <w:t>Ecatepec de Morelos</w:t>
      </w:r>
      <w:r w:rsidR="008E0DC4" w:rsidRPr="0012520B">
        <w:rPr>
          <w:rFonts w:eastAsia="Calibri" w:cs="Times New Roman"/>
          <w:color w:val="000000"/>
        </w:rPr>
        <w:t>,</w:t>
      </w:r>
      <w:r w:rsidR="00DC175C" w:rsidRPr="0012520B">
        <w:rPr>
          <w:rFonts w:eastAsia="Calibri" w:cs="Tahoma"/>
        </w:rPr>
        <w:t xml:space="preserve"> </w:t>
      </w:r>
      <w:r w:rsidR="00E22EA8" w:rsidRPr="0012520B">
        <w:rPr>
          <w:rFonts w:eastAsia="Calibri" w:cs="Tahoma"/>
        </w:rPr>
        <w:t xml:space="preserve">en los siguientes términos: </w:t>
      </w:r>
    </w:p>
    <w:p w14:paraId="2B959865" w14:textId="77777777" w:rsidR="00E22EA8" w:rsidRPr="0012520B" w:rsidRDefault="00E22EA8" w:rsidP="001162C4">
      <w:pPr>
        <w:spacing w:after="0" w:line="360" w:lineRule="auto"/>
        <w:rPr>
          <w:rFonts w:eastAsia="Calibri" w:cs="Tahoma"/>
        </w:rPr>
      </w:pPr>
    </w:p>
    <w:p w14:paraId="3FBC9D66" w14:textId="0F26255C" w:rsidR="00A41789" w:rsidRPr="0012520B" w:rsidRDefault="00125F26" w:rsidP="001162C4">
      <w:pPr>
        <w:tabs>
          <w:tab w:val="left" w:pos="4667"/>
        </w:tabs>
        <w:spacing w:after="0" w:line="360" w:lineRule="auto"/>
        <w:ind w:left="567" w:right="567"/>
        <w:rPr>
          <w:rFonts w:eastAsia="Times New Roman" w:cs="Tahoma"/>
          <w:b/>
          <w:i/>
          <w:iCs/>
          <w:sz w:val="20"/>
          <w:szCs w:val="20"/>
          <w:lang w:eastAsia="es-ES"/>
        </w:rPr>
      </w:pPr>
      <w:r w:rsidRPr="0012520B">
        <w:rPr>
          <w:rFonts w:eastAsia="Times New Roman" w:cs="Tahoma"/>
          <w:b/>
          <w:i/>
          <w:iCs/>
          <w:sz w:val="20"/>
          <w:szCs w:val="20"/>
          <w:lang w:eastAsia="es-ES"/>
        </w:rPr>
        <w:t>“</w:t>
      </w:r>
      <w:r w:rsidR="00E22EA8" w:rsidRPr="0012520B">
        <w:rPr>
          <w:rFonts w:eastAsia="Times New Roman" w:cs="Tahoma"/>
          <w:b/>
          <w:i/>
          <w:iCs/>
          <w:sz w:val="20"/>
          <w:szCs w:val="20"/>
          <w:lang w:eastAsia="es-ES"/>
        </w:rPr>
        <w:t>DESCRIPCIÓN CLARA Y PRECI</w:t>
      </w:r>
      <w:r w:rsidR="0084143D" w:rsidRPr="0012520B">
        <w:rPr>
          <w:rFonts w:eastAsia="Times New Roman" w:cs="Tahoma"/>
          <w:b/>
          <w:i/>
          <w:iCs/>
          <w:sz w:val="20"/>
          <w:szCs w:val="20"/>
          <w:lang w:eastAsia="es-ES"/>
        </w:rPr>
        <w:t xml:space="preserve">SA DE LA </w:t>
      </w:r>
      <w:r w:rsidR="00A41789" w:rsidRPr="0012520B">
        <w:rPr>
          <w:rFonts w:eastAsia="Times New Roman" w:cs="Tahoma"/>
          <w:b/>
          <w:i/>
          <w:iCs/>
          <w:sz w:val="20"/>
          <w:szCs w:val="20"/>
          <w:lang w:eastAsia="es-ES"/>
        </w:rPr>
        <w:t>INFORMACIÓN SOLICITADA</w:t>
      </w:r>
    </w:p>
    <w:p w14:paraId="2C6BC213" w14:textId="4E8B5EF1" w:rsidR="00E22EA8" w:rsidRPr="0012520B" w:rsidRDefault="00B32D97" w:rsidP="001162C4">
      <w:pPr>
        <w:tabs>
          <w:tab w:val="left" w:pos="4667"/>
        </w:tabs>
        <w:spacing w:after="0" w:line="360" w:lineRule="auto"/>
        <w:ind w:left="567" w:right="567"/>
        <w:rPr>
          <w:rFonts w:eastAsia="Times New Roman" w:cs="Tahoma"/>
          <w:bCs/>
          <w:i/>
          <w:iCs/>
          <w:sz w:val="20"/>
          <w:szCs w:val="20"/>
          <w:lang w:eastAsia="es-ES"/>
        </w:rPr>
      </w:pPr>
      <w:r w:rsidRPr="00B32D97">
        <w:rPr>
          <w:i/>
          <w:iCs/>
          <w:sz w:val="20"/>
          <w:szCs w:val="20"/>
        </w:rPr>
        <w:t>SOLICITO SE ME PROPORCIONE COPIA SIMPLE DIGITALIZADA A TRAVÉS DEL SISTEMA ELECTRÓNICO SAIMEX DE TODOS LOS RECIBOS EXPEDIDOS POR LA TESORERIA MUNICIPAL BAJO EL CONCEPTO DE APORTACIONES DE MEJORAS DEL 1 DE ENERO AL 11 DE NOCIEMBRE DE 2025 POR UN MONTO SUPERIOR A 100 MIL PESOS</w:t>
      </w:r>
      <w:r w:rsidR="009215C2" w:rsidRPr="0012520B">
        <w:rPr>
          <w:i/>
          <w:iCs/>
          <w:sz w:val="20"/>
          <w:szCs w:val="20"/>
        </w:rPr>
        <w:t>”</w:t>
      </w:r>
      <w:r w:rsidR="00857C17" w:rsidRPr="0012520B">
        <w:rPr>
          <w:i/>
          <w:iCs/>
          <w:sz w:val="20"/>
          <w:szCs w:val="20"/>
        </w:rPr>
        <w:t xml:space="preserve"> (Sic.)</w:t>
      </w:r>
    </w:p>
    <w:p w14:paraId="5E88ED39" w14:textId="5EC56704" w:rsidR="00BF362A" w:rsidRDefault="00C70AD5" w:rsidP="00C70AD5">
      <w:pPr>
        <w:tabs>
          <w:tab w:val="left" w:pos="990"/>
        </w:tabs>
        <w:spacing w:after="0" w:line="360" w:lineRule="auto"/>
        <w:ind w:left="567" w:right="567"/>
        <w:rPr>
          <w:rFonts w:eastAsia="Times New Roman" w:cs="Tahoma"/>
          <w:b/>
          <w:bCs/>
          <w:i/>
          <w:iCs/>
          <w:sz w:val="20"/>
          <w:lang w:eastAsia="es-ES"/>
        </w:rPr>
      </w:pPr>
      <w:r>
        <w:rPr>
          <w:rFonts w:eastAsia="Times New Roman" w:cs="Tahoma"/>
          <w:b/>
          <w:bCs/>
          <w:i/>
          <w:iCs/>
          <w:sz w:val="20"/>
          <w:lang w:eastAsia="es-ES"/>
        </w:rPr>
        <w:tab/>
      </w:r>
    </w:p>
    <w:p w14:paraId="71BBBF60" w14:textId="77777777" w:rsidR="00C70AD5" w:rsidRPr="0012520B" w:rsidRDefault="00C70AD5" w:rsidP="00C70AD5">
      <w:pPr>
        <w:tabs>
          <w:tab w:val="left" w:pos="990"/>
        </w:tabs>
        <w:spacing w:after="0" w:line="360" w:lineRule="auto"/>
        <w:ind w:left="567" w:right="567"/>
        <w:rPr>
          <w:rFonts w:eastAsia="Times New Roman" w:cs="Tahoma"/>
          <w:b/>
          <w:bCs/>
          <w:i/>
          <w:iCs/>
          <w:sz w:val="20"/>
          <w:lang w:eastAsia="es-ES"/>
        </w:rPr>
      </w:pPr>
    </w:p>
    <w:p w14:paraId="6C0DE105" w14:textId="3FEE2196" w:rsidR="00E22EA8" w:rsidRPr="0012520B" w:rsidRDefault="00125F26" w:rsidP="001162C4">
      <w:pPr>
        <w:tabs>
          <w:tab w:val="left" w:pos="4667"/>
        </w:tabs>
        <w:spacing w:after="0" w:line="360" w:lineRule="auto"/>
        <w:ind w:left="567" w:right="567"/>
        <w:rPr>
          <w:rFonts w:eastAsia="Times New Roman" w:cs="Tahoma"/>
          <w:b/>
          <w:bCs/>
          <w:i/>
          <w:iCs/>
          <w:sz w:val="20"/>
          <w:lang w:eastAsia="es-ES"/>
        </w:rPr>
      </w:pPr>
      <w:r w:rsidRPr="0012520B">
        <w:rPr>
          <w:rFonts w:eastAsia="Times New Roman" w:cs="Tahoma"/>
          <w:b/>
          <w:bCs/>
          <w:i/>
          <w:iCs/>
          <w:sz w:val="20"/>
          <w:lang w:eastAsia="es-ES"/>
        </w:rPr>
        <w:lastRenderedPageBreak/>
        <w:t>“</w:t>
      </w:r>
      <w:r w:rsidR="00E22EA8" w:rsidRPr="0012520B">
        <w:rPr>
          <w:rFonts w:eastAsia="Times New Roman" w:cs="Tahoma"/>
          <w:b/>
          <w:bCs/>
          <w:i/>
          <w:iCs/>
          <w:sz w:val="20"/>
          <w:lang w:eastAsia="es-ES"/>
        </w:rPr>
        <w:t>MODALIDAD DE ENTREGA</w:t>
      </w:r>
    </w:p>
    <w:p w14:paraId="3CA8F82F" w14:textId="1B5A8200" w:rsidR="00EB386A" w:rsidRPr="0012520B" w:rsidRDefault="00BB6693" w:rsidP="001162C4">
      <w:pPr>
        <w:spacing w:after="0" w:line="360" w:lineRule="auto"/>
        <w:ind w:left="567" w:right="567"/>
        <w:rPr>
          <w:rFonts w:eastAsia="Times New Roman" w:cs="Arial"/>
          <w:bCs/>
          <w:i/>
          <w:iCs/>
          <w:sz w:val="20"/>
          <w:lang w:eastAsia="es-ES"/>
        </w:rPr>
      </w:pPr>
      <w:r w:rsidRPr="0012520B">
        <w:rPr>
          <w:rFonts w:eastAsia="Times New Roman" w:cs="Arial"/>
          <w:bCs/>
          <w:i/>
          <w:iCs/>
          <w:sz w:val="20"/>
          <w:lang w:eastAsia="es-ES"/>
        </w:rPr>
        <w:t>A través del SAIMEX</w:t>
      </w:r>
      <w:r w:rsidR="00E22EA8" w:rsidRPr="0012520B">
        <w:rPr>
          <w:rFonts w:eastAsia="Times New Roman" w:cs="Arial"/>
          <w:bCs/>
          <w:i/>
          <w:iCs/>
          <w:sz w:val="20"/>
          <w:lang w:eastAsia="es-ES"/>
        </w:rPr>
        <w:t>”</w:t>
      </w:r>
    </w:p>
    <w:p w14:paraId="4373CC46" w14:textId="77777777" w:rsidR="00F30312" w:rsidRPr="0012520B" w:rsidRDefault="00F30312" w:rsidP="00F30312">
      <w:pPr>
        <w:spacing w:after="0" w:line="360" w:lineRule="auto"/>
        <w:ind w:right="567"/>
        <w:rPr>
          <w:rFonts w:eastAsia="Calibri" w:cs="Tahoma"/>
          <w:bCs/>
          <w:color w:val="000000"/>
          <w:lang w:eastAsia="en-US"/>
        </w:rPr>
      </w:pPr>
    </w:p>
    <w:p w14:paraId="0A604AAC" w14:textId="2F3D7533" w:rsidR="00E22EA8" w:rsidRPr="0012520B" w:rsidRDefault="00F30312" w:rsidP="001162C4">
      <w:pPr>
        <w:pStyle w:val="Ttulo2"/>
        <w:spacing w:before="0" w:after="0" w:line="360" w:lineRule="auto"/>
        <w:rPr>
          <w:sz w:val="22"/>
          <w:szCs w:val="22"/>
        </w:rPr>
      </w:pPr>
      <w:bookmarkStart w:id="2" w:name="_Toc219289822"/>
      <w:r w:rsidRPr="0012520B">
        <w:rPr>
          <w:rFonts w:cs="Tahoma"/>
          <w:sz w:val="22"/>
          <w:szCs w:val="22"/>
        </w:rPr>
        <w:t>I</w:t>
      </w:r>
      <w:r w:rsidR="00720A55" w:rsidRPr="0012520B">
        <w:rPr>
          <w:rFonts w:cs="Tahoma"/>
          <w:sz w:val="22"/>
          <w:szCs w:val="22"/>
        </w:rPr>
        <w:t>I</w:t>
      </w:r>
      <w:r w:rsidR="00E22EA8" w:rsidRPr="0012520B">
        <w:rPr>
          <w:rFonts w:cs="Tahoma"/>
          <w:sz w:val="22"/>
          <w:szCs w:val="22"/>
        </w:rPr>
        <w:t>.</w:t>
      </w:r>
      <w:r w:rsidR="00E22EA8" w:rsidRPr="0012520B">
        <w:rPr>
          <w:sz w:val="22"/>
          <w:szCs w:val="22"/>
        </w:rPr>
        <w:t xml:space="preserve"> Respuesta del Sujeto Obligado</w:t>
      </w:r>
      <w:bookmarkEnd w:id="2"/>
    </w:p>
    <w:p w14:paraId="10CE94A9" w14:textId="77777777" w:rsidR="00C06004" w:rsidRPr="0012520B" w:rsidRDefault="00C06004" w:rsidP="001162C4">
      <w:pPr>
        <w:autoSpaceDE w:val="0"/>
        <w:autoSpaceDN w:val="0"/>
        <w:adjustRightInd w:val="0"/>
        <w:spacing w:after="0" w:line="360" w:lineRule="auto"/>
        <w:rPr>
          <w:b/>
          <w:bCs/>
        </w:rPr>
      </w:pPr>
    </w:p>
    <w:p w14:paraId="612A158B" w14:textId="288D81F7" w:rsidR="00D27B88" w:rsidRDefault="007E7797" w:rsidP="001162C4">
      <w:pPr>
        <w:spacing w:after="0" w:line="360" w:lineRule="auto"/>
      </w:pPr>
      <w:r>
        <w:t xml:space="preserve">El </w:t>
      </w:r>
      <w:r w:rsidR="00B32D97">
        <w:t>cuatro de diciembre</w:t>
      </w:r>
      <w:r w:rsidR="00CD4DE8" w:rsidRPr="00E342FF">
        <w:t xml:space="preserve"> de dos mil veinticinco</w:t>
      </w:r>
      <w:r w:rsidR="00E22EA8" w:rsidRPr="00E342FF">
        <w:t xml:space="preserve">, el Sujeto Obligado notificó, a través del Sistema de Acceso a la Información Mexiquense (SAIMEX), la respuesta a la solicitud de acceso a la información pública, </w:t>
      </w:r>
      <w:r w:rsidR="005454D5" w:rsidRPr="00E342FF">
        <w:t>a través de</w:t>
      </w:r>
      <w:r w:rsidR="00D27B88">
        <w:t>l oficio número TM/ECA/CA/</w:t>
      </w:r>
      <w:r w:rsidR="00B32D97">
        <w:t>8254</w:t>
      </w:r>
      <w:r w:rsidR="00D27B88">
        <w:t xml:space="preserve">/2025, </w:t>
      </w:r>
      <w:r w:rsidR="00B32D97">
        <w:t>de la misma fecha</w:t>
      </w:r>
      <w:r w:rsidR="00D27B88">
        <w:t>, suscrito por el Tesorero Municipal y dirigido a la Titular de la Unidad de Transparencia, por medio del cual mencionó lo siguiente:</w:t>
      </w:r>
    </w:p>
    <w:p w14:paraId="180FF289" w14:textId="77777777" w:rsidR="00D27B88" w:rsidRDefault="00D27B88" w:rsidP="001162C4">
      <w:pPr>
        <w:spacing w:after="0" w:line="360" w:lineRule="auto"/>
      </w:pPr>
    </w:p>
    <w:p w14:paraId="39F127CF" w14:textId="6E6137EE" w:rsidR="00D27B88" w:rsidRPr="004F29F4" w:rsidRDefault="00D27B88" w:rsidP="004F29F4">
      <w:pPr>
        <w:spacing w:after="0" w:line="360" w:lineRule="auto"/>
        <w:ind w:left="720"/>
        <w:rPr>
          <w:i/>
          <w:sz w:val="20"/>
        </w:rPr>
      </w:pPr>
      <w:r w:rsidRPr="004F29F4">
        <w:rPr>
          <w:i/>
          <w:sz w:val="20"/>
        </w:rPr>
        <w:t>“…</w:t>
      </w:r>
      <w:r w:rsidR="00B32D97" w:rsidRPr="00B32D97">
        <w:rPr>
          <w:i/>
          <w:sz w:val="20"/>
        </w:rPr>
        <w:t>hago de su conocimiento que esta Tesorería advierte que la información de los pagos realizados a personas físicas y morales durante el periodo del 1 de enero al 11 de noviembre, es considerada como información confidencial</w:t>
      </w:r>
      <w:r w:rsidRPr="004F29F4">
        <w:rPr>
          <w:i/>
          <w:sz w:val="20"/>
        </w:rPr>
        <w:t xml:space="preserve">, de conformidad con lo dispuesto en el artículo 40 fracción II, 115 párrafo primero y tercero de la Ley General de Transparencia y Acceso a la información Pública; articulo 3 fracciones XX y XXI, 49 fracciones </w:t>
      </w:r>
      <w:proofErr w:type="spellStart"/>
      <w:r w:rsidRPr="004F29F4">
        <w:rPr>
          <w:i/>
          <w:sz w:val="20"/>
        </w:rPr>
        <w:t>Il</w:t>
      </w:r>
      <w:proofErr w:type="spellEnd"/>
      <w:r w:rsidRPr="004F29F4">
        <w:rPr>
          <w:i/>
          <w:sz w:val="20"/>
        </w:rPr>
        <w:t xml:space="preserve"> y VIII, 132 fracción I, 143 fracción I, </w:t>
      </w:r>
      <w:proofErr w:type="spellStart"/>
      <w:r w:rsidRPr="004F29F4">
        <w:rPr>
          <w:i/>
          <w:sz w:val="20"/>
        </w:rPr>
        <w:t>Il</w:t>
      </w:r>
      <w:proofErr w:type="spellEnd"/>
      <w:r w:rsidRPr="004F29F4">
        <w:rPr>
          <w:i/>
          <w:sz w:val="20"/>
        </w:rPr>
        <w:t>, y 149 de la Ley de General de Transparencia y Acceso a la Información Pública del Estado de México y Municipios, en los que se establecen los límites y excepciones a la divulgación de la información relacionada con los aspectos financieros y bancarios.</w:t>
      </w:r>
    </w:p>
    <w:p w14:paraId="2E611913" w14:textId="77777777" w:rsidR="00D27B88" w:rsidRPr="004F29F4" w:rsidRDefault="00D27B88" w:rsidP="004F29F4">
      <w:pPr>
        <w:spacing w:after="0" w:line="360" w:lineRule="auto"/>
        <w:ind w:left="720"/>
        <w:rPr>
          <w:i/>
          <w:sz w:val="20"/>
        </w:rPr>
      </w:pPr>
    </w:p>
    <w:p w14:paraId="36D82D6A" w14:textId="4F938551" w:rsidR="00D27B88" w:rsidRDefault="00D27B88" w:rsidP="004F29F4">
      <w:pPr>
        <w:spacing w:after="0" w:line="360" w:lineRule="auto"/>
        <w:ind w:left="720"/>
        <w:rPr>
          <w:i/>
          <w:sz w:val="20"/>
        </w:rPr>
      </w:pPr>
      <w:r w:rsidRPr="004F29F4">
        <w:rPr>
          <w:i/>
          <w:sz w:val="20"/>
        </w:rPr>
        <w:t>No omito señalar que, la información propuesta a clasificar no obra en una fuente de acceso público, sino en los expedientes que se generan en la Tesorería de este H. Ayuntamiento de Ecatepec de Morelos, los cuales son para uso exclusivo del personal adscrito a las unidades administrativas con atribuciones para consultarlos y hacer uso de ellos.</w:t>
      </w:r>
    </w:p>
    <w:p w14:paraId="53BAC0DF" w14:textId="77777777" w:rsidR="00B32D97" w:rsidRDefault="00B32D97" w:rsidP="004F29F4">
      <w:pPr>
        <w:spacing w:after="0" w:line="360" w:lineRule="auto"/>
        <w:ind w:left="720"/>
        <w:rPr>
          <w:i/>
          <w:sz w:val="20"/>
        </w:rPr>
      </w:pPr>
    </w:p>
    <w:p w14:paraId="3777A53B" w14:textId="6EF070F2" w:rsidR="00B32D97" w:rsidRDefault="00B32D97" w:rsidP="004F29F4">
      <w:pPr>
        <w:spacing w:after="0" w:line="360" w:lineRule="auto"/>
        <w:ind w:left="720"/>
        <w:rPr>
          <w:i/>
          <w:sz w:val="20"/>
        </w:rPr>
      </w:pPr>
      <w:r>
        <w:rPr>
          <w:i/>
          <w:sz w:val="20"/>
        </w:rPr>
        <w:t>P</w:t>
      </w:r>
      <w:r w:rsidRPr="00B32D97">
        <w:rPr>
          <w:i/>
          <w:sz w:val="20"/>
        </w:rPr>
        <w:t xml:space="preserve">or lo anterior, y en aras de atender la solicitud en mención, se presenta y aplica una prueba de daño, entendiéndose por ésta, la demostración de manera fundada y motivada de que la divulgación de la información lesiona el interés jurídicamente protegido por la Ley y que el menoscabo o daño que puede </w:t>
      </w:r>
      <w:r w:rsidRPr="00B32D97">
        <w:rPr>
          <w:i/>
          <w:sz w:val="20"/>
        </w:rPr>
        <w:lastRenderedPageBreak/>
        <w:t>producirse con la publicidad de la información es mayor que el interés de conocerla y, por consiguiente, debe clasificarse como reservada, precisando las razones objetivas por las que la apertura de la información genera una afectación.</w:t>
      </w:r>
    </w:p>
    <w:p w14:paraId="77B54998" w14:textId="77777777" w:rsidR="00B32D97" w:rsidRDefault="00B32D97" w:rsidP="004F29F4">
      <w:pPr>
        <w:spacing w:after="0" w:line="360" w:lineRule="auto"/>
        <w:ind w:left="720"/>
        <w:rPr>
          <w:i/>
          <w:sz w:val="20"/>
        </w:rPr>
      </w:pPr>
    </w:p>
    <w:p w14:paraId="0F6C193B" w14:textId="056702AB" w:rsidR="00B32D97" w:rsidRDefault="00B32D97" w:rsidP="004F29F4">
      <w:pPr>
        <w:spacing w:after="0" w:line="360" w:lineRule="auto"/>
        <w:ind w:left="720"/>
        <w:rPr>
          <w:i/>
          <w:sz w:val="20"/>
        </w:rPr>
      </w:pPr>
      <w:r w:rsidRPr="00B32D97">
        <w:rPr>
          <w:i/>
          <w:sz w:val="20"/>
        </w:rPr>
        <w:t>Al respecto, y en apego en lo dispuesto en los artículos del párrafo segundo, fracciones I y I</w:t>
      </w:r>
      <w:r>
        <w:rPr>
          <w:i/>
          <w:sz w:val="20"/>
        </w:rPr>
        <w:t>I</w:t>
      </w:r>
      <w:r w:rsidRPr="00B32D97">
        <w:rPr>
          <w:i/>
          <w:sz w:val="20"/>
        </w:rPr>
        <w:t xml:space="preserve"> del artículo 6 Constitucional, en donde se concluye que, con la mayoría de las garantías individuales, el derecho de acceso a la información pública no es absoluto, sino que se encuentra sometido a un régimen reducido de excepciones para el caso de que su ejercicio amenace valores o bienes jurídicos igualmente protegidos por el derecho, que son</w:t>
      </w:r>
    </w:p>
    <w:p w14:paraId="6E2FF59C" w14:textId="77777777" w:rsidR="00B32D97" w:rsidRDefault="00B32D97" w:rsidP="004F29F4">
      <w:pPr>
        <w:spacing w:after="0" w:line="360" w:lineRule="auto"/>
        <w:ind w:left="720"/>
        <w:rPr>
          <w:i/>
          <w:sz w:val="20"/>
        </w:rPr>
      </w:pPr>
    </w:p>
    <w:p w14:paraId="0403EB39" w14:textId="77777777" w:rsidR="00B32D97" w:rsidRPr="00B32D97" w:rsidRDefault="00B32D97" w:rsidP="00020B86">
      <w:pPr>
        <w:pStyle w:val="Prrafodelista"/>
        <w:numPr>
          <w:ilvl w:val="0"/>
          <w:numId w:val="2"/>
        </w:numPr>
        <w:spacing w:line="360" w:lineRule="auto"/>
        <w:rPr>
          <w:i/>
          <w:sz w:val="20"/>
        </w:rPr>
      </w:pPr>
      <w:r w:rsidRPr="00B32D97">
        <w:rPr>
          <w:i/>
          <w:sz w:val="20"/>
        </w:rPr>
        <w:t xml:space="preserve">Causas de interés público. Cuando la divulgación de cierta información, ponga en riesgo de manera indudable e inmediata el adecuado funcionamiento de las instituciones públicas y/o la paz social: por ejemplo, en los casos de seguridad nacional la seguridad pública, las relaciones internacionales, la economía, la vida, la salud o seguridad de las personas y los actos relacionados con la aplicación de las leyes; y </w:t>
      </w:r>
    </w:p>
    <w:p w14:paraId="7B6390CB" w14:textId="77777777" w:rsidR="00B32D97" w:rsidRDefault="00B32D97" w:rsidP="004F29F4">
      <w:pPr>
        <w:spacing w:after="0" w:line="360" w:lineRule="auto"/>
        <w:ind w:left="720"/>
        <w:rPr>
          <w:i/>
          <w:sz w:val="20"/>
        </w:rPr>
      </w:pPr>
    </w:p>
    <w:p w14:paraId="1092E9B7" w14:textId="2563A953" w:rsidR="00B32D97" w:rsidRPr="00B32D97" w:rsidRDefault="00B32D97" w:rsidP="00020B86">
      <w:pPr>
        <w:pStyle w:val="Prrafodelista"/>
        <w:numPr>
          <w:ilvl w:val="0"/>
          <w:numId w:val="2"/>
        </w:numPr>
        <w:spacing w:line="360" w:lineRule="auto"/>
        <w:rPr>
          <w:i/>
          <w:sz w:val="20"/>
        </w:rPr>
      </w:pPr>
      <w:r w:rsidRPr="00B32D97">
        <w:rPr>
          <w:i/>
          <w:sz w:val="20"/>
        </w:rPr>
        <w:t>Protección de la vida privada y de los datos personales. Información que no está sujeta al principio de la publicidad, dado que su divulgación pone en grave riesgo otro derecho fundamental como es el señalado en el artículo 16 párrafo segundo de la propia Constitución Política Federal.</w:t>
      </w:r>
    </w:p>
    <w:p w14:paraId="498F036D" w14:textId="53A585E8" w:rsidR="00D27B88" w:rsidRDefault="00D27B88" w:rsidP="004F29F4">
      <w:pPr>
        <w:spacing w:after="0" w:line="360" w:lineRule="auto"/>
        <w:ind w:left="720"/>
        <w:rPr>
          <w:i/>
          <w:sz w:val="20"/>
        </w:rPr>
      </w:pPr>
      <w:r w:rsidRPr="004F29F4">
        <w:rPr>
          <w:i/>
          <w:sz w:val="20"/>
        </w:rPr>
        <w:t>…</w:t>
      </w:r>
    </w:p>
    <w:p w14:paraId="13EEC02C" w14:textId="5FC4112F" w:rsidR="00B32D97" w:rsidRPr="004F29F4" w:rsidRDefault="00B32D97" w:rsidP="004F29F4">
      <w:pPr>
        <w:spacing w:after="0" w:line="360" w:lineRule="auto"/>
        <w:ind w:left="720"/>
        <w:rPr>
          <w:i/>
          <w:sz w:val="20"/>
        </w:rPr>
      </w:pPr>
      <w:r w:rsidRPr="00B32D97">
        <w:rPr>
          <w:i/>
          <w:sz w:val="20"/>
        </w:rPr>
        <w:t>Estas excepciones son las que dan origen a la figura jurídica "clasificación de información", en cuanto a que es regla universal que las autoridades no están autorizadas a mantener secretos en relación a las actividades que desarrollan en ejercicio de funciones de derecho público, salvo que el ocultamiento garantice el irrestricto respeto a los bienes jurídicos de mérito, debiéndose para el caso, restringir el derecho de acceso a la información.</w:t>
      </w:r>
    </w:p>
    <w:p w14:paraId="2D455C86" w14:textId="39AB9722" w:rsidR="004F29F4" w:rsidRPr="004F29F4" w:rsidRDefault="004F29F4" w:rsidP="004F29F4">
      <w:pPr>
        <w:spacing w:after="0" w:line="360" w:lineRule="auto"/>
        <w:ind w:left="720"/>
        <w:rPr>
          <w:i/>
          <w:sz w:val="20"/>
        </w:rPr>
      </w:pPr>
      <w:r w:rsidRPr="004F29F4">
        <w:rPr>
          <w:i/>
          <w:sz w:val="20"/>
        </w:rPr>
        <w:t>…</w:t>
      </w:r>
    </w:p>
    <w:p w14:paraId="2C44EBA6" w14:textId="77777777" w:rsidR="004F29F4" w:rsidRPr="004F29F4" w:rsidRDefault="004F29F4" w:rsidP="004F29F4">
      <w:pPr>
        <w:spacing w:after="0" w:line="360" w:lineRule="auto"/>
        <w:ind w:left="720"/>
        <w:rPr>
          <w:i/>
          <w:sz w:val="20"/>
        </w:rPr>
      </w:pPr>
      <w:r w:rsidRPr="004F29F4">
        <w:rPr>
          <w:i/>
          <w:sz w:val="20"/>
        </w:rPr>
        <w:t>Lo anterior en virtud de que:</w:t>
      </w:r>
    </w:p>
    <w:p w14:paraId="41F4D297" w14:textId="77777777" w:rsidR="004F29F4" w:rsidRPr="004F29F4" w:rsidRDefault="004F29F4" w:rsidP="004F29F4">
      <w:pPr>
        <w:spacing w:after="0" w:line="360" w:lineRule="auto"/>
        <w:ind w:left="720"/>
        <w:rPr>
          <w:i/>
          <w:sz w:val="20"/>
        </w:rPr>
      </w:pPr>
    </w:p>
    <w:p w14:paraId="0C42C89A" w14:textId="3987EF7B" w:rsidR="004F29F4" w:rsidRDefault="004F29F4" w:rsidP="00B32D97">
      <w:pPr>
        <w:spacing w:after="0" w:line="360" w:lineRule="auto"/>
        <w:ind w:left="720"/>
        <w:rPr>
          <w:i/>
          <w:sz w:val="20"/>
        </w:rPr>
      </w:pPr>
      <w:r w:rsidRPr="004F29F4">
        <w:rPr>
          <w:i/>
          <w:sz w:val="20"/>
        </w:rPr>
        <w:lastRenderedPageBreak/>
        <w:t>-</w:t>
      </w:r>
      <w:r w:rsidR="00B32D97" w:rsidRPr="00B32D97">
        <w:rPr>
          <w:i/>
          <w:sz w:val="20"/>
        </w:rPr>
        <w:t>El recibo emitido contiene información confidencial de los contribuyentes, la cual, de ser exhibida de manera pública, pudiera generar un perjuicio a los datos personales que este contiene.</w:t>
      </w:r>
    </w:p>
    <w:p w14:paraId="60EDD47F" w14:textId="77777777" w:rsidR="00B32D97" w:rsidRPr="004F29F4" w:rsidRDefault="00B32D97" w:rsidP="00B32D97">
      <w:pPr>
        <w:spacing w:after="0" w:line="360" w:lineRule="auto"/>
        <w:ind w:left="720"/>
        <w:rPr>
          <w:i/>
          <w:sz w:val="20"/>
        </w:rPr>
      </w:pPr>
    </w:p>
    <w:p w14:paraId="06D1D463" w14:textId="0A2017EE" w:rsidR="004F29F4" w:rsidRPr="004F29F4" w:rsidRDefault="004F29F4" w:rsidP="004F29F4">
      <w:pPr>
        <w:spacing w:after="0" w:line="360" w:lineRule="auto"/>
        <w:ind w:left="720"/>
        <w:rPr>
          <w:i/>
          <w:sz w:val="20"/>
        </w:rPr>
      </w:pPr>
      <w:r w:rsidRPr="004F29F4">
        <w:rPr>
          <w:i/>
          <w:sz w:val="20"/>
        </w:rPr>
        <w:t>Con el fin de establecer medidas de seguridad que impidan el uso indebido, acceso ilegal, falsificación o alteración de los documentos bancarios del Municipio de Ecatepec de Morelos y con base en lo establecido por el artículo 20, fracción IV de la Ley de Transparencia y Acceso a la Información Pública del Estado de México у Municipios, en su parte conducente a prevención del delito, esta Tesorería solicita sea clasificado como reservada la información relativa a los comprobantes de pago, en virtud de que su difusión puede ser utilizada por terceros ajenos al municipio o por otras personas dentro de la institución o de los bancos, para cometer ilícitos en perjuicio del patrimonio.</w:t>
      </w:r>
    </w:p>
    <w:p w14:paraId="21A3FFAE" w14:textId="16A0348C" w:rsidR="004F29F4" w:rsidRPr="004F29F4" w:rsidRDefault="004F29F4" w:rsidP="004F29F4">
      <w:pPr>
        <w:spacing w:after="0" w:line="360" w:lineRule="auto"/>
        <w:ind w:left="720"/>
        <w:rPr>
          <w:i/>
          <w:sz w:val="20"/>
        </w:rPr>
      </w:pPr>
      <w:r w:rsidRPr="004F29F4">
        <w:rPr>
          <w:i/>
          <w:sz w:val="20"/>
        </w:rPr>
        <w:t>…</w:t>
      </w:r>
    </w:p>
    <w:p w14:paraId="11EA09AF" w14:textId="77777777" w:rsidR="00B32D97" w:rsidRDefault="00B32D97" w:rsidP="004F29F4">
      <w:pPr>
        <w:spacing w:after="0" w:line="360" w:lineRule="auto"/>
        <w:ind w:left="720"/>
        <w:rPr>
          <w:i/>
          <w:sz w:val="20"/>
        </w:rPr>
      </w:pPr>
      <w:r w:rsidRPr="00B32D97">
        <w:rPr>
          <w:i/>
          <w:sz w:val="20"/>
        </w:rPr>
        <w:t>No se omite mencionar que la exhibición de dicha información NO CONTRIBUYEN EN NADA a la rendición de cuentas o a transparentar la gestión gubernamental, debido a que por sí solos no reflejan el desempeño de las funciones públicas, y, en suma, su difusión actualiza un daño presente, probable y específico a un bien jurídico de acuerdo al ya citado artículo 140 fracciones I y V de la Ley de Transparencia y Acceso a la Información del Estado de México y Municipios.</w:t>
      </w:r>
    </w:p>
    <w:p w14:paraId="40A6AD48" w14:textId="4779421C" w:rsidR="004F29F4" w:rsidRPr="004F29F4" w:rsidRDefault="004F29F4" w:rsidP="004F29F4">
      <w:pPr>
        <w:spacing w:after="0" w:line="360" w:lineRule="auto"/>
        <w:ind w:left="720"/>
        <w:rPr>
          <w:i/>
          <w:sz w:val="20"/>
        </w:rPr>
      </w:pPr>
      <w:r w:rsidRPr="004F29F4">
        <w:rPr>
          <w:i/>
          <w:sz w:val="20"/>
        </w:rPr>
        <w:t>…”</w:t>
      </w:r>
    </w:p>
    <w:p w14:paraId="6F64C010" w14:textId="77777777" w:rsidR="00790E31" w:rsidRPr="00790E31" w:rsidRDefault="00790E31" w:rsidP="00D27B88">
      <w:pPr>
        <w:spacing w:after="0" w:line="360" w:lineRule="auto"/>
        <w:rPr>
          <w:i/>
          <w:sz w:val="20"/>
        </w:rPr>
      </w:pPr>
    </w:p>
    <w:p w14:paraId="7E7FBB31" w14:textId="2D71FF5C" w:rsidR="00E22EA8" w:rsidRPr="0012520B" w:rsidRDefault="00720A55" w:rsidP="001162C4">
      <w:pPr>
        <w:pStyle w:val="Ttulo2"/>
        <w:spacing w:before="0" w:after="0" w:line="360" w:lineRule="auto"/>
        <w:rPr>
          <w:sz w:val="22"/>
          <w:szCs w:val="22"/>
        </w:rPr>
      </w:pPr>
      <w:bookmarkStart w:id="3" w:name="_Toc219289823"/>
      <w:r w:rsidRPr="0012520B">
        <w:rPr>
          <w:sz w:val="22"/>
          <w:szCs w:val="22"/>
        </w:rPr>
        <w:t>I</w:t>
      </w:r>
      <w:r w:rsidR="00D252F7">
        <w:rPr>
          <w:sz w:val="22"/>
          <w:szCs w:val="22"/>
        </w:rPr>
        <w:t>II</w:t>
      </w:r>
      <w:r w:rsidR="00E22EA8" w:rsidRPr="0012520B">
        <w:rPr>
          <w:sz w:val="22"/>
          <w:szCs w:val="22"/>
        </w:rPr>
        <w:t>. Interposición del Recurso de Revisión</w:t>
      </w:r>
      <w:bookmarkEnd w:id="3"/>
    </w:p>
    <w:p w14:paraId="053D45CF" w14:textId="77777777" w:rsidR="00E22EA8" w:rsidRPr="0012520B" w:rsidRDefault="00E22EA8" w:rsidP="001162C4">
      <w:pPr>
        <w:spacing w:after="0" w:line="360" w:lineRule="auto"/>
        <w:rPr>
          <w:b/>
        </w:rPr>
      </w:pPr>
    </w:p>
    <w:p w14:paraId="355C8CC6" w14:textId="25162191" w:rsidR="009C5A71" w:rsidRDefault="00083169" w:rsidP="001162C4">
      <w:pPr>
        <w:spacing w:after="0" w:line="360" w:lineRule="auto"/>
        <w:rPr>
          <w:bCs/>
        </w:rPr>
      </w:pPr>
      <w:r w:rsidRPr="0012520B">
        <w:rPr>
          <w:bCs/>
        </w:rPr>
        <w:t>El</w:t>
      </w:r>
      <w:r w:rsidR="008E5E71" w:rsidRPr="0012520B">
        <w:rPr>
          <w:bCs/>
        </w:rPr>
        <w:t xml:space="preserve"> </w:t>
      </w:r>
      <w:r w:rsidR="00B32D97">
        <w:t>ocho de diciembre</w:t>
      </w:r>
      <w:r w:rsidR="00C2045C" w:rsidRPr="0012520B">
        <w:t xml:space="preserve"> </w:t>
      </w:r>
      <w:r w:rsidR="008E5E71" w:rsidRPr="0012520B">
        <w:t>de dos mil veinticinco</w:t>
      </w:r>
      <w:r w:rsidR="00E22EA8" w:rsidRPr="0012520B">
        <w:rPr>
          <w:bCs/>
        </w:rPr>
        <w:t xml:space="preserve">, se recibió en este Instituto, a través del </w:t>
      </w:r>
      <w:r w:rsidR="00E22EA8" w:rsidRPr="0012520B">
        <w:rPr>
          <w:bCs/>
          <w:lang w:val="es-ES"/>
        </w:rPr>
        <w:t>Sistema de Acceso a la Información Mexiquense (SAIMEX)</w:t>
      </w:r>
      <w:r w:rsidR="00E22EA8" w:rsidRPr="0012520B">
        <w:rPr>
          <w:bCs/>
        </w:rPr>
        <w:t xml:space="preserve">, </w:t>
      </w:r>
      <w:r w:rsidR="009019A8" w:rsidRPr="0012520B">
        <w:rPr>
          <w:bCs/>
        </w:rPr>
        <w:t xml:space="preserve">el </w:t>
      </w:r>
      <w:r w:rsidR="00E22EA8" w:rsidRPr="0012520B">
        <w:rPr>
          <w:bCs/>
        </w:rPr>
        <w:t>Recurso de Revisión interpuesto por la p</w:t>
      </w:r>
      <w:r w:rsidRPr="0012520B">
        <w:rPr>
          <w:bCs/>
        </w:rPr>
        <w:t>ersona</w:t>
      </w:r>
      <w:r w:rsidR="00E22EA8" w:rsidRPr="0012520B">
        <w:rPr>
          <w:bCs/>
        </w:rPr>
        <w:t xml:space="preserve"> Recurrente, en contra de la respuesta por el Sujeto Obligado, a la solicitud de información</w:t>
      </w:r>
      <w:r w:rsidR="00B32D97">
        <w:rPr>
          <w:rFonts w:eastAsia="Calibri" w:cs="Times New Roman"/>
        </w:rPr>
        <w:t xml:space="preserve"> (</w:t>
      </w:r>
      <w:r w:rsidR="00C70AD5">
        <w:rPr>
          <w:rFonts w:eastAsia="Calibri" w:cs="Times New Roman"/>
        </w:rPr>
        <w:t>ya que,</w:t>
      </w:r>
      <w:r w:rsidR="00B32D97">
        <w:rPr>
          <w:rFonts w:eastAsia="Calibri" w:cs="Times New Roman"/>
        </w:rPr>
        <w:t xml:space="preserve"> si bien se recibió el seis de dicho mes y año, lo cierto es que fue inhábil, por lo que se tuvo por presentado el hábil siguiente),</w:t>
      </w:r>
      <w:r w:rsidR="00F43789" w:rsidRPr="0012520B">
        <w:rPr>
          <w:rFonts w:eastAsia="Calibri" w:cs="Times New Roman"/>
        </w:rPr>
        <w:t xml:space="preserve"> </w:t>
      </w:r>
      <w:r w:rsidR="00E22EA8" w:rsidRPr="0012520B">
        <w:rPr>
          <w:bCs/>
        </w:rPr>
        <w:t>en los siguientes términos:</w:t>
      </w:r>
    </w:p>
    <w:p w14:paraId="1DFB5451" w14:textId="77777777" w:rsidR="001B6E39" w:rsidRPr="0012520B" w:rsidRDefault="001B6E39" w:rsidP="001162C4">
      <w:pPr>
        <w:spacing w:after="0" w:line="360" w:lineRule="auto"/>
        <w:rPr>
          <w:bCs/>
        </w:rPr>
      </w:pPr>
    </w:p>
    <w:p w14:paraId="1B2CCD45" w14:textId="1F34B3A9" w:rsidR="00E22EA8" w:rsidRPr="0012520B" w:rsidRDefault="00E12804" w:rsidP="001162C4">
      <w:pPr>
        <w:spacing w:after="0" w:line="360" w:lineRule="auto"/>
        <w:ind w:left="567" w:right="567"/>
        <w:rPr>
          <w:bCs/>
          <w:i/>
          <w:sz w:val="20"/>
          <w:szCs w:val="20"/>
        </w:rPr>
      </w:pPr>
      <w:r w:rsidRPr="0012520B">
        <w:rPr>
          <w:b/>
          <w:bCs/>
          <w:i/>
          <w:sz w:val="20"/>
          <w:szCs w:val="20"/>
        </w:rPr>
        <w:t>‘’</w:t>
      </w:r>
      <w:r w:rsidR="00E22EA8" w:rsidRPr="0012520B">
        <w:rPr>
          <w:b/>
          <w:bCs/>
          <w:i/>
          <w:sz w:val="20"/>
          <w:szCs w:val="20"/>
        </w:rPr>
        <w:t>ACTO IMPUGNADO</w:t>
      </w:r>
    </w:p>
    <w:p w14:paraId="20CB87D1" w14:textId="2C08FA58" w:rsidR="00E22EA8" w:rsidRPr="0012520B" w:rsidRDefault="00F16ADD" w:rsidP="001162C4">
      <w:pPr>
        <w:spacing w:after="0" w:line="360" w:lineRule="auto"/>
        <w:ind w:left="567" w:right="567"/>
        <w:rPr>
          <w:i/>
          <w:sz w:val="20"/>
          <w:szCs w:val="20"/>
        </w:rPr>
      </w:pPr>
      <w:r w:rsidRPr="00F16ADD">
        <w:rPr>
          <w:i/>
          <w:iCs/>
          <w:sz w:val="20"/>
          <w:szCs w:val="20"/>
        </w:rPr>
        <w:t xml:space="preserve">RESPUESTA A LA SOLICITUD </w:t>
      </w:r>
      <w:r w:rsidR="00B32D97">
        <w:rPr>
          <w:i/>
          <w:iCs/>
          <w:sz w:val="20"/>
          <w:szCs w:val="20"/>
        </w:rPr>
        <w:t>00908</w:t>
      </w:r>
      <w:r w:rsidRPr="00F16ADD">
        <w:rPr>
          <w:i/>
          <w:iCs/>
          <w:sz w:val="20"/>
          <w:szCs w:val="20"/>
        </w:rPr>
        <w:t>/ECATEPEC/IP/2025</w:t>
      </w:r>
      <w:r w:rsidR="00E22EA8" w:rsidRPr="0012520B">
        <w:rPr>
          <w:i/>
          <w:iCs/>
          <w:sz w:val="20"/>
          <w:szCs w:val="20"/>
        </w:rPr>
        <w:t>”</w:t>
      </w:r>
      <w:r w:rsidR="002D6CA6" w:rsidRPr="0012520B">
        <w:rPr>
          <w:i/>
          <w:iCs/>
          <w:sz w:val="20"/>
          <w:szCs w:val="20"/>
        </w:rPr>
        <w:t xml:space="preserve"> (Sic.)</w:t>
      </w:r>
    </w:p>
    <w:p w14:paraId="3F1F07C7" w14:textId="49F2AE96" w:rsidR="00E22EA8" w:rsidRPr="0012520B" w:rsidRDefault="00E12804" w:rsidP="001162C4">
      <w:pPr>
        <w:spacing w:after="0" w:line="360" w:lineRule="auto"/>
        <w:ind w:left="567" w:right="567"/>
        <w:rPr>
          <w:b/>
          <w:i/>
          <w:sz w:val="20"/>
          <w:szCs w:val="20"/>
        </w:rPr>
      </w:pPr>
      <w:r w:rsidRPr="0012520B">
        <w:rPr>
          <w:b/>
          <w:i/>
          <w:sz w:val="20"/>
          <w:szCs w:val="20"/>
        </w:rPr>
        <w:lastRenderedPageBreak/>
        <w:t>‘’</w:t>
      </w:r>
      <w:r w:rsidR="00E22EA8" w:rsidRPr="0012520B">
        <w:rPr>
          <w:b/>
          <w:i/>
          <w:sz w:val="20"/>
          <w:szCs w:val="20"/>
        </w:rPr>
        <w:t>RAZONES O MOTIVOS DE LA INCONFORMIDAD</w:t>
      </w:r>
    </w:p>
    <w:p w14:paraId="31B716B5" w14:textId="7EDAD109" w:rsidR="00E12804" w:rsidRPr="0012520B" w:rsidRDefault="00B32D97" w:rsidP="001162C4">
      <w:pPr>
        <w:spacing w:after="0" w:line="360" w:lineRule="auto"/>
        <w:ind w:left="567" w:right="567"/>
        <w:rPr>
          <w:i/>
          <w:iCs/>
          <w:sz w:val="20"/>
          <w:szCs w:val="20"/>
        </w:rPr>
      </w:pPr>
      <w:r w:rsidRPr="00B32D97">
        <w:rPr>
          <w:i/>
          <w:iCs/>
          <w:sz w:val="20"/>
          <w:szCs w:val="20"/>
        </w:rPr>
        <w:t>EL SUJETO OBLIGADO IMPONE UNA CLASIFICACIÓN ILEGAL Y ARBITRARIA, SIN SIQUIERA CUMPLIR CON LOS PROCEDIMIENTOS NORMATIVOS, A UNA INFORMACIÓN QUE ES DE CARACTER PÚBLICO. EL SERVIDOR PÚBLICO HABILITADO CARECE DE FACULTADES PARA CLASIFICAR INFORMACIÓN A SU LIBRE CRITERIO Y MÁS AUN TRATÁNDOSE DE DOCUMENTACIÓN PÚBLICA A LA QUE ÚNICAMENTE DEBEN TESTARSE AQUELLOS DATOS PERSONALES PERFECTAMENTE INDICADOS EN LA LEY. POR LO ANTERIOR, SOLICITO SE REVOQUE LA RESPUESTA DEL SUJETO OBLIGADO Y SE ORDENE LA ENTREGA DE LA INFORMACION SOLICITADA EXCATAMENTE EN LOS TÉRMINOS INDICADOS EN LA SOLICITUD.</w:t>
      </w:r>
      <w:r w:rsidR="003C5F59" w:rsidRPr="0012520B">
        <w:rPr>
          <w:i/>
          <w:iCs/>
          <w:sz w:val="20"/>
          <w:szCs w:val="20"/>
        </w:rPr>
        <w:t>”</w:t>
      </w:r>
      <w:r w:rsidR="002D6CA6" w:rsidRPr="0012520B">
        <w:rPr>
          <w:i/>
          <w:iCs/>
          <w:sz w:val="20"/>
          <w:szCs w:val="20"/>
        </w:rPr>
        <w:t xml:space="preserve"> (Sic.)</w:t>
      </w:r>
    </w:p>
    <w:p w14:paraId="1DB4737B" w14:textId="77777777" w:rsidR="00F41361" w:rsidRPr="0012520B" w:rsidRDefault="00F41361" w:rsidP="001162C4">
      <w:pPr>
        <w:spacing w:after="0" w:line="360" w:lineRule="auto"/>
        <w:ind w:left="567" w:right="567"/>
        <w:rPr>
          <w:i/>
          <w:sz w:val="20"/>
          <w:szCs w:val="20"/>
        </w:rPr>
      </w:pPr>
    </w:p>
    <w:p w14:paraId="009DB65C" w14:textId="095E43F1" w:rsidR="00E22EA8" w:rsidRPr="0012520B" w:rsidRDefault="00D252F7" w:rsidP="001162C4">
      <w:pPr>
        <w:pStyle w:val="Ttulo2"/>
        <w:spacing w:before="0" w:after="0" w:line="360" w:lineRule="auto"/>
        <w:rPr>
          <w:sz w:val="22"/>
          <w:szCs w:val="22"/>
        </w:rPr>
      </w:pPr>
      <w:bookmarkStart w:id="4" w:name="_Toc219289824"/>
      <w:r>
        <w:rPr>
          <w:sz w:val="22"/>
          <w:szCs w:val="22"/>
        </w:rPr>
        <w:t>I</w:t>
      </w:r>
      <w:r w:rsidR="00E22EA8" w:rsidRPr="0012520B">
        <w:rPr>
          <w:sz w:val="22"/>
          <w:szCs w:val="22"/>
        </w:rPr>
        <w:t>V. Trámite del Recurso de Revisión ante este Instituto</w:t>
      </w:r>
      <w:bookmarkEnd w:id="4"/>
    </w:p>
    <w:p w14:paraId="5C9B63F8" w14:textId="77777777" w:rsidR="009B2DAB" w:rsidRPr="0012520B" w:rsidRDefault="009B2DAB" w:rsidP="001162C4">
      <w:pPr>
        <w:spacing w:after="0" w:line="360" w:lineRule="auto"/>
        <w:rPr>
          <w:b/>
          <w:bCs/>
        </w:rPr>
      </w:pPr>
    </w:p>
    <w:p w14:paraId="173768ED" w14:textId="1CFFC49C" w:rsidR="00E22EA8" w:rsidRPr="0012520B" w:rsidRDefault="00E22EA8" w:rsidP="001162C4">
      <w:pPr>
        <w:spacing w:after="0" w:line="360" w:lineRule="auto"/>
        <w:rPr>
          <w:bCs/>
        </w:rPr>
      </w:pPr>
      <w:r w:rsidRPr="0012520B">
        <w:rPr>
          <w:b/>
          <w:bCs/>
        </w:rPr>
        <w:t>a) Turno del Medio de Impugnación.</w:t>
      </w:r>
      <w:r w:rsidR="000A706F" w:rsidRPr="0012520B">
        <w:rPr>
          <w:bCs/>
        </w:rPr>
        <w:t xml:space="preserve"> </w:t>
      </w:r>
      <w:r w:rsidR="003C5F59" w:rsidRPr="0012520B">
        <w:rPr>
          <w:bCs/>
        </w:rPr>
        <w:t xml:space="preserve">El </w:t>
      </w:r>
      <w:r w:rsidR="00B32D97">
        <w:rPr>
          <w:bCs/>
        </w:rPr>
        <w:t>ocho de diciembre</w:t>
      </w:r>
      <w:r w:rsidR="00E64E18" w:rsidRPr="0012520B">
        <w:t xml:space="preserve"> de dos mil veinticinco</w:t>
      </w:r>
      <w:r w:rsidRPr="0012520B">
        <w:rPr>
          <w:bCs/>
        </w:rPr>
        <w:t xml:space="preserve">, el </w:t>
      </w:r>
      <w:r w:rsidRPr="0012520B">
        <w:rPr>
          <w:lang w:val="es-ES"/>
        </w:rPr>
        <w:t>Sistema de Acceso a la Información Mexiquense (SAIMEX),</w:t>
      </w:r>
      <w:r w:rsidRPr="0012520B">
        <w:rPr>
          <w:bCs/>
        </w:rPr>
        <w:t xml:space="preserve"> asignó el número de expediente </w:t>
      </w:r>
      <w:r w:rsidR="00B32D97">
        <w:rPr>
          <w:b/>
          <w:bCs/>
        </w:rPr>
        <w:t>13896</w:t>
      </w:r>
      <w:r w:rsidR="000D392E" w:rsidRPr="0012520B">
        <w:rPr>
          <w:b/>
          <w:bCs/>
        </w:rPr>
        <w:t>/INFOEM/IP/RR/2025</w:t>
      </w:r>
      <w:r w:rsidRPr="0012520B">
        <w:rPr>
          <w:bCs/>
        </w:rPr>
        <w:t xml:space="preserve">, al medio de impugnación que nos ocupa, con base en el sistema aprobado por el Pleno de este </w:t>
      </w:r>
      <w:r w:rsidR="00B65BCA" w:rsidRPr="0012520B">
        <w:rPr>
          <w:bCs/>
        </w:rPr>
        <w:t>Organismo</w:t>
      </w:r>
      <w:r w:rsidRPr="0012520B">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12520B" w:rsidRDefault="005914EE" w:rsidP="001162C4">
      <w:pPr>
        <w:spacing w:after="0" w:line="360" w:lineRule="auto"/>
        <w:rPr>
          <w:b/>
          <w:bCs/>
        </w:rPr>
      </w:pPr>
    </w:p>
    <w:p w14:paraId="61891480" w14:textId="66E93C1F" w:rsidR="00E22EA8" w:rsidRPr="0012520B" w:rsidRDefault="00E22EA8" w:rsidP="001162C4">
      <w:pPr>
        <w:spacing w:after="0" w:line="360" w:lineRule="auto"/>
      </w:pPr>
      <w:r w:rsidRPr="0012520B">
        <w:rPr>
          <w:b/>
          <w:bCs/>
        </w:rPr>
        <w:t>b) Admisión del Recurso de Revisión</w:t>
      </w:r>
      <w:r w:rsidRPr="0012520B">
        <w:rPr>
          <w:b/>
          <w:bCs/>
          <w:lang w:val="es-ES_tradnl"/>
        </w:rPr>
        <w:t xml:space="preserve">. </w:t>
      </w:r>
      <w:r w:rsidR="003C5F59" w:rsidRPr="0012520B">
        <w:t xml:space="preserve">El </w:t>
      </w:r>
      <w:r w:rsidR="00B32D97">
        <w:t>once de diciembre</w:t>
      </w:r>
      <w:r w:rsidR="00E64E18" w:rsidRPr="0012520B">
        <w:t xml:space="preserve"> de dos mil veinticinco</w:t>
      </w:r>
      <w:r w:rsidRPr="0012520B">
        <w:rPr>
          <w:bCs/>
          <w:lang w:val="es-ES_tradnl"/>
        </w:rPr>
        <w:t xml:space="preserve">, se acordó la admisión del Recurso de Revisión interpuesto por </w:t>
      </w:r>
      <w:r w:rsidR="00261B92" w:rsidRPr="0012520B">
        <w:rPr>
          <w:bCs/>
          <w:lang w:val="es-ES_tradnl"/>
        </w:rPr>
        <w:t>la persona</w:t>
      </w:r>
      <w:r w:rsidRPr="0012520B">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12520B">
        <w:rPr>
          <w:bCs/>
          <w:lang w:val="es-ES_tradnl"/>
        </w:rPr>
        <w:t>el</w:t>
      </w:r>
      <w:r w:rsidR="007C4D4E" w:rsidRPr="0012520B">
        <w:rPr>
          <w:bCs/>
          <w:lang w:val="es-ES_tradnl"/>
        </w:rPr>
        <w:t xml:space="preserve"> mismo día</w:t>
      </w:r>
      <w:r w:rsidRPr="0012520B">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5133474F" w14:textId="115B7FAF" w:rsidR="00A939FE" w:rsidRDefault="000410E6" w:rsidP="000C48DB">
      <w:pPr>
        <w:spacing w:after="0" w:line="360" w:lineRule="auto"/>
      </w:pPr>
      <w:r w:rsidRPr="0012520B">
        <w:rPr>
          <w:b/>
        </w:rPr>
        <w:lastRenderedPageBreak/>
        <w:t>c) Informe Justificado</w:t>
      </w:r>
      <w:r w:rsidR="000C48DB" w:rsidRPr="0012520B">
        <w:rPr>
          <w:b/>
        </w:rPr>
        <w:t xml:space="preserve">. </w:t>
      </w:r>
      <w:r w:rsidR="00F16ADD">
        <w:t xml:space="preserve">El </w:t>
      </w:r>
      <w:r w:rsidR="00B32D97">
        <w:t>trece de enero de dos mil veintiséis</w:t>
      </w:r>
      <w:r w:rsidR="000C48DB" w:rsidRPr="0012520B">
        <w:t xml:space="preserve">, se recibió, a través del Sistema de Acceso a la Información Mexiquense (SAIMEX), el Informe Justificado del Sujeto Obligado, a través </w:t>
      </w:r>
      <w:r w:rsidR="00B32D97">
        <w:t>del</w:t>
      </w:r>
      <w:r w:rsidR="00863215">
        <w:t xml:space="preserve"> Acta número ACT/ECA/CT/EXT/</w:t>
      </w:r>
      <w:r w:rsidR="00A939FE">
        <w:t>34</w:t>
      </w:r>
      <w:r w:rsidR="00863215">
        <w:t xml:space="preserve">ª/2025, de la </w:t>
      </w:r>
      <w:r w:rsidR="00A939FE">
        <w:t>Trigésima Cuarta</w:t>
      </w:r>
      <w:r w:rsidR="00863215">
        <w:t xml:space="preserve"> Sesión Extraordinaria del Comité de Transparencia, por medio de la cual confirma la clasificación de la información como reservada</w:t>
      </w:r>
      <w:r w:rsidR="00A939FE">
        <w:t>, tal como se muestra a continuación:</w:t>
      </w:r>
    </w:p>
    <w:p w14:paraId="2C84E535" w14:textId="77777777" w:rsidR="00A939FE" w:rsidRDefault="00A939FE" w:rsidP="000C48DB">
      <w:pPr>
        <w:spacing w:after="0" w:line="360" w:lineRule="auto"/>
      </w:pPr>
    </w:p>
    <w:p w14:paraId="73E3F97E" w14:textId="5F0A3D81" w:rsidR="00A939FE" w:rsidRPr="0012520B" w:rsidRDefault="00A939FE" w:rsidP="000C48DB">
      <w:pPr>
        <w:spacing w:after="0" w:line="360" w:lineRule="auto"/>
      </w:pPr>
      <w:r w:rsidRPr="00A939FE">
        <w:rPr>
          <w:noProof/>
        </w:rPr>
        <w:drawing>
          <wp:inline distT="0" distB="0" distL="0" distR="0" wp14:anchorId="26E65E13" wp14:editId="739896C1">
            <wp:extent cx="5671185" cy="901700"/>
            <wp:effectExtent l="0" t="0" r="5715" b="0"/>
            <wp:docPr id="1155386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8661" name=""/>
                    <pic:cNvPicPr/>
                  </pic:nvPicPr>
                  <pic:blipFill>
                    <a:blip r:embed="rId9"/>
                    <a:stretch>
                      <a:fillRect/>
                    </a:stretch>
                  </pic:blipFill>
                  <pic:spPr>
                    <a:xfrm>
                      <a:off x="0" y="0"/>
                      <a:ext cx="5671185" cy="901700"/>
                    </a:xfrm>
                    <a:prstGeom prst="rect">
                      <a:avLst/>
                    </a:prstGeom>
                  </pic:spPr>
                </pic:pic>
              </a:graphicData>
            </a:graphic>
          </wp:inline>
        </w:drawing>
      </w:r>
    </w:p>
    <w:p w14:paraId="107241AD" w14:textId="77777777" w:rsidR="0076162A" w:rsidRPr="0012520B" w:rsidRDefault="0076162A" w:rsidP="001162C4">
      <w:pPr>
        <w:spacing w:after="0" w:line="360" w:lineRule="auto"/>
        <w:rPr>
          <w:rFonts w:cs="Tahoma"/>
        </w:rPr>
      </w:pPr>
    </w:p>
    <w:p w14:paraId="715A7EF1" w14:textId="6E3CF1B7" w:rsidR="000C48DB" w:rsidRPr="0012520B" w:rsidRDefault="000C48DB" w:rsidP="001162C4">
      <w:pPr>
        <w:spacing w:after="0" w:line="360" w:lineRule="auto"/>
        <w:rPr>
          <w:rFonts w:cs="Tahoma"/>
        </w:rPr>
      </w:pPr>
      <w:r w:rsidRPr="0012520B">
        <w:rPr>
          <w:b/>
        </w:rPr>
        <w:t>d) Vista del Informe Justificado.</w:t>
      </w:r>
      <w:r w:rsidRPr="0012520B">
        <w:t xml:space="preserve"> El </w:t>
      </w:r>
      <w:r w:rsidR="00A939FE">
        <w:t>quince</w:t>
      </w:r>
      <w:r w:rsidR="00FE2415">
        <w:t xml:space="preserve"> de enero de dos mil veintiséis</w:t>
      </w:r>
      <w:r w:rsidRPr="0012520B">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111E50A5" w14:textId="77777777" w:rsidR="00A87D25" w:rsidRPr="0012520B" w:rsidRDefault="00A87D25" w:rsidP="001162C4">
      <w:pPr>
        <w:spacing w:after="0" w:line="360" w:lineRule="auto"/>
        <w:rPr>
          <w:rFonts w:cs="Tahoma"/>
        </w:rPr>
      </w:pPr>
    </w:p>
    <w:p w14:paraId="1220E37C" w14:textId="7CF6F769" w:rsidR="003C5FE0" w:rsidRPr="0012520B" w:rsidRDefault="000C48DB" w:rsidP="001162C4">
      <w:pPr>
        <w:spacing w:after="0" w:line="360" w:lineRule="auto"/>
      </w:pPr>
      <w:bookmarkStart w:id="5" w:name="_Hlk182976945"/>
      <w:r w:rsidRPr="0012520B">
        <w:rPr>
          <w:b/>
        </w:rPr>
        <w:t>e</w:t>
      </w:r>
      <w:r w:rsidR="00A87D25" w:rsidRPr="0012520B">
        <w:rPr>
          <w:b/>
        </w:rPr>
        <w:t xml:space="preserve">) </w:t>
      </w:r>
      <w:r w:rsidR="00002B20" w:rsidRPr="0012520B">
        <w:rPr>
          <w:rFonts w:eastAsia="Times New Roman" w:cs="Tahoma"/>
          <w:b/>
          <w:szCs w:val="24"/>
          <w:lang w:eastAsia="es-ES"/>
        </w:rPr>
        <w:t>Cierre de instrucción.</w:t>
      </w:r>
      <w:r w:rsidR="00C06C06" w:rsidRPr="0012520B">
        <w:rPr>
          <w:rFonts w:eastAsia="Times New Roman" w:cs="Tahoma"/>
          <w:szCs w:val="24"/>
          <w:lang w:eastAsia="es-ES"/>
        </w:rPr>
        <w:t xml:space="preserve"> El</w:t>
      </w:r>
      <w:r w:rsidR="00FE2415">
        <w:rPr>
          <w:rFonts w:eastAsia="Times New Roman" w:cs="Tahoma"/>
          <w:szCs w:val="24"/>
          <w:lang w:eastAsia="es-ES"/>
        </w:rPr>
        <w:t xml:space="preserve"> </w:t>
      </w:r>
      <w:r w:rsidR="00A939FE">
        <w:rPr>
          <w:rFonts w:eastAsia="Times New Roman" w:cs="Tahoma"/>
          <w:szCs w:val="24"/>
          <w:lang w:eastAsia="es-ES"/>
        </w:rPr>
        <w:t>veintiuno</w:t>
      </w:r>
      <w:r w:rsidR="00FE2415" w:rsidRPr="00FE2415">
        <w:rPr>
          <w:rFonts w:eastAsia="Times New Roman" w:cs="Tahoma"/>
          <w:szCs w:val="24"/>
          <w:lang w:eastAsia="es-ES"/>
        </w:rPr>
        <w:t xml:space="preserve"> de enero de dos mil veintiséis</w:t>
      </w:r>
      <w:r w:rsidR="00002B20" w:rsidRPr="0012520B">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12520B">
        <w:rPr>
          <w:lang w:val="es-ES"/>
        </w:rPr>
        <w:t>acto que fue notificado a las partes, mediante el Sistema de Acceso a la Información Mexiquense (SAIMEX), el mismo día.</w:t>
      </w:r>
    </w:p>
    <w:bookmarkEnd w:id="5"/>
    <w:p w14:paraId="08D98E1D" w14:textId="77777777" w:rsidR="000410E6" w:rsidRPr="0012520B" w:rsidRDefault="000410E6" w:rsidP="001162C4">
      <w:pPr>
        <w:spacing w:after="0" w:line="360" w:lineRule="auto"/>
        <w:rPr>
          <w:b/>
          <w:bCs/>
          <w:lang w:val="es-ES"/>
        </w:rPr>
      </w:pPr>
    </w:p>
    <w:p w14:paraId="1D2DAFCD" w14:textId="77777777" w:rsidR="000410E6" w:rsidRPr="0012520B" w:rsidRDefault="000410E6" w:rsidP="001162C4">
      <w:pPr>
        <w:spacing w:after="0" w:line="360" w:lineRule="auto"/>
        <w:rPr>
          <w:color w:val="000000"/>
        </w:rPr>
      </w:pPr>
      <w:r w:rsidRPr="0012520B">
        <w:rPr>
          <w:color w:val="000000"/>
        </w:rPr>
        <w:t>En razón de que fue debidamente sustanciado e integrado el expediente electrónico y no existe diligencia pendiente de desahogo, se emite la resolución que conforme a Derecho proceda, de acuerdo a los siguientes:</w:t>
      </w:r>
    </w:p>
    <w:p w14:paraId="250F6589" w14:textId="3F880C72" w:rsidR="005C690F" w:rsidRPr="0012520B" w:rsidRDefault="00CD6238" w:rsidP="001162C4">
      <w:pPr>
        <w:pStyle w:val="Ttulo1"/>
        <w:spacing w:before="0" w:after="0" w:line="360" w:lineRule="auto"/>
        <w:jc w:val="center"/>
        <w:rPr>
          <w:sz w:val="22"/>
          <w:szCs w:val="22"/>
        </w:rPr>
      </w:pPr>
      <w:bookmarkStart w:id="6" w:name="_Toc219289825"/>
      <w:r w:rsidRPr="0012520B">
        <w:rPr>
          <w:sz w:val="22"/>
          <w:szCs w:val="22"/>
        </w:rPr>
        <w:lastRenderedPageBreak/>
        <w:t>C O N S I D E R A N D O S</w:t>
      </w:r>
      <w:bookmarkEnd w:id="6"/>
    </w:p>
    <w:p w14:paraId="5AB6ED71" w14:textId="77777777" w:rsidR="005C690F" w:rsidRPr="0012520B" w:rsidRDefault="005C690F" w:rsidP="001162C4">
      <w:pPr>
        <w:spacing w:after="0" w:line="360" w:lineRule="auto"/>
        <w:jc w:val="center"/>
        <w:rPr>
          <w:b/>
          <w:color w:val="000000"/>
        </w:rPr>
      </w:pPr>
    </w:p>
    <w:p w14:paraId="36BFFC7E" w14:textId="2F0F17EA" w:rsidR="005C690F" w:rsidRPr="0012520B" w:rsidRDefault="007D6307" w:rsidP="001162C4">
      <w:pPr>
        <w:pStyle w:val="Ttulo2"/>
        <w:spacing w:before="0" w:after="0" w:line="360" w:lineRule="auto"/>
        <w:rPr>
          <w:sz w:val="22"/>
          <w:szCs w:val="22"/>
        </w:rPr>
      </w:pPr>
      <w:bookmarkStart w:id="7" w:name="_Toc219289826"/>
      <w:r w:rsidRPr="0012520B">
        <w:rPr>
          <w:sz w:val="22"/>
          <w:szCs w:val="22"/>
        </w:rPr>
        <w:t xml:space="preserve">PRIMERO. </w:t>
      </w:r>
      <w:r w:rsidR="00CD6238" w:rsidRPr="0012520B">
        <w:rPr>
          <w:sz w:val="22"/>
          <w:szCs w:val="22"/>
        </w:rPr>
        <w:t>Competencia</w:t>
      </w:r>
      <w:bookmarkEnd w:id="7"/>
    </w:p>
    <w:p w14:paraId="2F02418E" w14:textId="77777777" w:rsidR="00156343" w:rsidRPr="0012520B" w:rsidRDefault="00156343" w:rsidP="001162C4">
      <w:pPr>
        <w:spacing w:after="0" w:line="360" w:lineRule="auto"/>
        <w:contextualSpacing/>
        <w:rPr>
          <w:rFonts w:eastAsia="Times New Roman" w:cs="Tahoma"/>
          <w:bCs/>
          <w:lang w:eastAsia="es-ES"/>
        </w:rPr>
      </w:pPr>
      <w:bookmarkStart w:id="8" w:name="_heading=h.30j0zll" w:colFirst="0" w:colLast="0"/>
      <w:bookmarkEnd w:id="8"/>
    </w:p>
    <w:p w14:paraId="0499B104" w14:textId="5BDA861D" w:rsidR="00156343" w:rsidRPr="0012520B" w:rsidRDefault="00156343" w:rsidP="001162C4">
      <w:pPr>
        <w:spacing w:after="0" w:line="360" w:lineRule="auto"/>
        <w:contextualSpacing/>
        <w:rPr>
          <w:rFonts w:eastAsia="Times New Roman" w:cs="Tahoma"/>
          <w:bCs/>
          <w:lang w:eastAsia="es-ES"/>
        </w:rPr>
      </w:pPr>
      <w:r w:rsidRPr="0012520B">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12520B" w:rsidRDefault="005C690F" w:rsidP="001162C4">
      <w:pPr>
        <w:spacing w:after="0" w:line="360" w:lineRule="auto"/>
        <w:rPr>
          <w:b/>
          <w:color w:val="000000"/>
        </w:rPr>
      </w:pPr>
    </w:p>
    <w:p w14:paraId="46691DD5" w14:textId="4C1C70AD" w:rsidR="005C690F" w:rsidRPr="0012520B" w:rsidRDefault="007D6307" w:rsidP="001162C4">
      <w:pPr>
        <w:pStyle w:val="Ttulo2"/>
        <w:spacing w:before="0" w:after="0" w:line="360" w:lineRule="auto"/>
        <w:rPr>
          <w:sz w:val="22"/>
          <w:szCs w:val="22"/>
        </w:rPr>
      </w:pPr>
      <w:bookmarkStart w:id="9" w:name="_Toc219289827"/>
      <w:r w:rsidRPr="0012520B">
        <w:rPr>
          <w:sz w:val="22"/>
          <w:szCs w:val="22"/>
        </w:rPr>
        <w:t>SEGUNDO. Causales de</w:t>
      </w:r>
      <w:r w:rsidR="00CD6238" w:rsidRPr="0012520B">
        <w:rPr>
          <w:sz w:val="22"/>
          <w:szCs w:val="22"/>
        </w:rPr>
        <w:t xml:space="preserve"> improcedencia y sobreseimiento</w:t>
      </w:r>
      <w:bookmarkEnd w:id="9"/>
    </w:p>
    <w:p w14:paraId="49AA4CDE" w14:textId="77777777" w:rsidR="005C690F" w:rsidRPr="0012520B" w:rsidRDefault="005C690F" w:rsidP="001162C4">
      <w:pPr>
        <w:spacing w:after="0" w:line="360" w:lineRule="auto"/>
        <w:rPr>
          <w:color w:val="000000"/>
        </w:rPr>
      </w:pPr>
    </w:p>
    <w:p w14:paraId="2553CE58" w14:textId="77777777" w:rsidR="005C690F" w:rsidRPr="0012520B" w:rsidRDefault="007D6307" w:rsidP="001162C4">
      <w:pPr>
        <w:spacing w:after="0" w:line="360" w:lineRule="auto"/>
        <w:rPr>
          <w:color w:val="000000"/>
        </w:rPr>
      </w:pPr>
      <w:r w:rsidRPr="0012520B">
        <w:rPr>
          <w:color w:val="000000"/>
        </w:rPr>
        <w:t xml:space="preserve">De las constancias que forma parte del Recurso de Revisión que se analiza, se advierte que previo al estudio del fondo de la </w:t>
      </w:r>
      <w:r w:rsidRPr="0012520B">
        <w:rPr>
          <w:i/>
          <w:color w:val="000000"/>
        </w:rPr>
        <w:t>litis</w:t>
      </w:r>
      <w:r w:rsidRPr="0012520B">
        <w:rPr>
          <w:color w:val="000000"/>
        </w:rPr>
        <w:t>, es necesario estudiar las causales de improcedencia y sobreseimiento que se adviertan, para determinar lo que en Derecho proceda.</w:t>
      </w:r>
    </w:p>
    <w:p w14:paraId="35A30074" w14:textId="77777777" w:rsidR="009B2DAB" w:rsidRPr="0012520B" w:rsidRDefault="009B2DAB" w:rsidP="001162C4">
      <w:pPr>
        <w:spacing w:after="0" w:line="360" w:lineRule="auto"/>
        <w:rPr>
          <w:color w:val="000000"/>
        </w:rPr>
      </w:pPr>
    </w:p>
    <w:p w14:paraId="3066DF0C" w14:textId="77777777" w:rsidR="005C690F" w:rsidRPr="0012520B" w:rsidRDefault="007D6307" w:rsidP="001162C4">
      <w:pPr>
        <w:spacing w:after="0" w:line="360" w:lineRule="auto"/>
        <w:rPr>
          <w:b/>
        </w:rPr>
      </w:pPr>
      <w:r w:rsidRPr="0012520B">
        <w:rPr>
          <w:b/>
        </w:rPr>
        <w:t>Causales de improcedencia</w:t>
      </w:r>
    </w:p>
    <w:p w14:paraId="706394D4" w14:textId="77777777" w:rsidR="00304DE6" w:rsidRPr="0012520B" w:rsidRDefault="00304DE6" w:rsidP="001162C4">
      <w:pPr>
        <w:spacing w:after="0" w:line="360" w:lineRule="auto"/>
        <w:rPr>
          <w:b/>
        </w:rPr>
      </w:pPr>
    </w:p>
    <w:p w14:paraId="6C56CA88" w14:textId="77777777" w:rsidR="005C690F" w:rsidRPr="0012520B" w:rsidRDefault="007D6307" w:rsidP="001162C4">
      <w:pPr>
        <w:spacing w:after="0" w:line="360" w:lineRule="auto"/>
        <w:rPr>
          <w:color w:val="000000"/>
        </w:rPr>
      </w:pPr>
      <w:r w:rsidRPr="0012520B">
        <w:rPr>
          <w:color w:val="000000"/>
        </w:rPr>
        <w:t xml:space="preserve">Este Instituto realiza el estudio oficioso de las causales de improcedencia, por tratarse de una cuestión de orden público y de estudio preferente (acorde con el Criterio orientador en la </w:t>
      </w:r>
      <w:r w:rsidRPr="0012520B">
        <w:rPr>
          <w:color w:val="000000"/>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12520B" w:rsidRDefault="005C690F" w:rsidP="001162C4">
      <w:pPr>
        <w:spacing w:after="0" w:line="360" w:lineRule="auto"/>
        <w:rPr>
          <w:color w:val="000000"/>
        </w:rPr>
      </w:pPr>
    </w:p>
    <w:p w14:paraId="22563DDB" w14:textId="33D3D011" w:rsidR="008D3B3F" w:rsidRPr="0012520B" w:rsidRDefault="007D6307" w:rsidP="001162C4">
      <w:pPr>
        <w:spacing w:after="0" w:line="360" w:lineRule="auto"/>
        <w:rPr>
          <w:color w:val="000000"/>
        </w:rPr>
      </w:pPr>
      <w:r w:rsidRPr="0012520B">
        <w:rPr>
          <w:color w:val="000000"/>
        </w:rPr>
        <w:t>En el presente caso, </w:t>
      </w:r>
      <w:r w:rsidRPr="0012520B">
        <w:rPr>
          <w:b/>
          <w:color w:val="000000"/>
        </w:rPr>
        <w:t>no se actualiza ninguna de las causales de improcedencia</w:t>
      </w:r>
      <w:r w:rsidRPr="0012520B">
        <w:rPr>
          <w:color w:val="000000"/>
        </w:rPr>
        <w:t> establecidas en el ordenamiento jurídico previamente señalado, toda vez que: este Instituto no tiene conocimiento de que se encuentre en trámite algún medio de defensa presentado por la</w:t>
      </w:r>
      <w:r w:rsidR="00261B92" w:rsidRPr="0012520B">
        <w:rPr>
          <w:color w:val="000000"/>
        </w:rPr>
        <w:t xml:space="preserve"> persona</w:t>
      </w:r>
      <w:r w:rsidRPr="0012520B">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12520B" w:rsidRDefault="00874D8A" w:rsidP="001162C4">
      <w:pPr>
        <w:spacing w:after="0" w:line="360" w:lineRule="auto"/>
        <w:rPr>
          <w:color w:val="000000"/>
        </w:rPr>
      </w:pPr>
    </w:p>
    <w:p w14:paraId="1C21859B" w14:textId="02AECD64" w:rsidR="00E14735" w:rsidRPr="0012520B" w:rsidRDefault="007D6307" w:rsidP="00E14735">
      <w:pPr>
        <w:spacing w:after="0" w:line="360" w:lineRule="auto"/>
      </w:pPr>
      <w:r w:rsidRPr="0012520B">
        <w:t>Por lo cual, se actualiza la causal de procedencia del Recurso de Revisión señal</w:t>
      </w:r>
      <w:r w:rsidR="00261DF6" w:rsidRPr="0012520B">
        <w:t>ada en el artículo 179, fracci</w:t>
      </w:r>
      <w:r w:rsidR="00740736" w:rsidRPr="0012520B">
        <w:t xml:space="preserve">ón </w:t>
      </w:r>
      <w:r w:rsidR="00A939FE">
        <w:t>I</w:t>
      </w:r>
      <w:r w:rsidR="00740736" w:rsidRPr="0012520B">
        <w:t>I</w:t>
      </w:r>
      <w:r w:rsidRPr="0012520B">
        <w:t>, de la Ley en cita, pues la p</w:t>
      </w:r>
      <w:r w:rsidR="00261B92" w:rsidRPr="0012520B">
        <w:t>ersona</w:t>
      </w:r>
      <w:r w:rsidRPr="0012520B">
        <w:t xml:space="preserve"> Recurrente se inconformó </w:t>
      </w:r>
      <w:r w:rsidR="00E14735" w:rsidRPr="0012520B">
        <w:t>de</w:t>
      </w:r>
      <w:r w:rsidR="00D47418" w:rsidRPr="0012520B">
        <w:t xml:space="preserve"> la </w:t>
      </w:r>
      <w:r w:rsidR="00A939FE">
        <w:t>clasificación de la información.</w:t>
      </w:r>
    </w:p>
    <w:p w14:paraId="6E155DDA" w14:textId="77777777" w:rsidR="008E5041" w:rsidRPr="0012520B" w:rsidRDefault="008E5041" w:rsidP="00E14735">
      <w:pPr>
        <w:spacing w:after="0" w:line="360" w:lineRule="auto"/>
      </w:pPr>
    </w:p>
    <w:p w14:paraId="55FF691A" w14:textId="6D373E30" w:rsidR="005C690F" w:rsidRPr="0012520B" w:rsidRDefault="007D6307" w:rsidP="001162C4">
      <w:pPr>
        <w:spacing w:after="0" w:line="360" w:lineRule="auto"/>
        <w:rPr>
          <w:color w:val="0D0D0D"/>
        </w:rPr>
      </w:pPr>
      <w:r w:rsidRPr="0012520B">
        <w:rPr>
          <w:b/>
          <w:color w:val="0D0D0D"/>
        </w:rPr>
        <w:t>Ca</w:t>
      </w:r>
      <w:r w:rsidR="00CD6238" w:rsidRPr="0012520B">
        <w:rPr>
          <w:b/>
          <w:color w:val="0D0D0D"/>
        </w:rPr>
        <w:t>usales de sobreseimiento</w:t>
      </w:r>
    </w:p>
    <w:p w14:paraId="426FEE7A" w14:textId="77777777" w:rsidR="005C690F" w:rsidRPr="0012520B" w:rsidRDefault="005C690F" w:rsidP="001162C4">
      <w:pPr>
        <w:spacing w:after="0" w:line="360" w:lineRule="auto"/>
        <w:rPr>
          <w:color w:val="0D0D0D"/>
        </w:rPr>
      </w:pPr>
    </w:p>
    <w:p w14:paraId="5B1C849A" w14:textId="77777777" w:rsidR="005C690F" w:rsidRDefault="007D6307" w:rsidP="001162C4">
      <w:pPr>
        <w:spacing w:after="0" w:line="360" w:lineRule="auto"/>
        <w:rPr>
          <w:color w:val="0D0D0D"/>
        </w:rPr>
      </w:pPr>
      <w:r w:rsidRPr="0012520B">
        <w:rPr>
          <w:color w:val="0D0D0D"/>
        </w:rPr>
        <w:t>Por ser de previo y especial pronunciamiento, este Instituto analiza si se actualiza alguna causal de sobreseimiento.</w:t>
      </w:r>
    </w:p>
    <w:p w14:paraId="6229FBE8" w14:textId="77777777" w:rsidR="00FE2415" w:rsidRPr="0012520B" w:rsidRDefault="00FE2415" w:rsidP="001162C4">
      <w:pPr>
        <w:spacing w:after="0" w:line="360" w:lineRule="auto"/>
        <w:rPr>
          <w:color w:val="0D0D0D"/>
        </w:rPr>
      </w:pPr>
    </w:p>
    <w:p w14:paraId="766AB72D" w14:textId="77777777" w:rsidR="00BC038B" w:rsidRPr="0012520B" w:rsidRDefault="00BC038B" w:rsidP="001162C4">
      <w:pPr>
        <w:spacing w:after="0" w:line="360" w:lineRule="auto"/>
        <w:rPr>
          <w:color w:val="000000"/>
        </w:rPr>
      </w:pPr>
      <w:r w:rsidRPr="0012520B">
        <w:rPr>
          <w:color w:val="0D0D0D"/>
        </w:rPr>
        <w:t>Sobre el tema, e</w:t>
      </w:r>
      <w:r w:rsidRPr="0012520B">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12520B">
        <w:rPr>
          <w:color w:val="000000"/>
        </w:rPr>
        <w:lastRenderedPageBreak/>
        <w:t>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12520B" w:rsidRDefault="00BC038B" w:rsidP="001162C4">
      <w:pPr>
        <w:spacing w:after="0" w:line="360" w:lineRule="auto"/>
        <w:rPr>
          <w:color w:val="000000"/>
        </w:rPr>
      </w:pPr>
    </w:p>
    <w:p w14:paraId="5BDF3BB4" w14:textId="2A80B251" w:rsidR="00BC038B" w:rsidRPr="0012520B" w:rsidRDefault="00BC038B" w:rsidP="001162C4">
      <w:pPr>
        <w:spacing w:after="0" w:line="360" w:lineRule="auto"/>
        <w:rPr>
          <w:color w:val="0D0D0D"/>
        </w:rPr>
      </w:pPr>
      <w:r w:rsidRPr="0012520B">
        <w:rPr>
          <w:color w:val="0D0D0D"/>
        </w:rPr>
        <w:t>Por tales motivos, se considera procedente entrar al fondo del presente asunto.</w:t>
      </w:r>
    </w:p>
    <w:p w14:paraId="275D3AA1" w14:textId="77777777" w:rsidR="001A44D1" w:rsidRPr="0012520B" w:rsidRDefault="001A44D1" w:rsidP="001162C4">
      <w:pPr>
        <w:spacing w:after="0" w:line="360" w:lineRule="auto"/>
        <w:rPr>
          <w:b/>
          <w:color w:val="000000"/>
        </w:rPr>
      </w:pPr>
    </w:p>
    <w:p w14:paraId="0A6A0BAE" w14:textId="184EF292" w:rsidR="005C690F" w:rsidRPr="0012520B" w:rsidRDefault="007D6307" w:rsidP="001162C4">
      <w:pPr>
        <w:pStyle w:val="Ttulo2"/>
        <w:spacing w:before="0" w:after="0" w:line="360" w:lineRule="auto"/>
        <w:rPr>
          <w:sz w:val="22"/>
          <w:szCs w:val="22"/>
        </w:rPr>
      </w:pPr>
      <w:bookmarkStart w:id="10" w:name="_Toc219289828"/>
      <w:r w:rsidRPr="0012520B">
        <w:rPr>
          <w:sz w:val="22"/>
          <w:szCs w:val="22"/>
        </w:rPr>
        <w:t>TERCERO. De</w:t>
      </w:r>
      <w:r w:rsidR="00CD6238" w:rsidRPr="0012520B">
        <w:rPr>
          <w:sz w:val="22"/>
          <w:szCs w:val="22"/>
        </w:rPr>
        <w:t>terminación de la Controversia</w:t>
      </w:r>
      <w:bookmarkEnd w:id="10"/>
    </w:p>
    <w:p w14:paraId="4A0739CB" w14:textId="77777777" w:rsidR="00897A05" w:rsidRPr="0012520B" w:rsidRDefault="00897A05" w:rsidP="001162C4">
      <w:pPr>
        <w:spacing w:after="0" w:line="360" w:lineRule="auto"/>
        <w:rPr>
          <w:b/>
          <w:color w:val="000000"/>
        </w:rPr>
      </w:pPr>
    </w:p>
    <w:p w14:paraId="25A3F334" w14:textId="0FD5BEA1" w:rsidR="00FE2415" w:rsidRPr="00FE2415" w:rsidRDefault="007C7BAF" w:rsidP="00FE2415">
      <w:pPr>
        <w:spacing w:after="0" w:line="360" w:lineRule="auto"/>
        <w:rPr>
          <w:rFonts w:cs="Tahoma"/>
        </w:rPr>
      </w:pPr>
      <w:r w:rsidRPr="0012520B">
        <w:rPr>
          <w:rFonts w:cs="Tahoma"/>
        </w:rPr>
        <w:t xml:space="preserve">Con el objetivo de ilustrar la controversia planteada, resulta conveniente precisar, que una vez realizado el estudio de las constancias que integran el expediente en el que se actúa, se desprende que el Particular </w:t>
      </w:r>
      <w:r w:rsidR="00A27704" w:rsidRPr="0012520B">
        <w:rPr>
          <w:rFonts w:cs="Tahoma"/>
        </w:rPr>
        <w:t>requirió</w:t>
      </w:r>
      <w:r w:rsidR="00A939FE">
        <w:rPr>
          <w:rFonts w:cs="Tahoma"/>
        </w:rPr>
        <w:t xml:space="preserve"> los recibos expedidos del primero de enero al once de noviembre de dos mil veinticinco, por concepto de aportaciones de mejoras, por un monto mayor a cien mil pesos.</w:t>
      </w:r>
      <w:r w:rsidR="00FB1B19">
        <w:rPr>
          <w:rFonts w:cs="Tahoma"/>
        </w:rPr>
        <w:t xml:space="preserve"> </w:t>
      </w:r>
    </w:p>
    <w:p w14:paraId="6486E5A9" w14:textId="77777777" w:rsidR="00A85CE4" w:rsidRPr="0012520B" w:rsidRDefault="00A85CE4" w:rsidP="001162C4">
      <w:pPr>
        <w:spacing w:after="0" w:line="360" w:lineRule="auto"/>
        <w:rPr>
          <w:rFonts w:cs="Tahoma"/>
        </w:rPr>
      </w:pPr>
    </w:p>
    <w:p w14:paraId="0781F441" w14:textId="5B93A515" w:rsidR="008F2D7A" w:rsidRPr="0012520B" w:rsidRDefault="007C7BAF" w:rsidP="001162C4">
      <w:pPr>
        <w:spacing w:after="0" w:line="360" w:lineRule="auto"/>
        <w:rPr>
          <w:color w:val="000000"/>
        </w:rPr>
      </w:pPr>
      <w:r w:rsidRPr="0012520B">
        <w:rPr>
          <w:color w:val="000000"/>
        </w:rPr>
        <w:t>En respuesta, el Sujeto Obligado,</w:t>
      </w:r>
      <w:r w:rsidR="00644832" w:rsidRPr="0012520B">
        <w:rPr>
          <w:color w:val="000000"/>
        </w:rPr>
        <w:t xml:space="preserve"> </w:t>
      </w:r>
      <w:r w:rsidR="00C672CD" w:rsidRPr="0012520B">
        <w:rPr>
          <w:color w:val="000000"/>
        </w:rPr>
        <w:t>a través de</w:t>
      </w:r>
      <w:r w:rsidR="00E645AB" w:rsidRPr="0012520B">
        <w:rPr>
          <w:color w:val="000000"/>
        </w:rPr>
        <w:t xml:space="preserve"> </w:t>
      </w:r>
      <w:r w:rsidR="00D47418" w:rsidRPr="0012520B">
        <w:rPr>
          <w:color w:val="000000"/>
        </w:rPr>
        <w:t xml:space="preserve">la </w:t>
      </w:r>
      <w:r w:rsidR="00A939FE">
        <w:rPr>
          <w:color w:val="000000"/>
        </w:rPr>
        <w:t>Tesorería Municipal refirió que la información se encontraba clasificada</w:t>
      </w:r>
      <w:r w:rsidR="00EC6180" w:rsidRPr="0012520B">
        <w:rPr>
          <w:color w:val="000000"/>
        </w:rPr>
        <w:t xml:space="preserve">; </w:t>
      </w:r>
      <w:r w:rsidRPr="0012520B">
        <w:rPr>
          <w:rFonts w:cs="Tahoma"/>
          <w:lang w:val="es-ES"/>
        </w:rPr>
        <w:t>ante dicha circunstancia, el Particular se inconformó</w:t>
      </w:r>
      <w:r w:rsidR="00644832" w:rsidRPr="0012520B">
        <w:rPr>
          <w:rFonts w:cs="Tahoma"/>
          <w:lang w:val="es-ES"/>
        </w:rPr>
        <w:t xml:space="preserve"> </w:t>
      </w:r>
      <w:r w:rsidR="00A939FE">
        <w:rPr>
          <w:rFonts w:cs="Tahoma"/>
          <w:lang w:val="es-ES"/>
        </w:rPr>
        <w:t>de dicha circunstancia</w:t>
      </w:r>
      <w:r w:rsidR="00FB628E" w:rsidRPr="0012520B">
        <w:rPr>
          <w:rFonts w:cs="Tahoma"/>
          <w:lang w:val="es-ES"/>
        </w:rPr>
        <w:t xml:space="preserve">, al mencionar </w:t>
      </w:r>
      <w:r w:rsidR="00A939FE">
        <w:rPr>
          <w:rFonts w:cs="Tahoma"/>
          <w:lang w:val="es-ES"/>
        </w:rPr>
        <w:t>que lo peticionado era de naturaleza pública</w:t>
      </w:r>
      <w:r w:rsidR="001A7F04" w:rsidRPr="0012520B">
        <w:rPr>
          <w:rFonts w:cs="Tahoma"/>
          <w:lang w:val="es-ES"/>
        </w:rPr>
        <w:t xml:space="preserve">, </w:t>
      </w:r>
      <w:r w:rsidRPr="0012520B">
        <w:rPr>
          <w:rFonts w:cs="Tahoma"/>
          <w:lang w:val="es-ES"/>
        </w:rPr>
        <w:t xml:space="preserve">lo cual </w:t>
      </w:r>
      <w:r w:rsidRPr="0012520B">
        <w:rPr>
          <w:rFonts w:eastAsia="Calibri" w:cs="Tahoma"/>
        </w:rPr>
        <w:t>actualiza la causal de proce</w:t>
      </w:r>
      <w:r w:rsidR="00413093" w:rsidRPr="0012520B">
        <w:rPr>
          <w:rFonts w:eastAsia="Calibri" w:cs="Tahoma"/>
        </w:rPr>
        <w:t xml:space="preserve">dencia prevista en la fracción </w:t>
      </w:r>
      <w:r w:rsidR="00A939FE">
        <w:rPr>
          <w:rFonts w:eastAsia="Calibri" w:cs="Tahoma"/>
        </w:rPr>
        <w:t>I</w:t>
      </w:r>
      <w:r w:rsidR="00C175A7" w:rsidRPr="0012520B">
        <w:rPr>
          <w:rFonts w:eastAsia="Calibri" w:cs="Tahoma"/>
        </w:rPr>
        <w:t>I</w:t>
      </w:r>
      <w:r w:rsidRPr="0012520B">
        <w:rPr>
          <w:rFonts w:eastAsia="Calibri" w:cs="Tahoma"/>
        </w:rPr>
        <w:t>, del artículo 179 de la Ley de Transparencia y Acceso a la Información Pública del Estado de México y Municipios</w:t>
      </w:r>
      <w:r w:rsidRPr="0012520B">
        <w:rPr>
          <w:color w:val="0D0D0D"/>
        </w:rPr>
        <w:t xml:space="preserve">. </w:t>
      </w:r>
      <w:r w:rsidRPr="0012520B">
        <w:rPr>
          <w:rFonts w:eastAsia="Calibri" w:cs="Tahoma"/>
        </w:rPr>
        <w:t>Así, las cosas, una vez admitido y notificado el Recurso de Revisión</w:t>
      </w:r>
      <w:r w:rsidR="00522A47" w:rsidRPr="0012520B">
        <w:rPr>
          <w:rFonts w:eastAsia="Calibri" w:cs="Tahoma"/>
        </w:rPr>
        <w:t xml:space="preserve"> a las partes,</w:t>
      </w:r>
      <w:r w:rsidR="00D93A2A" w:rsidRPr="0012520B">
        <w:rPr>
          <w:rFonts w:eastAsia="Calibri" w:cs="Tahoma"/>
        </w:rPr>
        <w:t xml:space="preserve"> </w:t>
      </w:r>
      <w:r w:rsidR="00C175A7" w:rsidRPr="0012520B">
        <w:rPr>
          <w:rFonts w:eastAsia="Calibri" w:cs="Tahoma"/>
        </w:rPr>
        <w:t xml:space="preserve">el Sujeto Obligado </w:t>
      </w:r>
      <w:r w:rsidR="00B37415">
        <w:rPr>
          <w:rFonts w:eastAsia="Calibri" w:cs="Tahoma"/>
        </w:rPr>
        <w:t>ratificó</w:t>
      </w:r>
      <w:r w:rsidR="00BF6B94" w:rsidRPr="0012520B">
        <w:rPr>
          <w:rFonts w:eastAsia="Calibri" w:cs="Tahoma"/>
        </w:rPr>
        <w:t xml:space="preserve"> su respuesta</w:t>
      </w:r>
      <w:r w:rsidR="00A939FE">
        <w:rPr>
          <w:rFonts w:eastAsia="Calibri" w:cs="Tahoma"/>
        </w:rPr>
        <w:t xml:space="preserve"> y proporcionó el Acta de la Trigésima Cuarta Sesión Extraordinaria en donde confirma la reserva de la información.</w:t>
      </w:r>
    </w:p>
    <w:p w14:paraId="5B0BE6AE" w14:textId="77777777" w:rsidR="008F2D7A" w:rsidRPr="0012520B" w:rsidRDefault="008F2D7A" w:rsidP="001162C4">
      <w:pPr>
        <w:tabs>
          <w:tab w:val="left" w:pos="4962"/>
        </w:tabs>
        <w:spacing w:after="0" w:line="360" w:lineRule="auto"/>
        <w:rPr>
          <w:rFonts w:eastAsia="Calibri" w:cs="Tahoma"/>
        </w:rPr>
      </w:pPr>
    </w:p>
    <w:p w14:paraId="22C5958E" w14:textId="0CF3AE30" w:rsidR="007C7BAF" w:rsidRPr="0012520B" w:rsidRDefault="007C7BAF" w:rsidP="001162C4">
      <w:pPr>
        <w:tabs>
          <w:tab w:val="left" w:pos="4962"/>
        </w:tabs>
        <w:spacing w:after="0" w:line="360" w:lineRule="auto"/>
        <w:rPr>
          <w:rFonts w:eastAsia="Calibri" w:cs="Tahoma"/>
          <w:bCs/>
        </w:rPr>
      </w:pPr>
      <w:r w:rsidRPr="0012520B">
        <w:rPr>
          <w:rFonts w:eastAsia="Calibri" w:cs="Tahoma"/>
          <w:iCs/>
          <w:lang w:val="es-ES" w:eastAsia="es-ES_tradnl"/>
        </w:rPr>
        <w:lastRenderedPageBreak/>
        <w:t>Lo anterior, se desprende de las documentales que obran en el expediente de referencia, materia de la presente resolución, consistente en: la solic</w:t>
      </w:r>
      <w:r w:rsidR="00BB3F28" w:rsidRPr="0012520B">
        <w:rPr>
          <w:rFonts w:eastAsia="Calibri" w:cs="Tahoma"/>
          <w:iCs/>
          <w:lang w:val="es-ES" w:eastAsia="es-ES_tradnl"/>
        </w:rPr>
        <w:t>i</w:t>
      </w:r>
      <w:r w:rsidR="0076190F" w:rsidRPr="0012520B">
        <w:rPr>
          <w:rFonts w:eastAsia="Calibri" w:cs="Tahoma"/>
          <w:iCs/>
          <w:lang w:val="es-ES" w:eastAsia="es-ES_tradnl"/>
        </w:rPr>
        <w:t xml:space="preserve">tud de acceso a </w:t>
      </w:r>
      <w:r w:rsidR="00B7669B" w:rsidRPr="0012520B">
        <w:rPr>
          <w:rFonts w:eastAsia="Calibri" w:cs="Tahoma"/>
          <w:iCs/>
          <w:lang w:val="es-ES" w:eastAsia="es-ES_tradnl"/>
        </w:rPr>
        <w:t xml:space="preserve">la información, </w:t>
      </w:r>
      <w:r w:rsidR="006E6B82" w:rsidRPr="0012520B">
        <w:rPr>
          <w:rFonts w:eastAsia="Calibri" w:cs="Tahoma"/>
          <w:iCs/>
          <w:lang w:eastAsia="es-ES_tradnl"/>
        </w:rPr>
        <w:t xml:space="preserve">el escrito </w:t>
      </w:r>
      <w:proofErr w:type="spellStart"/>
      <w:r w:rsidR="006E6B82" w:rsidRPr="0012520B">
        <w:rPr>
          <w:rFonts w:eastAsia="Calibri" w:cs="Tahoma"/>
          <w:iCs/>
          <w:lang w:eastAsia="es-ES_tradnl"/>
        </w:rPr>
        <w:t>recursal</w:t>
      </w:r>
      <w:proofErr w:type="spellEnd"/>
      <w:r w:rsidR="00B7669B" w:rsidRPr="0012520B">
        <w:rPr>
          <w:rFonts w:eastAsia="Calibri" w:cs="Tahoma"/>
          <w:iCs/>
          <w:lang w:eastAsia="es-ES_tradnl"/>
        </w:rPr>
        <w:t xml:space="preserve"> y el Informe Justificado</w:t>
      </w:r>
      <w:r w:rsidRPr="0012520B">
        <w:rPr>
          <w:rFonts w:eastAsia="Calibri" w:cs="Tahoma"/>
          <w:iCs/>
          <w:lang w:eastAsia="es-ES_tradnl"/>
        </w:rPr>
        <w:t xml:space="preserve">; </w:t>
      </w:r>
      <w:r w:rsidRPr="0012520B">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12520B" w:rsidRDefault="00C672CD" w:rsidP="001162C4">
      <w:pPr>
        <w:pStyle w:val="Ttulo2"/>
        <w:spacing w:before="0" w:after="0" w:line="360" w:lineRule="auto"/>
        <w:rPr>
          <w:sz w:val="22"/>
          <w:szCs w:val="22"/>
        </w:rPr>
      </w:pPr>
    </w:p>
    <w:p w14:paraId="36DCBD9D" w14:textId="0AA8912A" w:rsidR="005C690F" w:rsidRPr="0012520B" w:rsidRDefault="007D6307" w:rsidP="001162C4">
      <w:pPr>
        <w:pStyle w:val="Ttulo2"/>
        <w:spacing w:before="0" w:after="0" w:line="360" w:lineRule="auto"/>
        <w:rPr>
          <w:sz w:val="22"/>
          <w:szCs w:val="22"/>
        </w:rPr>
      </w:pPr>
      <w:bookmarkStart w:id="11" w:name="_Toc219289829"/>
      <w:r w:rsidRPr="0012520B">
        <w:rPr>
          <w:sz w:val="22"/>
          <w:szCs w:val="22"/>
        </w:rPr>
        <w:t xml:space="preserve">CUARTO. Marco normativo aplicable en materia de transparencia y </w:t>
      </w:r>
      <w:r w:rsidR="00CD6238" w:rsidRPr="0012520B">
        <w:rPr>
          <w:sz w:val="22"/>
          <w:szCs w:val="22"/>
        </w:rPr>
        <w:t>acceso a la información pública</w:t>
      </w:r>
      <w:bookmarkEnd w:id="11"/>
    </w:p>
    <w:p w14:paraId="4D62F8F1" w14:textId="77777777" w:rsidR="005C690F" w:rsidRPr="0012520B" w:rsidRDefault="005C690F" w:rsidP="001162C4">
      <w:pPr>
        <w:spacing w:after="0" w:line="360" w:lineRule="auto"/>
        <w:rPr>
          <w:color w:val="000000"/>
        </w:rPr>
      </w:pPr>
    </w:p>
    <w:p w14:paraId="68F50546" w14:textId="77777777" w:rsidR="005C690F" w:rsidRPr="0012520B" w:rsidRDefault="007D6307" w:rsidP="001162C4">
      <w:pPr>
        <w:spacing w:after="0" w:line="360" w:lineRule="auto"/>
        <w:rPr>
          <w:color w:val="000000"/>
        </w:rPr>
      </w:pPr>
      <w:r w:rsidRPr="0012520B">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12520B" w:rsidRDefault="005C690F" w:rsidP="001162C4">
      <w:pPr>
        <w:spacing w:after="0" w:line="360" w:lineRule="auto"/>
        <w:rPr>
          <w:color w:val="000000"/>
        </w:rPr>
      </w:pPr>
    </w:p>
    <w:p w14:paraId="69458899" w14:textId="77777777" w:rsidR="005C690F" w:rsidRPr="0012520B" w:rsidRDefault="007D6307" w:rsidP="001162C4">
      <w:pPr>
        <w:spacing w:after="0" w:line="360" w:lineRule="auto"/>
        <w:rPr>
          <w:color w:val="000000"/>
        </w:rPr>
      </w:pPr>
      <w:r w:rsidRPr="0012520B">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8EBDEC" w14:textId="77777777" w:rsidR="005C690F" w:rsidRPr="0012520B" w:rsidRDefault="007D6307" w:rsidP="001162C4">
      <w:pPr>
        <w:spacing w:after="0" w:line="360" w:lineRule="auto"/>
        <w:rPr>
          <w:color w:val="000000"/>
        </w:rPr>
      </w:pPr>
      <w:r w:rsidRPr="0012520B">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12520B" w:rsidRDefault="005C690F" w:rsidP="001162C4">
      <w:pPr>
        <w:spacing w:after="0" w:line="360" w:lineRule="auto"/>
        <w:rPr>
          <w:color w:val="000000"/>
        </w:rPr>
      </w:pPr>
    </w:p>
    <w:p w14:paraId="5BD9CB2E" w14:textId="77777777" w:rsidR="005C690F" w:rsidRPr="0012520B" w:rsidRDefault="007D6307" w:rsidP="001162C4">
      <w:pPr>
        <w:spacing w:after="0" w:line="360" w:lineRule="auto"/>
        <w:rPr>
          <w:color w:val="000000"/>
        </w:rPr>
      </w:pPr>
      <w:r w:rsidRPr="0012520B">
        <w:rPr>
          <w:color w:val="000000"/>
        </w:rPr>
        <w:t>El artículo 12, que, quienes generen, recopilen, administren, manejen, procesen, archiven o conserven información pública serán responsables de la misma.</w:t>
      </w:r>
    </w:p>
    <w:p w14:paraId="6BD1FFBB" w14:textId="77777777" w:rsidR="007C02D1" w:rsidRDefault="007C02D1" w:rsidP="001162C4">
      <w:pPr>
        <w:spacing w:after="0" w:line="360" w:lineRule="auto"/>
        <w:rPr>
          <w:color w:val="000000"/>
        </w:rPr>
      </w:pPr>
    </w:p>
    <w:p w14:paraId="27A27D76" w14:textId="77777777" w:rsidR="00C70AD5" w:rsidRPr="0012520B" w:rsidRDefault="00C70AD5" w:rsidP="001162C4">
      <w:pPr>
        <w:spacing w:after="0" w:line="360" w:lineRule="auto"/>
        <w:rPr>
          <w:color w:val="000000"/>
        </w:rPr>
      </w:pPr>
    </w:p>
    <w:p w14:paraId="3D899A16" w14:textId="77777777" w:rsidR="005C690F" w:rsidRPr="0012520B" w:rsidRDefault="007D6307" w:rsidP="001162C4">
      <w:pPr>
        <w:widowControl w:val="0"/>
        <w:spacing w:after="0" w:line="360" w:lineRule="auto"/>
        <w:rPr>
          <w:color w:val="000000"/>
        </w:rPr>
      </w:pPr>
      <w:r w:rsidRPr="0012520B">
        <w:rPr>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12520B" w:rsidRDefault="00B153FA" w:rsidP="001162C4">
      <w:pPr>
        <w:widowControl w:val="0"/>
        <w:spacing w:after="0" w:line="360" w:lineRule="auto"/>
        <w:rPr>
          <w:color w:val="000000"/>
        </w:rPr>
      </w:pPr>
    </w:p>
    <w:p w14:paraId="70E5B643" w14:textId="378E2A57" w:rsidR="00B04A35" w:rsidRPr="0012520B" w:rsidRDefault="007D6307" w:rsidP="001162C4">
      <w:pPr>
        <w:spacing w:after="0" w:line="360" w:lineRule="auto"/>
        <w:rPr>
          <w:color w:val="000000"/>
        </w:rPr>
      </w:pPr>
      <w:r w:rsidRPr="0012520B">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12520B" w:rsidRDefault="005C690F" w:rsidP="001162C4">
      <w:pPr>
        <w:spacing w:after="0" w:line="360" w:lineRule="auto"/>
      </w:pPr>
    </w:p>
    <w:p w14:paraId="3AF871E5" w14:textId="6FEB966D" w:rsidR="005C690F" w:rsidRPr="0057076C" w:rsidRDefault="00CD6238" w:rsidP="001162C4">
      <w:pPr>
        <w:pStyle w:val="Ttulo2"/>
        <w:spacing w:before="0" w:after="0" w:line="360" w:lineRule="auto"/>
        <w:rPr>
          <w:sz w:val="22"/>
          <w:szCs w:val="22"/>
        </w:rPr>
      </w:pPr>
      <w:bookmarkStart w:id="12" w:name="_Toc219289830"/>
      <w:r w:rsidRPr="0057076C">
        <w:rPr>
          <w:sz w:val="22"/>
          <w:szCs w:val="22"/>
        </w:rPr>
        <w:t>Q</w:t>
      </w:r>
      <w:r w:rsidR="0044017B" w:rsidRPr="0057076C">
        <w:rPr>
          <w:sz w:val="22"/>
          <w:szCs w:val="22"/>
        </w:rPr>
        <w:t>UINTO</w:t>
      </w:r>
      <w:r w:rsidRPr="0057076C">
        <w:rPr>
          <w:sz w:val="22"/>
          <w:szCs w:val="22"/>
        </w:rPr>
        <w:t>. Estudio de Fondo</w:t>
      </w:r>
      <w:bookmarkEnd w:id="12"/>
    </w:p>
    <w:p w14:paraId="2596B212" w14:textId="77777777" w:rsidR="00A56228" w:rsidRPr="0057076C" w:rsidRDefault="00A56228" w:rsidP="001162C4">
      <w:pPr>
        <w:spacing w:after="0" w:line="360" w:lineRule="auto"/>
        <w:rPr>
          <w:b/>
          <w:color w:val="000000"/>
        </w:rPr>
      </w:pPr>
    </w:p>
    <w:p w14:paraId="36629A3E" w14:textId="7B3F6487" w:rsidR="00AC6DF4" w:rsidRDefault="0064067B" w:rsidP="001162C4">
      <w:pPr>
        <w:spacing w:after="0" w:line="360" w:lineRule="auto"/>
        <w:rPr>
          <w:rFonts w:eastAsia="Times New Roman" w:cs="Tahoma"/>
          <w:bCs/>
          <w:iCs/>
          <w:lang w:eastAsia="es-ES"/>
        </w:rPr>
      </w:pPr>
      <w:r w:rsidRPr="0057076C">
        <w:rPr>
          <w:color w:val="000000"/>
        </w:rPr>
        <w:t>Expuestas las posturas de las partes, se procede al análisis de los agravios hechos valer por la persona Recurrente</w:t>
      </w:r>
      <w:r w:rsidR="00731FB9" w:rsidRPr="0057076C">
        <w:t xml:space="preserve">, </w:t>
      </w:r>
      <w:r w:rsidR="007F4407" w:rsidRPr="0057076C">
        <w:rPr>
          <w:rFonts w:eastAsia="Times New Roman" w:cs="Tahoma"/>
          <w:bCs/>
          <w:iCs/>
          <w:lang w:eastAsia="es-ES"/>
        </w:rPr>
        <w:t>por lo que, en principio es necesario contextualizar la solicitud de informa</w:t>
      </w:r>
      <w:r w:rsidR="00AC6DF4">
        <w:rPr>
          <w:rFonts w:eastAsia="Times New Roman" w:cs="Tahoma"/>
          <w:bCs/>
          <w:iCs/>
          <w:lang w:eastAsia="es-ES"/>
        </w:rPr>
        <w:t>ción; para lo cual, es necesario traer a colación el Código Financiero del Estado de México, que precisa lo siguiente:</w:t>
      </w:r>
    </w:p>
    <w:p w14:paraId="0EC700C7" w14:textId="77777777" w:rsidR="00AC6DF4" w:rsidRDefault="00AC6DF4" w:rsidP="001162C4">
      <w:pPr>
        <w:spacing w:after="0" w:line="360" w:lineRule="auto"/>
        <w:rPr>
          <w:rFonts w:eastAsia="Times New Roman" w:cs="Tahoma"/>
          <w:bCs/>
          <w:iCs/>
          <w:lang w:eastAsia="es-ES"/>
        </w:rPr>
      </w:pPr>
    </w:p>
    <w:p w14:paraId="4F4EC017" w14:textId="62CEAD53" w:rsidR="00AC6DF4" w:rsidRDefault="00AC6DF4" w:rsidP="00020B86">
      <w:pPr>
        <w:pStyle w:val="Prrafodelista"/>
        <w:numPr>
          <w:ilvl w:val="0"/>
          <w:numId w:val="3"/>
        </w:numPr>
        <w:spacing w:line="360" w:lineRule="auto"/>
        <w:rPr>
          <w:rFonts w:cs="Tahoma"/>
          <w:b/>
          <w:iCs/>
        </w:rPr>
      </w:pPr>
      <w:r>
        <w:rPr>
          <w:rFonts w:cs="Tahoma"/>
          <w:b/>
          <w:iCs/>
        </w:rPr>
        <w:t xml:space="preserve">Artículo 7°: </w:t>
      </w:r>
      <w:r>
        <w:rPr>
          <w:rFonts w:cs="Tahoma"/>
          <w:bCs/>
          <w:iCs/>
        </w:rPr>
        <w:t xml:space="preserve">Los Municipios para cubrir el gasto público percibirá en cada ejercicio fiscal los </w:t>
      </w:r>
      <w:r w:rsidRPr="00AC6DF4">
        <w:rPr>
          <w:rFonts w:cs="Tahoma"/>
          <w:bCs/>
          <w:iCs/>
        </w:rPr>
        <w:t>impuestos, derechos, aportaciones de mejoras, productos, aprovechamientos, ingresos derivados de la coordinación hacendaria, e ingresos provenientes de financiamientos, establecidos en la Ley de Ingresos</w:t>
      </w:r>
      <w:r>
        <w:rPr>
          <w:rFonts w:cs="Tahoma"/>
          <w:bCs/>
          <w:iCs/>
        </w:rPr>
        <w:t>;</w:t>
      </w:r>
    </w:p>
    <w:p w14:paraId="3009739C" w14:textId="6D02FC0F" w:rsidR="00AC6DF4" w:rsidRDefault="00AC6DF4" w:rsidP="00020B86">
      <w:pPr>
        <w:pStyle w:val="Prrafodelista"/>
        <w:numPr>
          <w:ilvl w:val="0"/>
          <w:numId w:val="3"/>
        </w:numPr>
        <w:spacing w:line="360" w:lineRule="auto"/>
        <w:rPr>
          <w:rFonts w:cs="Tahoma"/>
          <w:b/>
          <w:iCs/>
        </w:rPr>
      </w:pPr>
      <w:r>
        <w:rPr>
          <w:rFonts w:cs="Tahoma"/>
          <w:b/>
          <w:iCs/>
        </w:rPr>
        <w:t xml:space="preserve">Artículo 9°, fracción III: </w:t>
      </w:r>
      <w:r>
        <w:rPr>
          <w:rFonts w:cs="Tahoma"/>
          <w:bCs/>
          <w:iCs/>
        </w:rPr>
        <w:t xml:space="preserve">Las contribuciones o aportaciones de mejora son aquellas a cargo de </w:t>
      </w:r>
      <w:r w:rsidRPr="00AC6DF4">
        <w:rPr>
          <w:rFonts w:cs="Tahoma"/>
          <w:bCs/>
          <w:iCs/>
        </w:rPr>
        <w:t>las personas físicas y jurídicas colectivas, que con independencia de la utilidad general, obtengan un beneficio diferencial particular derivado de la realización de obras públicas o de acciones de beneficio social;</w:t>
      </w:r>
    </w:p>
    <w:p w14:paraId="75A4E915" w14:textId="5CA74217" w:rsidR="00AC6DF4" w:rsidRDefault="00AC6DF4" w:rsidP="00020B86">
      <w:pPr>
        <w:pStyle w:val="Prrafodelista"/>
        <w:numPr>
          <w:ilvl w:val="0"/>
          <w:numId w:val="3"/>
        </w:numPr>
        <w:spacing w:line="360" w:lineRule="auto"/>
        <w:rPr>
          <w:rFonts w:cs="Tahoma"/>
          <w:b/>
          <w:iCs/>
        </w:rPr>
      </w:pPr>
      <w:r>
        <w:rPr>
          <w:rFonts w:cs="Tahoma"/>
          <w:b/>
          <w:iCs/>
        </w:rPr>
        <w:t xml:space="preserve">Artículo 202: </w:t>
      </w:r>
      <w:r w:rsidRPr="00AC6DF4">
        <w:rPr>
          <w:rFonts w:cs="Tahoma"/>
          <w:bCs/>
          <w:iCs/>
        </w:rPr>
        <w:t xml:space="preserve">Están obligadas al pago de aportaciones de mejoras, las personas físicas o jurídicas colectivas, propietarias o poseedoras de bienes inmuebles ubicados dentro </w:t>
      </w:r>
      <w:r w:rsidRPr="00AC6DF4">
        <w:rPr>
          <w:rFonts w:cs="Tahoma"/>
          <w:bCs/>
          <w:iCs/>
        </w:rPr>
        <w:lastRenderedPageBreak/>
        <w:t>del área de beneficio, que obtengan beneficios diferenciales particulares derivados de la ejecución de la obra pública o acción de beneficio social, realizadas por el Estado, los Municipios o los organismos públicos descentralizados</w:t>
      </w:r>
      <w:r>
        <w:rPr>
          <w:rFonts w:cs="Tahoma"/>
          <w:bCs/>
          <w:iCs/>
        </w:rPr>
        <w:t>;</w:t>
      </w:r>
    </w:p>
    <w:p w14:paraId="528EBA6C" w14:textId="2BF035DE" w:rsidR="00AC6DF4" w:rsidRPr="00AC6DF4" w:rsidRDefault="00AC6DF4" w:rsidP="00020B86">
      <w:pPr>
        <w:pStyle w:val="Prrafodelista"/>
        <w:numPr>
          <w:ilvl w:val="0"/>
          <w:numId w:val="3"/>
        </w:numPr>
        <w:spacing w:line="360" w:lineRule="auto"/>
        <w:rPr>
          <w:rFonts w:cs="Tahoma"/>
          <w:b/>
          <w:iCs/>
        </w:rPr>
      </w:pPr>
      <w:r>
        <w:rPr>
          <w:rFonts w:cs="Tahoma"/>
          <w:b/>
          <w:iCs/>
        </w:rPr>
        <w:t>Artículo 203:</w:t>
      </w:r>
      <w:r w:rsidRPr="00AC6DF4">
        <w:t xml:space="preserve"> </w:t>
      </w:r>
      <w:r w:rsidRPr="00AC6DF4">
        <w:rPr>
          <w:rFonts w:cs="Tahoma"/>
          <w:bCs/>
          <w:iCs/>
        </w:rPr>
        <w:t>Mediante aportaciones podrán realizarse obras públicas o acciones de beneficio social, como son:</w:t>
      </w:r>
    </w:p>
    <w:p w14:paraId="7061F974" w14:textId="08C4B1B4" w:rsidR="00AC6DF4" w:rsidRPr="00AC6DF4" w:rsidRDefault="00AC6DF4" w:rsidP="00020B86">
      <w:pPr>
        <w:pStyle w:val="Prrafodelista"/>
        <w:numPr>
          <w:ilvl w:val="0"/>
          <w:numId w:val="4"/>
        </w:numPr>
        <w:spacing w:line="360" w:lineRule="auto"/>
        <w:rPr>
          <w:rFonts w:cs="Tahoma"/>
          <w:b/>
          <w:iCs/>
        </w:rPr>
      </w:pPr>
      <w:r w:rsidRPr="00AC6DF4">
        <w:rPr>
          <w:rFonts w:cs="Tahoma"/>
          <w:bCs/>
          <w:iCs/>
        </w:rPr>
        <w:t>Introducción, ampliación y rehabilitación</w:t>
      </w:r>
      <w:r w:rsidRPr="00AC6DF4">
        <w:t xml:space="preserve"> </w:t>
      </w:r>
      <w:r w:rsidRPr="00AC6DF4">
        <w:rPr>
          <w:rFonts w:cs="Tahoma"/>
          <w:bCs/>
          <w:iCs/>
        </w:rPr>
        <w:t>de sistemas de agua potable</w:t>
      </w:r>
      <w:r>
        <w:rPr>
          <w:rFonts w:cs="Tahoma"/>
          <w:bCs/>
          <w:iCs/>
        </w:rPr>
        <w:t>,</w:t>
      </w:r>
      <w:r w:rsidRPr="00AC6DF4">
        <w:rPr>
          <w:rFonts w:cs="Tahoma"/>
          <w:bCs/>
          <w:iCs/>
        </w:rPr>
        <w:t xml:space="preserve"> drenaje</w:t>
      </w:r>
      <w:r>
        <w:rPr>
          <w:rFonts w:cs="Tahoma"/>
          <w:bCs/>
          <w:iCs/>
        </w:rPr>
        <w:t xml:space="preserve"> y </w:t>
      </w:r>
      <w:r w:rsidRPr="00AC6DF4">
        <w:rPr>
          <w:rFonts w:cs="Tahoma"/>
          <w:bCs/>
          <w:iCs/>
        </w:rPr>
        <w:t>de sistemas para el saneamiento del agua</w:t>
      </w:r>
      <w:r>
        <w:rPr>
          <w:rFonts w:cs="Tahoma"/>
          <w:bCs/>
          <w:iCs/>
        </w:rPr>
        <w:t>.</w:t>
      </w:r>
    </w:p>
    <w:p w14:paraId="06F8EBC5" w14:textId="5ED39E8E" w:rsidR="00AC6DF4" w:rsidRPr="006F49A9" w:rsidRDefault="00AC6DF4" w:rsidP="00020B86">
      <w:pPr>
        <w:pStyle w:val="Prrafodelista"/>
        <w:numPr>
          <w:ilvl w:val="0"/>
          <w:numId w:val="4"/>
        </w:numPr>
        <w:spacing w:line="360" w:lineRule="auto"/>
        <w:rPr>
          <w:rFonts w:cs="Tahoma"/>
          <w:b/>
          <w:iCs/>
        </w:rPr>
      </w:pPr>
      <w:r>
        <w:rPr>
          <w:rFonts w:cs="Tahoma"/>
          <w:bCs/>
          <w:iCs/>
        </w:rPr>
        <w:t xml:space="preserve">Urbanizaciones tales como guarniciones o banquetas, así como, </w:t>
      </w:r>
      <w:r w:rsidR="006F49A9">
        <w:rPr>
          <w:rFonts w:cs="Tahoma"/>
          <w:bCs/>
          <w:iCs/>
        </w:rPr>
        <w:t>para</w:t>
      </w:r>
      <w:r>
        <w:rPr>
          <w:rFonts w:cs="Tahoma"/>
          <w:bCs/>
          <w:iCs/>
        </w:rPr>
        <w:t xml:space="preserve"> construcción</w:t>
      </w:r>
      <w:r w:rsidR="006F49A9">
        <w:rPr>
          <w:rFonts w:cs="Tahoma"/>
          <w:bCs/>
          <w:iCs/>
        </w:rPr>
        <w:t>,</w:t>
      </w:r>
      <w:r>
        <w:rPr>
          <w:rFonts w:cs="Tahoma"/>
          <w:bCs/>
          <w:iCs/>
        </w:rPr>
        <w:t xml:space="preserve"> </w:t>
      </w:r>
      <w:r w:rsidR="006F49A9" w:rsidRPr="006F49A9">
        <w:rPr>
          <w:rFonts w:cs="Tahoma"/>
          <w:bCs/>
          <w:iCs/>
        </w:rPr>
        <w:t>pavimentación, repavimentación o mantenimiento de calles, vialidades o caminos rurales.</w:t>
      </w:r>
    </w:p>
    <w:p w14:paraId="1B2A5BC5" w14:textId="5810C372" w:rsidR="006F49A9" w:rsidRPr="006F49A9" w:rsidRDefault="006F49A9" w:rsidP="00020B86">
      <w:pPr>
        <w:pStyle w:val="Prrafodelista"/>
        <w:numPr>
          <w:ilvl w:val="0"/>
          <w:numId w:val="4"/>
        </w:numPr>
        <w:spacing w:line="360" w:lineRule="auto"/>
        <w:rPr>
          <w:rFonts w:cs="Tahoma"/>
          <w:b/>
          <w:iCs/>
        </w:rPr>
      </w:pPr>
      <w:r>
        <w:rPr>
          <w:rFonts w:cs="Tahoma"/>
          <w:bCs/>
          <w:iCs/>
        </w:rPr>
        <w:t>Construcción y reparación de escuelas, clínicas y dispensarios médicos, centros recreativos, áreas o instalaciones deportivas, mercados, módulos de vigilancia.</w:t>
      </w:r>
    </w:p>
    <w:p w14:paraId="6BB838F1" w14:textId="06888B7F" w:rsidR="006F49A9" w:rsidRDefault="006F49A9" w:rsidP="00020B86">
      <w:pPr>
        <w:pStyle w:val="Prrafodelista"/>
        <w:numPr>
          <w:ilvl w:val="0"/>
          <w:numId w:val="4"/>
        </w:numPr>
        <w:spacing w:line="360" w:lineRule="auto"/>
        <w:rPr>
          <w:rFonts w:cs="Tahoma"/>
          <w:bCs/>
          <w:iCs/>
        </w:rPr>
      </w:pPr>
      <w:r w:rsidRPr="006F49A9">
        <w:rPr>
          <w:rFonts w:cs="Tahoma"/>
          <w:bCs/>
          <w:iCs/>
        </w:rPr>
        <w:t>Adquisición o expropiación de inmuebles para la ejecución de obras públicas o establecimiento de parques ecológicos.</w:t>
      </w:r>
    </w:p>
    <w:p w14:paraId="667D61FC" w14:textId="0A3B1487" w:rsidR="006F49A9" w:rsidRPr="006F49A9" w:rsidRDefault="006F49A9" w:rsidP="00020B86">
      <w:pPr>
        <w:pStyle w:val="Prrafodelista"/>
        <w:numPr>
          <w:ilvl w:val="0"/>
          <w:numId w:val="4"/>
        </w:numPr>
        <w:spacing w:line="360" w:lineRule="auto"/>
        <w:rPr>
          <w:rFonts w:cs="Tahoma"/>
          <w:bCs/>
          <w:iCs/>
        </w:rPr>
      </w:pPr>
      <w:r w:rsidRPr="006F49A9">
        <w:rPr>
          <w:rFonts w:cs="Tahoma"/>
          <w:bCs/>
          <w:iCs/>
        </w:rPr>
        <w:t>Adquisición o expropiación de inmuebles para la ejecución de obras públicas o establecimiento de parques ecológicos.</w:t>
      </w:r>
    </w:p>
    <w:p w14:paraId="33E41D88" w14:textId="77777777" w:rsidR="00AC6DF4" w:rsidRDefault="00AC6DF4" w:rsidP="00AC6DF4">
      <w:pPr>
        <w:pStyle w:val="Prrafodelista"/>
        <w:spacing w:line="360" w:lineRule="auto"/>
        <w:rPr>
          <w:rFonts w:cs="Tahoma"/>
          <w:b/>
          <w:iCs/>
        </w:rPr>
      </w:pPr>
    </w:p>
    <w:p w14:paraId="305A2BF5" w14:textId="5766740E" w:rsidR="00AC6DF4" w:rsidRPr="006F49A9" w:rsidRDefault="006F49A9" w:rsidP="006F49A9">
      <w:pPr>
        <w:spacing w:line="360" w:lineRule="auto"/>
        <w:rPr>
          <w:rFonts w:cs="Tahoma"/>
          <w:bCs/>
          <w:iCs/>
        </w:rPr>
      </w:pPr>
      <w:r>
        <w:rPr>
          <w:rFonts w:cs="Tahoma"/>
          <w:bCs/>
          <w:iCs/>
        </w:rPr>
        <w:t>Conforme a lo anterior, se logra vislumbrar que las aportaciones de mejoras, corresponden a ingresos que recibe el Municipio, de personas físicas o morales que obtuvieron algún</w:t>
      </w:r>
      <w:r w:rsidRPr="00AC6DF4">
        <w:rPr>
          <w:rFonts w:cs="Tahoma"/>
          <w:bCs/>
          <w:iCs/>
        </w:rPr>
        <w:t xml:space="preserve"> diferencial particular derivado de la ejecución de la obra pública o acción de beneficio social</w:t>
      </w:r>
      <w:r>
        <w:rPr>
          <w:rFonts w:cs="Tahoma"/>
          <w:bCs/>
          <w:iCs/>
        </w:rPr>
        <w:t>.</w:t>
      </w:r>
    </w:p>
    <w:p w14:paraId="5A0D6508" w14:textId="77777777" w:rsidR="00AC6DF4" w:rsidRDefault="00AC6DF4" w:rsidP="006F49A9">
      <w:pPr>
        <w:spacing w:after="0" w:line="360" w:lineRule="auto"/>
        <w:rPr>
          <w:rFonts w:cs="Tahoma"/>
          <w:b/>
          <w:iCs/>
        </w:rPr>
      </w:pPr>
    </w:p>
    <w:p w14:paraId="0BADFB5C" w14:textId="77777777" w:rsidR="006F49A9" w:rsidRDefault="006F49A9" w:rsidP="006F49A9">
      <w:pPr>
        <w:spacing w:after="0" w:line="360" w:lineRule="auto"/>
      </w:pPr>
      <w:r>
        <w:t xml:space="preserve">En ese contexto, los Sujetos Obligados deben generar pólizas contables que corresponden a un documento en el que se asientan las operaciones desarrolladas, por el municipio y toda la información necesaria para su identificación, de esta manera se trae por analogía la Guía </w:t>
      </w:r>
      <w:r>
        <w:lastRenderedPageBreak/>
        <w:t xml:space="preserve">Técnica 8 “La Contabilidad y la Cuenta Pública Municipal”; además, dichas pólizas se dividen en las siguientes: </w:t>
      </w:r>
    </w:p>
    <w:p w14:paraId="35427866" w14:textId="77777777" w:rsidR="006F49A9" w:rsidRDefault="006F49A9" w:rsidP="006F49A9">
      <w:pPr>
        <w:spacing w:after="0" w:line="360" w:lineRule="auto"/>
      </w:pPr>
    </w:p>
    <w:p w14:paraId="1E5837DE" w14:textId="77777777" w:rsidR="006F49A9" w:rsidRDefault="006F49A9" w:rsidP="00020B86">
      <w:pPr>
        <w:pStyle w:val="Prrafodelista"/>
        <w:numPr>
          <w:ilvl w:val="0"/>
          <w:numId w:val="5"/>
        </w:numPr>
        <w:spacing w:line="360" w:lineRule="auto"/>
      </w:pPr>
      <w:r>
        <w:rPr>
          <w:b/>
          <w:bCs/>
        </w:rPr>
        <w:t>Póliza de Ingresos:</w:t>
      </w:r>
      <w:r>
        <w:t xml:space="preserve"> Es aquella donde se anotan las operaciones que representan ingresos, esto es, entradas de dinero para el municipio. </w:t>
      </w:r>
    </w:p>
    <w:p w14:paraId="3963FB84" w14:textId="77777777" w:rsidR="006F49A9" w:rsidRDefault="006F49A9" w:rsidP="006F49A9">
      <w:pPr>
        <w:spacing w:after="0" w:line="360" w:lineRule="auto"/>
      </w:pPr>
    </w:p>
    <w:p w14:paraId="4BB4D5D0" w14:textId="77777777" w:rsidR="006F49A9" w:rsidRDefault="006F49A9" w:rsidP="00020B86">
      <w:pPr>
        <w:pStyle w:val="Prrafodelista"/>
        <w:numPr>
          <w:ilvl w:val="0"/>
          <w:numId w:val="5"/>
        </w:numPr>
        <w:spacing w:line="360" w:lineRule="auto"/>
      </w:pPr>
      <w:r>
        <w:rPr>
          <w:b/>
          <w:bCs/>
        </w:rPr>
        <w:t>Póliza de Egresos:</w:t>
      </w:r>
      <w:r>
        <w:t xml:space="preserve"> Corresponde a aquella donde se anotan las operaciones que implique egresos, es decir, la salida de dinero, en efectivo o transferencia, para el municipio.</w:t>
      </w:r>
    </w:p>
    <w:p w14:paraId="1EC354AB" w14:textId="77777777" w:rsidR="00AC6DF4" w:rsidRDefault="00AC6DF4" w:rsidP="001162C4">
      <w:pPr>
        <w:spacing w:after="0" w:line="360" w:lineRule="auto"/>
        <w:rPr>
          <w:rFonts w:eastAsia="Times New Roman" w:cs="Tahoma"/>
          <w:bCs/>
          <w:iCs/>
          <w:lang w:eastAsia="es-ES"/>
        </w:rPr>
      </w:pPr>
    </w:p>
    <w:p w14:paraId="08221450" w14:textId="07154B02" w:rsidR="006F49A9" w:rsidRDefault="006F49A9" w:rsidP="006F49A9">
      <w:pPr>
        <w:spacing w:after="0" w:line="360" w:lineRule="auto"/>
      </w:pPr>
      <w:r>
        <w:t>Ahora bien, los Lineamientos para la integración y presentación de los Informes Trimestrales Estatales y Municipales del Ejercicio Fiscal 2025, entre los formatos que maneja en el Módulo 1, se advierte que se encuentran Póliza de Ingresos, con los documentos comprobatorios (recibo emitido), mismos que serán entregados al Órgano Superior de Fiscalización del Estado de México.</w:t>
      </w:r>
    </w:p>
    <w:p w14:paraId="0D94D0DC" w14:textId="77777777" w:rsidR="006F49A9" w:rsidRDefault="006F49A9" w:rsidP="001162C4">
      <w:pPr>
        <w:spacing w:after="0" w:line="360" w:lineRule="auto"/>
        <w:rPr>
          <w:rFonts w:eastAsia="Times New Roman" w:cs="Tahoma"/>
          <w:bCs/>
          <w:iCs/>
          <w:lang w:eastAsia="es-ES"/>
        </w:rPr>
      </w:pPr>
    </w:p>
    <w:p w14:paraId="5C1C8544" w14:textId="1578D623" w:rsidR="006F49A9" w:rsidRDefault="006F49A9" w:rsidP="006F49A9">
      <w:pPr>
        <w:spacing w:after="0" w:line="360" w:lineRule="auto"/>
      </w:pPr>
      <w:r>
        <w:t>Ahora bien, los Lineamientos para la integración y presentación de los Informes Trimestrales Estatales y Municipales del Ejercicio Fiscal 2025, entre los formatos que maneja en el Módulo 1, se advierte que se encuentran</w:t>
      </w:r>
      <w:r w:rsidR="00C82094">
        <w:t xml:space="preserve"> las</w:t>
      </w:r>
      <w:r>
        <w:t xml:space="preserve"> Póliza</w:t>
      </w:r>
      <w:r w:rsidR="00C82094">
        <w:t>s</w:t>
      </w:r>
      <w:r>
        <w:t xml:space="preserve"> </w:t>
      </w:r>
      <w:r w:rsidR="00C82094">
        <w:t>Ingresos</w:t>
      </w:r>
      <w:r>
        <w:t>, con los documentos comprobatorios (</w:t>
      </w:r>
      <w:r w:rsidR="00C82094">
        <w:t>recibo emitido</w:t>
      </w:r>
      <w:r>
        <w:t>), mismos que serán entregados al Órgano Superior de Fiscalización del Estado de México.</w:t>
      </w:r>
    </w:p>
    <w:p w14:paraId="7785805B" w14:textId="56D0548F" w:rsidR="006F49A9" w:rsidRDefault="006F49A9" w:rsidP="001162C4">
      <w:pPr>
        <w:spacing w:after="0" w:line="360" w:lineRule="auto"/>
        <w:rPr>
          <w:rFonts w:eastAsia="Times New Roman" w:cs="Tahoma"/>
          <w:bCs/>
          <w:iCs/>
          <w:lang w:eastAsia="es-ES"/>
        </w:rPr>
      </w:pPr>
    </w:p>
    <w:p w14:paraId="620EF569" w14:textId="4F60AAA7" w:rsidR="00C82094" w:rsidRDefault="00C82094" w:rsidP="00C82094">
      <w:pPr>
        <w:spacing w:after="0" w:line="360" w:lineRule="auto"/>
        <w:rPr>
          <w:rFonts w:eastAsia="Times New Roman" w:cs="Tahoma"/>
          <w:bCs/>
          <w:color w:val="auto"/>
          <w:lang w:val="es-ES_tradnl" w:eastAsia="es-ES"/>
        </w:rPr>
      </w:pPr>
      <w:r>
        <w:rPr>
          <w:rFonts w:eastAsia="Times New Roman" w:cs="Tahoma"/>
          <w:bCs/>
          <w:color w:val="auto"/>
          <w:lang w:val="es-ES_tradnl" w:eastAsia="es-ES"/>
        </w:rPr>
        <w:t>De tales circunstancias, se logra vislumbrar que la pretensión de la persona Recurrente, es obtener los recibos emitidos por la Tesorería Municipal, del primero de enero al once de noviembre de dos mil veinticinco, por concepto de aportaciones de mejoras, por un monto mayor a cien mil pesos.</w:t>
      </w:r>
    </w:p>
    <w:p w14:paraId="29BB1568" w14:textId="77777777" w:rsidR="00C82094" w:rsidRPr="00C82094" w:rsidRDefault="00C82094" w:rsidP="00C82094">
      <w:pPr>
        <w:spacing w:after="0" w:line="360" w:lineRule="auto"/>
        <w:rPr>
          <w:color w:val="0D0D0D"/>
        </w:rPr>
      </w:pPr>
      <w:r w:rsidRPr="00C82094">
        <w:rPr>
          <w:color w:val="000000"/>
        </w:rPr>
        <w:lastRenderedPageBreak/>
        <w:t>Ahora bien, de las constancias que obran en el expediente electrónico, se advierte que el Sujeto Obligado</w:t>
      </w:r>
      <w:r w:rsidRPr="00C82094">
        <w:rPr>
          <w:color w:val="0D0D0D"/>
        </w:rPr>
        <w:t>, turnó la solicitud de información a la</w:t>
      </w:r>
      <w:r w:rsidRPr="00C82094">
        <w:t xml:space="preserve"> Tesorería  Municipal</w:t>
      </w:r>
      <w:r w:rsidRPr="00C82094">
        <w:rPr>
          <w:color w:val="000000"/>
        </w:rPr>
        <w:t xml:space="preserve">; </w:t>
      </w:r>
      <w:r w:rsidRPr="00C82094">
        <w:t xml:space="preserve">por lo que, es oportuno hacer referencia al </w:t>
      </w:r>
      <w:r w:rsidRPr="00C82094">
        <w:rPr>
          <w:b/>
        </w:rPr>
        <w:t>procedimiento de búsqueda que deben de seguir los Sujetos Obligados para localizar la información</w:t>
      </w:r>
      <w:r w:rsidRPr="00C82094">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9310383" w14:textId="77777777" w:rsidR="00C82094" w:rsidRPr="00C82094" w:rsidRDefault="00C82094" w:rsidP="00C82094">
      <w:pPr>
        <w:spacing w:after="0" w:line="360" w:lineRule="auto"/>
        <w:ind w:left="720"/>
      </w:pPr>
    </w:p>
    <w:p w14:paraId="38606C11" w14:textId="77777777" w:rsidR="00C82094" w:rsidRPr="00C82094" w:rsidRDefault="00C82094" w:rsidP="00C82094">
      <w:pPr>
        <w:spacing w:after="0" w:line="360" w:lineRule="auto"/>
        <w:rPr>
          <w:rFonts w:eastAsia="Times New Roman" w:cs="Tahoma"/>
          <w:bCs/>
          <w:iCs/>
          <w:color w:val="auto"/>
          <w:lang w:eastAsia="es-ES"/>
        </w:rPr>
      </w:pPr>
      <w:r w:rsidRPr="00C82094">
        <w:rPr>
          <w:rFonts w:eastAsia="Times New Roman" w:cs="Tahoma"/>
          <w:bCs/>
          <w:iCs/>
          <w:color w:val="auto"/>
          <w:lang w:eastAsia="es-ES"/>
        </w:rPr>
        <w:t>En ese orden de ideas, el Manual de Organización de la Tesorería Municipal, precisa que dicha área será la encargada de administrar los recursos públicos; para lo cual contará con la Subdirección de Egresos encargada de supervisar y coordinar la integración, aplicación y distribución de los recursos financieros; de revisar los cheques y transferencias de los proveedores y contratistas; así como, elaborar cheques y transferencias.</w:t>
      </w:r>
    </w:p>
    <w:p w14:paraId="661E99D8" w14:textId="77777777" w:rsidR="00C82094" w:rsidRPr="00C82094" w:rsidRDefault="00C82094" w:rsidP="00C82094">
      <w:pPr>
        <w:spacing w:after="0" w:line="360" w:lineRule="auto"/>
        <w:ind w:left="720"/>
      </w:pPr>
    </w:p>
    <w:p w14:paraId="3F00F339" w14:textId="77777777" w:rsidR="00C82094" w:rsidRPr="00C82094" w:rsidRDefault="00C82094" w:rsidP="00C82094">
      <w:pPr>
        <w:spacing w:after="0" w:line="360" w:lineRule="auto"/>
        <w:rPr>
          <w:b/>
        </w:rPr>
      </w:pPr>
      <w:r w:rsidRPr="00C82094">
        <w:rPr>
          <w:color w:val="000000"/>
        </w:rPr>
        <w:t xml:space="preserve">Así, </w:t>
      </w:r>
      <w:r w:rsidRPr="00C82094">
        <w:t>se logra colegir que el Sujeto Obligad</w:t>
      </w:r>
      <w:r w:rsidRPr="00C82094">
        <w:rPr>
          <w:bCs/>
        </w:rPr>
        <w:t xml:space="preserve">o </w:t>
      </w:r>
      <w:r w:rsidRPr="00C82094">
        <w:rPr>
          <w:b/>
          <w:u w:val="single"/>
        </w:rPr>
        <w:t>cumplió</w:t>
      </w:r>
      <w:r w:rsidRPr="00C82094">
        <w:t xml:space="preserve"> con el procedimiento de búsqueda </w:t>
      </w:r>
      <w:r w:rsidRPr="00C82094">
        <w:rPr>
          <w:color w:val="000000"/>
        </w:rPr>
        <w:t xml:space="preserve">establecido en el artículo 162 de la Ley de Transparencia y Acceso a la Información Pública del Estado de México y Municipios, al gestionar el requerimiento de información a </w:t>
      </w:r>
      <w:r w:rsidRPr="00C82094">
        <w:rPr>
          <w:b/>
          <w:bCs/>
          <w:color w:val="000000"/>
        </w:rPr>
        <w:t>la Tesorería Municipal</w:t>
      </w:r>
      <w:r w:rsidRPr="00C82094">
        <w:rPr>
          <w:b/>
        </w:rPr>
        <w:t>, área que realiza las erogaciones por medio de transferencia o cheque, por medio de su Subdirección de Egresos</w:t>
      </w:r>
      <w:r w:rsidRPr="00C82094">
        <w:rPr>
          <w:color w:val="000000"/>
        </w:rPr>
        <w:t xml:space="preserve">. </w:t>
      </w:r>
    </w:p>
    <w:p w14:paraId="227F9FEF" w14:textId="77777777" w:rsidR="00C82094" w:rsidRPr="00C82094" w:rsidRDefault="00C82094" w:rsidP="00C82094">
      <w:pPr>
        <w:spacing w:after="0" w:line="360" w:lineRule="auto"/>
        <w:rPr>
          <w:color w:val="000000"/>
        </w:rPr>
      </w:pPr>
    </w:p>
    <w:p w14:paraId="15275F94" w14:textId="62E3EF29" w:rsidR="00C82094" w:rsidRPr="00C82094" w:rsidRDefault="00C82094" w:rsidP="00C82094">
      <w:pPr>
        <w:spacing w:after="0" w:line="360" w:lineRule="auto"/>
      </w:pPr>
      <w:r w:rsidRPr="00C82094">
        <w:t xml:space="preserve">Ahora bien, dicha área mencionó que la información solicitada no podía ser proporcionada </w:t>
      </w:r>
      <w:r>
        <w:t>al estar clasificada</w:t>
      </w:r>
      <w:r w:rsidRPr="00C82094">
        <w:t xml:space="preserve">; sobre el tema, según Trujillo, Humberto (2019), en el “Diccionario de Transparencia y Acceso a la Información Pública” (p. 201), </w:t>
      </w:r>
      <w:r w:rsidRPr="00C82094">
        <w:rPr>
          <w:b/>
          <w:bCs/>
        </w:rPr>
        <w:t xml:space="preserve">la negativa de acceso a la </w:t>
      </w:r>
      <w:r w:rsidRPr="00C82094">
        <w:rPr>
          <w:b/>
          <w:bCs/>
        </w:rPr>
        <w:lastRenderedPageBreak/>
        <w:t>información</w:t>
      </w:r>
      <w:r w:rsidRPr="00C82094">
        <w:t xml:space="preserve"> ocurre cuanto de manera fundada y motivada, una autoridad la niega o la limita, por alguna de las siguientes razones:</w:t>
      </w:r>
    </w:p>
    <w:p w14:paraId="228A7CBF" w14:textId="77777777" w:rsidR="00C82094" w:rsidRPr="00C82094" w:rsidRDefault="00C82094" w:rsidP="00C82094">
      <w:pPr>
        <w:spacing w:after="0" w:line="360" w:lineRule="auto"/>
        <w:rPr>
          <w:rFonts w:eastAsia="Times New Roman" w:cs="Tahoma"/>
          <w:iCs/>
          <w:color w:val="FF0000"/>
          <w:lang w:eastAsia="es-ES"/>
        </w:rPr>
      </w:pPr>
    </w:p>
    <w:p w14:paraId="35E065E8" w14:textId="77777777" w:rsidR="00C82094" w:rsidRPr="00C82094" w:rsidRDefault="00C82094" w:rsidP="00020B86">
      <w:pPr>
        <w:numPr>
          <w:ilvl w:val="0"/>
          <w:numId w:val="6"/>
        </w:numPr>
        <w:spacing w:line="360" w:lineRule="auto"/>
        <w:contextualSpacing/>
        <w:rPr>
          <w:rFonts w:eastAsia="Times New Roman" w:cs="Times New Roman"/>
          <w:szCs w:val="24"/>
          <w:lang w:eastAsia="es-ES"/>
        </w:rPr>
      </w:pPr>
      <w:r w:rsidRPr="00C82094">
        <w:rPr>
          <w:rFonts w:eastAsia="Times New Roman" w:cs="Times New Roman"/>
          <w:b/>
          <w:bCs/>
          <w:szCs w:val="24"/>
          <w:lang w:eastAsia="es-ES"/>
        </w:rPr>
        <w:t>La inexistencia de la información (p. 171):</w:t>
      </w:r>
      <w:r w:rsidRPr="00C82094">
        <w:rPr>
          <w:rFonts w:eastAsia="Times New Roman" w:cs="Times New Roman"/>
          <w:szCs w:val="24"/>
          <w:lang w:eastAsia="es-ES"/>
        </w:rPr>
        <w:t xml:space="preserve"> Sucede cuando la información solicitada no se encuentra en los archivos públicos o clasificados de los entes sujetos a las Leyes de Transparencia.</w:t>
      </w:r>
    </w:p>
    <w:p w14:paraId="7CB249CC" w14:textId="77777777" w:rsidR="00C82094" w:rsidRPr="00C82094" w:rsidRDefault="00C82094" w:rsidP="00C82094">
      <w:pPr>
        <w:spacing w:after="0" w:line="360" w:lineRule="auto"/>
      </w:pPr>
    </w:p>
    <w:p w14:paraId="5EC6131D" w14:textId="77777777" w:rsidR="00C82094" w:rsidRPr="00C82094" w:rsidRDefault="00C82094" w:rsidP="00020B86">
      <w:pPr>
        <w:numPr>
          <w:ilvl w:val="0"/>
          <w:numId w:val="6"/>
        </w:numPr>
        <w:spacing w:line="360" w:lineRule="auto"/>
        <w:contextualSpacing/>
        <w:rPr>
          <w:rFonts w:eastAsia="Times New Roman" w:cs="Times New Roman"/>
          <w:szCs w:val="24"/>
          <w:lang w:eastAsia="es-ES"/>
        </w:rPr>
      </w:pPr>
      <w:r w:rsidRPr="00C82094">
        <w:rPr>
          <w:rFonts w:eastAsia="Times New Roman" w:cs="Times New Roman"/>
          <w:b/>
          <w:bCs/>
          <w:szCs w:val="24"/>
          <w:lang w:eastAsia="es-ES"/>
        </w:rPr>
        <w:t>La incompetencia del Sujeto Obligado (p. 171):</w:t>
      </w:r>
      <w:r w:rsidRPr="00C82094">
        <w:rPr>
          <w:rFonts w:eastAsia="Times New Roman" w:cs="Times New Roman"/>
          <w:szCs w:val="24"/>
          <w:lang w:eastAsia="es-ES"/>
        </w:rPr>
        <w:t xml:space="preserve"> Ocurre cuando el Sujeto Obligado carece de atribuciones para poseer la información peticionada.</w:t>
      </w:r>
    </w:p>
    <w:p w14:paraId="6FD8310D" w14:textId="77777777" w:rsidR="00C82094" w:rsidRPr="00C82094" w:rsidRDefault="00C82094" w:rsidP="00C82094">
      <w:pPr>
        <w:spacing w:after="0" w:line="360" w:lineRule="auto"/>
      </w:pPr>
    </w:p>
    <w:p w14:paraId="53DEA0AE" w14:textId="77777777" w:rsidR="00C82094" w:rsidRPr="00C82094" w:rsidRDefault="00C82094" w:rsidP="00020B86">
      <w:pPr>
        <w:numPr>
          <w:ilvl w:val="0"/>
          <w:numId w:val="6"/>
        </w:numPr>
        <w:spacing w:line="360" w:lineRule="auto"/>
        <w:contextualSpacing/>
        <w:rPr>
          <w:rFonts w:eastAsia="Times New Roman" w:cs="Tahoma"/>
          <w:iCs/>
          <w:szCs w:val="24"/>
          <w:lang w:eastAsia="es-ES"/>
        </w:rPr>
      </w:pPr>
      <w:r w:rsidRPr="00C82094">
        <w:rPr>
          <w:rFonts w:eastAsia="Times New Roman" w:cs="Times New Roman"/>
          <w:b/>
          <w:bCs/>
          <w:szCs w:val="24"/>
          <w:lang w:eastAsia="es-ES"/>
        </w:rPr>
        <w:t>La clasificación de la información (p. 70):</w:t>
      </w:r>
      <w:r w:rsidRPr="00C82094">
        <w:rPr>
          <w:rFonts w:eastAsia="Times New Roman" w:cs="Times New Roman"/>
          <w:szCs w:val="24"/>
          <w:lang w:eastAsia="es-ES"/>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1EC70EDA" w14:textId="77777777" w:rsidR="00C82094" w:rsidRPr="00C82094" w:rsidRDefault="00C82094" w:rsidP="00C82094">
      <w:pPr>
        <w:spacing w:after="0" w:line="360" w:lineRule="auto"/>
      </w:pPr>
    </w:p>
    <w:p w14:paraId="55917A4A" w14:textId="77777777" w:rsidR="00C82094" w:rsidRPr="00C82094" w:rsidRDefault="00C82094" w:rsidP="00C82094">
      <w:pPr>
        <w:spacing w:after="0" w:line="360" w:lineRule="auto"/>
        <w:rPr>
          <w:b/>
          <w:bCs/>
        </w:rPr>
      </w:pPr>
      <w:r w:rsidRPr="00C82094">
        <w:t xml:space="preserve">Así, es de señalar que las excepciones al derecho de acceso a la información, consisten en que </w:t>
      </w:r>
      <w:r w:rsidRPr="00C82094">
        <w:rPr>
          <w:b/>
          <w:bCs/>
        </w:rPr>
        <w:t>la documentación sea inexistente, obre en los archivos, pero se encuentre clasificada, o bien, el Sujeto Obligado sea incompetente</w:t>
      </w:r>
      <w:r w:rsidRPr="00C82094">
        <w:t xml:space="preserve"> para contar con esta; esto es, la negativa de acceso a la información, recae cuando la documentación no se encuentre en los archivos del sujeto obligado, o bien exista, pero no pueda proporcionarse por contener datos </w:t>
      </w:r>
      <w:r w:rsidRPr="00C82094">
        <w:rPr>
          <w:b/>
          <w:bCs/>
        </w:rPr>
        <w:t>confidenciales o reservados.</w:t>
      </w:r>
    </w:p>
    <w:p w14:paraId="490D5275" w14:textId="77777777" w:rsidR="00C82094" w:rsidRPr="00C82094" w:rsidRDefault="00C82094" w:rsidP="00C82094">
      <w:pPr>
        <w:spacing w:after="0" w:line="360" w:lineRule="auto"/>
      </w:pPr>
    </w:p>
    <w:p w14:paraId="1F2129B9" w14:textId="77777777" w:rsidR="00C82094" w:rsidRPr="00C82094" w:rsidRDefault="00C82094" w:rsidP="00C82094">
      <w:pPr>
        <w:spacing w:after="0" w:line="360" w:lineRule="auto"/>
      </w:pPr>
      <w:r w:rsidRPr="00C82094">
        <w:t xml:space="preserve">En ese contexto, es de referir que el Sujeto Obligado, precisó que no podía entregar la información al contener información confidencial, es decir, aludió a una clasificación; sobre el tema, en los artículos 122, 128 y 130 de la Ley Transparencia y Acceso a la Información Pública del Estado de México y Municipios, se prevé que la clasificación es el proceso </w:t>
      </w:r>
      <w:r w:rsidRPr="00C82094">
        <w:lastRenderedPageBreak/>
        <w:t xml:space="preserve">mediante el cual los sujetos obligados determinan que la información en su poder, actualiza alguno de los supuestos de </w:t>
      </w:r>
      <w:r w:rsidRPr="00C82094">
        <w:rPr>
          <w:b/>
          <w:bCs/>
        </w:rPr>
        <w:t>reserva o confidencialidad</w:t>
      </w:r>
      <w:r w:rsidRPr="00C82094">
        <w:t>. Además, que dichos entes deberán aplicar de manera restrictiva y limitada, las excepciones al derecho de acceso a la información, por lo que, tendrán que acreditar la procedencia.</w:t>
      </w:r>
    </w:p>
    <w:p w14:paraId="564A622A" w14:textId="77777777" w:rsidR="00C82094" w:rsidRPr="00C82094" w:rsidRDefault="00C82094" w:rsidP="00C82094">
      <w:pPr>
        <w:spacing w:after="0" w:line="360" w:lineRule="auto"/>
      </w:pPr>
    </w:p>
    <w:p w14:paraId="7EA4DBCA" w14:textId="77777777" w:rsidR="00C82094" w:rsidRPr="00C82094" w:rsidRDefault="00C82094" w:rsidP="00C82094">
      <w:pPr>
        <w:spacing w:after="0" w:line="360" w:lineRule="auto"/>
      </w:pPr>
      <w:r w:rsidRPr="00C82094">
        <w:t xml:space="preserve">Por lo cual, en los casos en que se niegue el acceso a la información, por actualizarse alguno de los supuestos de clasificación, </w:t>
      </w:r>
      <w:r w:rsidRPr="00C82094">
        <w:rPr>
          <w:b/>
          <w:bCs/>
        </w:rPr>
        <w:t>el Comité de Transparencia deberá confirmar, modificar o revocar la decisión;</w:t>
      </w:r>
      <w:r w:rsidRPr="00C82094">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1590E23A" w14:textId="77777777" w:rsidR="00C82094" w:rsidRPr="00C82094" w:rsidRDefault="00C82094" w:rsidP="00C82094">
      <w:pPr>
        <w:spacing w:after="0" w:line="360" w:lineRule="auto"/>
      </w:pPr>
    </w:p>
    <w:p w14:paraId="724378B3" w14:textId="77777777" w:rsidR="00C82094" w:rsidRPr="00C82094" w:rsidRDefault="00C82094" w:rsidP="00C82094">
      <w:pPr>
        <w:spacing w:after="0" w:line="360" w:lineRule="auto"/>
        <w:rPr>
          <w:b/>
          <w:bCs/>
        </w:rPr>
      </w:pPr>
      <w:r w:rsidRPr="00C82094">
        <w:t xml:space="preserve">En ese contexto, de la interpretación del artículo 134 de la Ley de Transparencia y Acceso a la Información Pública del Estado de México y Municipios, se logra observar que </w:t>
      </w:r>
      <w:r w:rsidRPr="00C82094">
        <w:rPr>
          <w:b/>
          <w:bCs/>
        </w:rPr>
        <w:t>la clasificación depende del contenido de los documentos, pues de su análisis se establece si corresponde a una clasificación total o parcial.</w:t>
      </w:r>
    </w:p>
    <w:p w14:paraId="217A5C9F" w14:textId="77777777" w:rsidR="00C82094" w:rsidRPr="00C82094" w:rsidRDefault="00C82094" w:rsidP="00C82094">
      <w:pPr>
        <w:spacing w:after="0" w:line="360" w:lineRule="auto"/>
      </w:pPr>
    </w:p>
    <w:p w14:paraId="6E400152" w14:textId="77777777" w:rsidR="00C82094" w:rsidRPr="00C82094" w:rsidRDefault="00C82094" w:rsidP="00C82094">
      <w:pPr>
        <w:spacing w:after="0" w:line="360" w:lineRule="auto"/>
      </w:pPr>
      <w:r w:rsidRPr="00C82094">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287FA485" w14:textId="77777777" w:rsidR="00C82094" w:rsidRPr="00C82094" w:rsidRDefault="00C82094" w:rsidP="00C82094">
      <w:pPr>
        <w:spacing w:after="0" w:line="360" w:lineRule="auto"/>
        <w:rPr>
          <w:b/>
          <w:bCs/>
        </w:rPr>
      </w:pPr>
    </w:p>
    <w:p w14:paraId="43D7545D" w14:textId="77777777" w:rsidR="00C82094" w:rsidRPr="00C82094" w:rsidRDefault="00C82094" w:rsidP="00C82094">
      <w:pPr>
        <w:spacing w:after="0" w:line="360" w:lineRule="auto"/>
        <w:rPr>
          <w:b/>
          <w:bCs/>
        </w:rPr>
      </w:pPr>
      <w:r w:rsidRPr="00C82094">
        <w:t xml:space="preserve">En ese contexto, según Bonifaz, Leticia (2016), en la “Ley General de Transparencia y Acceso a la Información Pública Comentada” (p. 342), la </w:t>
      </w:r>
      <w:r w:rsidRPr="00C82094">
        <w:rPr>
          <w:b/>
          <w:bCs/>
        </w:rPr>
        <w:t>clasificación de la información</w:t>
      </w:r>
      <w:r w:rsidRPr="00C82094">
        <w:t xml:space="preserve">, ocurre cuando la autoridad niega el acceso a esta, por ser confidencial o reservada, para lo cual, los sujetos obligados, deberán realizar el proceso de clasificación, a la luz de los principios y </w:t>
      </w:r>
      <w:r w:rsidRPr="00C82094">
        <w:lastRenderedPageBreak/>
        <w:t xml:space="preserve">disposiciones establecidas en las Leyes de Transparencia, fundando y motivando, </w:t>
      </w:r>
      <w:r w:rsidRPr="00C82094">
        <w:rPr>
          <w:b/>
          <w:bCs/>
        </w:rPr>
        <w:t>de manera adecuada la negativa de información.</w:t>
      </w:r>
    </w:p>
    <w:p w14:paraId="36CC49A7" w14:textId="77777777" w:rsidR="00C82094" w:rsidRPr="00C82094" w:rsidRDefault="00C82094" w:rsidP="00C82094">
      <w:pPr>
        <w:spacing w:after="0" w:line="360" w:lineRule="auto"/>
        <w:rPr>
          <w:b/>
          <w:bCs/>
        </w:rPr>
      </w:pPr>
    </w:p>
    <w:p w14:paraId="56326BA6" w14:textId="77777777" w:rsidR="00C82094" w:rsidRPr="00C82094" w:rsidRDefault="00C82094" w:rsidP="00C82094">
      <w:pPr>
        <w:spacing w:after="0" w:line="360" w:lineRule="auto"/>
        <w:rPr>
          <w:rFonts w:cs="Tahoma"/>
          <w:b/>
          <w:bCs/>
          <w:iCs/>
        </w:rPr>
      </w:pPr>
      <w:r w:rsidRPr="00C82094">
        <w:t xml:space="preserve">Además, conforme al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C82094">
        <w:rPr>
          <w:b/>
          <w:bCs/>
        </w:rPr>
        <w:t>análisis caso por caso.</w:t>
      </w:r>
    </w:p>
    <w:p w14:paraId="6758B34B" w14:textId="77777777" w:rsidR="00C82094" w:rsidRPr="00C82094" w:rsidRDefault="00C82094" w:rsidP="00C82094">
      <w:pPr>
        <w:spacing w:after="0" w:line="360" w:lineRule="auto"/>
      </w:pPr>
    </w:p>
    <w:p w14:paraId="50E324FA" w14:textId="77777777" w:rsidR="00C82094" w:rsidRPr="00C82094" w:rsidRDefault="00C82094" w:rsidP="00C82094">
      <w:pPr>
        <w:spacing w:after="0" w:line="360" w:lineRule="auto"/>
      </w:pPr>
      <w:r w:rsidRPr="00C82094">
        <w:t>Sobre lo anterior, el artículo 131 de la Ley referida, así como el Quinto de los Lineamientos Generales, establecen que los sujetos obligados deberán fundar y motivar debidamente la clasificación de la información.</w:t>
      </w:r>
    </w:p>
    <w:p w14:paraId="350E77C4" w14:textId="77777777" w:rsidR="00C82094" w:rsidRPr="00C82094" w:rsidRDefault="00C82094" w:rsidP="00C82094">
      <w:pPr>
        <w:spacing w:after="0" w:line="360" w:lineRule="auto"/>
      </w:pPr>
    </w:p>
    <w:p w14:paraId="07157818" w14:textId="77777777" w:rsidR="00C82094" w:rsidRPr="00C82094" w:rsidRDefault="00C82094" w:rsidP="00C82094">
      <w:pPr>
        <w:spacing w:after="0" w:line="360" w:lineRule="auto"/>
      </w:pPr>
      <w:r w:rsidRPr="00C82094">
        <w:t>Al respecto, el Octavo de los Lineamientos Generales, precisa lo siguiente:</w:t>
      </w:r>
    </w:p>
    <w:p w14:paraId="5DACD4AF" w14:textId="77777777" w:rsidR="00C82094" w:rsidRPr="00C82094" w:rsidRDefault="00C82094" w:rsidP="00C82094">
      <w:pPr>
        <w:spacing w:after="0" w:line="360" w:lineRule="auto"/>
      </w:pPr>
    </w:p>
    <w:p w14:paraId="4A681E9B" w14:textId="77777777" w:rsidR="00C82094" w:rsidRPr="00C82094" w:rsidRDefault="00C82094" w:rsidP="00020B86">
      <w:pPr>
        <w:numPr>
          <w:ilvl w:val="0"/>
          <w:numId w:val="7"/>
        </w:numPr>
        <w:spacing w:line="360" w:lineRule="auto"/>
        <w:contextualSpacing/>
        <w:rPr>
          <w:rFonts w:eastAsia="Times New Roman" w:cs="Times New Roman"/>
          <w:szCs w:val="24"/>
          <w:u w:val="single"/>
          <w:lang w:eastAsia="es-ES"/>
        </w:rPr>
      </w:pPr>
      <w:r w:rsidRPr="00C82094">
        <w:rPr>
          <w:rFonts w:eastAsia="Times New Roman" w:cs="Times New Roman"/>
          <w:b/>
          <w:bCs/>
          <w:szCs w:val="24"/>
          <w:lang w:eastAsia="es-ES"/>
        </w:rPr>
        <w:t>Para fundar la clasificación</w:t>
      </w:r>
      <w:r w:rsidRPr="00C82094">
        <w:rPr>
          <w:rFonts w:eastAsia="Times New Roman" w:cs="Times New Roman"/>
          <w:szCs w:val="24"/>
          <w:lang w:eastAsia="es-ES"/>
        </w:rPr>
        <w:t xml:space="preserve"> de la información se deberán </w:t>
      </w:r>
      <w:r w:rsidRPr="00C82094">
        <w:rPr>
          <w:rFonts w:eastAsia="Times New Roman" w:cs="Times New Roman"/>
          <w:szCs w:val="24"/>
          <w:u w:val="single"/>
          <w:lang w:eastAsia="es-ES"/>
        </w:rPr>
        <w:t>señalar el artículo, fracción, inciso, párrafo o numeral de la Ley aplicable.</w:t>
      </w:r>
    </w:p>
    <w:p w14:paraId="176B02C4" w14:textId="77777777" w:rsidR="00C82094" w:rsidRPr="00C82094" w:rsidRDefault="00C82094" w:rsidP="00C82094">
      <w:pPr>
        <w:spacing w:after="0" w:line="360" w:lineRule="auto"/>
        <w:ind w:left="720"/>
        <w:contextualSpacing/>
        <w:rPr>
          <w:rFonts w:eastAsia="Times New Roman" w:cs="Times New Roman"/>
          <w:szCs w:val="24"/>
          <w:u w:val="single"/>
          <w:lang w:eastAsia="es-ES"/>
        </w:rPr>
      </w:pPr>
    </w:p>
    <w:p w14:paraId="7F55E69A" w14:textId="77777777" w:rsidR="00C82094" w:rsidRPr="00C82094" w:rsidRDefault="00C82094" w:rsidP="00020B86">
      <w:pPr>
        <w:numPr>
          <w:ilvl w:val="0"/>
          <w:numId w:val="7"/>
        </w:numPr>
        <w:spacing w:line="360" w:lineRule="auto"/>
        <w:contextualSpacing/>
        <w:rPr>
          <w:rFonts w:eastAsia="Times New Roman" w:cs="Tahoma"/>
          <w:iCs/>
          <w:szCs w:val="24"/>
          <w:lang w:eastAsia="es-ES"/>
        </w:rPr>
      </w:pPr>
      <w:r w:rsidRPr="00C82094">
        <w:rPr>
          <w:rFonts w:eastAsia="Times New Roman" w:cs="Times New Roman"/>
          <w:b/>
          <w:bCs/>
          <w:szCs w:val="24"/>
          <w:lang w:eastAsia="es-ES"/>
        </w:rPr>
        <w:t>Para motivar la clasificación</w:t>
      </w:r>
      <w:r w:rsidRPr="00C82094">
        <w:rPr>
          <w:rFonts w:eastAsia="Times New Roman" w:cs="Times New Roman"/>
          <w:szCs w:val="24"/>
          <w:lang w:eastAsia="es-ES"/>
        </w:rPr>
        <w:t xml:space="preserve"> se deberán </w:t>
      </w:r>
      <w:r w:rsidRPr="00C82094">
        <w:rPr>
          <w:rFonts w:eastAsia="Times New Roman" w:cs="Times New Roman"/>
          <w:szCs w:val="24"/>
          <w:u w:val="single"/>
          <w:lang w:eastAsia="es-ES"/>
        </w:rPr>
        <w:t>indicar las razones y circunstancias</w:t>
      </w:r>
      <w:r w:rsidRPr="00C82094">
        <w:rPr>
          <w:rFonts w:eastAsia="Times New Roman" w:cs="Times New Roman"/>
          <w:szCs w:val="24"/>
          <w:lang w:eastAsia="es-ES"/>
        </w:rPr>
        <w:t xml:space="preserve"> especiales que lo llevaron a concluir que el caso particular se ajusta al supuesto previsto por la norma legal invocada.</w:t>
      </w:r>
    </w:p>
    <w:p w14:paraId="1D7C9423" w14:textId="77777777" w:rsidR="00C82094" w:rsidRPr="00C82094" w:rsidRDefault="00C82094" w:rsidP="00C82094">
      <w:pPr>
        <w:spacing w:after="0" w:line="360" w:lineRule="auto"/>
        <w:ind w:left="720"/>
        <w:contextualSpacing/>
        <w:rPr>
          <w:rFonts w:ascii="Times New Roman" w:eastAsia="Times New Roman" w:hAnsi="Times New Roman" w:cs="Tahoma"/>
          <w:iCs/>
          <w:szCs w:val="24"/>
          <w:lang w:eastAsia="es-ES"/>
        </w:rPr>
      </w:pPr>
    </w:p>
    <w:p w14:paraId="4F4BD5A9" w14:textId="77777777" w:rsidR="00C82094" w:rsidRPr="00C82094" w:rsidRDefault="00C82094" w:rsidP="00C82094">
      <w:pPr>
        <w:spacing w:after="0" w:line="360" w:lineRule="auto"/>
      </w:pPr>
      <w:r w:rsidRPr="00C82094">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w:t>
      </w:r>
      <w:r w:rsidRPr="00C82094">
        <w:lastRenderedPageBreak/>
        <w:t>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2B509128" w14:textId="77777777" w:rsidR="00C82094" w:rsidRPr="00C82094" w:rsidRDefault="00C82094" w:rsidP="00C82094">
      <w:pPr>
        <w:spacing w:after="0" w:line="360" w:lineRule="auto"/>
      </w:pPr>
    </w:p>
    <w:p w14:paraId="4CDD806D" w14:textId="77777777" w:rsidR="00C82094" w:rsidRPr="00C82094" w:rsidRDefault="00C82094" w:rsidP="00C82094">
      <w:pPr>
        <w:spacing w:after="0" w:line="360" w:lineRule="auto"/>
        <w:ind w:left="567" w:right="567"/>
        <w:rPr>
          <w:i/>
          <w:iCs/>
          <w:sz w:val="20"/>
          <w:szCs w:val="20"/>
        </w:rPr>
      </w:pPr>
      <w:r w:rsidRPr="00C82094">
        <w:rPr>
          <w:b/>
          <w:bCs/>
          <w:i/>
          <w:iCs/>
          <w:sz w:val="20"/>
          <w:szCs w:val="20"/>
        </w:rPr>
        <w:t>“FUNDAMENTACION Y MOTIVACION, CONCEPTO DE.</w:t>
      </w:r>
      <w:r w:rsidRPr="00C82094">
        <w:rPr>
          <w:i/>
          <w:iCs/>
          <w:sz w:val="20"/>
          <w:szCs w:val="20"/>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6894A7B8" w14:textId="77777777" w:rsidR="00C82094" w:rsidRPr="00C82094" w:rsidRDefault="00C82094" w:rsidP="00C82094">
      <w:pPr>
        <w:spacing w:after="0" w:line="360" w:lineRule="auto"/>
        <w:rPr>
          <w:rFonts w:cs="Tahoma"/>
          <w:iCs/>
        </w:rPr>
      </w:pPr>
    </w:p>
    <w:p w14:paraId="29F31AAE" w14:textId="77777777" w:rsidR="00C82094" w:rsidRPr="00C82094" w:rsidRDefault="00C82094" w:rsidP="00C82094">
      <w:pPr>
        <w:spacing w:after="0" w:line="360" w:lineRule="auto"/>
      </w:pPr>
      <w:r w:rsidRPr="00C82094">
        <w:t>Conforme a lo anterior, se advierte lo siguiente:</w:t>
      </w:r>
    </w:p>
    <w:p w14:paraId="6E536112" w14:textId="77777777" w:rsidR="00C82094" w:rsidRPr="00C82094" w:rsidRDefault="00C82094" w:rsidP="00C82094">
      <w:pPr>
        <w:spacing w:after="0" w:line="360" w:lineRule="auto"/>
      </w:pPr>
    </w:p>
    <w:p w14:paraId="0FBFE3E8" w14:textId="77777777" w:rsidR="00C82094" w:rsidRPr="00C82094" w:rsidRDefault="00C82094" w:rsidP="00020B86">
      <w:pPr>
        <w:numPr>
          <w:ilvl w:val="0"/>
          <w:numId w:val="8"/>
        </w:numPr>
        <w:spacing w:line="360" w:lineRule="auto"/>
        <w:contextualSpacing/>
        <w:rPr>
          <w:rFonts w:eastAsia="Times New Roman" w:cs="Times New Roman"/>
          <w:szCs w:val="24"/>
          <w:lang w:eastAsia="es-ES"/>
        </w:rPr>
      </w:pPr>
      <w:r w:rsidRPr="00C82094">
        <w:rPr>
          <w:rFonts w:eastAsia="Times New Roman" w:cs="Times New Roman"/>
          <w:b/>
          <w:bCs/>
          <w:szCs w:val="24"/>
          <w:lang w:eastAsia="es-ES"/>
        </w:rPr>
        <w:t>Fundamentación:</w:t>
      </w:r>
      <w:r w:rsidRPr="00C82094">
        <w:rPr>
          <w:rFonts w:eastAsia="Times New Roman" w:cs="Times New Roman"/>
          <w:szCs w:val="24"/>
          <w:lang w:eastAsia="es-ES"/>
        </w:rPr>
        <w:t xml:space="preserve"> Obligación de la autoridad que emite un acto, para citar los preceptos legales, sustantivos y adjetivos, en que se apoye para la determinación tomada. </w:t>
      </w:r>
    </w:p>
    <w:p w14:paraId="4F96F234" w14:textId="77777777" w:rsidR="00C82094" w:rsidRPr="00C82094" w:rsidRDefault="00C82094" w:rsidP="00C82094">
      <w:pPr>
        <w:spacing w:after="0" w:line="360" w:lineRule="auto"/>
        <w:ind w:left="720"/>
        <w:contextualSpacing/>
        <w:rPr>
          <w:rFonts w:eastAsia="Times New Roman" w:cs="Times New Roman"/>
          <w:szCs w:val="24"/>
          <w:lang w:eastAsia="es-ES"/>
        </w:rPr>
      </w:pPr>
    </w:p>
    <w:p w14:paraId="6CD69432" w14:textId="77777777" w:rsidR="00C82094" w:rsidRPr="00C82094" w:rsidRDefault="00C82094" w:rsidP="00020B86">
      <w:pPr>
        <w:numPr>
          <w:ilvl w:val="0"/>
          <w:numId w:val="8"/>
        </w:numPr>
        <w:spacing w:line="360" w:lineRule="auto"/>
        <w:contextualSpacing/>
        <w:rPr>
          <w:rFonts w:eastAsia="Times New Roman" w:cs="Times New Roman"/>
          <w:szCs w:val="24"/>
          <w:lang w:eastAsia="es-ES"/>
        </w:rPr>
      </w:pPr>
      <w:r w:rsidRPr="00C82094">
        <w:rPr>
          <w:rFonts w:eastAsia="Times New Roman" w:cs="Times New Roman"/>
          <w:b/>
          <w:bCs/>
          <w:szCs w:val="24"/>
          <w:lang w:eastAsia="es-ES"/>
        </w:rPr>
        <w:t>Motivación:</w:t>
      </w:r>
      <w:r w:rsidRPr="00C82094">
        <w:rPr>
          <w:rFonts w:eastAsia="Times New Roman" w:cs="Times New Roman"/>
          <w:szCs w:val="24"/>
          <w:lang w:eastAsia="es-ES"/>
        </w:rPr>
        <w:t xml:space="preserve"> Razonamientos lógico-jurídicos sobre porque se consideró en el caso en concreto, que se ajusta a la hipótesis normativa.</w:t>
      </w:r>
    </w:p>
    <w:p w14:paraId="7F004429" w14:textId="77777777" w:rsidR="00C82094" w:rsidRPr="00C82094" w:rsidRDefault="00C82094" w:rsidP="00C82094">
      <w:pPr>
        <w:spacing w:after="0" w:line="360" w:lineRule="auto"/>
      </w:pPr>
    </w:p>
    <w:p w14:paraId="4843DECB" w14:textId="7FDA862C" w:rsidR="00C82094" w:rsidRDefault="00C82094" w:rsidP="00C82094">
      <w:pPr>
        <w:spacing w:after="0" w:line="360" w:lineRule="auto"/>
      </w:pPr>
      <w:r>
        <w:t>En ese contexto</w:t>
      </w:r>
      <w:r w:rsidR="0027547C">
        <w:t>, de la respuesta entregada por la Tesorería Municipal, se logra vislumbrar que confundió la fundamentación y motivación de la clasificación, pues por una parte señala que se trata de información confidencial y por otra parte reservada, tal como se muestra a continuación:</w:t>
      </w:r>
    </w:p>
    <w:p w14:paraId="0A7D1A30" w14:textId="77777777" w:rsidR="0027547C" w:rsidRDefault="0027547C" w:rsidP="00C82094">
      <w:pPr>
        <w:spacing w:after="0" w:line="360" w:lineRule="auto"/>
      </w:pPr>
    </w:p>
    <w:p w14:paraId="62543032" w14:textId="1A6335BC" w:rsidR="0027547C" w:rsidRPr="00C82094" w:rsidRDefault="0027547C" w:rsidP="00C82094">
      <w:pPr>
        <w:spacing w:after="0" w:line="360" w:lineRule="auto"/>
      </w:pPr>
      <w:r w:rsidRPr="0027547C">
        <w:rPr>
          <w:noProof/>
        </w:rPr>
        <w:lastRenderedPageBreak/>
        <w:drawing>
          <wp:inline distT="0" distB="0" distL="0" distR="0" wp14:anchorId="6B1121AB" wp14:editId="2556A68F">
            <wp:extent cx="5671185" cy="1630045"/>
            <wp:effectExtent l="0" t="0" r="5715" b="8255"/>
            <wp:docPr id="1364543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4347" name=""/>
                    <pic:cNvPicPr/>
                  </pic:nvPicPr>
                  <pic:blipFill>
                    <a:blip r:embed="rId10"/>
                    <a:stretch>
                      <a:fillRect/>
                    </a:stretch>
                  </pic:blipFill>
                  <pic:spPr>
                    <a:xfrm>
                      <a:off x="0" y="0"/>
                      <a:ext cx="5671185" cy="1630045"/>
                    </a:xfrm>
                    <a:prstGeom prst="rect">
                      <a:avLst/>
                    </a:prstGeom>
                  </pic:spPr>
                </pic:pic>
              </a:graphicData>
            </a:graphic>
          </wp:inline>
        </w:drawing>
      </w:r>
    </w:p>
    <w:p w14:paraId="6EC6DBFF" w14:textId="785FD4E7" w:rsidR="00C82094" w:rsidRDefault="0027547C" w:rsidP="0027547C">
      <w:pPr>
        <w:spacing w:after="0" w:line="360" w:lineRule="auto"/>
        <w:jc w:val="center"/>
      </w:pPr>
      <w:r>
        <w:t>…</w:t>
      </w:r>
    </w:p>
    <w:p w14:paraId="7C1D4ACC" w14:textId="429C0D2B" w:rsidR="0027547C" w:rsidRDefault="0027547C" w:rsidP="0027547C">
      <w:pPr>
        <w:spacing w:after="0" w:line="360" w:lineRule="auto"/>
        <w:jc w:val="center"/>
      </w:pPr>
      <w:r w:rsidRPr="0027547C">
        <w:rPr>
          <w:noProof/>
        </w:rPr>
        <w:drawing>
          <wp:inline distT="0" distB="0" distL="0" distR="0" wp14:anchorId="77B202A9" wp14:editId="1A03AC17">
            <wp:extent cx="5671185" cy="991870"/>
            <wp:effectExtent l="0" t="0" r="5715" b="0"/>
            <wp:docPr id="17662542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54231" name=""/>
                    <pic:cNvPicPr/>
                  </pic:nvPicPr>
                  <pic:blipFill>
                    <a:blip r:embed="rId11"/>
                    <a:stretch>
                      <a:fillRect/>
                    </a:stretch>
                  </pic:blipFill>
                  <pic:spPr>
                    <a:xfrm>
                      <a:off x="0" y="0"/>
                      <a:ext cx="5671185" cy="991870"/>
                    </a:xfrm>
                    <a:prstGeom prst="rect">
                      <a:avLst/>
                    </a:prstGeom>
                  </pic:spPr>
                </pic:pic>
              </a:graphicData>
            </a:graphic>
          </wp:inline>
        </w:drawing>
      </w:r>
    </w:p>
    <w:p w14:paraId="04E9F466" w14:textId="77777777" w:rsidR="00C82094" w:rsidRDefault="00C82094" w:rsidP="00C82094">
      <w:pPr>
        <w:spacing w:after="0" w:line="360" w:lineRule="auto"/>
      </w:pPr>
    </w:p>
    <w:p w14:paraId="5DF2C610" w14:textId="6F872884" w:rsidR="00C82094" w:rsidRDefault="00C82094" w:rsidP="00C82094">
      <w:pPr>
        <w:spacing w:after="0" w:line="360" w:lineRule="auto"/>
        <w:rPr>
          <w:b/>
          <w:bCs/>
        </w:rPr>
      </w:pPr>
      <w:r w:rsidRPr="00C82094">
        <w:t xml:space="preserve">En ese contexto, es de señalar que Ayuntamiento de </w:t>
      </w:r>
      <w:r w:rsidR="0027547C">
        <w:t>Ecatepec de Morelos</w:t>
      </w:r>
      <w:r w:rsidRPr="00C82094">
        <w:t>, no precisó de manera</w:t>
      </w:r>
      <w:r w:rsidR="0027547C">
        <w:t xml:space="preserve"> clara,</w:t>
      </w:r>
      <w:r w:rsidRPr="00C82094">
        <w:t xml:space="preserve"> fundada y motivada las razones por las cuales, consideraba que los documentos solicitados eran clasificados; ni el Comité de Transparencia emitió el acuerdo que confirmará dicha circunstancia</w:t>
      </w:r>
      <w:r w:rsidR="0027547C">
        <w:t xml:space="preserve">, lo cual da como resultado que el agravio sea </w:t>
      </w:r>
      <w:r w:rsidR="0027547C">
        <w:rPr>
          <w:b/>
          <w:bCs/>
        </w:rPr>
        <w:t>FUNDADO.</w:t>
      </w:r>
    </w:p>
    <w:p w14:paraId="04326D37" w14:textId="77777777" w:rsidR="0027547C" w:rsidRPr="00C82094" w:rsidRDefault="0027547C" w:rsidP="00C82094">
      <w:pPr>
        <w:spacing w:after="0" w:line="360" w:lineRule="auto"/>
        <w:rPr>
          <w:b/>
          <w:bCs/>
        </w:rPr>
      </w:pPr>
    </w:p>
    <w:p w14:paraId="65286D49" w14:textId="2025D292" w:rsidR="00C82094" w:rsidRDefault="0027547C" w:rsidP="00C82094">
      <w:pPr>
        <w:spacing w:after="0" w:line="360" w:lineRule="auto"/>
        <w:rPr>
          <w:rFonts w:eastAsia="Times New Roman" w:cs="Tahoma"/>
          <w:bCs/>
          <w:color w:val="auto"/>
          <w:lang w:eastAsia="es-ES"/>
        </w:rPr>
      </w:pPr>
      <w:r>
        <w:rPr>
          <w:rFonts w:eastAsia="Times New Roman" w:cs="Tahoma"/>
          <w:bCs/>
          <w:color w:val="auto"/>
          <w:lang w:eastAsia="es-ES"/>
        </w:rPr>
        <w:t xml:space="preserve">No </w:t>
      </w:r>
      <w:r w:rsidR="00E70AF3">
        <w:rPr>
          <w:rFonts w:eastAsia="Times New Roman" w:cs="Tahoma"/>
          <w:bCs/>
          <w:color w:val="auto"/>
          <w:lang w:eastAsia="es-ES"/>
        </w:rPr>
        <w:t>obstante,</w:t>
      </w:r>
      <w:r>
        <w:rPr>
          <w:rFonts w:eastAsia="Times New Roman" w:cs="Tahoma"/>
          <w:bCs/>
          <w:color w:val="auto"/>
          <w:lang w:eastAsia="es-ES"/>
        </w:rPr>
        <w:t xml:space="preserve"> durante la sustanciación del Medio de Impugnación, la Tesorería Municipal proporcionó el Acta de la Trigésima Cuarta Sesión Ordinaria del Comité de Transparencia</w:t>
      </w:r>
      <w:r w:rsidR="00E70AF3">
        <w:rPr>
          <w:rFonts w:eastAsia="Times New Roman" w:cs="Tahoma"/>
          <w:bCs/>
          <w:color w:val="auto"/>
          <w:lang w:eastAsia="es-ES"/>
        </w:rPr>
        <w:t>, en donde aprobó la reserva de la información, tal como se muestra a continuación:</w:t>
      </w:r>
    </w:p>
    <w:p w14:paraId="731EC032" w14:textId="77777777" w:rsidR="00E70AF3" w:rsidRDefault="00E70AF3" w:rsidP="00C82094">
      <w:pPr>
        <w:spacing w:after="0" w:line="360" w:lineRule="auto"/>
        <w:rPr>
          <w:rFonts w:eastAsia="Times New Roman" w:cs="Tahoma"/>
          <w:bCs/>
          <w:color w:val="auto"/>
          <w:lang w:eastAsia="es-ES"/>
        </w:rPr>
      </w:pPr>
    </w:p>
    <w:p w14:paraId="527BD573" w14:textId="2B30FC23" w:rsidR="00E70AF3" w:rsidRPr="00C82094" w:rsidRDefault="00E70AF3" w:rsidP="00C82094">
      <w:pPr>
        <w:spacing w:after="0" w:line="360" w:lineRule="auto"/>
        <w:rPr>
          <w:rFonts w:eastAsia="Times New Roman" w:cs="Tahoma"/>
          <w:bCs/>
          <w:color w:val="auto"/>
          <w:lang w:eastAsia="es-ES"/>
        </w:rPr>
      </w:pPr>
      <w:r w:rsidRPr="00E70AF3">
        <w:rPr>
          <w:rFonts w:eastAsia="Times New Roman" w:cs="Tahoma"/>
          <w:bCs/>
          <w:noProof/>
          <w:color w:val="auto"/>
        </w:rPr>
        <w:drawing>
          <wp:inline distT="0" distB="0" distL="0" distR="0" wp14:anchorId="1145998B" wp14:editId="19C91D63">
            <wp:extent cx="5671185" cy="887095"/>
            <wp:effectExtent l="0" t="0" r="5715" b="8255"/>
            <wp:docPr id="15812749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274989" name=""/>
                    <pic:cNvPicPr/>
                  </pic:nvPicPr>
                  <pic:blipFill>
                    <a:blip r:embed="rId12"/>
                    <a:stretch>
                      <a:fillRect/>
                    </a:stretch>
                  </pic:blipFill>
                  <pic:spPr>
                    <a:xfrm>
                      <a:off x="0" y="0"/>
                      <a:ext cx="5671185" cy="887095"/>
                    </a:xfrm>
                    <a:prstGeom prst="rect">
                      <a:avLst/>
                    </a:prstGeom>
                  </pic:spPr>
                </pic:pic>
              </a:graphicData>
            </a:graphic>
          </wp:inline>
        </w:drawing>
      </w:r>
    </w:p>
    <w:p w14:paraId="3034DC43" w14:textId="77777777" w:rsidR="00C82094" w:rsidRDefault="00C82094" w:rsidP="001162C4">
      <w:pPr>
        <w:spacing w:after="0" w:line="360" w:lineRule="auto"/>
        <w:rPr>
          <w:rFonts w:eastAsia="Times New Roman" w:cs="Tahoma"/>
          <w:bCs/>
          <w:iCs/>
          <w:lang w:eastAsia="es-ES"/>
        </w:rPr>
      </w:pPr>
    </w:p>
    <w:p w14:paraId="2DC4AC60" w14:textId="77777777" w:rsidR="005866CD" w:rsidRPr="005866CD" w:rsidRDefault="005866CD" w:rsidP="005866CD">
      <w:pPr>
        <w:tabs>
          <w:tab w:val="left" w:pos="4962"/>
        </w:tabs>
        <w:spacing w:after="0" w:line="360" w:lineRule="auto"/>
        <w:contextualSpacing/>
        <w:rPr>
          <w:rFonts w:eastAsia="Times New Roman" w:cs="Tahoma"/>
          <w:iCs/>
          <w:color w:val="auto"/>
          <w:lang w:eastAsia="es-ES"/>
        </w:rPr>
      </w:pPr>
      <w:r w:rsidRPr="005866CD">
        <w:rPr>
          <w:rFonts w:eastAsia="Times New Roman" w:cs="Tahoma"/>
          <w:iCs/>
          <w:color w:val="auto"/>
          <w:lang w:eastAsia="es-ES"/>
        </w:rPr>
        <w:lastRenderedPageBreak/>
        <w:t>En ese orden de ideas, el Trigésimo tercero de los Lineamientos Generales, establece la forma en que se debe fundamentar y motivar la reserva de la información, es decir, a través de los siguientes pasos:</w:t>
      </w:r>
    </w:p>
    <w:p w14:paraId="6D1598DE" w14:textId="77777777" w:rsidR="005866CD" w:rsidRPr="005866CD" w:rsidRDefault="005866CD" w:rsidP="005866CD">
      <w:pPr>
        <w:tabs>
          <w:tab w:val="left" w:pos="4962"/>
        </w:tabs>
        <w:spacing w:after="0" w:line="360" w:lineRule="auto"/>
        <w:contextualSpacing/>
        <w:rPr>
          <w:rFonts w:eastAsia="Times New Roman" w:cs="Tahoma"/>
          <w:iCs/>
          <w:color w:val="auto"/>
          <w:lang w:eastAsia="es-ES"/>
        </w:rPr>
      </w:pPr>
    </w:p>
    <w:p w14:paraId="70966D1D" w14:textId="77777777" w:rsidR="005866CD" w:rsidRPr="005866CD" w:rsidRDefault="005866CD" w:rsidP="00020B86">
      <w:pPr>
        <w:numPr>
          <w:ilvl w:val="0"/>
          <w:numId w:val="9"/>
        </w:numPr>
        <w:tabs>
          <w:tab w:val="left" w:pos="4962"/>
        </w:tabs>
        <w:spacing w:after="0" w:line="360" w:lineRule="auto"/>
        <w:contextualSpacing/>
        <w:rPr>
          <w:rFonts w:eastAsia="Times New Roman" w:cs="Tahoma"/>
          <w:iCs/>
          <w:color w:val="auto"/>
          <w:lang w:eastAsia="es-ES"/>
        </w:rPr>
      </w:pPr>
      <w:r w:rsidRPr="005866CD">
        <w:rPr>
          <w:rFonts w:eastAsia="Times New Roman" w:cs="Tahoma"/>
          <w:iCs/>
          <w:color w:val="auto"/>
          <w:lang w:eastAsia="es-ES"/>
        </w:rPr>
        <w:t>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w:t>
      </w:r>
    </w:p>
    <w:p w14:paraId="55E4E419" w14:textId="77777777" w:rsidR="005866CD" w:rsidRPr="005866CD" w:rsidRDefault="005866CD" w:rsidP="005866CD">
      <w:pPr>
        <w:tabs>
          <w:tab w:val="left" w:pos="4962"/>
        </w:tabs>
        <w:spacing w:after="0" w:line="360" w:lineRule="auto"/>
        <w:contextualSpacing/>
        <w:rPr>
          <w:rFonts w:eastAsia="Times New Roman" w:cs="Tahoma"/>
          <w:iCs/>
          <w:color w:val="auto"/>
          <w:lang w:eastAsia="es-ES"/>
        </w:rPr>
      </w:pPr>
    </w:p>
    <w:p w14:paraId="490F88F2" w14:textId="77777777" w:rsidR="005866CD" w:rsidRPr="005866CD" w:rsidRDefault="005866CD" w:rsidP="00020B86">
      <w:pPr>
        <w:numPr>
          <w:ilvl w:val="0"/>
          <w:numId w:val="9"/>
        </w:numPr>
        <w:tabs>
          <w:tab w:val="left" w:pos="4962"/>
        </w:tabs>
        <w:spacing w:after="0" w:line="360" w:lineRule="auto"/>
        <w:contextualSpacing/>
        <w:rPr>
          <w:rFonts w:eastAsia="Times New Roman" w:cs="Tahoma"/>
          <w:iCs/>
          <w:color w:val="auto"/>
          <w:lang w:eastAsia="es-ES"/>
        </w:rPr>
      </w:pPr>
      <w:r w:rsidRPr="005866CD">
        <w:rPr>
          <w:rFonts w:eastAsia="Times New Roman" w:cs="Tahoma"/>
          <w:iCs/>
          <w:color w:val="auto"/>
          <w:lang w:eastAsia="es-ES"/>
        </w:rPr>
        <w:t>Se deberá demostrar que la publicidad de la información generaría un riesgo de perjuicio, que rebasa el interés público;</w:t>
      </w:r>
    </w:p>
    <w:p w14:paraId="74057B09" w14:textId="77777777" w:rsidR="005866CD" w:rsidRPr="005866CD" w:rsidRDefault="005866CD" w:rsidP="005866CD">
      <w:pPr>
        <w:tabs>
          <w:tab w:val="left" w:pos="4962"/>
        </w:tabs>
        <w:spacing w:after="0" w:line="360" w:lineRule="auto"/>
        <w:contextualSpacing/>
        <w:rPr>
          <w:rFonts w:eastAsia="Times New Roman" w:cs="Tahoma"/>
          <w:iCs/>
          <w:color w:val="auto"/>
          <w:lang w:eastAsia="es-ES"/>
        </w:rPr>
      </w:pPr>
    </w:p>
    <w:p w14:paraId="114E0148" w14:textId="77777777" w:rsidR="005866CD" w:rsidRPr="005866CD" w:rsidRDefault="005866CD" w:rsidP="00020B86">
      <w:pPr>
        <w:numPr>
          <w:ilvl w:val="0"/>
          <w:numId w:val="9"/>
        </w:numPr>
        <w:tabs>
          <w:tab w:val="left" w:pos="4962"/>
        </w:tabs>
        <w:spacing w:after="0" w:line="360" w:lineRule="auto"/>
        <w:contextualSpacing/>
        <w:rPr>
          <w:rFonts w:eastAsia="Times New Roman" w:cs="Tahoma"/>
          <w:iCs/>
          <w:color w:val="auto"/>
          <w:lang w:eastAsia="es-ES"/>
        </w:rPr>
      </w:pPr>
      <w:r w:rsidRPr="005866CD">
        <w:rPr>
          <w:rFonts w:eastAsia="Times New Roman" w:cs="Tahoma"/>
          <w:iCs/>
          <w:color w:val="auto"/>
          <w:lang w:eastAsia="es-ES"/>
        </w:rPr>
        <w:t xml:space="preserve">Se acreditará el vínculo entre la difusión de la información y la afectación del interés jurídico tutelado; </w:t>
      </w:r>
    </w:p>
    <w:p w14:paraId="7893E81E" w14:textId="77777777" w:rsidR="005866CD" w:rsidRPr="005866CD" w:rsidRDefault="005866CD" w:rsidP="005866CD">
      <w:pPr>
        <w:tabs>
          <w:tab w:val="left" w:pos="4962"/>
        </w:tabs>
        <w:spacing w:after="0" w:line="360" w:lineRule="auto"/>
        <w:contextualSpacing/>
        <w:rPr>
          <w:rFonts w:eastAsia="Times New Roman" w:cs="Tahoma"/>
          <w:iCs/>
          <w:color w:val="auto"/>
          <w:lang w:eastAsia="es-ES"/>
        </w:rPr>
      </w:pPr>
    </w:p>
    <w:p w14:paraId="5D3CB33E" w14:textId="77777777" w:rsidR="005866CD" w:rsidRPr="005866CD" w:rsidRDefault="005866CD" w:rsidP="00020B86">
      <w:pPr>
        <w:numPr>
          <w:ilvl w:val="0"/>
          <w:numId w:val="9"/>
        </w:numPr>
        <w:tabs>
          <w:tab w:val="left" w:pos="4962"/>
        </w:tabs>
        <w:spacing w:after="0" w:line="360" w:lineRule="auto"/>
        <w:contextualSpacing/>
        <w:rPr>
          <w:rFonts w:eastAsia="Times New Roman" w:cs="Tahoma"/>
          <w:iCs/>
          <w:color w:val="auto"/>
          <w:lang w:eastAsia="es-ES"/>
        </w:rPr>
      </w:pPr>
      <w:r w:rsidRPr="005866CD">
        <w:rPr>
          <w:rFonts w:eastAsia="Times New Roman" w:cs="Tahoma"/>
          <w:iCs/>
          <w:color w:val="auto"/>
          <w:lang w:eastAsia="es-ES"/>
        </w:rPr>
        <w:t>Se precisará las razones objetivas por las que la apertura de la información generaría una afectación, por medio del riesgo real, demostrable e identificable;</w:t>
      </w:r>
    </w:p>
    <w:p w14:paraId="7CB54489" w14:textId="77777777" w:rsidR="005866CD" w:rsidRPr="005866CD" w:rsidRDefault="005866CD" w:rsidP="005866CD">
      <w:pPr>
        <w:tabs>
          <w:tab w:val="left" w:pos="4962"/>
        </w:tabs>
        <w:spacing w:after="0" w:line="360" w:lineRule="auto"/>
        <w:contextualSpacing/>
        <w:rPr>
          <w:rFonts w:eastAsia="Times New Roman" w:cs="Tahoma"/>
          <w:iCs/>
          <w:color w:val="auto"/>
          <w:lang w:eastAsia="es-ES"/>
        </w:rPr>
      </w:pPr>
    </w:p>
    <w:p w14:paraId="51133501" w14:textId="77777777" w:rsidR="005866CD" w:rsidRPr="005866CD" w:rsidRDefault="005866CD" w:rsidP="00020B86">
      <w:pPr>
        <w:numPr>
          <w:ilvl w:val="0"/>
          <w:numId w:val="9"/>
        </w:numPr>
        <w:tabs>
          <w:tab w:val="left" w:pos="4962"/>
        </w:tabs>
        <w:spacing w:after="0" w:line="360" w:lineRule="auto"/>
        <w:contextualSpacing/>
        <w:rPr>
          <w:rFonts w:eastAsia="Times New Roman" w:cs="Tahoma"/>
          <w:iCs/>
          <w:color w:val="auto"/>
          <w:lang w:eastAsia="es-ES"/>
        </w:rPr>
      </w:pPr>
      <w:r w:rsidRPr="005866CD">
        <w:rPr>
          <w:rFonts w:eastAsia="Times New Roman" w:cs="Tahoma"/>
          <w:iCs/>
          <w:color w:val="auto"/>
          <w:lang w:eastAsia="es-ES"/>
        </w:rPr>
        <w:t>Se deberán señalar las circunstancias de modo, tiempo y lugar del daño, y</w:t>
      </w:r>
    </w:p>
    <w:p w14:paraId="68E53D4E" w14:textId="77777777" w:rsidR="005866CD" w:rsidRPr="005866CD" w:rsidRDefault="005866CD" w:rsidP="005866CD">
      <w:pPr>
        <w:tabs>
          <w:tab w:val="left" w:pos="4962"/>
        </w:tabs>
        <w:spacing w:after="0" w:line="360" w:lineRule="auto"/>
        <w:contextualSpacing/>
        <w:rPr>
          <w:rFonts w:eastAsia="Times New Roman" w:cs="Tahoma"/>
          <w:iCs/>
          <w:color w:val="auto"/>
          <w:lang w:eastAsia="es-ES"/>
        </w:rPr>
      </w:pPr>
    </w:p>
    <w:p w14:paraId="3D6DC04A" w14:textId="77777777" w:rsidR="005866CD" w:rsidRPr="005866CD" w:rsidRDefault="005866CD" w:rsidP="00020B86">
      <w:pPr>
        <w:numPr>
          <w:ilvl w:val="0"/>
          <w:numId w:val="9"/>
        </w:numPr>
        <w:tabs>
          <w:tab w:val="left" w:pos="4962"/>
        </w:tabs>
        <w:spacing w:after="0" w:line="360" w:lineRule="auto"/>
        <w:contextualSpacing/>
        <w:rPr>
          <w:rFonts w:eastAsia="Times New Roman" w:cs="Tahoma"/>
          <w:iCs/>
          <w:color w:val="auto"/>
          <w:lang w:eastAsia="es-ES"/>
        </w:rPr>
      </w:pPr>
      <w:r w:rsidRPr="005866CD">
        <w:rPr>
          <w:rFonts w:eastAsia="Times New Roman" w:cs="Tahoma"/>
          <w:iCs/>
          <w:color w:val="auto"/>
          <w:lang w:eastAsia="es-ES"/>
        </w:rPr>
        <w:t>Se elegirá la opción de excepción al acceso a la información que menos restrinja, la cual será adecuada y proporcional para la protección del interés público.</w:t>
      </w:r>
    </w:p>
    <w:p w14:paraId="3676A063" w14:textId="77777777" w:rsidR="005866CD" w:rsidRPr="005866CD" w:rsidRDefault="005866CD" w:rsidP="005866CD">
      <w:pPr>
        <w:tabs>
          <w:tab w:val="left" w:pos="4962"/>
        </w:tabs>
        <w:spacing w:after="0" w:line="360" w:lineRule="auto"/>
        <w:contextualSpacing/>
        <w:rPr>
          <w:rFonts w:eastAsia="Times New Roman" w:cs="Tahoma"/>
          <w:iCs/>
          <w:color w:val="auto"/>
          <w:lang w:eastAsia="es-ES"/>
        </w:rPr>
      </w:pPr>
    </w:p>
    <w:p w14:paraId="7FF3D711" w14:textId="77777777" w:rsidR="005866CD" w:rsidRPr="005866CD" w:rsidRDefault="005866CD" w:rsidP="005866CD">
      <w:pPr>
        <w:tabs>
          <w:tab w:val="left" w:pos="4962"/>
        </w:tabs>
        <w:spacing w:after="0" w:line="360" w:lineRule="auto"/>
        <w:contextualSpacing/>
        <w:rPr>
          <w:rFonts w:eastAsia="Times New Roman" w:cs="Tahoma"/>
          <w:iCs/>
          <w:color w:val="auto"/>
          <w:lang w:eastAsia="es-ES"/>
        </w:rPr>
      </w:pPr>
      <w:r w:rsidRPr="005866CD">
        <w:rPr>
          <w:rFonts w:eastAsia="Times New Roman" w:cs="Tahoma"/>
          <w:iCs/>
          <w:color w:val="auto"/>
          <w:lang w:eastAsia="es-ES"/>
        </w:rPr>
        <w:t>Ahora bien, de las constancias que obran en el expediente, se advierte que no fundamentó, ni motivó la clasificación de la información, de manera correcta, por las siguientes consideraciones:</w:t>
      </w:r>
    </w:p>
    <w:p w14:paraId="3B9ABBB5" w14:textId="6244F598" w:rsidR="005866CD" w:rsidRDefault="005866CD" w:rsidP="00020B86">
      <w:pPr>
        <w:numPr>
          <w:ilvl w:val="0"/>
          <w:numId w:val="10"/>
        </w:numPr>
        <w:tabs>
          <w:tab w:val="left" w:pos="4962"/>
        </w:tabs>
        <w:spacing w:after="0" w:line="360" w:lineRule="auto"/>
        <w:contextualSpacing/>
        <w:rPr>
          <w:rFonts w:eastAsia="Times New Roman" w:cs="Tahoma"/>
          <w:iCs/>
          <w:color w:val="auto"/>
          <w:lang w:eastAsia="es-ES"/>
        </w:rPr>
      </w:pPr>
      <w:r>
        <w:rPr>
          <w:rFonts w:eastAsia="Times New Roman" w:cs="Tahoma"/>
          <w:iCs/>
          <w:color w:val="auto"/>
          <w:lang w:eastAsia="es-ES"/>
        </w:rPr>
        <w:lastRenderedPageBreak/>
        <w:t>No fundamentó de manera adecuada la reserva, dado que trajo a colación diversas causales de reserva y confidencialidad, sin analizar de manera específica cada causal.</w:t>
      </w:r>
    </w:p>
    <w:p w14:paraId="1FC32A67" w14:textId="77777777" w:rsidR="005866CD" w:rsidRDefault="005866CD" w:rsidP="005866CD">
      <w:pPr>
        <w:tabs>
          <w:tab w:val="left" w:pos="4962"/>
        </w:tabs>
        <w:spacing w:after="0" w:line="360" w:lineRule="auto"/>
        <w:ind w:left="720"/>
        <w:contextualSpacing/>
        <w:rPr>
          <w:rFonts w:eastAsia="Times New Roman" w:cs="Tahoma"/>
          <w:iCs/>
          <w:color w:val="auto"/>
          <w:lang w:eastAsia="es-ES"/>
        </w:rPr>
      </w:pPr>
    </w:p>
    <w:p w14:paraId="260DEB16" w14:textId="533F39D6" w:rsidR="005866CD" w:rsidRPr="005866CD" w:rsidRDefault="005866CD" w:rsidP="00020B86">
      <w:pPr>
        <w:numPr>
          <w:ilvl w:val="0"/>
          <w:numId w:val="10"/>
        </w:numPr>
        <w:tabs>
          <w:tab w:val="left" w:pos="4962"/>
        </w:tabs>
        <w:spacing w:after="0" w:line="360" w:lineRule="auto"/>
        <w:contextualSpacing/>
        <w:rPr>
          <w:rFonts w:eastAsia="Times New Roman" w:cs="Tahoma"/>
          <w:iCs/>
          <w:color w:val="auto"/>
          <w:lang w:eastAsia="es-ES"/>
        </w:rPr>
      </w:pPr>
      <w:r w:rsidRPr="005866CD">
        <w:rPr>
          <w:rFonts w:eastAsia="Times New Roman" w:cs="Tahoma"/>
          <w:iCs/>
          <w:color w:val="auto"/>
          <w:lang w:eastAsia="es-ES"/>
        </w:rPr>
        <w:t>No precisó las razones objetivas, concretas y específicas por las cuales la apertura de la información generaría una afectación que rebase el interés público, pues, el Sujeto Obligado confundió la argumentación, entre diversos supuestos de clasificación distintos.</w:t>
      </w:r>
    </w:p>
    <w:p w14:paraId="7F007E29" w14:textId="77777777" w:rsidR="005866CD" w:rsidRPr="005866CD" w:rsidRDefault="005866CD" w:rsidP="005866CD">
      <w:pPr>
        <w:tabs>
          <w:tab w:val="left" w:pos="4962"/>
        </w:tabs>
        <w:spacing w:after="0" w:line="360" w:lineRule="auto"/>
        <w:contextualSpacing/>
        <w:rPr>
          <w:rFonts w:eastAsia="Times New Roman" w:cs="Tahoma"/>
          <w:iCs/>
          <w:color w:val="auto"/>
          <w:lang w:eastAsia="es-ES"/>
        </w:rPr>
      </w:pPr>
    </w:p>
    <w:p w14:paraId="50F4DC8F" w14:textId="77777777" w:rsidR="005866CD" w:rsidRPr="005866CD" w:rsidRDefault="005866CD" w:rsidP="00020B86">
      <w:pPr>
        <w:numPr>
          <w:ilvl w:val="0"/>
          <w:numId w:val="10"/>
        </w:numPr>
        <w:tabs>
          <w:tab w:val="left" w:pos="4962"/>
        </w:tabs>
        <w:spacing w:after="0" w:line="360" w:lineRule="auto"/>
        <w:contextualSpacing/>
        <w:rPr>
          <w:rFonts w:eastAsia="Times New Roman" w:cs="Tahoma"/>
          <w:iCs/>
          <w:color w:val="auto"/>
          <w:lang w:eastAsia="es-ES"/>
        </w:rPr>
      </w:pPr>
      <w:r w:rsidRPr="005866CD">
        <w:rPr>
          <w:rFonts w:eastAsia="Times New Roman" w:cs="Tahoma"/>
          <w:iCs/>
          <w:color w:val="auto"/>
          <w:lang w:eastAsia="es-ES"/>
        </w:rPr>
        <w:t>No acreditó el vínculo entre la información peticionada y la afectación que podría causar, pues únicamente precisó diversos supuestos establecidos en la Ley de la materia.</w:t>
      </w:r>
    </w:p>
    <w:p w14:paraId="5CBE48EB" w14:textId="77777777" w:rsidR="005866CD" w:rsidRPr="005866CD" w:rsidRDefault="005866CD" w:rsidP="005866CD">
      <w:pPr>
        <w:tabs>
          <w:tab w:val="left" w:pos="4962"/>
        </w:tabs>
        <w:spacing w:after="0" w:line="360" w:lineRule="auto"/>
        <w:contextualSpacing/>
        <w:rPr>
          <w:rFonts w:eastAsia="Times New Roman" w:cs="Tahoma"/>
          <w:iCs/>
          <w:color w:val="auto"/>
          <w:lang w:eastAsia="es-ES"/>
        </w:rPr>
      </w:pPr>
    </w:p>
    <w:p w14:paraId="0B003997" w14:textId="77777777" w:rsidR="005866CD" w:rsidRPr="005866CD" w:rsidRDefault="005866CD" w:rsidP="00020B86">
      <w:pPr>
        <w:numPr>
          <w:ilvl w:val="0"/>
          <w:numId w:val="10"/>
        </w:numPr>
        <w:tabs>
          <w:tab w:val="left" w:pos="4962"/>
        </w:tabs>
        <w:spacing w:after="0" w:line="360" w:lineRule="auto"/>
        <w:contextualSpacing/>
        <w:rPr>
          <w:rFonts w:eastAsia="Times New Roman" w:cs="Tahoma"/>
          <w:iCs/>
          <w:color w:val="auto"/>
          <w:lang w:eastAsia="es-ES"/>
        </w:rPr>
      </w:pPr>
      <w:r w:rsidRPr="005866CD">
        <w:rPr>
          <w:rFonts w:eastAsia="Times New Roman" w:cs="Tahoma"/>
          <w:iCs/>
          <w:color w:val="auto"/>
          <w:lang w:eastAsia="es-ES"/>
        </w:rPr>
        <w:t>Omitió señalar, las circunstancias de tiempo, modo y lugar del daño que produciría entregar la información peticionada.</w:t>
      </w:r>
    </w:p>
    <w:p w14:paraId="22ADFDA5" w14:textId="77777777" w:rsidR="005866CD" w:rsidRPr="005866CD" w:rsidRDefault="005866CD" w:rsidP="005866CD">
      <w:pPr>
        <w:tabs>
          <w:tab w:val="left" w:pos="4962"/>
        </w:tabs>
        <w:spacing w:after="0" w:line="360" w:lineRule="auto"/>
        <w:contextualSpacing/>
        <w:rPr>
          <w:rFonts w:eastAsia="Times New Roman" w:cs="Tahoma"/>
          <w:iCs/>
          <w:color w:val="auto"/>
          <w:lang w:eastAsia="es-ES"/>
        </w:rPr>
      </w:pPr>
    </w:p>
    <w:p w14:paraId="07E867BB" w14:textId="77777777" w:rsidR="005866CD" w:rsidRPr="005866CD" w:rsidRDefault="005866CD" w:rsidP="00020B86">
      <w:pPr>
        <w:numPr>
          <w:ilvl w:val="0"/>
          <w:numId w:val="10"/>
        </w:numPr>
        <w:tabs>
          <w:tab w:val="left" w:pos="4962"/>
        </w:tabs>
        <w:spacing w:after="0" w:line="360" w:lineRule="auto"/>
        <w:contextualSpacing/>
        <w:rPr>
          <w:rFonts w:eastAsia="Times New Roman" w:cs="Tahoma"/>
          <w:iCs/>
          <w:color w:val="auto"/>
          <w:lang w:eastAsia="es-ES"/>
        </w:rPr>
      </w:pPr>
      <w:r w:rsidRPr="005866CD">
        <w:rPr>
          <w:rFonts w:eastAsia="Times New Roman" w:cs="Tahoma"/>
          <w:iCs/>
          <w:color w:val="auto"/>
          <w:lang w:eastAsia="es-ES"/>
        </w:rPr>
        <w:t>No se establecieron las razones, por las cuales la reserva era el medio menos restrictivo, para la protección del interés jurídico.</w:t>
      </w:r>
    </w:p>
    <w:p w14:paraId="6A2F2368" w14:textId="77777777" w:rsidR="00E70AF3" w:rsidRDefault="00E70AF3" w:rsidP="001162C4">
      <w:pPr>
        <w:spacing w:after="0" w:line="360" w:lineRule="auto"/>
        <w:rPr>
          <w:rFonts w:eastAsia="Times New Roman" w:cs="Tahoma"/>
          <w:bCs/>
          <w:iCs/>
          <w:lang w:eastAsia="es-ES"/>
        </w:rPr>
      </w:pPr>
    </w:p>
    <w:p w14:paraId="604F7E4C" w14:textId="0395B443" w:rsidR="005866CD" w:rsidRDefault="005866CD" w:rsidP="001162C4">
      <w:pPr>
        <w:spacing w:after="0" w:line="360" w:lineRule="auto"/>
        <w:rPr>
          <w:rFonts w:cs="Tahoma"/>
          <w:iCs/>
        </w:rPr>
      </w:pPr>
      <w:r w:rsidRPr="00F646DD">
        <w:rPr>
          <w:rFonts w:cs="Tahoma"/>
          <w:iCs/>
        </w:rPr>
        <w:t xml:space="preserve">Así, se advierte que el Sujeto Obligado, no fundamentó y motivó la reserva, pues no realizó de manera correcta, la prueba de daño,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ahora </w:t>
      </w:r>
      <w:r w:rsidRPr="00F646DD">
        <w:rPr>
          <w:rFonts w:cs="Tahoma"/>
          <w:iCs/>
        </w:rPr>
        <w:lastRenderedPageBreak/>
        <w:t xml:space="preserve">bien, sin menospreciar lo anterior, este Instituto procederá al análisis de las causales de reserva </w:t>
      </w:r>
      <w:r w:rsidR="00987FC8">
        <w:rPr>
          <w:rFonts w:cs="Tahoma"/>
          <w:iCs/>
        </w:rPr>
        <w:t>citadas de manera expresa</w:t>
      </w:r>
      <w:r w:rsidRPr="00F646DD">
        <w:rPr>
          <w:rFonts w:cs="Tahoma"/>
          <w:iCs/>
        </w:rPr>
        <w:t xml:space="preserve"> por el Sujeto Obligado</w:t>
      </w:r>
      <w:r w:rsidR="00987FC8">
        <w:rPr>
          <w:rFonts w:cs="Tahoma"/>
          <w:iCs/>
        </w:rPr>
        <w:t>, a saber, las siguiente:</w:t>
      </w:r>
    </w:p>
    <w:p w14:paraId="760A93A9" w14:textId="77777777" w:rsidR="00987FC8" w:rsidRDefault="00987FC8" w:rsidP="001162C4">
      <w:pPr>
        <w:spacing w:after="0" w:line="360" w:lineRule="auto"/>
        <w:rPr>
          <w:rFonts w:cs="Tahoma"/>
          <w:iCs/>
        </w:rPr>
      </w:pPr>
    </w:p>
    <w:p w14:paraId="53A08108" w14:textId="4E54D00F" w:rsidR="00987FC8" w:rsidRDefault="00987FC8" w:rsidP="00987FC8">
      <w:pPr>
        <w:spacing w:after="0" w:line="360" w:lineRule="auto"/>
        <w:jc w:val="center"/>
        <w:rPr>
          <w:rFonts w:eastAsia="Times New Roman" w:cs="Tahoma"/>
          <w:bCs/>
          <w:iCs/>
          <w:lang w:eastAsia="es-ES"/>
        </w:rPr>
      </w:pPr>
      <w:r w:rsidRPr="00987FC8">
        <w:rPr>
          <w:rFonts w:eastAsia="Times New Roman" w:cs="Tahoma"/>
          <w:bCs/>
          <w:iCs/>
          <w:noProof/>
        </w:rPr>
        <w:drawing>
          <wp:inline distT="0" distB="0" distL="0" distR="0" wp14:anchorId="26BEA47F" wp14:editId="5409C62F">
            <wp:extent cx="4591050" cy="1363281"/>
            <wp:effectExtent l="0" t="0" r="0" b="8890"/>
            <wp:docPr id="10871406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40689" name=""/>
                    <pic:cNvPicPr/>
                  </pic:nvPicPr>
                  <pic:blipFill>
                    <a:blip r:embed="rId13"/>
                    <a:stretch>
                      <a:fillRect/>
                    </a:stretch>
                  </pic:blipFill>
                  <pic:spPr>
                    <a:xfrm>
                      <a:off x="0" y="0"/>
                      <a:ext cx="4599948" cy="1365923"/>
                    </a:xfrm>
                    <a:prstGeom prst="rect">
                      <a:avLst/>
                    </a:prstGeom>
                  </pic:spPr>
                </pic:pic>
              </a:graphicData>
            </a:graphic>
          </wp:inline>
        </w:drawing>
      </w:r>
    </w:p>
    <w:p w14:paraId="5CFDFCD0" w14:textId="77777777" w:rsidR="00C82094" w:rsidRPr="00C82094" w:rsidRDefault="00C82094" w:rsidP="001162C4">
      <w:pPr>
        <w:spacing w:after="0" w:line="360" w:lineRule="auto"/>
        <w:rPr>
          <w:rFonts w:eastAsia="Times New Roman" w:cs="Tahoma"/>
          <w:bCs/>
          <w:iCs/>
          <w:sz w:val="20"/>
          <w:szCs w:val="20"/>
          <w:lang w:eastAsia="es-ES"/>
        </w:rPr>
      </w:pPr>
    </w:p>
    <w:p w14:paraId="618C6185" w14:textId="77777777" w:rsidR="00987FC8" w:rsidRPr="00987FC8" w:rsidRDefault="00987FC8" w:rsidP="00987FC8">
      <w:pPr>
        <w:tabs>
          <w:tab w:val="left" w:pos="4962"/>
        </w:tabs>
        <w:spacing w:after="0" w:line="360" w:lineRule="auto"/>
        <w:rPr>
          <w:rFonts w:eastAsia="Times New Roman" w:cs="Tahoma"/>
          <w:iCs/>
          <w:color w:val="auto"/>
          <w:lang w:val="es-ES" w:eastAsia="es-ES_tradnl"/>
        </w:rPr>
      </w:pPr>
      <w:r w:rsidRPr="00987FC8">
        <w:rPr>
          <w:rFonts w:eastAsia="Times New Roman" w:cs="Tahoma"/>
          <w:iCs/>
          <w:color w:val="auto"/>
          <w:lang w:val="es-ES" w:eastAsia="es-ES_tradnl"/>
        </w:rPr>
        <w:t>Ahora bien, el artículo 140, fracción V, inciso I, de la Ley de Transparencia y Acceso a la Información Pública del Estado de México y Municipios, prevé lo siguiente:</w:t>
      </w:r>
    </w:p>
    <w:p w14:paraId="61862539" w14:textId="77777777" w:rsidR="00987FC8" w:rsidRPr="00987FC8" w:rsidRDefault="00987FC8" w:rsidP="00987FC8">
      <w:pPr>
        <w:spacing w:after="0" w:line="360" w:lineRule="auto"/>
        <w:ind w:right="-93"/>
        <w:rPr>
          <w:rFonts w:eastAsia="Times New Roman" w:cs="Tahoma"/>
          <w:bCs/>
          <w:color w:val="auto"/>
          <w:lang w:eastAsia="en-US"/>
        </w:rPr>
      </w:pPr>
    </w:p>
    <w:p w14:paraId="724EE9D9" w14:textId="77777777" w:rsidR="00987FC8" w:rsidRPr="00987FC8" w:rsidRDefault="00987FC8" w:rsidP="00987FC8">
      <w:pPr>
        <w:tabs>
          <w:tab w:val="left" w:pos="4962"/>
        </w:tabs>
        <w:spacing w:after="0" w:line="360" w:lineRule="auto"/>
        <w:ind w:left="567" w:right="567"/>
        <w:rPr>
          <w:rFonts w:eastAsia="Times New Roman" w:cs="Tahoma"/>
          <w:i/>
          <w:iCs/>
          <w:color w:val="auto"/>
          <w:sz w:val="20"/>
          <w:szCs w:val="20"/>
          <w:lang w:val="es-ES" w:eastAsia="es-ES_tradnl"/>
        </w:rPr>
      </w:pPr>
      <w:bookmarkStart w:id="13" w:name="_Hlk202377824"/>
      <w:r w:rsidRPr="00987FC8">
        <w:rPr>
          <w:rFonts w:eastAsia="Times New Roman" w:cs="Tahoma"/>
          <w:i/>
          <w:iCs/>
          <w:color w:val="auto"/>
          <w:sz w:val="20"/>
          <w:szCs w:val="20"/>
          <w:lang w:val="es-ES" w:eastAsia="es-ES_tradnl"/>
        </w:rPr>
        <w:t>“</w:t>
      </w:r>
      <w:r w:rsidRPr="00987FC8">
        <w:rPr>
          <w:rFonts w:eastAsia="Times New Roman" w:cs="Tahoma"/>
          <w:b/>
          <w:i/>
          <w:iCs/>
          <w:color w:val="auto"/>
          <w:sz w:val="20"/>
          <w:szCs w:val="20"/>
          <w:lang w:val="es-ES" w:eastAsia="es-ES_tradnl"/>
        </w:rPr>
        <w:t>Artículo 140.</w:t>
      </w:r>
      <w:r w:rsidRPr="00987FC8">
        <w:rPr>
          <w:rFonts w:eastAsia="Times New Roman"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586E2A7C" w14:textId="77777777" w:rsidR="00987FC8" w:rsidRPr="00987FC8" w:rsidRDefault="00987FC8" w:rsidP="00987FC8">
      <w:pPr>
        <w:tabs>
          <w:tab w:val="left" w:pos="4962"/>
        </w:tabs>
        <w:spacing w:after="0" w:line="360" w:lineRule="auto"/>
        <w:ind w:left="567" w:right="567"/>
        <w:rPr>
          <w:rFonts w:eastAsia="Times New Roman" w:cs="Tahoma"/>
          <w:i/>
          <w:iCs/>
          <w:color w:val="auto"/>
          <w:sz w:val="20"/>
          <w:szCs w:val="20"/>
          <w:lang w:val="es-ES" w:eastAsia="es-ES_tradnl"/>
        </w:rPr>
      </w:pPr>
      <w:r w:rsidRPr="00987FC8">
        <w:rPr>
          <w:rFonts w:eastAsia="Times New Roman" w:cs="Tahoma"/>
          <w:i/>
          <w:iCs/>
          <w:color w:val="auto"/>
          <w:sz w:val="20"/>
          <w:szCs w:val="20"/>
          <w:lang w:val="es-ES" w:eastAsia="es-ES_tradnl"/>
        </w:rPr>
        <w:t>…</w:t>
      </w:r>
    </w:p>
    <w:p w14:paraId="1560AC3E" w14:textId="77777777" w:rsidR="00987FC8" w:rsidRPr="00987FC8" w:rsidRDefault="00987FC8" w:rsidP="00987FC8">
      <w:pPr>
        <w:tabs>
          <w:tab w:val="left" w:pos="4962"/>
        </w:tabs>
        <w:spacing w:after="0" w:line="360" w:lineRule="auto"/>
        <w:ind w:left="567" w:right="567"/>
        <w:rPr>
          <w:rFonts w:eastAsia="Times New Roman" w:cs="Tahoma"/>
          <w:i/>
          <w:iCs/>
          <w:color w:val="auto"/>
          <w:sz w:val="20"/>
          <w:szCs w:val="20"/>
          <w:lang w:eastAsia="es-ES_tradnl"/>
        </w:rPr>
      </w:pPr>
      <w:r w:rsidRPr="00987FC8">
        <w:rPr>
          <w:rFonts w:eastAsia="Times New Roman" w:cs="Tahoma"/>
          <w:i/>
          <w:iCs/>
          <w:color w:val="auto"/>
          <w:sz w:val="20"/>
          <w:szCs w:val="20"/>
          <w:lang w:eastAsia="es-ES_tradnl"/>
        </w:rPr>
        <w:t>V. Aquella cuya divulgación obstruya o pueda causar un serio perjuicio a:</w:t>
      </w:r>
    </w:p>
    <w:p w14:paraId="38BC8E28" w14:textId="77777777" w:rsidR="00987FC8" w:rsidRPr="00987FC8" w:rsidRDefault="00987FC8" w:rsidP="00987FC8">
      <w:pPr>
        <w:tabs>
          <w:tab w:val="left" w:pos="4962"/>
        </w:tabs>
        <w:spacing w:after="0" w:line="360" w:lineRule="auto"/>
        <w:ind w:left="567" w:right="567"/>
        <w:rPr>
          <w:rFonts w:eastAsia="Times New Roman" w:cs="Tahoma"/>
          <w:i/>
          <w:iCs/>
          <w:color w:val="auto"/>
          <w:sz w:val="20"/>
          <w:szCs w:val="20"/>
          <w:lang w:eastAsia="es-ES_tradnl"/>
        </w:rPr>
      </w:pPr>
    </w:p>
    <w:p w14:paraId="34A660E2" w14:textId="77777777" w:rsidR="00987FC8" w:rsidRPr="00987FC8" w:rsidRDefault="00987FC8" w:rsidP="00987FC8">
      <w:pPr>
        <w:tabs>
          <w:tab w:val="left" w:pos="4962"/>
        </w:tabs>
        <w:spacing w:after="0" w:line="360" w:lineRule="auto"/>
        <w:ind w:left="567" w:right="567"/>
        <w:rPr>
          <w:rFonts w:eastAsia="Times New Roman" w:cs="Tahoma"/>
          <w:i/>
          <w:iCs/>
          <w:color w:val="auto"/>
          <w:sz w:val="20"/>
          <w:szCs w:val="20"/>
          <w:lang w:eastAsia="es-ES_tradnl"/>
        </w:rPr>
      </w:pPr>
      <w:r w:rsidRPr="00987FC8">
        <w:rPr>
          <w:rFonts w:eastAsia="Times New Roman" w:cs="Tahoma"/>
          <w:i/>
          <w:iCs/>
          <w:color w:val="auto"/>
          <w:sz w:val="20"/>
          <w:szCs w:val="20"/>
          <w:lang w:eastAsia="es-ES_tradnl"/>
        </w:rPr>
        <w:t>1. Las actividades de fiscalización, verificación, inspección, comprobación y auditoría sobre el cumplimiento de las Leyes; o</w:t>
      </w:r>
    </w:p>
    <w:p w14:paraId="6DDF9B76" w14:textId="77777777" w:rsidR="00987FC8" w:rsidRPr="00987FC8" w:rsidRDefault="00987FC8" w:rsidP="00987FC8">
      <w:pPr>
        <w:tabs>
          <w:tab w:val="left" w:pos="4962"/>
        </w:tabs>
        <w:spacing w:after="0" w:line="360" w:lineRule="auto"/>
        <w:ind w:left="567" w:right="567"/>
        <w:rPr>
          <w:rFonts w:eastAsia="Times New Roman" w:cs="Tahoma"/>
          <w:i/>
          <w:iCs/>
          <w:color w:val="auto"/>
          <w:sz w:val="20"/>
          <w:szCs w:val="20"/>
          <w:lang w:val="es-ES" w:eastAsia="es-ES_tradnl"/>
        </w:rPr>
      </w:pPr>
      <w:r w:rsidRPr="00987FC8">
        <w:rPr>
          <w:rFonts w:eastAsia="Times New Roman" w:cs="Tahoma"/>
          <w:i/>
          <w:iCs/>
          <w:color w:val="auto"/>
          <w:sz w:val="20"/>
          <w:szCs w:val="20"/>
          <w:lang w:val="es-ES" w:eastAsia="es-ES_tradnl"/>
        </w:rPr>
        <w:t>…”</w:t>
      </w:r>
    </w:p>
    <w:bookmarkEnd w:id="13"/>
    <w:p w14:paraId="365BE425" w14:textId="77777777" w:rsidR="00987FC8" w:rsidRPr="00987FC8" w:rsidRDefault="00987FC8" w:rsidP="00987FC8">
      <w:pPr>
        <w:spacing w:after="0" w:line="360" w:lineRule="auto"/>
        <w:ind w:left="927" w:right="567"/>
        <w:rPr>
          <w:rFonts w:eastAsia="Times New Roman" w:cs="Arial"/>
          <w:bCs/>
          <w:i/>
          <w:iCs/>
          <w:color w:val="auto"/>
          <w:sz w:val="20"/>
          <w:szCs w:val="20"/>
          <w:lang w:eastAsia="es-ES"/>
        </w:rPr>
      </w:pPr>
    </w:p>
    <w:p w14:paraId="7E4C3707" w14:textId="77777777" w:rsidR="00987FC8" w:rsidRPr="00987FC8" w:rsidRDefault="00987FC8" w:rsidP="00987FC8">
      <w:pPr>
        <w:tabs>
          <w:tab w:val="left" w:pos="4962"/>
        </w:tabs>
        <w:spacing w:after="0" w:line="360" w:lineRule="auto"/>
        <w:contextualSpacing/>
        <w:rPr>
          <w:rFonts w:eastAsia="Times New Roman" w:cs="Tahoma"/>
          <w:iCs/>
          <w:color w:val="auto"/>
          <w:lang w:eastAsia="es-ES"/>
        </w:rPr>
      </w:pPr>
      <w:r w:rsidRPr="00987FC8">
        <w:rPr>
          <w:rFonts w:eastAsia="Times New Roman" w:cs="Tahoma"/>
          <w:iCs/>
          <w:color w:val="auto"/>
          <w:lang w:eastAsia="es-ES"/>
        </w:rPr>
        <w:t>De dicho precepto normativo se desprende que podrá clasificarse como información reservada aquella cuya publicación obstruya o cause perjuicio en las actividades de fiscalización, verificación, inspección, comprobación y auditoría sobre el cumplimiento de leyes.</w:t>
      </w:r>
    </w:p>
    <w:p w14:paraId="4CE814B5" w14:textId="77777777" w:rsidR="00987FC8" w:rsidRPr="00987FC8" w:rsidRDefault="00987FC8" w:rsidP="00987FC8">
      <w:pPr>
        <w:tabs>
          <w:tab w:val="left" w:pos="4962"/>
        </w:tabs>
        <w:spacing w:after="0" w:line="360" w:lineRule="auto"/>
        <w:contextualSpacing/>
        <w:rPr>
          <w:rFonts w:eastAsia="Times New Roman" w:cs="Tahoma"/>
          <w:iCs/>
          <w:color w:val="ED0000"/>
          <w:lang w:eastAsia="es-ES"/>
        </w:rPr>
      </w:pPr>
    </w:p>
    <w:p w14:paraId="7E6F45AF" w14:textId="77777777" w:rsidR="00987FC8" w:rsidRPr="00987FC8" w:rsidRDefault="00987FC8" w:rsidP="00987FC8">
      <w:pPr>
        <w:spacing w:after="0" w:line="360" w:lineRule="auto"/>
        <w:ind w:left="567" w:right="567"/>
        <w:rPr>
          <w:rFonts w:eastAsia="Times New Roman" w:cs="Tahoma"/>
          <w:bCs/>
          <w:i/>
          <w:color w:val="auto"/>
          <w:sz w:val="20"/>
          <w:szCs w:val="20"/>
          <w:lang w:val="es-ES" w:eastAsia="en-US"/>
        </w:rPr>
      </w:pPr>
      <w:r w:rsidRPr="00987FC8">
        <w:rPr>
          <w:rFonts w:eastAsia="Times New Roman" w:cs="Tahoma"/>
          <w:b/>
          <w:bCs/>
          <w:i/>
          <w:color w:val="auto"/>
          <w:sz w:val="20"/>
          <w:szCs w:val="20"/>
          <w:lang w:val="es-ES" w:eastAsia="en-US"/>
        </w:rPr>
        <w:lastRenderedPageBreak/>
        <w:t>“Vigésimo cuarto. </w:t>
      </w:r>
      <w:r w:rsidRPr="00987FC8">
        <w:rPr>
          <w:rFonts w:eastAsia="Times New Roman" w:cs="Tahoma"/>
          <w:bCs/>
          <w:i/>
          <w:color w:val="auto"/>
          <w:sz w:val="20"/>
          <w:szCs w:val="20"/>
          <w:lang w:val="es-ES" w:eastAsia="en-US"/>
        </w:rPr>
        <w:t xml:space="preserve">De conformidad con el artículo 113, fracción VI de la Ley General, podrá considerarse como </w:t>
      </w:r>
      <w:r w:rsidRPr="00987FC8">
        <w:rPr>
          <w:rFonts w:eastAsia="Times New Roman" w:cs="Tahoma"/>
          <w:b/>
          <w:bCs/>
          <w:i/>
          <w:color w:val="auto"/>
          <w:sz w:val="20"/>
          <w:szCs w:val="20"/>
          <w:lang w:val="es-ES" w:eastAsia="en-US"/>
        </w:rPr>
        <w:t>reservada, aquella información que obstruya las actividades de verificación, inspección y auditoría relativas al cumplimiento de las leyes</w:t>
      </w:r>
      <w:r w:rsidRPr="00987FC8">
        <w:rPr>
          <w:rFonts w:eastAsia="Times New Roman" w:cs="Tahoma"/>
          <w:bCs/>
          <w:i/>
          <w:color w:val="auto"/>
          <w:sz w:val="20"/>
          <w:szCs w:val="20"/>
          <w:lang w:val="es-ES" w:eastAsia="en-US"/>
        </w:rPr>
        <w:t>, cuando se actualicen los siguientes elementos:</w:t>
      </w:r>
    </w:p>
    <w:p w14:paraId="0DD133ED" w14:textId="77777777" w:rsidR="00987FC8" w:rsidRPr="00987FC8" w:rsidRDefault="00987FC8" w:rsidP="00987FC8">
      <w:pPr>
        <w:spacing w:after="0" w:line="360" w:lineRule="auto"/>
        <w:ind w:left="567" w:right="567"/>
        <w:rPr>
          <w:rFonts w:eastAsia="Times New Roman" w:cs="Tahoma"/>
          <w:bCs/>
          <w:i/>
          <w:color w:val="auto"/>
          <w:sz w:val="20"/>
          <w:szCs w:val="20"/>
          <w:lang w:val="es-ES" w:eastAsia="en-US"/>
        </w:rPr>
      </w:pPr>
    </w:p>
    <w:p w14:paraId="2DC1CD8F" w14:textId="77777777" w:rsidR="00987FC8" w:rsidRPr="00987FC8" w:rsidRDefault="00987FC8" w:rsidP="00987FC8">
      <w:pPr>
        <w:spacing w:after="0" w:line="360" w:lineRule="auto"/>
        <w:ind w:left="567" w:right="567"/>
        <w:rPr>
          <w:rFonts w:eastAsia="Times New Roman" w:cs="Tahoma"/>
          <w:bCs/>
          <w:i/>
          <w:color w:val="auto"/>
          <w:sz w:val="20"/>
          <w:szCs w:val="20"/>
          <w:lang w:val="es-ES" w:eastAsia="en-US"/>
        </w:rPr>
      </w:pPr>
      <w:r w:rsidRPr="00987FC8">
        <w:rPr>
          <w:rFonts w:eastAsia="Times New Roman" w:cs="Tahoma"/>
          <w:b/>
          <w:bCs/>
          <w:i/>
          <w:color w:val="auto"/>
          <w:sz w:val="20"/>
          <w:szCs w:val="20"/>
          <w:lang w:val="es-ES" w:eastAsia="en-US"/>
        </w:rPr>
        <w:t>I.</w:t>
      </w:r>
      <w:r w:rsidRPr="00987FC8">
        <w:rPr>
          <w:rFonts w:eastAsia="Times New Roman" w:cs="Tahoma"/>
          <w:bCs/>
          <w:i/>
          <w:color w:val="auto"/>
          <w:sz w:val="20"/>
          <w:szCs w:val="20"/>
          <w:lang w:val="es-ES" w:eastAsia="en-US"/>
        </w:rPr>
        <w:t> La existencia de un procedimiento de verificación del cumplimiento de las leyes;</w:t>
      </w:r>
    </w:p>
    <w:p w14:paraId="7EF7C535" w14:textId="77777777" w:rsidR="00987FC8" w:rsidRPr="00987FC8" w:rsidRDefault="00987FC8" w:rsidP="00987FC8">
      <w:pPr>
        <w:spacing w:after="0" w:line="360" w:lineRule="auto"/>
        <w:ind w:left="567" w:right="567"/>
        <w:rPr>
          <w:rFonts w:eastAsia="Times New Roman" w:cs="Tahoma"/>
          <w:bCs/>
          <w:i/>
          <w:color w:val="auto"/>
          <w:sz w:val="20"/>
          <w:szCs w:val="20"/>
          <w:lang w:val="es-ES" w:eastAsia="en-US"/>
        </w:rPr>
      </w:pPr>
      <w:r w:rsidRPr="00987FC8">
        <w:rPr>
          <w:rFonts w:eastAsia="Times New Roman" w:cs="Tahoma"/>
          <w:b/>
          <w:bCs/>
          <w:i/>
          <w:color w:val="auto"/>
          <w:sz w:val="20"/>
          <w:szCs w:val="20"/>
          <w:lang w:val="es-ES" w:eastAsia="en-US"/>
        </w:rPr>
        <w:t>II</w:t>
      </w:r>
      <w:r w:rsidRPr="00987FC8">
        <w:rPr>
          <w:rFonts w:eastAsia="Times New Roman" w:cs="Tahoma"/>
          <w:bCs/>
          <w:i/>
          <w:color w:val="auto"/>
          <w:sz w:val="20"/>
          <w:szCs w:val="20"/>
          <w:lang w:val="es-ES" w:eastAsia="en-US"/>
        </w:rPr>
        <w:t>. Que el procedimiento se encuentre en trámite;</w:t>
      </w:r>
    </w:p>
    <w:p w14:paraId="02556F6E" w14:textId="77777777" w:rsidR="00987FC8" w:rsidRPr="00987FC8" w:rsidRDefault="00987FC8" w:rsidP="00987FC8">
      <w:pPr>
        <w:spacing w:after="0" w:line="360" w:lineRule="auto"/>
        <w:ind w:left="567" w:right="567"/>
        <w:rPr>
          <w:rFonts w:eastAsia="Times New Roman" w:cs="Tahoma"/>
          <w:bCs/>
          <w:i/>
          <w:color w:val="auto"/>
          <w:sz w:val="20"/>
          <w:szCs w:val="20"/>
          <w:lang w:val="es-ES" w:eastAsia="en-US"/>
        </w:rPr>
      </w:pPr>
      <w:r w:rsidRPr="00987FC8">
        <w:rPr>
          <w:rFonts w:eastAsia="Times New Roman" w:cs="Tahoma"/>
          <w:b/>
          <w:bCs/>
          <w:i/>
          <w:color w:val="auto"/>
          <w:sz w:val="20"/>
          <w:szCs w:val="20"/>
          <w:lang w:val="es-ES" w:eastAsia="en-US"/>
        </w:rPr>
        <w:t>III.</w:t>
      </w:r>
      <w:r w:rsidRPr="00987FC8">
        <w:rPr>
          <w:rFonts w:eastAsia="Times New Roman" w:cs="Tahoma"/>
          <w:bCs/>
          <w:i/>
          <w:color w:val="auto"/>
          <w:sz w:val="20"/>
          <w:szCs w:val="20"/>
          <w:lang w:val="es-ES" w:eastAsia="en-US"/>
        </w:rPr>
        <w:t> La vinculación directa con las actividades que realiza la autoridad en el procedimiento de verificación del cumplimiento de las leyes, y</w:t>
      </w:r>
    </w:p>
    <w:p w14:paraId="22A0751A" w14:textId="77777777" w:rsidR="00987FC8" w:rsidRPr="00987FC8" w:rsidRDefault="00987FC8" w:rsidP="00987FC8">
      <w:pPr>
        <w:spacing w:after="0" w:line="360" w:lineRule="auto"/>
        <w:ind w:left="567" w:right="567"/>
        <w:rPr>
          <w:rFonts w:eastAsia="Times New Roman" w:cs="Tahoma"/>
          <w:bCs/>
          <w:i/>
          <w:color w:val="auto"/>
          <w:sz w:val="20"/>
          <w:szCs w:val="20"/>
          <w:lang w:val="es-ES" w:eastAsia="en-US"/>
        </w:rPr>
      </w:pPr>
      <w:r w:rsidRPr="00987FC8">
        <w:rPr>
          <w:rFonts w:eastAsia="Times New Roman" w:cs="Tahoma"/>
          <w:b/>
          <w:bCs/>
          <w:i/>
          <w:color w:val="auto"/>
          <w:sz w:val="20"/>
          <w:szCs w:val="20"/>
          <w:lang w:val="es-ES" w:eastAsia="en-US"/>
        </w:rPr>
        <w:t>IV.</w:t>
      </w:r>
      <w:r w:rsidRPr="00987FC8">
        <w:rPr>
          <w:rFonts w:eastAsia="Times New Roman" w:cs="Tahoma"/>
          <w:bCs/>
          <w:i/>
          <w:color w:val="auto"/>
          <w:sz w:val="20"/>
          <w:szCs w:val="20"/>
          <w:lang w:val="es-ES" w:eastAsia="en-US"/>
        </w:rPr>
        <w:t> Que la difusión de la información impida u obstaculice las actividades de inspección, supervisión o vigilancia que realicen las autoridades en el procedimiento de verificación del cumplimiento de las leyes.”</w:t>
      </w:r>
    </w:p>
    <w:p w14:paraId="00B92B63" w14:textId="77777777" w:rsidR="00987FC8" w:rsidRPr="00987FC8" w:rsidRDefault="00987FC8" w:rsidP="00987FC8">
      <w:pPr>
        <w:spacing w:after="0" w:line="360" w:lineRule="auto"/>
        <w:ind w:right="-93"/>
        <w:rPr>
          <w:rFonts w:eastAsia="Times New Roman" w:cs="Tahoma"/>
          <w:b/>
          <w:bCs/>
          <w:color w:val="auto"/>
          <w:lang w:val="es-ES" w:eastAsia="en-US"/>
        </w:rPr>
      </w:pPr>
    </w:p>
    <w:p w14:paraId="5AC21D46" w14:textId="77777777" w:rsidR="00987FC8" w:rsidRPr="00987FC8" w:rsidRDefault="00987FC8" w:rsidP="00987FC8">
      <w:pPr>
        <w:spacing w:after="0" w:line="360" w:lineRule="auto"/>
        <w:ind w:right="-93"/>
        <w:rPr>
          <w:rFonts w:eastAsia="Times New Roman" w:cs="Tahoma"/>
          <w:bCs/>
          <w:color w:val="auto"/>
          <w:lang w:val="es-ES" w:eastAsia="en-US"/>
        </w:rPr>
      </w:pPr>
      <w:r w:rsidRPr="00987FC8">
        <w:rPr>
          <w:rFonts w:eastAsia="Times New Roman" w:cs="Tahoma"/>
          <w:bCs/>
          <w:color w:val="auto"/>
          <w:lang w:val="es-ES" w:eastAsia="en-US"/>
        </w:rPr>
        <w:t xml:space="preserve">Del lineamiento en cita, se colige que se trata de información reservada aquella que </w:t>
      </w:r>
      <w:r w:rsidRPr="00987FC8">
        <w:rPr>
          <w:rFonts w:eastAsia="Times New Roman" w:cs="Tahoma"/>
          <w:b/>
          <w:bCs/>
          <w:color w:val="auto"/>
          <w:lang w:val="es-ES" w:eastAsia="en-US"/>
        </w:rPr>
        <w:t xml:space="preserve">obstruya las actividades de </w:t>
      </w:r>
      <w:r w:rsidRPr="00987FC8">
        <w:rPr>
          <w:rFonts w:eastAsia="Times New Roman" w:cs="Tahoma"/>
          <w:bCs/>
          <w:color w:val="auto"/>
          <w:lang w:val="es-ES" w:eastAsia="en-US"/>
        </w:rPr>
        <w:t xml:space="preserve">verificación, inspección y </w:t>
      </w:r>
      <w:r w:rsidRPr="00987FC8">
        <w:rPr>
          <w:rFonts w:eastAsia="Times New Roman" w:cs="Tahoma"/>
          <w:b/>
          <w:bCs/>
          <w:color w:val="auto"/>
          <w:lang w:val="es-ES" w:eastAsia="en-US"/>
        </w:rPr>
        <w:t xml:space="preserve">auditoría relativas al cumplimiento de las leyes, </w:t>
      </w:r>
      <w:r w:rsidRPr="00987FC8">
        <w:rPr>
          <w:rFonts w:eastAsia="Times New Roman" w:cs="Tahoma"/>
          <w:bCs/>
          <w:color w:val="auto"/>
          <w:lang w:val="es-ES" w:eastAsia="en-US"/>
        </w:rPr>
        <w:t xml:space="preserve">cuando se actualicen los siguientes elementos: </w:t>
      </w:r>
    </w:p>
    <w:p w14:paraId="63E9FBFE" w14:textId="77777777" w:rsidR="00987FC8" w:rsidRPr="00987FC8" w:rsidRDefault="00987FC8" w:rsidP="00987FC8">
      <w:pPr>
        <w:spacing w:after="0" w:line="360" w:lineRule="auto"/>
        <w:ind w:right="-93"/>
        <w:rPr>
          <w:rFonts w:eastAsia="Times New Roman" w:cs="Tahoma"/>
          <w:bCs/>
          <w:color w:val="auto"/>
          <w:lang w:val="es-ES" w:eastAsia="en-US"/>
        </w:rPr>
      </w:pPr>
    </w:p>
    <w:p w14:paraId="2275245B" w14:textId="77777777" w:rsidR="00987FC8" w:rsidRPr="00987FC8" w:rsidRDefault="00987FC8" w:rsidP="00020B86">
      <w:pPr>
        <w:numPr>
          <w:ilvl w:val="0"/>
          <w:numId w:val="13"/>
        </w:numPr>
        <w:spacing w:after="0" w:line="360" w:lineRule="auto"/>
        <w:ind w:right="-93"/>
        <w:jc w:val="left"/>
        <w:rPr>
          <w:rFonts w:eastAsia="Times New Roman" w:cs="Tahoma"/>
          <w:bCs/>
          <w:color w:val="auto"/>
          <w:lang w:val="es-ES" w:eastAsia="en-US"/>
        </w:rPr>
      </w:pPr>
      <w:r w:rsidRPr="00987FC8">
        <w:rPr>
          <w:rFonts w:eastAsia="Times New Roman" w:cs="Tahoma"/>
          <w:bCs/>
          <w:color w:val="auto"/>
          <w:lang w:val="es-ES" w:eastAsia="en-US"/>
        </w:rPr>
        <w:t xml:space="preserve">La existencia de un procedimiento de verificación del cumplimiento de las leyes. </w:t>
      </w:r>
    </w:p>
    <w:p w14:paraId="03006BD0" w14:textId="77777777" w:rsidR="00987FC8" w:rsidRPr="00987FC8" w:rsidRDefault="00987FC8" w:rsidP="00020B86">
      <w:pPr>
        <w:numPr>
          <w:ilvl w:val="0"/>
          <w:numId w:val="13"/>
        </w:numPr>
        <w:spacing w:after="0" w:line="360" w:lineRule="auto"/>
        <w:ind w:right="-93"/>
        <w:jc w:val="left"/>
        <w:rPr>
          <w:rFonts w:eastAsia="Times New Roman" w:cs="Tahoma"/>
          <w:bCs/>
          <w:color w:val="auto"/>
          <w:lang w:val="es-ES" w:eastAsia="en-US"/>
        </w:rPr>
      </w:pPr>
      <w:r w:rsidRPr="00987FC8">
        <w:rPr>
          <w:rFonts w:eastAsia="Times New Roman" w:cs="Tahoma"/>
          <w:bCs/>
          <w:color w:val="auto"/>
          <w:lang w:val="es-ES" w:eastAsia="en-US"/>
        </w:rPr>
        <w:t xml:space="preserve">Que ese procedimiento se encuentre en trámite. </w:t>
      </w:r>
    </w:p>
    <w:p w14:paraId="4234B93E" w14:textId="77777777" w:rsidR="00987FC8" w:rsidRPr="00987FC8" w:rsidRDefault="00987FC8" w:rsidP="00020B86">
      <w:pPr>
        <w:numPr>
          <w:ilvl w:val="0"/>
          <w:numId w:val="13"/>
        </w:numPr>
        <w:spacing w:after="0" w:line="360" w:lineRule="auto"/>
        <w:ind w:right="-93"/>
        <w:jc w:val="left"/>
        <w:rPr>
          <w:rFonts w:eastAsia="Times New Roman" w:cs="Tahoma"/>
          <w:bCs/>
          <w:color w:val="auto"/>
          <w:lang w:val="es-ES" w:eastAsia="en-US"/>
        </w:rPr>
      </w:pPr>
      <w:r w:rsidRPr="00987FC8">
        <w:rPr>
          <w:rFonts w:eastAsia="Times New Roman" w:cs="Tahoma"/>
          <w:bCs/>
          <w:color w:val="auto"/>
          <w:lang w:val="es-ES" w:eastAsia="en-US"/>
        </w:rPr>
        <w:t xml:space="preserve">La vinculación directa con las actividades que realiza la autoridad en el procedimiento de verificación del cumplimiento de las leyes. </w:t>
      </w:r>
    </w:p>
    <w:p w14:paraId="7BB35F95" w14:textId="77777777" w:rsidR="00987FC8" w:rsidRPr="00987FC8" w:rsidRDefault="00987FC8" w:rsidP="00020B86">
      <w:pPr>
        <w:numPr>
          <w:ilvl w:val="0"/>
          <w:numId w:val="13"/>
        </w:numPr>
        <w:spacing w:after="0" w:line="360" w:lineRule="auto"/>
        <w:ind w:right="-93"/>
        <w:jc w:val="left"/>
        <w:rPr>
          <w:rFonts w:eastAsia="Times New Roman" w:cs="Tahoma"/>
          <w:bCs/>
          <w:color w:val="auto"/>
          <w:lang w:val="es-ES" w:eastAsia="en-US"/>
        </w:rPr>
      </w:pPr>
      <w:r w:rsidRPr="00987FC8">
        <w:rPr>
          <w:rFonts w:eastAsia="Times New Roman" w:cs="Tahoma"/>
          <w:bCs/>
          <w:color w:val="auto"/>
          <w:lang w:val="es-ES" w:eastAsia="en-US"/>
        </w:rPr>
        <w:t xml:space="preserve">Que la difusión de la información impida u obstaculice las actividades de inspección, supervisión o vigilancia que realicen las autoridades en el proceso de verificación del cumplimiento de las leyes. </w:t>
      </w:r>
    </w:p>
    <w:p w14:paraId="2B66C2BA" w14:textId="77777777" w:rsidR="00987FC8" w:rsidRPr="00987FC8" w:rsidRDefault="00987FC8" w:rsidP="00987FC8">
      <w:pPr>
        <w:spacing w:after="0" w:line="360" w:lineRule="auto"/>
        <w:ind w:right="-93"/>
        <w:rPr>
          <w:rFonts w:eastAsia="Times New Roman" w:cs="Tahoma"/>
          <w:bCs/>
          <w:color w:val="auto"/>
          <w:lang w:val="es-ES" w:eastAsia="en-US"/>
        </w:rPr>
      </w:pPr>
    </w:p>
    <w:p w14:paraId="20492D1E" w14:textId="77777777" w:rsidR="00987FC8" w:rsidRPr="00987FC8" w:rsidRDefault="00987FC8" w:rsidP="00987FC8">
      <w:pPr>
        <w:spacing w:after="0" w:line="360" w:lineRule="auto"/>
        <w:ind w:right="-93"/>
        <w:rPr>
          <w:rFonts w:eastAsia="Times New Roman" w:cs="Tahoma"/>
          <w:bCs/>
          <w:color w:val="auto"/>
          <w:lang w:val="es-ES" w:eastAsia="en-US"/>
        </w:rPr>
      </w:pPr>
      <w:r w:rsidRPr="00987FC8">
        <w:rPr>
          <w:rFonts w:eastAsia="Times New Roman" w:cs="Tahoma"/>
          <w:bCs/>
          <w:color w:val="auto"/>
          <w:lang w:val="es-ES" w:eastAsia="en-US"/>
        </w:rPr>
        <w:t xml:space="preserve">En ese contexto, de la interpretación de la causal de reserva en análisis, este Instituto estima que consiste en proteger la oportunidad de la autoridad verificadora de realizar las acciones </w:t>
      </w:r>
      <w:r w:rsidRPr="00987FC8">
        <w:rPr>
          <w:rFonts w:eastAsia="Times New Roman" w:cs="Tahoma"/>
          <w:bCs/>
          <w:color w:val="auto"/>
          <w:lang w:val="es-ES" w:eastAsia="en-US"/>
        </w:rPr>
        <w:lastRenderedPageBreak/>
        <w:t xml:space="preserve">materiales de fiscalización, sin que el sujeto verificado pueda alterar o modificar el escenario, objeto o circunstancias materia de fiscalización. </w:t>
      </w:r>
    </w:p>
    <w:p w14:paraId="32549FAE" w14:textId="77777777" w:rsidR="00987FC8" w:rsidRPr="00987FC8" w:rsidRDefault="00987FC8" w:rsidP="00987FC8">
      <w:pPr>
        <w:tabs>
          <w:tab w:val="left" w:pos="4962"/>
        </w:tabs>
        <w:spacing w:after="0" w:line="360" w:lineRule="auto"/>
        <w:contextualSpacing/>
        <w:rPr>
          <w:rFonts w:eastAsia="Times New Roman" w:cs="Tahoma"/>
          <w:iCs/>
          <w:color w:val="ED0000"/>
          <w:lang w:eastAsia="es-ES"/>
        </w:rPr>
      </w:pPr>
    </w:p>
    <w:p w14:paraId="737EB07F" w14:textId="77777777" w:rsidR="00987FC8" w:rsidRPr="00987FC8" w:rsidRDefault="00987FC8" w:rsidP="00987FC8">
      <w:pPr>
        <w:tabs>
          <w:tab w:val="left" w:pos="4962"/>
        </w:tabs>
        <w:spacing w:after="0" w:line="360" w:lineRule="auto"/>
        <w:contextualSpacing/>
        <w:rPr>
          <w:rFonts w:eastAsia="Times New Roman" w:cs="Times New Roman"/>
          <w:color w:val="auto"/>
          <w:szCs w:val="20"/>
          <w:lang w:eastAsia="es-ES"/>
        </w:rPr>
      </w:pPr>
      <w:r w:rsidRPr="00987FC8">
        <w:rPr>
          <w:rFonts w:eastAsia="Times New Roman" w:cs="Times New Roman"/>
          <w:color w:val="auto"/>
          <w:szCs w:val="20"/>
          <w:lang w:eastAsia="es-ES"/>
        </w:rPr>
        <w:t>Es decir, con dicha causal de reserva se procura permitir que las autoridades realicen las labores de verificación, inspección o auditoría del cumplimiento de las leyes, en su circunstancia natural, sin que el sujeto verificado, o bien, personas ajenas, puedan influir en el resultado, modificando los hechos, actos u omisiones a fiscalizar.</w:t>
      </w:r>
    </w:p>
    <w:p w14:paraId="5E45F39E" w14:textId="77777777" w:rsidR="00987FC8" w:rsidRPr="00987FC8" w:rsidRDefault="00987FC8" w:rsidP="00987FC8">
      <w:pPr>
        <w:tabs>
          <w:tab w:val="left" w:pos="4962"/>
        </w:tabs>
        <w:spacing w:after="0" w:line="360" w:lineRule="auto"/>
        <w:contextualSpacing/>
        <w:rPr>
          <w:rFonts w:eastAsia="Times New Roman" w:cs="Times New Roman"/>
          <w:color w:val="auto"/>
          <w:szCs w:val="20"/>
          <w:lang w:eastAsia="es-ES"/>
        </w:rPr>
      </w:pPr>
    </w:p>
    <w:p w14:paraId="3C9FDB6D" w14:textId="77777777" w:rsidR="00987FC8" w:rsidRPr="00987FC8" w:rsidRDefault="00987FC8" w:rsidP="00987FC8">
      <w:pPr>
        <w:tabs>
          <w:tab w:val="left" w:pos="4962"/>
        </w:tabs>
        <w:spacing w:after="0" w:line="360" w:lineRule="auto"/>
        <w:contextualSpacing/>
        <w:rPr>
          <w:rFonts w:eastAsia="Times New Roman" w:cs="Times New Roman"/>
          <w:color w:val="auto"/>
          <w:szCs w:val="20"/>
          <w:lang w:eastAsia="es-ES"/>
        </w:rPr>
      </w:pPr>
      <w:r w:rsidRPr="00987FC8">
        <w:rPr>
          <w:rFonts w:eastAsia="Times New Roman" w:cs="Times New Roman"/>
          <w:color w:val="auto"/>
          <w:szCs w:val="20"/>
          <w:lang w:eastAsia="es-ES"/>
        </w:rPr>
        <w:t>Así las cosas, a continuación, se analizarán cada uno de los requisitos señalados anteriormente, con la finalidad de verificar si se configura la hipótesis de reserva en estudio:</w:t>
      </w:r>
    </w:p>
    <w:p w14:paraId="5BB1B512" w14:textId="77777777" w:rsidR="00987FC8" w:rsidRPr="00987FC8" w:rsidRDefault="00987FC8" w:rsidP="00987FC8">
      <w:pPr>
        <w:tabs>
          <w:tab w:val="left" w:pos="4962"/>
        </w:tabs>
        <w:spacing w:after="0" w:line="360" w:lineRule="auto"/>
        <w:contextualSpacing/>
        <w:rPr>
          <w:rFonts w:eastAsia="Times New Roman" w:cs="Times New Roman"/>
          <w:color w:val="auto"/>
          <w:szCs w:val="20"/>
          <w:lang w:eastAsia="es-ES"/>
        </w:rPr>
      </w:pPr>
    </w:p>
    <w:p w14:paraId="4B7C5086" w14:textId="77777777" w:rsidR="00987FC8" w:rsidRPr="00987FC8" w:rsidRDefault="00987FC8" w:rsidP="00020B86">
      <w:pPr>
        <w:numPr>
          <w:ilvl w:val="0"/>
          <w:numId w:val="11"/>
        </w:numPr>
        <w:tabs>
          <w:tab w:val="left" w:pos="4962"/>
        </w:tabs>
        <w:spacing w:after="0" w:line="360" w:lineRule="auto"/>
        <w:contextualSpacing/>
        <w:jc w:val="left"/>
        <w:rPr>
          <w:rFonts w:eastAsia="Times New Roman" w:cs="Times New Roman"/>
          <w:b/>
          <w:bCs/>
          <w:color w:val="auto"/>
          <w:szCs w:val="24"/>
          <w:lang w:eastAsia="es-ES"/>
        </w:rPr>
      </w:pPr>
      <w:r w:rsidRPr="00987FC8">
        <w:rPr>
          <w:rFonts w:eastAsia="Times New Roman" w:cs="Times New Roman"/>
          <w:b/>
          <w:bCs/>
          <w:color w:val="auto"/>
          <w:szCs w:val="24"/>
          <w:lang w:eastAsia="es-ES"/>
        </w:rPr>
        <w:t>La existencia de un procedimiento de verificación del cumplimiento de las leyes</w:t>
      </w:r>
    </w:p>
    <w:p w14:paraId="7B2A0E7A" w14:textId="77777777" w:rsidR="00987FC8" w:rsidRPr="00987FC8" w:rsidRDefault="00987FC8" w:rsidP="00987FC8">
      <w:pPr>
        <w:tabs>
          <w:tab w:val="left" w:pos="4962"/>
        </w:tabs>
        <w:spacing w:after="0" w:line="360" w:lineRule="auto"/>
        <w:rPr>
          <w:rFonts w:eastAsia="Times New Roman" w:cs="Times New Roman"/>
          <w:b/>
          <w:bCs/>
          <w:color w:val="auto"/>
          <w:sz w:val="20"/>
          <w:szCs w:val="20"/>
          <w:lang w:eastAsia="es-ES"/>
        </w:rPr>
      </w:pPr>
    </w:p>
    <w:p w14:paraId="177A4A72" w14:textId="3CA09922" w:rsidR="00987FC8" w:rsidRPr="00987FC8" w:rsidRDefault="00987FC8" w:rsidP="00987FC8">
      <w:pPr>
        <w:tabs>
          <w:tab w:val="left" w:pos="4962"/>
        </w:tabs>
        <w:spacing w:after="0" w:line="360" w:lineRule="auto"/>
        <w:contextualSpacing/>
        <w:rPr>
          <w:rFonts w:eastAsia="Times New Roman" w:cs="Times New Roman"/>
          <w:color w:val="auto"/>
          <w:szCs w:val="20"/>
          <w:lang w:eastAsia="es-ES"/>
        </w:rPr>
      </w:pPr>
      <w:r w:rsidRPr="00987FC8">
        <w:rPr>
          <w:rFonts w:eastAsia="Times New Roman" w:cs="Times New Roman"/>
          <w:color w:val="auto"/>
          <w:szCs w:val="20"/>
          <w:lang w:eastAsia="es-ES"/>
        </w:rPr>
        <w:t xml:space="preserve">Al respecto, es de señalar que el </w:t>
      </w:r>
      <w:r>
        <w:rPr>
          <w:rFonts w:eastAsia="Times New Roman" w:cs="Times New Roman"/>
          <w:color w:val="auto"/>
          <w:szCs w:val="20"/>
          <w:lang w:eastAsia="es-ES"/>
        </w:rPr>
        <w:t>Ayuntamiento</w:t>
      </w:r>
      <w:r w:rsidRPr="00987FC8">
        <w:rPr>
          <w:rFonts w:eastAsia="Times New Roman" w:cs="Times New Roman"/>
          <w:color w:val="auto"/>
          <w:szCs w:val="20"/>
          <w:lang w:eastAsia="es-ES"/>
        </w:rPr>
        <w:t xml:space="preserve"> no acreditó de ninguna manera, la existencia de un procedimiento de verificación del cumplimiento de las leyes, al no señalar algún elemento que permita su identificación.</w:t>
      </w:r>
    </w:p>
    <w:p w14:paraId="4986AF16" w14:textId="77777777" w:rsidR="00987FC8" w:rsidRPr="00987FC8" w:rsidRDefault="00987FC8" w:rsidP="00987FC8">
      <w:pPr>
        <w:tabs>
          <w:tab w:val="left" w:pos="4962"/>
        </w:tabs>
        <w:spacing w:after="0" w:line="360" w:lineRule="auto"/>
        <w:contextualSpacing/>
        <w:rPr>
          <w:rFonts w:eastAsia="Times New Roman" w:cs="Times New Roman"/>
          <w:color w:val="auto"/>
          <w:szCs w:val="20"/>
          <w:lang w:eastAsia="es-ES"/>
        </w:rPr>
      </w:pPr>
    </w:p>
    <w:p w14:paraId="4EF7B742" w14:textId="77777777" w:rsidR="00987FC8" w:rsidRPr="00987FC8" w:rsidRDefault="00987FC8" w:rsidP="00987FC8">
      <w:pPr>
        <w:tabs>
          <w:tab w:val="left" w:pos="4962"/>
        </w:tabs>
        <w:spacing w:after="0" w:line="360" w:lineRule="auto"/>
        <w:contextualSpacing/>
        <w:rPr>
          <w:rFonts w:eastAsia="Times New Roman" w:cs="Times New Roman"/>
          <w:color w:val="auto"/>
          <w:szCs w:val="20"/>
          <w:lang w:eastAsia="es-ES"/>
        </w:rPr>
      </w:pPr>
      <w:r w:rsidRPr="00987FC8">
        <w:rPr>
          <w:rFonts w:eastAsia="Times New Roman" w:cs="Times New Roman"/>
          <w:color w:val="auto"/>
          <w:szCs w:val="20"/>
          <w:lang w:eastAsia="es-ES"/>
        </w:rPr>
        <w:t>Por tales circunstancias, se advierte que no existe un procedimiento de verificación del cumplimiento de las leyes, ni que pueda existir alguno respecto a la información peticionada,</w:t>
      </w:r>
    </w:p>
    <w:p w14:paraId="3DEE3D69" w14:textId="64ED71AE" w:rsidR="00987FC8" w:rsidRPr="00987FC8" w:rsidRDefault="00987FC8" w:rsidP="00987FC8">
      <w:pPr>
        <w:tabs>
          <w:tab w:val="left" w:pos="4962"/>
        </w:tabs>
        <w:spacing w:after="0" w:line="360" w:lineRule="auto"/>
        <w:contextualSpacing/>
        <w:rPr>
          <w:rFonts w:eastAsia="Times New Roman" w:cs="Times New Roman"/>
          <w:color w:val="auto"/>
          <w:szCs w:val="20"/>
          <w:lang w:eastAsia="es-ES"/>
        </w:rPr>
      </w:pPr>
      <w:r w:rsidRPr="00987FC8">
        <w:rPr>
          <w:rFonts w:eastAsia="Times New Roman" w:cs="Times New Roman"/>
          <w:color w:val="auto"/>
          <w:szCs w:val="20"/>
          <w:lang w:eastAsia="es-ES"/>
        </w:rPr>
        <w:t>por lo que no se acredita el requisito número uno. Dicha determinación, toma relevancia, pues la no actualización de uno de los elementos, trae como consecuencia la improcedencia de la reserva, en términos del inciso 1, de la fracción V, del artículo 140 de la Ley de Transparencia</w:t>
      </w:r>
      <w:r>
        <w:rPr>
          <w:rFonts w:eastAsia="Times New Roman" w:cs="Times New Roman"/>
          <w:color w:val="auto"/>
          <w:szCs w:val="20"/>
          <w:lang w:eastAsia="es-ES"/>
        </w:rPr>
        <w:t xml:space="preserve"> </w:t>
      </w:r>
      <w:r w:rsidRPr="00987FC8">
        <w:rPr>
          <w:rFonts w:eastAsia="Times New Roman" w:cs="Times New Roman"/>
          <w:color w:val="auto"/>
          <w:szCs w:val="20"/>
          <w:lang w:eastAsia="es-ES"/>
        </w:rPr>
        <w:t>y Acceso a la Información Pública del Estado de México y Municipios.</w:t>
      </w:r>
    </w:p>
    <w:p w14:paraId="77B6AB80" w14:textId="77777777" w:rsidR="00987FC8" w:rsidRPr="00987FC8" w:rsidRDefault="00987FC8" w:rsidP="00987FC8">
      <w:pPr>
        <w:tabs>
          <w:tab w:val="left" w:pos="4962"/>
        </w:tabs>
        <w:spacing w:after="0" w:line="360" w:lineRule="auto"/>
        <w:contextualSpacing/>
        <w:rPr>
          <w:rFonts w:eastAsia="Times New Roman" w:cs="Times New Roman"/>
          <w:color w:val="auto"/>
          <w:szCs w:val="20"/>
          <w:lang w:eastAsia="es-ES"/>
        </w:rPr>
      </w:pPr>
    </w:p>
    <w:p w14:paraId="29D10150" w14:textId="6CBA72A9" w:rsidR="00987FC8" w:rsidRPr="00987FC8" w:rsidRDefault="00987FC8" w:rsidP="00987FC8">
      <w:pPr>
        <w:tabs>
          <w:tab w:val="left" w:pos="4962"/>
        </w:tabs>
        <w:spacing w:after="0" w:line="360" w:lineRule="auto"/>
        <w:contextualSpacing/>
        <w:rPr>
          <w:rFonts w:eastAsia="Times New Roman" w:cs="Times New Roman"/>
          <w:color w:val="auto"/>
          <w:szCs w:val="20"/>
          <w:lang w:eastAsia="es-ES"/>
        </w:rPr>
      </w:pPr>
      <w:r w:rsidRPr="00987FC8">
        <w:rPr>
          <w:rFonts w:eastAsia="Times New Roman" w:cs="Times New Roman"/>
          <w:color w:val="auto"/>
          <w:szCs w:val="20"/>
          <w:lang w:eastAsia="es-ES"/>
        </w:rPr>
        <w:t>Lo anterior, toma relevancia pues al no haber iniciado algún procedimiento de verificación de</w:t>
      </w:r>
      <w:r>
        <w:rPr>
          <w:rFonts w:eastAsia="Times New Roman" w:cs="Times New Roman"/>
          <w:color w:val="auto"/>
          <w:szCs w:val="20"/>
          <w:lang w:eastAsia="es-ES"/>
        </w:rPr>
        <w:t xml:space="preserve"> </w:t>
      </w:r>
      <w:r w:rsidRPr="00987FC8">
        <w:rPr>
          <w:rFonts w:eastAsia="Times New Roman" w:cs="Times New Roman"/>
          <w:color w:val="auto"/>
          <w:szCs w:val="20"/>
          <w:lang w:eastAsia="es-ES"/>
        </w:rPr>
        <w:t xml:space="preserve">leyes, no existe una vinculación con las actividades que realiza la autoridad en el </w:t>
      </w:r>
      <w:r w:rsidRPr="00987FC8">
        <w:rPr>
          <w:rFonts w:eastAsia="Times New Roman" w:cs="Times New Roman"/>
          <w:color w:val="auto"/>
          <w:szCs w:val="20"/>
          <w:lang w:eastAsia="es-ES"/>
        </w:rPr>
        <w:lastRenderedPageBreak/>
        <w:t>procedimiento de verificación y, por lo tanto, la difusión de dicha información, no impide u obstaculiza las actividades de inspección, supervisión o vigilancia.</w:t>
      </w:r>
    </w:p>
    <w:p w14:paraId="522C218B" w14:textId="77777777" w:rsidR="00987FC8" w:rsidRPr="00987FC8" w:rsidRDefault="00987FC8" w:rsidP="00987FC8">
      <w:pPr>
        <w:tabs>
          <w:tab w:val="left" w:pos="4962"/>
        </w:tabs>
        <w:spacing w:after="0" w:line="360" w:lineRule="auto"/>
        <w:contextualSpacing/>
        <w:rPr>
          <w:rFonts w:eastAsia="Times New Roman" w:cs="Times New Roman"/>
          <w:color w:val="auto"/>
          <w:szCs w:val="20"/>
          <w:lang w:eastAsia="es-ES"/>
        </w:rPr>
      </w:pPr>
    </w:p>
    <w:p w14:paraId="020FB647" w14:textId="77777777" w:rsidR="00987FC8" w:rsidRPr="00987FC8" w:rsidRDefault="00987FC8" w:rsidP="00987FC8">
      <w:pPr>
        <w:tabs>
          <w:tab w:val="left" w:pos="4962"/>
        </w:tabs>
        <w:spacing w:after="0" w:line="360" w:lineRule="auto"/>
        <w:contextualSpacing/>
        <w:rPr>
          <w:rFonts w:eastAsia="Times New Roman" w:cs="Times New Roman"/>
          <w:b/>
          <w:bCs/>
          <w:color w:val="auto"/>
          <w:szCs w:val="20"/>
          <w:lang w:eastAsia="es-ES"/>
        </w:rPr>
      </w:pPr>
      <w:r w:rsidRPr="00987FC8">
        <w:rPr>
          <w:rFonts w:eastAsia="Times New Roman" w:cs="Times New Roman"/>
          <w:color w:val="auto"/>
          <w:szCs w:val="20"/>
          <w:lang w:eastAsia="es-ES"/>
        </w:rPr>
        <w:t xml:space="preserve">Por tales consideraciones, </w:t>
      </w:r>
      <w:r w:rsidRPr="00987FC8">
        <w:rPr>
          <w:rFonts w:eastAsia="Times New Roman" w:cs="Times New Roman"/>
          <w:b/>
          <w:bCs/>
          <w:color w:val="auto"/>
          <w:szCs w:val="20"/>
          <w:lang w:eastAsia="es-ES"/>
        </w:rPr>
        <w:t>no se actualiza la causal de reserva, establecida en el artículo 140, fracción V, inciso 1, de la Ley de Transparencia y Acceso a la Información Pública del Estado de México y Municipios y por lo cual, resulta procedente ordenar la entrega de la información requerida.</w:t>
      </w:r>
    </w:p>
    <w:p w14:paraId="2FD08109" w14:textId="77777777" w:rsidR="00987FC8" w:rsidRPr="00987FC8" w:rsidRDefault="00987FC8" w:rsidP="00987FC8">
      <w:pPr>
        <w:tabs>
          <w:tab w:val="left" w:pos="4962"/>
        </w:tabs>
        <w:spacing w:after="0" w:line="360" w:lineRule="auto"/>
        <w:contextualSpacing/>
        <w:rPr>
          <w:rFonts w:eastAsia="Times New Roman" w:cs="Times New Roman"/>
          <w:b/>
          <w:bCs/>
          <w:color w:val="auto"/>
          <w:szCs w:val="20"/>
          <w:lang w:eastAsia="es-ES"/>
        </w:rPr>
      </w:pPr>
    </w:p>
    <w:p w14:paraId="6CF2F56F" w14:textId="77777777" w:rsidR="00987FC8" w:rsidRPr="00987FC8" w:rsidRDefault="00987FC8" w:rsidP="00987FC8">
      <w:pPr>
        <w:tabs>
          <w:tab w:val="left" w:pos="4962"/>
        </w:tabs>
        <w:spacing w:after="0" w:line="360" w:lineRule="auto"/>
        <w:contextualSpacing/>
        <w:rPr>
          <w:rFonts w:eastAsia="Times New Roman" w:cs="Times New Roman"/>
          <w:color w:val="auto"/>
          <w:szCs w:val="20"/>
          <w:lang w:eastAsia="es-ES"/>
        </w:rPr>
      </w:pPr>
      <w:r w:rsidRPr="00987FC8">
        <w:rPr>
          <w:rFonts w:eastAsia="Times New Roman" w:cs="Tahoma"/>
          <w:iCs/>
          <w:color w:val="000000"/>
          <w:lang w:eastAsia="es-ES"/>
        </w:rPr>
        <w:t>Ahora bien</w:t>
      </w:r>
      <w:r w:rsidRPr="00987FC8">
        <w:rPr>
          <w:rFonts w:eastAsia="Times New Roman" w:cs="Times New Roman"/>
          <w:color w:val="000000"/>
          <w:szCs w:val="20"/>
          <w:lang w:eastAsia="es-ES"/>
        </w:rPr>
        <w:t xml:space="preserve">, </w:t>
      </w:r>
      <w:r w:rsidRPr="00987FC8">
        <w:rPr>
          <w:rFonts w:eastAsia="Times New Roman" w:cs="Times New Roman"/>
          <w:color w:val="auto"/>
          <w:szCs w:val="20"/>
          <w:lang w:eastAsia="es-ES"/>
        </w:rPr>
        <w:t>el artículo 140, fracción V, numeral 2, de la Ley citada, (homólogo a parte del artículo 113, fracción V de la Ley General de Transparencia y Acceso a la Información Pública), prevé lo siguiente:</w:t>
      </w:r>
    </w:p>
    <w:p w14:paraId="3FBE98E3" w14:textId="77777777" w:rsidR="00987FC8" w:rsidRPr="00987FC8" w:rsidRDefault="00987FC8" w:rsidP="00987FC8">
      <w:pPr>
        <w:tabs>
          <w:tab w:val="left" w:pos="4962"/>
        </w:tabs>
        <w:spacing w:after="0" w:line="360" w:lineRule="auto"/>
        <w:contextualSpacing/>
        <w:rPr>
          <w:rFonts w:eastAsia="Times New Roman" w:cs="Tahoma"/>
          <w:iCs/>
          <w:color w:val="ED0000"/>
          <w:lang w:eastAsia="es-ES"/>
        </w:rPr>
      </w:pPr>
    </w:p>
    <w:p w14:paraId="0DFC1628" w14:textId="77777777" w:rsidR="00987FC8" w:rsidRPr="00987FC8" w:rsidRDefault="00987FC8" w:rsidP="00987FC8">
      <w:pPr>
        <w:tabs>
          <w:tab w:val="left" w:pos="4962"/>
        </w:tabs>
        <w:spacing w:after="0" w:line="360" w:lineRule="auto"/>
        <w:ind w:left="567" w:right="567"/>
        <w:rPr>
          <w:rFonts w:eastAsia="Times New Roman" w:cs="Tahoma"/>
          <w:i/>
          <w:iCs/>
          <w:color w:val="000000"/>
          <w:sz w:val="20"/>
          <w:szCs w:val="20"/>
          <w:lang w:val="es-ES" w:eastAsia="es-ES_tradnl"/>
        </w:rPr>
      </w:pPr>
      <w:r w:rsidRPr="00987FC8">
        <w:rPr>
          <w:rFonts w:eastAsia="Times New Roman" w:cs="Tahoma"/>
          <w:i/>
          <w:iCs/>
          <w:color w:val="000000"/>
          <w:sz w:val="20"/>
          <w:szCs w:val="20"/>
          <w:lang w:val="es-ES" w:eastAsia="es-ES_tradnl"/>
        </w:rPr>
        <w:t>“</w:t>
      </w:r>
      <w:r w:rsidRPr="00987FC8">
        <w:rPr>
          <w:rFonts w:eastAsia="Times New Roman" w:cs="Tahoma"/>
          <w:b/>
          <w:i/>
          <w:iCs/>
          <w:color w:val="000000"/>
          <w:sz w:val="20"/>
          <w:szCs w:val="20"/>
          <w:lang w:val="es-ES" w:eastAsia="es-ES_tradnl"/>
        </w:rPr>
        <w:t>Artículo 140.</w:t>
      </w:r>
      <w:r w:rsidRPr="00987FC8">
        <w:rPr>
          <w:rFonts w:eastAsia="Times New Roman" w:cs="Tahoma"/>
          <w:i/>
          <w:iCs/>
          <w:color w:val="000000"/>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1AEAC045" w14:textId="77777777" w:rsidR="00987FC8" w:rsidRPr="00987FC8" w:rsidRDefault="00987FC8" w:rsidP="00987FC8">
      <w:pPr>
        <w:tabs>
          <w:tab w:val="left" w:pos="4962"/>
        </w:tabs>
        <w:spacing w:after="0" w:line="360" w:lineRule="auto"/>
        <w:ind w:left="567" w:right="567"/>
        <w:rPr>
          <w:rFonts w:eastAsia="Times New Roman" w:cs="Tahoma"/>
          <w:i/>
          <w:iCs/>
          <w:color w:val="000000"/>
          <w:sz w:val="20"/>
          <w:szCs w:val="20"/>
          <w:lang w:val="es-ES" w:eastAsia="es-ES_tradnl"/>
        </w:rPr>
      </w:pPr>
      <w:r w:rsidRPr="00987FC8">
        <w:rPr>
          <w:rFonts w:eastAsia="Times New Roman" w:cs="Tahoma"/>
          <w:i/>
          <w:iCs/>
          <w:color w:val="000000"/>
          <w:sz w:val="20"/>
          <w:szCs w:val="20"/>
          <w:lang w:val="es-ES" w:eastAsia="es-ES_tradnl"/>
        </w:rPr>
        <w:t>…</w:t>
      </w:r>
    </w:p>
    <w:p w14:paraId="3ADED256" w14:textId="77777777" w:rsidR="00987FC8" w:rsidRPr="00987FC8" w:rsidRDefault="00987FC8" w:rsidP="00987FC8">
      <w:pPr>
        <w:tabs>
          <w:tab w:val="left" w:pos="4962"/>
        </w:tabs>
        <w:spacing w:after="0" w:line="360" w:lineRule="auto"/>
        <w:ind w:left="567" w:right="567"/>
        <w:rPr>
          <w:rFonts w:eastAsia="Times New Roman" w:cs="Tahoma"/>
          <w:i/>
          <w:iCs/>
          <w:color w:val="000000"/>
          <w:sz w:val="20"/>
          <w:szCs w:val="20"/>
          <w:lang w:eastAsia="es-ES_tradnl"/>
        </w:rPr>
      </w:pPr>
      <w:r w:rsidRPr="00987FC8">
        <w:rPr>
          <w:rFonts w:eastAsia="Times New Roman" w:cs="Tahoma"/>
          <w:i/>
          <w:iCs/>
          <w:color w:val="000000"/>
          <w:sz w:val="20"/>
          <w:szCs w:val="20"/>
          <w:lang w:eastAsia="es-ES_tradnl"/>
        </w:rPr>
        <w:t>V. Aquella cuya divulgación obstruya o pueda causar un serio perjuicio a:</w:t>
      </w:r>
    </w:p>
    <w:p w14:paraId="1137FAB9" w14:textId="77777777" w:rsidR="00987FC8" w:rsidRPr="00987FC8" w:rsidRDefault="00987FC8" w:rsidP="00987FC8">
      <w:pPr>
        <w:tabs>
          <w:tab w:val="left" w:pos="4962"/>
        </w:tabs>
        <w:spacing w:after="0" w:line="360" w:lineRule="auto"/>
        <w:ind w:left="567" w:right="567"/>
        <w:rPr>
          <w:rFonts w:eastAsia="Times New Roman" w:cs="Tahoma"/>
          <w:i/>
          <w:iCs/>
          <w:color w:val="000000"/>
          <w:sz w:val="20"/>
          <w:szCs w:val="20"/>
          <w:lang w:val="es-ES" w:eastAsia="es-ES_tradnl"/>
        </w:rPr>
      </w:pPr>
      <w:r w:rsidRPr="00987FC8">
        <w:rPr>
          <w:rFonts w:eastAsia="Times New Roman" w:cs="Tahoma"/>
          <w:i/>
          <w:iCs/>
          <w:color w:val="000000"/>
          <w:sz w:val="20"/>
          <w:szCs w:val="20"/>
          <w:lang w:eastAsia="es-ES_tradnl"/>
        </w:rPr>
        <w:t>…</w:t>
      </w:r>
    </w:p>
    <w:p w14:paraId="2B9A37A4" w14:textId="77777777" w:rsidR="00987FC8" w:rsidRPr="00987FC8" w:rsidRDefault="00987FC8" w:rsidP="00987FC8">
      <w:pPr>
        <w:tabs>
          <w:tab w:val="left" w:pos="4962"/>
        </w:tabs>
        <w:spacing w:after="0" w:line="360" w:lineRule="auto"/>
        <w:ind w:left="567" w:right="567"/>
        <w:rPr>
          <w:rFonts w:eastAsia="Times New Roman" w:cs="Tahoma"/>
          <w:i/>
          <w:iCs/>
          <w:color w:val="000000"/>
          <w:sz w:val="20"/>
          <w:szCs w:val="20"/>
          <w:lang w:val="es-ES" w:eastAsia="es-ES_tradnl"/>
        </w:rPr>
      </w:pPr>
      <w:r w:rsidRPr="00987FC8">
        <w:rPr>
          <w:rFonts w:eastAsia="Times New Roman" w:cs="Tahoma"/>
          <w:i/>
          <w:iCs/>
          <w:color w:val="000000"/>
          <w:sz w:val="20"/>
          <w:szCs w:val="20"/>
          <w:lang w:eastAsia="es-ES_tradnl"/>
        </w:rPr>
        <w:t>2. La recaudación de las contribuciones.</w:t>
      </w:r>
    </w:p>
    <w:p w14:paraId="56555D67" w14:textId="77777777" w:rsidR="00987FC8" w:rsidRPr="00987FC8" w:rsidRDefault="00987FC8" w:rsidP="00987FC8">
      <w:pPr>
        <w:tabs>
          <w:tab w:val="left" w:pos="4962"/>
        </w:tabs>
        <w:spacing w:after="0" w:line="360" w:lineRule="auto"/>
        <w:ind w:left="567" w:right="567"/>
        <w:rPr>
          <w:rFonts w:eastAsia="Times New Roman" w:cs="Tahoma"/>
          <w:i/>
          <w:iCs/>
          <w:color w:val="000000"/>
          <w:sz w:val="20"/>
          <w:szCs w:val="20"/>
          <w:lang w:val="es-ES" w:eastAsia="es-ES_tradnl"/>
        </w:rPr>
      </w:pPr>
      <w:r w:rsidRPr="00987FC8">
        <w:rPr>
          <w:rFonts w:eastAsia="Times New Roman" w:cs="Tahoma"/>
          <w:i/>
          <w:iCs/>
          <w:color w:val="000000"/>
          <w:sz w:val="20"/>
          <w:szCs w:val="20"/>
          <w:lang w:val="es-ES" w:eastAsia="es-ES_tradnl"/>
        </w:rPr>
        <w:t xml:space="preserve">…” </w:t>
      </w:r>
    </w:p>
    <w:p w14:paraId="23ED158E" w14:textId="77777777" w:rsidR="00987FC8" w:rsidRPr="00987FC8" w:rsidRDefault="00987FC8" w:rsidP="00987FC8">
      <w:pPr>
        <w:tabs>
          <w:tab w:val="left" w:pos="4962"/>
        </w:tabs>
        <w:spacing w:after="0" w:line="360" w:lineRule="auto"/>
        <w:contextualSpacing/>
        <w:rPr>
          <w:rFonts w:eastAsia="Times New Roman" w:cs="Tahoma"/>
          <w:iCs/>
          <w:color w:val="auto"/>
          <w:lang w:eastAsia="es-ES"/>
        </w:rPr>
      </w:pPr>
    </w:p>
    <w:p w14:paraId="5960B9F5" w14:textId="77777777" w:rsidR="00987FC8" w:rsidRPr="00987FC8" w:rsidRDefault="00987FC8" w:rsidP="00987FC8">
      <w:pPr>
        <w:tabs>
          <w:tab w:val="left" w:pos="4962"/>
        </w:tabs>
        <w:spacing w:after="0" w:line="360" w:lineRule="auto"/>
        <w:contextualSpacing/>
        <w:rPr>
          <w:rFonts w:eastAsia="Times New Roman" w:cs="Tahoma"/>
          <w:iCs/>
          <w:color w:val="auto"/>
          <w:lang w:eastAsia="es-ES"/>
        </w:rPr>
      </w:pPr>
      <w:r w:rsidRPr="00987FC8">
        <w:rPr>
          <w:rFonts w:eastAsia="Times New Roman" w:cs="Tahoma"/>
          <w:iCs/>
          <w:color w:val="auto"/>
          <w:lang w:eastAsia="es-ES"/>
        </w:rPr>
        <w:t>De dicho precepto normativo se desprende que podrá clasificarse como información reservada aquella cuya publicación obstruya o cause perjuicio a la recaudación de contribuciones. Por su parte, los Lineamientos Generales establecen lo siguiente:</w:t>
      </w:r>
    </w:p>
    <w:p w14:paraId="6ECACFE1" w14:textId="77777777" w:rsidR="00987FC8" w:rsidRPr="00987FC8" w:rsidRDefault="00987FC8" w:rsidP="00987FC8">
      <w:pPr>
        <w:tabs>
          <w:tab w:val="left" w:pos="4962"/>
        </w:tabs>
        <w:spacing w:after="0" w:line="360" w:lineRule="auto"/>
        <w:contextualSpacing/>
        <w:rPr>
          <w:rFonts w:eastAsia="Times New Roman" w:cs="Tahoma"/>
          <w:iCs/>
          <w:color w:val="auto"/>
          <w:lang w:eastAsia="es-ES"/>
        </w:rPr>
      </w:pPr>
    </w:p>
    <w:p w14:paraId="7595EFCF" w14:textId="77777777" w:rsidR="00987FC8" w:rsidRPr="00987FC8" w:rsidRDefault="00987FC8" w:rsidP="00987FC8">
      <w:pPr>
        <w:spacing w:after="0" w:line="360" w:lineRule="auto"/>
        <w:ind w:left="567" w:right="567"/>
        <w:rPr>
          <w:rFonts w:eastAsia="Times New Roman" w:cs="Arial"/>
          <w:bCs/>
          <w:i/>
          <w:iCs/>
          <w:color w:val="auto"/>
          <w:sz w:val="20"/>
          <w:szCs w:val="20"/>
          <w:lang w:eastAsia="es-ES"/>
        </w:rPr>
      </w:pPr>
      <w:r w:rsidRPr="00987FC8">
        <w:rPr>
          <w:rFonts w:eastAsia="Times New Roman" w:cs="Arial"/>
          <w:bCs/>
          <w:i/>
          <w:iCs/>
          <w:color w:val="auto"/>
          <w:sz w:val="20"/>
          <w:szCs w:val="20"/>
          <w:lang w:eastAsia="es-ES"/>
        </w:rPr>
        <w:t>“…</w:t>
      </w:r>
      <w:r w:rsidRPr="00987FC8">
        <w:rPr>
          <w:rFonts w:eastAsia="Times New Roman" w:cs="Arial"/>
          <w:b/>
          <w:i/>
          <w:iCs/>
          <w:color w:val="auto"/>
          <w:sz w:val="20"/>
          <w:szCs w:val="20"/>
          <w:lang w:eastAsia="es-ES"/>
        </w:rPr>
        <w:t>Vigésimo quinto.</w:t>
      </w:r>
      <w:r w:rsidRPr="00987FC8">
        <w:rPr>
          <w:rFonts w:eastAsia="Times New Roman" w:cs="Arial"/>
          <w:bCs/>
          <w:i/>
          <w:iCs/>
          <w:color w:val="auto"/>
          <w:sz w:val="20"/>
          <w:szCs w:val="20"/>
          <w:lang w:eastAsia="es-ES"/>
        </w:rPr>
        <w:t xml:space="preserve"> De conformidad con el artículo 113, fracción VI de la Ley General, podrá considerarse como información reservada, aquella cuya difusión pueda obstruir o impedir el ejercicio de las facultades que llevan a cabo las autoridades competentes para recaudar, fiscalizar y </w:t>
      </w:r>
      <w:r w:rsidRPr="00987FC8">
        <w:rPr>
          <w:rFonts w:eastAsia="Times New Roman" w:cs="Arial"/>
          <w:bCs/>
          <w:i/>
          <w:iCs/>
          <w:color w:val="auto"/>
          <w:sz w:val="20"/>
          <w:szCs w:val="20"/>
          <w:lang w:eastAsia="es-ES"/>
        </w:rPr>
        <w:lastRenderedPageBreak/>
        <w:t>comprobar el cumplimiento de las obligaciones fiscales en términos de las disposiciones normativas aplicables…”</w:t>
      </w:r>
    </w:p>
    <w:p w14:paraId="141DC8D2" w14:textId="77777777" w:rsidR="00987FC8" w:rsidRPr="00987FC8" w:rsidRDefault="00987FC8" w:rsidP="00987FC8">
      <w:pPr>
        <w:tabs>
          <w:tab w:val="left" w:pos="4962"/>
        </w:tabs>
        <w:spacing w:after="0" w:line="360" w:lineRule="auto"/>
        <w:contextualSpacing/>
        <w:rPr>
          <w:rFonts w:eastAsia="Times New Roman" w:cs="Tahoma"/>
          <w:iCs/>
          <w:color w:val="auto"/>
          <w:lang w:eastAsia="es-ES"/>
        </w:rPr>
      </w:pPr>
    </w:p>
    <w:p w14:paraId="55ADD410" w14:textId="481C759E" w:rsidR="00987FC8" w:rsidRPr="00987FC8" w:rsidRDefault="00987FC8" w:rsidP="00987FC8">
      <w:pPr>
        <w:tabs>
          <w:tab w:val="left" w:pos="4962"/>
        </w:tabs>
        <w:spacing w:after="0" w:line="360" w:lineRule="auto"/>
        <w:contextualSpacing/>
        <w:rPr>
          <w:rFonts w:eastAsia="Times New Roman" w:cs="Tahoma"/>
          <w:iCs/>
          <w:color w:val="auto"/>
          <w:lang w:eastAsia="es-ES"/>
        </w:rPr>
      </w:pPr>
      <w:r w:rsidRPr="00987FC8">
        <w:rPr>
          <w:rFonts w:eastAsia="Times New Roman" w:cs="Tahoma"/>
          <w:iCs/>
          <w:color w:val="auto"/>
          <w:lang w:eastAsia="es-ES"/>
        </w:rPr>
        <w:t xml:space="preserve">Del lineamiento en cita, se colige que se trata de información reservada, aquella que cuya difusión pueda obstruir o impedir el ejercicio de las facultades de recaudación y comprobación del cumplimiento de obligaciones fiscales por parte del </w:t>
      </w:r>
      <w:r>
        <w:rPr>
          <w:rFonts w:eastAsia="Times New Roman" w:cs="Tahoma"/>
          <w:iCs/>
          <w:color w:val="auto"/>
          <w:lang w:eastAsia="es-ES"/>
        </w:rPr>
        <w:t>Ayuntamiento.</w:t>
      </w:r>
    </w:p>
    <w:p w14:paraId="08AD575D" w14:textId="77777777" w:rsidR="00987FC8" w:rsidRPr="00987FC8" w:rsidRDefault="00987FC8" w:rsidP="00987FC8">
      <w:pPr>
        <w:tabs>
          <w:tab w:val="left" w:pos="4962"/>
        </w:tabs>
        <w:spacing w:after="0" w:line="360" w:lineRule="auto"/>
        <w:contextualSpacing/>
        <w:rPr>
          <w:rFonts w:eastAsia="Times New Roman" w:cs="Tahoma"/>
          <w:iCs/>
          <w:color w:val="auto"/>
          <w:lang w:eastAsia="es-ES"/>
        </w:rPr>
      </w:pPr>
    </w:p>
    <w:p w14:paraId="7CFD2D53" w14:textId="77777777" w:rsidR="00987FC8" w:rsidRPr="00987FC8" w:rsidRDefault="00987FC8" w:rsidP="00987FC8">
      <w:pPr>
        <w:tabs>
          <w:tab w:val="left" w:pos="4962"/>
        </w:tabs>
        <w:spacing w:after="0" w:line="360" w:lineRule="auto"/>
        <w:contextualSpacing/>
        <w:rPr>
          <w:rFonts w:eastAsia="Times New Roman" w:cs="Tahoma"/>
          <w:iCs/>
          <w:color w:val="auto"/>
          <w:lang w:eastAsia="es-ES"/>
        </w:rPr>
      </w:pPr>
      <w:r w:rsidRPr="00987FC8">
        <w:rPr>
          <w:rFonts w:eastAsia="Times New Roman" w:cs="Tahoma"/>
          <w:iCs/>
          <w:color w:val="auto"/>
          <w:lang w:eastAsia="es-ES"/>
        </w:rPr>
        <w:t>Al respecto, los artículos 115, fracción IV, de la Constitución Política de los Estados Unidos Mexicanos y 125, fracciones I a III, de la Constitución Política de los Estado Libre y Soberano de México, precisan que los Municipios administrarán libremente su hacienda, la cual se formará de los rendimientos de los bienes que les pertenezcan, así como de las contribuciones y otros ingresos tengan, conforme a lo siguiente:</w:t>
      </w:r>
    </w:p>
    <w:p w14:paraId="17C0BF3E" w14:textId="77777777" w:rsidR="00987FC8" w:rsidRPr="00987FC8" w:rsidRDefault="00987FC8" w:rsidP="00987FC8">
      <w:pPr>
        <w:tabs>
          <w:tab w:val="left" w:pos="4962"/>
        </w:tabs>
        <w:spacing w:after="0" w:line="360" w:lineRule="auto"/>
        <w:contextualSpacing/>
        <w:rPr>
          <w:rFonts w:eastAsia="Times New Roman" w:cs="Tahoma"/>
          <w:iCs/>
          <w:color w:val="auto"/>
          <w:lang w:eastAsia="es-ES"/>
        </w:rPr>
      </w:pPr>
    </w:p>
    <w:p w14:paraId="58756B30" w14:textId="77777777" w:rsidR="00987FC8" w:rsidRPr="00987FC8" w:rsidRDefault="00987FC8" w:rsidP="00020B86">
      <w:pPr>
        <w:numPr>
          <w:ilvl w:val="0"/>
          <w:numId w:val="12"/>
        </w:numPr>
        <w:tabs>
          <w:tab w:val="left" w:pos="4962"/>
        </w:tabs>
        <w:spacing w:after="0" w:line="360" w:lineRule="auto"/>
        <w:contextualSpacing/>
        <w:jc w:val="left"/>
        <w:rPr>
          <w:rFonts w:eastAsia="Times New Roman" w:cs="Tahoma"/>
          <w:iCs/>
          <w:color w:val="auto"/>
          <w:lang w:eastAsia="es-ES"/>
        </w:rPr>
      </w:pPr>
      <w:r w:rsidRPr="00987FC8">
        <w:rPr>
          <w:rFonts w:eastAsia="Times New Roman" w:cs="Tahoma"/>
          <w:iCs/>
          <w:color w:val="auto"/>
          <w:lang w:eastAsia="es-ES"/>
        </w:rPr>
        <w:t>Podrán percibir contribuciones que establezcan los Estados sobre la propiedad</w:t>
      </w:r>
    </w:p>
    <w:p w14:paraId="2B9DFD16" w14:textId="77777777" w:rsidR="00987FC8" w:rsidRPr="00987FC8" w:rsidRDefault="00987FC8" w:rsidP="00020B86">
      <w:pPr>
        <w:numPr>
          <w:ilvl w:val="0"/>
          <w:numId w:val="12"/>
        </w:numPr>
        <w:tabs>
          <w:tab w:val="left" w:pos="4962"/>
        </w:tabs>
        <w:spacing w:after="0" w:line="360" w:lineRule="auto"/>
        <w:contextualSpacing/>
        <w:jc w:val="left"/>
        <w:rPr>
          <w:rFonts w:eastAsia="Times New Roman" w:cs="Tahoma"/>
          <w:iCs/>
          <w:color w:val="auto"/>
          <w:lang w:eastAsia="es-ES"/>
        </w:rPr>
      </w:pPr>
      <w:r w:rsidRPr="00987FC8">
        <w:rPr>
          <w:rFonts w:eastAsia="Times New Roman" w:cs="Tahoma"/>
          <w:iCs/>
          <w:color w:val="auto"/>
          <w:lang w:eastAsia="es-ES"/>
        </w:rPr>
        <w:t>inmobiliaria, de su fraccionamiento, división, consolidación, traslación y mejora;</w:t>
      </w:r>
    </w:p>
    <w:p w14:paraId="6702F701" w14:textId="77777777" w:rsidR="00987FC8" w:rsidRPr="00987FC8" w:rsidRDefault="00987FC8" w:rsidP="00020B86">
      <w:pPr>
        <w:numPr>
          <w:ilvl w:val="0"/>
          <w:numId w:val="12"/>
        </w:numPr>
        <w:tabs>
          <w:tab w:val="left" w:pos="4962"/>
        </w:tabs>
        <w:spacing w:after="0" w:line="360" w:lineRule="auto"/>
        <w:contextualSpacing/>
        <w:jc w:val="left"/>
        <w:rPr>
          <w:rFonts w:eastAsia="Times New Roman" w:cs="Tahoma"/>
          <w:iCs/>
          <w:color w:val="auto"/>
          <w:lang w:eastAsia="es-ES"/>
        </w:rPr>
      </w:pPr>
      <w:r w:rsidRPr="00987FC8">
        <w:rPr>
          <w:rFonts w:eastAsia="Times New Roman" w:cs="Tahoma"/>
          <w:iCs/>
          <w:color w:val="auto"/>
          <w:lang w:eastAsia="es-ES"/>
        </w:rPr>
        <w:t>Las participaciones federales, y</w:t>
      </w:r>
    </w:p>
    <w:p w14:paraId="77CABC2C" w14:textId="77777777" w:rsidR="00987FC8" w:rsidRPr="00987FC8" w:rsidRDefault="00987FC8" w:rsidP="00020B86">
      <w:pPr>
        <w:numPr>
          <w:ilvl w:val="0"/>
          <w:numId w:val="12"/>
        </w:numPr>
        <w:tabs>
          <w:tab w:val="left" w:pos="4962"/>
        </w:tabs>
        <w:spacing w:after="0" w:line="360" w:lineRule="auto"/>
        <w:contextualSpacing/>
        <w:jc w:val="left"/>
        <w:rPr>
          <w:rFonts w:eastAsia="Times New Roman" w:cs="Tahoma"/>
          <w:iCs/>
          <w:color w:val="auto"/>
          <w:lang w:eastAsia="es-ES"/>
        </w:rPr>
      </w:pPr>
      <w:r w:rsidRPr="00987FC8">
        <w:rPr>
          <w:rFonts w:eastAsia="Times New Roman" w:cs="Tahoma"/>
          <w:iCs/>
          <w:color w:val="auto"/>
          <w:lang w:eastAsia="es-ES"/>
        </w:rPr>
        <w:t>Los ingresos derivados de la prestación de servicios públicos.</w:t>
      </w:r>
    </w:p>
    <w:p w14:paraId="37A1E9E2" w14:textId="77777777" w:rsidR="00987FC8" w:rsidRPr="00987FC8" w:rsidRDefault="00987FC8" w:rsidP="00987FC8">
      <w:pPr>
        <w:tabs>
          <w:tab w:val="left" w:pos="4962"/>
        </w:tabs>
        <w:spacing w:after="0" w:line="360" w:lineRule="auto"/>
        <w:contextualSpacing/>
        <w:rPr>
          <w:rFonts w:eastAsia="Times New Roman" w:cs="Tahoma"/>
          <w:iCs/>
          <w:color w:val="auto"/>
          <w:lang w:eastAsia="es-ES"/>
        </w:rPr>
      </w:pPr>
    </w:p>
    <w:p w14:paraId="154AE3C9" w14:textId="77777777" w:rsidR="00987FC8" w:rsidRPr="00855AE9" w:rsidRDefault="00987FC8" w:rsidP="00987FC8">
      <w:pPr>
        <w:spacing w:after="0" w:line="360" w:lineRule="auto"/>
      </w:pPr>
      <w:r w:rsidRPr="00855AE9">
        <w:t>Al respecto, los artículos 115, fracción IV, de la Constitución Política de los Estados Unidos Mexicanos y 125, fracciones I a III, de la Constitución Política de los Estado Libre y Soberano de México, precisan que los Municipios administrarán libremente su hacienda, la cual se formará de los rendimientos de los bienes que les pertenezcan, así como de las contribuciones y otros ingresos tengan, conforme a lo siguiente:</w:t>
      </w:r>
    </w:p>
    <w:p w14:paraId="75115D59" w14:textId="77777777" w:rsidR="00987FC8" w:rsidRPr="00855AE9" w:rsidRDefault="00987FC8" w:rsidP="00987FC8">
      <w:pPr>
        <w:spacing w:after="0" w:line="360" w:lineRule="auto"/>
      </w:pPr>
    </w:p>
    <w:p w14:paraId="36371C8A" w14:textId="77777777" w:rsidR="00987FC8" w:rsidRPr="00855AE9" w:rsidRDefault="00987FC8" w:rsidP="00020B86">
      <w:pPr>
        <w:numPr>
          <w:ilvl w:val="0"/>
          <w:numId w:val="14"/>
        </w:numPr>
        <w:spacing w:after="0" w:line="360" w:lineRule="auto"/>
        <w:jc w:val="left"/>
      </w:pPr>
      <w:r w:rsidRPr="00855AE9">
        <w:t>Podrán percibir contribuciones que establezcan los Estados sobre la propiedad inmobiliaria, de su fraccionamiento, división, consolidación, traslación y mejora;</w:t>
      </w:r>
    </w:p>
    <w:p w14:paraId="7B4EA1B0" w14:textId="77777777" w:rsidR="00987FC8" w:rsidRPr="00855AE9" w:rsidRDefault="00987FC8" w:rsidP="00020B86">
      <w:pPr>
        <w:numPr>
          <w:ilvl w:val="0"/>
          <w:numId w:val="14"/>
        </w:numPr>
        <w:spacing w:after="0" w:line="360" w:lineRule="auto"/>
        <w:jc w:val="left"/>
      </w:pPr>
      <w:r w:rsidRPr="00855AE9">
        <w:t>Las participaciones federales, y</w:t>
      </w:r>
    </w:p>
    <w:p w14:paraId="129DC8B0" w14:textId="77777777" w:rsidR="00987FC8" w:rsidRPr="00855AE9" w:rsidRDefault="00987FC8" w:rsidP="00020B86">
      <w:pPr>
        <w:numPr>
          <w:ilvl w:val="0"/>
          <w:numId w:val="14"/>
        </w:numPr>
        <w:spacing w:after="0" w:line="360" w:lineRule="auto"/>
        <w:jc w:val="left"/>
      </w:pPr>
      <w:r w:rsidRPr="00855AE9">
        <w:lastRenderedPageBreak/>
        <w:t>Los ingresos derivados de la prestación de servicios públicos.</w:t>
      </w:r>
    </w:p>
    <w:p w14:paraId="4A28C335" w14:textId="77777777" w:rsidR="00987FC8" w:rsidRPr="00855AE9" w:rsidRDefault="00987FC8" w:rsidP="00987FC8">
      <w:pPr>
        <w:spacing w:after="0" w:line="360" w:lineRule="auto"/>
        <w:ind w:left="720"/>
        <w:jc w:val="left"/>
      </w:pPr>
    </w:p>
    <w:p w14:paraId="18D595BC" w14:textId="77777777" w:rsidR="00987FC8" w:rsidRPr="00855AE9" w:rsidRDefault="00987FC8" w:rsidP="00987FC8">
      <w:pPr>
        <w:spacing w:after="0" w:line="360" w:lineRule="auto"/>
      </w:pPr>
      <w:r w:rsidRPr="00855AE9">
        <w:t>Conforme a lo expuesto, se colige que el Ayuntamiento de Ozumba es una autoridad fiscal, encargada de recabar diversos derechos, contribuciones, entre otros y, por lo tanto, cuenta en sus archivos información que puede obstruir o impedir el ejercicio de sus facultades que lleva como autoridad competente para recaudar, fiscalizar y comprobar el cumplimiento de las obligaciones fiscales.</w:t>
      </w:r>
    </w:p>
    <w:p w14:paraId="475B2A35" w14:textId="77777777" w:rsidR="00987FC8" w:rsidRPr="00987FC8" w:rsidRDefault="00987FC8" w:rsidP="00987FC8">
      <w:pPr>
        <w:tabs>
          <w:tab w:val="left" w:pos="4962"/>
        </w:tabs>
        <w:spacing w:after="0" w:line="360" w:lineRule="auto"/>
        <w:contextualSpacing/>
        <w:rPr>
          <w:rFonts w:eastAsia="Calibri" w:cs="Tahoma"/>
          <w:color w:val="auto"/>
          <w:szCs w:val="20"/>
          <w:lang w:eastAsia="es-ES"/>
        </w:rPr>
      </w:pPr>
    </w:p>
    <w:p w14:paraId="0F6F0993" w14:textId="728D3617" w:rsidR="00987FC8" w:rsidRPr="00987FC8" w:rsidRDefault="00987FC8" w:rsidP="00987FC8">
      <w:pPr>
        <w:tabs>
          <w:tab w:val="left" w:pos="4962"/>
        </w:tabs>
        <w:spacing w:after="0" w:line="360" w:lineRule="auto"/>
        <w:contextualSpacing/>
        <w:rPr>
          <w:rFonts w:eastAsia="Calibri" w:cs="Tahoma"/>
          <w:color w:val="auto"/>
          <w:szCs w:val="20"/>
          <w:lang w:eastAsia="es-ES"/>
        </w:rPr>
      </w:pPr>
      <w:r w:rsidRPr="00987FC8">
        <w:rPr>
          <w:rFonts w:eastAsia="Calibri" w:cs="Tahoma"/>
          <w:color w:val="auto"/>
          <w:szCs w:val="20"/>
          <w:lang w:eastAsia="es-ES"/>
        </w:rPr>
        <w:t xml:space="preserve">Sin embargo, cabe recordar que la pretensión del ahora Recurrente, es únicamente conocer </w:t>
      </w:r>
      <w:r>
        <w:rPr>
          <w:rFonts w:eastAsia="Times New Roman" w:cs="Times New Roman"/>
          <w:color w:val="auto"/>
          <w:szCs w:val="20"/>
          <w:lang w:eastAsia="es-ES"/>
        </w:rPr>
        <w:t>recibos emitidos por  aportaciones de mejora</w:t>
      </w:r>
      <w:r w:rsidRPr="00987FC8">
        <w:rPr>
          <w:rFonts w:eastAsia="Calibri" w:cs="Tahoma"/>
          <w:color w:val="auto"/>
          <w:szCs w:val="20"/>
          <w:lang w:eastAsia="es-ES"/>
        </w:rPr>
        <w:t>; por lo que, no se logra advertir la forma en que con dicha información pueda afectar la función de recaudar contribuciones del Sujeto Obligado, pues dicha información no da cuenta de la forma en que realizan dichas actividades, ni se trata de aquella obtenida en virtud de los trámites relativos a la aplicación de las disposiciones tributarias, así  como, de sus facultades de comprobación.</w:t>
      </w:r>
    </w:p>
    <w:p w14:paraId="31CF0978" w14:textId="77777777" w:rsidR="00987FC8" w:rsidRPr="00987FC8" w:rsidRDefault="00987FC8" w:rsidP="00987FC8">
      <w:pPr>
        <w:tabs>
          <w:tab w:val="left" w:pos="4962"/>
        </w:tabs>
        <w:spacing w:after="0" w:line="360" w:lineRule="auto"/>
        <w:contextualSpacing/>
        <w:rPr>
          <w:rFonts w:eastAsia="Calibri" w:cs="Tahoma"/>
          <w:color w:val="auto"/>
          <w:szCs w:val="20"/>
          <w:lang w:eastAsia="es-ES"/>
        </w:rPr>
      </w:pPr>
    </w:p>
    <w:p w14:paraId="6EAB1BDB" w14:textId="77777777" w:rsidR="00987FC8" w:rsidRPr="00987FC8" w:rsidRDefault="00987FC8" w:rsidP="00987FC8">
      <w:pPr>
        <w:tabs>
          <w:tab w:val="left" w:pos="4962"/>
        </w:tabs>
        <w:spacing w:after="0" w:line="360" w:lineRule="auto"/>
        <w:contextualSpacing/>
        <w:rPr>
          <w:rFonts w:eastAsia="Calibri" w:cs="Tahoma"/>
          <w:color w:val="auto"/>
          <w:szCs w:val="20"/>
          <w:lang w:eastAsia="es-ES"/>
        </w:rPr>
      </w:pPr>
      <w:r w:rsidRPr="00987FC8">
        <w:rPr>
          <w:rFonts w:eastAsia="Calibri" w:cs="Tahoma"/>
          <w:color w:val="auto"/>
          <w:szCs w:val="20"/>
          <w:lang w:eastAsia="es-ES"/>
        </w:rPr>
        <w:t>Por tales circunstancias, se considera que la información solicitada por el Sujeto Obligado no</w:t>
      </w:r>
    </w:p>
    <w:p w14:paraId="3558838A" w14:textId="52C63803" w:rsidR="00987FC8" w:rsidRPr="00987FC8" w:rsidRDefault="00987FC8" w:rsidP="00987FC8">
      <w:pPr>
        <w:tabs>
          <w:tab w:val="left" w:pos="4962"/>
        </w:tabs>
        <w:spacing w:after="0" w:line="360" w:lineRule="auto"/>
        <w:contextualSpacing/>
        <w:rPr>
          <w:rFonts w:eastAsia="Calibri" w:cs="Tahoma"/>
          <w:color w:val="auto"/>
          <w:szCs w:val="20"/>
          <w:lang w:eastAsia="es-ES"/>
        </w:rPr>
      </w:pPr>
      <w:r w:rsidRPr="00987FC8">
        <w:rPr>
          <w:rFonts w:eastAsia="Calibri" w:cs="Tahoma"/>
          <w:color w:val="auto"/>
          <w:szCs w:val="20"/>
          <w:lang w:eastAsia="es-ES"/>
        </w:rPr>
        <w:t xml:space="preserve">actualiza la causal de reserva, establecida en el artículo 140, fracción V, numeral 2 de la Ley de Transparencia y Acceso a la Información Pública del Estado de México y Municipios, pues como se indicó no obstruye o impide el ejercicio de las facultades de recaudación del </w:t>
      </w:r>
      <w:r>
        <w:rPr>
          <w:rFonts w:eastAsia="Calibri" w:cs="Tahoma"/>
          <w:color w:val="auto"/>
          <w:szCs w:val="20"/>
          <w:lang w:eastAsia="es-ES"/>
        </w:rPr>
        <w:t>Ayuntamiento</w:t>
      </w:r>
      <w:r w:rsidRPr="00987FC8">
        <w:rPr>
          <w:rFonts w:eastAsia="Calibri" w:cs="Tahoma"/>
          <w:color w:val="auto"/>
          <w:szCs w:val="20"/>
          <w:lang w:eastAsia="es-ES"/>
        </w:rPr>
        <w:t>.</w:t>
      </w:r>
      <w:r w:rsidRPr="00987FC8">
        <w:rPr>
          <w:rFonts w:ascii="Times New Roman" w:eastAsia="Times New Roman" w:hAnsi="Times New Roman" w:cs="Times New Roman"/>
          <w:color w:val="auto"/>
          <w:sz w:val="20"/>
          <w:szCs w:val="20"/>
          <w:lang w:eastAsia="es-ES"/>
        </w:rPr>
        <w:t xml:space="preserve"> </w:t>
      </w:r>
      <w:r w:rsidRPr="00987FC8">
        <w:rPr>
          <w:rFonts w:eastAsia="Calibri" w:cs="Tahoma"/>
          <w:color w:val="auto"/>
          <w:szCs w:val="20"/>
          <w:lang w:eastAsia="es-ES"/>
        </w:rPr>
        <w:t>Conforme a lo anterior, se logra vislumbrar que no se acredito ninguna de las causales de reserva señaladas.</w:t>
      </w:r>
    </w:p>
    <w:p w14:paraId="7026117F" w14:textId="77777777" w:rsidR="00987FC8" w:rsidRDefault="00987FC8" w:rsidP="00091A65">
      <w:pPr>
        <w:spacing w:after="0" w:line="360" w:lineRule="auto"/>
        <w:rPr>
          <w:rFonts w:eastAsia="Times New Roman" w:cs="Tahoma"/>
          <w:bCs/>
          <w:iCs/>
          <w:lang w:eastAsia="es-ES"/>
        </w:rPr>
      </w:pPr>
    </w:p>
    <w:p w14:paraId="2B3C5C2D" w14:textId="77777777" w:rsidR="00987FC8" w:rsidRDefault="00987FC8" w:rsidP="00C70AD5">
      <w:pPr>
        <w:spacing w:after="0" w:line="360" w:lineRule="auto"/>
        <w:rPr>
          <w:rFonts w:cs="Tahoma"/>
          <w:bCs/>
          <w:color w:val="000000"/>
          <w:lang w:val="es-ES"/>
        </w:rPr>
      </w:pPr>
      <w:r w:rsidRPr="0056754D">
        <w:rPr>
          <w:rFonts w:cs="Tahoma"/>
          <w:bCs/>
          <w:color w:val="000000"/>
          <w:lang w:val="es-ES"/>
        </w:rPr>
        <w:t xml:space="preserve">En ese contexto, los artículos 3°, fracción XLV, y 137 de la Ley de Transparencia y Acceso a la Información Pública del Estado de México y Municipios y los numerales Segundo, fracción XVIII, y Quincuagésimo sexto de los </w:t>
      </w:r>
      <w:r w:rsidRPr="0056754D">
        <w:rPr>
          <w:color w:val="000000"/>
        </w:rPr>
        <w:t>Lineamientos Generales</w:t>
      </w:r>
      <w:r w:rsidRPr="0056754D">
        <w:rPr>
          <w:rFonts w:cs="Tahoma"/>
          <w:bCs/>
          <w:color w:val="000000"/>
          <w:lang w:val="es-ES"/>
        </w:rPr>
        <w:t xml:space="preserve">, establecen que cuando un documento contenga información pública y reservada o confidencial, la Unidad de </w:t>
      </w:r>
      <w:r w:rsidRPr="0056754D">
        <w:rPr>
          <w:rFonts w:cs="Tahoma"/>
          <w:bCs/>
          <w:color w:val="000000"/>
          <w:lang w:val="es-ES"/>
        </w:rPr>
        <w:lastRenderedPageBreak/>
        <w:t>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3E6391E0" w14:textId="77777777" w:rsidR="00C70AD5" w:rsidRPr="0056754D" w:rsidRDefault="00C70AD5" w:rsidP="00C70AD5">
      <w:pPr>
        <w:spacing w:after="0" w:line="360" w:lineRule="auto"/>
        <w:rPr>
          <w:rFonts w:cs="Tahoma"/>
          <w:bCs/>
          <w:color w:val="000000"/>
          <w:lang w:val="es-ES"/>
        </w:rPr>
      </w:pPr>
    </w:p>
    <w:p w14:paraId="7EED444C" w14:textId="77777777" w:rsidR="00987FC8" w:rsidRPr="0056754D" w:rsidRDefault="00987FC8" w:rsidP="00987FC8">
      <w:pPr>
        <w:spacing w:line="360" w:lineRule="auto"/>
        <w:rPr>
          <w:rFonts w:cs="Tahoma"/>
          <w:bCs/>
          <w:color w:val="000000"/>
          <w:lang w:val="es-ES"/>
        </w:rPr>
      </w:pPr>
      <w:r w:rsidRPr="0056754D">
        <w:rPr>
          <w:rFonts w:cs="Tahoma"/>
          <w:bCs/>
          <w:color w:val="000000"/>
          <w:lang w:val="es-ES"/>
        </w:rPr>
        <w:t>Como se logra observar, la clasificación total del documento no es la única forma de proteger información localizada en este, pues existe otro procedimiento, en el cual, solamente se testan las partes que contienen datos o información, denominado versión pública; con lo cual, el Sujeto Obligado podría testar los datos confidenciales y proporcionar el documento que da cuenta de la información solicitada</w:t>
      </w:r>
      <w:r>
        <w:rPr>
          <w:rFonts w:cs="Tahoma"/>
          <w:bCs/>
          <w:color w:val="000000"/>
          <w:lang w:val="es-ES"/>
        </w:rPr>
        <w:t>, con lo cual se robustece que no procede la reservada aludida.</w:t>
      </w:r>
    </w:p>
    <w:p w14:paraId="0A410BB0" w14:textId="77777777" w:rsidR="00987FC8" w:rsidRDefault="00987FC8" w:rsidP="00091A65">
      <w:pPr>
        <w:spacing w:after="0" w:line="360" w:lineRule="auto"/>
        <w:rPr>
          <w:rFonts w:eastAsia="Times New Roman" w:cs="Tahoma"/>
          <w:bCs/>
          <w:iCs/>
          <w:lang w:val="es-ES" w:eastAsia="es-ES"/>
        </w:rPr>
      </w:pPr>
    </w:p>
    <w:p w14:paraId="474768B1" w14:textId="6D62C2EC" w:rsidR="00987FC8" w:rsidRDefault="00987FC8" w:rsidP="00987FC8">
      <w:pPr>
        <w:tabs>
          <w:tab w:val="left" w:pos="4962"/>
        </w:tabs>
        <w:spacing w:line="360" w:lineRule="auto"/>
        <w:contextualSpacing/>
        <w:rPr>
          <w:rFonts w:eastAsia="Calibri" w:cs="Tahoma"/>
        </w:rPr>
      </w:pPr>
      <w:r>
        <w:rPr>
          <w:rFonts w:eastAsia="Calibri" w:cs="Tahoma"/>
        </w:rPr>
        <w:t>Así</w:t>
      </w:r>
      <w:r w:rsidRPr="00F318DA">
        <w:rPr>
          <w:rFonts w:eastAsia="Calibri" w:cs="Tahoma"/>
        </w:rPr>
        <w:t xml:space="preserve">, resulta procedente ordenar la entrega </w:t>
      </w:r>
      <w:r>
        <w:rPr>
          <w:rFonts w:eastAsia="Calibri" w:cs="Tahoma"/>
        </w:rPr>
        <w:t>de los recibos emitidos por la Tesorería Municipal, del primero de enero al once de noviembre de dos mil veinticinco</w:t>
      </w:r>
      <w:r w:rsidR="00E42C08">
        <w:rPr>
          <w:rFonts w:eastAsia="Calibri" w:cs="Tahoma"/>
        </w:rPr>
        <w:t>, por concepto de aportaciones de mejoras, por un monto mayor de cien mil pesos</w:t>
      </w:r>
      <w:r>
        <w:rPr>
          <w:rFonts w:eastAsia="Calibri" w:cs="Tahoma"/>
        </w:rPr>
        <w:t xml:space="preserve">; </w:t>
      </w:r>
      <w:r w:rsidRPr="00F318DA">
        <w:rPr>
          <w:rFonts w:eastAsia="Calibri" w:cs="Tahoma"/>
        </w:rPr>
        <w:t>dicha determinación toma sustento, en el artículo 12 de la Ley</w:t>
      </w:r>
      <w:r>
        <w:rPr>
          <w:rFonts w:eastAsia="Calibri" w:cs="Tahoma"/>
        </w:rPr>
        <w:t xml:space="preserve"> </w:t>
      </w:r>
      <w:r w:rsidRPr="00F318DA">
        <w:rPr>
          <w:rFonts w:eastAsia="Calibri" w:cs="Tahoma"/>
        </w:rPr>
        <w:t>de la materia, los sujetos obligados sólo están constreñidos a proporcionar la información</w:t>
      </w:r>
      <w:r>
        <w:rPr>
          <w:rFonts w:eastAsia="Calibri" w:cs="Tahoma"/>
        </w:rPr>
        <w:t xml:space="preserve"> </w:t>
      </w:r>
      <w:r w:rsidRPr="00F318DA">
        <w:rPr>
          <w:rFonts w:eastAsia="Calibri" w:cs="Tahoma"/>
        </w:rPr>
        <w:t>pública que obre en sus archivos, en el estado en que esta se encuentre; por lo que, la</w:t>
      </w:r>
      <w:r>
        <w:rPr>
          <w:rFonts w:eastAsia="Calibri" w:cs="Tahoma"/>
        </w:rPr>
        <w:t xml:space="preserve"> </w:t>
      </w:r>
      <w:r w:rsidRPr="00F318DA">
        <w:rPr>
          <w:rFonts w:eastAsia="Calibri" w:cs="Tahoma"/>
        </w:rPr>
        <w:t>entrega no comprende el procesamiento de la misma, ni presentarla conforme al interés del</w:t>
      </w:r>
      <w:r>
        <w:rPr>
          <w:rFonts w:eastAsia="Calibri" w:cs="Tahoma"/>
        </w:rPr>
        <w:t xml:space="preserve"> </w:t>
      </w:r>
      <w:r w:rsidRPr="00F318DA">
        <w:rPr>
          <w:rFonts w:eastAsia="Calibri" w:cs="Tahoma"/>
        </w:rPr>
        <w:t>solicitante, además, que tampoco deberá generarla, resumirla, efectuar cálculos o practicar</w:t>
      </w:r>
      <w:r>
        <w:rPr>
          <w:rFonts w:eastAsia="Calibri" w:cs="Tahoma"/>
        </w:rPr>
        <w:t xml:space="preserve"> </w:t>
      </w:r>
      <w:r w:rsidRPr="00F318DA">
        <w:rPr>
          <w:rFonts w:eastAsia="Calibri" w:cs="Tahoma"/>
        </w:rPr>
        <w:t>investigaciones.</w:t>
      </w:r>
    </w:p>
    <w:p w14:paraId="198839D4" w14:textId="77777777" w:rsidR="00987FC8" w:rsidRDefault="00987FC8" w:rsidP="00987FC8">
      <w:pPr>
        <w:tabs>
          <w:tab w:val="left" w:pos="4962"/>
        </w:tabs>
        <w:spacing w:line="360" w:lineRule="auto"/>
        <w:contextualSpacing/>
        <w:rPr>
          <w:rFonts w:eastAsia="Calibri" w:cs="Tahoma"/>
        </w:rPr>
      </w:pPr>
    </w:p>
    <w:p w14:paraId="1A1F2BB2" w14:textId="77777777" w:rsidR="00987FC8" w:rsidRDefault="00987FC8" w:rsidP="00987FC8">
      <w:pPr>
        <w:tabs>
          <w:tab w:val="left" w:pos="4962"/>
        </w:tabs>
        <w:spacing w:line="360" w:lineRule="auto"/>
        <w:contextualSpacing/>
        <w:rPr>
          <w:rFonts w:eastAsia="Calibri" w:cs="Tahoma"/>
        </w:rPr>
      </w:pPr>
      <w:r w:rsidRPr="00D70357">
        <w:rPr>
          <w:rFonts w:eastAsia="Calibri" w:cs="Tahoma"/>
        </w:rPr>
        <w:t>De esta manera, el derecho de acceso a la información pública se satisface en aquellos</w:t>
      </w:r>
      <w:r>
        <w:rPr>
          <w:rFonts w:eastAsia="Calibri" w:cs="Tahoma"/>
        </w:rPr>
        <w:t xml:space="preserve"> </w:t>
      </w:r>
      <w:r w:rsidRPr="00D70357">
        <w:rPr>
          <w:rFonts w:eastAsia="Calibri" w:cs="Tahoma"/>
        </w:rPr>
        <w:t>casos en que se entregue el soporte documental en el que conste la información solicitada,</w:t>
      </w:r>
      <w:r>
        <w:rPr>
          <w:rFonts w:eastAsia="Calibri" w:cs="Tahoma"/>
        </w:rPr>
        <w:t xml:space="preserve"> </w:t>
      </w:r>
      <w:r w:rsidRPr="00D70357">
        <w:rPr>
          <w:rFonts w:eastAsia="Calibri" w:cs="Tahoma"/>
        </w:rPr>
        <w:t xml:space="preserve">sin necesidad de elaborar documentos </w:t>
      </w:r>
      <w:r w:rsidRPr="00D70357">
        <w:rPr>
          <w:rFonts w:eastAsia="Calibri" w:cs="Tahoma"/>
          <w:i/>
          <w:iCs/>
        </w:rPr>
        <w:t>ad hoc</w:t>
      </w:r>
      <w:r w:rsidRPr="00D70357">
        <w:rPr>
          <w:rFonts w:eastAsia="Calibri" w:cs="Tahoma"/>
        </w:rPr>
        <w:t>; lo cual, toma sustento en el artículo 160 de la</w:t>
      </w:r>
      <w:r>
        <w:rPr>
          <w:rFonts w:eastAsia="Calibri" w:cs="Tahoma"/>
        </w:rPr>
        <w:t xml:space="preserve"> </w:t>
      </w:r>
      <w:r w:rsidRPr="00D70357">
        <w:rPr>
          <w:rFonts w:eastAsia="Calibri" w:cs="Tahoma"/>
        </w:rPr>
        <w:t>Ley de Transparencia y Acceso a la Información Pública del Estado de México y Municipios,</w:t>
      </w:r>
      <w:r w:rsidRPr="00D70357">
        <w:t xml:space="preserve"> </w:t>
      </w:r>
      <w:r w:rsidRPr="00D70357">
        <w:rPr>
          <w:rFonts w:eastAsia="Calibri" w:cs="Tahoma"/>
        </w:rPr>
        <w:t xml:space="preserve">el </w:t>
      </w:r>
      <w:r w:rsidRPr="00D70357">
        <w:rPr>
          <w:rFonts w:eastAsia="Calibri" w:cs="Tahoma"/>
        </w:rPr>
        <w:lastRenderedPageBreak/>
        <w:t>cual refiere que los sujetos obligados deberán entregar la información que obre en sus</w:t>
      </w:r>
      <w:r>
        <w:rPr>
          <w:rFonts w:eastAsia="Calibri" w:cs="Tahoma"/>
        </w:rPr>
        <w:t xml:space="preserve"> </w:t>
      </w:r>
      <w:r w:rsidRPr="00D70357">
        <w:rPr>
          <w:rFonts w:eastAsia="Calibri" w:cs="Tahoma"/>
        </w:rPr>
        <w:t>archivos.</w:t>
      </w:r>
    </w:p>
    <w:p w14:paraId="38DC0F8D" w14:textId="77777777" w:rsidR="00987FC8" w:rsidRDefault="00987FC8" w:rsidP="00987FC8">
      <w:pPr>
        <w:tabs>
          <w:tab w:val="left" w:pos="4962"/>
        </w:tabs>
        <w:spacing w:line="360" w:lineRule="auto"/>
        <w:contextualSpacing/>
        <w:rPr>
          <w:rFonts w:eastAsia="Calibri" w:cs="Tahoma"/>
        </w:rPr>
      </w:pPr>
    </w:p>
    <w:p w14:paraId="6D4D5D6D" w14:textId="6011AE48" w:rsidR="00987FC8" w:rsidRDefault="00987FC8" w:rsidP="00987FC8">
      <w:pPr>
        <w:tabs>
          <w:tab w:val="left" w:pos="4962"/>
        </w:tabs>
        <w:spacing w:line="360" w:lineRule="auto"/>
        <w:contextualSpacing/>
        <w:rPr>
          <w:rFonts w:eastAsia="Calibri" w:cs="Tahoma"/>
        </w:rPr>
      </w:pPr>
      <w:r w:rsidRPr="00D70357">
        <w:rPr>
          <w:rFonts w:eastAsia="Calibri" w:cs="Tahoma"/>
        </w:rPr>
        <w:t>De tales circunstancias, se concluye que los sujetos obligados únicamente se encuentran</w:t>
      </w:r>
      <w:r>
        <w:rPr>
          <w:rFonts w:eastAsia="Calibri" w:cs="Tahoma"/>
        </w:rPr>
        <w:t xml:space="preserve"> </w:t>
      </w:r>
      <w:r w:rsidRPr="00D70357">
        <w:rPr>
          <w:rFonts w:eastAsia="Calibri" w:cs="Tahoma"/>
        </w:rPr>
        <w:t>constreñidos a proporcionar los documentos que den cuenta de la información solicitada,</w:t>
      </w:r>
      <w:r>
        <w:rPr>
          <w:rFonts w:eastAsia="Calibri" w:cs="Tahoma"/>
        </w:rPr>
        <w:t xml:space="preserve"> </w:t>
      </w:r>
      <w:r w:rsidRPr="00D70357">
        <w:rPr>
          <w:rFonts w:eastAsia="Calibri" w:cs="Tahoma"/>
        </w:rPr>
        <w:t>como obren en sus archivos, sin tener que elaborarlos a las necesidades del Recurrente; por</w:t>
      </w:r>
      <w:r>
        <w:rPr>
          <w:rFonts w:eastAsia="Calibri" w:cs="Tahoma"/>
        </w:rPr>
        <w:t xml:space="preserve"> </w:t>
      </w:r>
      <w:r w:rsidRPr="00D70357">
        <w:rPr>
          <w:rFonts w:eastAsia="Calibri" w:cs="Tahoma"/>
        </w:rPr>
        <w:t>lo que, en el presente caso, el Ente Recurrido, deberá entregar aquellas expresiones</w:t>
      </w:r>
      <w:r>
        <w:rPr>
          <w:rFonts w:eastAsia="Calibri" w:cs="Tahoma"/>
        </w:rPr>
        <w:t xml:space="preserve"> </w:t>
      </w:r>
      <w:r w:rsidRPr="00D70357">
        <w:rPr>
          <w:rFonts w:eastAsia="Calibri" w:cs="Tahoma"/>
        </w:rPr>
        <w:t>documentales donde obre la información peticionada.</w:t>
      </w:r>
      <w:r w:rsidR="00E42C08">
        <w:rPr>
          <w:rFonts w:eastAsia="Calibri" w:cs="Tahoma"/>
        </w:rPr>
        <w:t xml:space="preserve"> Ahora bien, para el caso de que no haya recibido aportaciones de mejoras por el monto solicitado, deberá hacerlo del conocimiento de la parte Recurrente de manera clara y precisa.</w:t>
      </w:r>
    </w:p>
    <w:p w14:paraId="007C9AB3" w14:textId="77777777" w:rsidR="00987FC8" w:rsidRDefault="00987FC8" w:rsidP="00091A65">
      <w:pPr>
        <w:spacing w:after="0" w:line="360" w:lineRule="auto"/>
        <w:rPr>
          <w:rFonts w:eastAsia="Times New Roman" w:cs="Tahoma"/>
          <w:bCs/>
          <w:iCs/>
          <w:lang w:eastAsia="es-ES"/>
        </w:rPr>
      </w:pPr>
    </w:p>
    <w:p w14:paraId="3E76230B" w14:textId="17D02F0F" w:rsidR="00E42C08" w:rsidRPr="00702C31" w:rsidRDefault="00E42C08" w:rsidP="00E42C08">
      <w:pPr>
        <w:spacing w:after="0" w:line="360" w:lineRule="auto"/>
      </w:pPr>
      <w:r w:rsidRPr="00702C31">
        <w:t xml:space="preserve">Ahora bien, </w:t>
      </w:r>
      <w:r>
        <w:t>los recibos pudieran contener los siguientes datos, los cuales se precisan de manera enunciativa, más no limitativa</w:t>
      </w:r>
      <w:r w:rsidRPr="00702C31">
        <w:t>:</w:t>
      </w:r>
    </w:p>
    <w:p w14:paraId="552B2C1F" w14:textId="77777777" w:rsidR="00E42C08" w:rsidRPr="00702C31" w:rsidRDefault="00E42C08" w:rsidP="00E42C08">
      <w:pPr>
        <w:spacing w:after="0" w:line="360" w:lineRule="auto"/>
      </w:pPr>
    </w:p>
    <w:p w14:paraId="744873E8" w14:textId="0AF453C6" w:rsidR="00E42C08" w:rsidRDefault="00E42C08" w:rsidP="00020B86">
      <w:pPr>
        <w:numPr>
          <w:ilvl w:val="0"/>
          <w:numId w:val="15"/>
        </w:numPr>
        <w:pBdr>
          <w:top w:val="nil"/>
          <w:left w:val="nil"/>
          <w:bottom w:val="nil"/>
          <w:right w:val="nil"/>
          <w:between w:val="nil"/>
        </w:pBdr>
        <w:spacing w:after="0" w:line="360" w:lineRule="auto"/>
      </w:pPr>
      <w:r w:rsidRPr="00702C31">
        <w:t>Nombre de Particulares</w:t>
      </w:r>
      <w:r>
        <w:t xml:space="preserve"> (contribuyentes);</w:t>
      </w:r>
    </w:p>
    <w:p w14:paraId="525B0D82" w14:textId="1824908C" w:rsidR="00E42C08" w:rsidRDefault="00E42C08" w:rsidP="00020B86">
      <w:pPr>
        <w:numPr>
          <w:ilvl w:val="0"/>
          <w:numId w:val="15"/>
        </w:numPr>
        <w:pBdr>
          <w:top w:val="nil"/>
          <w:left w:val="nil"/>
          <w:bottom w:val="nil"/>
          <w:right w:val="nil"/>
          <w:between w:val="nil"/>
        </w:pBdr>
        <w:spacing w:after="0" w:line="360" w:lineRule="auto"/>
      </w:pPr>
      <w:r>
        <w:t>Domicilio Particular (contribuyentes);</w:t>
      </w:r>
    </w:p>
    <w:p w14:paraId="10D99314" w14:textId="286A7DDB" w:rsidR="00E42C08" w:rsidRPr="00702C31" w:rsidRDefault="00E42C08" w:rsidP="00020B86">
      <w:pPr>
        <w:numPr>
          <w:ilvl w:val="0"/>
          <w:numId w:val="15"/>
        </w:numPr>
        <w:pBdr>
          <w:top w:val="nil"/>
          <w:left w:val="nil"/>
          <w:bottom w:val="nil"/>
          <w:right w:val="nil"/>
          <w:between w:val="nil"/>
        </w:pBdr>
        <w:spacing w:after="0" w:line="360" w:lineRule="auto"/>
      </w:pPr>
      <w:r>
        <w:t>Datos Bancarios.</w:t>
      </w:r>
    </w:p>
    <w:p w14:paraId="3FD57AE2" w14:textId="77777777" w:rsidR="00987FC8" w:rsidRDefault="00987FC8" w:rsidP="00091A65">
      <w:pPr>
        <w:spacing w:after="0" w:line="360" w:lineRule="auto"/>
        <w:rPr>
          <w:rFonts w:eastAsia="Times New Roman" w:cs="Tahoma"/>
          <w:bCs/>
          <w:iCs/>
          <w:lang w:eastAsia="es-ES"/>
        </w:rPr>
      </w:pPr>
    </w:p>
    <w:p w14:paraId="263DA833" w14:textId="77777777" w:rsidR="00E42C08" w:rsidRPr="00E42C08" w:rsidRDefault="00E42C08" w:rsidP="00E42C08">
      <w:pPr>
        <w:spacing w:after="0" w:line="360" w:lineRule="auto"/>
        <w:rPr>
          <w:color w:val="auto"/>
        </w:rPr>
      </w:pPr>
      <w:r w:rsidRPr="00E42C08">
        <w:rPr>
          <w:color w:val="auto"/>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266A6613" w14:textId="77777777" w:rsidR="00E42C08" w:rsidRPr="00E42C08" w:rsidRDefault="00E42C08" w:rsidP="00E42C08">
      <w:pPr>
        <w:spacing w:after="0" w:line="360" w:lineRule="auto"/>
        <w:rPr>
          <w:color w:val="auto"/>
        </w:rPr>
      </w:pPr>
    </w:p>
    <w:p w14:paraId="5ADAAD8F" w14:textId="77777777" w:rsidR="00E42C08" w:rsidRPr="00E42C08" w:rsidRDefault="00E42C08" w:rsidP="00E42C08">
      <w:pPr>
        <w:spacing w:after="0" w:line="360" w:lineRule="auto"/>
        <w:rPr>
          <w:color w:val="auto"/>
        </w:rPr>
      </w:pPr>
      <w:r w:rsidRPr="00E42C08">
        <w:rPr>
          <w:color w:val="auto"/>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w:t>
      </w:r>
      <w:r w:rsidRPr="00E42C08">
        <w:rPr>
          <w:color w:val="auto"/>
        </w:rPr>
        <w:lastRenderedPageBreak/>
        <w:t xml:space="preserve">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 </w:t>
      </w:r>
    </w:p>
    <w:p w14:paraId="12412BCE" w14:textId="77777777" w:rsidR="00E42C08" w:rsidRPr="00E42C08" w:rsidRDefault="00E42C08" w:rsidP="00E42C08">
      <w:pPr>
        <w:spacing w:after="0" w:line="360" w:lineRule="auto"/>
        <w:rPr>
          <w:color w:val="auto"/>
        </w:rPr>
      </w:pPr>
    </w:p>
    <w:p w14:paraId="693A440B" w14:textId="77777777" w:rsidR="00E42C08" w:rsidRPr="00E42C08" w:rsidRDefault="00E42C08" w:rsidP="00E42C08">
      <w:pPr>
        <w:spacing w:after="0" w:line="360" w:lineRule="auto"/>
        <w:rPr>
          <w:color w:val="auto"/>
        </w:rPr>
      </w:pPr>
      <w:r w:rsidRPr="00E42C08">
        <w:rPr>
          <w:color w:val="auto"/>
        </w:rPr>
        <w:t xml:space="preserve">En términos de lo expuesto, la documentación y aquellos datos que se consideren confidenciales, serán una limitante del derecho de acceso a la información, siempre y cuando: </w:t>
      </w:r>
    </w:p>
    <w:p w14:paraId="7B513B66" w14:textId="77777777" w:rsidR="00E42C08" w:rsidRPr="00E42C08" w:rsidRDefault="00E42C08" w:rsidP="00E42C08">
      <w:pPr>
        <w:spacing w:after="0" w:line="360" w:lineRule="auto"/>
        <w:rPr>
          <w:color w:val="auto"/>
        </w:rPr>
      </w:pPr>
    </w:p>
    <w:p w14:paraId="7660BD59" w14:textId="77777777" w:rsidR="00E42C08" w:rsidRPr="00E42C08" w:rsidRDefault="00E42C08" w:rsidP="00020B86">
      <w:pPr>
        <w:numPr>
          <w:ilvl w:val="0"/>
          <w:numId w:val="16"/>
        </w:numPr>
        <w:pBdr>
          <w:top w:val="nil"/>
          <w:left w:val="nil"/>
          <w:bottom w:val="nil"/>
          <w:right w:val="nil"/>
          <w:between w:val="nil"/>
        </w:pBdr>
        <w:spacing w:after="0" w:line="360" w:lineRule="auto"/>
        <w:rPr>
          <w:color w:val="auto"/>
        </w:rPr>
      </w:pPr>
      <w:r w:rsidRPr="00E42C08">
        <w:rPr>
          <w:color w:val="auto"/>
        </w:rPr>
        <w:t>Se trate de datos personales o información privada; esto es, información concerniente a una persona física o jurídico colectiva y que esta sea identificada o identificable.</w:t>
      </w:r>
    </w:p>
    <w:p w14:paraId="784D04ED" w14:textId="77777777" w:rsidR="00E42C08" w:rsidRPr="00E42C08" w:rsidRDefault="00E42C08" w:rsidP="00E42C08">
      <w:pPr>
        <w:pBdr>
          <w:top w:val="nil"/>
          <w:left w:val="nil"/>
          <w:bottom w:val="nil"/>
          <w:right w:val="nil"/>
          <w:between w:val="nil"/>
        </w:pBdr>
        <w:spacing w:after="0" w:line="360" w:lineRule="auto"/>
        <w:ind w:left="720"/>
        <w:rPr>
          <w:color w:val="auto"/>
        </w:rPr>
      </w:pPr>
    </w:p>
    <w:p w14:paraId="3DC2F335" w14:textId="77777777" w:rsidR="00E42C08" w:rsidRPr="00E42C08" w:rsidRDefault="00E42C08" w:rsidP="00020B86">
      <w:pPr>
        <w:numPr>
          <w:ilvl w:val="0"/>
          <w:numId w:val="16"/>
        </w:numPr>
        <w:pBdr>
          <w:top w:val="nil"/>
          <w:left w:val="nil"/>
          <w:bottom w:val="nil"/>
          <w:right w:val="nil"/>
          <w:between w:val="nil"/>
        </w:pBdr>
        <w:spacing w:after="0" w:line="360" w:lineRule="auto"/>
        <w:rPr>
          <w:color w:val="auto"/>
        </w:rPr>
      </w:pPr>
      <w:r w:rsidRPr="00E42C08">
        <w:rPr>
          <w:color w:val="auto"/>
        </w:rPr>
        <w:t>Para la difusión de los datos, se requiera el consentimiento del titular</w:t>
      </w:r>
    </w:p>
    <w:p w14:paraId="7AF8FC83" w14:textId="77777777" w:rsidR="00E42C08" w:rsidRPr="00E42C08" w:rsidRDefault="00E42C08" w:rsidP="00E42C08">
      <w:pPr>
        <w:spacing w:after="0" w:line="360" w:lineRule="auto"/>
        <w:rPr>
          <w:color w:val="auto"/>
        </w:rPr>
      </w:pPr>
    </w:p>
    <w:p w14:paraId="3CFC19A3" w14:textId="77777777" w:rsidR="00E42C08" w:rsidRPr="00E42C08" w:rsidRDefault="00E42C08" w:rsidP="00E42C08">
      <w:pPr>
        <w:spacing w:after="0" w:line="360" w:lineRule="auto"/>
        <w:rPr>
          <w:color w:val="auto"/>
        </w:rPr>
      </w:pPr>
      <w:r w:rsidRPr="00E42C08">
        <w:rPr>
          <w:color w:val="auto"/>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2E70595C" w14:textId="77777777" w:rsidR="00E42C08" w:rsidRPr="00E42C08" w:rsidRDefault="00E42C08" w:rsidP="00E42C08">
      <w:pPr>
        <w:spacing w:after="0" w:line="360" w:lineRule="auto"/>
        <w:rPr>
          <w:color w:val="auto"/>
        </w:rPr>
      </w:pPr>
    </w:p>
    <w:p w14:paraId="2720DB6A" w14:textId="77777777" w:rsidR="00E42C08" w:rsidRPr="00E42C08" w:rsidRDefault="00E42C08" w:rsidP="00E42C08">
      <w:pPr>
        <w:spacing w:after="0" w:line="360" w:lineRule="auto"/>
        <w:rPr>
          <w:color w:val="auto"/>
        </w:rPr>
      </w:pPr>
      <w:r w:rsidRPr="00E42C08">
        <w:rPr>
          <w:color w:val="auto"/>
        </w:rPr>
        <w:t xml:space="preserve">En este sentido, un dato personal es cualquier información que pueda hacer a una persona física o jurídica colectiva identificada e identificable; por lo que, bajo dicha circunstancia, se analizarán si los datos mencionados, deben ser considerados confidenciales, en términos del </w:t>
      </w:r>
      <w:r w:rsidRPr="00E42C08">
        <w:rPr>
          <w:color w:val="auto"/>
        </w:rPr>
        <w:lastRenderedPageBreak/>
        <w:t>artículo 143, fracción I, de la Ley de Transparencia y Acceso a la Información Pública del Estado de México y Municipios, o públicos.</w:t>
      </w:r>
    </w:p>
    <w:p w14:paraId="328E45CE" w14:textId="77777777" w:rsidR="00E42C08" w:rsidRPr="00E42C08" w:rsidRDefault="00E42C08" w:rsidP="00E42C08">
      <w:pPr>
        <w:spacing w:after="0" w:line="360" w:lineRule="auto"/>
        <w:rPr>
          <w:color w:val="auto"/>
        </w:rPr>
      </w:pPr>
    </w:p>
    <w:p w14:paraId="1718B094" w14:textId="2D89F340" w:rsidR="00E42C08" w:rsidRPr="00E42C08" w:rsidRDefault="00E42C08" w:rsidP="00020B86">
      <w:pPr>
        <w:numPr>
          <w:ilvl w:val="0"/>
          <w:numId w:val="17"/>
        </w:numPr>
        <w:pBdr>
          <w:top w:val="nil"/>
          <w:left w:val="nil"/>
          <w:bottom w:val="nil"/>
          <w:right w:val="nil"/>
          <w:between w:val="nil"/>
        </w:pBdr>
        <w:spacing w:after="0" w:line="360" w:lineRule="auto"/>
        <w:rPr>
          <w:b/>
          <w:color w:val="auto"/>
        </w:rPr>
      </w:pPr>
      <w:r w:rsidRPr="00E42C08">
        <w:rPr>
          <w:b/>
          <w:color w:val="auto"/>
        </w:rPr>
        <w:t>Nombre de particulares</w:t>
      </w:r>
      <w:r>
        <w:rPr>
          <w:b/>
          <w:color w:val="auto"/>
        </w:rPr>
        <w:t xml:space="preserve"> (contribuyentes)</w:t>
      </w:r>
    </w:p>
    <w:p w14:paraId="293ACED8" w14:textId="77777777" w:rsidR="00E42C08" w:rsidRPr="00E42C08" w:rsidRDefault="00E42C08" w:rsidP="00E42C08">
      <w:pPr>
        <w:spacing w:after="0" w:line="360" w:lineRule="auto"/>
        <w:rPr>
          <w:color w:val="auto"/>
        </w:rPr>
      </w:pPr>
    </w:p>
    <w:p w14:paraId="501E0D55" w14:textId="77777777" w:rsidR="00E42C08" w:rsidRPr="00E42C08" w:rsidRDefault="00E42C08" w:rsidP="00E42C08">
      <w:pPr>
        <w:spacing w:after="0" w:line="360" w:lineRule="auto"/>
        <w:rPr>
          <w:color w:val="auto"/>
        </w:rPr>
      </w:pPr>
      <w:r w:rsidRPr="00E42C08">
        <w:rPr>
          <w:color w:val="auto"/>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2BF2600E" w14:textId="77777777" w:rsidR="00E42C08" w:rsidRPr="00E42C08" w:rsidRDefault="00E42C08" w:rsidP="00E42C08">
      <w:pPr>
        <w:spacing w:after="0" w:line="360" w:lineRule="auto"/>
        <w:rPr>
          <w:color w:val="auto"/>
        </w:rPr>
      </w:pPr>
    </w:p>
    <w:p w14:paraId="0C5BBB53" w14:textId="77777777" w:rsidR="00E42C08" w:rsidRPr="00E42C08" w:rsidRDefault="00E42C08" w:rsidP="00E42C08">
      <w:pPr>
        <w:spacing w:after="0" w:line="360" w:lineRule="auto"/>
        <w:rPr>
          <w:color w:val="auto"/>
        </w:rPr>
      </w:pPr>
      <w:r w:rsidRPr="00E42C08">
        <w:rPr>
          <w:color w:val="auto"/>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362E2882" w14:textId="77777777" w:rsidR="00E42C08" w:rsidRPr="00E42C08" w:rsidRDefault="00E42C08" w:rsidP="00E42C08">
      <w:pPr>
        <w:spacing w:after="0" w:line="360" w:lineRule="auto"/>
        <w:rPr>
          <w:color w:val="auto"/>
        </w:rPr>
      </w:pPr>
    </w:p>
    <w:p w14:paraId="23D4D666" w14:textId="77777777" w:rsidR="00E42C08" w:rsidRPr="00E42C08" w:rsidRDefault="00E42C08" w:rsidP="00E42C08">
      <w:pPr>
        <w:spacing w:after="0" w:line="360" w:lineRule="auto"/>
        <w:ind w:left="567" w:right="567"/>
        <w:rPr>
          <w:i/>
          <w:color w:val="auto"/>
          <w:sz w:val="20"/>
          <w:szCs w:val="20"/>
        </w:rPr>
      </w:pPr>
      <w:r w:rsidRPr="00E42C08">
        <w:rPr>
          <w:b/>
          <w:i/>
          <w:color w:val="auto"/>
          <w:sz w:val="20"/>
          <w:szCs w:val="20"/>
        </w:rPr>
        <w:t>“DERECHO A LA VIDA PRIVADA. SU CONTENIDO GENERAL Y LA IMPORTANCIA DE NO DESCONTEXTUALIZAR LAS REFERENCIAS A LA MISMA.</w:t>
      </w:r>
      <w:r w:rsidRPr="00E42C08">
        <w:rPr>
          <w:i/>
          <w:color w:val="auto"/>
          <w:sz w:val="20"/>
          <w:szCs w:val="20"/>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w:t>
      </w:r>
      <w:r w:rsidRPr="00E42C08">
        <w:rPr>
          <w:i/>
          <w:color w:val="auto"/>
          <w:sz w:val="20"/>
          <w:szCs w:val="20"/>
        </w:rPr>
        <w:lastRenderedPageBreak/>
        <w:t xml:space="preserve">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E42C08">
        <w:rPr>
          <w:b/>
          <w:i/>
          <w:color w:val="auto"/>
          <w:sz w:val="20"/>
          <w:szCs w:val="20"/>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sidRPr="00E42C08">
        <w:rPr>
          <w:i/>
          <w:color w:val="auto"/>
          <w:sz w:val="20"/>
          <w:szCs w:val="20"/>
        </w:rPr>
        <w:t xml:space="preserve">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E42C08">
        <w:rPr>
          <w:b/>
          <w:i/>
          <w:color w:val="auto"/>
          <w:sz w:val="20"/>
          <w:szCs w:val="20"/>
        </w:rPr>
        <w:t>En un sentido amplio, entonces, la protección constitucional de la vida privada implica poder conducir parte de la vida de uno protegido de la mirada y las injerencias de los demás</w:t>
      </w:r>
      <w:r w:rsidRPr="00E42C08">
        <w:rPr>
          <w:i/>
          <w:color w:val="auto"/>
          <w:sz w:val="20"/>
          <w:szCs w:val="20"/>
        </w:rPr>
        <w:t xml:space="preserve">,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w:t>
      </w:r>
      <w:r w:rsidRPr="00E42C08">
        <w:rPr>
          <w:i/>
          <w:color w:val="auto"/>
          <w:sz w:val="20"/>
          <w:szCs w:val="20"/>
        </w:rPr>
        <w:lastRenderedPageBreak/>
        <w:t>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0D893696" w14:textId="77777777" w:rsidR="00C70AD5" w:rsidRDefault="00C70AD5" w:rsidP="00E42C08">
      <w:pPr>
        <w:spacing w:after="0" w:line="360" w:lineRule="auto"/>
        <w:rPr>
          <w:color w:val="auto"/>
        </w:rPr>
      </w:pPr>
    </w:p>
    <w:p w14:paraId="0D5FDBF5" w14:textId="0CE0221C" w:rsidR="00E42C08" w:rsidRPr="00E42C08" w:rsidRDefault="00E42C08" w:rsidP="00E42C08">
      <w:pPr>
        <w:spacing w:after="0" w:line="360" w:lineRule="auto"/>
        <w:rPr>
          <w:b/>
          <w:color w:val="auto"/>
          <w:u w:val="single"/>
        </w:rPr>
      </w:pPr>
      <w:r w:rsidRPr="00E42C08">
        <w:rPr>
          <w:color w:val="auto"/>
        </w:rPr>
        <w:t xml:space="preserve">De conformidad con lo señalado, se colige que </w:t>
      </w:r>
      <w:r w:rsidRPr="00E42C08">
        <w:rPr>
          <w:b/>
          <w:color w:val="auto"/>
          <w:u w:val="single"/>
        </w:rPr>
        <w:t xml:space="preserve">las actividades que realicen los particulares, dentro del ámbito privado, o dentro de la esfera particular, es información que debe protegerse. </w:t>
      </w:r>
    </w:p>
    <w:p w14:paraId="3185F2E3" w14:textId="77777777" w:rsidR="00E42C08" w:rsidRPr="00E42C08" w:rsidRDefault="00E42C08" w:rsidP="00E42C08">
      <w:pPr>
        <w:spacing w:after="0" w:line="360" w:lineRule="auto"/>
        <w:rPr>
          <w:color w:val="auto"/>
        </w:rPr>
      </w:pPr>
    </w:p>
    <w:p w14:paraId="7AC3C0BC" w14:textId="0BC527F9" w:rsidR="00E42C08" w:rsidRPr="00E42C08" w:rsidRDefault="00E42C08" w:rsidP="00E42C08">
      <w:pPr>
        <w:spacing w:after="0" w:line="360" w:lineRule="auto"/>
        <w:rPr>
          <w:color w:val="auto"/>
        </w:rPr>
      </w:pPr>
      <w:r w:rsidRPr="00E42C08">
        <w:rPr>
          <w:color w:val="auto"/>
        </w:rPr>
        <w:t xml:space="preserve">En consecuencia, se estima que resulta procedente la clasificación del nombre de </w:t>
      </w:r>
      <w:r>
        <w:rPr>
          <w:color w:val="auto"/>
        </w:rPr>
        <w:t xml:space="preserve">contribuyentes </w:t>
      </w:r>
      <w:r w:rsidRPr="00E42C08">
        <w:rPr>
          <w:color w:val="auto"/>
        </w:rPr>
        <w:t>en actuación dentro de su ámbito privado, en términos del artículo 143, fracción I de la Ley de Transparencia y Acceso a la Información Pública del Estado de México y Municipios.</w:t>
      </w:r>
    </w:p>
    <w:p w14:paraId="09B055F0" w14:textId="77777777" w:rsidR="00E42C08" w:rsidRDefault="00E42C08" w:rsidP="00091A65">
      <w:pPr>
        <w:spacing w:after="0" w:line="360" w:lineRule="auto"/>
        <w:rPr>
          <w:rFonts w:eastAsia="Times New Roman" w:cs="Tahoma"/>
          <w:bCs/>
          <w:iCs/>
          <w:lang w:eastAsia="es-ES"/>
        </w:rPr>
      </w:pPr>
    </w:p>
    <w:p w14:paraId="08443AA6" w14:textId="77777777" w:rsidR="00E42C08" w:rsidRPr="00E42C08" w:rsidRDefault="00E42C08" w:rsidP="00020B86">
      <w:pPr>
        <w:numPr>
          <w:ilvl w:val="0"/>
          <w:numId w:val="19"/>
        </w:numPr>
        <w:pBdr>
          <w:top w:val="nil"/>
          <w:left w:val="nil"/>
          <w:bottom w:val="nil"/>
          <w:right w:val="nil"/>
          <w:between w:val="nil"/>
        </w:pBdr>
        <w:spacing w:after="0" w:line="360" w:lineRule="auto"/>
        <w:rPr>
          <w:b/>
          <w:color w:val="auto"/>
        </w:rPr>
      </w:pPr>
      <w:r w:rsidRPr="00E42C08">
        <w:rPr>
          <w:b/>
          <w:color w:val="auto"/>
        </w:rPr>
        <w:t xml:space="preserve">Domicilio Particular </w:t>
      </w:r>
    </w:p>
    <w:p w14:paraId="3C8A9958" w14:textId="77777777" w:rsidR="00E42C08" w:rsidRPr="00E42C08" w:rsidRDefault="00E42C08" w:rsidP="00E42C08">
      <w:pPr>
        <w:spacing w:after="0" w:line="360" w:lineRule="auto"/>
        <w:rPr>
          <w:b/>
          <w:color w:val="auto"/>
        </w:rPr>
      </w:pPr>
    </w:p>
    <w:p w14:paraId="2C2990CC" w14:textId="77777777" w:rsidR="00E42C08" w:rsidRDefault="00E42C08" w:rsidP="00E42C08">
      <w:pPr>
        <w:spacing w:after="0" w:line="360" w:lineRule="auto"/>
        <w:rPr>
          <w:color w:val="auto"/>
        </w:rPr>
      </w:pPr>
      <w:r w:rsidRPr="00E42C08">
        <w:rPr>
          <w:color w:val="auto"/>
        </w:rPr>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4E7BAA8E" w14:textId="77777777" w:rsidR="00E42C08" w:rsidRPr="00E42C08" w:rsidRDefault="00E42C08" w:rsidP="00E42C08">
      <w:pPr>
        <w:spacing w:after="0" w:line="360" w:lineRule="auto"/>
        <w:rPr>
          <w:color w:val="auto"/>
        </w:rPr>
      </w:pPr>
    </w:p>
    <w:p w14:paraId="51A4B50E" w14:textId="77777777" w:rsidR="00E42C08" w:rsidRPr="00E42C08" w:rsidRDefault="00E42C08" w:rsidP="00E42C08">
      <w:pPr>
        <w:spacing w:after="0" w:line="360" w:lineRule="auto"/>
        <w:rPr>
          <w:b/>
          <w:color w:val="auto"/>
        </w:rPr>
      </w:pPr>
      <w:r w:rsidRPr="00E42C08">
        <w:rPr>
          <w:color w:val="auto"/>
        </w:rPr>
        <w:t>De la misma manera, lo establece el artículo 29 del Código Civil Federal, al precisar que el domicilio de personas físicas</w:t>
      </w:r>
      <w:r w:rsidRPr="00E42C08">
        <w:rPr>
          <w:b/>
          <w:color w:val="auto"/>
        </w:rPr>
        <w:t>, es el lugar donde residen habitualmente, el lugar del centro principal de sus negocios, donde residan o el lugar donde se encuentren.</w:t>
      </w:r>
    </w:p>
    <w:p w14:paraId="36C2B6D9" w14:textId="77777777" w:rsidR="00E42C08" w:rsidRPr="00E42C08" w:rsidRDefault="00E42C08" w:rsidP="00E42C08">
      <w:pPr>
        <w:spacing w:after="0" w:line="360" w:lineRule="auto"/>
        <w:rPr>
          <w:b/>
          <w:color w:val="auto"/>
        </w:rPr>
      </w:pPr>
    </w:p>
    <w:p w14:paraId="66ED77B9" w14:textId="77777777" w:rsidR="00E42C08" w:rsidRDefault="00E42C08" w:rsidP="00E42C08">
      <w:pPr>
        <w:spacing w:after="0" w:line="360" w:lineRule="auto"/>
        <w:rPr>
          <w:color w:val="auto"/>
        </w:rPr>
      </w:pPr>
      <w:r w:rsidRPr="00E42C08">
        <w:rPr>
          <w:color w:val="auto"/>
        </w:rPr>
        <w:t xml:space="preserve">En ese contexto, la dirección o domicilio es el lugar en donde reside habitualmente una persona física, por lo que, permite hacerlo identificable y ubicable, propiciando que pueda </w:t>
      </w:r>
      <w:r w:rsidRPr="00E42C08">
        <w:rPr>
          <w:color w:val="auto"/>
        </w:rPr>
        <w:lastRenderedPageBreak/>
        <w:t xml:space="preserve">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66270770" w14:textId="77777777" w:rsidR="00C70AD5" w:rsidRPr="00E42C08" w:rsidRDefault="00C70AD5" w:rsidP="00E42C08">
      <w:pPr>
        <w:spacing w:after="0" w:line="360" w:lineRule="auto"/>
        <w:rPr>
          <w:color w:val="auto"/>
        </w:rPr>
      </w:pPr>
    </w:p>
    <w:p w14:paraId="3F16ECB1" w14:textId="77777777" w:rsidR="00E42C08" w:rsidRPr="00E42C08" w:rsidRDefault="00E42C08" w:rsidP="00E42C08">
      <w:pPr>
        <w:spacing w:after="0" w:line="360" w:lineRule="auto"/>
        <w:rPr>
          <w:color w:val="auto"/>
        </w:rPr>
      </w:pPr>
      <w:r w:rsidRPr="00E42C08">
        <w:rPr>
          <w:color w:val="auto"/>
        </w:rPr>
        <w:t>Por lo tanto, se actualiza la clasificación del domicilio y su comprobante, de conformidad con la fracción I, del artículo 143 de la Ley de Transparencia y Acceso a la Información Pública del Estado de México y Municipios.</w:t>
      </w:r>
    </w:p>
    <w:p w14:paraId="35F49F0B" w14:textId="77777777" w:rsidR="00E42C08" w:rsidRDefault="00E42C08" w:rsidP="00091A65">
      <w:pPr>
        <w:spacing w:after="0" w:line="360" w:lineRule="auto"/>
        <w:rPr>
          <w:rFonts w:eastAsia="Times New Roman" w:cs="Tahoma"/>
          <w:bCs/>
          <w:iCs/>
          <w:lang w:eastAsia="es-ES"/>
        </w:rPr>
      </w:pPr>
    </w:p>
    <w:p w14:paraId="20459FAA" w14:textId="6F83EA1F" w:rsidR="00E42C08" w:rsidRDefault="00E42C08" w:rsidP="00020B86">
      <w:pPr>
        <w:widowControl w:val="0"/>
        <w:numPr>
          <w:ilvl w:val="0"/>
          <w:numId w:val="18"/>
        </w:numPr>
        <w:tabs>
          <w:tab w:val="center" w:pos="4522"/>
        </w:tabs>
        <w:spacing w:after="0" w:line="360" w:lineRule="auto"/>
        <w:rPr>
          <w:rFonts w:eastAsia="Calibri" w:cs="Tahoma"/>
          <w:b/>
          <w:bCs/>
          <w:iCs/>
          <w:color w:val="000000"/>
          <w:szCs w:val="24"/>
          <w:lang w:val="es-ES" w:eastAsia="en-US"/>
        </w:rPr>
      </w:pPr>
      <w:r>
        <w:rPr>
          <w:rFonts w:eastAsia="Calibri" w:cs="Tahoma"/>
          <w:b/>
          <w:bCs/>
          <w:iCs/>
          <w:color w:val="000000"/>
          <w:szCs w:val="24"/>
          <w:lang w:val="es-ES" w:eastAsia="en-US"/>
        </w:rPr>
        <w:t>Cuenta bancaria y clave interbancaria de contribuyentes</w:t>
      </w:r>
    </w:p>
    <w:p w14:paraId="2A0B0630" w14:textId="77777777" w:rsidR="00E42C08" w:rsidRDefault="00E42C08" w:rsidP="00E42C08">
      <w:pPr>
        <w:widowControl w:val="0"/>
        <w:tabs>
          <w:tab w:val="center" w:pos="4522"/>
        </w:tabs>
        <w:spacing w:after="0" w:line="360" w:lineRule="auto"/>
        <w:rPr>
          <w:rFonts w:eastAsia="Calibri" w:cs="Tahoma"/>
          <w:bCs/>
          <w:color w:val="000000"/>
          <w:szCs w:val="24"/>
          <w:lang w:eastAsia="en-US"/>
        </w:rPr>
      </w:pPr>
    </w:p>
    <w:p w14:paraId="03F93995" w14:textId="77777777" w:rsidR="00E42C08" w:rsidRDefault="00E42C08" w:rsidP="00E42C08">
      <w:pPr>
        <w:widowControl w:val="0"/>
        <w:tabs>
          <w:tab w:val="center" w:pos="4522"/>
        </w:tabs>
        <w:spacing w:after="0" w:line="360" w:lineRule="auto"/>
        <w:rPr>
          <w:rFonts w:eastAsia="Calibri" w:cs="Tahoma"/>
          <w:bCs/>
          <w:color w:val="000000"/>
          <w:szCs w:val="24"/>
          <w:lang w:eastAsia="en-US"/>
        </w:rPr>
      </w:pPr>
      <w:r>
        <w:rPr>
          <w:rFonts w:eastAsia="Calibri" w:cs="Tahoma"/>
          <w:bCs/>
          <w:color w:val="000000"/>
          <w:szCs w:val="24"/>
          <w:lang w:eastAsia="en-US"/>
        </w:rPr>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0B22A9F3" w14:textId="77777777" w:rsidR="00E42C08" w:rsidRDefault="00E42C08" w:rsidP="00E42C08">
      <w:pPr>
        <w:widowControl w:val="0"/>
        <w:tabs>
          <w:tab w:val="center" w:pos="4522"/>
        </w:tabs>
        <w:spacing w:after="0" w:line="360" w:lineRule="auto"/>
        <w:rPr>
          <w:rFonts w:eastAsia="Calibri" w:cs="Tahoma"/>
          <w:bCs/>
          <w:color w:val="000000"/>
          <w:szCs w:val="24"/>
          <w:lang w:eastAsia="en-US"/>
        </w:rPr>
      </w:pPr>
      <w:r>
        <w:rPr>
          <w:rFonts w:eastAsia="Calibri" w:cs="Tahoma"/>
          <w:bCs/>
          <w:color w:val="000000"/>
          <w:szCs w:val="24"/>
          <w:lang w:eastAsia="en-US"/>
        </w:rPr>
        <w:t> </w:t>
      </w:r>
    </w:p>
    <w:p w14:paraId="4BDE982F" w14:textId="77777777" w:rsidR="00E42C08" w:rsidRDefault="00E42C08" w:rsidP="00E42C08">
      <w:pPr>
        <w:widowControl w:val="0"/>
        <w:tabs>
          <w:tab w:val="center" w:pos="4522"/>
        </w:tabs>
        <w:spacing w:after="0" w:line="360" w:lineRule="auto"/>
        <w:rPr>
          <w:rFonts w:eastAsia="Calibri" w:cs="Tahoma"/>
          <w:bCs/>
          <w:color w:val="000000"/>
          <w:szCs w:val="24"/>
          <w:lang w:eastAsia="en-US"/>
        </w:rPr>
      </w:pPr>
      <w:r>
        <w:rPr>
          <w:rFonts w:eastAsia="Calibri" w:cs="Tahoma"/>
          <w:bCs/>
          <w:color w:val="000000"/>
          <w:szCs w:val="24"/>
          <w:lang w:eastAsia="en-US"/>
        </w:rPr>
        <w:t xml:space="preserve">A mayor abundamiento, resulta necesario traer a colación el </w:t>
      </w:r>
      <w:r>
        <w:rPr>
          <w:rFonts w:eastAsia="Calibri" w:cs="Tahoma"/>
          <w:bCs/>
          <w:iCs/>
          <w:color w:val="000000"/>
          <w:szCs w:val="24"/>
          <w:lang w:val="es-ES" w:eastAsia="en-US"/>
        </w:rPr>
        <w:t xml:space="preserve">Criterio Orientador, de la Segunda Época, con número de registro </w:t>
      </w:r>
      <w:r>
        <w:rPr>
          <w:rFonts w:eastAsia="Calibri" w:cs="Tahoma"/>
          <w:bCs/>
          <w:iCs/>
          <w:color w:val="000000"/>
          <w:szCs w:val="24"/>
          <w:lang w:eastAsia="en-US"/>
        </w:rPr>
        <w:t xml:space="preserve">SO/010/2017, </w:t>
      </w:r>
      <w:r>
        <w:rPr>
          <w:rFonts w:eastAsia="Calibri" w:cs="Tahoma"/>
          <w:bCs/>
          <w:iCs/>
          <w:color w:val="000000"/>
          <w:szCs w:val="24"/>
          <w:lang w:val="es-ES" w:eastAsia="en-US"/>
        </w:rPr>
        <w:t>emitido por el entones Instituto Nacional de Transparencia, Acceso a la Información y Protección de Datos Personales, vigente a la fecha de la solicitud</w:t>
      </w:r>
      <w:r>
        <w:rPr>
          <w:rFonts w:eastAsia="Calibri" w:cs="Tahoma"/>
          <w:bCs/>
          <w:color w:val="000000"/>
          <w:szCs w:val="24"/>
          <w:lang w:eastAsia="en-US"/>
        </w:rPr>
        <w:t>, mismo que establece lo siguiente:</w:t>
      </w:r>
    </w:p>
    <w:p w14:paraId="358112CD" w14:textId="77777777" w:rsidR="00E42C08" w:rsidRDefault="00E42C08" w:rsidP="00E42C08">
      <w:pPr>
        <w:widowControl w:val="0"/>
        <w:tabs>
          <w:tab w:val="center" w:pos="4522"/>
        </w:tabs>
        <w:spacing w:after="0" w:line="360" w:lineRule="auto"/>
        <w:rPr>
          <w:rFonts w:eastAsia="Calibri" w:cs="Tahoma"/>
          <w:bCs/>
          <w:color w:val="000000"/>
          <w:szCs w:val="24"/>
          <w:lang w:eastAsia="en-US"/>
        </w:rPr>
      </w:pPr>
      <w:r>
        <w:rPr>
          <w:rFonts w:eastAsia="Calibri" w:cs="Tahoma"/>
          <w:bCs/>
          <w:color w:val="000000"/>
          <w:szCs w:val="24"/>
          <w:lang w:eastAsia="en-US"/>
        </w:rPr>
        <w:t> </w:t>
      </w:r>
    </w:p>
    <w:p w14:paraId="33BB0024" w14:textId="77777777" w:rsidR="00E42C08" w:rsidRDefault="00E42C08" w:rsidP="00E42C08">
      <w:pPr>
        <w:widowControl w:val="0"/>
        <w:tabs>
          <w:tab w:val="center" w:pos="4522"/>
        </w:tabs>
        <w:spacing w:after="0" w:line="360" w:lineRule="auto"/>
        <w:ind w:left="567" w:right="567"/>
        <w:rPr>
          <w:rFonts w:eastAsia="Calibri" w:cs="Tahoma"/>
          <w:bCs/>
          <w:i/>
          <w:color w:val="000000"/>
          <w:sz w:val="20"/>
          <w:lang w:eastAsia="en-US"/>
        </w:rPr>
      </w:pPr>
      <w:r>
        <w:rPr>
          <w:rFonts w:eastAsia="Calibri" w:cs="Tahoma"/>
          <w:bCs/>
          <w:i/>
          <w:color w:val="000000"/>
          <w:sz w:val="20"/>
          <w:lang w:eastAsia="en-US"/>
        </w:rPr>
        <w:t>“</w:t>
      </w:r>
      <w:r>
        <w:rPr>
          <w:rFonts w:eastAsia="Calibri" w:cs="Tahoma"/>
          <w:b/>
          <w:bCs/>
          <w:i/>
          <w:color w:val="000000"/>
          <w:sz w:val="20"/>
          <w:lang w:eastAsia="en-US"/>
        </w:rPr>
        <w:t>Cuentas bancarias y/o CLABE interbancaria de personas físicas y morales privadas.</w:t>
      </w:r>
      <w:r>
        <w:rPr>
          <w:rFonts w:eastAsia="Calibri" w:cs="Tahoma"/>
          <w:bCs/>
          <w:i/>
          <w:color w:val="000000"/>
          <w:sz w:val="20"/>
          <w:lang w:eastAsia="en-US"/>
        </w:rPr>
        <w:t xml:space="preserve"> El número de cuenta bancaria y/o CLABE interbancaria de particulares es información confidencial, al tratarse de un conjunto de caracteres numéricos utilizados por los grupos financieros para </w:t>
      </w:r>
      <w:r>
        <w:rPr>
          <w:rFonts w:eastAsia="Calibri" w:cs="Tahoma"/>
          <w:bCs/>
          <w:i/>
          <w:color w:val="000000"/>
          <w:sz w:val="20"/>
          <w:lang w:eastAsia="en-US"/>
        </w:rPr>
        <w:lastRenderedPageBreak/>
        <w:t>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0A82A01" w14:textId="77777777" w:rsidR="00C70AD5" w:rsidRDefault="00C70AD5" w:rsidP="00E42C08">
      <w:pPr>
        <w:widowControl w:val="0"/>
        <w:tabs>
          <w:tab w:val="center" w:pos="4522"/>
        </w:tabs>
        <w:spacing w:after="0" w:line="360" w:lineRule="auto"/>
        <w:rPr>
          <w:rFonts w:eastAsia="Calibri" w:cs="Tahoma"/>
          <w:bCs/>
          <w:color w:val="000000"/>
          <w:szCs w:val="24"/>
          <w:lang w:eastAsia="en-US"/>
        </w:rPr>
      </w:pPr>
    </w:p>
    <w:p w14:paraId="4FE950CC" w14:textId="1BB74393" w:rsidR="00E42C08" w:rsidRDefault="00E42C08" w:rsidP="00E42C08">
      <w:pPr>
        <w:widowControl w:val="0"/>
        <w:tabs>
          <w:tab w:val="center" w:pos="4522"/>
        </w:tabs>
        <w:spacing w:after="0" w:line="360" w:lineRule="auto"/>
        <w:rPr>
          <w:rFonts w:eastAsia="Calibri" w:cs="Tahoma"/>
          <w:bCs/>
          <w:color w:val="000000"/>
          <w:szCs w:val="24"/>
          <w:lang w:eastAsia="en-US"/>
        </w:rPr>
      </w:pPr>
      <w:r>
        <w:rPr>
          <w:rFonts w:eastAsia="Calibri" w:cs="Tahoma"/>
          <w:bCs/>
          <w:color w:val="000000"/>
          <w:szCs w:val="24"/>
          <w:lang w:eastAsia="en-US"/>
        </w:rPr>
        <w:t xml:space="preserve">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proveedor y procede su eliminación de conformidad con el artículo 143, fracción I, de la Ley de Transparencia y Acceso a la Información Pública del Estado de México y Municipios. </w:t>
      </w:r>
    </w:p>
    <w:p w14:paraId="44CD7CEC" w14:textId="77777777" w:rsidR="00E42C08" w:rsidRDefault="00E42C08" w:rsidP="00E42C08">
      <w:pPr>
        <w:widowControl w:val="0"/>
        <w:tabs>
          <w:tab w:val="center" w:pos="4522"/>
        </w:tabs>
        <w:spacing w:after="0" w:line="360" w:lineRule="auto"/>
        <w:rPr>
          <w:rFonts w:eastAsia="Calibri" w:cs="Tahoma"/>
          <w:color w:val="000000"/>
          <w:szCs w:val="24"/>
          <w:lang w:val="es-ES" w:eastAsia="en-US"/>
        </w:rPr>
      </w:pPr>
    </w:p>
    <w:p w14:paraId="1A3E4945" w14:textId="77777777" w:rsidR="00E42C08" w:rsidRDefault="00E42C08" w:rsidP="00020B86">
      <w:pPr>
        <w:widowControl w:val="0"/>
        <w:numPr>
          <w:ilvl w:val="0"/>
          <w:numId w:val="1"/>
        </w:numPr>
        <w:tabs>
          <w:tab w:val="center" w:pos="4522"/>
        </w:tabs>
        <w:spacing w:after="0" w:line="360" w:lineRule="auto"/>
        <w:rPr>
          <w:rFonts w:eastAsia="Calibri" w:cs="Tahoma"/>
          <w:b/>
          <w:bCs/>
          <w:iCs/>
          <w:color w:val="000000"/>
          <w:szCs w:val="24"/>
          <w:lang w:eastAsia="en-US"/>
        </w:rPr>
      </w:pPr>
      <w:r>
        <w:rPr>
          <w:rFonts w:eastAsia="Calibri" w:cs="Tahoma"/>
          <w:b/>
          <w:bCs/>
          <w:iCs/>
          <w:color w:val="000000"/>
          <w:szCs w:val="24"/>
          <w:lang w:eastAsia="en-US"/>
        </w:rPr>
        <w:t>Nombre de institución bancaria</w:t>
      </w:r>
    </w:p>
    <w:p w14:paraId="628DA63E" w14:textId="77777777" w:rsidR="00E42C08" w:rsidRDefault="00E42C08" w:rsidP="00E42C08">
      <w:pPr>
        <w:widowControl w:val="0"/>
        <w:tabs>
          <w:tab w:val="center" w:pos="4522"/>
        </w:tabs>
        <w:spacing w:after="0" w:line="360" w:lineRule="auto"/>
        <w:rPr>
          <w:rFonts w:eastAsia="Calibri" w:cs="Tahoma"/>
          <w:bCs/>
          <w:color w:val="000000"/>
          <w:szCs w:val="24"/>
          <w:lang w:eastAsia="en-US"/>
        </w:rPr>
      </w:pPr>
    </w:p>
    <w:p w14:paraId="6F2F91FB" w14:textId="77777777" w:rsidR="00E42C08" w:rsidRDefault="00E42C08" w:rsidP="00E42C08">
      <w:pPr>
        <w:widowControl w:val="0"/>
        <w:tabs>
          <w:tab w:val="center" w:pos="4522"/>
        </w:tabs>
        <w:spacing w:after="0" w:line="360" w:lineRule="auto"/>
        <w:rPr>
          <w:rFonts w:eastAsia="Calibri" w:cs="Tahoma"/>
          <w:bCs/>
          <w:color w:val="000000"/>
          <w:szCs w:val="24"/>
          <w:lang w:eastAsia="en-US"/>
        </w:rPr>
      </w:pPr>
      <w:r>
        <w:rPr>
          <w:rFonts w:eastAsia="Calibri" w:cs="Tahoma"/>
          <w:bCs/>
          <w:color w:val="000000"/>
          <w:szCs w:val="24"/>
          <w:lang w:eastAsia="en-US"/>
        </w:rPr>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15F98EC2" w14:textId="77777777" w:rsidR="00E42C08" w:rsidRDefault="00E42C08" w:rsidP="00E42C08">
      <w:pPr>
        <w:widowControl w:val="0"/>
        <w:tabs>
          <w:tab w:val="center" w:pos="4522"/>
        </w:tabs>
        <w:spacing w:after="0" w:line="360" w:lineRule="auto"/>
        <w:rPr>
          <w:rFonts w:eastAsia="Calibri" w:cs="Tahoma"/>
          <w:bCs/>
          <w:color w:val="000000"/>
          <w:szCs w:val="24"/>
          <w:lang w:eastAsia="en-US"/>
        </w:rPr>
      </w:pPr>
      <w:r>
        <w:rPr>
          <w:rFonts w:eastAsia="Calibri" w:cs="Tahoma"/>
          <w:bCs/>
          <w:color w:val="000000"/>
          <w:szCs w:val="24"/>
          <w:lang w:eastAsia="en-US"/>
        </w:rPr>
        <w:lastRenderedPageBreak/>
        <w:t>En ese orden de ideas, en el portal de la Comisión Nacional para la Protección y Defensa de los Usuarios de Servicios Financieros (</w:t>
      </w:r>
      <w:r>
        <w:rPr>
          <w:rFonts w:eastAsia="Calibri" w:cs="Tahoma"/>
          <w:bCs/>
          <w:iCs/>
          <w:color w:val="000000"/>
          <w:szCs w:val="24"/>
          <w:lang w:eastAsia="en-US"/>
        </w:rPr>
        <w:t xml:space="preserve">consultadas </w:t>
      </w:r>
      <w:r>
        <w:rPr>
          <w:rFonts w:eastAsia="Calibri" w:cs="Tahoma"/>
          <w:bCs/>
          <w:color w:val="000000"/>
          <w:szCs w:val="24"/>
          <w:lang w:eastAsia="en-US"/>
        </w:rPr>
        <w:t xml:space="preserve">en la página electrónica </w:t>
      </w:r>
      <w:hyperlink r:id="rId14" w:history="1">
        <w:r>
          <w:rPr>
            <w:rStyle w:val="Hipervnculo"/>
            <w:rFonts w:eastAsia="Calibri" w:cs="Tahoma"/>
            <w:bCs/>
            <w:szCs w:val="24"/>
            <w:lang w:eastAsia="en-US"/>
          </w:rPr>
          <w:t>https://www.condusef.gob.mx/Revista/index.php/usuario-inteligente/condusef-responde/777-la-condusef-te-puede-ayudar</w:t>
        </w:r>
      </w:hyperlink>
      <w:r>
        <w:rPr>
          <w:rFonts w:eastAsia="Calibri" w:cs="Tahoma"/>
          <w:bCs/>
          <w:color w:val="000000"/>
          <w:szCs w:val="24"/>
          <w:lang w:eastAsia="en-US"/>
        </w:rPr>
        <w:t>), se establece que los bancos son instituciones financieras; conforme a lo anterior, se puede advertir que las instituciones bancarias, son personas morales.</w:t>
      </w:r>
    </w:p>
    <w:p w14:paraId="21E654FC" w14:textId="77777777" w:rsidR="00E42C08" w:rsidRDefault="00E42C08" w:rsidP="00E42C08">
      <w:pPr>
        <w:widowControl w:val="0"/>
        <w:tabs>
          <w:tab w:val="center" w:pos="4522"/>
        </w:tabs>
        <w:spacing w:after="0" w:line="360" w:lineRule="auto"/>
        <w:rPr>
          <w:rFonts w:eastAsia="Calibri" w:cs="Tahoma"/>
          <w:bCs/>
          <w:color w:val="000000"/>
          <w:szCs w:val="24"/>
          <w:lang w:eastAsia="en-US"/>
        </w:rPr>
      </w:pPr>
    </w:p>
    <w:p w14:paraId="1C571D58" w14:textId="77777777" w:rsidR="00E42C08" w:rsidRDefault="00E42C08" w:rsidP="00E42C08">
      <w:pPr>
        <w:widowControl w:val="0"/>
        <w:tabs>
          <w:tab w:val="center" w:pos="4522"/>
        </w:tabs>
        <w:spacing w:after="0" w:line="360" w:lineRule="auto"/>
        <w:rPr>
          <w:rFonts w:eastAsia="Calibri" w:cs="Tahoma"/>
          <w:bCs/>
          <w:color w:val="000000"/>
          <w:szCs w:val="24"/>
          <w:lang w:eastAsia="en-US"/>
        </w:rPr>
      </w:pPr>
      <w:r>
        <w:rPr>
          <w:rFonts w:eastAsia="Calibri" w:cs="Tahoma"/>
          <w:bCs/>
          <w:color w:val="000000"/>
          <w:szCs w:val="24"/>
          <w:lang w:eastAsia="en-US"/>
        </w:rPr>
        <w:t xml:space="preserve">En ese orden de ideas, se considera que la denominación o razón social de una persona moral, es pública, pues dichos datos se encuentran inscritos en el Registro Público del Comercio; lo anterior, toma sustento en el </w:t>
      </w:r>
      <w:r>
        <w:rPr>
          <w:rFonts w:eastAsia="Calibri" w:cs="Tahoma"/>
          <w:bCs/>
          <w:iCs/>
          <w:color w:val="000000"/>
          <w:szCs w:val="24"/>
          <w:lang w:val="es-ES" w:eastAsia="en-US"/>
        </w:rPr>
        <w:t xml:space="preserve">Criterio Orientador, de la Segunda Época, con número de registro </w:t>
      </w:r>
      <w:r>
        <w:rPr>
          <w:rFonts w:eastAsia="Calibri" w:cs="Tahoma"/>
          <w:bCs/>
          <w:iCs/>
          <w:color w:val="000000"/>
          <w:szCs w:val="24"/>
          <w:lang w:eastAsia="en-US"/>
        </w:rPr>
        <w:t xml:space="preserve">SO/008/2019, </w:t>
      </w:r>
      <w:r>
        <w:rPr>
          <w:rFonts w:eastAsia="Calibri" w:cs="Tahoma"/>
          <w:bCs/>
          <w:iCs/>
          <w:color w:val="000000"/>
          <w:szCs w:val="24"/>
          <w:lang w:val="es-ES" w:eastAsia="en-US"/>
        </w:rPr>
        <w:t>emitido por el entonces Instituto Nacional de Transparencia, Acceso a la Información y Protección de Datos Personales, vigente a la fecha de la solicitud,</w:t>
      </w:r>
      <w:r>
        <w:rPr>
          <w:rFonts w:eastAsia="Calibri" w:cs="Tahoma"/>
          <w:bCs/>
          <w:color w:val="000000"/>
          <w:szCs w:val="24"/>
          <w:lang w:eastAsia="en-US"/>
        </w:rPr>
        <w:t xml:space="preserve"> previamente referido.</w:t>
      </w:r>
    </w:p>
    <w:p w14:paraId="550D6B9F" w14:textId="77777777" w:rsidR="00E42C08" w:rsidRDefault="00E42C08" w:rsidP="00E42C08">
      <w:pPr>
        <w:widowControl w:val="0"/>
        <w:tabs>
          <w:tab w:val="center" w:pos="4522"/>
        </w:tabs>
        <w:spacing w:after="0" w:line="360" w:lineRule="auto"/>
        <w:rPr>
          <w:rFonts w:eastAsia="Calibri" w:cs="Tahoma"/>
          <w:bCs/>
          <w:color w:val="000000"/>
          <w:szCs w:val="24"/>
          <w:lang w:eastAsia="en-US"/>
        </w:rPr>
      </w:pPr>
    </w:p>
    <w:p w14:paraId="7EE68481" w14:textId="77777777" w:rsidR="00E42C08" w:rsidRDefault="00E42C08" w:rsidP="00E42C08">
      <w:pPr>
        <w:widowControl w:val="0"/>
        <w:tabs>
          <w:tab w:val="center" w:pos="4522"/>
        </w:tabs>
        <w:spacing w:after="0" w:line="360" w:lineRule="auto"/>
        <w:rPr>
          <w:rFonts w:eastAsia="Calibri" w:cs="Tahoma"/>
          <w:bCs/>
          <w:color w:val="000000"/>
          <w:szCs w:val="24"/>
          <w:lang w:eastAsia="en-US"/>
        </w:rPr>
      </w:pPr>
      <w:r>
        <w:rPr>
          <w:rFonts w:eastAsia="Calibri" w:cs="Tahoma"/>
          <w:bCs/>
          <w:color w:val="000000"/>
          <w:szCs w:val="24"/>
          <w:lang w:eastAsia="en-US"/>
        </w:rPr>
        <w:t>Lo anterior, se robustece con el hecho de que existe el Sistema de Registro de Prestadores de Servicios Financieros (</w:t>
      </w:r>
      <w:r>
        <w:rPr>
          <w:rFonts w:eastAsia="Calibri" w:cs="Tahoma"/>
          <w:bCs/>
          <w:iCs/>
          <w:color w:val="000000"/>
          <w:szCs w:val="24"/>
          <w:lang w:eastAsia="en-US"/>
        </w:rPr>
        <w:t>consultadas el dieciocho de enero de dos mil veintitrés)</w:t>
      </w:r>
      <w:r>
        <w:rPr>
          <w:rFonts w:eastAsia="Calibri" w:cs="Tahoma"/>
          <w:bCs/>
          <w:color w:val="000000"/>
          <w:szCs w:val="24"/>
          <w:lang w:eastAsia="en-US"/>
        </w:rPr>
        <w:t xml:space="preserve">, a las trece horas, en la liga </w:t>
      </w:r>
      <w:hyperlink r:id="rId15" w:history="1">
        <w:r>
          <w:rPr>
            <w:rStyle w:val="Hipervnculo"/>
            <w:rFonts w:eastAsia="Calibri" w:cs="Tahoma"/>
            <w:bCs/>
            <w:szCs w:val="24"/>
            <w:lang w:eastAsia="en-US"/>
          </w:rPr>
          <w:t>https://webapps.condusef.gob.mx/SIPRES/jsp/pub/index.jsp</w:t>
        </w:r>
      </w:hyperlink>
      <w:r>
        <w:rPr>
          <w:rFonts w:eastAsia="Calibri" w:cs="Tahoma"/>
          <w:bCs/>
          <w:color w:val="000000"/>
          <w:szCs w:val="24"/>
          <w:lang w:eastAsia="en-US"/>
        </w:rPr>
        <w:t xml:space="preserve">), que es un registro de </w:t>
      </w:r>
      <w:r>
        <w:rPr>
          <w:rFonts w:eastAsia="Calibri" w:cs="Tahoma"/>
          <w:b/>
          <w:bCs/>
          <w:color w:val="000000"/>
          <w:szCs w:val="24"/>
          <w:lang w:eastAsia="en-US"/>
        </w:rPr>
        <w:t xml:space="preserve">carácter público, </w:t>
      </w:r>
      <w:r>
        <w:rPr>
          <w:rFonts w:eastAsia="Calibri" w:cs="Tahoma"/>
          <w:bCs/>
          <w:color w:val="000000"/>
          <w:szCs w:val="24"/>
          <w:lang w:eastAsia="en-US"/>
        </w:rPr>
        <w:t>cuyo objetivo principal, consiste en proporcionar información corporativa y general de las instituciones financieras</w:t>
      </w:r>
      <w:r>
        <w:rPr>
          <w:rFonts w:eastAsia="Calibri" w:cs="Tahoma"/>
          <w:b/>
          <w:bCs/>
          <w:color w:val="000000"/>
          <w:szCs w:val="24"/>
          <w:lang w:eastAsia="en-US"/>
        </w:rPr>
        <w:t xml:space="preserve">; además, que permite conocer al público general, información de dichos entes, </w:t>
      </w:r>
      <w:r>
        <w:rPr>
          <w:rFonts w:eastAsia="Calibri" w:cs="Tahoma"/>
          <w:bCs/>
          <w:color w:val="000000"/>
          <w:szCs w:val="24"/>
          <w:lang w:eastAsia="en-US"/>
        </w:rPr>
        <w:t xml:space="preserve">se muestra un ejemplo a continuación: </w:t>
      </w:r>
    </w:p>
    <w:p w14:paraId="6C764F95" w14:textId="77777777" w:rsidR="00E42C08" w:rsidRDefault="00E42C08" w:rsidP="00E42C08">
      <w:pPr>
        <w:widowControl w:val="0"/>
        <w:tabs>
          <w:tab w:val="center" w:pos="4522"/>
        </w:tabs>
        <w:spacing w:after="0" w:line="360" w:lineRule="auto"/>
        <w:rPr>
          <w:rFonts w:eastAsia="Calibri" w:cs="Tahoma"/>
          <w:bCs/>
          <w:color w:val="000000"/>
          <w:szCs w:val="24"/>
          <w:lang w:eastAsia="en-US"/>
        </w:rPr>
      </w:pPr>
    </w:p>
    <w:p w14:paraId="11D7F7C0" w14:textId="77777777" w:rsidR="00E42C08" w:rsidRDefault="00E42C08" w:rsidP="00E42C08">
      <w:pPr>
        <w:widowControl w:val="0"/>
        <w:tabs>
          <w:tab w:val="center" w:pos="4522"/>
        </w:tabs>
        <w:spacing w:after="0" w:line="360" w:lineRule="auto"/>
        <w:jc w:val="center"/>
        <w:rPr>
          <w:rFonts w:eastAsia="Calibri" w:cs="Tahoma"/>
          <w:bCs/>
          <w:color w:val="000000"/>
          <w:szCs w:val="24"/>
          <w:lang w:eastAsia="en-US"/>
        </w:rPr>
      </w:pPr>
      <w:r>
        <w:rPr>
          <w:rFonts w:eastAsia="Calibri" w:cs="Tahoma"/>
          <w:noProof/>
          <w:color w:val="000000"/>
          <w:szCs w:val="24"/>
        </w:rPr>
        <w:drawing>
          <wp:inline distT="0" distB="0" distL="0" distR="0" wp14:anchorId="4C0DA586" wp14:editId="6C3C7188">
            <wp:extent cx="4772025" cy="1190625"/>
            <wp:effectExtent l="0" t="0" r="9525" b="9525"/>
            <wp:docPr id="653306775" name="Imagen 1"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Escala de tiempo&#10;&#10;Descripción generada automáticamente"/>
                    <pic:cNvPicPr>
                      <a:picLocks noChangeAspect="1" noChangeArrowheads="1"/>
                    </pic:cNvPicPr>
                  </pic:nvPicPr>
                  <pic:blipFill rotWithShape="1">
                    <a:blip r:embed="rId16">
                      <a:extLst>
                        <a:ext uri="{28A0092B-C50C-407E-A947-70E740481C1C}">
                          <a14:useLocalDpi xmlns:a14="http://schemas.microsoft.com/office/drawing/2010/main" val="0"/>
                        </a:ext>
                      </a:extLst>
                    </a:blip>
                    <a:srcRect t="2" b="52105"/>
                    <a:stretch/>
                  </pic:blipFill>
                  <pic:spPr bwMode="auto">
                    <a:xfrm>
                      <a:off x="0" y="0"/>
                      <a:ext cx="4772025" cy="1190625"/>
                    </a:xfrm>
                    <a:prstGeom prst="rect">
                      <a:avLst/>
                    </a:prstGeom>
                    <a:noFill/>
                    <a:ln>
                      <a:noFill/>
                    </a:ln>
                    <a:extLst>
                      <a:ext uri="{53640926-AAD7-44D8-BBD7-CCE9431645EC}">
                        <a14:shadowObscured xmlns:a14="http://schemas.microsoft.com/office/drawing/2010/main"/>
                      </a:ext>
                    </a:extLst>
                  </pic:spPr>
                </pic:pic>
              </a:graphicData>
            </a:graphic>
          </wp:inline>
        </w:drawing>
      </w:r>
    </w:p>
    <w:p w14:paraId="25483487" w14:textId="77777777" w:rsidR="00E42C08" w:rsidRDefault="00E42C08" w:rsidP="00E42C08">
      <w:pPr>
        <w:widowControl w:val="0"/>
        <w:tabs>
          <w:tab w:val="center" w:pos="4522"/>
        </w:tabs>
        <w:spacing w:after="0" w:line="360" w:lineRule="auto"/>
        <w:jc w:val="center"/>
        <w:rPr>
          <w:rFonts w:eastAsia="Calibri" w:cs="Tahoma"/>
          <w:bCs/>
          <w:color w:val="000000"/>
          <w:szCs w:val="24"/>
          <w:lang w:eastAsia="en-US"/>
        </w:rPr>
      </w:pPr>
    </w:p>
    <w:p w14:paraId="5E13E639" w14:textId="080CCDA6" w:rsidR="00E42C08" w:rsidRDefault="00E42C08" w:rsidP="00E42C08">
      <w:pPr>
        <w:widowControl w:val="0"/>
        <w:tabs>
          <w:tab w:val="center" w:pos="4522"/>
        </w:tabs>
        <w:spacing w:after="0" w:line="360" w:lineRule="auto"/>
        <w:rPr>
          <w:rFonts w:eastAsia="Calibri" w:cs="Tahoma"/>
          <w:bCs/>
          <w:color w:val="000000"/>
          <w:szCs w:val="24"/>
          <w:lang w:eastAsia="en-US"/>
        </w:rPr>
      </w:pPr>
      <w:r>
        <w:rPr>
          <w:rFonts w:eastAsia="Calibri" w:cs="Tahoma"/>
          <w:bCs/>
          <w:color w:val="000000"/>
          <w:szCs w:val="24"/>
          <w:lang w:eastAsia="en-US"/>
        </w:rPr>
        <w:lastRenderedPageBreak/>
        <w:t>Conforme a lo anterior, se logra vislumbrar que el nombre de las instituciones bancarias en primera instancia es de naturaleza pública; sin embargo, en el presente caso, se relacionada con el hecho de que corresponde al banco del contribuyente; es decir, daría cuenta de la decisión voluntaria de tener una cuenta con determinada institución; lo cual se relaciona con la cuenta y clave interbancaria, mismos que son confidenciales.</w:t>
      </w:r>
    </w:p>
    <w:p w14:paraId="3C7407FA" w14:textId="77777777" w:rsidR="00E42C08" w:rsidRDefault="00E42C08" w:rsidP="00E42C08">
      <w:pPr>
        <w:widowControl w:val="0"/>
        <w:tabs>
          <w:tab w:val="center" w:pos="4522"/>
        </w:tabs>
        <w:spacing w:after="0" w:line="360" w:lineRule="auto"/>
        <w:rPr>
          <w:rFonts w:eastAsia="Calibri" w:cs="Tahoma"/>
          <w:bCs/>
          <w:color w:val="000000"/>
          <w:szCs w:val="24"/>
          <w:lang w:eastAsia="en-US"/>
        </w:rPr>
      </w:pPr>
    </w:p>
    <w:p w14:paraId="4A62D18B" w14:textId="3B56C6D0" w:rsidR="00E42C08" w:rsidRDefault="00E42C08" w:rsidP="00E42C08">
      <w:pPr>
        <w:widowControl w:val="0"/>
        <w:tabs>
          <w:tab w:val="center" w:pos="4522"/>
        </w:tabs>
        <w:spacing w:after="0" w:line="360" w:lineRule="auto"/>
        <w:rPr>
          <w:rFonts w:eastAsia="Calibri" w:cs="Tahoma"/>
          <w:bCs/>
          <w:color w:val="000000"/>
          <w:szCs w:val="24"/>
          <w:lang w:eastAsia="en-US"/>
        </w:rPr>
      </w:pPr>
      <w:r>
        <w:rPr>
          <w:rFonts w:eastAsia="Calibri" w:cs="Tahoma"/>
          <w:bCs/>
          <w:color w:val="000000"/>
          <w:szCs w:val="24"/>
          <w:lang w:eastAsia="en-US"/>
        </w:rPr>
        <w:t>Además, revelaría el lugar en donde el contribuyente erogo recursos para pagar una aportación de mejora, lo cual únicamente está relacionado a su vida íntima o privada de la persona moral; por lo que, este Instituto considera que el nombre de la institución bancaria, actualiza la causal de clasificación prevista en el artículo 143, fracción I, de la Ley de Transparencia y Acceso a la Información Pública del Estado de México y Municipios.</w:t>
      </w:r>
    </w:p>
    <w:p w14:paraId="2BF65DB9" w14:textId="77777777" w:rsidR="00987FC8" w:rsidRPr="00987FC8" w:rsidRDefault="00987FC8" w:rsidP="00091A65">
      <w:pPr>
        <w:spacing w:after="0" w:line="360" w:lineRule="auto"/>
        <w:rPr>
          <w:rFonts w:eastAsia="Times New Roman" w:cs="Tahoma"/>
          <w:bCs/>
          <w:iCs/>
          <w:lang w:eastAsia="es-ES"/>
        </w:rPr>
      </w:pPr>
    </w:p>
    <w:p w14:paraId="2F1D7627" w14:textId="77777777" w:rsidR="00E109B5" w:rsidRPr="00E109B5" w:rsidRDefault="00E109B5" w:rsidP="00E109B5">
      <w:pPr>
        <w:pBdr>
          <w:top w:val="nil"/>
          <w:left w:val="nil"/>
          <w:bottom w:val="nil"/>
          <w:right w:val="nil"/>
          <w:between w:val="nil"/>
        </w:pBdr>
        <w:spacing w:after="0" w:line="360" w:lineRule="auto"/>
        <w:ind w:right="-30"/>
      </w:pPr>
      <w:r w:rsidRPr="00E109B5">
        <w:rPr>
          <w:rFonts w:eastAsia="Times New Roman" w:cs="Tahoma"/>
          <w:szCs w:val="24"/>
          <w:lang w:eastAsia="es-ES"/>
        </w:rPr>
        <w:t xml:space="preserve">De tal circunstancia, el Sujeto Obligado al entregar la información, deberá tomar en cuenta lo establecido en párrafos anteriores, para que únicamente clasifique aquellos datos que sean confidenciales, </w:t>
      </w:r>
      <w:r w:rsidRPr="00E109B5">
        <w:t xml:space="preserve">por lo que,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84A958E" w14:textId="77777777" w:rsidR="00E109B5" w:rsidRPr="00E109B5" w:rsidRDefault="00E109B5" w:rsidP="00E109B5">
      <w:pPr>
        <w:tabs>
          <w:tab w:val="left" w:pos="4962"/>
        </w:tabs>
        <w:spacing w:after="0" w:line="360" w:lineRule="auto"/>
        <w:rPr>
          <w:rFonts w:eastAsia="Times New Roman" w:cs="Tahoma"/>
          <w:szCs w:val="24"/>
          <w:lang w:eastAsia="es-ES"/>
        </w:rPr>
      </w:pPr>
    </w:p>
    <w:p w14:paraId="00583338" w14:textId="77777777" w:rsidR="00E109B5" w:rsidRPr="00E109B5" w:rsidRDefault="00E109B5" w:rsidP="00E109B5">
      <w:pPr>
        <w:spacing w:after="0" w:line="360" w:lineRule="auto"/>
        <w:contextualSpacing/>
        <w:rPr>
          <w:rFonts w:eastAsia="Times New Roman" w:cs="Tahoma"/>
          <w:bCs/>
          <w:iCs/>
          <w:lang w:eastAsia="es-ES"/>
        </w:rPr>
      </w:pPr>
      <w:r w:rsidRPr="00E109B5">
        <w:rPr>
          <w:rFonts w:eastAsia="Times New Roman" w:cs="Tahoma"/>
          <w:bCs/>
          <w:iCs/>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CCF70E8" w14:textId="77777777" w:rsidR="00D1318A" w:rsidRPr="0012520B" w:rsidRDefault="00D1318A" w:rsidP="001162C4">
      <w:pPr>
        <w:pStyle w:val="Ttulo2"/>
        <w:spacing w:before="0" w:after="0" w:line="360" w:lineRule="auto"/>
        <w:rPr>
          <w:sz w:val="22"/>
          <w:szCs w:val="22"/>
        </w:rPr>
      </w:pPr>
      <w:bookmarkStart w:id="14" w:name="_Toc219289831"/>
      <w:r w:rsidRPr="0012520B">
        <w:rPr>
          <w:sz w:val="22"/>
          <w:szCs w:val="22"/>
        </w:rPr>
        <w:lastRenderedPageBreak/>
        <w:t>SEXTO. Decisión</w:t>
      </w:r>
      <w:bookmarkEnd w:id="14"/>
    </w:p>
    <w:p w14:paraId="0D2B29DC" w14:textId="77777777" w:rsidR="00D1318A" w:rsidRPr="0012520B" w:rsidRDefault="00D1318A" w:rsidP="001162C4">
      <w:pPr>
        <w:spacing w:after="0" w:line="360" w:lineRule="auto"/>
        <w:contextualSpacing/>
        <w:rPr>
          <w:rFonts w:eastAsia="Calibri" w:cs="Tahoma"/>
          <w:b/>
        </w:rPr>
      </w:pPr>
    </w:p>
    <w:p w14:paraId="4BF18B87" w14:textId="22C2972E" w:rsidR="00D1318A" w:rsidRPr="0012520B" w:rsidRDefault="00D1318A" w:rsidP="001162C4">
      <w:pPr>
        <w:spacing w:after="0" w:line="360" w:lineRule="auto"/>
      </w:pPr>
      <w:r w:rsidRPr="0012520B">
        <w:t xml:space="preserve">De acuerdo con lo expuesto y, con fundamento en el artículo 186, fracción III, de la Ley de Transparencia y Acceso a la Información Pública del Estado de México y Municipios, este Instituto considera procedente </w:t>
      </w:r>
      <w:r w:rsidR="00BF460D" w:rsidRPr="0012520B">
        <w:rPr>
          <w:b/>
        </w:rPr>
        <w:t>REVOCAR</w:t>
      </w:r>
      <w:r w:rsidRPr="0012520B">
        <w:rPr>
          <w:b/>
        </w:rPr>
        <w:t xml:space="preserve"> </w:t>
      </w:r>
      <w:r w:rsidRPr="0012520B">
        <w:t>la resp</w:t>
      </w:r>
      <w:r w:rsidR="00655068" w:rsidRPr="0012520B">
        <w:t>uesta del</w:t>
      </w:r>
      <w:r w:rsidR="00F66940" w:rsidRPr="0012520B">
        <w:t xml:space="preserve"> Ayu</w:t>
      </w:r>
      <w:r w:rsidR="0060286E" w:rsidRPr="0012520B">
        <w:t xml:space="preserve">ntamiento de </w:t>
      </w:r>
      <w:r w:rsidR="00795C86" w:rsidRPr="0012520B">
        <w:t>Toluca</w:t>
      </w:r>
      <w:r w:rsidRPr="0012520B">
        <w:rPr>
          <w:b/>
        </w:rPr>
        <w:t xml:space="preserve">, </w:t>
      </w:r>
      <w:r w:rsidRPr="0012520B">
        <w:t xml:space="preserve">a efecto de que </w:t>
      </w:r>
      <w:r w:rsidR="004076BD" w:rsidRPr="0012520B">
        <w:t>entregue</w:t>
      </w:r>
      <w:r w:rsidR="00287797" w:rsidRPr="0012520B">
        <w:t xml:space="preserve"> la información solicitada</w:t>
      </w:r>
      <w:r w:rsidR="001C6B7A" w:rsidRPr="0012520B">
        <w:t>.</w:t>
      </w:r>
    </w:p>
    <w:p w14:paraId="2D21EE22" w14:textId="77777777" w:rsidR="002C080E" w:rsidRPr="0012520B" w:rsidRDefault="002C080E" w:rsidP="001162C4">
      <w:pPr>
        <w:spacing w:after="0" w:line="360" w:lineRule="auto"/>
      </w:pPr>
    </w:p>
    <w:p w14:paraId="0C829323" w14:textId="77777777" w:rsidR="00D1318A" w:rsidRPr="0012520B" w:rsidRDefault="00D1318A" w:rsidP="001162C4">
      <w:pPr>
        <w:spacing w:after="0" w:line="360" w:lineRule="auto"/>
        <w:contextualSpacing/>
        <w:rPr>
          <w:rFonts w:eastAsia="Calibri" w:cs="Tahoma"/>
          <w:b/>
          <w:bCs/>
        </w:rPr>
      </w:pPr>
      <w:r w:rsidRPr="0012520B">
        <w:rPr>
          <w:rFonts w:eastAsia="Calibri" w:cs="Tahoma"/>
          <w:b/>
          <w:bCs/>
        </w:rPr>
        <w:t>Términos de la Resolución para conocimiento del Particular</w:t>
      </w:r>
    </w:p>
    <w:p w14:paraId="1E2E8060" w14:textId="77777777" w:rsidR="00795C86" w:rsidRPr="0012520B" w:rsidRDefault="00795C86" w:rsidP="001162C4">
      <w:pPr>
        <w:spacing w:after="0" w:line="360" w:lineRule="auto"/>
        <w:contextualSpacing/>
        <w:rPr>
          <w:rFonts w:eastAsia="Calibri" w:cs="Tahoma"/>
          <w:b/>
          <w:bCs/>
        </w:rPr>
      </w:pPr>
    </w:p>
    <w:p w14:paraId="3B668E85" w14:textId="344E3AB8" w:rsidR="00D1318A" w:rsidRDefault="00D1318A" w:rsidP="001162C4">
      <w:pPr>
        <w:spacing w:after="0" w:line="360" w:lineRule="auto"/>
      </w:pPr>
      <w:r w:rsidRPr="0012520B">
        <w:t xml:space="preserve">Se le hace del conocimiento a la persona Recurrente que, en el presente asunto, se le da la razón, pues </w:t>
      </w:r>
      <w:r w:rsidR="00715343" w:rsidRPr="0012520B">
        <w:t xml:space="preserve">si bien </w:t>
      </w:r>
      <w:r w:rsidR="004076BD" w:rsidRPr="0012520B">
        <w:t>el Sujeto Obligado</w:t>
      </w:r>
      <w:r w:rsidR="00BF460D" w:rsidRPr="0012520B">
        <w:t xml:space="preserve"> dio respuesta</w:t>
      </w:r>
      <w:r w:rsidR="00D44453" w:rsidRPr="0012520B">
        <w:t xml:space="preserve">, </w:t>
      </w:r>
      <w:r w:rsidR="001F67D8">
        <w:t>entregó una liga electrónica en formato cerrado en la cual no se puede acceder</w:t>
      </w:r>
      <w:r w:rsidR="00AE7A85" w:rsidRPr="0012520B">
        <w:t xml:space="preserve">, </w:t>
      </w:r>
      <w:r w:rsidR="00795C86" w:rsidRPr="0012520B">
        <w:t>además, no</w:t>
      </w:r>
      <w:r w:rsidR="001F67D8">
        <w:t xml:space="preserve"> contiene lo solicitado</w:t>
      </w:r>
      <w:r w:rsidR="00795C86" w:rsidRPr="0012520B">
        <w:t xml:space="preserve">, </w:t>
      </w:r>
      <w:r w:rsidR="00AE7A85" w:rsidRPr="0012520B">
        <w:t xml:space="preserve">por lo que, </w:t>
      </w:r>
      <w:r w:rsidRPr="0012520B">
        <w:t>deberá entre</w:t>
      </w:r>
      <w:r w:rsidR="00655068" w:rsidRPr="0012520B">
        <w:t>ga</w:t>
      </w:r>
      <w:r w:rsidR="00AE7A85" w:rsidRPr="0012520B">
        <w:t>r</w:t>
      </w:r>
      <w:r w:rsidR="00287797" w:rsidRPr="0012520B">
        <w:t xml:space="preserve"> la información</w:t>
      </w:r>
      <w:r w:rsidR="00795C86" w:rsidRPr="0012520B">
        <w:t xml:space="preserve"> solicitada</w:t>
      </w:r>
      <w:r w:rsidR="00C70AD5">
        <w:t>.</w:t>
      </w:r>
    </w:p>
    <w:p w14:paraId="11862C77" w14:textId="77777777" w:rsidR="00C70AD5" w:rsidRDefault="00C70AD5" w:rsidP="001162C4">
      <w:pPr>
        <w:spacing w:after="0" w:line="360" w:lineRule="auto"/>
      </w:pPr>
    </w:p>
    <w:p w14:paraId="6B10A5B7" w14:textId="77777777" w:rsidR="00C70AD5" w:rsidRDefault="00C70AD5" w:rsidP="00C70AD5">
      <w:pPr>
        <w:spacing w:after="0" w:line="360" w:lineRule="auto"/>
        <w:rPr>
          <w:rFonts w:eastAsia="Calibri" w:cs="Tahoma"/>
          <w:bCs/>
          <w:iCs/>
          <w:lang w:eastAsia="en-US"/>
        </w:rPr>
      </w:pPr>
      <w:r>
        <w:rPr>
          <w:rFonts w:eastAsia="Calibri" w:cs="Tahoma"/>
          <w:bCs/>
          <w:iCs/>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1AD938A" w14:textId="77777777" w:rsidR="00E50794" w:rsidRPr="0012520B" w:rsidRDefault="00E50794" w:rsidP="001162C4">
      <w:pPr>
        <w:spacing w:after="0" w:line="360" w:lineRule="auto"/>
      </w:pPr>
    </w:p>
    <w:p w14:paraId="1C805ED0" w14:textId="77777777" w:rsidR="00D1318A" w:rsidRPr="0012520B" w:rsidRDefault="00D1318A" w:rsidP="001162C4">
      <w:pPr>
        <w:spacing w:after="0" w:line="360" w:lineRule="auto"/>
        <w:contextualSpacing/>
        <w:rPr>
          <w:rFonts w:eastAsia="Calibri"/>
        </w:rPr>
      </w:pPr>
      <w:r w:rsidRPr="0012520B">
        <w:rPr>
          <w:rFonts w:eastAsia="Calibri"/>
        </w:rPr>
        <w:t>Por lo expuesto y fundado, este Pleno:</w:t>
      </w:r>
    </w:p>
    <w:p w14:paraId="7E4B6E8F" w14:textId="77777777" w:rsidR="00057905" w:rsidRPr="0012520B" w:rsidRDefault="00057905" w:rsidP="001162C4">
      <w:pPr>
        <w:spacing w:after="0" w:line="360" w:lineRule="auto"/>
        <w:contextualSpacing/>
        <w:rPr>
          <w:rFonts w:eastAsia="Calibri"/>
        </w:rPr>
      </w:pPr>
    </w:p>
    <w:p w14:paraId="4969F2B6" w14:textId="77777777" w:rsidR="00D1318A" w:rsidRPr="0012520B" w:rsidRDefault="00D1318A" w:rsidP="001162C4">
      <w:pPr>
        <w:pStyle w:val="Ttulo1"/>
        <w:spacing w:before="0" w:after="0" w:line="360" w:lineRule="auto"/>
        <w:jc w:val="center"/>
        <w:rPr>
          <w:sz w:val="22"/>
          <w:szCs w:val="22"/>
        </w:rPr>
      </w:pPr>
      <w:bookmarkStart w:id="15" w:name="_Toc219289832"/>
      <w:r w:rsidRPr="0012520B">
        <w:rPr>
          <w:sz w:val="22"/>
          <w:szCs w:val="22"/>
        </w:rPr>
        <w:t>R E S U E L V E</w:t>
      </w:r>
      <w:bookmarkEnd w:id="15"/>
    </w:p>
    <w:p w14:paraId="00911B7E" w14:textId="77777777" w:rsidR="00D1318A" w:rsidRPr="0012520B" w:rsidRDefault="00D1318A" w:rsidP="001162C4">
      <w:pPr>
        <w:spacing w:after="0" w:line="360" w:lineRule="auto"/>
        <w:contextualSpacing/>
        <w:rPr>
          <w:rFonts w:eastAsia="Calibri"/>
          <w:b/>
          <w:bCs/>
        </w:rPr>
      </w:pPr>
    </w:p>
    <w:p w14:paraId="59D86F6A" w14:textId="07FE77D7" w:rsidR="00D1318A" w:rsidRPr="0012520B" w:rsidRDefault="00D1318A" w:rsidP="001162C4">
      <w:pPr>
        <w:spacing w:after="0" w:line="360" w:lineRule="auto"/>
        <w:contextualSpacing/>
        <w:rPr>
          <w:bCs/>
        </w:rPr>
      </w:pPr>
      <w:r w:rsidRPr="0012520B">
        <w:rPr>
          <w:rFonts w:cs="Tahoma"/>
          <w:b/>
          <w:bCs/>
        </w:rPr>
        <w:t xml:space="preserve">PRIMERO. </w:t>
      </w:r>
      <w:r w:rsidRPr="0012520B">
        <w:rPr>
          <w:rFonts w:cs="Tahoma"/>
          <w:bCs/>
        </w:rPr>
        <w:t xml:space="preserve">Se </w:t>
      </w:r>
      <w:r w:rsidR="00BF460D" w:rsidRPr="0012520B">
        <w:rPr>
          <w:rFonts w:cs="Tahoma"/>
          <w:b/>
          <w:bCs/>
        </w:rPr>
        <w:t>REVOCA</w:t>
      </w:r>
      <w:r w:rsidRPr="0012520B">
        <w:rPr>
          <w:rFonts w:cs="Tahoma"/>
          <w:b/>
          <w:bCs/>
        </w:rPr>
        <w:t xml:space="preserve"> </w:t>
      </w:r>
      <w:r w:rsidRPr="0012520B">
        <w:rPr>
          <w:rFonts w:cs="Tahoma"/>
          <w:bCs/>
        </w:rPr>
        <w:t>la respuesta entrega</w:t>
      </w:r>
      <w:r w:rsidR="00655068" w:rsidRPr="0012520B">
        <w:rPr>
          <w:rFonts w:cs="Tahoma"/>
          <w:bCs/>
        </w:rPr>
        <w:t>da por el</w:t>
      </w:r>
      <w:r w:rsidR="004076BD" w:rsidRPr="0012520B">
        <w:rPr>
          <w:rFonts w:cs="Tahoma"/>
          <w:bCs/>
        </w:rPr>
        <w:t xml:space="preserve"> Ayuntamiento de </w:t>
      </w:r>
      <w:r w:rsidR="00E42C08">
        <w:rPr>
          <w:rFonts w:cs="Tahoma"/>
          <w:bCs/>
        </w:rPr>
        <w:t>Ecatepec de Morelos</w:t>
      </w:r>
      <w:r w:rsidRPr="0012520B">
        <w:rPr>
          <w:rFonts w:cs="Tahoma"/>
          <w:bCs/>
        </w:rPr>
        <w:t>, a la solicitud de información</w:t>
      </w:r>
      <w:r w:rsidR="00655068" w:rsidRPr="0012520B">
        <w:t xml:space="preserve"> </w:t>
      </w:r>
      <w:r w:rsidR="00E42C08">
        <w:t>00908</w:t>
      </w:r>
      <w:r w:rsidR="00E42C08" w:rsidRPr="0012520B">
        <w:t>/</w:t>
      </w:r>
      <w:r w:rsidR="00E42C08">
        <w:t>ECATEPEC</w:t>
      </w:r>
      <w:r w:rsidR="00E42C08" w:rsidRPr="0012520B">
        <w:t>/IP/2025</w:t>
      </w:r>
      <w:r w:rsidRPr="0012520B">
        <w:rPr>
          <w:bCs/>
        </w:rPr>
        <w:t xml:space="preserve">, por resultar </w:t>
      </w:r>
      <w:r w:rsidRPr="0012520B">
        <w:rPr>
          <w:b/>
          <w:bCs/>
        </w:rPr>
        <w:t>FUNDADAS</w:t>
      </w:r>
      <w:r w:rsidRPr="0012520B">
        <w:rPr>
          <w:rFonts w:cs="Tahoma"/>
          <w:b/>
          <w:bCs/>
        </w:rPr>
        <w:t xml:space="preserve"> </w:t>
      </w:r>
      <w:r w:rsidRPr="0012520B">
        <w:rPr>
          <w:rFonts w:eastAsia="Calibri" w:cs="Tahoma"/>
          <w:bCs/>
        </w:rPr>
        <w:lastRenderedPageBreak/>
        <w:t>las razones o motivos de inconformidad hechos valer por el Recurrente</w:t>
      </w:r>
      <w:r w:rsidRPr="0012520B">
        <w:rPr>
          <w:rFonts w:cs="Tahoma"/>
          <w:bCs/>
        </w:rPr>
        <w:t xml:space="preserve">, </w:t>
      </w:r>
      <w:r w:rsidRPr="0012520B">
        <w:rPr>
          <w:rFonts w:eastAsia="Calibri" w:cs="Tahoma"/>
          <w:bCs/>
        </w:rPr>
        <w:t>en términos de los considerandos QUINTO y SEXTO de la presente Resolución.</w:t>
      </w:r>
    </w:p>
    <w:p w14:paraId="5F3709A7" w14:textId="77777777" w:rsidR="00D1318A" w:rsidRPr="0012520B" w:rsidRDefault="00D1318A" w:rsidP="001162C4">
      <w:pPr>
        <w:spacing w:after="0" w:line="360" w:lineRule="auto"/>
        <w:contextualSpacing/>
        <w:rPr>
          <w:rFonts w:eastAsia="Times New Roman" w:cs="Tahoma"/>
          <w:bCs/>
          <w:lang w:eastAsia="es-ES"/>
        </w:rPr>
      </w:pPr>
    </w:p>
    <w:p w14:paraId="43891F3F" w14:textId="6C77CE53" w:rsidR="00E42C08" w:rsidRDefault="00D1318A" w:rsidP="00E42C08">
      <w:pPr>
        <w:spacing w:after="0" w:line="360" w:lineRule="auto"/>
      </w:pPr>
      <w:r w:rsidRPr="0012520B">
        <w:rPr>
          <w:rFonts w:cs="Tahoma"/>
          <w:b/>
          <w:bCs/>
        </w:rPr>
        <w:t xml:space="preserve">SEGUNDO. </w:t>
      </w:r>
      <w:r w:rsidRPr="0012520B">
        <w:t xml:space="preserve">Se </w:t>
      </w:r>
      <w:r w:rsidRPr="0012520B">
        <w:rPr>
          <w:b/>
        </w:rPr>
        <w:t>ORDENA</w:t>
      </w:r>
      <w:r w:rsidRPr="0012520B">
        <w:t xml:space="preserve"> al Ente Recurrido</w:t>
      </w:r>
      <w:r w:rsidRPr="0012520B">
        <w:rPr>
          <w:b/>
        </w:rPr>
        <w:t xml:space="preserve">, </w:t>
      </w:r>
      <w:r w:rsidR="004068E7" w:rsidRPr="0012520B">
        <w:t>a efecto de que</w:t>
      </w:r>
      <w:r w:rsidR="00287797" w:rsidRPr="0012520B">
        <w:t xml:space="preserve"> previa búsqueda exhaustiva</w:t>
      </w:r>
      <w:r w:rsidR="004068E7" w:rsidRPr="0012520B">
        <w:t xml:space="preserve"> </w:t>
      </w:r>
      <w:r w:rsidRPr="0012520B">
        <w:t>entregue</w:t>
      </w:r>
      <w:r w:rsidR="001C6B7A" w:rsidRPr="0012520B">
        <w:t xml:space="preserve">, </w:t>
      </w:r>
      <w:r w:rsidRPr="0012520B">
        <w:t>a través del Sistema de Acceso a la I</w:t>
      </w:r>
      <w:r w:rsidR="00715343" w:rsidRPr="0012520B">
        <w:t>nformación Mexiquense (SAIMEX)</w:t>
      </w:r>
      <w:r w:rsidR="004068E7" w:rsidRPr="0012520B">
        <w:t xml:space="preserve">, </w:t>
      </w:r>
      <w:r w:rsidR="00795C86" w:rsidRPr="0012520B">
        <w:t xml:space="preserve">en </w:t>
      </w:r>
      <w:r w:rsidR="00B17B55" w:rsidRPr="0012520B">
        <w:t>versión</w:t>
      </w:r>
      <w:r w:rsidR="0015197F" w:rsidRPr="0012520B">
        <w:t xml:space="preserve"> pública</w:t>
      </w:r>
      <w:r w:rsidR="00B17B55" w:rsidRPr="0012520B">
        <w:t xml:space="preserve">, </w:t>
      </w:r>
      <w:r w:rsidR="00E42C08">
        <w:t>lo siguiente:</w:t>
      </w:r>
    </w:p>
    <w:p w14:paraId="08782A4F" w14:textId="77777777" w:rsidR="00E42C08" w:rsidRDefault="00E42C08" w:rsidP="00E42C08">
      <w:pPr>
        <w:spacing w:after="0" w:line="360" w:lineRule="auto"/>
      </w:pPr>
    </w:p>
    <w:p w14:paraId="41FD7C1C" w14:textId="190B5CB2" w:rsidR="00E42C08" w:rsidRPr="00E42C08" w:rsidRDefault="00E42C08" w:rsidP="00020B86">
      <w:pPr>
        <w:pStyle w:val="Prrafodelista"/>
        <w:numPr>
          <w:ilvl w:val="0"/>
          <w:numId w:val="20"/>
        </w:numPr>
        <w:spacing w:line="360" w:lineRule="auto"/>
        <w:rPr>
          <w:rFonts w:cs="Tahoma"/>
          <w:bCs/>
          <w:color w:val="auto"/>
          <w:lang w:val="es-ES_tradnl"/>
        </w:rPr>
      </w:pPr>
      <w:r w:rsidRPr="00E42C08">
        <w:rPr>
          <w:rFonts w:cs="Tahoma"/>
          <w:bCs/>
          <w:color w:val="auto"/>
          <w:lang w:val="es-ES_tradnl"/>
        </w:rPr>
        <w:t>Los recibos emitidos por la Tesorería Municipal, del primero de enero al once de noviembre de dos mil veinticinco, por concepto de aportaciones de mejoras, por un monto mayor a cien mil pesos.</w:t>
      </w:r>
    </w:p>
    <w:p w14:paraId="6DFE1AC3" w14:textId="77777777" w:rsidR="00E42C08" w:rsidRDefault="00E42C08" w:rsidP="001162C4">
      <w:pPr>
        <w:spacing w:after="0" w:line="360" w:lineRule="auto"/>
        <w:ind w:right="-28"/>
        <w:contextualSpacing/>
        <w:rPr>
          <w:color w:val="000000"/>
        </w:rPr>
      </w:pPr>
    </w:p>
    <w:p w14:paraId="520394F5" w14:textId="348F06A1" w:rsidR="00AC7443" w:rsidRPr="0012520B" w:rsidRDefault="0015197F" w:rsidP="001162C4">
      <w:pPr>
        <w:spacing w:after="0" w:line="360" w:lineRule="auto"/>
        <w:ind w:right="-28"/>
        <w:contextualSpacing/>
        <w:rPr>
          <w:rFonts w:cs="Tahoma"/>
          <w:bCs/>
          <w:iCs/>
          <w:lang w:eastAsia="es-ES"/>
        </w:rPr>
      </w:pPr>
      <w:r w:rsidRPr="0012520B">
        <w:rPr>
          <w:color w:val="000000"/>
        </w:rPr>
        <w:t>Además</w:t>
      </w:r>
      <w:r w:rsidR="00E42C08">
        <w:rPr>
          <w:color w:val="000000"/>
        </w:rPr>
        <w:t xml:space="preserve">, </w:t>
      </w:r>
      <w:r w:rsidRPr="0012520B">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B5B5340" w14:textId="77777777" w:rsidR="0015197F" w:rsidRDefault="0015197F" w:rsidP="001162C4">
      <w:pPr>
        <w:spacing w:after="0" w:line="360" w:lineRule="auto"/>
        <w:ind w:right="-28"/>
        <w:contextualSpacing/>
      </w:pPr>
    </w:p>
    <w:p w14:paraId="76F6B597" w14:textId="2E6DA7D5" w:rsidR="00E42C08" w:rsidRDefault="00E42C08" w:rsidP="001162C4">
      <w:pPr>
        <w:spacing w:after="0" w:line="360" w:lineRule="auto"/>
        <w:ind w:right="-28"/>
        <w:contextualSpacing/>
      </w:pPr>
      <w:r>
        <w:t>Para el caso, de que en el periodo señalado no haya emitido algún recibo por un monto mayor al referido, deberá hacerlo del conocimiento de la persona Recurrente de manera clara y precisa.</w:t>
      </w:r>
    </w:p>
    <w:p w14:paraId="58863C66" w14:textId="77777777" w:rsidR="00E42C08" w:rsidRPr="0012520B" w:rsidRDefault="00E42C08" w:rsidP="001162C4">
      <w:pPr>
        <w:spacing w:after="0" w:line="360" w:lineRule="auto"/>
        <w:ind w:right="-28"/>
        <w:contextualSpacing/>
      </w:pPr>
    </w:p>
    <w:p w14:paraId="2AE4964B" w14:textId="77777777" w:rsidR="002C080E" w:rsidRPr="0012520B" w:rsidRDefault="00D1318A" w:rsidP="001162C4">
      <w:pPr>
        <w:spacing w:after="0" w:line="360" w:lineRule="auto"/>
        <w:ind w:right="-28"/>
        <w:contextualSpacing/>
        <w:rPr>
          <w:rFonts w:cs="Tahoma"/>
          <w:bCs/>
          <w:iCs/>
        </w:rPr>
      </w:pPr>
      <w:r w:rsidRPr="0012520B">
        <w:rPr>
          <w:rFonts w:eastAsia="Calibri" w:cs="Tahoma"/>
          <w:b/>
          <w:bCs/>
        </w:rPr>
        <w:t xml:space="preserve">TERCERO. </w:t>
      </w:r>
      <w:r w:rsidRPr="0012520B">
        <w:rPr>
          <w:rFonts w:cs="Tahoma"/>
          <w:b/>
          <w:bCs/>
          <w:iCs/>
        </w:rPr>
        <w:t xml:space="preserve">NOTIFÍQUESE POR SAIMEX </w:t>
      </w:r>
      <w:r w:rsidRPr="0012520B">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w:t>
      </w:r>
      <w:r w:rsidRPr="0012520B">
        <w:rPr>
          <w:rFonts w:cs="Tahoma"/>
          <w:bCs/>
          <w:iCs/>
        </w:rPr>
        <w:lastRenderedPageBreak/>
        <w:t xml:space="preserve">resolución o hacerlo de manera parcial, se le impondrá una medida de apremio de conformidad con lo previsto en los artículos 198, 200, fracción III, 214, 215 y 216 de la </w:t>
      </w:r>
      <w:r w:rsidR="005B142C" w:rsidRPr="0012520B">
        <w:rPr>
          <w:rFonts w:cs="Tahoma"/>
          <w:bCs/>
          <w:iCs/>
        </w:rPr>
        <w:t xml:space="preserve">Ley </w:t>
      </w:r>
      <w:r w:rsidR="00C968FF" w:rsidRPr="0012520B">
        <w:rPr>
          <w:rFonts w:cs="Tahoma"/>
          <w:bCs/>
          <w:iCs/>
        </w:rPr>
        <w:t xml:space="preserve">referida. </w:t>
      </w:r>
    </w:p>
    <w:p w14:paraId="5BFFF1E0" w14:textId="77777777" w:rsidR="002C080E" w:rsidRPr="0012520B" w:rsidRDefault="002C080E" w:rsidP="001162C4">
      <w:pPr>
        <w:spacing w:after="0" w:line="360" w:lineRule="auto"/>
        <w:ind w:right="-28"/>
        <w:contextualSpacing/>
        <w:rPr>
          <w:rFonts w:cs="Tahoma"/>
          <w:bCs/>
          <w:iCs/>
        </w:rPr>
      </w:pPr>
    </w:p>
    <w:p w14:paraId="3EAE0142" w14:textId="4ACED6AF" w:rsidR="00D1318A" w:rsidRPr="0012520B" w:rsidRDefault="00D1318A" w:rsidP="001162C4">
      <w:pPr>
        <w:spacing w:after="0" w:line="360" w:lineRule="auto"/>
        <w:ind w:right="-28"/>
        <w:contextualSpacing/>
        <w:rPr>
          <w:rFonts w:cs="Tahoma"/>
          <w:bCs/>
          <w:iCs/>
        </w:rPr>
      </w:pPr>
      <w:r w:rsidRPr="0012520B">
        <w:rPr>
          <w:rFonts w:eastAsia="Calibri" w:cs="Tahoma"/>
          <w:iCs/>
          <w:color w:val="000000"/>
        </w:rPr>
        <w:t xml:space="preserve">De conformidad con el artículo 198 de la </w:t>
      </w:r>
      <w:r w:rsidR="00C70AD5" w:rsidRPr="0012520B">
        <w:rPr>
          <w:rFonts w:cs="Tahoma"/>
          <w:bCs/>
          <w:iCs/>
        </w:rPr>
        <w:t>Ley de Transparencia y Acceso a la Información Pública del Estado de México y Municipios</w:t>
      </w:r>
      <w:r w:rsidRPr="0012520B">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12520B" w:rsidRDefault="00D1318A" w:rsidP="001162C4">
      <w:pPr>
        <w:spacing w:after="0" w:line="360" w:lineRule="auto"/>
        <w:contextualSpacing/>
        <w:rPr>
          <w:rFonts w:eastAsia="Calibri" w:cs="Tahoma"/>
          <w:color w:val="000000"/>
          <w:lang w:val="es-ES"/>
        </w:rPr>
      </w:pPr>
    </w:p>
    <w:p w14:paraId="3F59EFC7" w14:textId="77777777" w:rsidR="00D1318A" w:rsidRPr="0012520B" w:rsidRDefault="00D1318A" w:rsidP="001162C4">
      <w:pPr>
        <w:spacing w:after="0" w:line="360" w:lineRule="auto"/>
        <w:contextualSpacing/>
        <w:rPr>
          <w:rFonts w:cs="Tahoma"/>
        </w:rPr>
      </w:pPr>
      <w:r w:rsidRPr="0012520B">
        <w:rPr>
          <w:rFonts w:eastAsia="Calibri" w:cs="Tahoma"/>
          <w:b/>
        </w:rPr>
        <w:t>CUARTO</w:t>
      </w:r>
      <w:r w:rsidRPr="0012520B">
        <w:rPr>
          <w:rFonts w:eastAsia="Calibri" w:cs="Tahoma"/>
          <w:b/>
          <w:bCs/>
        </w:rPr>
        <w:t xml:space="preserve">. </w:t>
      </w:r>
      <w:r w:rsidRPr="0012520B">
        <w:rPr>
          <w:rFonts w:cs="Tahoma"/>
          <w:b/>
        </w:rPr>
        <w:t>NOTIFÍQUESE POR SAIMEX</w:t>
      </w:r>
      <w:r w:rsidRPr="0012520B">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12520B" w:rsidRDefault="00D1318A" w:rsidP="001162C4">
      <w:pPr>
        <w:spacing w:after="0" w:line="360" w:lineRule="auto"/>
        <w:contextualSpacing/>
        <w:rPr>
          <w:rFonts w:cs="Arial"/>
          <w:b/>
          <w:bCs/>
        </w:rPr>
      </w:pPr>
    </w:p>
    <w:p w14:paraId="440D22CF" w14:textId="7BBA055E" w:rsidR="00D1318A" w:rsidRDefault="00D1318A" w:rsidP="001162C4">
      <w:pPr>
        <w:spacing w:after="0" w:line="360" w:lineRule="auto"/>
        <w:contextualSpacing/>
        <w:rPr>
          <w:rFonts w:cs="Tahoma"/>
          <w:b/>
          <w:bCs/>
        </w:rPr>
      </w:pPr>
      <w:r w:rsidRPr="0012520B">
        <w:rPr>
          <w:rFonts w:eastAsia="Calibri" w:cs="Tahoma"/>
          <w:bCs/>
        </w:rPr>
        <w:t>ASÍ LO RESUELVE, POR </w:t>
      </w:r>
      <w:r w:rsidRPr="0012520B">
        <w:rPr>
          <w:rFonts w:eastAsia="Calibri" w:cs="Tahoma"/>
          <w:b/>
          <w:bCs/>
        </w:rPr>
        <w:t>UNANIMIDAD</w:t>
      </w:r>
      <w:r w:rsidRPr="0012520B">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12520B">
        <w:rPr>
          <w:rFonts w:eastAsia="Calibri" w:cs="Tahoma"/>
          <w:bCs/>
        </w:rPr>
        <w:t xml:space="preserve">, EN LA </w:t>
      </w:r>
      <w:r w:rsidR="00B92D10">
        <w:rPr>
          <w:rFonts w:eastAsia="Calibri" w:cs="Tahoma"/>
          <w:bCs/>
        </w:rPr>
        <w:t xml:space="preserve">SEGUNDA </w:t>
      </w:r>
      <w:r w:rsidRPr="0012520B">
        <w:rPr>
          <w:rFonts w:eastAsia="Calibri" w:cs="Tahoma"/>
          <w:bCs/>
        </w:rPr>
        <w:t>SESIÓN ORDINA</w:t>
      </w:r>
      <w:r w:rsidR="00715343" w:rsidRPr="0012520B">
        <w:rPr>
          <w:rFonts w:eastAsia="Calibri" w:cs="Tahoma"/>
          <w:bCs/>
        </w:rPr>
        <w:t>RIA, C</w:t>
      </w:r>
      <w:r w:rsidR="0052714E" w:rsidRPr="0012520B">
        <w:rPr>
          <w:rFonts w:eastAsia="Calibri" w:cs="Tahoma"/>
          <w:bCs/>
        </w:rPr>
        <w:t>ELEBRADA EL</w:t>
      </w:r>
      <w:r w:rsidR="00B92D10">
        <w:rPr>
          <w:rFonts w:eastAsia="Calibri" w:cs="Tahoma"/>
          <w:bCs/>
        </w:rPr>
        <w:t xml:space="preserve"> VEINTIUNO DE ENERO DE DOS MIL VEINTISÉIS</w:t>
      </w:r>
      <w:r w:rsidRPr="0012520B">
        <w:rPr>
          <w:rFonts w:eastAsia="Calibri" w:cs="Tahoma"/>
          <w:bCs/>
        </w:rPr>
        <w:t>, ANTE EL SECRETARIO TÉCNICO DEL PLENO, ALEXIS TAPIA RAMÍREZ.</w:t>
      </w:r>
    </w:p>
    <w:p w14:paraId="2BA380C7" w14:textId="77777777" w:rsidR="00D1318A" w:rsidRPr="00D1318A" w:rsidRDefault="00D1318A" w:rsidP="001162C4">
      <w:pPr>
        <w:spacing w:after="0" w:line="360" w:lineRule="auto"/>
        <w:ind w:right="-28"/>
        <w:rPr>
          <w:color w:val="auto"/>
        </w:rPr>
      </w:pPr>
    </w:p>
    <w:p w14:paraId="1FFCF4F3" w14:textId="77777777" w:rsidR="00B02499" w:rsidRDefault="00B02499" w:rsidP="001162C4">
      <w:pPr>
        <w:spacing w:after="0" w:line="360" w:lineRule="auto"/>
        <w:rPr>
          <w:rFonts w:eastAsia="Calibri" w:cs="Times New Roman"/>
          <w:b/>
          <w:bCs/>
        </w:rPr>
      </w:pPr>
    </w:p>
    <w:p w14:paraId="654C889D" w14:textId="77777777" w:rsidR="00B02499" w:rsidRPr="00681B34" w:rsidRDefault="00B02499" w:rsidP="001162C4">
      <w:pPr>
        <w:spacing w:after="0" w:line="360" w:lineRule="auto"/>
        <w:rPr>
          <w:rFonts w:eastAsia="Calibri" w:cs="Times New Roman"/>
          <w:b/>
          <w:bCs/>
        </w:rPr>
      </w:pPr>
    </w:p>
    <w:p w14:paraId="097C707A" w14:textId="77777777" w:rsidR="004A10B0" w:rsidRDefault="004A10B0" w:rsidP="001162C4">
      <w:pPr>
        <w:spacing w:after="0" w:line="360" w:lineRule="auto"/>
        <w:contextualSpacing/>
        <w:rPr>
          <w:rFonts w:eastAsia="Calibri" w:cs="Times New Roman"/>
          <w:color w:val="000000"/>
        </w:rPr>
      </w:pPr>
    </w:p>
    <w:p w14:paraId="3677DBED" w14:textId="77777777" w:rsidR="004A10B0" w:rsidRDefault="004A10B0" w:rsidP="001162C4">
      <w:pPr>
        <w:spacing w:after="0" w:line="360" w:lineRule="auto"/>
        <w:contextualSpacing/>
        <w:rPr>
          <w:color w:val="000000"/>
        </w:rPr>
      </w:pPr>
    </w:p>
    <w:p w14:paraId="74E8DB3F" w14:textId="77777777" w:rsidR="00C556AB" w:rsidRDefault="00C556AB" w:rsidP="001162C4">
      <w:pPr>
        <w:spacing w:after="0" w:line="360" w:lineRule="auto"/>
      </w:pPr>
    </w:p>
    <w:p w14:paraId="1A555613" w14:textId="77777777" w:rsidR="00023BBD" w:rsidRPr="00E64957" w:rsidRDefault="00023BBD" w:rsidP="001162C4">
      <w:pPr>
        <w:spacing w:after="0" w:line="360" w:lineRule="auto"/>
      </w:pPr>
    </w:p>
    <w:p w14:paraId="2DB71CAF" w14:textId="49BEE08C" w:rsidR="001D4F21" w:rsidRDefault="001D4F21" w:rsidP="001162C4">
      <w:pPr>
        <w:spacing w:after="0" w:line="360" w:lineRule="auto"/>
        <w:rPr>
          <w:color w:val="000000"/>
        </w:rPr>
      </w:pPr>
    </w:p>
    <w:p w14:paraId="38B4EF2E" w14:textId="77777777" w:rsidR="001D4F21" w:rsidRDefault="001D4F21" w:rsidP="001162C4">
      <w:pPr>
        <w:spacing w:after="0" w:line="360" w:lineRule="auto"/>
        <w:rPr>
          <w:color w:val="000000"/>
        </w:rPr>
      </w:pPr>
    </w:p>
    <w:p w14:paraId="4201A0A0" w14:textId="77777777" w:rsidR="00E864E9" w:rsidRDefault="00E864E9" w:rsidP="001162C4">
      <w:pPr>
        <w:tabs>
          <w:tab w:val="right" w:pos="8931"/>
        </w:tabs>
        <w:spacing w:after="0" w:line="360" w:lineRule="auto"/>
      </w:pPr>
    </w:p>
    <w:p w14:paraId="543728D1" w14:textId="77777777" w:rsidR="00E864E9" w:rsidRDefault="00E864E9" w:rsidP="001162C4">
      <w:pPr>
        <w:tabs>
          <w:tab w:val="right" w:pos="8931"/>
        </w:tabs>
        <w:spacing w:after="0" w:line="360" w:lineRule="auto"/>
      </w:pPr>
    </w:p>
    <w:p w14:paraId="0E4439D0" w14:textId="5248D3C9" w:rsidR="007B58B9" w:rsidRDefault="007B58B9" w:rsidP="001162C4">
      <w:pPr>
        <w:spacing w:after="0" w:line="360" w:lineRule="auto"/>
      </w:pPr>
    </w:p>
    <w:p w14:paraId="26916C77" w14:textId="77777777" w:rsidR="00A37EDE" w:rsidRPr="007B58B9" w:rsidRDefault="00A37EDE" w:rsidP="001162C4">
      <w:pPr>
        <w:spacing w:after="0" w:line="360" w:lineRule="auto"/>
      </w:pPr>
    </w:p>
    <w:sectPr w:rsidR="00A37EDE" w:rsidRPr="007B58B9" w:rsidSect="000B49C4">
      <w:headerReference w:type="even" r:id="rId17"/>
      <w:headerReference w:type="default" r:id="rId18"/>
      <w:footerReference w:type="even" r:id="rId19"/>
      <w:footerReference w:type="default" r:id="rId20"/>
      <w:headerReference w:type="first" r:id="rId21"/>
      <w:footerReference w:type="first" r:id="rId22"/>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BCDE" w14:textId="77777777" w:rsidR="00E91CFB" w:rsidRDefault="00E91CFB">
      <w:pPr>
        <w:spacing w:after="0" w:line="240" w:lineRule="auto"/>
      </w:pPr>
      <w:r>
        <w:separator/>
      </w:r>
    </w:p>
  </w:endnote>
  <w:endnote w:type="continuationSeparator" w:id="0">
    <w:p w14:paraId="78DD6722" w14:textId="77777777" w:rsidR="00E91CFB" w:rsidRDefault="00E9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D27B88" w:rsidRDefault="00D27B8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5668">
      <w:rPr>
        <w:b/>
        <w:noProof/>
        <w:color w:val="000000"/>
        <w:sz w:val="24"/>
        <w:szCs w:val="24"/>
      </w:rPr>
      <w:t>42</w:t>
    </w:r>
    <w:r>
      <w:rPr>
        <w:b/>
        <w:color w:val="000000"/>
        <w:sz w:val="24"/>
        <w:szCs w:val="24"/>
      </w:rPr>
      <w:fldChar w:fldCharType="end"/>
    </w:r>
  </w:p>
  <w:p w14:paraId="7EB9860B" w14:textId="77777777" w:rsidR="00D27B88" w:rsidRDefault="00D27B8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D27B88" w:rsidRDefault="00D27B8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15668">
      <w:rPr>
        <w:b/>
        <w:noProof/>
        <w:color w:val="000000"/>
        <w:sz w:val="24"/>
        <w:szCs w:val="24"/>
      </w:rPr>
      <w:t>41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5668">
      <w:rPr>
        <w:b/>
        <w:noProof/>
        <w:color w:val="000000"/>
        <w:sz w:val="24"/>
        <w:szCs w:val="24"/>
      </w:rPr>
      <w:t>42</w:t>
    </w:r>
    <w:r>
      <w:rPr>
        <w:b/>
        <w:color w:val="000000"/>
        <w:sz w:val="24"/>
        <w:szCs w:val="24"/>
      </w:rPr>
      <w:fldChar w:fldCharType="end"/>
    </w:r>
  </w:p>
  <w:p w14:paraId="0D7FA8D9" w14:textId="77777777" w:rsidR="00D27B88" w:rsidRDefault="00D27B8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D27B88" w:rsidRDefault="00D27B8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1566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5668">
      <w:rPr>
        <w:b/>
        <w:noProof/>
        <w:color w:val="000000"/>
        <w:sz w:val="24"/>
        <w:szCs w:val="24"/>
      </w:rPr>
      <w:t>42</w:t>
    </w:r>
    <w:r>
      <w:rPr>
        <w:b/>
        <w:color w:val="000000"/>
        <w:sz w:val="24"/>
        <w:szCs w:val="24"/>
      </w:rPr>
      <w:fldChar w:fldCharType="end"/>
    </w:r>
  </w:p>
  <w:p w14:paraId="6796AF5F" w14:textId="77777777" w:rsidR="00D27B88" w:rsidRDefault="00D27B8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BCFA" w14:textId="77777777" w:rsidR="00E91CFB" w:rsidRDefault="00E91CFB">
      <w:pPr>
        <w:spacing w:after="0" w:line="240" w:lineRule="auto"/>
      </w:pPr>
      <w:r>
        <w:separator/>
      </w:r>
    </w:p>
  </w:footnote>
  <w:footnote w:type="continuationSeparator" w:id="0">
    <w:p w14:paraId="14BB2847" w14:textId="77777777" w:rsidR="00E91CFB" w:rsidRDefault="00E91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D27B88" w:rsidRDefault="00D27B8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27B88" w14:paraId="10C29E94" w14:textId="77777777">
      <w:trPr>
        <w:trHeight w:val="132"/>
      </w:trPr>
      <w:tc>
        <w:tcPr>
          <w:tcW w:w="2691" w:type="dxa"/>
        </w:tcPr>
        <w:p w14:paraId="7D85A4B8" w14:textId="77777777" w:rsidR="00D27B88" w:rsidRDefault="00D27B88">
          <w:pPr>
            <w:tabs>
              <w:tab w:val="right" w:pos="8838"/>
            </w:tabs>
            <w:ind w:right="-105"/>
            <w:rPr>
              <w:b/>
            </w:rPr>
          </w:pPr>
          <w:r>
            <w:rPr>
              <w:b/>
            </w:rPr>
            <w:t>Recurso de Revisión:</w:t>
          </w:r>
        </w:p>
      </w:tc>
      <w:tc>
        <w:tcPr>
          <w:tcW w:w="3405" w:type="dxa"/>
        </w:tcPr>
        <w:p w14:paraId="0B0D1A9D" w14:textId="77777777" w:rsidR="00D27B88" w:rsidRDefault="00D27B88">
          <w:pPr>
            <w:tabs>
              <w:tab w:val="right" w:pos="8838"/>
            </w:tabs>
            <w:ind w:left="-28" w:right="-32"/>
          </w:pPr>
          <w:r>
            <w:t>03846/INFOEM/IP/RR/2020</w:t>
          </w:r>
        </w:p>
      </w:tc>
    </w:tr>
    <w:tr w:rsidR="00D27B88" w14:paraId="2F47AC72" w14:textId="77777777">
      <w:trPr>
        <w:trHeight w:val="261"/>
      </w:trPr>
      <w:tc>
        <w:tcPr>
          <w:tcW w:w="2691" w:type="dxa"/>
        </w:tcPr>
        <w:p w14:paraId="154A4752" w14:textId="77777777" w:rsidR="00D27B88" w:rsidRDefault="00D27B88">
          <w:pPr>
            <w:tabs>
              <w:tab w:val="right" w:pos="8838"/>
            </w:tabs>
            <w:ind w:right="-105"/>
            <w:rPr>
              <w:b/>
            </w:rPr>
          </w:pPr>
          <w:r>
            <w:rPr>
              <w:b/>
            </w:rPr>
            <w:t>Sujeto Obligado:</w:t>
          </w:r>
        </w:p>
      </w:tc>
      <w:tc>
        <w:tcPr>
          <w:tcW w:w="3405" w:type="dxa"/>
        </w:tcPr>
        <w:p w14:paraId="5D9EC711" w14:textId="77777777" w:rsidR="00D27B88" w:rsidRDefault="00D27B88">
          <w:pPr>
            <w:tabs>
              <w:tab w:val="right" w:pos="8838"/>
            </w:tabs>
            <w:ind w:right="-32"/>
          </w:pPr>
          <w:r>
            <w:t>Ayuntamiento de Temascalcingo</w:t>
          </w:r>
        </w:p>
      </w:tc>
    </w:tr>
    <w:tr w:rsidR="00D27B88" w14:paraId="11FBB450" w14:textId="77777777">
      <w:trPr>
        <w:trHeight w:val="261"/>
      </w:trPr>
      <w:tc>
        <w:tcPr>
          <w:tcW w:w="2691" w:type="dxa"/>
        </w:tcPr>
        <w:p w14:paraId="6BAF6003" w14:textId="77777777" w:rsidR="00D27B88" w:rsidRDefault="00D27B88">
          <w:pPr>
            <w:tabs>
              <w:tab w:val="right" w:pos="8838"/>
            </w:tabs>
            <w:ind w:right="-105"/>
            <w:rPr>
              <w:b/>
            </w:rPr>
          </w:pPr>
          <w:r>
            <w:rPr>
              <w:b/>
            </w:rPr>
            <w:t>Comisionado Ponente:</w:t>
          </w:r>
        </w:p>
      </w:tc>
      <w:tc>
        <w:tcPr>
          <w:tcW w:w="3405" w:type="dxa"/>
        </w:tcPr>
        <w:p w14:paraId="420341AF" w14:textId="77777777" w:rsidR="00D27B88" w:rsidRDefault="00D27B88">
          <w:pPr>
            <w:tabs>
              <w:tab w:val="right" w:pos="8838"/>
            </w:tabs>
            <w:ind w:right="-32"/>
            <w:rPr>
              <w:b/>
            </w:rPr>
          </w:pPr>
          <w:r>
            <w:t>Luis Gustavo Parra Noriega</w:t>
          </w:r>
        </w:p>
      </w:tc>
    </w:tr>
  </w:tbl>
  <w:p w14:paraId="00411D75" w14:textId="77777777" w:rsidR="00D27B8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D27B88"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088"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268"/>
      <w:gridCol w:w="4820"/>
    </w:tblGrid>
    <w:tr w:rsidR="00D27B88" w14:paraId="40D5D5A3" w14:textId="77777777" w:rsidTr="00C70AD5">
      <w:trPr>
        <w:trHeight w:val="138"/>
      </w:trPr>
      <w:tc>
        <w:tcPr>
          <w:tcW w:w="2268" w:type="dxa"/>
          <w:vAlign w:val="center"/>
        </w:tcPr>
        <w:p w14:paraId="43377EBE" w14:textId="77777777" w:rsidR="00D27B88" w:rsidRDefault="00D27B88" w:rsidP="008C266D">
          <w:pPr>
            <w:tabs>
              <w:tab w:val="right" w:pos="8838"/>
            </w:tabs>
            <w:ind w:left="-108" w:right="-105"/>
            <w:jc w:val="left"/>
            <w:rPr>
              <w:b/>
            </w:rPr>
          </w:pPr>
        </w:p>
        <w:p w14:paraId="1DB5C8D0" w14:textId="7E98B3D2" w:rsidR="00D27B88" w:rsidRDefault="00D27B88" w:rsidP="008C266D">
          <w:pPr>
            <w:tabs>
              <w:tab w:val="right" w:pos="8838"/>
            </w:tabs>
            <w:ind w:left="-108" w:right="-105"/>
            <w:jc w:val="left"/>
            <w:rPr>
              <w:b/>
            </w:rPr>
          </w:pPr>
          <w:r>
            <w:rPr>
              <w:b/>
            </w:rPr>
            <w:t>Recurso de Revisión:</w:t>
          </w:r>
        </w:p>
      </w:tc>
      <w:tc>
        <w:tcPr>
          <w:tcW w:w="4820" w:type="dxa"/>
        </w:tcPr>
        <w:p w14:paraId="5BCC69C4" w14:textId="77777777" w:rsidR="00D27B88" w:rsidRPr="00EF0C39" w:rsidRDefault="00D27B88" w:rsidP="008C266D">
          <w:pPr>
            <w:tabs>
              <w:tab w:val="right" w:pos="8838"/>
            </w:tabs>
            <w:ind w:right="57"/>
          </w:pPr>
        </w:p>
        <w:p w14:paraId="61E59D71" w14:textId="2D9EFF9F" w:rsidR="00D27B88" w:rsidRPr="00EF0C39" w:rsidRDefault="00B32D97" w:rsidP="008C266D">
          <w:pPr>
            <w:tabs>
              <w:tab w:val="right" w:pos="8838"/>
            </w:tabs>
            <w:ind w:right="57"/>
          </w:pPr>
          <w:r>
            <w:t>13896</w:t>
          </w:r>
          <w:r w:rsidR="00D27B88">
            <w:t>/INFOEM/IP/RR/2025</w:t>
          </w:r>
        </w:p>
      </w:tc>
    </w:tr>
    <w:tr w:rsidR="00D27B88" w14:paraId="7A281F30" w14:textId="77777777" w:rsidTr="00C70AD5">
      <w:trPr>
        <w:trHeight w:val="273"/>
      </w:trPr>
      <w:tc>
        <w:tcPr>
          <w:tcW w:w="2268" w:type="dxa"/>
        </w:tcPr>
        <w:p w14:paraId="6671A308" w14:textId="77777777" w:rsidR="00D27B88" w:rsidRDefault="00D27B88" w:rsidP="008C266D">
          <w:pPr>
            <w:tabs>
              <w:tab w:val="right" w:pos="8838"/>
            </w:tabs>
            <w:ind w:left="-108" w:right="-105"/>
            <w:rPr>
              <w:b/>
            </w:rPr>
          </w:pPr>
          <w:r>
            <w:rPr>
              <w:b/>
            </w:rPr>
            <w:t>Sujeto Obligado:</w:t>
          </w:r>
        </w:p>
      </w:tc>
      <w:tc>
        <w:tcPr>
          <w:tcW w:w="4820" w:type="dxa"/>
        </w:tcPr>
        <w:p w14:paraId="30885B6D" w14:textId="2546DF17" w:rsidR="00D27B88" w:rsidRPr="00EF0C39" w:rsidRDefault="00D27B88" w:rsidP="007E7797">
          <w:pPr>
            <w:tabs>
              <w:tab w:val="right" w:pos="8838"/>
            </w:tabs>
            <w:ind w:right="742"/>
          </w:pPr>
          <w:r>
            <w:t>Ayuntamiento de Ecatepec de Morelos</w:t>
          </w:r>
        </w:p>
      </w:tc>
    </w:tr>
    <w:tr w:rsidR="00D27B88" w14:paraId="00C22F2F" w14:textId="77777777" w:rsidTr="00C70AD5">
      <w:trPr>
        <w:trHeight w:val="273"/>
      </w:trPr>
      <w:tc>
        <w:tcPr>
          <w:tcW w:w="2268" w:type="dxa"/>
        </w:tcPr>
        <w:p w14:paraId="70417649" w14:textId="77777777" w:rsidR="00D27B88" w:rsidRDefault="00D27B88" w:rsidP="008C266D">
          <w:pPr>
            <w:tabs>
              <w:tab w:val="right" w:pos="8838"/>
            </w:tabs>
            <w:ind w:left="-108" w:right="-105"/>
            <w:rPr>
              <w:b/>
            </w:rPr>
          </w:pPr>
          <w:r>
            <w:rPr>
              <w:b/>
            </w:rPr>
            <w:t>Comisionado Ponente:</w:t>
          </w:r>
        </w:p>
      </w:tc>
      <w:tc>
        <w:tcPr>
          <w:tcW w:w="4820" w:type="dxa"/>
        </w:tcPr>
        <w:p w14:paraId="5E6EB38B" w14:textId="77777777" w:rsidR="00D27B88" w:rsidRPr="00EF0C39" w:rsidRDefault="00D27B88" w:rsidP="008C266D">
          <w:pPr>
            <w:tabs>
              <w:tab w:val="right" w:pos="8838"/>
            </w:tabs>
            <w:ind w:right="-170"/>
          </w:pPr>
          <w:r w:rsidRPr="00EF0C39">
            <w:t>Luis Gustavo Parra Noriega</w:t>
          </w:r>
        </w:p>
        <w:p w14:paraId="1A63C67B" w14:textId="77777777" w:rsidR="00D27B88" w:rsidRPr="00EF0C39" w:rsidRDefault="00D27B88" w:rsidP="008C266D">
          <w:pPr>
            <w:tabs>
              <w:tab w:val="right" w:pos="8838"/>
            </w:tabs>
            <w:ind w:right="-170"/>
            <w:rPr>
              <w:b/>
            </w:rPr>
          </w:pPr>
        </w:p>
      </w:tc>
    </w:tr>
  </w:tbl>
  <w:p w14:paraId="3498D107" w14:textId="7E17876C" w:rsidR="00D27B88" w:rsidRDefault="00D27B8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EC88BA7" w:rsidR="00D27B88" w:rsidRDefault="00000000">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4.6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7513"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962"/>
    </w:tblGrid>
    <w:tr w:rsidR="00D27B88" w14:paraId="6B3232BD" w14:textId="77777777" w:rsidTr="00C70AD5">
      <w:trPr>
        <w:trHeight w:val="132"/>
      </w:trPr>
      <w:tc>
        <w:tcPr>
          <w:tcW w:w="2551" w:type="dxa"/>
        </w:tcPr>
        <w:p w14:paraId="38F16E2F" w14:textId="77777777" w:rsidR="00D27B88" w:rsidRDefault="00D27B88">
          <w:pPr>
            <w:tabs>
              <w:tab w:val="right" w:pos="8838"/>
            </w:tabs>
            <w:ind w:right="-105"/>
            <w:rPr>
              <w:b/>
            </w:rPr>
          </w:pPr>
          <w:r>
            <w:rPr>
              <w:b/>
            </w:rPr>
            <w:t>Recurso de Revisión:</w:t>
          </w:r>
        </w:p>
      </w:tc>
      <w:tc>
        <w:tcPr>
          <w:tcW w:w="4962" w:type="dxa"/>
        </w:tcPr>
        <w:p w14:paraId="211CDC0A" w14:textId="5D4F605A" w:rsidR="00D27B88" w:rsidRPr="00026C6B" w:rsidRDefault="00B32D97" w:rsidP="00026C6B">
          <w:r>
            <w:t>13896</w:t>
          </w:r>
          <w:r w:rsidR="00D27B88">
            <w:t>/INFOEM/IP/RR/2025</w:t>
          </w:r>
        </w:p>
      </w:tc>
    </w:tr>
    <w:tr w:rsidR="00D27B88" w14:paraId="6AA3CC58" w14:textId="77777777" w:rsidTr="00C70AD5">
      <w:trPr>
        <w:trHeight w:val="132"/>
      </w:trPr>
      <w:tc>
        <w:tcPr>
          <w:tcW w:w="2551" w:type="dxa"/>
        </w:tcPr>
        <w:p w14:paraId="7FD164F5" w14:textId="77777777" w:rsidR="00D27B88" w:rsidRDefault="00D27B88">
          <w:pPr>
            <w:tabs>
              <w:tab w:val="left" w:pos="1875"/>
            </w:tabs>
            <w:ind w:right="-105"/>
            <w:rPr>
              <w:b/>
            </w:rPr>
          </w:pPr>
          <w:r>
            <w:rPr>
              <w:b/>
            </w:rPr>
            <w:t>Recurrente:</w:t>
          </w:r>
          <w:r>
            <w:rPr>
              <w:b/>
            </w:rPr>
            <w:tab/>
          </w:r>
        </w:p>
      </w:tc>
      <w:tc>
        <w:tcPr>
          <w:tcW w:w="4962" w:type="dxa"/>
        </w:tcPr>
        <w:p w14:paraId="1F1B0537" w14:textId="2167DD5C" w:rsidR="00D27B88" w:rsidRPr="00EF0C39" w:rsidRDefault="00D27B88" w:rsidP="006D7FDA">
          <w:pPr>
            <w:tabs>
              <w:tab w:val="right" w:pos="8838"/>
            </w:tabs>
            <w:ind w:right="-250"/>
          </w:pPr>
          <w:r>
            <w:t xml:space="preserve"> </w:t>
          </w:r>
          <w:r w:rsidR="0050631D" w:rsidRPr="0050631D">
            <w:rPr>
              <w:highlight w:val="black"/>
            </w:rPr>
            <w:t>XXXXXXXXXXXXXXXX</w:t>
          </w:r>
        </w:p>
      </w:tc>
    </w:tr>
    <w:tr w:rsidR="00D27B88" w14:paraId="5113CAA6" w14:textId="77777777" w:rsidTr="00C70AD5">
      <w:trPr>
        <w:trHeight w:val="261"/>
      </w:trPr>
      <w:tc>
        <w:tcPr>
          <w:tcW w:w="2551" w:type="dxa"/>
        </w:tcPr>
        <w:p w14:paraId="28E3431B" w14:textId="30EC7C18" w:rsidR="00D27B88" w:rsidRDefault="00D27B88">
          <w:pPr>
            <w:tabs>
              <w:tab w:val="right" w:pos="8838"/>
            </w:tabs>
            <w:ind w:right="-105"/>
            <w:rPr>
              <w:b/>
            </w:rPr>
          </w:pPr>
          <w:r>
            <w:rPr>
              <w:b/>
            </w:rPr>
            <w:t>Sujeto Obligado:</w:t>
          </w:r>
        </w:p>
      </w:tc>
      <w:tc>
        <w:tcPr>
          <w:tcW w:w="4962" w:type="dxa"/>
        </w:tcPr>
        <w:p w14:paraId="3192354E" w14:textId="75A57534" w:rsidR="00D27B88" w:rsidRPr="00026C6B" w:rsidRDefault="00D27B88" w:rsidP="007E7797">
          <w:pPr>
            <w:ind w:right="1026"/>
          </w:pPr>
          <w:r>
            <w:t>Ayuntamiento de Ecatepec de Morelos</w:t>
          </w:r>
        </w:p>
      </w:tc>
    </w:tr>
    <w:tr w:rsidR="00D27B88" w14:paraId="5D4C2A35" w14:textId="77777777" w:rsidTr="00C70AD5">
      <w:trPr>
        <w:trHeight w:val="261"/>
      </w:trPr>
      <w:tc>
        <w:tcPr>
          <w:tcW w:w="2551" w:type="dxa"/>
        </w:tcPr>
        <w:p w14:paraId="7F522FEC" w14:textId="77777777" w:rsidR="00D27B88" w:rsidRDefault="00D27B88">
          <w:pPr>
            <w:tabs>
              <w:tab w:val="right" w:pos="8838"/>
            </w:tabs>
            <w:ind w:right="-105"/>
            <w:rPr>
              <w:b/>
            </w:rPr>
          </w:pPr>
          <w:r>
            <w:rPr>
              <w:b/>
            </w:rPr>
            <w:t>Comisionado Ponente:</w:t>
          </w:r>
        </w:p>
      </w:tc>
      <w:tc>
        <w:tcPr>
          <w:tcW w:w="4962" w:type="dxa"/>
        </w:tcPr>
        <w:p w14:paraId="0F0566F9" w14:textId="77777777" w:rsidR="00D27B88" w:rsidRPr="00EF0C39" w:rsidRDefault="00D27B88" w:rsidP="00C46A25">
          <w:pPr>
            <w:tabs>
              <w:tab w:val="right" w:pos="8838"/>
            </w:tabs>
            <w:ind w:right="-32"/>
            <w:rPr>
              <w:b/>
            </w:rPr>
          </w:pPr>
          <w:r w:rsidRPr="00EF0C39">
            <w:t>Luis Gustavo Parra Noriega</w:t>
          </w:r>
        </w:p>
      </w:tc>
    </w:tr>
  </w:tbl>
  <w:p w14:paraId="4DFC2598" w14:textId="74A87CCC" w:rsidR="00D27B88" w:rsidRDefault="00D27B88">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144"/>
    <w:multiLevelType w:val="hybridMultilevel"/>
    <w:tmpl w:val="E3840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CD14D8"/>
    <w:multiLevelType w:val="hybridMultilevel"/>
    <w:tmpl w:val="BA969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944B04"/>
    <w:multiLevelType w:val="hybridMultilevel"/>
    <w:tmpl w:val="529A4F52"/>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31836A9"/>
    <w:multiLevelType w:val="hybridMultilevel"/>
    <w:tmpl w:val="239C6B9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44A81590"/>
    <w:multiLevelType w:val="hybridMultilevel"/>
    <w:tmpl w:val="B6289C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89E1BDC"/>
    <w:multiLevelType w:val="hybridMultilevel"/>
    <w:tmpl w:val="C0BC91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C027A1"/>
    <w:multiLevelType w:val="hybridMultilevel"/>
    <w:tmpl w:val="9008F3C2"/>
    <w:lvl w:ilvl="0" w:tplc="F2E0166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E22EEF"/>
    <w:multiLevelType w:val="multilevel"/>
    <w:tmpl w:val="92E28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C1372AB"/>
    <w:multiLevelType w:val="hybridMultilevel"/>
    <w:tmpl w:val="97F4FF36"/>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4A07A15"/>
    <w:multiLevelType w:val="hybridMultilevel"/>
    <w:tmpl w:val="98A2E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B343F98"/>
    <w:multiLevelType w:val="hybridMultilevel"/>
    <w:tmpl w:val="B25CE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1512956">
    <w:abstractNumId w:val="4"/>
  </w:num>
  <w:num w:numId="2" w16cid:durableId="1009067982">
    <w:abstractNumId w:val="10"/>
  </w:num>
  <w:num w:numId="3" w16cid:durableId="1914313055">
    <w:abstractNumId w:val="12"/>
  </w:num>
  <w:num w:numId="4" w16cid:durableId="1321469031">
    <w:abstractNumId w:val="8"/>
  </w:num>
  <w:num w:numId="5" w16cid:durableId="1184319057">
    <w:abstractNumId w:val="11"/>
  </w:num>
  <w:num w:numId="6" w16cid:durableId="1081102455">
    <w:abstractNumId w:val="6"/>
  </w:num>
  <w:num w:numId="7" w16cid:durableId="1733116198">
    <w:abstractNumId w:val="9"/>
  </w:num>
  <w:num w:numId="8" w16cid:durableId="303120314">
    <w:abstractNumId w:val="5"/>
  </w:num>
  <w:num w:numId="9" w16cid:durableId="1626545659">
    <w:abstractNumId w:val="18"/>
  </w:num>
  <w:num w:numId="10" w16cid:durableId="722950204">
    <w:abstractNumId w:val="1"/>
  </w:num>
  <w:num w:numId="11" w16cid:durableId="1354964591">
    <w:abstractNumId w:val="13"/>
  </w:num>
  <w:num w:numId="12" w16cid:durableId="629358364">
    <w:abstractNumId w:val="0"/>
  </w:num>
  <w:num w:numId="13" w16cid:durableId="2019576061">
    <w:abstractNumId w:val="15"/>
  </w:num>
  <w:num w:numId="14" w16cid:durableId="155734634">
    <w:abstractNumId w:val="14"/>
  </w:num>
  <w:num w:numId="15" w16cid:durableId="266498281">
    <w:abstractNumId w:val="17"/>
  </w:num>
  <w:num w:numId="16" w16cid:durableId="1468166517">
    <w:abstractNumId w:val="3"/>
  </w:num>
  <w:num w:numId="17" w16cid:durableId="934871460">
    <w:abstractNumId w:val="2"/>
  </w:num>
  <w:num w:numId="18" w16cid:durableId="1264218017">
    <w:abstractNumId w:val="16"/>
  </w:num>
  <w:num w:numId="19" w16cid:durableId="287859535">
    <w:abstractNumId w:val="7"/>
  </w:num>
  <w:num w:numId="20" w16cid:durableId="143628830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0B86"/>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62770"/>
    <w:rsid w:val="00064936"/>
    <w:rsid w:val="00064E3A"/>
    <w:rsid w:val="00067A48"/>
    <w:rsid w:val="000709AA"/>
    <w:rsid w:val="0007157F"/>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1A65"/>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8DB"/>
    <w:rsid w:val="000C4A35"/>
    <w:rsid w:val="000C567D"/>
    <w:rsid w:val="000C743D"/>
    <w:rsid w:val="000C7D5D"/>
    <w:rsid w:val="000D04D2"/>
    <w:rsid w:val="000D0539"/>
    <w:rsid w:val="000D1EFD"/>
    <w:rsid w:val="000D257F"/>
    <w:rsid w:val="000D392E"/>
    <w:rsid w:val="000D3AD3"/>
    <w:rsid w:val="000D46ED"/>
    <w:rsid w:val="000D6774"/>
    <w:rsid w:val="000D7457"/>
    <w:rsid w:val="000D7CC0"/>
    <w:rsid w:val="000E1C4F"/>
    <w:rsid w:val="000E3169"/>
    <w:rsid w:val="000E6BA7"/>
    <w:rsid w:val="000F3B49"/>
    <w:rsid w:val="000F40B6"/>
    <w:rsid w:val="000F4583"/>
    <w:rsid w:val="000F4AC1"/>
    <w:rsid w:val="000F562C"/>
    <w:rsid w:val="000F6219"/>
    <w:rsid w:val="000F6E36"/>
    <w:rsid w:val="000F7C1F"/>
    <w:rsid w:val="00102110"/>
    <w:rsid w:val="001028BD"/>
    <w:rsid w:val="001055EA"/>
    <w:rsid w:val="00105B6E"/>
    <w:rsid w:val="001061B1"/>
    <w:rsid w:val="001065C6"/>
    <w:rsid w:val="0011010D"/>
    <w:rsid w:val="001135C1"/>
    <w:rsid w:val="001150A1"/>
    <w:rsid w:val="00115992"/>
    <w:rsid w:val="001162C4"/>
    <w:rsid w:val="00116C35"/>
    <w:rsid w:val="001174B4"/>
    <w:rsid w:val="001202AB"/>
    <w:rsid w:val="00122ED0"/>
    <w:rsid w:val="00122FBD"/>
    <w:rsid w:val="00123FD7"/>
    <w:rsid w:val="00124AF7"/>
    <w:rsid w:val="0012520B"/>
    <w:rsid w:val="00125905"/>
    <w:rsid w:val="00125F26"/>
    <w:rsid w:val="001260CE"/>
    <w:rsid w:val="0012618B"/>
    <w:rsid w:val="00126A15"/>
    <w:rsid w:val="00126AD3"/>
    <w:rsid w:val="001325F3"/>
    <w:rsid w:val="00132F29"/>
    <w:rsid w:val="00134465"/>
    <w:rsid w:val="0013481F"/>
    <w:rsid w:val="00136BC8"/>
    <w:rsid w:val="00140A78"/>
    <w:rsid w:val="001418BD"/>
    <w:rsid w:val="00141BAD"/>
    <w:rsid w:val="001425CB"/>
    <w:rsid w:val="001434E7"/>
    <w:rsid w:val="001479C0"/>
    <w:rsid w:val="00147F25"/>
    <w:rsid w:val="001502AB"/>
    <w:rsid w:val="001507E8"/>
    <w:rsid w:val="00150ADA"/>
    <w:rsid w:val="0015197F"/>
    <w:rsid w:val="00153139"/>
    <w:rsid w:val="001548D6"/>
    <w:rsid w:val="001558BD"/>
    <w:rsid w:val="00155BD1"/>
    <w:rsid w:val="00156343"/>
    <w:rsid w:val="001566D4"/>
    <w:rsid w:val="001578F5"/>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6E39"/>
    <w:rsid w:val="001B7EFB"/>
    <w:rsid w:val="001C4DF4"/>
    <w:rsid w:val="001C638A"/>
    <w:rsid w:val="001C6B7A"/>
    <w:rsid w:val="001D1635"/>
    <w:rsid w:val="001D24CD"/>
    <w:rsid w:val="001D3FB9"/>
    <w:rsid w:val="001D4F21"/>
    <w:rsid w:val="001D5DBE"/>
    <w:rsid w:val="001D7D0E"/>
    <w:rsid w:val="001D7F0C"/>
    <w:rsid w:val="001E4284"/>
    <w:rsid w:val="001E4ECA"/>
    <w:rsid w:val="001E5FDF"/>
    <w:rsid w:val="001E6077"/>
    <w:rsid w:val="001E6891"/>
    <w:rsid w:val="001F285F"/>
    <w:rsid w:val="001F2F42"/>
    <w:rsid w:val="001F3444"/>
    <w:rsid w:val="001F38E7"/>
    <w:rsid w:val="001F5043"/>
    <w:rsid w:val="001F5610"/>
    <w:rsid w:val="001F67D8"/>
    <w:rsid w:val="001F6FD5"/>
    <w:rsid w:val="00200E63"/>
    <w:rsid w:val="002019AA"/>
    <w:rsid w:val="00201E87"/>
    <w:rsid w:val="002025F4"/>
    <w:rsid w:val="00203520"/>
    <w:rsid w:val="00203EED"/>
    <w:rsid w:val="00203F8C"/>
    <w:rsid w:val="00204DE3"/>
    <w:rsid w:val="0020570E"/>
    <w:rsid w:val="0020727C"/>
    <w:rsid w:val="002075C1"/>
    <w:rsid w:val="00211CD8"/>
    <w:rsid w:val="00215D49"/>
    <w:rsid w:val="002207FA"/>
    <w:rsid w:val="002217AE"/>
    <w:rsid w:val="00223487"/>
    <w:rsid w:val="002238B8"/>
    <w:rsid w:val="00227456"/>
    <w:rsid w:val="00230985"/>
    <w:rsid w:val="00230B8F"/>
    <w:rsid w:val="002321D2"/>
    <w:rsid w:val="002374A0"/>
    <w:rsid w:val="002374EE"/>
    <w:rsid w:val="00242CCC"/>
    <w:rsid w:val="00243764"/>
    <w:rsid w:val="002475DE"/>
    <w:rsid w:val="002478A1"/>
    <w:rsid w:val="00251665"/>
    <w:rsid w:val="00252910"/>
    <w:rsid w:val="002529AD"/>
    <w:rsid w:val="00252A2A"/>
    <w:rsid w:val="00253448"/>
    <w:rsid w:val="00253A9C"/>
    <w:rsid w:val="0025520C"/>
    <w:rsid w:val="00257C2B"/>
    <w:rsid w:val="0026163E"/>
    <w:rsid w:val="00261B92"/>
    <w:rsid w:val="00261CB4"/>
    <w:rsid w:val="00261DF6"/>
    <w:rsid w:val="0026345D"/>
    <w:rsid w:val="002645F8"/>
    <w:rsid w:val="00266E26"/>
    <w:rsid w:val="00267457"/>
    <w:rsid w:val="00271E85"/>
    <w:rsid w:val="00273A4E"/>
    <w:rsid w:val="00274745"/>
    <w:rsid w:val="00274EC1"/>
    <w:rsid w:val="0027547C"/>
    <w:rsid w:val="002754BD"/>
    <w:rsid w:val="002779C0"/>
    <w:rsid w:val="00280625"/>
    <w:rsid w:val="00280CF8"/>
    <w:rsid w:val="00282176"/>
    <w:rsid w:val="002822A3"/>
    <w:rsid w:val="0028277C"/>
    <w:rsid w:val="00282C2E"/>
    <w:rsid w:val="002845CF"/>
    <w:rsid w:val="00284CFE"/>
    <w:rsid w:val="00287374"/>
    <w:rsid w:val="00287797"/>
    <w:rsid w:val="0029130B"/>
    <w:rsid w:val="00291318"/>
    <w:rsid w:val="0029310D"/>
    <w:rsid w:val="00293A22"/>
    <w:rsid w:val="00293A3E"/>
    <w:rsid w:val="00294C03"/>
    <w:rsid w:val="00295482"/>
    <w:rsid w:val="0029784D"/>
    <w:rsid w:val="002A02CD"/>
    <w:rsid w:val="002A376A"/>
    <w:rsid w:val="002A3A8E"/>
    <w:rsid w:val="002A5DEB"/>
    <w:rsid w:val="002A6695"/>
    <w:rsid w:val="002B2FEA"/>
    <w:rsid w:val="002B5A2D"/>
    <w:rsid w:val="002B772B"/>
    <w:rsid w:val="002C061B"/>
    <w:rsid w:val="002C080E"/>
    <w:rsid w:val="002C0C3A"/>
    <w:rsid w:val="002C3C0A"/>
    <w:rsid w:val="002C4664"/>
    <w:rsid w:val="002C4A39"/>
    <w:rsid w:val="002C4D41"/>
    <w:rsid w:val="002C516D"/>
    <w:rsid w:val="002C5879"/>
    <w:rsid w:val="002C7C43"/>
    <w:rsid w:val="002D2107"/>
    <w:rsid w:val="002D2619"/>
    <w:rsid w:val="002D2A77"/>
    <w:rsid w:val="002D6CA6"/>
    <w:rsid w:val="002E21BF"/>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6B7E"/>
    <w:rsid w:val="002F72B7"/>
    <w:rsid w:val="0030116D"/>
    <w:rsid w:val="00302BCB"/>
    <w:rsid w:val="003037BC"/>
    <w:rsid w:val="00303A1B"/>
    <w:rsid w:val="00303BA0"/>
    <w:rsid w:val="00304DE6"/>
    <w:rsid w:val="00306FC8"/>
    <w:rsid w:val="00310366"/>
    <w:rsid w:val="00310A3F"/>
    <w:rsid w:val="00311CAF"/>
    <w:rsid w:val="0031200F"/>
    <w:rsid w:val="00312EFE"/>
    <w:rsid w:val="003131F2"/>
    <w:rsid w:val="00313684"/>
    <w:rsid w:val="00314919"/>
    <w:rsid w:val="003155C2"/>
    <w:rsid w:val="00316458"/>
    <w:rsid w:val="00320109"/>
    <w:rsid w:val="00320D4E"/>
    <w:rsid w:val="00321E54"/>
    <w:rsid w:val="0032276A"/>
    <w:rsid w:val="00322E84"/>
    <w:rsid w:val="0032438A"/>
    <w:rsid w:val="00325B13"/>
    <w:rsid w:val="00325D1E"/>
    <w:rsid w:val="0032655B"/>
    <w:rsid w:val="003303EB"/>
    <w:rsid w:val="00330566"/>
    <w:rsid w:val="00330942"/>
    <w:rsid w:val="00333468"/>
    <w:rsid w:val="00333808"/>
    <w:rsid w:val="0033681E"/>
    <w:rsid w:val="00336E20"/>
    <w:rsid w:val="003405F5"/>
    <w:rsid w:val="00341669"/>
    <w:rsid w:val="00342465"/>
    <w:rsid w:val="003457C2"/>
    <w:rsid w:val="00345E3B"/>
    <w:rsid w:val="00346EFA"/>
    <w:rsid w:val="00353296"/>
    <w:rsid w:val="0035368D"/>
    <w:rsid w:val="00354255"/>
    <w:rsid w:val="00354BC5"/>
    <w:rsid w:val="00354FD0"/>
    <w:rsid w:val="00355D05"/>
    <w:rsid w:val="00356E1B"/>
    <w:rsid w:val="003602C9"/>
    <w:rsid w:val="0036042F"/>
    <w:rsid w:val="003657F4"/>
    <w:rsid w:val="003663BF"/>
    <w:rsid w:val="00366BB8"/>
    <w:rsid w:val="00366D05"/>
    <w:rsid w:val="0036736E"/>
    <w:rsid w:val="00376326"/>
    <w:rsid w:val="00376AE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47B0"/>
    <w:rsid w:val="003B5A66"/>
    <w:rsid w:val="003B6E04"/>
    <w:rsid w:val="003B6F0C"/>
    <w:rsid w:val="003C13CD"/>
    <w:rsid w:val="003C28F2"/>
    <w:rsid w:val="003C331A"/>
    <w:rsid w:val="003C5F59"/>
    <w:rsid w:val="003C5FE0"/>
    <w:rsid w:val="003C7338"/>
    <w:rsid w:val="003D0D51"/>
    <w:rsid w:val="003D1DC8"/>
    <w:rsid w:val="003D25DC"/>
    <w:rsid w:val="003D313E"/>
    <w:rsid w:val="003D35DB"/>
    <w:rsid w:val="003D6C3F"/>
    <w:rsid w:val="003E00B8"/>
    <w:rsid w:val="003E088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698"/>
    <w:rsid w:val="003F5F91"/>
    <w:rsid w:val="003F6C55"/>
    <w:rsid w:val="0040398B"/>
    <w:rsid w:val="00403D51"/>
    <w:rsid w:val="00404B15"/>
    <w:rsid w:val="004068E7"/>
    <w:rsid w:val="004076BD"/>
    <w:rsid w:val="0041096D"/>
    <w:rsid w:val="004111B6"/>
    <w:rsid w:val="00413093"/>
    <w:rsid w:val="00417AAE"/>
    <w:rsid w:val="00417C0D"/>
    <w:rsid w:val="00417F3A"/>
    <w:rsid w:val="00420209"/>
    <w:rsid w:val="004214D5"/>
    <w:rsid w:val="00422311"/>
    <w:rsid w:val="00422C98"/>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241"/>
    <w:rsid w:val="004475C6"/>
    <w:rsid w:val="004479B9"/>
    <w:rsid w:val="0045046D"/>
    <w:rsid w:val="00452BD6"/>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F95"/>
    <w:rsid w:val="00484E27"/>
    <w:rsid w:val="00487556"/>
    <w:rsid w:val="00492333"/>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CF3"/>
    <w:rsid w:val="004C5FBB"/>
    <w:rsid w:val="004C60FE"/>
    <w:rsid w:val="004C6321"/>
    <w:rsid w:val="004C689B"/>
    <w:rsid w:val="004D1D8F"/>
    <w:rsid w:val="004D243B"/>
    <w:rsid w:val="004D4585"/>
    <w:rsid w:val="004D4D32"/>
    <w:rsid w:val="004D63D9"/>
    <w:rsid w:val="004E0AD6"/>
    <w:rsid w:val="004E22FF"/>
    <w:rsid w:val="004E2EF2"/>
    <w:rsid w:val="004E3063"/>
    <w:rsid w:val="004E47CC"/>
    <w:rsid w:val="004F0490"/>
    <w:rsid w:val="004F29F4"/>
    <w:rsid w:val="004F2DE2"/>
    <w:rsid w:val="004F525F"/>
    <w:rsid w:val="004F56D3"/>
    <w:rsid w:val="004F59FB"/>
    <w:rsid w:val="004F76F4"/>
    <w:rsid w:val="004F7F19"/>
    <w:rsid w:val="00500B4F"/>
    <w:rsid w:val="005018D0"/>
    <w:rsid w:val="00501B98"/>
    <w:rsid w:val="00506126"/>
    <w:rsid w:val="0050631D"/>
    <w:rsid w:val="005072F4"/>
    <w:rsid w:val="0051107B"/>
    <w:rsid w:val="00511E76"/>
    <w:rsid w:val="00512046"/>
    <w:rsid w:val="00512209"/>
    <w:rsid w:val="0051229A"/>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0F1F"/>
    <w:rsid w:val="0053198B"/>
    <w:rsid w:val="00531A8A"/>
    <w:rsid w:val="00535765"/>
    <w:rsid w:val="00535A8D"/>
    <w:rsid w:val="00536382"/>
    <w:rsid w:val="00536941"/>
    <w:rsid w:val="00537C32"/>
    <w:rsid w:val="005454D5"/>
    <w:rsid w:val="00545D04"/>
    <w:rsid w:val="005501BA"/>
    <w:rsid w:val="00550C0B"/>
    <w:rsid w:val="005520E3"/>
    <w:rsid w:val="00552C67"/>
    <w:rsid w:val="005569DD"/>
    <w:rsid w:val="00556A90"/>
    <w:rsid w:val="00562D89"/>
    <w:rsid w:val="0056443F"/>
    <w:rsid w:val="00565861"/>
    <w:rsid w:val="005673D1"/>
    <w:rsid w:val="0057076C"/>
    <w:rsid w:val="00570AEA"/>
    <w:rsid w:val="00572946"/>
    <w:rsid w:val="005732F8"/>
    <w:rsid w:val="00580345"/>
    <w:rsid w:val="005816DE"/>
    <w:rsid w:val="00582FC0"/>
    <w:rsid w:val="00585C29"/>
    <w:rsid w:val="005866CD"/>
    <w:rsid w:val="005867A9"/>
    <w:rsid w:val="0058767A"/>
    <w:rsid w:val="00590FB7"/>
    <w:rsid w:val="005914EE"/>
    <w:rsid w:val="00595FCC"/>
    <w:rsid w:val="005A0A77"/>
    <w:rsid w:val="005A381E"/>
    <w:rsid w:val="005A39F4"/>
    <w:rsid w:val="005A79D9"/>
    <w:rsid w:val="005A7C36"/>
    <w:rsid w:val="005B0203"/>
    <w:rsid w:val="005B142C"/>
    <w:rsid w:val="005B21C9"/>
    <w:rsid w:val="005B6BFA"/>
    <w:rsid w:val="005B7CFE"/>
    <w:rsid w:val="005C03D2"/>
    <w:rsid w:val="005C20B7"/>
    <w:rsid w:val="005C3BAC"/>
    <w:rsid w:val="005C43CB"/>
    <w:rsid w:val="005C4598"/>
    <w:rsid w:val="005C4872"/>
    <w:rsid w:val="005C4CCD"/>
    <w:rsid w:val="005C6174"/>
    <w:rsid w:val="005C690F"/>
    <w:rsid w:val="005C6E2D"/>
    <w:rsid w:val="005C742E"/>
    <w:rsid w:val="005C757F"/>
    <w:rsid w:val="005D1E83"/>
    <w:rsid w:val="005D2071"/>
    <w:rsid w:val="005D22D8"/>
    <w:rsid w:val="005D31EC"/>
    <w:rsid w:val="005D38F1"/>
    <w:rsid w:val="005D3E27"/>
    <w:rsid w:val="005D4959"/>
    <w:rsid w:val="005D53B0"/>
    <w:rsid w:val="005D70AC"/>
    <w:rsid w:val="005D7325"/>
    <w:rsid w:val="005D73EF"/>
    <w:rsid w:val="005E0BD4"/>
    <w:rsid w:val="005E16CC"/>
    <w:rsid w:val="005E380A"/>
    <w:rsid w:val="005E72DC"/>
    <w:rsid w:val="005F199D"/>
    <w:rsid w:val="005F2EFC"/>
    <w:rsid w:val="005F36FE"/>
    <w:rsid w:val="005F38B6"/>
    <w:rsid w:val="005F4B93"/>
    <w:rsid w:val="005F5498"/>
    <w:rsid w:val="005F5FC1"/>
    <w:rsid w:val="005F773E"/>
    <w:rsid w:val="005F785A"/>
    <w:rsid w:val="00600A20"/>
    <w:rsid w:val="00601E94"/>
    <w:rsid w:val="0060286E"/>
    <w:rsid w:val="00602E5C"/>
    <w:rsid w:val="006033D0"/>
    <w:rsid w:val="006037C1"/>
    <w:rsid w:val="00604A86"/>
    <w:rsid w:val="006059DA"/>
    <w:rsid w:val="00606B1A"/>
    <w:rsid w:val="00611A0B"/>
    <w:rsid w:val="0061303E"/>
    <w:rsid w:val="006206A1"/>
    <w:rsid w:val="006207EF"/>
    <w:rsid w:val="00621F2D"/>
    <w:rsid w:val="00622401"/>
    <w:rsid w:val="00622CFB"/>
    <w:rsid w:val="006241B8"/>
    <w:rsid w:val="006242F2"/>
    <w:rsid w:val="0062436D"/>
    <w:rsid w:val="00624488"/>
    <w:rsid w:val="006245B4"/>
    <w:rsid w:val="0062539C"/>
    <w:rsid w:val="006271E6"/>
    <w:rsid w:val="006272E2"/>
    <w:rsid w:val="00627513"/>
    <w:rsid w:val="00631035"/>
    <w:rsid w:val="00631888"/>
    <w:rsid w:val="00631EA9"/>
    <w:rsid w:val="00632F61"/>
    <w:rsid w:val="00635A27"/>
    <w:rsid w:val="00636662"/>
    <w:rsid w:val="00637B1E"/>
    <w:rsid w:val="00640115"/>
    <w:rsid w:val="006404F6"/>
    <w:rsid w:val="0064067B"/>
    <w:rsid w:val="006418B3"/>
    <w:rsid w:val="006430B1"/>
    <w:rsid w:val="00644832"/>
    <w:rsid w:val="00644B2E"/>
    <w:rsid w:val="00654DE3"/>
    <w:rsid w:val="00655068"/>
    <w:rsid w:val="00655B7F"/>
    <w:rsid w:val="006573B9"/>
    <w:rsid w:val="00660AAD"/>
    <w:rsid w:val="0066148F"/>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40F4"/>
    <w:rsid w:val="006B0607"/>
    <w:rsid w:val="006B083B"/>
    <w:rsid w:val="006B218E"/>
    <w:rsid w:val="006B3839"/>
    <w:rsid w:val="006B40EF"/>
    <w:rsid w:val="006B4C0B"/>
    <w:rsid w:val="006B634B"/>
    <w:rsid w:val="006C0BD7"/>
    <w:rsid w:val="006C177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6B82"/>
    <w:rsid w:val="006E72D4"/>
    <w:rsid w:val="006E7B27"/>
    <w:rsid w:val="006E7C4E"/>
    <w:rsid w:val="006E7CFC"/>
    <w:rsid w:val="006F134A"/>
    <w:rsid w:val="006F1838"/>
    <w:rsid w:val="006F272D"/>
    <w:rsid w:val="006F49A9"/>
    <w:rsid w:val="006F4CC9"/>
    <w:rsid w:val="006F60D5"/>
    <w:rsid w:val="006F79F1"/>
    <w:rsid w:val="006F7CBF"/>
    <w:rsid w:val="007001B2"/>
    <w:rsid w:val="00700D00"/>
    <w:rsid w:val="0070242C"/>
    <w:rsid w:val="00702D5F"/>
    <w:rsid w:val="0070397B"/>
    <w:rsid w:val="007041F9"/>
    <w:rsid w:val="00704B14"/>
    <w:rsid w:val="00704B45"/>
    <w:rsid w:val="00705FBB"/>
    <w:rsid w:val="0070680E"/>
    <w:rsid w:val="0071036C"/>
    <w:rsid w:val="00712ED6"/>
    <w:rsid w:val="00715343"/>
    <w:rsid w:val="00716DFD"/>
    <w:rsid w:val="007179C4"/>
    <w:rsid w:val="00717D87"/>
    <w:rsid w:val="00720109"/>
    <w:rsid w:val="00720A55"/>
    <w:rsid w:val="00721FC8"/>
    <w:rsid w:val="007248C4"/>
    <w:rsid w:val="007279D2"/>
    <w:rsid w:val="0073003B"/>
    <w:rsid w:val="00730D6D"/>
    <w:rsid w:val="00731FB9"/>
    <w:rsid w:val="007331D2"/>
    <w:rsid w:val="0073611B"/>
    <w:rsid w:val="00736B03"/>
    <w:rsid w:val="00736E1C"/>
    <w:rsid w:val="00740736"/>
    <w:rsid w:val="00741DC7"/>
    <w:rsid w:val="007428C7"/>
    <w:rsid w:val="00743915"/>
    <w:rsid w:val="0074523A"/>
    <w:rsid w:val="00747CDF"/>
    <w:rsid w:val="00750CF0"/>
    <w:rsid w:val="00751A94"/>
    <w:rsid w:val="00754B31"/>
    <w:rsid w:val="0076162A"/>
    <w:rsid w:val="0076190F"/>
    <w:rsid w:val="00762A7C"/>
    <w:rsid w:val="00764BBE"/>
    <w:rsid w:val="00765317"/>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776"/>
    <w:rsid w:val="00784CEA"/>
    <w:rsid w:val="00790E31"/>
    <w:rsid w:val="00792220"/>
    <w:rsid w:val="00792309"/>
    <w:rsid w:val="00792DF8"/>
    <w:rsid w:val="00794774"/>
    <w:rsid w:val="00794B3F"/>
    <w:rsid w:val="00795C86"/>
    <w:rsid w:val="00796030"/>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9ED"/>
    <w:rsid w:val="007B6F45"/>
    <w:rsid w:val="007C02D1"/>
    <w:rsid w:val="007C4D4E"/>
    <w:rsid w:val="007C636E"/>
    <w:rsid w:val="007C76F2"/>
    <w:rsid w:val="007C7BAF"/>
    <w:rsid w:val="007C7F1F"/>
    <w:rsid w:val="007D04B8"/>
    <w:rsid w:val="007D086D"/>
    <w:rsid w:val="007D131F"/>
    <w:rsid w:val="007D354B"/>
    <w:rsid w:val="007D6307"/>
    <w:rsid w:val="007D658D"/>
    <w:rsid w:val="007E0603"/>
    <w:rsid w:val="007E172B"/>
    <w:rsid w:val="007E1EF5"/>
    <w:rsid w:val="007E25E4"/>
    <w:rsid w:val="007E56C0"/>
    <w:rsid w:val="007E5FB2"/>
    <w:rsid w:val="007E6087"/>
    <w:rsid w:val="007E6354"/>
    <w:rsid w:val="007E64DE"/>
    <w:rsid w:val="007E6532"/>
    <w:rsid w:val="007E65E1"/>
    <w:rsid w:val="007E7797"/>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6B0"/>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215"/>
    <w:rsid w:val="008638A5"/>
    <w:rsid w:val="00864C7E"/>
    <w:rsid w:val="008659B7"/>
    <w:rsid w:val="008659CE"/>
    <w:rsid w:val="00865C80"/>
    <w:rsid w:val="0087213E"/>
    <w:rsid w:val="00874D8A"/>
    <w:rsid w:val="008758D4"/>
    <w:rsid w:val="008772A4"/>
    <w:rsid w:val="00877B42"/>
    <w:rsid w:val="00877D7C"/>
    <w:rsid w:val="00881288"/>
    <w:rsid w:val="0088400C"/>
    <w:rsid w:val="00884148"/>
    <w:rsid w:val="00884812"/>
    <w:rsid w:val="00884B61"/>
    <w:rsid w:val="008870EB"/>
    <w:rsid w:val="008932E1"/>
    <w:rsid w:val="00894181"/>
    <w:rsid w:val="008956AA"/>
    <w:rsid w:val="00896A7F"/>
    <w:rsid w:val="00897A05"/>
    <w:rsid w:val="008A0C5A"/>
    <w:rsid w:val="008A1159"/>
    <w:rsid w:val="008A1573"/>
    <w:rsid w:val="008A233A"/>
    <w:rsid w:val="008A460F"/>
    <w:rsid w:val="008A483A"/>
    <w:rsid w:val="008A519E"/>
    <w:rsid w:val="008A60AE"/>
    <w:rsid w:val="008A64DD"/>
    <w:rsid w:val="008A756A"/>
    <w:rsid w:val="008A78EA"/>
    <w:rsid w:val="008B21BC"/>
    <w:rsid w:val="008B270A"/>
    <w:rsid w:val="008B4F0B"/>
    <w:rsid w:val="008B5C71"/>
    <w:rsid w:val="008B731F"/>
    <w:rsid w:val="008B7D4E"/>
    <w:rsid w:val="008C1F18"/>
    <w:rsid w:val="008C266D"/>
    <w:rsid w:val="008C37E8"/>
    <w:rsid w:val="008C40B1"/>
    <w:rsid w:val="008C584E"/>
    <w:rsid w:val="008C6441"/>
    <w:rsid w:val="008D28E1"/>
    <w:rsid w:val="008D3B3F"/>
    <w:rsid w:val="008D43A8"/>
    <w:rsid w:val="008D46FC"/>
    <w:rsid w:val="008D58F4"/>
    <w:rsid w:val="008D7C22"/>
    <w:rsid w:val="008E0704"/>
    <w:rsid w:val="008E0D53"/>
    <w:rsid w:val="008E0DC4"/>
    <w:rsid w:val="008E5041"/>
    <w:rsid w:val="008E5E71"/>
    <w:rsid w:val="008E736C"/>
    <w:rsid w:val="008E7959"/>
    <w:rsid w:val="008F0749"/>
    <w:rsid w:val="008F2D7A"/>
    <w:rsid w:val="008F4E82"/>
    <w:rsid w:val="008F5691"/>
    <w:rsid w:val="008F5A51"/>
    <w:rsid w:val="00900625"/>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690"/>
    <w:rsid w:val="00945CB8"/>
    <w:rsid w:val="009502F9"/>
    <w:rsid w:val="00950D76"/>
    <w:rsid w:val="00950ED4"/>
    <w:rsid w:val="00951B0D"/>
    <w:rsid w:val="0095477E"/>
    <w:rsid w:val="00954CF1"/>
    <w:rsid w:val="0095571A"/>
    <w:rsid w:val="00956E0E"/>
    <w:rsid w:val="00960DEA"/>
    <w:rsid w:val="00960E46"/>
    <w:rsid w:val="00961E7F"/>
    <w:rsid w:val="00962521"/>
    <w:rsid w:val="00962C51"/>
    <w:rsid w:val="00963E6F"/>
    <w:rsid w:val="009643D0"/>
    <w:rsid w:val="009644D7"/>
    <w:rsid w:val="00965741"/>
    <w:rsid w:val="0096639A"/>
    <w:rsid w:val="00966606"/>
    <w:rsid w:val="00966BF0"/>
    <w:rsid w:val="00972243"/>
    <w:rsid w:val="009739BA"/>
    <w:rsid w:val="00973A33"/>
    <w:rsid w:val="009750E8"/>
    <w:rsid w:val="0097583D"/>
    <w:rsid w:val="00976AE9"/>
    <w:rsid w:val="00977989"/>
    <w:rsid w:val="00980877"/>
    <w:rsid w:val="00980C12"/>
    <w:rsid w:val="00981680"/>
    <w:rsid w:val="00983208"/>
    <w:rsid w:val="00983A37"/>
    <w:rsid w:val="00983F77"/>
    <w:rsid w:val="00986D91"/>
    <w:rsid w:val="00987FC8"/>
    <w:rsid w:val="00992901"/>
    <w:rsid w:val="009948FA"/>
    <w:rsid w:val="00996BDA"/>
    <w:rsid w:val="0099716B"/>
    <w:rsid w:val="009973CB"/>
    <w:rsid w:val="00997E6B"/>
    <w:rsid w:val="009A08E5"/>
    <w:rsid w:val="009A5A8E"/>
    <w:rsid w:val="009A659C"/>
    <w:rsid w:val="009A7110"/>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BF3"/>
    <w:rsid w:val="009C6DA9"/>
    <w:rsid w:val="009D07C4"/>
    <w:rsid w:val="009D41AB"/>
    <w:rsid w:val="009D4333"/>
    <w:rsid w:val="009D443C"/>
    <w:rsid w:val="009D4BA7"/>
    <w:rsid w:val="009D5461"/>
    <w:rsid w:val="009D7D07"/>
    <w:rsid w:val="009E03A4"/>
    <w:rsid w:val="009E0F24"/>
    <w:rsid w:val="009E263E"/>
    <w:rsid w:val="009E29E8"/>
    <w:rsid w:val="009E2E2A"/>
    <w:rsid w:val="009E4128"/>
    <w:rsid w:val="009E4A04"/>
    <w:rsid w:val="009E6A6D"/>
    <w:rsid w:val="009F2202"/>
    <w:rsid w:val="009F3790"/>
    <w:rsid w:val="009F39DF"/>
    <w:rsid w:val="009F41F4"/>
    <w:rsid w:val="009F445E"/>
    <w:rsid w:val="009F6813"/>
    <w:rsid w:val="00A02DDB"/>
    <w:rsid w:val="00A03F8F"/>
    <w:rsid w:val="00A042BC"/>
    <w:rsid w:val="00A045F2"/>
    <w:rsid w:val="00A04F3B"/>
    <w:rsid w:val="00A065C8"/>
    <w:rsid w:val="00A071E9"/>
    <w:rsid w:val="00A10DA3"/>
    <w:rsid w:val="00A1369B"/>
    <w:rsid w:val="00A1415D"/>
    <w:rsid w:val="00A15402"/>
    <w:rsid w:val="00A15668"/>
    <w:rsid w:val="00A168FA"/>
    <w:rsid w:val="00A16D8E"/>
    <w:rsid w:val="00A20875"/>
    <w:rsid w:val="00A244C7"/>
    <w:rsid w:val="00A26E75"/>
    <w:rsid w:val="00A27704"/>
    <w:rsid w:val="00A27FF0"/>
    <w:rsid w:val="00A33F9B"/>
    <w:rsid w:val="00A34702"/>
    <w:rsid w:val="00A361DB"/>
    <w:rsid w:val="00A363DD"/>
    <w:rsid w:val="00A36DDE"/>
    <w:rsid w:val="00A36E65"/>
    <w:rsid w:val="00A37912"/>
    <w:rsid w:val="00A37EDE"/>
    <w:rsid w:val="00A401C8"/>
    <w:rsid w:val="00A41789"/>
    <w:rsid w:val="00A41A9E"/>
    <w:rsid w:val="00A43BA2"/>
    <w:rsid w:val="00A45EE8"/>
    <w:rsid w:val="00A462A9"/>
    <w:rsid w:val="00A46E2C"/>
    <w:rsid w:val="00A46FFB"/>
    <w:rsid w:val="00A47A50"/>
    <w:rsid w:val="00A51D86"/>
    <w:rsid w:val="00A52408"/>
    <w:rsid w:val="00A5301A"/>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6A3"/>
    <w:rsid w:val="00A7487F"/>
    <w:rsid w:val="00A753B3"/>
    <w:rsid w:val="00A75C5D"/>
    <w:rsid w:val="00A7749F"/>
    <w:rsid w:val="00A805B7"/>
    <w:rsid w:val="00A83160"/>
    <w:rsid w:val="00A8342D"/>
    <w:rsid w:val="00A84E9B"/>
    <w:rsid w:val="00A85CE4"/>
    <w:rsid w:val="00A85D07"/>
    <w:rsid w:val="00A87D25"/>
    <w:rsid w:val="00A87E91"/>
    <w:rsid w:val="00A915DD"/>
    <w:rsid w:val="00A9286C"/>
    <w:rsid w:val="00A92DF7"/>
    <w:rsid w:val="00A939FE"/>
    <w:rsid w:val="00A94490"/>
    <w:rsid w:val="00A95E07"/>
    <w:rsid w:val="00A96A4E"/>
    <w:rsid w:val="00AA1ECD"/>
    <w:rsid w:val="00AA21E0"/>
    <w:rsid w:val="00AA345B"/>
    <w:rsid w:val="00AA3CD8"/>
    <w:rsid w:val="00AA556D"/>
    <w:rsid w:val="00AA6BA1"/>
    <w:rsid w:val="00AB0BA1"/>
    <w:rsid w:val="00AB1C9F"/>
    <w:rsid w:val="00AB328F"/>
    <w:rsid w:val="00AB3C8D"/>
    <w:rsid w:val="00AB4AC2"/>
    <w:rsid w:val="00AB4F34"/>
    <w:rsid w:val="00AB51A8"/>
    <w:rsid w:val="00AC0AE0"/>
    <w:rsid w:val="00AC1497"/>
    <w:rsid w:val="00AC45E1"/>
    <w:rsid w:val="00AC4EC9"/>
    <w:rsid w:val="00AC5582"/>
    <w:rsid w:val="00AC5D01"/>
    <w:rsid w:val="00AC6629"/>
    <w:rsid w:val="00AC6DF4"/>
    <w:rsid w:val="00AC70CA"/>
    <w:rsid w:val="00AC7111"/>
    <w:rsid w:val="00AC7443"/>
    <w:rsid w:val="00AC752D"/>
    <w:rsid w:val="00AD1055"/>
    <w:rsid w:val="00AD3E0D"/>
    <w:rsid w:val="00AD468B"/>
    <w:rsid w:val="00AD4F7B"/>
    <w:rsid w:val="00AD7046"/>
    <w:rsid w:val="00AD7954"/>
    <w:rsid w:val="00AE0F80"/>
    <w:rsid w:val="00AE23FB"/>
    <w:rsid w:val="00AE256C"/>
    <w:rsid w:val="00AE39F4"/>
    <w:rsid w:val="00AE4EB7"/>
    <w:rsid w:val="00AE5058"/>
    <w:rsid w:val="00AE6691"/>
    <w:rsid w:val="00AE73C9"/>
    <w:rsid w:val="00AE7A85"/>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145"/>
    <w:rsid w:val="00B123FB"/>
    <w:rsid w:val="00B1247F"/>
    <w:rsid w:val="00B153FA"/>
    <w:rsid w:val="00B15D1C"/>
    <w:rsid w:val="00B179C3"/>
    <w:rsid w:val="00B17B55"/>
    <w:rsid w:val="00B20814"/>
    <w:rsid w:val="00B22A17"/>
    <w:rsid w:val="00B22B9F"/>
    <w:rsid w:val="00B22F78"/>
    <w:rsid w:val="00B247CD"/>
    <w:rsid w:val="00B2667E"/>
    <w:rsid w:val="00B27131"/>
    <w:rsid w:val="00B27951"/>
    <w:rsid w:val="00B31892"/>
    <w:rsid w:val="00B32602"/>
    <w:rsid w:val="00B32689"/>
    <w:rsid w:val="00B32D97"/>
    <w:rsid w:val="00B331EC"/>
    <w:rsid w:val="00B35DA2"/>
    <w:rsid w:val="00B35F83"/>
    <w:rsid w:val="00B36A30"/>
    <w:rsid w:val="00B37415"/>
    <w:rsid w:val="00B37803"/>
    <w:rsid w:val="00B37A6D"/>
    <w:rsid w:val="00B404DC"/>
    <w:rsid w:val="00B418F0"/>
    <w:rsid w:val="00B42F31"/>
    <w:rsid w:val="00B43C12"/>
    <w:rsid w:val="00B43D92"/>
    <w:rsid w:val="00B44085"/>
    <w:rsid w:val="00B51050"/>
    <w:rsid w:val="00B5179E"/>
    <w:rsid w:val="00B520EF"/>
    <w:rsid w:val="00B52CAD"/>
    <w:rsid w:val="00B53EAF"/>
    <w:rsid w:val="00B5524F"/>
    <w:rsid w:val="00B554D6"/>
    <w:rsid w:val="00B62EF5"/>
    <w:rsid w:val="00B6454E"/>
    <w:rsid w:val="00B65BCA"/>
    <w:rsid w:val="00B6639B"/>
    <w:rsid w:val="00B66F84"/>
    <w:rsid w:val="00B675A3"/>
    <w:rsid w:val="00B67947"/>
    <w:rsid w:val="00B7570D"/>
    <w:rsid w:val="00B75C77"/>
    <w:rsid w:val="00B7669B"/>
    <w:rsid w:val="00B80E36"/>
    <w:rsid w:val="00B83D05"/>
    <w:rsid w:val="00B84F6E"/>
    <w:rsid w:val="00B859EC"/>
    <w:rsid w:val="00B87AFC"/>
    <w:rsid w:val="00B901B7"/>
    <w:rsid w:val="00B90713"/>
    <w:rsid w:val="00B92069"/>
    <w:rsid w:val="00B92D10"/>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CE8"/>
    <w:rsid w:val="00BC3EC5"/>
    <w:rsid w:val="00BC43BF"/>
    <w:rsid w:val="00BC46B6"/>
    <w:rsid w:val="00BC5546"/>
    <w:rsid w:val="00BC6C3F"/>
    <w:rsid w:val="00BC75AB"/>
    <w:rsid w:val="00BC7F67"/>
    <w:rsid w:val="00BD0D73"/>
    <w:rsid w:val="00BD2771"/>
    <w:rsid w:val="00BD2C1B"/>
    <w:rsid w:val="00BD35AA"/>
    <w:rsid w:val="00BD3C78"/>
    <w:rsid w:val="00BD3C86"/>
    <w:rsid w:val="00BD6505"/>
    <w:rsid w:val="00BE288A"/>
    <w:rsid w:val="00BE314D"/>
    <w:rsid w:val="00BE53BB"/>
    <w:rsid w:val="00BE5634"/>
    <w:rsid w:val="00BE57BB"/>
    <w:rsid w:val="00BE7092"/>
    <w:rsid w:val="00BE7118"/>
    <w:rsid w:val="00BF03AB"/>
    <w:rsid w:val="00BF0C25"/>
    <w:rsid w:val="00BF2CD0"/>
    <w:rsid w:val="00BF362A"/>
    <w:rsid w:val="00BF381B"/>
    <w:rsid w:val="00BF460D"/>
    <w:rsid w:val="00BF5AD6"/>
    <w:rsid w:val="00BF6B94"/>
    <w:rsid w:val="00BF7869"/>
    <w:rsid w:val="00C06004"/>
    <w:rsid w:val="00C06389"/>
    <w:rsid w:val="00C06C06"/>
    <w:rsid w:val="00C10AA3"/>
    <w:rsid w:val="00C11279"/>
    <w:rsid w:val="00C11A18"/>
    <w:rsid w:val="00C12B98"/>
    <w:rsid w:val="00C13A67"/>
    <w:rsid w:val="00C13CD5"/>
    <w:rsid w:val="00C14481"/>
    <w:rsid w:val="00C157A7"/>
    <w:rsid w:val="00C16735"/>
    <w:rsid w:val="00C175A7"/>
    <w:rsid w:val="00C2045C"/>
    <w:rsid w:val="00C218B8"/>
    <w:rsid w:val="00C231AA"/>
    <w:rsid w:val="00C231EB"/>
    <w:rsid w:val="00C24DAF"/>
    <w:rsid w:val="00C25F9F"/>
    <w:rsid w:val="00C264AA"/>
    <w:rsid w:val="00C26633"/>
    <w:rsid w:val="00C27AAC"/>
    <w:rsid w:val="00C335A8"/>
    <w:rsid w:val="00C34810"/>
    <w:rsid w:val="00C362E2"/>
    <w:rsid w:val="00C40507"/>
    <w:rsid w:val="00C4052B"/>
    <w:rsid w:val="00C409B6"/>
    <w:rsid w:val="00C40CD5"/>
    <w:rsid w:val="00C40DD3"/>
    <w:rsid w:val="00C41F34"/>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0AD5"/>
    <w:rsid w:val="00C71154"/>
    <w:rsid w:val="00C71160"/>
    <w:rsid w:val="00C7208B"/>
    <w:rsid w:val="00C737F2"/>
    <w:rsid w:val="00C74467"/>
    <w:rsid w:val="00C74954"/>
    <w:rsid w:val="00C75DFF"/>
    <w:rsid w:val="00C77D00"/>
    <w:rsid w:val="00C8054F"/>
    <w:rsid w:val="00C82094"/>
    <w:rsid w:val="00C8214A"/>
    <w:rsid w:val="00C825E5"/>
    <w:rsid w:val="00C8345C"/>
    <w:rsid w:val="00C849B4"/>
    <w:rsid w:val="00C85CD7"/>
    <w:rsid w:val="00C8729E"/>
    <w:rsid w:val="00C91A6F"/>
    <w:rsid w:val="00C91E33"/>
    <w:rsid w:val="00C930C8"/>
    <w:rsid w:val="00C95611"/>
    <w:rsid w:val="00C968FF"/>
    <w:rsid w:val="00C97FC1"/>
    <w:rsid w:val="00CA45CB"/>
    <w:rsid w:val="00CA4C3A"/>
    <w:rsid w:val="00CA4E57"/>
    <w:rsid w:val="00CA7AA6"/>
    <w:rsid w:val="00CA7ADA"/>
    <w:rsid w:val="00CA7C07"/>
    <w:rsid w:val="00CA7C7A"/>
    <w:rsid w:val="00CA7EAE"/>
    <w:rsid w:val="00CA7F1D"/>
    <w:rsid w:val="00CB1204"/>
    <w:rsid w:val="00CB19C6"/>
    <w:rsid w:val="00CB5C38"/>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2A8C"/>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524"/>
    <w:rsid w:val="00D04C47"/>
    <w:rsid w:val="00D0654C"/>
    <w:rsid w:val="00D069F8"/>
    <w:rsid w:val="00D07E4B"/>
    <w:rsid w:val="00D1305D"/>
    <w:rsid w:val="00D1318A"/>
    <w:rsid w:val="00D131F8"/>
    <w:rsid w:val="00D13CEA"/>
    <w:rsid w:val="00D13F20"/>
    <w:rsid w:val="00D144B1"/>
    <w:rsid w:val="00D15014"/>
    <w:rsid w:val="00D15AA1"/>
    <w:rsid w:val="00D164BC"/>
    <w:rsid w:val="00D17468"/>
    <w:rsid w:val="00D203E4"/>
    <w:rsid w:val="00D21713"/>
    <w:rsid w:val="00D23481"/>
    <w:rsid w:val="00D252F7"/>
    <w:rsid w:val="00D25C63"/>
    <w:rsid w:val="00D279F0"/>
    <w:rsid w:val="00D27B88"/>
    <w:rsid w:val="00D27D4B"/>
    <w:rsid w:val="00D3496C"/>
    <w:rsid w:val="00D34AF5"/>
    <w:rsid w:val="00D36A13"/>
    <w:rsid w:val="00D36A9F"/>
    <w:rsid w:val="00D42E23"/>
    <w:rsid w:val="00D43A3A"/>
    <w:rsid w:val="00D44453"/>
    <w:rsid w:val="00D466A8"/>
    <w:rsid w:val="00D46E14"/>
    <w:rsid w:val="00D47418"/>
    <w:rsid w:val="00D474D0"/>
    <w:rsid w:val="00D51004"/>
    <w:rsid w:val="00D5128D"/>
    <w:rsid w:val="00D52E5B"/>
    <w:rsid w:val="00D52EC1"/>
    <w:rsid w:val="00D55A56"/>
    <w:rsid w:val="00D579E6"/>
    <w:rsid w:val="00D606A4"/>
    <w:rsid w:val="00D61CB8"/>
    <w:rsid w:val="00D61FF9"/>
    <w:rsid w:val="00D62480"/>
    <w:rsid w:val="00D629E3"/>
    <w:rsid w:val="00D64273"/>
    <w:rsid w:val="00D64B8A"/>
    <w:rsid w:val="00D64C4F"/>
    <w:rsid w:val="00D65180"/>
    <w:rsid w:val="00D66DDB"/>
    <w:rsid w:val="00D70766"/>
    <w:rsid w:val="00D708AE"/>
    <w:rsid w:val="00D71C46"/>
    <w:rsid w:val="00D72175"/>
    <w:rsid w:val="00D7252C"/>
    <w:rsid w:val="00D74D06"/>
    <w:rsid w:val="00D768A4"/>
    <w:rsid w:val="00D7768F"/>
    <w:rsid w:val="00D815A0"/>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13D"/>
    <w:rsid w:val="00DA4E7C"/>
    <w:rsid w:val="00DB271D"/>
    <w:rsid w:val="00DB277C"/>
    <w:rsid w:val="00DB3906"/>
    <w:rsid w:val="00DB3FB8"/>
    <w:rsid w:val="00DB5A7F"/>
    <w:rsid w:val="00DB7DC5"/>
    <w:rsid w:val="00DC0C32"/>
    <w:rsid w:val="00DC175C"/>
    <w:rsid w:val="00DC1DC5"/>
    <w:rsid w:val="00DC69D9"/>
    <w:rsid w:val="00DC7159"/>
    <w:rsid w:val="00DC7C06"/>
    <w:rsid w:val="00DC7E08"/>
    <w:rsid w:val="00DD0CD5"/>
    <w:rsid w:val="00DD1932"/>
    <w:rsid w:val="00DD1CC7"/>
    <w:rsid w:val="00DD2423"/>
    <w:rsid w:val="00DD4191"/>
    <w:rsid w:val="00DD732B"/>
    <w:rsid w:val="00DE00CB"/>
    <w:rsid w:val="00DE02CA"/>
    <w:rsid w:val="00DE12AE"/>
    <w:rsid w:val="00DE224D"/>
    <w:rsid w:val="00DE379D"/>
    <w:rsid w:val="00DE41C5"/>
    <w:rsid w:val="00DF08D7"/>
    <w:rsid w:val="00DF277D"/>
    <w:rsid w:val="00DF34EC"/>
    <w:rsid w:val="00DF37DE"/>
    <w:rsid w:val="00DF43D9"/>
    <w:rsid w:val="00DF57E1"/>
    <w:rsid w:val="00DF59CE"/>
    <w:rsid w:val="00DF60BC"/>
    <w:rsid w:val="00DF7F84"/>
    <w:rsid w:val="00E00BC4"/>
    <w:rsid w:val="00E022A1"/>
    <w:rsid w:val="00E0245B"/>
    <w:rsid w:val="00E02A52"/>
    <w:rsid w:val="00E0447A"/>
    <w:rsid w:val="00E052B8"/>
    <w:rsid w:val="00E10780"/>
    <w:rsid w:val="00E109B5"/>
    <w:rsid w:val="00E11168"/>
    <w:rsid w:val="00E12243"/>
    <w:rsid w:val="00E12804"/>
    <w:rsid w:val="00E134FA"/>
    <w:rsid w:val="00E14594"/>
    <w:rsid w:val="00E14735"/>
    <w:rsid w:val="00E16729"/>
    <w:rsid w:val="00E21EC5"/>
    <w:rsid w:val="00E22006"/>
    <w:rsid w:val="00E22EA8"/>
    <w:rsid w:val="00E23058"/>
    <w:rsid w:val="00E24F0F"/>
    <w:rsid w:val="00E2568A"/>
    <w:rsid w:val="00E25D40"/>
    <w:rsid w:val="00E275EC"/>
    <w:rsid w:val="00E319EF"/>
    <w:rsid w:val="00E31CB8"/>
    <w:rsid w:val="00E332FF"/>
    <w:rsid w:val="00E342FF"/>
    <w:rsid w:val="00E354BF"/>
    <w:rsid w:val="00E35B2A"/>
    <w:rsid w:val="00E361ED"/>
    <w:rsid w:val="00E368CF"/>
    <w:rsid w:val="00E40395"/>
    <w:rsid w:val="00E40CA6"/>
    <w:rsid w:val="00E41747"/>
    <w:rsid w:val="00E42C08"/>
    <w:rsid w:val="00E44D06"/>
    <w:rsid w:val="00E46240"/>
    <w:rsid w:val="00E47AB2"/>
    <w:rsid w:val="00E50794"/>
    <w:rsid w:val="00E50ABD"/>
    <w:rsid w:val="00E52B0F"/>
    <w:rsid w:val="00E54144"/>
    <w:rsid w:val="00E547F7"/>
    <w:rsid w:val="00E57404"/>
    <w:rsid w:val="00E57797"/>
    <w:rsid w:val="00E57A6E"/>
    <w:rsid w:val="00E62AFB"/>
    <w:rsid w:val="00E638C3"/>
    <w:rsid w:val="00E645AB"/>
    <w:rsid w:val="00E64BEF"/>
    <w:rsid w:val="00E64E18"/>
    <w:rsid w:val="00E66BEB"/>
    <w:rsid w:val="00E6707F"/>
    <w:rsid w:val="00E70AF3"/>
    <w:rsid w:val="00E71771"/>
    <w:rsid w:val="00E71F80"/>
    <w:rsid w:val="00E73985"/>
    <w:rsid w:val="00E7452D"/>
    <w:rsid w:val="00E74CB0"/>
    <w:rsid w:val="00E81B7C"/>
    <w:rsid w:val="00E85AC5"/>
    <w:rsid w:val="00E864E9"/>
    <w:rsid w:val="00E865E5"/>
    <w:rsid w:val="00E909E3"/>
    <w:rsid w:val="00E91C8A"/>
    <w:rsid w:val="00E91CFB"/>
    <w:rsid w:val="00E91D41"/>
    <w:rsid w:val="00E9742F"/>
    <w:rsid w:val="00EA372C"/>
    <w:rsid w:val="00EA3CD3"/>
    <w:rsid w:val="00EA4041"/>
    <w:rsid w:val="00EA5AC2"/>
    <w:rsid w:val="00EB020F"/>
    <w:rsid w:val="00EB1470"/>
    <w:rsid w:val="00EB2119"/>
    <w:rsid w:val="00EB33A4"/>
    <w:rsid w:val="00EB386A"/>
    <w:rsid w:val="00EB3E63"/>
    <w:rsid w:val="00EB6216"/>
    <w:rsid w:val="00EB67C3"/>
    <w:rsid w:val="00EB6CF0"/>
    <w:rsid w:val="00EB6DC9"/>
    <w:rsid w:val="00EB726D"/>
    <w:rsid w:val="00EC1274"/>
    <w:rsid w:val="00EC1B9A"/>
    <w:rsid w:val="00EC285A"/>
    <w:rsid w:val="00EC3047"/>
    <w:rsid w:val="00EC4067"/>
    <w:rsid w:val="00EC4902"/>
    <w:rsid w:val="00EC4F2E"/>
    <w:rsid w:val="00EC5C68"/>
    <w:rsid w:val="00EC6180"/>
    <w:rsid w:val="00EC6576"/>
    <w:rsid w:val="00EC7CBF"/>
    <w:rsid w:val="00ED0CC0"/>
    <w:rsid w:val="00ED3627"/>
    <w:rsid w:val="00ED37B8"/>
    <w:rsid w:val="00ED3C94"/>
    <w:rsid w:val="00ED4E9B"/>
    <w:rsid w:val="00ED5B5F"/>
    <w:rsid w:val="00ED67BB"/>
    <w:rsid w:val="00ED6859"/>
    <w:rsid w:val="00EE0F64"/>
    <w:rsid w:val="00EE1006"/>
    <w:rsid w:val="00EE1B70"/>
    <w:rsid w:val="00EE2186"/>
    <w:rsid w:val="00EE3EC4"/>
    <w:rsid w:val="00EE53C1"/>
    <w:rsid w:val="00EF0C39"/>
    <w:rsid w:val="00EF36E1"/>
    <w:rsid w:val="00EF6C8B"/>
    <w:rsid w:val="00EF7458"/>
    <w:rsid w:val="00F0153C"/>
    <w:rsid w:val="00F01CE1"/>
    <w:rsid w:val="00F028A5"/>
    <w:rsid w:val="00F02ACE"/>
    <w:rsid w:val="00F03463"/>
    <w:rsid w:val="00F03E2D"/>
    <w:rsid w:val="00F05082"/>
    <w:rsid w:val="00F056AD"/>
    <w:rsid w:val="00F06AF6"/>
    <w:rsid w:val="00F104DF"/>
    <w:rsid w:val="00F10AC0"/>
    <w:rsid w:val="00F1255F"/>
    <w:rsid w:val="00F1561E"/>
    <w:rsid w:val="00F16ADD"/>
    <w:rsid w:val="00F16F36"/>
    <w:rsid w:val="00F17142"/>
    <w:rsid w:val="00F20567"/>
    <w:rsid w:val="00F21BA6"/>
    <w:rsid w:val="00F25709"/>
    <w:rsid w:val="00F26C65"/>
    <w:rsid w:val="00F30312"/>
    <w:rsid w:val="00F316B5"/>
    <w:rsid w:val="00F317D5"/>
    <w:rsid w:val="00F3721C"/>
    <w:rsid w:val="00F378E3"/>
    <w:rsid w:val="00F41361"/>
    <w:rsid w:val="00F41B36"/>
    <w:rsid w:val="00F42088"/>
    <w:rsid w:val="00F43789"/>
    <w:rsid w:val="00F437D8"/>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70847"/>
    <w:rsid w:val="00F70A24"/>
    <w:rsid w:val="00F712A4"/>
    <w:rsid w:val="00F71565"/>
    <w:rsid w:val="00F7237E"/>
    <w:rsid w:val="00F73D29"/>
    <w:rsid w:val="00F74C18"/>
    <w:rsid w:val="00F7642B"/>
    <w:rsid w:val="00F8038D"/>
    <w:rsid w:val="00F80790"/>
    <w:rsid w:val="00F8257C"/>
    <w:rsid w:val="00F84FFC"/>
    <w:rsid w:val="00F8788F"/>
    <w:rsid w:val="00F87926"/>
    <w:rsid w:val="00F908B7"/>
    <w:rsid w:val="00F91851"/>
    <w:rsid w:val="00F933B4"/>
    <w:rsid w:val="00F936DE"/>
    <w:rsid w:val="00F93F64"/>
    <w:rsid w:val="00F94A84"/>
    <w:rsid w:val="00F955F5"/>
    <w:rsid w:val="00FA03D1"/>
    <w:rsid w:val="00FA2ED3"/>
    <w:rsid w:val="00FA36A3"/>
    <w:rsid w:val="00FA3A0C"/>
    <w:rsid w:val="00FA3EA6"/>
    <w:rsid w:val="00FA6B8E"/>
    <w:rsid w:val="00FA7206"/>
    <w:rsid w:val="00FB0D59"/>
    <w:rsid w:val="00FB1B19"/>
    <w:rsid w:val="00FB1BAA"/>
    <w:rsid w:val="00FB1BCD"/>
    <w:rsid w:val="00FB1D33"/>
    <w:rsid w:val="00FB628E"/>
    <w:rsid w:val="00FB7C3A"/>
    <w:rsid w:val="00FC01D5"/>
    <w:rsid w:val="00FC2034"/>
    <w:rsid w:val="00FC387F"/>
    <w:rsid w:val="00FC48F9"/>
    <w:rsid w:val="00FC6F1F"/>
    <w:rsid w:val="00FC7236"/>
    <w:rsid w:val="00FC74A2"/>
    <w:rsid w:val="00FD06A0"/>
    <w:rsid w:val="00FD34DC"/>
    <w:rsid w:val="00FD3D7D"/>
    <w:rsid w:val="00FD5141"/>
    <w:rsid w:val="00FD5CCF"/>
    <w:rsid w:val="00FD667D"/>
    <w:rsid w:val="00FE2415"/>
    <w:rsid w:val="00FE58DC"/>
    <w:rsid w:val="00FE609B"/>
    <w:rsid w:val="00FE62B8"/>
    <w:rsid w:val="00FE7308"/>
    <w:rsid w:val="00FE77B0"/>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31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4683661">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34110980">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446000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18909038">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59031058">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67091675">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7831358">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3756593">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4819230">
      <w:bodyDiv w:val="1"/>
      <w:marLeft w:val="0"/>
      <w:marRight w:val="0"/>
      <w:marTop w:val="0"/>
      <w:marBottom w:val="0"/>
      <w:divBdr>
        <w:top w:val="none" w:sz="0" w:space="0" w:color="auto"/>
        <w:left w:val="none" w:sz="0" w:space="0" w:color="auto"/>
        <w:bottom w:val="none" w:sz="0" w:space="0" w:color="auto"/>
        <w:right w:val="none" w:sz="0" w:space="0" w:color="auto"/>
      </w:divBdr>
    </w:div>
    <w:div w:id="1622952143">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4704896">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ebapps.condusef.gob.mx/SIPRES/jsp/pub/index.jsp"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ondusef.gob.mx/Revista/index.php/usuario-inteligente/condusef-responde/777-la-condusef-te-puede-ayuda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B9FF0A55-D477-408C-ACB3-F64831BAEED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10438</Words>
  <Characters>56996</Characters>
  <Application>Microsoft Office Word</Application>
  <DocSecurity>0</DocSecurity>
  <Lines>1055</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Roxana Lechuga</cp:lastModifiedBy>
  <cp:revision>2</cp:revision>
  <cp:lastPrinted>2026-01-23T15:32:00Z</cp:lastPrinted>
  <dcterms:created xsi:type="dcterms:W3CDTF">2026-03-13T04:28:00Z</dcterms:created>
  <dcterms:modified xsi:type="dcterms:W3CDTF">2026-03-13T04:28:00Z</dcterms:modified>
</cp:coreProperties>
</file>