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sz w:val="22"/>
          <w:szCs w:val="22"/>
        </w:rPr>
      </w:pPr>
      <w:bookmarkStart w:colFirst="0" w:colLast="0" w:name="_heading=h.3rdcrjn" w:id="0"/>
      <w:bookmarkEnd w:id="0"/>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a catorce de enero de dos mil veintiséis. </w:t>
      </w:r>
    </w:p>
    <w:p w:rsidR="00000000" w:rsidDel="00000000" w:rsidP="00000000" w:rsidRDefault="00000000" w:rsidRPr="00000000" w14:paraId="00000002">
      <w:pPr>
        <w:tabs>
          <w:tab w:val="left" w:leader="none" w:pos="5812"/>
        </w:tabs>
        <w:spacing w:after="240" w:before="240" w:line="360" w:lineRule="auto"/>
        <w:jc w:val="both"/>
        <w:rPr>
          <w:rFonts w:ascii="Palatino Linotype" w:cs="Palatino Linotype" w:eastAsia="Palatino Linotype" w:hAnsi="Palatino Linotype"/>
          <w:sz w:val="22"/>
          <w:szCs w:val="22"/>
        </w:rPr>
      </w:pPr>
      <w:bookmarkStart w:colFirst="0" w:colLast="0" w:name="_heading=h.daj3j2xo6q66" w:id="1"/>
      <w:bookmarkEnd w:id="1"/>
      <w:r w:rsidDel="00000000" w:rsidR="00000000" w:rsidRPr="00000000">
        <w:rPr>
          <w:rFonts w:ascii="Palatino Linotype" w:cs="Palatino Linotype" w:eastAsia="Palatino Linotype" w:hAnsi="Palatino Linotype"/>
          <w:b w:val="1"/>
          <w:bCs w:val="1"/>
          <w:sz w:val="22"/>
          <w:szCs w:val="22"/>
          <w:rtl w:val="0"/>
        </w:rPr>
        <w:t xml:space="preserve">VISTO</w:t>
      </w:r>
      <w:r w:rsidDel="00000000" w:rsidR="00000000" w:rsidRPr="00000000">
        <w:rPr>
          <w:rFonts w:ascii="Palatino Linotype" w:cs="Palatino Linotype" w:eastAsia="Palatino Linotype" w:hAnsi="Palatino Linotype"/>
          <w:sz w:val="22"/>
          <w:szCs w:val="22"/>
          <w:rtl w:val="0"/>
        </w:rPr>
        <w:t xml:space="preserve"> el expediente formado con motivo del recurso de revisión </w:t>
      </w:r>
      <w:r w:rsidDel="00000000" w:rsidR="00000000" w:rsidRPr="00000000">
        <w:rPr>
          <w:rFonts w:ascii="Palatino Linotype" w:cs="Palatino Linotype" w:eastAsia="Palatino Linotype" w:hAnsi="Palatino Linotype"/>
          <w:b w:val="1"/>
          <w:bCs w:val="1"/>
          <w:sz w:val="22"/>
          <w:szCs w:val="22"/>
          <w:rtl w:val="0"/>
        </w:rPr>
        <w:t xml:space="preserve">13029/INFOEM/IP/RR/2025</w:t>
      </w:r>
      <w:r w:rsidDel="00000000" w:rsidR="00000000" w:rsidRPr="00000000">
        <w:rPr>
          <w:rFonts w:ascii="Palatino Linotype" w:cs="Palatino Linotype" w:eastAsia="Palatino Linotype" w:hAnsi="Palatino Linotype"/>
          <w:sz w:val="22"/>
          <w:szCs w:val="22"/>
          <w:rtl w:val="0"/>
        </w:rPr>
        <w:t xml:space="preserve">, interpuesto por</w:t>
      </w:r>
      <w:r w:rsidDel="00000000" w:rsidR="00000000" w:rsidRPr="00000000">
        <w:rPr>
          <w:rFonts w:ascii="Palatino Linotype" w:cs="Palatino Linotype" w:eastAsia="Palatino Linotype" w:hAnsi="Palatino Linotype"/>
          <w:b w:val="1"/>
          <w:bCs w:val="1"/>
          <w:sz w:val="22"/>
          <w:szCs w:val="22"/>
          <w:rtl w:val="0"/>
        </w:rPr>
        <w:t xml:space="preserve"> XXXXXX XXXXXXXX,</w:t>
      </w:r>
      <w:r w:rsidDel="00000000" w:rsidR="00000000" w:rsidRPr="00000000">
        <w:rPr>
          <w:rFonts w:ascii="Palatino Linotype" w:cs="Palatino Linotype" w:eastAsia="Palatino Linotype" w:hAnsi="Palatino Linotype"/>
          <w:sz w:val="22"/>
          <w:szCs w:val="22"/>
          <w:rtl w:val="0"/>
        </w:rPr>
        <w:t xml:space="preserve"> en lo sucesivo</w:t>
      </w:r>
      <w:r w:rsidDel="00000000" w:rsidR="00000000" w:rsidRPr="00000000">
        <w:rPr>
          <w:rFonts w:ascii="Palatino Linotype" w:cs="Palatino Linotype" w:eastAsia="Palatino Linotype" w:hAnsi="Palatino Linotype"/>
          <w:b w:val="1"/>
          <w:bCs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contra de la respuesta a la solicitud de información con número de folio</w:t>
      </w:r>
      <w:r w:rsidDel="00000000" w:rsidR="00000000" w:rsidRPr="00000000">
        <w:rPr>
          <w:rFonts w:ascii="Palatino Linotype" w:cs="Palatino Linotype" w:eastAsia="Palatino Linotype" w:hAnsi="Palatino Linotype"/>
          <w:b w:val="1"/>
          <w:bCs w:val="1"/>
          <w:sz w:val="22"/>
          <w:szCs w:val="22"/>
          <w:rtl w:val="0"/>
        </w:rPr>
        <w:t xml:space="preserve"> 00147/ATENCO/IP/2025, </w:t>
      </w:r>
      <w:r w:rsidDel="00000000" w:rsidR="00000000" w:rsidRPr="00000000">
        <w:rPr>
          <w:rFonts w:ascii="Palatino Linotype" w:cs="Palatino Linotype" w:eastAsia="Palatino Linotype" w:hAnsi="Palatino Linotype"/>
          <w:sz w:val="22"/>
          <w:szCs w:val="22"/>
          <w:rtl w:val="0"/>
        </w:rPr>
        <w:t xml:space="preserve">por parte del </w:t>
      </w:r>
      <w:r w:rsidDel="00000000" w:rsidR="00000000" w:rsidRPr="00000000">
        <w:rPr>
          <w:rFonts w:ascii="Palatino Linotype" w:cs="Palatino Linotype" w:eastAsia="Palatino Linotype" w:hAnsi="Palatino Linotype"/>
          <w:b w:val="1"/>
          <w:bCs w:val="1"/>
          <w:sz w:val="22"/>
          <w:szCs w:val="22"/>
          <w:rtl w:val="0"/>
        </w:rPr>
        <w:t xml:space="preserve">Ayuntamiento de Atenco, </w:t>
      </w:r>
      <w:r w:rsidDel="00000000" w:rsidR="00000000" w:rsidRPr="00000000">
        <w:rPr>
          <w:rFonts w:ascii="Palatino Linotype" w:cs="Palatino Linotype" w:eastAsia="Palatino Linotype" w:hAnsi="Palatino Linotype"/>
          <w:sz w:val="22"/>
          <w:szCs w:val="22"/>
          <w:rtl w:val="0"/>
        </w:rPr>
        <w:t xml:space="preserve">en lo sucesivo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los siguientes: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2"/>
          <w:szCs w:val="22"/>
        </w:rPr>
      </w:pPr>
      <w:bookmarkStart w:colFirst="0" w:colLast="0" w:name="_heading=h.gjdgxs" w:id="2"/>
      <w:bookmarkEnd w:id="2"/>
      <w:r w:rsidDel="00000000" w:rsidR="00000000" w:rsidRPr="00000000">
        <w:rPr>
          <w:rFonts w:ascii="Palatino Linotype" w:cs="Palatino Linotype" w:eastAsia="Palatino Linotype" w:hAnsi="Palatino Linotype"/>
          <w:b w:val="1"/>
          <w:bCs w:val="1"/>
          <w:sz w:val="22"/>
          <w:szCs w:val="22"/>
          <w:rtl w:val="0"/>
        </w:rPr>
        <w:t xml:space="preserve">1. Solicitud de acceso a la información.</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bCs w:val="1"/>
          <w:sz w:val="22"/>
          <w:szCs w:val="22"/>
          <w:rtl w:val="0"/>
        </w:rPr>
        <w:t xml:space="preserve">diez de noviembre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presentó la solicitud de acceso a la información pública ante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a través del Sistema de Acceso a la Información Mexiquense, en lo subsecuente el </w:t>
      </w:r>
      <w:r w:rsidDel="00000000" w:rsidR="00000000" w:rsidRPr="00000000">
        <w:rPr>
          <w:rFonts w:ascii="Palatino Linotype" w:cs="Palatino Linotype" w:eastAsia="Palatino Linotype" w:hAnsi="Palatino Linotype"/>
          <w:b w:val="1"/>
          <w:bCs w:val="1"/>
          <w:sz w:val="22"/>
          <w:szCs w:val="22"/>
          <w:rtl w:val="0"/>
        </w:rPr>
        <w:t xml:space="preserve">SAIMEX,</w:t>
      </w:r>
      <w:r w:rsidDel="00000000" w:rsidR="00000000" w:rsidRPr="00000000">
        <w:rPr>
          <w:rFonts w:ascii="Palatino Linotype" w:cs="Palatino Linotype" w:eastAsia="Palatino Linotype" w:hAnsi="Palatino Linotype"/>
          <w:sz w:val="22"/>
          <w:szCs w:val="22"/>
          <w:rtl w:val="0"/>
        </w:rPr>
        <w:t xml:space="preserve"> mediante la cual requirió lo siguiente:</w:t>
      </w:r>
    </w:p>
    <w:p w:rsidR="00000000" w:rsidDel="00000000" w:rsidP="00000000" w:rsidRDefault="00000000" w:rsidRPr="00000000" w14:paraId="00000005">
      <w:pPr>
        <w:spacing w:after="120" w:before="120" w:lineRule="auto"/>
        <w:ind w:left="851"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 “Solicito un informe detayado y con fundamento legal emitido y firmado por el presidente municipal, por ser él kien le asignó el cargo, d las actividades q realiza la presidenta del Dif y q justifiquen q al anochecer la señora se encuentre dentro d la camioneta honda crv, propiedad del Dif con el pecho totalmente descubierto mientras su coordinador d adulto mayor la manosea descaradamente. Existen pruebas d ello q en su momento llegarán a contraloría pues somos varios vecinos kienes hemos presenciado dichos eventos tan vergonzosos</w:t>
      </w: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Fonts w:ascii="Palatino Linotype" w:cs="Palatino Linotype" w:eastAsia="Palatino Linotype" w:hAnsi="Palatino Linotype"/>
          <w:i w:val="1"/>
          <w:iCs w:val="1"/>
          <w:sz w:val="22"/>
          <w:szCs w:val="22"/>
          <w:rtl w:val="0"/>
        </w:rPr>
        <w:t xml:space="preserve"> (sic) </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2"/>
          <w:szCs w:val="22"/>
        </w:rPr>
      </w:pPr>
      <w:bookmarkStart w:colFirst="0" w:colLast="0" w:name="_heading=h.3dy6vkm" w:id="3"/>
      <w:bookmarkEnd w:id="3"/>
      <w:r w:rsidDel="00000000" w:rsidR="00000000" w:rsidRPr="00000000">
        <w:rPr>
          <w:rFonts w:ascii="Palatino Linotype" w:cs="Palatino Linotype" w:eastAsia="Palatino Linotype" w:hAnsi="Palatino Linotype"/>
          <w:b w:val="1"/>
          <w:bCs w:val="1"/>
          <w:sz w:val="22"/>
          <w:szCs w:val="22"/>
          <w:rtl w:val="0"/>
        </w:rPr>
        <w:t xml:space="preserve">2. Respuesta.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bCs w:val="1"/>
          <w:sz w:val="22"/>
          <w:szCs w:val="22"/>
          <w:rtl w:val="0"/>
        </w:rPr>
        <w:t xml:space="preserve">once de noviembre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envió su respuesta a la solicitud de acceso a la información a través del SAIMEX, sustancialmente en los términos siguientes:   </w:t>
      </w:r>
    </w:p>
    <w:p w:rsidR="00000000" w:rsidDel="00000000" w:rsidP="00000000" w:rsidRDefault="00000000" w:rsidRPr="00000000" w14:paraId="00000007">
      <w:pPr>
        <w:spacing w:after="240" w:before="240" w:lineRule="auto"/>
        <w:ind w:left="851" w:right="902" w:firstLine="0"/>
        <w:jc w:val="both"/>
        <w:rPr>
          <w:rFonts w:ascii="Palatino Linotype" w:cs="Palatino Linotype" w:eastAsia="Palatino Linotype" w:hAnsi="Palatino Linotype"/>
          <w:i w:val="1"/>
          <w:iCs w:val="1"/>
          <w:sz w:val="22"/>
          <w:szCs w:val="22"/>
        </w:rPr>
      </w:pPr>
      <w:bookmarkStart w:colFirst="0" w:colLast="0" w:name="_heading=h.b8aq3y5k082g" w:id="4"/>
      <w:bookmarkEnd w:id="4"/>
      <w:r w:rsidDel="00000000" w:rsidR="00000000" w:rsidRPr="00000000">
        <w:rPr>
          <w:rFonts w:ascii="Palatino Linotype" w:cs="Palatino Linotype" w:eastAsia="Palatino Linotype" w:hAnsi="Palatino Linotype"/>
          <w:i w:val="1"/>
          <w:iCs w:val="1"/>
          <w:sz w:val="22"/>
          <w:szCs w:val="22"/>
          <w:rtl w:val="0"/>
        </w:rPr>
        <w:t xml:space="preserve">“…Dependencia: Unidad de Transparencia Oficio No.: PMA/UT/INT/0158/2025 Asunto: Incompetencia Solicitud de Información 00147/ATENCO/IP/2025. Atenco, Estado de México, a 11 de noviembre de 2025. C. XXXXXXXXXXX XX XXXXXXXXXX P R E S E N T E. De conformidad con los artículos 1, 2, 3, Fracción XLIV, 4, 12, 16, 23 fracción IV, Fracción XI y último párrafo, 50, 51, 53 y 163 párrafo segundo y 167 de la Ley de Transparencia y Acceso a la Información Pública del Estado de México y Municipios; me permito comentar a usted lo siguiente: En atención a la solicitud de información registrada con el número de folio 00147/ATENCO/IP/2025, ingresada vía SAIMEX, con fecha diez de noviembre del año en curso, hago de su conocimiento que, </w:t>
      </w:r>
      <w:r w:rsidDel="00000000" w:rsidR="00000000" w:rsidRPr="00000000">
        <w:rPr>
          <w:rFonts w:ascii="Palatino Linotype" w:cs="Palatino Linotype" w:eastAsia="Palatino Linotype" w:hAnsi="Palatino Linotype"/>
          <w:b w:val="1"/>
          <w:bCs w:val="1"/>
          <w:i w:val="1"/>
          <w:iCs w:val="1"/>
          <w:sz w:val="22"/>
          <w:szCs w:val="22"/>
          <w:rtl w:val="0"/>
        </w:rPr>
        <w:t xml:space="preserve">respecto a la información concerniente al Sistema DIF Municipal, este sujeto obligado no es competente para poder dar contestación a la solicitud que nos ocup</w:t>
      </w:r>
      <w:r w:rsidDel="00000000" w:rsidR="00000000" w:rsidRPr="00000000">
        <w:rPr>
          <w:rFonts w:ascii="Palatino Linotype" w:cs="Palatino Linotype" w:eastAsia="Palatino Linotype" w:hAnsi="Palatino Linotype"/>
          <w:i w:val="1"/>
          <w:iCs w:val="1"/>
          <w:sz w:val="22"/>
          <w:szCs w:val="22"/>
          <w:rtl w:val="0"/>
        </w:rPr>
        <w:t xml:space="preserve">a, ya que </w:t>
      </w:r>
      <w:r w:rsidDel="00000000" w:rsidR="00000000" w:rsidRPr="00000000">
        <w:rPr>
          <w:rFonts w:ascii="Palatino Linotype" w:cs="Palatino Linotype" w:eastAsia="Palatino Linotype" w:hAnsi="Palatino Linotype"/>
          <w:b w:val="1"/>
          <w:bCs w:val="1"/>
          <w:i w:val="1"/>
          <w:iCs w:val="1"/>
          <w:sz w:val="22"/>
          <w:szCs w:val="22"/>
          <w:rtl w:val="0"/>
        </w:rPr>
        <w:t xml:space="preserve">deberá realizar el mismo proceso a través de la plataforma Sistema de Acceso a la Información Mexiquense (SAIMEX), Señalando al ” Sistema Municipal para el Desarrollo Integral de la Familia Municipio de Atenco, como sujeto competente</w:t>
      </w:r>
      <w:r w:rsidDel="00000000" w:rsidR="00000000" w:rsidRPr="00000000">
        <w:rPr>
          <w:rFonts w:ascii="Palatino Linotype" w:cs="Palatino Linotype" w:eastAsia="Palatino Linotype" w:hAnsi="Palatino Linotype"/>
          <w:i w:val="1"/>
          <w:iCs w:val="1"/>
          <w:sz w:val="22"/>
          <w:szCs w:val="22"/>
          <w:rtl w:val="0"/>
        </w:rPr>
        <w:t xml:space="preserve"> para proporcionar lo solicitado. Sin otro particular por el momento, quedo de usted. A T E N T A M E N T E C. GILBERTO VAZQUEZ ARANGO. TITULAR DE LA UNIDAD DE TRANSPARENCIA...” (sic)</w:t>
      </w:r>
    </w:p>
    <w:p w:rsidR="00000000" w:rsidDel="00000000" w:rsidP="00000000" w:rsidRDefault="00000000" w:rsidRPr="00000000" w14:paraId="00000008">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adjuntó el archivo “</w:t>
      </w:r>
      <w:r w:rsidDel="00000000" w:rsidR="00000000" w:rsidRPr="00000000">
        <w:rPr>
          <w:rFonts w:ascii="Palatino Linotype" w:cs="Palatino Linotype" w:eastAsia="Palatino Linotype" w:hAnsi="Palatino Linotype"/>
          <w:i w:val="1"/>
          <w:iCs w:val="1"/>
          <w:sz w:val="22"/>
          <w:szCs w:val="22"/>
          <w:rtl w:val="0"/>
        </w:rPr>
        <w:t xml:space="preserve">Incompetencia Sol. 147.pdf</w:t>
      </w:r>
      <w:r w:rsidDel="00000000" w:rsidR="00000000" w:rsidRPr="00000000">
        <w:rPr>
          <w:rFonts w:ascii="Palatino Linotype" w:cs="Palatino Linotype" w:eastAsia="Palatino Linotype" w:hAnsi="Palatino Linotype"/>
          <w:sz w:val="22"/>
          <w:szCs w:val="22"/>
          <w:rtl w:val="0"/>
        </w:rPr>
        <w:t xml:space="preserve">”, el cual no se describe al ser del conocimiento de las partes a través del SAIMEX.</w:t>
      </w:r>
    </w:p>
    <w:p w:rsidR="00000000" w:rsidDel="00000000" w:rsidP="00000000" w:rsidRDefault="00000000" w:rsidRPr="00000000" w14:paraId="00000009">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3. Interposición del recurso de revisión. </w:t>
      </w:r>
      <w:r w:rsidDel="00000000" w:rsidR="00000000" w:rsidRPr="00000000">
        <w:rPr>
          <w:rFonts w:ascii="Palatino Linotype" w:cs="Palatino Linotype" w:eastAsia="Palatino Linotype" w:hAnsi="Palatino Linotype"/>
          <w:sz w:val="22"/>
          <w:szCs w:val="22"/>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bCs w:val="1"/>
          <w:sz w:val="22"/>
          <w:szCs w:val="22"/>
          <w:rtl w:val="0"/>
        </w:rPr>
        <w:t xml:space="preserve">trece de noviembre de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interpuso el recurso de revisión a través de </w:t>
      </w:r>
      <w:r w:rsidDel="00000000" w:rsidR="00000000" w:rsidRPr="00000000">
        <w:rPr>
          <w:rFonts w:ascii="Palatino Linotype" w:cs="Palatino Linotype" w:eastAsia="Palatino Linotype" w:hAnsi="Palatino Linotype"/>
          <w:b w:val="1"/>
          <w:bCs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en donde se manifestó de la siguiente manera:</w:t>
      </w:r>
    </w:p>
    <w:p w:rsidR="00000000" w:rsidDel="00000000" w:rsidP="00000000" w:rsidRDefault="00000000" w:rsidRPr="00000000" w14:paraId="0000000A">
      <w:pPr>
        <w:spacing w:after="240" w:before="240" w:line="360" w:lineRule="auto"/>
        <w:ind w:right="49"/>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Acto impugnado: </w:t>
      </w:r>
    </w:p>
    <w:p w:rsidR="00000000" w:rsidDel="00000000" w:rsidP="00000000" w:rsidRDefault="00000000" w:rsidRPr="00000000" w14:paraId="0000000B">
      <w:pPr>
        <w:ind w:left="851" w:right="900"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“Se recomienda dirigir la solicitud al Sistema Municipal Dif de Atenco, cuando lo que se pide es un informe por parte del presidente Municipal pues es él la Autoridad Superior a quien la presidenta en cuestión rinde cuentas y fue él quien la designo en el cargo por lo que debe estar enterado de sus actividades” (sic)</w:t>
      </w:r>
    </w:p>
    <w:p w:rsidR="00000000" w:rsidDel="00000000" w:rsidP="00000000" w:rsidRDefault="00000000" w:rsidRPr="00000000" w14:paraId="0000000C">
      <w:pPr>
        <w:spacing w:line="360" w:lineRule="auto"/>
        <w:jc w:val="both"/>
        <w:rPr>
          <w:rFonts w:ascii="Palatino Linotype" w:cs="Palatino Linotype" w:eastAsia="Palatino Linotype" w:hAnsi="Palatino Linotype"/>
          <w:b w:val="1"/>
          <w:bCs w:val="1"/>
          <w:sz w:val="22"/>
          <w:szCs w:val="22"/>
        </w:rPr>
      </w:pPr>
      <w:bookmarkStart w:colFirst="0" w:colLast="0" w:name="_heading=h.30j0zll" w:id="5"/>
      <w:bookmarkEnd w:id="5"/>
      <w:r w:rsidDel="00000000" w:rsidR="00000000" w:rsidRPr="00000000">
        <w:rPr>
          <w:rtl w:val="0"/>
        </w:rPr>
      </w:r>
    </w:p>
    <w:p w:rsidR="00000000" w:rsidDel="00000000" w:rsidP="00000000" w:rsidRDefault="00000000" w:rsidRPr="00000000" w14:paraId="0000000D">
      <w:pPr>
        <w:spacing w:line="360" w:lineRule="auto"/>
        <w:jc w:val="both"/>
        <w:rPr>
          <w:rFonts w:ascii="Palatino Linotype" w:cs="Palatino Linotype" w:eastAsia="Palatino Linotype" w:hAnsi="Palatino Linotype"/>
          <w:b w:val="1"/>
          <w:bCs w:val="1"/>
          <w:sz w:val="22"/>
          <w:szCs w:val="22"/>
        </w:rPr>
      </w:pPr>
      <w:r w:rsidDel="00000000" w:rsidR="00000000" w:rsidRPr="00000000">
        <w:rPr>
          <w:rtl w:val="0"/>
        </w:rPr>
      </w:r>
    </w:p>
    <w:p w:rsidR="00000000" w:rsidDel="00000000" w:rsidP="00000000" w:rsidRDefault="00000000" w:rsidRPr="00000000" w14:paraId="0000000E">
      <w:pPr>
        <w:spacing w:line="360" w:lineRule="auto"/>
        <w:jc w:val="both"/>
        <w:rPr>
          <w:rFonts w:ascii="Palatino Linotype" w:cs="Palatino Linotype" w:eastAsia="Palatino Linotype" w:hAnsi="Palatino Linotype"/>
          <w:b w:val="1"/>
          <w:bCs w:val="1"/>
          <w:sz w:val="22"/>
          <w:szCs w:val="22"/>
        </w:rPr>
      </w:pPr>
      <w:r w:rsidDel="00000000" w:rsidR="00000000" w:rsidRPr="00000000">
        <w:rPr>
          <w:rtl w:val="0"/>
        </w:rPr>
      </w:r>
    </w:p>
    <w:p w:rsidR="00000000" w:rsidDel="00000000" w:rsidP="00000000" w:rsidRDefault="00000000" w:rsidRPr="00000000" w14:paraId="0000000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Y, Razones o motivos de inconformidad</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10">
      <w:pPr>
        <w:tabs>
          <w:tab w:val="left" w:leader="none" w:pos="2745"/>
        </w:tabs>
        <w:spacing w:after="240" w:before="240" w:lineRule="auto"/>
        <w:ind w:left="851" w:right="900"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“El presidente debe estar al tanto de las actividades que realiza la presidenta del Dif que el mismo asignó y la razón de porque utiliza recursos públicos en este caso la camioneta oficial fuera del horario laboral para realizar actos íntimos con su coordinador de adulto mayor” (sic)</w:t>
      </w:r>
    </w:p>
    <w:p w:rsidR="00000000" w:rsidDel="00000000" w:rsidP="00000000" w:rsidRDefault="00000000" w:rsidRPr="00000000" w14:paraId="0000001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4. Turno. </w:t>
      </w:r>
      <w:r w:rsidDel="00000000" w:rsidR="00000000" w:rsidRPr="00000000">
        <w:rPr>
          <w:rFonts w:ascii="Palatino Linotype" w:cs="Palatino Linotype" w:eastAsia="Palatino Linotype" w:hAnsi="Palatino Linotype"/>
          <w:sz w:val="22"/>
          <w:szCs w:val="22"/>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bCs w:val="1"/>
          <w:sz w:val="22"/>
          <w:szCs w:val="22"/>
          <w:rtl w:val="0"/>
        </w:rPr>
        <w:t xml:space="preserve">Guadalupe Ramírez Peña, </w:t>
      </w:r>
      <w:r w:rsidDel="00000000" w:rsidR="00000000" w:rsidRPr="00000000">
        <w:rPr>
          <w:rFonts w:ascii="Palatino Linotype" w:cs="Palatino Linotype" w:eastAsia="Palatino Linotype" w:hAnsi="Palatino Linotype"/>
          <w:sz w:val="22"/>
          <w:szCs w:val="22"/>
          <w:rtl w:val="0"/>
        </w:rPr>
        <w:t xml:space="preserve">a efecto de que analizara sobre su admisión o su desechamiento.</w:t>
      </w:r>
    </w:p>
    <w:p w:rsidR="00000000" w:rsidDel="00000000" w:rsidP="00000000" w:rsidRDefault="00000000" w:rsidRPr="00000000" w14:paraId="00000012">
      <w:pPr>
        <w:spacing w:after="240"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5. Admisión del Recurso de revisión.</w:t>
      </w:r>
      <w:r w:rsidDel="00000000" w:rsidR="00000000" w:rsidRPr="00000000">
        <w:rPr>
          <w:rFonts w:ascii="Palatino Linotype" w:cs="Palatino Linotype" w:eastAsia="Palatino Linotype" w:hAnsi="Palatino Linotype"/>
          <w:sz w:val="22"/>
          <w:szCs w:val="22"/>
          <w:rtl w:val="0"/>
        </w:rPr>
        <w:t xml:space="preserve"> El</w:t>
      </w:r>
      <w:r w:rsidDel="00000000" w:rsidR="00000000" w:rsidRPr="00000000">
        <w:rPr>
          <w:rFonts w:ascii="Palatino Linotype" w:cs="Palatino Linotype" w:eastAsia="Palatino Linotype" w:hAnsi="Palatino Linotype"/>
          <w:b w:val="1"/>
          <w:bCs w:val="1"/>
          <w:sz w:val="22"/>
          <w:szCs w:val="22"/>
          <w:rtl w:val="0"/>
        </w:rPr>
        <w:t xml:space="preserve"> veintiuno de noviembre de dos mil veinticinco, </w:t>
      </w:r>
      <w:r w:rsidDel="00000000" w:rsidR="00000000" w:rsidRPr="00000000">
        <w:rPr>
          <w:rFonts w:ascii="Palatino Linotype" w:cs="Palatino Linotype" w:eastAsia="Palatino Linotype" w:hAnsi="Palatino Linotype"/>
          <w:sz w:val="22"/>
          <w:szCs w:val="22"/>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presentara su informe justificado.</w:t>
      </w:r>
      <w:r w:rsidDel="00000000" w:rsidR="00000000" w:rsidRPr="00000000">
        <w:rPr>
          <w:rtl w:val="0"/>
        </w:rPr>
      </w:r>
    </w:p>
    <w:p w:rsidR="00000000" w:rsidDel="00000000" w:rsidP="00000000" w:rsidRDefault="00000000" w:rsidRPr="00000000" w14:paraId="00000013">
      <w:pPr>
        <w:widowControl w:val="0"/>
        <w:spacing w:line="360" w:lineRule="auto"/>
        <w:ind w:right="49"/>
        <w:jc w:val="both"/>
        <w:rPr>
          <w:rFonts w:ascii="Palatino Linotype" w:cs="Palatino Linotype" w:eastAsia="Palatino Linotype" w:hAnsi="Palatino Linotype"/>
          <w:sz w:val="22"/>
          <w:szCs w:val="22"/>
        </w:rPr>
      </w:pPr>
      <w:bookmarkStart w:colFirst="0" w:colLast="0" w:name="_heading=h.2s8eyo1" w:id="6"/>
      <w:bookmarkEnd w:id="6"/>
      <w:r w:rsidDel="00000000" w:rsidR="00000000" w:rsidRPr="00000000">
        <w:rPr>
          <w:rFonts w:ascii="Palatino Linotype" w:cs="Palatino Linotype" w:eastAsia="Palatino Linotype" w:hAnsi="Palatino Linotype"/>
          <w:b w:val="1"/>
          <w:bCs w:val="1"/>
          <w:sz w:val="22"/>
          <w:szCs w:val="22"/>
          <w:rtl w:val="0"/>
        </w:rPr>
        <w:t xml:space="preserve">6. Manifestaciones</w:t>
      </w:r>
      <w:r w:rsidDel="00000000" w:rsidR="00000000" w:rsidRPr="00000000">
        <w:rPr>
          <w:rFonts w:ascii="Palatino Linotype" w:cs="Palatino Linotype" w:eastAsia="Palatino Linotype" w:hAnsi="Palatino Linotype"/>
          <w:sz w:val="22"/>
          <w:szCs w:val="22"/>
          <w:rtl w:val="0"/>
        </w:rPr>
        <w:t xml:space="preserve">. De constancias del expediente electrónico del SAIMEX, se observa que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fue omiso en rendir su informe justificado; así como,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fue omisa en hacer valer manifestaciones o rendir alegatos que conforme a derecho resultaran procedentes.</w:t>
      </w:r>
    </w:p>
    <w:p w:rsidR="00000000" w:rsidDel="00000000" w:rsidP="00000000" w:rsidRDefault="00000000" w:rsidRPr="00000000" w14:paraId="00000014">
      <w:pPr>
        <w:widowControl w:val="0"/>
        <w:spacing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7. Cierre de instrucción. </w:t>
      </w:r>
      <w:r w:rsidDel="00000000" w:rsidR="00000000" w:rsidRPr="00000000">
        <w:rPr>
          <w:rFonts w:ascii="Palatino Linotype" w:cs="Palatino Linotype" w:eastAsia="Palatino Linotype" w:hAnsi="Palatino Linotype"/>
          <w:sz w:val="22"/>
          <w:szCs w:val="22"/>
          <w:rtl w:val="0"/>
        </w:rPr>
        <w:t xml:space="preserve">Una vez transcurrido el periodo otorgado a las partes para realizar sus manifestaciones y no habiendo documentos que integrar al expediente, el </w:t>
      </w:r>
      <w:r w:rsidDel="00000000" w:rsidR="00000000" w:rsidRPr="00000000">
        <w:rPr>
          <w:rFonts w:ascii="Palatino Linotype" w:cs="Palatino Linotype" w:eastAsia="Palatino Linotype" w:hAnsi="Palatino Linotype"/>
          <w:b w:val="1"/>
          <w:bCs w:val="1"/>
          <w:sz w:val="22"/>
          <w:szCs w:val="22"/>
          <w:rtl w:val="0"/>
        </w:rPr>
        <w:t xml:space="preserve">tres de diciembre de dos mil veinticinco</w:t>
      </w:r>
      <w:r w:rsidDel="00000000" w:rsidR="00000000" w:rsidRPr="00000000">
        <w:rPr>
          <w:rFonts w:ascii="Palatino Linotype" w:cs="Palatino Linotype" w:eastAsia="Palatino Linotype" w:hAnsi="Palatino Linotype"/>
          <w:sz w:val="22"/>
          <w:szCs w:val="22"/>
          <w:rtl w:val="0"/>
        </w:rPr>
        <w:t xml:space="preserve">, la Comisionada Ponente determinó el cierre de instrucción en términos de la fracción VI del artículo 185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1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16">
      <w:pPr>
        <w:widowControl w:val="0"/>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II. C O N S I D E R A N D O S</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Primero. Competencia.</w:t>
      </w:r>
      <w:r w:rsidDel="00000000" w:rsidR="00000000" w:rsidRPr="00000000">
        <w:rPr>
          <w:rFonts w:ascii="Palatino Linotype" w:cs="Palatino Linotype" w:eastAsia="Palatino Linotype" w:hAnsi="Palatino Linotype"/>
          <w:sz w:val="22"/>
          <w:szCs w:val="22"/>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sz w:val="22"/>
          <w:szCs w:val="22"/>
        </w:rPr>
      </w:pPr>
      <w:bookmarkStart w:colFirst="0" w:colLast="0" w:name="_heading=h.tyjcwt" w:id="7"/>
      <w:bookmarkEnd w:id="7"/>
      <w:r w:rsidDel="00000000" w:rsidR="00000000" w:rsidRPr="00000000">
        <w:rPr>
          <w:rFonts w:ascii="Palatino Linotype" w:cs="Palatino Linotype" w:eastAsia="Palatino Linotype" w:hAnsi="Palatino Linotype"/>
          <w:b w:val="1"/>
          <w:bCs w:val="1"/>
          <w:sz w:val="22"/>
          <w:szCs w:val="22"/>
          <w:rtl w:val="0"/>
        </w:rPr>
        <w:t xml:space="preserve">Segundo. Oportunidad y Procedibilidad del Recurso de Revisión</w:t>
      </w:r>
      <w:r w:rsidDel="00000000" w:rsidR="00000000" w:rsidRPr="00000000">
        <w:rPr>
          <w:rFonts w:ascii="Palatino Linotype" w:cs="Palatino Linotype" w:eastAsia="Palatino Linotype" w:hAnsi="Palatino Linotype"/>
          <w:sz w:val="22"/>
          <w:szCs w:val="22"/>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19">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remitió la respuesta a la solicitud de información el día </w:t>
      </w:r>
      <w:r w:rsidDel="00000000" w:rsidR="00000000" w:rsidRPr="00000000">
        <w:rPr>
          <w:rFonts w:ascii="Palatino Linotype" w:cs="Palatino Linotype" w:eastAsia="Palatino Linotype" w:hAnsi="Palatino Linotype"/>
          <w:b w:val="1"/>
          <w:bCs w:val="1"/>
          <w:sz w:val="22"/>
          <w:szCs w:val="22"/>
          <w:rtl w:val="0"/>
        </w:rPr>
        <w:t xml:space="preserve">once de noviembre de dos mil veinticinco, </w:t>
      </w:r>
      <w:r w:rsidDel="00000000" w:rsidR="00000000" w:rsidRPr="00000000">
        <w:rPr>
          <w:rFonts w:ascii="Palatino Linotype" w:cs="Palatino Linotype" w:eastAsia="Palatino Linotype" w:hAnsi="Palatino Linotype"/>
          <w:sz w:val="22"/>
          <w:szCs w:val="22"/>
          <w:rtl w:val="0"/>
        </w:rPr>
        <w:t xml:space="preserve">mientras que el recurso de revisión interpuesto por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se tuvo por presentado el día</w:t>
      </w:r>
      <w:r w:rsidDel="00000000" w:rsidR="00000000" w:rsidRPr="00000000">
        <w:rPr>
          <w:rFonts w:ascii="Palatino Linotype" w:cs="Palatino Linotype" w:eastAsia="Palatino Linotype" w:hAnsi="Palatino Linotype"/>
          <w:b w:val="1"/>
          <w:bCs w:val="1"/>
          <w:sz w:val="22"/>
          <w:szCs w:val="22"/>
          <w:rtl w:val="0"/>
        </w:rPr>
        <w:t xml:space="preserve"> trece de noviembre de dos mil veinticinco, </w:t>
      </w:r>
      <w:r w:rsidDel="00000000" w:rsidR="00000000" w:rsidRPr="00000000">
        <w:rPr>
          <w:rFonts w:ascii="Palatino Linotype" w:cs="Palatino Linotype" w:eastAsia="Palatino Linotype" w:hAnsi="Palatino Linotype"/>
          <w:sz w:val="22"/>
          <w:szCs w:val="22"/>
          <w:rtl w:val="0"/>
        </w:rPr>
        <w:t xml:space="preserve">esto es, el segundo día en el que tuvo conocimiento de la respuesta impugnada. En este sentido, se concluye que el presente recurso de revisión se encuentra dentro de los márgenes temporales previstos en las disposiciones legales referidas.</w:t>
      </w:r>
    </w:p>
    <w:p w:rsidR="00000000" w:rsidDel="00000000" w:rsidP="00000000" w:rsidRDefault="00000000" w:rsidRPr="00000000" w14:paraId="0000001A">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Además, por cuanto hace a la procedibilidad del recurso de revisión, es de suma importancia señalar que la parte</w:t>
      </w:r>
      <w:r w:rsidDel="00000000" w:rsidR="00000000" w:rsidRPr="00000000">
        <w:rPr>
          <w:rFonts w:ascii="Palatino Linotype" w:cs="Palatino Linotype" w:eastAsia="Palatino Linotype" w:hAnsi="Palatino Linotype"/>
          <w:b w:val="1"/>
          <w:bCs w:val="1"/>
          <w:sz w:val="22"/>
          <w:szCs w:val="22"/>
          <w:rtl w:val="0"/>
        </w:rPr>
        <w:t xml:space="preserve"> Recurrente</w:t>
      </w:r>
      <w:r w:rsidDel="00000000" w:rsidR="00000000" w:rsidRPr="00000000">
        <w:rPr>
          <w:rFonts w:ascii="Palatino Linotype" w:cs="Palatino Linotype" w:eastAsia="Palatino Linotype" w:hAnsi="Palatino Linotype"/>
          <w:sz w:val="22"/>
          <w:szCs w:val="22"/>
          <w:rtl w:val="0"/>
        </w:rPr>
        <w:t xml:space="preserve">, no señaló </w:t>
      </w:r>
      <w:r w:rsidDel="00000000" w:rsidR="00000000" w:rsidRPr="00000000">
        <w:rPr>
          <w:rFonts w:ascii="Palatino Linotype" w:cs="Palatino Linotype" w:eastAsia="Palatino Linotype" w:hAnsi="Palatino Linotype"/>
          <w:b w:val="1"/>
          <w:bCs w:val="1"/>
          <w:sz w:val="22"/>
          <w:szCs w:val="22"/>
          <w:rtl w:val="0"/>
        </w:rPr>
        <w:t xml:space="preserve">nombre o seudónimo,</w:t>
      </w:r>
      <w:r w:rsidDel="00000000" w:rsidR="00000000" w:rsidRPr="00000000">
        <w:rPr>
          <w:rFonts w:ascii="Palatino Linotype" w:cs="Palatino Linotype" w:eastAsia="Palatino Linotype" w:hAnsi="Palatino Linotype"/>
          <w:sz w:val="22"/>
          <w:szCs w:val="22"/>
          <w:rtl w:val="0"/>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1B">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Las solicitudes anónimas</w:t>
      </w:r>
      <w:r w:rsidDel="00000000" w:rsidR="00000000" w:rsidRPr="00000000">
        <w:rPr>
          <w:rFonts w:ascii="Palatino Linotype" w:cs="Palatino Linotype" w:eastAsia="Palatino Linotype" w:hAnsi="Palatino Linotype"/>
          <w:i w:val="1"/>
          <w:iCs w:val="1"/>
          <w:sz w:val="22"/>
          <w:szCs w:val="22"/>
          <w:rtl w:val="0"/>
        </w:rPr>
        <w:t xml:space="preserve">, con nombre incompleto o </w:t>
      </w:r>
      <w:r w:rsidDel="00000000" w:rsidR="00000000" w:rsidRPr="00000000">
        <w:rPr>
          <w:rFonts w:ascii="Palatino Linotype" w:cs="Palatino Linotype" w:eastAsia="Palatino Linotype" w:hAnsi="Palatino Linotype"/>
          <w:b w:val="1"/>
          <w:bCs w:val="1"/>
          <w:i w:val="1"/>
          <w:iCs w:val="1"/>
          <w:sz w:val="22"/>
          <w:szCs w:val="22"/>
          <w:rtl w:val="0"/>
        </w:rPr>
        <w:t xml:space="preserve">seudónimo</w:t>
      </w:r>
      <w:r w:rsidDel="00000000" w:rsidR="00000000" w:rsidRPr="00000000">
        <w:rPr>
          <w:rFonts w:ascii="Palatino Linotype" w:cs="Palatino Linotype" w:eastAsia="Palatino Linotype" w:hAnsi="Palatino Linotype"/>
          <w:i w:val="1"/>
          <w:iCs w:val="1"/>
          <w:sz w:val="22"/>
          <w:szCs w:val="22"/>
          <w:rtl w:val="0"/>
        </w:rPr>
        <w:t xml:space="preserve"> serán procedentes para su trámite por parte del sujeto obligado ante quien se presente. No podrá requerirse información adicional con motivo del nombre proporcionado por el solicitante."</w:t>
      </w:r>
    </w:p>
    <w:p w:rsidR="00000000" w:rsidDel="00000000" w:rsidP="00000000" w:rsidRDefault="00000000" w:rsidRPr="00000000" w14:paraId="0000001C">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Del="00000000" w:rsidR="00000000" w:rsidRPr="00000000">
        <w:rPr>
          <w:rFonts w:ascii="Palatino Linotype" w:cs="Palatino Linotype" w:eastAsia="Palatino Linotype" w:hAnsi="Palatino Linotype"/>
          <w:b w:val="1"/>
          <w:bCs w:val="1"/>
          <w:sz w:val="22"/>
          <w:szCs w:val="22"/>
          <w:rtl w:val="0"/>
        </w:rPr>
        <w:t xml:space="preserve"> SAIMEX</w:t>
      </w:r>
      <w:r w:rsidDel="00000000" w:rsidR="00000000" w:rsidRPr="00000000">
        <w:rPr>
          <w:rtl w:val="0"/>
        </w:rPr>
      </w:r>
    </w:p>
    <w:p w:rsidR="00000000" w:rsidDel="00000000" w:rsidP="00000000" w:rsidRDefault="00000000" w:rsidRPr="00000000" w14:paraId="0000001D">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se advierte que resulta procedente la interposición del recurso, según lo manifestado por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sus motivos de inconformidad, de acuerdo al artículo 179, fracción I del ordenamiento legal citado, que a la letra dice: </w:t>
      </w:r>
    </w:p>
    <w:p w:rsidR="00000000" w:rsidDel="00000000" w:rsidP="00000000" w:rsidRDefault="00000000" w:rsidRPr="00000000" w14:paraId="0000001E">
      <w:pPr>
        <w:tabs>
          <w:tab w:val="left" w:leader="none" w:pos="7938"/>
        </w:tabs>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Artículo 179.</w:t>
      </w:r>
      <w:r w:rsidDel="00000000" w:rsidR="00000000" w:rsidRPr="00000000">
        <w:rPr>
          <w:rFonts w:ascii="Palatino Linotype" w:cs="Palatino Linotype" w:eastAsia="Palatino Linotype" w:hAnsi="Palatino Linotype"/>
          <w:i w:val="1"/>
          <w:iCs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1F">
      <w:pPr>
        <w:tabs>
          <w:tab w:val="left" w:leader="none" w:pos="7938"/>
        </w:tabs>
        <w:spacing w:after="120" w:before="120" w:lineRule="auto"/>
        <w:ind w:left="851" w:right="900"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w:t>
      </w:r>
      <w:r w:rsidDel="00000000" w:rsidR="00000000" w:rsidRPr="00000000">
        <w:rPr>
          <w:rFonts w:ascii="Palatino Linotype" w:cs="Palatino Linotype" w:eastAsia="Palatino Linotype" w:hAnsi="Palatino Linotype"/>
          <w:i w:val="1"/>
          <w:iCs w:val="1"/>
          <w:sz w:val="22"/>
          <w:szCs w:val="22"/>
          <w:rtl w:val="0"/>
        </w:rPr>
        <w:t xml:space="preserve"> La negativa a la información solicitada;”</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Tercero. Materia de la revisión. </w:t>
      </w:r>
      <w:r w:rsidDel="00000000" w:rsidR="00000000" w:rsidRPr="00000000">
        <w:rPr>
          <w:rFonts w:ascii="Palatino Linotype" w:cs="Palatino Linotype" w:eastAsia="Palatino Linotype" w:hAnsi="Palatino Linotype"/>
          <w:sz w:val="22"/>
          <w:szCs w:val="22"/>
          <w:rtl w:val="0"/>
        </w:rPr>
        <w:t xml:space="preserve">De la revisión a las constancias y documentos que obran en el expediente electrónico se advierte, que el tema sobre el que este Organismo Garante de Transparencia y Acceso a la Información se pronunciará será: </w:t>
      </w:r>
      <w:r w:rsidDel="00000000" w:rsidR="00000000" w:rsidRPr="00000000">
        <w:rPr>
          <w:rFonts w:ascii="Palatino Linotype" w:cs="Palatino Linotype" w:eastAsia="Palatino Linotype" w:hAnsi="Palatino Linotype"/>
          <w:b w:val="1"/>
          <w:bCs w:val="1"/>
          <w:sz w:val="22"/>
          <w:szCs w:val="22"/>
          <w:rtl w:val="0"/>
        </w:rPr>
        <w:t xml:space="preserve">verificar si la información proporcionada por el Sujeto Obligado es adecuada y suficiente para satisfacer el derecho de acceso a la información pública </w:t>
      </w:r>
      <w:r w:rsidDel="00000000" w:rsidR="00000000" w:rsidRPr="00000000">
        <w:rPr>
          <w:rFonts w:ascii="Palatino Linotype" w:cs="Palatino Linotype" w:eastAsia="Palatino Linotype" w:hAnsi="Palatino Linotype"/>
          <w:sz w:val="22"/>
          <w:szCs w:val="22"/>
          <w:rtl w:val="0"/>
        </w:rPr>
        <w:t xml:space="preserve">de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o en su defecto, en caso de ser procedente, ordenar la entrega de información.</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sz w:val="22"/>
          <w:szCs w:val="22"/>
        </w:rPr>
      </w:pPr>
      <w:bookmarkStart w:colFirst="0" w:colLast="0" w:name="_heading=h.2et92p0" w:id="8"/>
      <w:bookmarkEnd w:id="8"/>
      <w:r w:rsidDel="00000000" w:rsidR="00000000" w:rsidRPr="00000000">
        <w:rPr>
          <w:rFonts w:ascii="Palatino Linotype" w:cs="Palatino Linotype" w:eastAsia="Palatino Linotype" w:hAnsi="Palatino Linotype"/>
          <w:b w:val="1"/>
          <w:bCs w:val="1"/>
          <w:sz w:val="22"/>
          <w:szCs w:val="22"/>
          <w:rtl w:val="0"/>
        </w:rPr>
        <w:t xml:space="preserve">Cuarto. Estudio del asunto. </w:t>
      </w:r>
      <w:r w:rsidDel="00000000" w:rsidR="00000000" w:rsidRPr="00000000">
        <w:rPr>
          <w:rFonts w:ascii="Palatino Linotype" w:cs="Palatino Linotype" w:eastAsia="Palatino Linotype" w:hAnsi="Palatino Linotype"/>
          <w:sz w:val="22"/>
          <w:szCs w:val="22"/>
          <w:rtl w:val="0"/>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00000" w:rsidDel="00000000" w:rsidP="00000000" w:rsidRDefault="00000000" w:rsidRPr="00000000" w14:paraId="00000022">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Artículo 4</w:t>
      </w:r>
      <w:r w:rsidDel="00000000" w:rsidR="00000000" w:rsidRPr="00000000">
        <w:rPr>
          <w:rFonts w:ascii="Palatino Linotype" w:cs="Palatino Linotype" w:eastAsia="Palatino Linotype" w:hAnsi="Palatino Linotype"/>
          <w:i w:val="1"/>
          <w:iCs w:val="1"/>
          <w:sz w:val="22"/>
          <w:szCs w:val="22"/>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23">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iCs w:val="1"/>
          <w:sz w:val="22"/>
          <w:szCs w:val="22"/>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24">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Los sujetos obligados deben poner en práctica, políticas y programas de acceso a la información que se apeguen a criterios de publicidad, veracidad, oportunidad, precisión y suficiencia en beneficio de los solicitantes</w:t>
      </w: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00000" w:rsidDel="00000000" w:rsidP="00000000" w:rsidRDefault="00000000" w:rsidRPr="00000000" w14:paraId="00000026">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“Artículo 12.-</w:t>
      </w:r>
      <w:r w:rsidDel="00000000" w:rsidR="00000000" w:rsidRPr="00000000">
        <w:rPr>
          <w:rFonts w:ascii="Palatino Linotype" w:cs="Palatino Linotype" w:eastAsia="Palatino Linotype" w:hAnsi="Palatino Linotype"/>
          <w:i w:val="1"/>
          <w:iCs w:val="1"/>
          <w:sz w:val="22"/>
          <w:szCs w:val="22"/>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27">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La obligación de proporcionar información no comprende el procesamiento de la misma, ni el presentarla conforme al interés del solicitante; no estarán obligados a generarla, resumirla, efectuar cálculos o practicar investigaciones.”</w:t>
      </w:r>
      <w:r w:rsidDel="00000000" w:rsidR="00000000" w:rsidRPr="00000000">
        <w:rPr>
          <w:rtl w:val="0"/>
        </w:rPr>
      </w:r>
    </w:p>
    <w:p w:rsidR="00000000" w:rsidDel="00000000" w:rsidP="00000000" w:rsidRDefault="00000000" w:rsidRPr="00000000" w14:paraId="00000028">
      <w:pPr>
        <w:spacing w:after="240" w:before="240" w:line="360" w:lineRule="auto"/>
        <w:ind w:right="-93"/>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sz w:val="22"/>
          <w:szCs w:val="22"/>
          <w:rtl w:val="0"/>
        </w:rPr>
        <w:t xml:space="preserve">Sirve de apoyo a lo anterior, el criterio orientador con clave de control SO/003/2017, emitido por el entonces Instituto Nacional de Transparencia, Acceso a la Información y Protección de Datos Personales, que por rubro y texto, dispone lo siguiente:</w:t>
      </w:r>
      <w:r w:rsidDel="00000000" w:rsidR="00000000" w:rsidRPr="00000000">
        <w:rPr>
          <w:rFonts w:ascii="Palatino Linotype" w:cs="Palatino Linotype" w:eastAsia="Palatino Linotype" w:hAnsi="Palatino Linotype"/>
          <w:b w:val="1"/>
          <w:bCs w:val="1"/>
          <w:sz w:val="22"/>
          <w:szCs w:val="22"/>
          <w:rtl w:val="0"/>
        </w:rPr>
        <w:t xml:space="preserve"> </w:t>
      </w:r>
    </w:p>
    <w:p w:rsidR="00000000" w:rsidDel="00000000" w:rsidP="00000000" w:rsidRDefault="00000000" w:rsidRPr="00000000" w14:paraId="0000002A">
      <w:pPr>
        <w:spacing w:after="120" w:before="120" w:lineRule="auto"/>
        <w:ind w:left="1134"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No existe obligación de elaborar documentos ad hoc para atender las solicitudes de acceso a la información.</w:t>
      </w:r>
      <w:r w:rsidDel="00000000" w:rsidR="00000000" w:rsidRPr="00000000">
        <w:rPr>
          <w:rFonts w:ascii="Palatino Linotype" w:cs="Palatino Linotype" w:eastAsia="Palatino Linotype" w:hAnsi="Palatino Linotype"/>
          <w:i w:val="1"/>
          <w:iCs w:val="1"/>
          <w:sz w:val="22"/>
          <w:szCs w:val="22"/>
          <w:rtl w:val="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00000" w:rsidDel="00000000" w:rsidP="00000000" w:rsidRDefault="00000000" w:rsidRPr="00000000" w14:paraId="0000002B">
      <w:pPr>
        <w:spacing w:after="120" w:before="12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00000" w:rsidDel="00000000" w:rsidP="00000000" w:rsidRDefault="00000000" w:rsidRPr="00000000" w14:paraId="0000002C">
      <w:pPr>
        <w:spacing w:after="120" w:before="12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2D">
      <w:pPr>
        <w:tabs>
          <w:tab w:val="left" w:leader="none" w:pos="993"/>
        </w:tabs>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Artículo 3. </w:t>
      </w:r>
      <w:r w:rsidDel="00000000" w:rsidR="00000000" w:rsidRPr="00000000">
        <w:rPr>
          <w:rFonts w:ascii="Palatino Linotype" w:cs="Palatino Linotype" w:eastAsia="Palatino Linotype" w:hAnsi="Palatino Linotype"/>
          <w:i w:val="1"/>
          <w:iCs w:val="1"/>
          <w:sz w:val="22"/>
          <w:szCs w:val="22"/>
          <w:rtl w:val="0"/>
        </w:rPr>
        <w:t xml:space="preserve">Para los efectos de la presente Ley se entenderá por:</w:t>
      </w:r>
    </w:p>
    <w:p w:rsidR="00000000" w:rsidDel="00000000" w:rsidP="00000000" w:rsidRDefault="00000000" w:rsidRPr="00000000" w14:paraId="0000002E">
      <w:pPr>
        <w:tabs>
          <w:tab w:val="left" w:leader="none" w:pos="993"/>
        </w:tabs>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p>
    <w:p w:rsidR="00000000" w:rsidDel="00000000" w:rsidP="00000000" w:rsidRDefault="00000000" w:rsidRPr="00000000" w14:paraId="0000002F">
      <w:pPr>
        <w:tabs>
          <w:tab w:val="left" w:leader="none" w:pos="993"/>
        </w:tabs>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XI. Documento:</w:t>
      </w:r>
      <w:r w:rsidDel="00000000" w:rsidR="00000000" w:rsidRPr="00000000">
        <w:rPr>
          <w:rFonts w:ascii="Palatino Linotype" w:cs="Palatino Linotype" w:eastAsia="Palatino Linotype" w:hAnsi="Palatino Linotype"/>
          <w:i w:val="1"/>
          <w:iCs w:val="1"/>
          <w:sz w:val="22"/>
          <w:szCs w:val="22"/>
          <w:rtl w:val="0"/>
        </w:rPr>
        <w:t xml:space="preserve"> Los expedientes, reportes, estudios, actas</w:t>
      </w:r>
      <w:r w:rsidDel="00000000" w:rsidR="00000000" w:rsidRPr="00000000">
        <w:rPr>
          <w:rFonts w:ascii="Palatino Linotype" w:cs="Palatino Linotype" w:eastAsia="Palatino Linotype" w:hAnsi="Palatino Linotype"/>
          <w:b w:val="1"/>
          <w:bCs w:val="1"/>
          <w:i w:val="1"/>
          <w:iCs w:val="1"/>
          <w:sz w:val="22"/>
          <w:szCs w:val="22"/>
          <w:rtl w:val="0"/>
        </w:rPr>
        <w:t xml:space="preserve">,</w:t>
      </w:r>
      <w:r w:rsidDel="00000000" w:rsidR="00000000" w:rsidRPr="00000000">
        <w:rPr>
          <w:rFonts w:ascii="Palatino Linotype" w:cs="Palatino Linotype" w:eastAsia="Palatino Linotype" w:hAnsi="Palatino Linotype"/>
          <w:i w:val="1"/>
          <w:iCs w:val="1"/>
          <w:sz w:val="22"/>
          <w:szCs w:val="22"/>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00000" w:rsidDel="00000000" w:rsidP="00000000" w:rsidRDefault="00000000" w:rsidRPr="00000000" w14:paraId="00000030">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31">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iCs w:val="1"/>
          <w:sz w:val="22"/>
          <w:szCs w:val="22"/>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32">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En consecuencia el acceso a la información se refiere a que se cumplan cualquiera de los siguientes tres supuestos:</w:t>
      </w:r>
    </w:p>
    <w:p w:rsidR="00000000" w:rsidDel="00000000" w:rsidP="00000000" w:rsidRDefault="00000000" w:rsidRPr="00000000" w14:paraId="00000033">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34">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35">
      <w:pPr>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3) Que se trate de información registrada en cualquier soporte documental, que en ejercicio de las atribuciones conferidas, se encuentre en posesión de los Sujetos Obligados.”</w:t>
      </w:r>
    </w:p>
    <w:p w:rsidR="00000000" w:rsidDel="00000000" w:rsidP="00000000" w:rsidRDefault="00000000" w:rsidRPr="00000000" w14:paraId="00000036">
      <w:pPr>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37">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el mismo tenor, los artículos 6, apartado A, fracción I, de la Constitución Política de los Estados Unidos Mexicanos y 5, párrafo cuadragésimo sexto,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00000" w:rsidDel="00000000" w:rsidP="00000000" w:rsidRDefault="00000000" w:rsidRPr="00000000" w14:paraId="00000038">
      <w:pPr>
        <w:tabs>
          <w:tab w:val="left" w:leader="none" w:pos="567"/>
        </w:tabs>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Ahora bien, del análisis de la solicitud de información, motivo del recurso de revisión que ahora se resuelve, se advierte que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requirió al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le proporcione, información consistente en lo siguiente: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240" w:line="360" w:lineRule="auto"/>
        <w:ind w:left="284" w:right="49" w:firstLine="0"/>
        <w:jc w:val="both"/>
        <w:rPr>
          <w:rFonts w:ascii="Palatino Linotype" w:cs="Palatino Linotype" w:eastAsia="Palatino Linotype" w:hAnsi="Palatino Linotype"/>
          <w:b w:val="0"/>
          <w:bCs w:val="0"/>
          <w:i w:val="0"/>
          <w:iCs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2"/>
          <w:szCs w:val="22"/>
          <w:u w:val="none"/>
          <w:shd w:fill="auto" w:val="clear"/>
          <w:vertAlign w:val="baseline"/>
          <w:rtl w:val="0"/>
        </w:rPr>
        <w:t xml:space="preserve">Un informe detallado y con fundamento legal emitido y firmado por el presidente municipal, de las actividades que realiza la presidenta del DIF municipal.</w:t>
      </w:r>
    </w:p>
    <w:p w:rsidR="00000000" w:rsidDel="00000000" w:rsidP="00000000" w:rsidRDefault="00000000" w:rsidRPr="00000000" w14:paraId="0000003A">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sentido, en respuesta la Unidad de Transparencia hizo del conocimiento de la persona solicitante que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era incompetente para dar contestación a la solicitud respecto de la información concerniente al Sistema Municipal para el Desarrollo Integral de la Familia de Atenco, por lo que sugirió presentar la solicitud ante dicho Sujeto Obligado.  </w:t>
      </w:r>
    </w:p>
    <w:p w:rsidR="00000000" w:rsidDel="00000000" w:rsidP="00000000" w:rsidRDefault="00000000" w:rsidRPr="00000000" w14:paraId="0000003B">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Sin embargo, al no estar conforme con los términos de la respuesta emitida,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interpuso el recurso de revisión que nos ocupa, donde señaló como motivo de inconformidad, que el presidente debe estar al tanto de las actividades que realiza la presidenta del DIF al haber sido designada por este.</w:t>
      </w:r>
    </w:p>
    <w:p w:rsidR="00000000" w:rsidDel="00000000" w:rsidP="00000000" w:rsidRDefault="00000000" w:rsidRPr="00000000" w14:paraId="0000003C">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Durante el periodo de manifestaciones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fue omiso en rendir su informe justificado, y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fue omisa en hacer valer manifestaciones o rendir alegatos que conforme a derecho resultaran procedentes, por lo tanto, se tiene por precluido su derecho.</w:t>
      </w:r>
    </w:p>
    <w:p w:rsidR="00000000" w:rsidDel="00000000" w:rsidP="00000000" w:rsidRDefault="00000000" w:rsidRPr="00000000" w14:paraId="0000003D">
      <w:pPr>
        <w:spacing w:after="280" w:before="28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establecidas las posturas de las partes, se procede al análisis de los requerimientos de información, así como la información proporcionada por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 contraposición con el motivo de inconformidad alegado por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rsidR="00000000" w:rsidDel="00000000" w:rsidP="00000000" w:rsidRDefault="00000000" w:rsidRPr="00000000" w14:paraId="0000003E">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sentido, de manera previa es oportuno referir que no escapa de la óptica de este Organismo Garante que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al momento de  presentar su solicitud e interponer su recurso de revisión, realizó diversos planteamientos subjetivos, tales como “</w:t>
      </w:r>
      <w:r w:rsidDel="00000000" w:rsidR="00000000" w:rsidRPr="00000000">
        <w:rPr>
          <w:rFonts w:ascii="Palatino Linotype" w:cs="Palatino Linotype" w:eastAsia="Palatino Linotype" w:hAnsi="Palatino Linotype"/>
          <w:i w:val="1"/>
          <w:iCs w:val="1"/>
          <w:sz w:val="22"/>
          <w:szCs w:val="22"/>
          <w:rtl w:val="0"/>
        </w:rPr>
        <w:t xml:space="preserve">q justifiquen q al anochecer la señora se encuentre dentro d la camioneta honda crv, propiedad del Dif con el pecho totalmente descubierto mientras su coordinador d adulto mayor la manosea descaradamente. Existen pruebas d ello q en su momento llegarán a contraloría pues somos varios vecinos kienes hemos presenciado dichos eventos tan vergonzosos</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iCs w:val="1"/>
          <w:sz w:val="22"/>
          <w:szCs w:val="22"/>
          <w:rtl w:val="0"/>
        </w:rPr>
        <w:t xml:space="preserve">utiliza recursos públicos en este caso la camioneta oficial fuera del horario laboral para realizar actos íntimos con su coordinador de adulto mayor</w:t>
      </w:r>
      <w:r w:rsidDel="00000000" w:rsidR="00000000" w:rsidRPr="00000000">
        <w:rPr>
          <w:rFonts w:ascii="Palatino Linotype" w:cs="Palatino Linotype" w:eastAsia="Palatino Linotype" w:hAnsi="Palatino Linotype"/>
          <w:sz w:val="22"/>
          <w:szCs w:val="22"/>
          <w:rtl w:val="0"/>
        </w:rPr>
        <w:t xml:space="preserve">”(sic), ante lo cual se puntualiza que el Derecho al acceso a la información pública constituye una prerrogativa para acceder a documentos o registros de información pública generada o en posesión de los Sujetos Obligados, motivo por el cual, este Organismo Garante precisa que dichas manifestaciones no son susceptibles de ser tomadas en consideración en la resolución del presente asunto, toda vez que no constituyen el ejercicio de un Derecho de acceso a la información pública, sino más bien el ejercicio de un Derecho de expresión. En este sentido, se trata de manifestaciones sobre las cuales este Instituto no está facultado para pronunciarse.</w:t>
      </w:r>
    </w:p>
    <w:p w:rsidR="00000000" w:rsidDel="00000000" w:rsidP="00000000" w:rsidRDefault="00000000" w:rsidRPr="00000000" w14:paraId="0000003F">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otro lado, no escapa de la óptica de este Organismo Garante que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a través de la solicitud de información, pretende que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por conducto del presidente municipal, se pronuncie en el sentido de contestar la razón por la cual la servidora pública del DIF utiliza recursos públicos, concretamente una camioneta oficial fuera del horario laboral, sin embargo, dichas manifestaciones NO constituyen un derecho de acceso a la información y por lo tanto no es atendible mediante una solicitud de acceso a la información pública, porque se trata de planteamientos, interrogantes, declaraciones, solicitud de acciones, vertidos por la persona solicitante, situación que conlleva a afirmar que se está en presencia del ejercicio del derecho a la libre expresión y en todo caso a un derecho de petición. </w:t>
      </w:r>
    </w:p>
    <w:p w:rsidR="00000000" w:rsidDel="00000000" w:rsidP="00000000" w:rsidRDefault="00000000" w:rsidRPr="00000000" w14:paraId="00000040">
      <w:pPr>
        <w:spacing w:after="240" w:before="240" w:line="360" w:lineRule="auto"/>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sz w:val="22"/>
          <w:szCs w:val="22"/>
          <w:rtl w:val="0"/>
        </w:rPr>
        <w:t xml:space="preserve">A efecto de sustentar lo anterior, es preciso mencionar que David Cienfuegos Salgado, concibe al derecho de petición como </w:t>
      </w: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el derecho de toda persona a ser escuchado por quienes ejercen el poder públic</w:t>
      </w:r>
      <w:r w:rsidDel="00000000" w:rsidR="00000000" w:rsidRPr="00000000">
        <w:rPr>
          <w:rFonts w:ascii="Palatino Linotype" w:cs="Palatino Linotype" w:eastAsia="Palatino Linotype" w:hAnsi="Palatino Linotype"/>
          <w:i w:val="1"/>
          <w:iCs w:val="1"/>
          <w:sz w:val="22"/>
          <w:szCs w:val="22"/>
          <w:rtl w:val="0"/>
        </w:rPr>
        <w:t xml:space="preserve">o.</w:t>
      </w:r>
      <w:r w:rsidDel="00000000" w:rsidR="00000000" w:rsidRPr="00000000">
        <w:rPr>
          <w:rFonts w:ascii="Palatino Linotype" w:cs="Palatino Linotype" w:eastAsia="Palatino Linotype" w:hAnsi="Palatino Linotype"/>
          <w:i w:val="1"/>
          <w:iCs w:val="1"/>
          <w:sz w:val="22"/>
          <w:szCs w:val="22"/>
          <w:vertAlign w:val="superscript"/>
          <w:rtl w:val="0"/>
        </w:rPr>
        <w:t xml:space="preserve"> </w:t>
      </w:r>
      <w:r w:rsidDel="00000000" w:rsidR="00000000" w:rsidRPr="00000000">
        <w:rPr>
          <w:rFonts w:ascii="Palatino Linotype" w:cs="Palatino Linotype" w:eastAsia="Palatino Linotype" w:hAnsi="Palatino Linotype"/>
          <w:i w:val="1"/>
          <w:iCs w:val="1"/>
          <w:sz w:val="22"/>
          <w:szCs w:val="22"/>
          <w:vertAlign w:val="superscript"/>
        </w:rPr>
        <w:footnoteReference w:customMarkFollows="0" w:id="0"/>
      </w:r>
      <w:r w:rsidDel="00000000" w:rsidR="00000000" w:rsidRPr="00000000">
        <w:rPr>
          <w:rFonts w:ascii="Palatino Linotype" w:cs="Palatino Linotype" w:eastAsia="Palatino Linotype" w:hAnsi="Palatino Linotype"/>
          <w:i w:val="1"/>
          <w:iCs w:val="1"/>
          <w:sz w:val="22"/>
          <w:szCs w:val="22"/>
          <w:rtl w:val="0"/>
        </w:rPr>
        <w:t xml:space="preserve">” (Sic) </w:t>
      </w:r>
    </w:p>
    <w:p w:rsidR="00000000" w:rsidDel="00000000" w:rsidP="00000000" w:rsidRDefault="00000000" w:rsidRPr="00000000" w14:paraId="00000041">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la misma manera, Miguel Carbonell en su libro “Los derechos fundamentales” refiere que el </w:t>
      </w:r>
      <w:r w:rsidDel="00000000" w:rsidR="00000000" w:rsidRPr="00000000">
        <w:rPr>
          <w:rFonts w:ascii="Palatino Linotype" w:cs="Palatino Linotype" w:eastAsia="Palatino Linotype" w:hAnsi="Palatino Linotype"/>
          <w:sz w:val="22"/>
          <w:szCs w:val="22"/>
          <w:u w:val="single"/>
          <w:rtl w:val="0"/>
        </w:rPr>
        <w:t xml:space="preserve">derecho de petición se ha entendido de dos distintitas maneras</w:t>
      </w:r>
      <w:r w:rsidDel="00000000" w:rsidR="00000000" w:rsidRPr="00000000">
        <w:rPr>
          <w:rFonts w:ascii="Palatino Linotype" w:cs="Palatino Linotype" w:eastAsia="Palatino Linotype" w:hAnsi="Palatino Linotype"/>
          <w:sz w:val="22"/>
          <w:szCs w:val="22"/>
          <w:rtl w:val="0"/>
        </w:rPr>
        <w:t xml:space="preserve">, a saber: como un derecho fundamental de participación política ya que </w:t>
      </w:r>
      <w:r w:rsidDel="00000000" w:rsidR="00000000" w:rsidRPr="00000000">
        <w:rPr>
          <w:rFonts w:ascii="Palatino Linotype" w:cs="Palatino Linotype" w:eastAsia="Palatino Linotype" w:hAnsi="Palatino Linotype"/>
          <w:sz w:val="22"/>
          <w:szCs w:val="22"/>
          <w:u w:val="single"/>
          <w:rtl w:val="0"/>
        </w:rPr>
        <w:t xml:space="preserve">permite a los particulares trasladar a las autoridades sus </w:t>
      </w:r>
      <w:r w:rsidDel="00000000" w:rsidR="00000000" w:rsidRPr="00000000">
        <w:rPr>
          <w:rFonts w:ascii="Palatino Linotype" w:cs="Palatino Linotype" w:eastAsia="Palatino Linotype" w:hAnsi="Palatino Linotype"/>
          <w:b w:val="1"/>
          <w:bCs w:val="1"/>
          <w:sz w:val="22"/>
          <w:szCs w:val="22"/>
          <w:u w:val="single"/>
          <w:rtl w:val="0"/>
        </w:rPr>
        <w:t xml:space="preserve">inquietudes, quejas</w:t>
      </w:r>
      <w:r w:rsidDel="00000000" w:rsidR="00000000" w:rsidRPr="00000000">
        <w:rPr>
          <w:rFonts w:ascii="Palatino Linotype" w:cs="Palatino Linotype" w:eastAsia="Palatino Linotype" w:hAnsi="Palatino Linotype"/>
          <w:sz w:val="22"/>
          <w:szCs w:val="22"/>
          <w:u w:val="single"/>
          <w:rtl w:val="0"/>
        </w:rPr>
        <w:t xml:space="preserve">, sugerencias</w:t>
      </w:r>
      <w:r w:rsidDel="00000000" w:rsidR="00000000" w:rsidRPr="00000000">
        <w:rPr>
          <w:rFonts w:ascii="Palatino Linotype" w:cs="Palatino Linotype" w:eastAsia="Palatino Linotype" w:hAnsi="Palatino Linotype"/>
          <w:sz w:val="22"/>
          <w:szCs w:val="22"/>
          <w:rtl w:val="0"/>
        </w:rPr>
        <w:t xml:space="preserve"> y requerimientos en cualquier materia o asunto; y como una </w:t>
      </w:r>
      <w:r w:rsidDel="00000000" w:rsidR="00000000" w:rsidRPr="00000000">
        <w:rPr>
          <w:rFonts w:ascii="Palatino Linotype" w:cs="Palatino Linotype" w:eastAsia="Palatino Linotype" w:hAnsi="Palatino Linotype"/>
          <w:b w:val="1"/>
          <w:bCs w:val="1"/>
          <w:sz w:val="22"/>
          <w:szCs w:val="22"/>
          <w:rtl w:val="0"/>
        </w:rPr>
        <w:t xml:space="preserve">forma específica de la libertad de expresión</w:t>
      </w:r>
      <w:r w:rsidDel="00000000" w:rsidR="00000000" w:rsidRPr="00000000">
        <w:rPr>
          <w:rFonts w:ascii="Palatino Linotype" w:cs="Palatino Linotype" w:eastAsia="Palatino Linotype" w:hAnsi="Palatino Linotype"/>
          <w:sz w:val="22"/>
          <w:szCs w:val="22"/>
          <w:rtl w:val="0"/>
        </w:rPr>
        <w:t xml:space="preserve">,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Del="00000000" w:rsidR="00000000" w:rsidRPr="00000000">
        <w:rPr>
          <w:rFonts w:ascii="Palatino Linotype" w:cs="Palatino Linotype" w:eastAsia="Palatino Linotype" w:hAnsi="Palatino Linotype"/>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40" w:before="240" w:line="360" w:lineRule="auto"/>
        <w:ind w:right="99"/>
        <w:jc w:val="both"/>
        <w:rPr>
          <w:rFonts w:ascii="Palatino Linotype" w:cs="Palatino Linotype" w:eastAsia="Palatino Linotype" w:hAnsi="Palatino Linotype"/>
          <w:b w:val="1"/>
          <w:bCs w:val="1"/>
          <w:sz w:val="22"/>
          <w:szCs w:val="22"/>
          <w:u w:val="single"/>
        </w:rPr>
      </w:pPr>
      <w:r w:rsidDel="00000000" w:rsidR="00000000" w:rsidRPr="00000000">
        <w:rPr>
          <w:rFonts w:ascii="Palatino Linotype" w:cs="Palatino Linotype" w:eastAsia="Palatino Linotype" w:hAnsi="Palatino Linotype"/>
          <w:sz w:val="22"/>
          <w:szCs w:val="22"/>
          <w:rtl w:val="0"/>
        </w:rPr>
        <w:t xml:space="preserve">Por otro lado, el autor anteriormente citado, indica que el </w:t>
      </w:r>
      <w:r w:rsidDel="00000000" w:rsidR="00000000" w:rsidRPr="00000000">
        <w:rPr>
          <w:rFonts w:ascii="Palatino Linotype" w:cs="Palatino Linotype" w:eastAsia="Palatino Linotype" w:hAnsi="Palatino Linotype"/>
          <w:b w:val="1"/>
          <w:bCs w:val="1"/>
          <w:sz w:val="22"/>
          <w:szCs w:val="22"/>
          <w:u w:val="single"/>
          <w:rtl w:val="0"/>
        </w:rPr>
        <w:t xml:space="preserve">derecho de acceso a la información pública</w:t>
      </w:r>
      <w:r w:rsidDel="00000000" w:rsidR="00000000" w:rsidRPr="00000000">
        <w:rPr>
          <w:rFonts w:ascii="Palatino Linotype" w:cs="Palatino Linotype" w:eastAsia="Palatino Linotype" w:hAnsi="Palatino Linotype"/>
          <w:sz w:val="22"/>
          <w:szCs w:val="22"/>
          <w:rtl w:val="0"/>
        </w:rPr>
        <w:t xml:space="preserve"> es el derecho de conocer la </w:t>
      </w:r>
      <w:r w:rsidDel="00000000" w:rsidR="00000000" w:rsidRPr="00000000">
        <w:rPr>
          <w:rFonts w:ascii="Palatino Linotype" w:cs="Palatino Linotype" w:eastAsia="Palatino Linotype" w:hAnsi="Palatino Linotype"/>
          <w:b w:val="1"/>
          <w:bCs w:val="1"/>
          <w:sz w:val="22"/>
          <w:szCs w:val="22"/>
          <w:u w:val="single"/>
          <w:rtl w:val="0"/>
        </w:rPr>
        <w:t xml:space="preserve">información de carácter público que se genera o está en posesión de los órganos del poder público</w:t>
      </w:r>
      <w:r w:rsidDel="00000000" w:rsidR="00000000" w:rsidRPr="00000000">
        <w:rPr>
          <w:rFonts w:ascii="Palatino Linotype" w:cs="Palatino Linotype" w:eastAsia="Palatino Linotype" w:hAnsi="Palatino Linotype"/>
          <w:sz w:val="22"/>
          <w:szCs w:val="22"/>
          <w:rtl w:val="0"/>
        </w:rPr>
        <w:t xml:space="preserve"> o de los sujetos que utilizan o se benefician con recursos provenientes del Estado, es el derecho que tienen los ciudadanos </w:t>
      </w:r>
      <w:r w:rsidDel="00000000" w:rsidR="00000000" w:rsidRPr="00000000">
        <w:rPr>
          <w:rFonts w:ascii="Palatino Linotype" w:cs="Palatino Linotype" w:eastAsia="Palatino Linotype" w:hAnsi="Palatino Linotype"/>
          <w:b w:val="1"/>
          <w:bCs w:val="1"/>
          <w:sz w:val="22"/>
          <w:szCs w:val="22"/>
          <w:u w:val="single"/>
          <w:rtl w:val="0"/>
        </w:rPr>
        <w:t xml:space="preserve">para acceder a documentos y datos que obren en el poder del gobierno.</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40" w:before="240" w:line="360" w:lineRule="auto"/>
        <w:ind w:right="9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Ernesto Villanueva define al </w:t>
      </w:r>
      <w:r w:rsidDel="00000000" w:rsidR="00000000" w:rsidRPr="00000000">
        <w:rPr>
          <w:rFonts w:ascii="Palatino Linotype" w:cs="Palatino Linotype" w:eastAsia="Palatino Linotype" w:hAnsi="Palatino Linotype"/>
          <w:b w:val="1"/>
          <w:bCs w:val="1"/>
          <w:sz w:val="22"/>
          <w:szCs w:val="22"/>
          <w:rtl w:val="0"/>
        </w:rPr>
        <w:t xml:space="preserve">derecho de acceso a la información</w:t>
      </w:r>
      <w:r w:rsidDel="00000000" w:rsidR="00000000" w:rsidRPr="00000000">
        <w:rPr>
          <w:rFonts w:ascii="Palatino Linotype" w:cs="Palatino Linotype" w:eastAsia="Palatino Linotype" w:hAnsi="Palatino Linotype"/>
          <w:sz w:val="22"/>
          <w:szCs w:val="22"/>
          <w:rtl w:val="0"/>
        </w:rPr>
        <w:t xml:space="preserve"> pública como </w:t>
      </w:r>
      <w:r w:rsidDel="00000000" w:rsidR="00000000" w:rsidRPr="00000000">
        <w:rPr>
          <w:rFonts w:ascii="Palatino Linotype" w:cs="Palatino Linotype" w:eastAsia="Palatino Linotype" w:hAnsi="Palatino Linotype"/>
          <w:b w:val="1"/>
          <w:bCs w:val="1"/>
          <w:sz w:val="22"/>
          <w:szCs w:val="22"/>
          <w:u w:val="single"/>
          <w:rtl w:val="0"/>
        </w:rPr>
        <w:t xml:space="preserve">la prerrogativa de la persona para acceder a datos, registros y todo tipo de informaciones en poder de las entidades públicas</w:t>
      </w:r>
      <w:r w:rsidDel="00000000" w:rsidR="00000000" w:rsidRPr="00000000">
        <w:rPr>
          <w:rFonts w:ascii="Palatino Linotype" w:cs="Palatino Linotype" w:eastAsia="Palatino Linotype" w:hAnsi="Palatino Linotype"/>
          <w:sz w:val="22"/>
          <w:szCs w:val="22"/>
          <w:rtl w:val="0"/>
        </w:rPr>
        <w:t xml:space="preserve"> y empresas privadas que ejercen gasto público o cumplen funciones de autoridad, con las excepciones taxativas que establezca la ley en una sociedad democrática.</w:t>
      </w:r>
      <w:r w:rsidDel="00000000" w:rsidR="00000000" w:rsidRPr="00000000">
        <w:rPr>
          <w:rFonts w:ascii="Palatino Linotype" w:cs="Palatino Linotype" w:eastAsia="Palatino Linotype" w:hAnsi="Palatino Linotype"/>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40" w:before="240" w:line="360" w:lineRule="auto"/>
        <w:ind w:right="9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lo anterior se puede concluir que la distinción entre el </w:t>
      </w:r>
      <w:r w:rsidDel="00000000" w:rsidR="00000000" w:rsidRPr="00000000">
        <w:rPr>
          <w:rFonts w:ascii="Palatino Linotype" w:cs="Palatino Linotype" w:eastAsia="Palatino Linotype" w:hAnsi="Palatino Linotype"/>
          <w:b w:val="1"/>
          <w:bCs w:val="1"/>
          <w:sz w:val="22"/>
          <w:szCs w:val="22"/>
          <w:u w:val="single"/>
          <w:rtl w:val="0"/>
        </w:rPr>
        <w:t xml:space="preserve">derecho de petición</w:t>
      </w:r>
      <w:r w:rsidDel="00000000" w:rsidR="00000000" w:rsidRPr="00000000">
        <w:rPr>
          <w:rFonts w:ascii="Palatino Linotype" w:cs="Palatino Linotype" w:eastAsia="Palatino Linotype" w:hAnsi="Palatino Linotype"/>
          <w:sz w:val="22"/>
          <w:szCs w:val="22"/>
          <w:rtl w:val="0"/>
        </w:rPr>
        <w:t xml:space="preserve"> y el derecho de acceso a la información descansa principalmente, en que </w:t>
      </w:r>
      <w:r w:rsidDel="00000000" w:rsidR="00000000" w:rsidRPr="00000000">
        <w:rPr>
          <w:rFonts w:ascii="Palatino Linotype" w:cs="Palatino Linotype" w:eastAsia="Palatino Linotype" w:hAnsi="Palatino Linotype"/>
          <w:b w:val="1"/>
          <w:bCs w:val="1"/>
          <w:sz w:val="22"/>
          <w:szCs w:val="22"/>
          <w:rtl w:val="0"/>
        </w:rPr>
        <w:t xml:space="preserve">la pretensión del peticionario consiste generalmente en obligar a la autoridad responsable a que actúe</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bCs w:val="1"/>
          <w:sz w:val="22"/>
          <w:szCs w:val="22"/>
          <w:rtl w:val="0"/>
        </w:rPr>
        <w:t xml:space="preserve">en el sentido de contestar lo solicitado</w:t>
      </w:r>
      <w:r w:rsidDel="00000000" w:rsidR="00000000" w:rsidRPr="00000000">
        <w:rPr>
          <w:rFonts w:ascii="Palatino Linotype" w:cs="Palatino Linotype" w:eastAsia="Palatino Linotype" w:hAnsi="Palatino Linotype"/>
          <w:sz w:val="22"/>
          <w:szCs w:val="22"/>
          <w:rtl w:val="0"/>
        </w:rPr>
        <w:t xml:space="preserve">, mientras que </w:t>
      </w:r>
      <w:r w:rsidDel="00000000" w:rsidR="00000000" w:rsidRPr="00000000">
        <w:rPr>
          <w:rFonts w:ascii="Palatino Linotype" w:cs="Palatino Linotype" w:eastAsia="Palatino Linotype" w:hAnsi="Palatino Linotype"/>
          <w:b w:val="1"/>
          <w:bCs w:val="1"/>
          <w:sz w:val="22"/>
          <w:szCs w:val="22"/>
          <w:u w:val="single"/>
          <w:rtl w:val="0"/>
        </w:rPr>
        <w:t xml:space="preserve">en el derecho de acceso a la información pública,</w:t>
      </w:r>
      <w:r w:rsidDel="00000000" w:rsidR="00000000" w:rsidRPr="00000000">
        <w:rPr>
          <w:rFonts w:ascii="Palatino Linotype" w:cs="Palatino Linotype" w:eastAsia="Palatino Linotype" w:hAnsi="Palatino Linotype"/>
          <w:b w:val="1"/>
          <w:bCs w:val="1"/>
          <w:sz w:val="22"/>
          <w:szCs w:val="22"/>
          <w:rtl w:val="0"/>
        </w:rPr>
        <w:t xml:space="preserve"> la pretensión radica en que se permita el acceso a datos y todo tipo de documentación que tenga el carácter de información pública, que sea generada, administrada o se encuentre en posesión de los</w:t>
      </w:r>
      <w:r w:rsidDel="00000000" w:rsidR="00000000" w:rsidRPr="00000000">
        <w:rPr>
          <w:rFonts w:ascii="Palatino Linotype" w:cs="Palatino Linotype" w:eastAsia="Palatino Linotype" w:hAnsi="Palatino Linotype"/>
          <w:sz w:val="22"/>
          <w:szCs w:val="22"/>
          <w:rtl w:val="0"/>
        </w:rPr>
        <w:t xml:space="preserve"> considerados </w:t>
      </w:r>
      <w:r w:rsidDel="00000000" w:rsidR="00000000" w:rsidRPr="00000000">
        <w:rPr>
          <w:rFonts w:ascii="Palatino Linotype" w:cs="Palatino Linotype" w:eastAsia="Palatino Linotype" w:hAnsi="Palatino Linotype"/>
          <w:b w:val="1"/>
          <w:bCs w:val="1"/>
          <w:sz w:val="22"/>
          <w:szCs w:val="22"/>
          <w:rtl w:val="0"/>
        </w:rPr>
        <w:t xml:space="preserve">Sujetos Obligados</w:t>
      </w:r>
      <w:r w:rsidDel="00000000" w:rsidR="00000000" w:rsidRPr="00000000">
        <w:rPr>
          <w:rFonts w:ascii="Palatino Linotype" w:cs="Palatino Linotype" w:eastAsia="Palatino Linotype" w:hAnsi="Palatino Linotype"/>
          <w:sz w:val="22"/>
          <w:szCs w:val="22"/>
          <w:rtl w:val="0"/>
        </w:rPr>
        <w:t xml:space="preserve"> por la Ley de la Materia.</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360" w:lineRule="auto"/>
        <w:ind w:right="99"/>
        <w:jc w:val="both"/>
        <w:rPr>
          <w:rFonts w:ascii="Palatino Linotype" w:cs="Palatino Linotype" w:eastAsia="Palatino Linotype" w:hAnsi="Palatino Linotype"/>
          <w:b w:val="1"/>
          <w:bCs w:val="1"/>
          <w:sz w:val="22"/>
          <w:szCs w:val="22"/>
          <w:u w:val="single"/>
        </w:rPr>
      </w:pPr>
      <w:r w:rsidDel="00000000" w:rsidR="00000000" w:rsidRPr="00000000">
        <w:rPr>
          <w:rFonts w:ascii="Palatino Linotype" w:cs="Palatino Linotype" w:eastAsia="Palatino Linotype" w:hAnsi="Palatino Linotype"/>
          <w:sz w:val="22"/>
          <w:szCs w:val="22"/>
          <w:rtl w:val="0"/>
        </w:rPr>
        <w:t xml:space="preserve">Con base a lo anterior, se insiste que de la lectura de los requerimientos de información </w:t>
      </w:r>
      <w:r w:rsidDel="00000000" w:rsidR="00000000" w:rsidRPr="00000000">
        <w:rPr>
          <w:rFonts w:ascii="Palatino Linotype" w:cs="Palatino Linotype" w:eastAsia="Palatino Linotype" w:hAnsi="Palatino Linotype"/>
          <w:b w:val="1"/>
          <w:bCs w:val="1"/>
          <w:sz w:val="22"/>
          <w:szCs w:val="22"/>
          <w:u w:val="single"/>
          <w:rtl w:val="0"/>
        </w:rPr>
        <w:t xml:space="preserve">no se advierte que la persona solicitante pretenda el acceso a documentos previamente generados</w:t>
      </w:r>
      <w:r w:rsidDel="00000000" w:rsidR="00000000" w:rsidRPr="00000000">
        <w:rPr>
          <w:rFonts w:ascii="Palatino Linotype" w:cs="Palatino Linotype" w:eastAsia="Palatino Linotype" w:hAnsi="Palatino Linotype"/>
          <w:b w:val="1"/>
          <w:bCs w:val="1"/>
          <w:sz w:val="22"/>
          <w:szCs w:val="22"/>
          <w:rtl w:val="0"/>
        </w:rPr>
        <w:t xml:space="preserve">, s</w:t>
      </w:r>
      <w:r w:rsidDel="00000000" w:rsidR="00000000" w:rsidRPr="00000000">
        <w:rPr>
          <w:rFonts w:ascii="Palatino Linotype" w:cs="Palatino Linotype" w:eastAsia="Palatino Linotype" w:hAnsi="Palatino Linotype"/>
          <w:sz w:val="22"/>
          <w:szCs w:val="22"/>
          <w:rtl w:val="0"/>
        </w:rPr>
        <w:t xml:space="preserve">ino más bien, </w:t>
      </w:r>
      <w:r w:rsidDel="00000000" w:rsidR="00000000" w:rsidRPr="00000000">
        <w:rPr>
          <w:rFonts w:ascii="Palatino Linotype" w:cs="Palatino Linotype" w:eastAsia="Palatino Linotype" w:hAnsi="Palatino Linotype"/>
          <w:b w:val="1"/>
          <w:bCs w:val="1"/>
          <w:sz w:val="22"/>
          <w:szCs w:val="22"/>
          <w:u w:val="single"/>
          <w:rtl w:val="0"/>
        </w:rPr>
        <w:t xml:space="preserve">requiere un pronunciamiento y que se lleven a cabo acciones específicas por parte del Sujeto Obligado que dé respuesta a las manifestaciones que plantea.</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360" w:lineRule="auto"/>
        <w:ind w:right="9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ordenar que a través de una solicitud de información se haga de conocimiento al Órgano Interno de Control  de irregularidades, y se remita evidencia de ello a las personas solicitantes, dado que el requerimiento de la persona solicitante es tendentes a que la autoridad aclare o actué sobre una manifestación en particular, en consecuencia no es procedente ordenar la entrega de documento alguno, toda vez que no se pretendió el acceso a algún documento previamente generado. </w:t>
      </w:r>
    </w:p>
    <w:p w:rsidR="00000000" w:rsidDel="00000000" w:rsidP="00000000" w:rsidRDefault="00000000" w:rsidRPr="00000000" w14:paraId="00000047">
      <w:pPr>
        <w:spacing w:after="240" w:before="240"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No obstante, en aras de satisfacer la solicitud de información, la Unidad de Transparencia hizo del conocimiento de la persona solicitante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era incompetente para dar contestación a la solicitud respecto de la información concerniente al Sistema Municipal para el Desarrollo Integral de la Familia de Atenco, por lo que sugirió presentar la solicitud ante dicho Sujeto Obligado.  </w:t>
      </w:r>
    </w:p>
    <w:p w:rsidR="00000000" w:rsidDel="00000000" w:rsidP="00000000" w:rsidRDefault="00000000" w:rsidRPr="00000000" w14:paraId="00000048">
      <w:pPr>
        <w:tabs>
          <w:tab w:val="left" w:leader="none" w:pos="284"/>
        </w:tabs>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Cabe señalar que en materia de transparencia el Ayuntamiento de Atenco y el Sistema Municipal para el Desarrollo Integral de la Familia de Atenco, son reconocidos como Sujetos Obligados de conformidad con el Padrón de Sujetos Obligados en materia de Transparencia y Acceso a la Información Pública del Estado de México y Municipios aprobado por el Pleno de este Instituto el veintisiete de enero de dos mil diecisiete y sus modificaciones posteriores, como se ilustra a continuación para mejor referencia:</w:t>
      </w:r>
    </w:p>
    <w:p w:rsidR="00000000" w:rsidDel="00000000" w:rsidP="00000000" w:rsidRDefault="00000000" w:rsidRPr="00000000" w14:paraId="00000049">
      <w:pPr>
        <w:tabs>
          <w:tab w:val="left" w:leader="none" w:pos="284"/>
        </w:tabs>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Pr>
        <w:drawing>
          <wp:inline distB="0" distT="0" distL="0" distR="0">
            <wp:extent cx="5612130" cy="316230"/>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12130" cy="316230"/>
                    </a:xfrm>
                    <a:prstGeom prst="rect"/>
                    <a:ln/>
                  </pic:spPr>
                </pic:pic>
              </a:graphicData>
            </a:graphic>
          </wp:inline>
        </w:drawing>
      </w:r>
      <w:r w:rsidDel="00000000" w:rsidR="00000000" w:rsidRPr="00000000">
        <w:rPr>
          <w:rFonts w:ascii="Palatino Linotype" w:cs="Palatino Linotype" w:eastAsia="Palatino Linotype" w:hAnsi="Palatino Linotype"/>
          <w:sz w:val="22"/>
          <w:szCs w:val="22"/>
        </w:rPr>
        <w:drawing>
          <wp:inline distB="0" distT="0" distL="0" distR="0">
            <wp:extent cx="5612130" cy="315595"/>
            <wp:effectExtent b="0" l="0" r="0" t="0"/>
            <wp:docPr id="2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612130" cy="31559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tabs>
          <w:tab w:val="left" w:leader="none" w:pos="284"/>
        </w:tabs>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Pr>
        <w:drawing>
          <wp:inline distB="0" distT="0" distL="0" distR="0">
            <wp:extent cx="5612130" cy="325755"/>
            <wp:effectExtent b="0" l="0" r="0" t="0"/>
            <wp:docPr id="2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612130" cy="325755"/>
                    </a:xfrm>
                    <a:prstGeom prst="rect"/>
                    <a:ln/>
                  </pic:spPr>
                </pic:pic>
              </a:graphicData>
            </a:graphic>
          </wp:inline>
        </w:drawing>
      </w:r>
      <w:r w:rsidDel="00000000" w:rsidR="00000000" w:rsidRPr="00000000">
        <w:rPr>
          <w:rFonts w:ascii="Palatino Linotype" w:cs="Palatino Linotype" w:eastAsia="Palatino Linotype" w:hAnsi="Palatino Linotype"/>
          <w:sz w:val="22"/>
          <w:szCs w:val="22"/>
        </w:rPr>
        <w:drawing>
          <wp:inline distB="0" distT="0" distL="0" distR="0">
            <wp:extent cx="5612130" cy="290195"/>
            <wp:effectExtent b="0" l="0" r="0" t="0"/>
            <wp:docPr id="2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5612130" cy="290195"/>
                    </a:xfrm>
                    <a:prstGeom prst="rect"/>
                    <a:ln/>
                  </pic:spPr>
                </pic:pic>
              </a:graphicData>
            </a:graphic>
          </wp:inline>
        </w:drawing>
      </w:r>
      <w:r w:rsidDel="00000000" w:rsidR="00000000" w:rsidRPr="00000000">
        <w:rPr>
          <w:rFonts w:ascii="Palatino Linotype" w:cs="Palatino Linotype" w:eastAsia="Palatino Linotype" w:hAnsi="Palatino Linotype"/>
          <w:sz w:val="22"/>
          <w:szCs w:val="22"/>
        </w:rPr>
        <w:drawing>
          <wp:inline distB="0" distT="0" distL="0" distR="0">
            <wp:extent cx="5612130" cy="360680"/>
            <wp:effectExtent b="0" l="0" r="0" t="0"/>
            <wp:docPr id="2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612130" cy="36068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consiguiente, ambos Sujetos Obligados deben cumplir con las obligaciones, procesos, procedimientos y responsabilidades establecidas en la Ley de Transparencia y Acceso a la Información Pública del Estado de México y Municipios y demás ordenamientos jurídicos de la materia.</w:t>
      </w:r>
    </w:p>
    <w:p w:rsidR="00000000" w:rsidDel="00000000" w:rsidP="00000000" w:rsidRDefault="00000000" w:rsidRPr="00000000" w14:paraId="0000004C">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base en lo expuesto, toda vez que el Sistema Municipal para el Desarrollo Integral de la Familia de Atenco, es responsable de transparentar la información que en ejercicio de las atribuciones genere, administre y/o posea a través de sus unidades administrativas, es posible advertir que el ayuntamiento no cuenta con competencia para proporcionar información que le compete a aquel.</w:t>
      </w:r>
    </w:p>
    <w:p w:rsidR="00000000" w:rsidDel="00000000" w:rsidP="00000000" w:rsidRDefault="00000000" w:rsidRPr="00000000" w14:paraId="0000004D">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Atento a lo anterior, se colige que existe una evidente incompetencia por parte del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para satisfacer lo solicitado, en términos del Criterio orientador con clave de control SO/013/2017 emitido por el entonces Pleno del Instituto Nacional de Transparencia, Acceso a la Información y Protección de Datos Personales, el cual, para pronta referencia se reproduce a continuación:</w:t>
      </w:r>
    </w:p>
    <w:p w:rsidR="00000000" w:rsidDel="00000000" w:rsidP="00000000" w:rsidRDefault="00000000" w:rsidRPr="00000000" w14:paraId="0000004E">
      <w:pPr>
        <w:spacing w:after="120" w:before="120" w:lineRule="auto"/>
        <w:ind w:left="851" w:right="851"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“Incompetencia. La incompetencia implica la ausencia de atribuciones del sujeto obligado para poseer la información solicitada</w:t>
      </w:r>
      <w:r w:rsidDel="00000000" w:rsidR="00000000" w:rsidRPr="00000000">
        <w:rPr>
          <w:rFonts w:ascii="Palatino Linotype" w:cs="Palatino Linotype" w:eastAsia="Palatino Linotype" w:hAnsi="Palatino Linotype"/>
          <w:i w:val="1"/>
          <w:iCs w:val="1"/>
          <w:sz w:val="22"/>
          <w:szCs w:val="22"/>
          <w:rtl w:val="0"/>
        </w:rPr>
        <w:t xml:space="preserve">; es decir, se trata de una cuestión de derecho, </w:t>
      </w:r>
      <w:r w:rsidDel="00000000" w:rsidR="00000000" w:rsidRPr="00000000">
        <w:rPr>
          <w:rFonts w:ascii="Palatino Linotype" w:cs="Palatino Linotype" w:eastAsia="Palatino Linotype" w:hAnsi="Palatino Linotype"/>
          <w:b w:val="1"/>
          <w:bCs w:val="1"/>
          <w:i w:val="1"/>
          <w:iCs w:val="1"/>
          <w:sz w:val="22"/>
          <w:szCs w:val="22"/>
          <w:rtl w:val="0"/>
        </w:rPr>
        <w:t xml:space="preserve">en tanto que no existan facultades para contar con lo requerido</w:t>
      </w:r>
      <w:r w:rsidDel="00000000" w:rsidR="00000000" w:rsidRPr="00000000">
        <w:rPr>
          <w:rFonts w:ascii="Palatino Linotype" w:cs="Palatino Linotype" w:eastAsia="Palatino Linotype" w:hAnsi="Palatino Linotype"/>
          <w:i w:val="1"/>
          <w:iCs w:val="1"/>
          <w:sz w:val="22"/>
          <w:szCs w:val="22"/>
          <w:rtl w:val="0"/>
        </w:rPr>
        <w:t xml:space="preserve">; por lo que la incompetencia es una cualidad atribuida al sujeto obligado que la declara.”</w:t>
      </w:r>
    </w:p>
    <w:p w:rsidR="00000000" w:rsidDel="00000000" w:rsidP="00000000" w:rsidRDefault="00000000" w:rsidRPr="00000000" w14:paraId="0000004F">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se arriba a la conclusión de que el Sujeto Obligado competente para atender las solicitudes de acceso a la información pública concerniente al Sistema Municipal para el Desarrollo Integral de la Familia de Atenco, es dicho Sujeto Obligado.</w:t>
      </w:r>
    </w:p>
    <w:p w:rsidR="00000000" w:rsidDel="00000000" w:rsidP="00000000" w:rsidRDefault="00000000" w:rsidRPr="00000000" w14:paraId="00000050">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consiguiente, en el presente asunto no es procedente la entrega de información alguna para atender la solicitud de información,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Del="00000000" w:rsidR="00000000" w:rsidRPr="00000000">
        <w:rPr>
          <w:rFonts w:ascii="Palatino Linotype" w:cs="Palatino Linotype" w:eastAsia="Palatino Linotype" w:hAnsi="Palatino Linotype"/>
          <w:i w:val="1"/>
          <w:iCs w:val="1"/>
          <w:sz w:val="22"/>
          <w:szCs w:val="22"/>
          <w:rtl w:val="0"/>
        </w:rPr>
        <w:t xml:space="preserve"> contrario sensu</w:t>
      </w:r>
      <w:r w:rsidDel="00000000" w:rsidR="00000000" w:rsidRPr="00000000">
        <w:rPr>
          <w:rFonts w:ascii="Palatino Linotype" w:cs="Palatino Linotype" w:eastAsia="Palatino Linotype" w:hAnsi="Palatino Linotype"/>
          <w:sz w:val="22"/>
          <w:szCs w:val="22"/>
          <w:rtl w:val="0"/>
        </w:rPr>
        <w:t xml:space="preserve"> significa que no se está obligado a proporcionar lo que no obre en sus archivos, en consecuencia,  el pronunciamiento vertido por la Unidad de Transparencia, es suficiente para tener por atendidos los requerimientos de información. </w:t>
      </w:r>
    </w:p>
    <w:p w:rsidR="00000000" w:rsidDel="00000000" w:rsidP="00000000" w:rsidRDefault="00000000" w:rsidRPr="00000000" w14:paraId="00000051">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Dicho lo anterior, es de recordar, respecto a la Declaración de Incompetencia, que la Ley de Transparencia y Acceso a la Información Pública del Estado de México, establece en los artículos 49, fracción II y 167, lo siguiente: </w:t>
      </w:r>
    </w:p>
    <w:p w:rsidR="00000000" w:rsidDel="00000000" w:rsidP="00000000" w:rsidRDefault="00000000" w:rsidRPr="00000000" w14:paraId="00000052">
      <w:pPr>
        <w:tabs>
          <w:tab w:val="left" w:leader="none" w:pos="1134"/>
        </w:tabs>
        <w:spacing w:line="360" w:lineRule="auto"/>
        <w:ind w:left="567" w:right="902" w:firstLine="0"/>
        <w:jc w:val="both"/>
        <w:rPr>
          <w:rFonts w:ascii="Palatino Linotype" w:cs="Palatino Linotype" w:eastAsia="Palatino Linotype" w:hAnsi="Palatino Linotype"/>
          <w:i w:val="1"/>
          <w:iCs w:val="1"/>
          <w:sz w:val="22"/>
          <w:szCs w:val="22"/>
        </w:rPr>
      </w:pPr>
      <w:r w:rsidDel="00000000" w:rsidR="00000000" w:rsidRPr="00000000">
        <w:rPr>
          <w:rtl w:val="0"/>
        </w:rPr>
      </w:r>
    </w:p>
    <w:p w:rsidR="00000000" w:rsidDel="00000000" w:rsidP="00000000" w:rsidRDefault="00000000" w:rsidRPr="00000000" w14:paraId="00000053">
      <w:pPr>
        <w:tabs>
          <w:tab w:val="left" w:leader="none" w:pos="1134"/>
          <w:tab w:val="left" w:leader="none" w:pos="1276"/>
        </w:tabs>
        <w:spacing w:line="276"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i w:val="1"/>
          <w:iCs w:val="1"/>
          <w:sz w:val="22"/>
          <w:szCs w:val="22"/>
          <w:rtl w:val="0"/>
        </w:rPr>
        <w:t xml:space="preserve">“</w:t>
      </w:r>
      <w:r w:rsidDel="00000000" w:rsidR="00000000" w:rsidRPr="00000000">
        <w:rPr>
          <w:rFonts w:ascii="Palatino Linotype" w:cs="Palatino Linotype" w:eastAsia="Palatino Linotype" w:hAnsi="Palatino Linotype"/>
          <w:b w:val="1"/>
          <w:bCs w:val="1"/>
          <w:i w:val="1"/>
          <w:iCs w:val="1"/>
          <w:sz w:val="22"/>
          <w:szCs w:val="22"/>
          <w:rtl w:val="0"/>
        </w:rPr>
        <w:t xml:space="preserve">Artículo 49.</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Los Comités de Transparencia</w:t>
      </w:r>
      <w:r w:rsidDel="00000000" w:rsidR="00000000" w:rsidRPr="00000000">
        <w:rPr>
          <w:rFonts w:ascii="Palatino Linotype" w:cs="Palatino Linotype" w:eastAsia="Palatino Linotype" w:hAnsi="Palatino Linotype"/>
          <w:i w:val="1"/>
          <w:iCs w:val="1"/>
          <w:sz w:val="22"/>
          <w:szCs w:val="22"/>
          <w:rtl w:val="0"/>
        </w:rPr>
        <w:t xml:space="preserve"> tendrán las siguientes atribuciones:</w:t>
      </w:r>
    </w:p>
    <w:p w:rsidR="00000000" w:rsidDel="00000000" w:rsidP="00000000" w:rsidRDefault="00000000" w:rsidRPr="00000000" w14:paraId="00000054">
      <w:pPr>
        <w:tabs>
          <w:tab w:val="left" w:leader="none" w:pos="1134"/>
        </w:tabs>
        <w:spacing w:line="276" w:lineRule="auto"/>
        <w:ind w:left="851"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w:t>
      </w:r>
    </w:p>
    <w:p w:rsidR="00000000" w:rsidDel="00000000" w:rsidP="00000000" w:rsidRDefault="00000000" w:rsidRPr="00000000" w14:paraId="00000055">
      <w:pPr>
        <w:tabs>
          <w:tab w:val="left" w:leader="none" w:pos="1134"/>
        </w:tabs>
        <w:spacing w:line="276" w:lineRule="auto"/>
        <w:ind w:left="851" w:right="902" w:firstLine="0"/>
        <w:jc w:val="both"/>
        <w:rPr>
          <w:rFonts w:ascii="Palatino Linotype" w:cs="Palatino Linotype" w:eastAsia="Palatino Linotype" w:hAnsi="Palatino Linotype"/>
          <w:b w:val="1"/>
          <w:bCs w:val="1"/>
          <w:i w:val="1"/>
          <w:iCs w:val="1"/>
          <w:sz w:val="22"/>
          <w:szCs w:val="22"/>
          <w:u w:val="single"/>
        </w:rPr>
      </w:pPr>
      <w:r w:rsidDel="00000000" w:rsidR="00000000" w:rsidRPr="00000000">
        <w:rPr>
          <w:rFonts w:ascii="Palatino Linotype" w:cs="Palatino Linotype" w:eastAsia="Palatino Linotype" w:hAnsi="Palatino Linotype"/>
          <w:b w:val="1"/>
          <w:bCs w:val="1"/>
          <w:i w:val="1"/>
          <w:iCs w:val="1"/>
          <w:sz w:val="22"/>
          <w:szCs w:val="22"/>
          <w:rtl w:val="0"/>
        </w:rPr>
        <w:t xml:space="preserve">II.</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Confirmar, modificar o revocar</w:t>
      </w:r>
      <w:r w:rsidDel="00000000" w:rsidR="00000000" w:rsidRPr="00000000">
        <w:rPr>
          <w:rFonts w:ascii="Palatino Linotype" w:cs="Palatino Linotype" w:eastAsia="Palatino Linotype" w:hAnsi="Palatino Linotype"/>
          <w:i w:val="1"/>
          <w:iCs w:val="1"/>
          <w:sz w:val="22"/>
          <w:szCs w:val="22"/>
          <w:rtl w:val="0"/>
        </w:rPr>
        <w:t xml:space="preserve"> las determinaciones que en materia de ampliación del plazo de respuesta, clasificación de la información </w:t>
      </w:r>
      <w:r w:rsidDel="00000000" w:rsidR="00000000" w:rsidRPr="00000000">
        <w:rPr>
          <w:rFonts w:ascii="Palatino Linotype" w:cs="Palatino Linotype" w:eastAsia="Palatino Linotype" w:hAnsi="Palatino Linotype"/>
          <w:b w:val="1"/>
          <w:bCs w:val="1"/>
          <w:i w:val="1"/>
          <w:iCs w:val="1"/>
          <w:sz w:val="22"/>
          <w:szCs w:val="22"/>
          <w:rtl w:val="0"/>
        </w:rPr>
        <w:t xml:space="preserve">y declaración</w:t>
      </w:r>
      <w:r w:rsidDel="00000000" w:rsidR="00000000" w:rsidRPr="00000000">
        <w:rPr>
          <w:rFonts w:ascii="Palatino Linotype" w:cs="Palatino Linotype" w:eastAsia="Palatino Linotype" w:hAnsi="Palatino Linotype"/>
          <w:i w:val="1"/>
          <w:iCs w:val="1"/>
          <w:sz w:val="22"/>
          <w:szCs w:val="22"/>
          <w:rtl w:val="0"/>
        </w:rPr>
        <w:t xml:space="preserve"> de inexistencia o </w:t>
      </w:r>
      <w:r w:rsidDel="00000000" w:rsidR="00000000" w:rsidRPr="00000000">
        <w:rPr>
          <w:rFonts w:ascii="Palatino Linotype" w:cs="Palatino Linotype" w:eastAsia="Palatino Linotype" w:hAnsi="Palatino Linotype"/>
          <w:b w:val="1"/>
          <w:bCs w:val="1"/>
          <w:i w:val="1"/>
          <w:iCs w:val="1"/>
          <w:sz w:val="22"/>
          <w:szCs w:val="22"/>
          <w:rtl w:val="0"/>
        </w:rPr>
        <w:t xml:space="preserve">de incompetencia realicen los titulares de las áreas de los sujetos obligados;</w:t>
      </w:r>
      <w:r w:rsidDel="00000000" w:rsidR="00000000" w:rsidRPr="00000000">
        <w:rPr>
          <w:rtl w:val="0"/>
        </w:rPr>
      </w:r>
    </w:p>
    <w:p w:rsidR="00000000" w:rsidDel="00000000" w:rsidP="00000000" w:rsidRDefault="00000000" w:rsidRPr="00000000" w14:paraId="00000056">
      <w:pPr>
        <w:tabs>
          <w:tab w:val="left" w:leader="none" w:pos="1134"/>
        </w:tabs>
        <w:spacing w:line="276" w:lineRule="auto"/>
        <w:ind w:left="851"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w:t>
      </w:r>
    </w:p>
    <w:p w:rsidR="00000000" w:rsidDel="00000000" w:rsidP="00000000" w:rsidRDefault="00000000" w:rsidRPr="00000000" w14:paraId="00000057">
      <w:pPr>
        <w:tabs>
          <w:tab w:val="left" w:leader="none" w:pos="1134"/>
        </w:tabs>
        <w:spacing w:line="276" w:lineRule="auto"/>
        <w:ind w:left="851" w:right="902" w:firstLine="0"/>
        <w:jc w:val="both"/>
        <w:rPr>
          <w:rFonts w:ascii="Palatino Linotype" w:cs="Palatino Linotype" w:eastAsia="Palatino Linotype" w:hAnsi="Palatino Linotype"/>
          <w:b w:val="1"/>
          <w:bCs w:val="1"/>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Artículo 167</w:t>
      </w:r>
      <w:r w:rsidDel="00000000" w:rsidR="00000000" w:rsidRPr="00000000">
        <w:rPr>
          <w:rFonts w:ascii="Palatino Linotype" w:cs="Palatino Linotype" w:eastAsia="Palatino Linotype" w:hAnsi="Palatino Linotype"/>
          <w:i w:val="1"/>
          <w:iCs w:val="1"/>
          <w:sz w:val="22"/>
          <w:szCs w:val="22"/>
          <w:rtl w:val="0"/>
        </w:rPr>
        <w:t xml:space="preserve">. </w:t>
      </w:r>
      <w:r w:rsidDel="00000000" w:rsidR="00000000" w:rsidRPr="00000000">
        <w:rPr>
          <w:rFonts w:ascii="Palatino Linotype" w:cs="Palatino Linotype" w:eastAsia="Palatino Linotype" w:hAnsi="Palatino Linotype"/>
          <w:b w:val="1"/>
          <w:bCs w:val="1"/>
          <w:i w:val="1"/>
          <w:iCs w:val="1"/>
          <w:sz w:val="22"/>
          <w:szCs w:val="22"/>
          <w:rtl w:val="0"/>
        </w:rPr>
        <w:t xml:space="preserve">Cuando las unidades de transparencia determinen la notoria incompetencia</w:t>
      </w:r>
      <w:r w:rsidDel="00000000" w:rsidR="00000000" w:rsidRPr="00000000">
        <w:rPr>
          <w:rFonts w:ascii="Palatino Linotype" w:cs="Palatino Linotype" w:eastAsia="Palatino Linotype" w:hAnsi="Palatino Linotype"/>
          <w:i w:val="1"/>
          <w:iCs w:val="1"/>
          <w:sz w:val="22"/>
          <w:szCs w:val="22"/>
          <w:rtl w:val="0"/>
        </w:rPr>
        <w:t xml:space="preserve"> por parte de los sujetos obligados, dentro del ámbito de aplicación, para atender la solicitud de acceso a la información, </w:t>
      </w:r>
      <w:r w:rsidDel="00000000" w:rsidR="00000000" w:rsidRPr="00000000">
        <w:rPr>
          <w:rFonts w:ascii="Palatino Linotype" w:cs="Palatino Linotype" w:eastAsia="Palatino Linotype" w:hAnsi="Palatino Linotype"/>
          <w:b w:val="1"/>
          <w:bCs w:val="1"/>
          <w:i w:val="1"/>
          <w:iCs w:val="1"/>
          <w:sz w:val="22"/>
          <w:szCs w:val="22"/>
          <w:rtl w:val="0"/>
        </w:rPr>
        <w:t xml:space="preserve">deberán comunicarlo al solicitante, dentro de los tres días hábiles posteriores a la recepción de la solicitud</w:t>
      </w:r>
      <w:r w:rsidDel="00000000" w:rsidR="00000000" w:rsidRPr="00000000">
        <w:rPr>
          <w:rFonts w:ascii="Palatino Linotype" w:cs="Palatino Linotype" w:eastAsia="Palatino Linotype" w:hAnsi="Palatino Linotype"/>
          <w:i w:val="1"/>
          <w:iCs w:val="1"/>
          <w:sz w:val="22"/>
          <w:szCs w:val="22"/>
          <w:rtl w:val="0"/>
        </w:rPr>
        <w:t xml:space="preserve"> y, </w:t>
      </w:r>
      <w:r w:rsidDel="00000000" w:rsidR="00000000" w:rsidRPr="00000000">
        <w:rPr>
          <w:rFonts w:ascii="Palatino Linotype" w:cs="Palatino Linotype" w:eastAsia="Palatino Linotype" w:hAnsi="Palatino Linotype"/>
          <w:b w:val="1"/>
          <w:bCs w:val="1"/>
          <w:i w:val="1"/>
          <w:iCs w:val="1"/>
          <w:sz w:val="22"/>
          <w:szCs w:val="22"/>
          <w:rtl w:val="0"/>
        </w:rPr>
        <w:t xml:space="preserve">en su caso orientar al solicitante, el o los sujetos obligados competentes.” </w:t>
      </w:r>
    </w:p>
    <w:p w:rsidR="00000000" w:rsidDel="00000000" w:rsidP="00000000" w:rsidRDefault="00000000" w:rsidRPr="00000000" w14:paraId="00000058">
      <w:pPr>
        <w:tabs>
          <w:tab w:val="left" w:leader="none" w:pos="142"/>
          <w:tab w:val="left" w:leader="none" w:pos="284"/>
        </w:tabs>
        <w:spacing w:after="240" w:before="240" w:line="360" w:lineRule="auto"/>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sz w:val="22"/>
          <w:szCs w:val="22"/>
          <w:rtl w:val="0"/>
        </w:rPr>
        <w:t xml:space="preserve">De los preceptos citados se desprende que es atribución del Comité de Transparencia confirmar, modificar o revocar, en su caso, la declaración de incompetencia,</w:t>
      </w:r>
      <w:r w:rsidDel="00000000" w:rsidR="00000000" w:rsidRPr="00000000">
        <w:rPr>
          <w:rFonts w:ascii="Palatino Linotype" w:cs="Palatino Linotype" w:eastAsia="Palatino Linotype" w:hAnsi="Palatino Linotype"/>
          <w:b w:val="1"/>
          <w:bCs w:val="1"/>
          <w:sz w:val="22"/>
          <w:szCs w:val="22"/>
          <w:rtl w:val="0"/>
        </w:rPr>
        <w:t xml:space="preserve"> en aquellos casos en los que no se trate de una notoria incompetencia. </w:t>
      </w:r>
    </w:p>
    <w:p w:rsidR="00000000" w:rsidDel="00000000" w:rsidP="00000000" w:rsidRDefault="00000000" w:rsidRPr="00000000" w14:paraId="00000059">
      <w:pPr>
        <w:tabs>
          <w:tab w:val="left" w:leader="none" w:pos="142"/>
          <w:tab w:val="left" w:leader="none" w:pos="284"/>
        </w:tabs>
        <w:spacing w:after="240" w:before="240" w:line="360" w:lineRule="auto"/>
        <w:jc w:val="both"/>
        <w:rPr>
          <w:rFonts w:ascii="Palatino Linotype" w:cs="Palatino Linotype" w:eastAsia="Palatino Linotype" w:hAnsi="Palatino Linotype"/>
          <w:sz w:val="22"/>
          <w:szCs w:val="22"/>
          <w:u w:val="single"/>
        </w:rPr>
      </w:pPr>
      <w:r w:rsidDel="00000000" w:rsidR="00000000" w:rsidRPr="00000000">
        <w:rPr>
          <w:rFonts w:ascii="Palatino Linotype" w:cs="Palatino Linotype" w:eastAsia="Palatino Linotype" w:hAnsi="Palatino Linotype"/>
          <w:sz w:val="22"/>
          <w:szCs w:val="22"/>
          <w:rtl w:val="0"/>
        </w:rPr>
        <w:t xml:space="preserve">Puesto que la Ley también prevé que dicho acuerdo no es necesario cuando la Unidad de Transparencia determine que la incompetencia es notoria dando un plazo de tres días hábiles para hacerlo del conocimiento de la persona solicitante.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Del="00000000" w:rsidR="00000000" w:rsidRPr="00000000">
        <w:rPr>
          <w:rFonts w:ascii="Palatino Linotype" w:cs="Palatino Linotype" w:eastAsia="Palatino Linotype" w:hAnsi="Palatino Linotype"/>
          <w:sz w:val="22"/>
          <w:szCs w:val="22"/>
          <w:u w:val="single"/>
          <w:rtl w:val="0"/>
        </w:rPr>
        <w:t xml:space="preserve">para su aprobación. </w:t>
      </w:r>
    </w:p>
    <w:p w:rsidR="00000000" w:rsidDel="00000000" w:rsidP="00000000" w:rsidRDefault="00000000" w:rsidRPr="00000000" w14:paraId="0000005A">
      <w:pPr>
        <w:tabs>
          <w:tab w:val="left" w:leader="none" w:pos="142"/>
          <w:tab w:val="left" w:leader="none" w:pos="284"/>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Como sustento de lo anterior, resulta aplicable el Criterio de Interpretación con Clave ce control SO/002/2020, emitido por el Instituto Nacional de Transparencia, Acceso a la Información, y Protección de Datos Personales, INAI, que lleva por rubro y texto los siguientes: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40" w:before="24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“Declaración de incompetencia por parte del Comité, cuando no sea notoria o manifiesta.</w:t>
      </w:r>
      <w:r w:rsidDel="00000000" w:rsidR="00000000" w:rsidRPr="00000000">
        <w:rPr>
          <w:rFonts w:ascii="Palatino Linotype" w:cs="Palatino Linotype" w:eastAsia="Palatino Linotype" w:hAnsi="Palatino Linotype"/>
          <w:i w:val="1"/>
          <w:iCs w:val="1"/>
          <w:sz w:val="22"/>
          <w:szCs w:val="22"/>
          <w:rtl w:val="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000000" w:rsidDel="00000000" w:rsidP="00000000" w:rsidRDefault="00000000" w:rsidRPr="00000000" w14:paraId="0000005C">
      <w:pPr>
        <w:tabs>
          <w:tab w:val="left" w:leader="none" w:pos="142"/>
          <w:tab w:val="left" w:leader="none" w:pos="284"/>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Del="00000000" w:rsidR="00000000" w:rsidRPr="00000000">
        <w:rPr>
          <w:rFonts w:ascii="Palatino Linotype" w:cs="Palatino Linotype" w:eastAsia="Palatino Linotype" w:hAnsi="Palatino Linotype"/>
          <w:b w:val="1"/>
          <w:bCs w:val="1"/>
          <w:sz w:val="22"/>
          <w:szCs w:val="22"/>
          <w:rtl w:val="0"/>
        </w:rPr>
        <w:t xml:space="preserve"> </w:t>
      </w:r>
      <w:r w:rsidDel="00000000" w:rsidR="00000000" w:rsidRPr="00000000">
        <w:rPr>
          <w:rFonts w:ascii="Palatino Linotype" w:cs="Palatino Linotype" w:eastAsia="Palatino Linotype" w:hAnsi="Palatino Linotype"/>
          <w:b w:val="1"/>
          <w:bCs w:val="1"/>
          <w:sz w:val="22"/>
          <w:szCs w:val="22"/>
          <w:u w:val="single"/>
          <w:rtl w:val="0"/>
        </w:rPr>
        <w:t xml:space="preserve">duda razonable sobre la administración del documento materia de la solicitud de información</w:t>
      </w:r>
      <w:r w:rsidDel="00000000" w:rsidR="00000000" w:rsidRPr="00000000">
        <w:rPr>
          <w:rFonts w:ascii="Palatino Linotype" w:cs="Palatino Linotype" w:eastAsia="Palatino Linotype" w:hAnsi="Palatino Linotype"/>
          <w:sz w:val="22"/>
          <w:szCs w:val="22"/>
          <w:rtl w:val="0"/>
        </w:rPr>
        <w:t xml:space="preserve">, como se lee enseguida:</w:t>
      </w:r>
    </w:p>
    <w:p w:rsidR="00000000" w:rsidDel="00000000" w:rsidP="00000000" w:rsidRDefault="00000000" w:rsidRPr="00000000" w14:paraId="0000005D">
      <w:pPr>
        <w:tabs>
          <w:tab w:val="left" w:leader="none" w:pos="1418"/>
        </w:tabs>
        <w:spacing w:after="120" w:before="120" w:lineRule="auto"/>
        <w:ind w:left="851" w:right="902" w:firstLine="0"/>
        <w:jc w:val="both"/>
        <w:rPr>
          <w:rFonts w:ascii="Palatino Linotype" w:cs="Palatino Linotype" w:eastAsia="Palatino Linotype" w:hAnsi="Palatino Linotype"/>
          <w:i w:val="1"/>
          <w:iCs w:val="1"/>
          <w:sz w:val="22"/>
          <w:szCs w:val="22"/>
        </w:rPr>
      </w:pPr>
      <w:r w:rsidDel="00000000" w:rsidR="00000000" w:rsidRPr="00000000">
        <w:rPr>
          <w:rFonts w:ascii="Palatino Linotype" w:cs="Palatino Linotype" w:eastAsia="Palatino Linotype" w:hAnsi="Palatino Linotype"/>
          <w:b w:val="1"/>
          <w:bCs w:val="1"/>
          <w:i w:val="1"/>
          <w:iCs w:val="1"/>
          <w:sz w:val="22"/>
          <w:szCs w:val="22"/>
          <w:rtl w:val="0"/>
        </w:rPr>
        <w:t xml:space="preserve">“DECLARATORIA DE INCOMPETENCIA DEL SUJETO OBLIGADO. SUPUESTO PARA CONFIRMARLA POR ACUERDO DEL COMITÉ DE TRANSPARENCIA. </w:t>
      </w:r>
      <w:r w:rsidDel="00000000" w:rsidR="00000000" w:rsidRPr="00000000">
        <w:rPr>
          <w:rFonts w:ascii="Palatino Linotype" w:cs="Palatino Linotype" w:eastAsia="Palatino Linotype" w:hAnsi="Palatino Linotype"/>
          <w:i w:val="1"/>
          <w:iCs w:val="1"/>
          <w:sz w:val="22"/>
          <w:szCs w:val="22"/>
          <w:rtl w:val="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Del="00000000" w:rsidR="00000000" w:rsidRPr="00000000">
        <w:rPr>
          <w:rFonts w:ascii="Palatino Linotype" w:cs="Palatino Linotype" w:eastAsia="Palatino Linotype" w:hAnsi="Palatino Linotype"/>
          <w:b w:val="1"/>
          <w:bCs w:val="1"/>
          <w:i w:val="1"/>
          <w:iCs w:val="1"/>
          <w:sz w:val="22"/>
          <w:szCs w:val="22"/>
          <w:rtl w:val="0"/>
        </w:rPr>
        <w:t xml:space="preserve">al ejercer el derecho de acceso a la información pública cabe la posibilidad de que existan atribuciones concurrentes entre dos o más Sujetos Obligados que </w:t>
      </w:r>
      <w:r w:rsidDel="00000000" w:rsidR="00000000" w:rsidRPr="00000000">
        <w:rPr>
          <w:rFonts w:ascii="Palatino Linotype" w:cs="Palatino Linotype" w:eastAsia="Palatino Linotype" w:hAnsi="Palatino Linotype"/>
          <w:b w:val="1"/>
          <w:bCs w:val="1"/>
          <w:i w:val="1"/>
          <w:iCs w:val="1"/>
          <w:sz w:val="22"/>
          <w:szCs w:val="22"/>
          <w:u w:val="single"/>
          <w:rtl w:val="0"/>
        </w:rPr>
        <w:t xml:space="preserve">impiden determinar dentro del término legal de tres días hábiles</w:t>
      </w:r>
      <w:r w:rsidDel="00000000" w:rsidR="00000000" w:rsidRPr="00000000">
        <w:rPr>
          <w:rFonts w:ascii="Palatino Linotype" w:cs="Palatino Linotype" w:eastAsia="Palatino Linotype" w:hAnsi="Palatino Linotype"/>
          <w:b w:val="1"/>
          <w:bCs w:val="1"/>
          <w:i w:val="1"/>
          <w:iCs w:val="1"/>
          <w:sz w:val="22"/>
          <w:szCs w:val="22"/>
          <w:rtl w:val="0"/>
        </w:rPr>
        <w:t xml:space="preserve">, si se posee o no la información por el Sujeto Obligado requerid</w:t>
      </w:r>
      <w:r w:rsidDel="00000000" w:rsidR="00000000" w:rsidRPr="00000000">
        <w:rPr>
          <w:rFonts w:ascii="Palatino Linotype" w:cs="Palatino Linotype" w:eastAsia="Palatino Linotype" w:hAnsi="Palatino Linotype"/>
          <w:i w:val="1"/>
          <w:iCs w:val="1"/>
          <w:sz w:val="22"/>
          <w:szCs w:val="22"/>
          <w:rtl w:val="0"/>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000000" w:rsidDel="00000000" w:rsidP="00000000" w:rsidRDefault="00000000" w:rsidRPr="00000000" w14:paraId="0000005E">
      <w:pPr>
        <w:tabs>
          <w:tab w:val="left" w:leader="none" w:pos="142"/>
          <w:tab w:val="left" w:leader="none" w:pos="284"/>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el caso particular, como ha quedado demostrado a lo largo del presente estudio, la incompetencia del Sujeto Obligado es notoria por lo tanto resulta innecesaria la emisión de una declaratoria formal de incompetencia a través del Comité de Transparencia.</w:t>
      </w:r>
    </w:p>
    <w:p w:rsidR="00000000" w:rsidDel="00000000" w:rsidP="00000000" w:rsidRDefault="00000000" w:rsidRPr="00000000" w14:paraId="0000005F">
      <w:pPr>
        <w:tabs>
          <w:tab w:val="left" w:leader="none" w:pos="142"/>
          <w:tab w:val="left" w:leader="none" w:pos="284"/>
        </w:tabs>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tales circunstancias, dado que 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informó de la notoria incompetencia para atender favorablemente la solicitud a la persona solicitante, asimismo le orientó  en su respuesta al Sujeto Obligado competente para generar, administrar o poseer la información que es de su interés concerniente al Sistema Municipal para el Desarrollo Integral de la Familia de Atenco, siendo de vital importancia señalar que la facultad de orientación a las personas solicitantes para que formulen su solicitud ante el Sujeto Obligado competente es potestativa; se concluye que motivos de inconformidad de la parte </w:t>
      </w:r>
      <w:r w:rsidDel="00000000" w:rsidR="00000000" w:rsidRPr="00000000">
        <w:rPr>
          <w:rFonts w:ascii="Palatino Linotype" w:cs="Palatino Linotype" w:eastAsia="Palatino Linotype" w:hAnsi="Palatino Linotype"/>
          <w:b w:val="1"/>
          <w:bCs w:val="1"/>
          <w:sz w:val="22"/>
          <w:szCs w:val="22"/>
          <w:rtl w:val="0"/>
        </w:rPr>
        <w:t xml:space="preserve">Recurrente </w:t>
      </w:r>
      <w:r w:rsidDel="00000000" w:rsidR="00000000" w:rsidRPr="00000000">
        <w:rPr>
          <w:rFonts w:ascii="Palatino Linotype" w:cs="Palatino Linotype" w:eastAsia="Palatino Linotype" w:hAnsi="Palatino Linotype"/>
          <w:sz w:val="22"/>
          <w:szCs w:val="22"/>
          <w:rtl w:val="0"/>
        </w:rPr>
        <w:t xml:space="preserve">son infundados, por lo que resulta procedente </w:t>
      </w:r>
      <w:r w:rsidDel="00000000" w:rsidR="00000000" w:rsidRPr="00000000">
        <w:rPr>
          <w:rFonts w:ascii="Palatino Linotype" w:cs="Palatino Linotype" w:eastAsia="Palatino Linotype" w:hAnsi="Palatino Linotype"/>
          <w:i w:val="1"/>
          <w:iCs w:val="1"/>
          <w:sz w:val="22"/>
          <w:szCs w:val="22"/>
          <w:rtl w:val="0"/>
        </w:rPr>
        <w:t xml:space="preserve">confirmar </w:t>
      </w:r>
      <w:r w:rsidDel="00000000" w:rsidR="00000000" w:rsidRPr="00000000">
        <w:rPr>
          <w:rFonts w:ascii="Palatino Linotype" w:cs="Palatino Linotype" w:eastAsia="Palatino Linotype" w:hAnsi="Palatino Linotype"/>
          <w:sz w:val="22"/>
          <w:szCs w:val="22"/>
          <w:rtl w:val="0"/>
        </w:rPr>
        <w:t xml:space="preserve">la respuesta proporcionada por el </w:t>
      </w:r>
      <w:r w:rsidDel="00000000" w:rsidR="00000000" w:rsidRPr="00000000">
        <w:rPr>
          <w:rFonts w:ascii="Palatino Linotype" w:cs="Palatino Linotype" w:eastAsia="Palatino Linotype" w:hAnsi="Palatino Linotype"/>
          <w:b w:val="1"/>
          <w:bCs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 términos del artículo 186 fracción II de la Ley de Transparencia y Acceso a la Información Pública del Estado de México y Municipios.</w:t>
      </w:r>
    </w:p>
    <w:p w:rsidR="00000000" w:rsidDel="00000000" w:rsidP="00000000" w:rsidRDefault="00000000" w:rsidRPr="00000000" w14:paraId="00000060">
      <w:pPr>
        <w:spacing w:after="240" w:before="240"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No obstante, se dejan a salvo sus derechos, para que en caso de así considerarlo conveniente a sus intereses, pueda formular una solicitud ante el Sujeto Obligado competente, es decir, el Sistema Municipal para el Desarrollo Integral de la Familia de Atenco, respecto de la información que este genere, administre y /o posea </w:t>
      </w:r>
      <w:r w:rsidDel="00000000" w:rsidR="00000000" w:rsidRPr="00000000">
        <w:rPr>
          <w:rFonts w:ascii="Palatino Linotype" w:cs="Palatino Linotype" w:eastAsia="Palatino Linotype" w:hAnsi="Palatino Linotype"/>
          <w:b w:val="1"/>
          <w:bCs w:val="1"/>
          <w:sz w:val="22"/>
          <w:szCs w:val="22"/>
          <w:u w:val="single"/>
          <w:rtl w:val="0"/>
        </w:rPr>
        <w:t xml:space="preserve">en el ejercicio de sus atribuciones y que obre en un soporte documental.</w:t>
      </w:r>
      <w:r w:rsidDel="00000000" w:rsidR="00000000" w:rsidRPr="00000000">
        <w:rPr>
          <w:rtl w:val="0"/>
        </w:rPr>
      </w:r>
    </w:p>
    <w:p w:rsidR="00000000" w:rsidDel="00000000" w:rsidP="00000000" w:rsidRDefault="00000000" w:rsidRPr="00000000" w14:paraId="00000061">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III. R E S U E L V E</w:t>
      </w:r>
    </w:p>
    <w:p w:rsidR="00000000" w:rsidDel="00000000" w:rsidP="00000000" w:rsidRDefault="00000000" w:rsidRPr="00000000" w14:paraId="00000063">
      <w:pPr>
        <w:spacing w:after="240" w:before="240" w:line="360" w:lineRule="auto"/>
        <w:jc w:val="both"/>
        <w:rPr>
          <w:rFonts w:ascii="Palatino Linotype" w:cs="Palatino Linotype" w:eastAsia="Palatino Linotype" w:hAnsi="Palatino Linotype"/>
          <w:sz w:val="22"/>
          <w:szCs w:val="22"/>
        </w:rPr>
      </w:pPr>
      <w:bookmarkStart w:colFirst="0" w:colLast="0" w:name="_heading=h.lnxbz9" w:id="9"/>
      <w:bookmarkEnd w:id="9"/>
      <w:r w:rsidDel="00000000" w:rsidR="00000000" w:rsidRPr="00000000">
        <w:rPr>
          <w:rFonts w:ascii="Palatino Linotype" w:cs="Palatino Linotype" w:eastAsia="Palatino Linotype" w:hAnsi="Palatino Linotype"/>
          <w:b w:val="1"/>
          <w:bCs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Son </w:t>
      </w:r>
      <w:r w:rsidDel="00000000" w:rsidR="00000000" w:rsidRPr="00000000">
        <w:rPr>
          <w:rFonts w:ascii="Palatino Linotype" w:cs="Palatino Linotype" w:eastAsia="Palatino Linotype" w:hAnsi="Palatino Linotype"/>
          <w:b w:val="1"/>
          <w:bCs w:val="1"/>
          <w:sz w:val="22"/>
          <w:szCs w:val="22"/>
          <w:rtl w:val="0"/>
        </w:rPr>
        <w:t xml:space="preserve">infundadas</w:t>
      </w:r>
      <w:r w:rsidDel="00000000" w:rsidR="00000000" w:rsidRPr="00000000">
        <w:rPr>
          <w:rFonts w:ascii="Palatino Linotype" w:cs="Palatino Linotype" w:eastAsia="Palatino Linotype" w:hAnsi="Palatino Linotype"/>
          <w:sz w:val="22"/>
          <w:szCs w:val="22"/>
          <w:rtl w:val="0"/>
        </w:rPr>
        <w:t xml:space="preserve"> las razones o motivos de inconformidad hechos valer por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el recurso de revisión </w:t>
      </w:r>
      <w:r w:rsidDel="00000000" w:rsidR="00000000" w:rsidRPr="00000000">
        <w:rPr>
          <w:rFonts w:ascii="Palatino Linotype" w:cs="Palatino Linotype" w:eastAsia="Palatino Linotype" w:hAnsi="Palatino Linotype"/>
          <w:b w:val="1"/>
          <w:bCs w:val="1"/>
          <w:sz w:val="22"/>
          <w:szCs w:val="22"/>
          <w:rtl w:val="0"/>
        </w:rPr>
        <w:t xml:space="preserve">13029/INFOEM/IP/RR/2025</w:t>
      </w:r>
      <w:r w:rsidDel="00000000" w:rsidR="00000000" w:rsidRPr="00000000">
        <w:rPr>
          <w:rFonts w:ascii="Palatino Linotype" w:cs="Palatino Linotype" w:eastAsia="Palatino Linotype" w:hAnsi="Palatino Linotype"/>
          <w:sz w:val="22"/>
          <w:szCs w:val="22"/>
          <w:rtl w:val="0"/>
        </w:rPr>
        <w:t xml:space="preserve">, por lo que, en términos de los argumentos de derecho señalados en el considerando </w:t>
      </w:r>
      <w:r w:rsidDel="00000000" w:rsidR="00000000" w:rsidRPr="00000000">
        <w:rPr>
          <w:rFonts w:ascii="Palatino Linotype" w:cs="Palatino Linotype" w:eastAsia="Palatino Linotype" w:hAnsi="Palatino Linotype"/>
          <w:b w:val="1"/>
          <w:bCs w:val="1"/>
          <w:sz w:val="22"/>
          <w:szCs w:val="22"/>
          <w:rtl w:val="0"/>
        </w:rPr>
        <w:t xml:space="preserve">Cuarto</w:t>
      </w:r>
      <w:r w:rsidDel="00000000" w:rsidR="00000000" w:rsidRPr="00000000">
        <w:rPr>
          <w:rFonts w:ascii="Palatino Linotype" w:cs="Palatino Linotype" w:eastAsia="Palatino Linotype" w:hAnsi="Palatino Linotype"/>
          <w:sz w:val="22"/>
          <w:szCs w:val="22"/>
          <w:rtl w:val="0"/>
        </w:rPr>
        <w:t xml:space="preserve">, se</w:t>
      </w:r>
      <w:r w:rsidDel="00000000" w:rsidR="00000000" w:rsidRPr="00000000">
        <w:rPr>
          <w:rFonts w:ascii="Palatino Linotype" w:cs="Palatino Linotype" w:eastAsia="Palatino Linotype" w:hAnsi="Palatino Linotype"/>
          <w:b w:val="1"/>
          <w:bCs w:val="1"/>
          <w:sz w:val="22"/>
          <w:szCs w:val="22"/>
          <w:rtl w:val="0"/>
        </w:rPr>
        <w:t xml:space="preserve"> Confirma </w:t>
      </w:r>
      <w:r w:rsidDel="00000000" w:rsidR="00000000" w:rsidRPr="00000000">
        <w:rPr>
          <w:rFonts w:ascii="Palatino Linotype" w:cs="Palatino Linotype" w:eastAsia="Palatino Linotype" w:hAnsi="Palatino Linotype"/>
          <w:sz w:val="22"/>
          <w:szCs w:val="22"/>
          <w:rtl w:val="0"/>
        </w:rPr>
        <w:t xml:space="preserve">la respuesta del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64">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Segundo. Notifíquese, </w:t>
      </w:r>
      <w:r w:rsidDel="00000000" w:rsidR="00000000" w:rsidRPr="00000000">
        <w:rPr>
          <w:rFonts w:ascii="Palatino Linotype" w:cs="Palatino Linotype" w:eastAsia="Palatino Linotype" w:hAnsi="Palatino Linotype"/>
          <w:sz w:val="22"/>
          <w:szCs w:val="22"/>
          <w:rtl w:val="0"/>
        </w:rPr>
        <w:t xml:space="preserve">vía </w:t>
      </w:r>
      <w:r w:rsidDel="00000000" w:rsidR="00000000" w:rsidRPr="00000000">
        <w:rPr>
          <w:rFonts w:ascii="Palatino Linotype" w:cs="Palatino Linotype" w:eastAsia="Palatino Linotype" w:hAnsi="Palatino Linotype"/>
          <w:b w:val="1"/>
          <w:bCs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al Titular de la Unidad de Transparencia del </w:t>
      </w:r>
      <w:r w:rsidDel="00000000" w:rsidR="00000000" w:rsidRPr="00000000">
        <w:rPr>
          <w:rFonts w:ascii="Palatino Linotype" w:cs="Palatino Linotype" w:eastAsia="Palatino Linotype" w:hAnsi="Palatino Linotype"/>
          <w:b w:val="1"/>
          <w:bCs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para su conocimiento, la presente resolución.</w:t>
      </w:r>
    </w:p>
    <w:p w:rsidR="00000000" w:rsidDel="00000000" w:rsidP="00000000" w:rsidRDefault="00000000" w:rsidRPr="00000000" w14:paraId="00000065">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bCs w:val="1"/>
          <w:sz w:val="22"/>
          <w:szCs w:val="22"/>
          <w:rtl w:val="0"/>
        </w:rPr>
        <w:t xml:space="preserve">Tercero.  Notifíquese, </w:t>
      </w:r>
      <w:r w:rsidDel="00000000" w:rsidR="00000000" w:rsidRPr="00000000">
        <w:rPr>
          <w:rFonts w:ascii="Palatino Linotype" w:cs="Palatino Linotype" w:eastAsia="Palatino Linotype" w:hAnsi="Palatino Linotype"/>
          <w:sz w:val="22"/>
          <w:szCs w:val="22"/>
          <w:rtl w:val="0"/>
        </w:rPr>
        <w:t xml:space="preserve">vía </w:t>
      </w:r>
      <w:r w:rsidDel="00000000" w:rsidR="00000000" w:rsidRPr="00000000">
        <w:rPr>
          <w:rFonts w:ascii="Palatino Linotype" w:cs="Palatino Linotype" w:eastAsia="Palatino Linotype" w:hAnsi="Palatino Linotype"/>
          <w:b w:val="1"/>
          <w:bCs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a la parte </w:t>
      </w:r>
      <w:r w:rsidDel="00000000" w:rsidR="00000000" w:rsidRPr="00000000">
        <w:rPr>
          <w:rFonts w:ascii="Palatino Linotype" w:cs="Palatino Linotype" w:eastAsia="Palatino Linotype" w:hAnsi="Palatino Linotype"/>
          <w:b w:val="1"/>
          <w:bCs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00000" w:rsidDel="00000000" w:rsidP="00000000" w:rsidRDefault="00000000" w:rsidRPr="00000000" w14:paraId="00000066">
      <w:pPr>
        <w:spacing w:after="240" w:before="240"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p>
    <w:p w:rsidR="00000000" w:rsidDel="00000000" w:rsidP="00000000" w:rsidRDefault="00000000" w:rsidRPr="00000000" w14:paraId="0000006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8">
      <w:pPr>
        <w:spacing w:line="360" w:lineRule="auto"/>
        <w:jc w:val="center"/>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E">
      <w:pPr>
        <w:spacing w:line="360" w:lineRule="auto"/>
        <w:jc w:val="both"/>
        <w:rPr>
          <w:rFonts w:ascii="Palatino Linotype" w:cs="Palatino Linotype" w:eastAsia="Palatino Linotype" w:hAnsi="Palatino Linotype"/>
          <w:sz w:val="22"/>
          <w:szCs w:val="22"/>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bCs w:val="1"/>
        <w:color w:val="000000"/>
        <w:sz w:val="20"/>
        <w:szCs w:val="20"/>
        <w:rtl w:val="0"/>
      </w:rPr>
      <w:t xml:space="preserve">Página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bCs w:val="1"/>
        <w:color w:val="000000"/>
        <w:sz w:val="20"/>
        <w:szCs w:val="20"/>
        <w:rtl w:val="0"/>
      </w:rPr>
      <w:t xml:space="preserve">Página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F">
      <w:pPr>
        <w:jc w:val="both"/>
        <w:rPr>
          <w:rFonts w:ascii="Palatino Linotype" w:cs="Palatino Linotype" w:eastAsia="Palatino Linotype" w:hAnsi="Palatino Linotype"/>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sz w:val="16"/>
          <w:szCs w:val="16"/>
          <w:rtl w:val="0"/>
        </w:rPr>
        <w:t xml:space="preserve"> CIENFUEGOS SALGADO David. El Derecho de Petición en México. Ed. Instituto de Investigaciones Jurídica UNAM. México 2004. p. 31</w:t>
      </w:r>
    </w:p>
  </w:footnote>
  <w:footnote w:id="1">
    <w:p w:rsidR="00000000" w:rsidDel="00000000" w:rsidP="00000000" w:rsidRDefault="00000000" w:rsidRPr="00000000" w14:paraId="00000080">
      <w:pPr>
        <w:jc w:val="both"/>
        <w:rPr>
          <w:rFonts w:ascii="Palatino Linotype" w:cs="Palatino Linotype" w:eastAsia="Palatino Linotype" w:hAnsi="Palatino Linotype"/>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sz w:val="16"/>
          <w:szCs w:val="16"/>
          <w:rtl w:val="0"/>
        </w:rPr>
        <w:t xml:space="preserve"> Carbonell, M. (2004). Los Derechos Fundamentales (Primera Edición ed.), México: Instituto de investigaciones Jurídicas.</w:t>
      </w:r>
    </w:p>
  </w:footnote>
  <w:footnote w:id="2">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6"/>
          <w:szCs w:val="16"/>
          <w:rtl w:val="0"/>
        </w:rPr>
        <w:t xml:space="preserve"> VILLANUEVA VILLANUEVA Ernesto, Derecho de la Información, Ed, Porrúa S.A., México. 2006, pág.270.</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-1080090</wp:posOffset>
          </wp:positionH>
          <wp:positionV relativeFrom="paragraph">
            <wp:posOffset>-488261</wp:posOffset>
          </wp:positionV>
          <wp:extent cx="7809865" cy="10165715"/>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83">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Recurso de Revisión:</w:t>
          </w:r>
        </w:p>
      </w:tc>
      <w:tc>
        <w:tcPr>
          <w:vAlign w:val="center"/>
        </w:tcPr>
        <w:p w:rsidR="00000000" w:rsidDel="00000000" w:rsidP="00000000" w:rsidRDefault="00000000" w:rsidRPr="00000000" w14:paraId="00000084">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13029/INFOEM/IP/RR/2025</w:t>
          </w:r>
        </w:p>
      </w:tc>
    </w:tr>
    <w:tr>
      <w:trPr>
        <w:cantSplit w:val="0"/>
        <w:trHeight w:val="228" w:hRule="atLeast"/>
        <w:tblHeader w:val="0"/>
      </w:trPr>
      <w:tc>
        <w:tcPr>
          <w:vAlign w:val="center"/>
        </w:tcPr>
        <w:p w:rsidR="00000000" w:rsidDel="00000000" w:rsidP="00000000" w:rsidRDefault="00000000" w:rsidRPr="00000000" w14:paraId="00000085">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Sujeto Obligado:</w:t>
          </w:r>
        </w:p>
      </w:tc>
      <w:tc>
        <w:tcPr>
          <w:vAlign w:val="center"/>
        </w:tcPr>
        <w:p w:rsidR="00000000" w:rsidDel="00000000" w:rsidP="00000000" w:rsidRDefault="00000000" w:rsidRPr="00000000" w14:paraId="00000086">
          <w:pPr>
            <w:ind w:left="-45" w:right="176" w:firstLine="0"/>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Ayuntamiento de Atenco</w:t>
          </w:r>
        </w:p>
      </w:tc>
    </w:tr>
    <w:tr>
      <w:trPr>
        <w:cantSplit w:val="0"/>
        <w:tblHeader w:val="0"/>
      </w:trPr>
      <w:tc>
        <w:tcPr>
          <w:vAlign w:val="center"/>
        </w:tcPr>
        <w:p w:rsidR="00000000" w:rsidDel="00000000" w:rsidP="00000000" w:rsidRDefault="00000000" w:rsidRPr="00000000" w14:paraId="00000087">
          <w:pPr>
            <w:ind w:right="-108"/>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Comisionada ponente:</w:t>
          </w:r>
        </w:p>
      </w:tc>
      <w:tc>
        <w:tcPr>
          <w:vAlign w:val="center"/>
        </w:tcPr>
        <w:p w:rsidR="00000000" w:rsidDel="00000000" w:rsidP="00000000" w:rsidRDefault="00000000" w:rsidRPr="00000000" w14:paraId="00000088">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Guadalupe Ramírez Peña</w:t>
          </w:r>
        </w:p>
      </w:tc>
    </w:tr>
  </w:tbl>
  <w:p w:rsidR="00000000" w:rsidDel="00000000" w:rsidP="00000000" w:rsidRDefault="00000000" w:rsidRPr="00000000" w14:paraId="00000089">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-369891</wp:posOffset>
          </wp:positionV>
          <wp:extent cx="7809865" cy="10165715"/>
          <wp:effectExtent b="0" l="0" r="0" t="0"/>
          <wp:wrapNone/>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8B">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Recurso de Revisión:</w:t>
          </w:r>
        </w:p>
      </w:tc>
      <w:tc>
        <w:tcPr>
          <w:vAlign w:val="center"/>
        </w:tcPr>
        <w:p w:rsidR="00000000" w:rsidDel="00000000" w:rsidP="00000000" w:rsidRDefault="00000000" w:rsidRPr="00000000" w14:paraId="0000008C">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13029/INFOEM/IP/RR/2025</w:t>
          </w:r>
        </w:p>
      </w:tc>
    </w:tr>
    <w:tr>
      <w:trPr>
        <w:cantSplit w:val="0"/>
        <w:tblHeader w:val="0"/>
      </w:trPr>
      <w:tc>
        <w:tcPr/>
        <w:p w:rsidR="00000000" w:rsidDel="00000000" w:rsidP="00000000" w:rsidRDefault="00000000" w:rsidRPr="00000000" w14:paraId="0000008D">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Recurrente</w:t>
          </w:r>
        </w:p>
      </w:tc>
      <w:tc>
        <w:tcPr>
          <w:vAlign w:val="center"/>
        </w:tcPr>
        <w:p w:rsidR="00000000" w:rsidDel="00000000" w:rsidP="00000000" w:rsidRDefault="00000000" w:rsidRPr="00000000" w14:paraId="0000008E">
          <w:pPr>
            <w:ind w:right="175"/>
            <w:jc w:val="both"/>
            <w:rPr>
              <w:rFonts w:ascii="Palatino Linotype" w:cs="Palatino Linotype" w:eastAsia="Palatino Linotype" w:hAnsi="Palatino Linotype"/>
              <w:b w:val="1"/>
              <w:bCs w:val="1"/>
              <w:sz w:val="22"/>
              <w:szCs w:val="22"/>
              <w:highlight w:val="yellow"/>
            </w:rPr>
          </w:pPr>
          <w:r w:rsidDel="00000000" w:rsidR="00000000" w:rsidRPr="00000000">
            <w:rPr>
              <w:rFonts w:ascii="Palatino Linotype" w:cs="Palatino Linotype" w:eastAsia="Palatino Linotype" w:hAnsi="Palatino Linotype"/>
              <w:b w:val="1"/>
              <w:bCs w:val="1"/>
              <w:sz w:val="22"/>
              <w:szCs w:val="22"/>
              <w:rtl w:val="0"/>
            </w:rPr>
            <w:t xml:space="preserve">XXXXXX XXXXXXXX</w:t>
          </w: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8F">
          <w:pPr>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Sujeto Obligado:</w:t>
          </w:r>
        </w:p>
      </w:tc>
      <w:tc>
        <w:tcPr>
          <w:vAlign w:val="center"/>
        </w:tcPr>
        <w:p w:rsidR="00000000" w:rsidDel="00000000" w:rsidP="00000000" w:rsidRDefault="00000000" w:rsidRPr="00000000" w14:paraId="00000090">
          <w:pPr>
            <w:ind w:left="-45" w:right="176" w:firstLine="0"/>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Ayuntamiento de Atenco</w:t>
          </w:r>
        </w:p>
      </w:tc>
    </w:tr>
    <w:tr>
      <w:trPr>
        <w:cantSplit w:val="0"/>
        <w:tblHeader w:val="0"/>
      </w:trPr>
      <w:tc>
        <w:tcPr>
          <w:vAlign w:val="center"/>
        </w:tcPr>
        <w:p w:rsidR="00000000" w:rsidDel="00000000" w:rsidP="00000000" w:rsidRDefault="00000000" w:rsidRPr="00000000" w14:paraId="00000091">
          <w:pPr>
            <w:ind w:right="-108"/>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Comisionada ponente:</w:t>
          </w:r>
        </w:p>
      </w:tc>
      <w:tc>
        <w:tcPr>
          <w:vAlign w:val="center"/>
        </w:tcPr>
        <w:p w:rsidR="00000000" w:rsidDel="00000000" w:rsidP="00000000" w:rsidRDefault="00000000" w:rsidRPr="00000000" w14:paraId="00000092">
          <w:pPr>
            <w:ind w:right="175"/>
            <w:jc w:val="both"/>
            <w:rPr>
              <w:rFonts w:ascii="Palatino Linotype" w:cs="Palatino Linotype" w:eastAsia="Palatino Linotype" w:hAnsi="Palatino Linotype"/>
              <w:b w:val="1"/>
              <w:bCs w:val="1"/>
              <w:sz w:val="22"/>
              <w:szCs w:val="22"/>
            </w:rPr>
          </w:pPr>
          <w:r w:rsidDel="00000000" w:rsidR="00000000" w:rsidRPr="00000000">
            <w:rPr>
              <w:rFonts w:ascii="Palatino Linotype" w:cs="Palatino Linotype" w:eastAsia="Palatino Linotype" w:hAnsi="Palatino Linotype"/>
              <w:b w:val="1"/>
              <w:bCs w:val="1"/>
              <w:sz w:val="22"/>
              <w:szCs w:val="22"/>
              <w:rtl w:val="0"/>
            </w:rPr>
            <w:t xml:space="preserve">Guadalupe Ramírez Peña</w:t>
          </w:r>
        </w:p>
      </w:tc>
    </w:tr>
  </w:tbl>
  <w:p w:rsidR="00000000" w:rsidDel="00000000" w:rsidP="00000000" w:rsidRDefault="00000000" w:rsidRPr="00000000" w14:paraId="0000009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i w:val="0"/>
        <w:iCs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bCs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bCs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bCs w:val="1"/>
      <w:i w:val="1"/>
      <w:iCs w:val="1"/>
      <w:sz w:val="26"/>
      <w:szCs w:val="26"/>
    </w:rPr>
  </w:style>
  <w:style w:type="paragraph" w:styleId="Heading6">
    <w:name w:val="heading 6"/>
    <w:basedOn w:val="Normal"/>
    <w:next w:val="Normal"/>
    <w:pPr>
      <w:spacing w:after="60" w:before="240" w:lineRule="auto"/>
      <w:ind w:left="4320" w:hanging="720"/>
    </w:pPr>
    <w:rPr>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a" w:customStyle="1">
    <w:basedOn w:val="TableNormalf1"/>
    <w:tblPr>
      <w:tblStyleRowBandSize w:val="1"/>
      <w:tblStyleColBandSize w:val="1"/>
      <w:tblCellMar>
        <w:left w:w="115.0" w:type="dxa"/>
        <w:right w:w="115.0" w:type="dxa"/>
      </w:tblCellMar>
    </w:tblPr>
  </w:style>
  <w:style w:type="table" w:styleId="a0" w:customStyle="1">
    <w:basedOn w:val="TableNormalf1"/>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0D197B"/>
    <w:pPr>
      <w:tabs>
        <w:tab w:val="center" w:pos="4419"/>
        <w:tab w:val="right" w:pos="8838"/>
      </w:tabs>
    </w:pPr>
  </w:style>
  <w:style w:type="character" w:styleId="EncabezadoCar" w:customStyle="1">
    <w:name w:val="Encabezado Car"/>
    <w:basedOn w:val="Fuentedeprrafopredeter"/>
    <w:link w:val="Encabezado"/>
    <w:uiPriority w:val="99"/>
    <w:rsid w:val="000D197B"/>
  </w:style>
  <w:style w:type="paragraph" w:styleId="Piedepgina">
    <w:name w:val="footer"/>
    <w:basedOn w:val="Normal"/>
    <w:link w:val="PiedepginaCar"/>
    <w:uiPriority w:val="99"/>
    <w:unhideWhenUsed w:val="1"/>
    <w:rsid w:val="000D197B"/>
    <w:pPr>
      <w:tabs>
        <w:tab w:val="center" w:pos="4419"/>
        <w:tab w:val="right" w:pos="8838"/>
      </w:tabs>
    </w:pPr>
  </w:style>
  <w:style w:type="character" w:styleId="PiedepginaCar" w:customStyle="1">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val="1"/>
    <w:rsid w:val="00C43334"/>
    <w:pPr>
      <w:ind w:left="720"/>
      <w:contextualSpacing w:val="1"/>
    </w:pPr>
  </w:style>
  <w:style w:type="paragraph" w:styleId="NormalWeb">
    <w:name w:val="Normal (Web)"/>
    <w:basedOn w:val="Normal"/>
    <w:uiPriority w:val="99"/>
    <w:unhideWhenUsed w:val="1"/>
    <w:rsid w:val="00476335"/>
    <w:pPr>
      <w:spacing w:after="100" w:afterAutospacing="1" w:before="100" w:before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806B5C"/>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val="1"/>
    <w:rsid w:val="00806B5C"/>
    <w:rPr>
      <w:rFonts w:asciiTheme="minorHAnsi" w:cstheme="minorBidi" w:eastAsiaTheme="minorHAnsi" w:hAnsiTheme="minorHAns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806B5C"/>
    <w:rPr>
      <w:vertAlign w:val="superscript"/>
    </w:rPr>
  </w:style>
  <w:style w:type="table" w:styleId="a1" w:customStyle="1">
    <w:basedOn w:val="TableNormalf1"/>
    <w:tblPr>
      <w:tblStyleRowBandSize w:val="1"/>
      <w:tblStyleColBandSize w:val="1"/>
      <w:tblCellMar>
        <w:left w:w="115.0" w:type="dxa"/>
        <w:right w:w="115.0" w:type="dxa"/>
      </w:tblCellMar>
    </w:tblPr>
  </w:style>
  <w:style w:type="table" w:styleId="a2" w:customStyle="1">
    <w:basedOn w:val="TableNormalf1"/>
    <w:tblPr>
      <w:tblStyleRowBandSize w:val="1"/>
      <w:tblStyleColBandSize w:val="1"/>
      <w:tblCellMar>
        <w:left w:w="115.0" w:type="dxa"/>
        <w:right w:w="115.0" w:type="dxa"/>
      </w:tblCellMar>
    </w:tblPr>
  </w:style>
  <w:style w:type="character" w:styleId="Hipervnculo">
    <w:name w:val="Hyperlink"/>
    <w:basedOn w:val="Fuentedeprrafopredeter"/>
    <w:uiPriority w:val="99"/>
    <w:unhideWhenUsed w:val="1"/>
    <w:rsid w:val="00504D6C"/>
    <w:rPr>
      <w:color w:val="0000ff" w:themeColor="hyperlink"/>
      <w:u w:val="single"/>
    </w:rPr>
  </w:style>
  <w:style w:type="character" w:styleId="Hipervnculovisitado">
    <w:name w:val="FollowedHyperlink"/>
    <w:basedOn w:val="Fuentedeprrafopredeter"/>
    <w:uiPriority w:val="99"/>
    <w:semiHidden w:val="1"/>
    <w:unhideWhenUsed w:val="1"/>
    <w:rsid w:val="00504D6C"/>
    <w:rPr>
      <w:color w:val="800080" w:themeColor="followedHyperlink"/>
      <w:u w:val="single"/>
    </w:rPr>
  </w:style>
  <w:style w:type="table" w:styleId="Tablaconcuadrcula">
    <w:name w:val="Table Grid"/>
    <w:basedOn w:val="Tablanormal"/>
    <w:uiPriority w:val="39"/>
    <w:rsid w:val="00134A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3" w:customStyle="1">
    <w:basedOn w:val="TableNormalf0"/>
    <w:tblPr>
      <w:tblStyleRowBandSize w:val="1"/>
      <w:tblStyleColBandSize w:val="1"/>
      <w:tblCellMar>
        <w:left w:w="115.0" w:type="dxa"/>
        <w:right w:w="115.0" w:type="dxa"/>
      </w:tblCellMar>
    </w:tblPr>
  </w:style>
  <w:style w:type="table" w:styleId="a4" w:customStyle="1">
    <w:basedOn w:val="TableNormalf0"/>
    <w:tblPr>
      <w:tblStyleRowBandSize w:val="1"/>
      <w:tblStyleColBandSize w:val="1"/>
      <w:tblCellMar>
        <w:left w:w="115.0" w:type="dxa"/>
        <w:right w:w="115.0" w:type="dxa"/>
      </w:tblCellMar>
    </w:tblPr>
  </w:style>
  <w:style w:type="paragraph" w:styleId="Listaconvietas3">
    <w:name w:val="List Bullet 3"/>
    <w:basedOn w:val="Normal"/>
    <w:uiPriority w:val="99"/>
    <w:unhideWhenUsed w:val="1"/>
    <w:rsid w:val="005E017B"/>
    <w:pPr>
      <w:numPr>
        <w:numId w:val="1"/>
      </w:numPr>
      <w:contextualSpacing w:val="1"/>
    </w:pPr>
  </w:style>
  <w:style w:type="character" w:styleId="yt-core-attributed-string--link-inherit-color" w:customStyle="1">
    <w:name w:val="yt-core-attributed-string--link-inherit-color"/>
    <w:basedOn w:val="Fuentedeprrafopredeter"/>
    <w:rsid w:val="00EA0BEF"/>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val="1"/>
    <w:locked w:val="1"/>
    <w:rsid w:val="00452086"/>
  </w:style>
  <w:style w:type="character" w:styleId="Mencinsinresolver1" w:customStyle="1">
    <w:name w:val="Mención sin resolver1"/>
    <w:basedOn w:val="Fuentedeprrafopredeter"/>
    <w:uiPriority w:val="99"/>
    <w:semiHidden w:val="1"/>
    <w:unhideWhenUsed w:val="1"/>
    <w:rsid w:val="00C64B15"/>
    <w:rPr>
      <w:color w:val="605e5c"/>
      <w:shd w:color="auto" w:fill="e1dfdd" w:val="clear"/>
    </w:rPr>
  </w:style>
  <w:style w:type="paragraph" w:styleId="Default" w:customStyle="1">
    <w:name w:val="Default"/>
    <w:rsid w:val="00B92077"/>
    <w:pPr>
      <w:autoSpaceDE w:val="0"/>
      <w:autoSpaceDN w:val="0"/>
      <w:adjustRightInd w:val="0"/>
    </w:pPr>
    <w:rPr>
      <w:rFonts w:ascii="Arial" w:cs="Arial" w:hAnsi="Arial"/>
      <w:color w:val="000000"/>
    </w:rPr>
  </w:style>
  <w:style w:type="character" w:styleId="Mencinsinresolver2" w:customStyle="1">
    <w:name w:val="Mención sin resolver2"/>
    <w:basedOn w:val="Fuentedeprrafopredeter"/>
    <w:uiPriority w:val="99"/>
    <w:semiHidden w:val="1"/>
    <w:unhideWhenUsed w:val="1"/>
    <w:rsid w:val="00251B93"/>
    <w:rPr>
      <w:color w:val="605e5c"/>
      <w:shd w:color="auto" w:fill="e1dfdd" w:val="clear"/>
    </w:rPr>
  </w:style>
  <w:style w:type="paragraph" w:styleId="Textodeglobo">
    <w:name w:val="Balloon Text"/>
    <w:basedOn w:val="Normal"/>
    <w:link w:val="TextodegloboCar"/>
    <w:uiPriority w:val="99"/>
    <w:semiHidden w:val="1"/>
    <w:unhideWhenUsed w:val="1"/>
    <w:rsid w:val="00DD0D64"/>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D0D64"/>
    <w:rPr>
      <w:rFonts w:ascii="Segoe UI" w:cs="Segoe UI" w:hAnsi="Segoe UI"/>
      <w:sz w:val="18"/>
      <w:szCs w:val="18"/>
    </w:rPr>
  </w:style>
  <w:style w:type="paragraph" w:styleId="Sinespaciado">
    <w:name w:val="No Spacing"/>
    <w:aliases w:val="Francesa"/>
    <w:link w:val="SinespaciadoCar"/>
    <w:uiPriority w:val="1"/>
    <w:qFormat w:val="1"/>
    <w:rsid w:val="000D0148"/>
    <w:rPr>
      <w:rFonts w:asciiTheme="minorHAnsi" w:cstheme="minorBidi" w:eastAsiaTheme="minorHAnsi" w:hAnsiTheme="minorHAnsi"/>
      <w:sz w:val="22"/>
      <w:szCs w:val="22"/>
      <w:lang w:eastAsia="en-US"/>
    </w:rPr>
  </w:style>
  <w:style w:type="character" w:styleId="SinespaciadoCar" w:customStyle="1">
    <w:name w:val="Sin espaciado Car"/>
    <w:aliases w:val="Francesa Car"/>
    <w:link w:val="Sinespaciado"/>
    <w:uiPriority w:val="1"/>
    <w:locked w:val="1"/>
    <w:rsid w:val="000D0148"/>
    <w:rPr>
      <w:rFonts w:asciiTheme="minorHAnsi" w:cstheme="minorBidi" w:eastAsiaTheme="minorHAnsi" w:hAnsiTheme="minorHAnsi"/>
      <w:sz w:val="22"/>
      <w:szCs w:val="22"/>
      <w:lang w:eastAsia="en-US"/>
    </w:rPr>
  </w:style>
  <w:style w:type="paragraph" w:styleId="rtejustify" w:customStyle="1">
    <w:name w:val="rtejustify"/>
    <w:basedOn w:val="Normal"/>
    <w:rsid w:val="00876EB7"/>
    <w:pPr>
      <w:spacing w:after="100" w:afterAutospacing="1" w:before="100" w:beforeAutospacing="1"/>
    </w:pPr>
  </w:style>
  <w:style w:type="table" w:styleId="a5" w:customStyle="1">
    <w:basedOn w:val="TableNormalf"/>
    <w:tblPr>
      <w:tblStyleRowBandSize w:val="1"/>
      <w:tblStyleColBandSize w:val="1"/>
      <w:tblCellMar>
        <w:left w:w="108.0" w:type="dxa"/>
        <w:right w:w="108.0" w:type="dxa"/>
      </w:tblCellMar>
    </w:tblPr>
  </w:style>
  <w:style w:type="table" w:styleId="a6" w:customStyle="1">
    <w:basedOn w:val="TableNormalf"/>
    <w:tblPr>
      <w:tblStyleRowBandSize w:val="1"/>
      <w:tblStyleColBandSize w:val="1"/>
      <w:tblCellMar>
        <w:left w:w="108.0" w:type="dxa"/>
        <w:right w:w="108.0" w:type="dxa"/>
      </w:tblCellMar>
    </w:tblPr>
  </w:style>
  <w:style w:type="table" w:styleId="a7" w:customStyle="1">
    <w:basedOn w:val="TableNormalf"/>
    <w:tblPr>
      <w:tblStyleRowBandSize w:val="1"/>
      <w:tblStyleColBandSize w:val="1"/>
      <w:tblCellMar>
        <w:left w:w="108.0" w:type="dxa"/>
        <w:right w:w="108.0" w:type="dxa"/>
      </w:tblCellMar>
    </w:tblPr>
  </w:style>
  <w:style w:type="table" w:styleId="a8" w:customStyle="1">
    <w:basedOn w:val="TableNormalf"/>
    <w:tblPr>
      <w:tblStyleRowBandSize w:val="1"/>
      <w:tblStyleColBandSize w:val="1"/>
      <w:tblCellMar>
        <w:left w:w="108.0" w:type="dxa"/>
        <w:right w:w="108.0" w:type="dxa"/>
      </w:tblCellMar>
    </w:tblPr>
  </w:style>
  <w:style w:type="table" w:styleId="a9" w:customStyle="1">
    <w:basedOn w:val="TableNormalf"/>
    <w:tblPr>
      <w:tblStyleRowBandSize w:val="1"/>
      <w:tblStyleColBandSize w:val="1"/>
      <w:tblCellMar>
        <w:left w:w="108.0" w:type="dxa"/>
        <w:right w:w="108.0" w:type="dxa"/>
      </w:tblCellMar>
    </w:tblPr>
  </w:style>
  <w:style w:type="table" w:styleId="aa" w:customStyle="1">
    <w:basedOn w:val="TableNormalf"/>
    <w:tblPr>
      <w:tblStyleRowBandSize w:val="1"/>
      <w:tblStyleColBandSize w:val="1"/>
      <w:tblCellMar>
        <w:left w:w="115.0" w:type="dxa"/>
        <w:right w:w="115.0" w:type="dxa"/>
      </w:tblCellMar>
    </w:tblPr>
  </w:style>
  <w:style w:type="table" w:styleId="ab" w:customStyle="1">
    <w:basedOn w:val="TableNormalf"/>
    <w:tblPr>
      <w:tblStyleRowBandSize w:val="1"/>
      <w:tblStyleColBandSize w:val="1"/>
      <w:tblCellMar>
        <w:left w:w="115.0" w:type="dxa"/>
        <w:right w:w="115.0" w:type="dxa"/>
      </w:tblCellMar>
    </w:tblPr>
  </w:style>
  <w:style w:type="table" w:styleId="ac" w:customStyle="1">
    <w:basedOn w:val="TableNormale"/>
    <w:tblPr>
      <w:tblStyleRowBandSize w:val="1"/>
      <w:tblStyleColBandSize w:val="1"/>
      <w:tblCellMar>
        <w:left w:w="108.0" w:type="dxa"/>
        <w:right w:w="108.0" w:type="dxa"/>
      </w:tblCellMar>
    </w:tblPr>
  </w:style>
  <w:style w:type="table" w:styleId="ad" w:customStyle="1">
    <w:basedOn w:val="TableNormale"/>
    <w:tblPr>
      <w:tblStyleRowBandSize w:val="1"/>
      <w:tblStyleColBandSize w:val="1"/>
      <w:tblCellMar>
        <w:left w:w="115.0" w:type="dxa"/>
        <w:right w:w="115.0" w:type="dxa"/>
      </w:tblCellMar>
    </w:tblPr>
  </w:style>
  <w:style w:type="table" w:styleId="ae" w:customStyle="1">
    <w:basedOn w:val="TableNormale"/>
    <w:tblPr>
      <w:tblStyleRowBandSize w:val="1"/>
      <w:tblStyleColBandSize w:val="1"/>
      <w:tblCellMar>
        <w:left w:w="115.0" w:type="dxa"/>
        <w:right w:w="115.0" w:type="dxa"/>
      </w:tblCellMar>
    </w:tblPr>
  </w:style>
  <w:style w:type="table" w:styleId="af" w:customStyle="1">
    <w:basedOn w:val="TableNormald"/>
    <w:tblPr>
      <w:tblStyleRowBandSize w:val="1"/>
      <w:tblStyleColBandSize w:val="1"/>
      <w:tblCellMar>
        <w:left w:w="115.0" w:type="dxa"/>
        <w:right w:w="115.0" w:type="dxa"/>
      </w:tblCellMar>
    </w:tblPr>
  </w:style>
  <w:style w:type="table" w:styleId="af0" w:customStyle="1">
    <w:basedOn w:val="TableNormald"/>
    <w:tblPr>
      <w:tblStyleRowBandSize w:val="1"/>
      <w:tblStyleColBandSize w:val="1"/>
      <w:tblCellMar>
        <w:left w:w="115.0" w:type="dxa"/>
        <w:right w:w="115.0" w:type="dxa"/>
      </w:tblCellMar>
    </w:tblPr>
  </w:style>
  <w:style w:type="table" w:styleId="af1" w:customStyle="1">
    <w:basedOn w:val="TableNormald"/>
    <w:tblPr>
      <w:tblStyleRowBandSize w:val="1"/>
      <w:tblStyleColBandSize w:val="1"/>
      <w:tblCellMar>
        <w:left w:w="115.0" w:type="dxa"/>
        <w:right w:w="115.0" w:type="dxa"/>
      </w:tblCellMar>
    </w:tblPr>
  </w:style>
  <w:style w:type="table" w:styleId="af2" w:customStyle="1">
    <w:basedOn w:val="TableNormalc"/>
    <w:tblPr>
      <w:tblStyleRowBandSize w:val="1"/>
      <w:tblStyleColBandSize w:val="1"/>
      <w:tblCellMar>
        <w:left w:w="115.0" w:type="dxa"/>
        <w:right w:w="115.0" w:type="dxa"/>
      </w:tblCellMar>
    </w:tblPr>
  </w:style>
  <w:style w:type="table" w:styleId="af3" w:customStyle="1">
    <w:basedOn w:val="TableNormalc"/>
    <w:tblPr>
      <w:tblStyleRowBandSize w:val="1"/>
      <w:tblStyleColBandSize w:val="1"/>
      <w:tblCellMar>
        <w:left w:w="115.0" w:type="dxa"/>
        <w:right w:w="115.0" w:type="dxa"/>
      </w:tblCellMar>
    </w:tblPr>
  </w:style>
  <w:style w:type="table" w:styleId="af4" w:customStyle="1">
    <w:basedOn w:val="TableNormalb"/>
    <w:tblPr>
      <w:tblStyleRowBandSize w:val="1"/>
      <w:tblStyleColBandSize w:val="1"/>
      <w:tblCellMar>
        <w:left w:w="115.0" w:type="dxa"/>
        <w:right w:w="115.0" w:type="dxa"/>
      </w:tblCellMar>
    </w:tblPr>
  </w:style>
  <w:style w:type="table" w:styleId="af5" w:customStyle="1">
    <w:basedOn w:val="TableNormalb"/>
    <w:tblPr>
      <w:tblStyleRowBandSize w:val="1"/>
      <w:tblStyleColBandSize w:val="1"/>
      <w:tblCellMar>
        <w:left w:w="115.0" w:type="dxa"/>
        <w:right w:w="115.0" w:type="dxa"/>
      </w:tblCellMar>
    </w:tblPr>
  </w:style>
  <w:style w:type="table" w:styleId="af6" w:customStyle="1">
    <w:basedOn w:val="TableNormala"/>
    <w:tblPr>
      <w:tblStyleRowBandSize w:val="1"/>
      <w:tblStyleColBandSize w:val="1"/>
      <w:tblCellMar>
        <w:left w:w="115.0" w:type="dxa"/>
        <w:right w:w="115.0" w:type="dxa"/>
      </w:tblCellMar>
    </w:tblPr>
  </w:style>
  <w:style w:type="table" w:styleId="af7" w:customStyle="1">
    <w:basedOn w:val="TableNormala"/>
    <w:tblPr>
      <w:tblStyleRowBandSize w:val="1"/>
      <w:tblStyleColBandSize w:val="1"/>
      <w:tblCellMar>
        <w:left w:w="115.0" w:type="dxa"/>
        <w:right w:w="115.0" w:type="dxa"/>
      </w:tblCellMar>
    </w:tblPr>
  </w:style>
  <w:style w:type="character" w:styleId="Textoennegrita">
    <w:name w:val="Strong"/>
    <w:basedOn w:val="Fuentedeprrafopredeter"/>
    <w:uiPriority w:val="22"/>
    <w:qFormat w:val="1"/>
    <w:rsid w:val="002C02D7"/>
    <w:rPr>
      <w:b w:val="1"/>
      <w:bCs w:val="1"/>
    </w:rPr>
  </w:style>
  <w:style w:type="character" w:styleId="object" w:customStyle="1">
    <w:name w:val="object"/>
    <w:basedOn w:val="Fuentedeprrafopredeter"/>
    <w:rsid w:val="002C02D7"/>
  </w:style>
  <w:style w:type="table" w:styleId="af8" w:customStyle="1">
    <w:basedOn w:val="TableNormal9"/>
    <w:tblPr>
      <w:tblStyleRowBandSize w:val="1"/>
      <w:tblStyleColBandSize w:val="1"/>
      <w:tblCellMar>
        <w:left w:w="115.0" w:type="dxa"/>
        <w:right w:w="115.0" w:type="dxa"/>
      </w:tblCellMar>
    </w:tblPr>
  </w:style>
  <w:style w:type="table" w:styleId="af9" w:customStyle="1">
    <w:basedOn w:val="TableNormal9"/>
    <w:tblPr>
      <w:tblStyleRowBandSize w:val="1"/>
      <w:tblStyleColBandSize w:val="1"/>
      <w:tblCellMar>
        <w:left w:w="115.0" w:type="dxa"/>
        <w:right w:w="115.0" w:type="dxa"/>
      </w:tblCellMar>
    </w:tblPr>
  </w:style>
  <w:style w:type="table" w:styleId="afa" w:customStyle="1">
    <w:basedOn w:val="TableNormal8"/>
    <w:tblPr>
      <w:tblStyleRowBandSize w:val="1"/>
      <w:tblStyleColBandSize w:val="1"/>
      <w:tblCellMar>
        <w:left w:w="115.0" w:type="dxa"/>
        <w:right w:w="115.0" w:type="dxa"/>
      </w:tblCellMar>
    </w:tblPr>
  </w:style>
  <w:style w:type="table" w:styleId="afb" w:customStyle="1">
    <w:basedOn w:val="TableNormal8"/>
    <w:tblPr>
      <w:tblStyleRowBandSize w:val="1"/>
      <w:tblStyleColBandSize w:val="1"/>
      <w:tblCellMar>
        <w:left w:w="115.0" w:type="dxa"/>
        <w:right w:w="115.0" w:type="dxa"/>
      </w:tblCellMar>
    </w:tblPr>
  </w:style>
  <w:style w:type="table" w:styleId="afc" w:customStyle="1">
    <w:basedOn w:val="TableNormal7"/>
    <w:tblPr>
      <w:tblStyleRowBandSize w:val="1"/>
      <w:tblStyleColBandSize w:val="1"/>
      <w:tblCellMar>
        <w:left w:w="115.0" w:type="dxa"/>
        <w:right w:w="115.0" w:type="dxa"/>
      </w:tblCellMar>
    </w:tblPr>
  </w:style>
  <w:style w:type="table" w:styleId="afd" w:customStyle="1">
    <w:basedOn w:val="TableNormal7"/>
    <w:tblPr>
      <w:tblStyleRowBandSize w:val="1"/>
      <w:tblStyleColBandSize w:val="1"/>
      <w:tblCellMar>
        <w:left w:w="115.0" w:type="dxa"/>
        <w:right w:w="115.0" w:type="dxa"/>
      </w:tblCellMar>
    </w:tblPr>
  </w:style>
  <w:style w:type="table" w:styleId="afe" w:customStyle="1">
    <w:basedOn w:val="TableNormal6"/>
    <w:tblPr>
      <w:tblStyleRowBandSize w:val="1"/>
      <w:tblStyleColBandSize w:val="1"/>
      <w:tblCellMar>
        <w:left w:w="115.0" w:type="dxa"/>
        <w:right w:w="115.0" w:type="dxa"/>
      </w:tblCellMar>
    </w:tblPr>
  </w:style>
  <w:style w:type="table" w:styleId="aff" w:customStyle="1">
    <w:basedOn w:val="TableNormal6"/>
    <w:tblPr>
      <w:tblStyleRowBandSize w:val="1"/>
      <w:tblStyleColBandSize w:val="1"/>
      <w:tblCellMar>
        <w:left w:w="115.0" w:type="dxa"/>
        <w:right w:w="115.0" w:type="dxa"/>
      </w:tblCellMar>
    </w:tblPr>
  </w:style>
  <w:style w:type="table" w:styleId="aff0" w:customStyle="1">
    <w:basedOn w:val="TableNormal5"/>
    <w:tblPr>
      <w:tblStyleRowBandSize w:val="1"/>
      <w:tblStyleColBandSize w:val="1"/>
      <w:tblCellMar>
        <w:left w:w="115.0" w:type="dxa"/>
        <w:right w:w="115.0" w:type="dxa"/>
      </w:tblCellMar>
    </w:tblPr>
  </w:style>
  <w:style w:type="table" w:styleId="aff1" w:customStyle="1">
    <w:basedOn w:val="TableNormal5"/>
    <w:tblPr>
      <w:tblStyleRowBandSize w:val="1"/>
      <w:tblStyleColBandSize w:val="1"/>
      <w:tblCellMar>
        <w:left w:w="115.0" w:type="dxa"/>
        <w:right w:w="115.0" w:type="dxa"/>
      </w:tblCellMar>
    </w:tblPr>
  </w:style>
  <w:style w:type="table" w:styleId="aff2" w:customStyle="1">
    <w:basedOn w:val="TableNormal4"/>
    <w:tblPr>
      <w:tblStyleRowBandSize w:val="1"/>
      <w:tblStyleColBandSize w:val="1"/>
      <w:tblCellMar>
        <w:left w:w="115.0" w:type="dxa"/>
        <w:right w:w="115.0" w:type="dxa"/>
      </w:tblCellMar>
    </w:tblPr>
  </w:style>
  <w:style w:type="table" w:styleId="aff3" w:customStyle="1">
    <w:basedOn w:val="TableNormal4"/>
    <w:tblPr>
      <w:tblStyleRowBandSize w:val="1"/>
      <w:tblStyleColBandSize w:val="1"/>
      <w:tblCellMar>
        <w:left w:w="115.0" w:type="dxa"/>
        <w:right w:w="115.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left w:w="115.0" w:type="dxa"/>
        <w:right w:w="115.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tblPr>
      <w:tblStyleRowBandSize w:val="1"/>
      <w:tblStyleColBandSize w:val="1"/>
      <w:tblCellMar>
        <w:left w:w="115.0" w:type="dxa"/>
        <w:right w:w="115.0" w:type="dxa"/>
      </w:tblCellMar>
    </w:tblPr>
  </w:style>
  <w:style w:type="table" w:styleId="aff8" w:customStyle="1">
    <w:basedOn w:val="TableNormal1"/>
    <w:tblPr>
      <w:tblStyleRowBandSize w:val="1"/>
      <w:tblStyleColBandSize w:val="1"/>
      <w:tblCellMar>
        <w:left w:w="115.0" w:type="dxa"/>
        <w:right w:w="115.0" w:type="dxa"/>
      </w:tblCellMar>
    </w:tblPr>
  </w:style>
  <w:style w:type="table" w:styleId="aff9" w:customStyle="1">
    <w:basedOn w:val="TableNormal1"/>
    <w:tblPr>
      <w:tblStyleRowBandSize w:val="1"/>
      <w:tblStyleColBandSize w:val="1"/>
      <w:tblCellMar>
        <w:left w:w="115.0" w:type="dxa"/>
        <w:right w:w="115.0" w:type="dxa"/>
      </w:tblCellMar>
    </w:tblPr>
  </w:style>
  <w:style w:type="table" w:styleId="affa" w:customStyle="1">
    <w:basedOn w:val="TableNormal0"/>
    <w:tblPr>
      <w:tblStyleRowBandSize w:val="1"/>
      <w:tblStyleColBandSize w:val="1"/>
      <w:tblCellMar>
        <w:left w:w="115.0" w:type="dxa"/>
        <w:right w:w="115.0" w:type="dxa"/>
      </w:tblCellMar>
    </w:tblPr>
  </w:style>
  <w:style w:type="table" w:styleId="affb"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zfAI8SrXGxXiWWmbE7Mhjq4A==">CgMxLjAyCWguM3JkY3JqbjIOaC5kYWozajJ4bzZxNjYyCGguZ2pkZ3hzMgloLjNkeTZ2a20yDmguYjhhcTN5NWswODJnMgloLjMwajB6bGwyCWguMnM4ZXlvMTIIaC50eWpjd3QyCWguMmV0OTJwMDIIaC5sbnhiejk4AHIhMTEybzhHalFyUW5IMjlLRXdNS2dvdWdwYVJxSmlzZUZQ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2026-03-18T23:19:00Z</dcterms:created>
  <dc:creator>USUARIO</dc:creator>
</cp:coreProperties>
</file>