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234E" w:rsidRDefault="006E4B40">
      <w:pPr>
        <w:spacing w:line="360" w:lineRule="auto"/>
        <w:ind w:right="49" w:hanging="2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eastAsia="Palatino Linotype" w:hAnsi="Palatino Linotype" w:cs="Palatino Linotype"/>
          <w:b/>
          <w:bCs/>
          <w:sz w:val="22"/>
          <w:szCs w:val="22"/>
        </w:rPr>
        <w:t>catorce de enero</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 xml:space="preserve">de dos mil veintiseis. </w:t>
      </w:r>
    </w:p>
    <w:p w:rsidR="0067234E" w:rsidRDefault="0067234E">
      <w:pPr>
        <w:spacing w:line="360" w:lineRule="auto"/>
        <w:ind w:right="49" w:hanging="22"/>
        <w:jc w:val="both"/>
        <w:rPr>
          <w:rFonts w:ascii="Palatino Linotype" w:eastAsia="Palatino Linotype" w:hAnsi="Palatino Linotype" w:cs="Palatino Linotype"/>
          <w:sz w:val="22"/>
          <w:szCs w:val="22"/>
        </w:rPr>
      </w:pPr>
    </w:p>
    <w:p w:rsidR="0067234E" w:rsidRDefault="006E4B40">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VISTO </w:t>
      </w:r>
      <w:r>
        <w:rPr>
          <w:rFonts w:ascii="Palatino Linotype" w:eastAsia="Palatino Linotype" w:hAnsi="Palatino Linotype" w:cs="Palatino Linotype"/>
          <w:sz w:val="22"/>
          <w:szCs w:val="22"/>
        </w:rPr>
        <w:t xml:space="preserve">el expediente relativo al recurso de revisión </w:t>
      </w:r>
      <w:r>
        <w:rPr>
          <w:rFonts w:ascii="Palatino Linotype" w:eastAsia="Palatino Linotype" w:hAnsi="Palatino Linotype" w:cs="Palatino Linotype"/>
          <w:b/>
          <w:bCs/>
          <w:sz w:val="22"/>
          <w:szCs w:val="22"/>
        </w:rPr>
        <w:t xml:space="preserve">13319/INFOEM/IP/RR/2025, </w:t>
      </w:r>
      <w:r>
        <w:rPr>
          <w:rFonts w:ascii="Palatino Linotype" w:eastAsia="Palatino Linotype" w:hAnsi="Palatino Linotype" w:cs="Palatino Linotype"/>
          <w:sz w:val="22"/>
          <w:szCs w:val="22"/>
        </w:rPr>
        <w:t xml:space="preserve">interpuesto por </w:t>
      </w:r>
      <w:r w:rsidR="00D809C5">
        <w:rPr>
          <w:rFonts w:ascii="Palatino Linotype" w:eastAsia="Palatino Linotype" w:hAnsi="Palatino Linotype" w:cs="Palatino Linotype"/>
          <w:b/>
          <w:bCs/>
          <w:sz w:val="22"/>
          <w:szCs w:val="22"/>
        </w:rPr>
        <w:t>XXXXXXX XX</w:t>
      </w:r>
      <w:r>
        <w:rPr>
          <w:rFonts w:ascii="Palatino Linotype" w:eastAsia="Palatino Linotype" w:hAnsi="Palatino Linotype" w:cs="Palatino Linotype"/>
          <w:sz w:val="22"/>
          <w:szCs w:val="22"/>
        </w:rPr>
        <w:t xml:space="preserve">, en lo sucesivo la parte </w:t>
      </w:r>
      <w:r>
        <w:rPr>
          <w:rFonts w:ascii="Palatino Linotype" w:eastAsia="Palatino Linotype" w:hAnsi="Palatino Linotype" w:cs="Palatino Linotype"/>
          <w:b/>
          <w:bCs/>
          <w:sz w:val="22"/>
          <w:szCs w:val="22"/>
        </w:rPr>
        <w:t>Recurrente</w:t>
      </w:r>
      <w:r>
        <w:rPr>
          <w:rFonts w:ascii="Palatino Linotype" w:eastAsia="Palatino Linotype" w:hAnsi="Palatino Linotype" w:cs="Palatino Linotype"/>
          <w:sz w:val="22"/>
          <w:szCs w:val="22"/>
        </w:rPr>
        <w:t xml:space="preserve">, en contra de la respuesta a la solicitud de información por parte del </w:t>
      </w:r>
      <w:r>
        <w:rPr>
          <w:rFonts w:ascii="Palatino Linotype" w:eastAsia="Palatino Linotype" w:hAnsi="Palatino Linotype" w:cs="Palatino Linotype"/>
          <w:b/>
          <w:bCs/>
          <w:sz w:val="22"/>
          <w:szCs w:val="22"/>
        </w:rPr>
        <w:t>Ayuntamiento de Calimaya</w:t>
      </w:r>
      <w:r>
        <w:rPr>
          <w:rFonts w:ascii="Palatino Linotype" w:eastAsia="Palatino Linotype" w:hAnsi="Palatino Linotype" w:cs="Palatino Linotype"/>
          <w:sz w:val="22"/>
          <w:szCs w:val="22"/>
        </w:rPr>
        <w:t xml:space="preserve">, en lo sucesivo el </w:t>
      </w:r>
      <w:r>
        <w:rPr>
          <w:rFonts w:ascii="Palatino Linotype" w:eastAsia="Palatino Linotype" w:hAnsi="Palatino Linotype" w:cs="Palatino Linotype"/>
          <w:b/>
          <w:bCs/>
          <w:sz w:val="22"/>
          <w:szCs w:val="22"/>
        </w:rPr>
        <w:t>Sujeto</w:t>
      </w:r>
      <w:r>
        <w:rPr>
          <w:rFonts w:ascii="Palatino Linotype" w:eastAsia="Palatino Linotype" w:hAnsi="Palatino Linotype" w:cs="Palatino Linotype"/>
          <w:b/>
          <w:bCs/>
          <w:sz w:val="22"/>
          <w:szCs w:val="22"/>
        </w:rPr>
        <w:t xml:space="preserve"> Obligado; </w:t>
      </w:r>
      <w:r>
        <w:rPr>
          <w:rFonts w:ascii="Palatino Linotype" w:eastAsia="Palatino Linotype" w:hAnsi="Palatino Linotype" w:cs="Palatino Linotype"/>
          <w:sz w:val="22"/>
          <w:szCs w:val="22"/>
        </w:rPr>
        <w:t>se procede a dictar la presente resolución, con base en lo siguiente.</w:t>
      </w:r>
    </w:p>
    <w:p w:rsidR="0067234E" w:rsidRDefault="0067234E">
      <w:pPr>
        <w:spacing w:line="360" w:lineRule="auto"/>
        <w:ind w:right="49"/>
        <w:jc w:val="both"/>
        <w:rPr>
          <w:rFonts w:ascii="Palatino Linotype" w:eastAsia="Palatino Linotype" w:hAnsi="Palatino Linotype" w:cs="Palatino Linotype"/>
          <w:sz w:val="22"/>
          <w:szCs w:val="22"/>
        </w:rPr>
      </w:pPr>
    </w:p>
    <w:p w:rsidR="0067234E" w:rsidRDefault="006E4B40">
      <w:pPr>
        <w:spacing w:line="360" w:lineRule="auto"/>
        <w:ind w:right="49"/>
        <w:jc w:val="cente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I.</w:t>
      </w:r>
      <w:r>
        <w:rPr>
          <w:rFonts w:ascii="Palatino Linotype" w:eastAsia="Palatino Linotype" w:hAnsi="Palatino Linotype" w:cs="Palatino Linotype"/>
          <w:b/>
          <w:bCs/>
          <w:sz w:val="22"/>
          <w:szCs w:val="22"/>
        </w:rPr>
        <w:tab/>
        <w:t>A N T E C E D E N T E S</w:t>
      </w:r>
    </w:p>
    <w:p w:rsidR="0067234E" w:rsidRDefault="0067234E">
      <w:pPr>
        <w:spacing w:line="360" w:lineRule="auto"/>
        <w:ind w:right="49"/>
        <w:jc w:val="both"/>
        <w:rPr>
          <w:rFonts w:ascii="Palatino Linotype" w:eastAsia="Palatino Linotype" w:hAnsi="Palatino Linotype" w:cs="Palatino Linotype"/>
          <w:sz w:val="22"/>
          <w:szCs w:val="22"/>
        </w:rPr>
      </w:pPr>
    </w:p>
    <w:p w:rsidR="0067234E" w:rsidRDefault="006E4B4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1.</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Solicitud de Acceso a la Información. El treinta y uno de octubre de dos mil veinticinco</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LA PARTE</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RECURRENTE</w:t>
      </w:r>
      <w:r>
        <w:rPr>
          <w:rFonts w:ascii="Palatino Linotype" w:eastAsia="Palatino Linotype" w:hAnsi="Palatino Linotype" w:cs="Palatino Linotype"/>
          <w:sz w:val="22"/>
          <w:szCs w:val="22"/>
        </w:rPr>
        <w:t xml:space="preserve"> formuló solicitud de acceso a inf</w:t>
      </w:r>
      <w:r>
        <w:rPr>
          <w:rFonts w:ascii="Palatino Linotype" w:eastAsia="Palatino Linotype" w:hAnsi="Palatino Linotype" w:cs="Palatino Linotype"/>
          <w:sz w:val="22"/>
          <w:szCs w:val="22"/>
        </w:rPr>
        <w:t xml:space="preserve">ormación pública a través del </w:t>
      </w:r>
      <w:r>
        <w:rPr>
          <w:rFonts w:ascii="Palatino Linotype" w:eastAsia="Palatino Linotype" w:hAnsi="Palatino Linotype" w:cs="Palatino Linotype"/>
          <w:b/>
          <w:bCs/>
          <w:sz w:val="22"/>
          <w:szCs w:val="22"/>
        </w:rPr>
        <w:t>SAIMEX</w:t>
      </w:r>
      <w:r>
        <w:rPr>
          <w:rFonts w:ascii="Palatino Linotype" w:eastAsia="Palatino Linotype" w:hAnsi="Palatino Linotype" w:cs="Palatino Linotype"/>
          <w:sz w:val="22"/>
          <w:szCs w:val="22"/>
        </w:rPr>
        <w:t xml:space="preserve">, en la que requirió lo siguiente: </w:t>
      </w:r>
    </w:p>
    <w:p w:rsidR="0067234E" w:rsidRDefault="0067234E">
      <w:pPr>
        <w:spacing w:line="360" w:lineRule="auto"/>
        <w:jc w:val="both"/>
        <w:rPr>
          <w:rFonts w:ascii="Palatino Linotype" w:eastAsia="Palatino Linotype" w:hAnsi="Palatino Linotype" w:cs="Palatino Linotype"/>
          <w:sz w:val="22"/>
          <w:szCs w:val="22"/>
        </w:rPr>
      </w:pPr>
    </w:p>
    <w:p w:rsidR="0067234E" w:rsidRDefault="006E4B40">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bCs/>
          <w:sz w:val="22"/>
          <w:szCs w:val="22"/>
        </w:rPr>
      </w:pPr>
      <w:bookmarkStart w:id="0" w:name="_heading=h.3znysh7" w:colFirst="0" w:colLast="0"/>
      <w:bookmarkEnd w:id="0"/>
      <w:r>
        <w:rPr>
          <w:rFonts w:ascii="Palatino Linotype" w:eastAsia="Palatino Linotype" w:hAnsi="Palatino Linotype" w:cs="Palatino Linotype"/>
          <w:b/>
          <w:bCs/>
          <w:sz w:val="22"/>
          <w:szCs w:val="22"/>
        </w:rPr>
        <w:t xml:space="preserve">00552/CALIMAYA/IP/2025 </w:t>
      </w:r>
    </w:p>
    <w:p w:rsidR="0067234E" w:rsidRDefault="006E4B40">
      <w:pPr>
        <w:spacing w:line="360" w:lineRule="auto"/>
        <w:ind w:left="567" w:right="843"/>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i/>
          <w:iCs/>
          <w:sz w:val="22"/>
          <w:szCs w:val="22"/>
        </w:rPr>
        <w:t>"COPIA DEL CONVENIO DE COLABORACIÓN ENTRE EL MUNICIPIO DE CALIMAYA Y EL COLEGIO DE INGENIEROS CIVILES DEL ESTADO DE MÉXICO A.C., COLEGIO DE ARQUITECTOS DEL EST</w:t>
      </w:r>
      <w:r>
        <w:rPr>
          <w:rFonts w:ascii="Palatino Linotype" w:eastAsia="Palatino Linotype" w:hAnsi="Palatino Linotype" w:cs="Palatino Linotype"/>
          <w:i/>
          <w:iCs/>
          <w:sz w:val="22"/>
          <w:szCs w:val="22"/>
        </w:rPr>
        <w:t>ADO DE MÉXICO A.C. Y LA SOCIEDAD URBANISTAS DEL ESTADO DE MÉXICO A.C.,, AÑO 2025</w:t>
      </w:r>
      <w:r>
        <w:rPr>
          <w:rFonts w:ascii="Palatino Linotype" w:eastAsia="Palatino Linotype" w:hAnsi="Palatino Linotype" w:cs="Palatino Linotype"/>
          <w:b/>
          <w:bCs/>
          <w:i/>
          <w:iCs/>
          <w:sz w:val="22"/>
          <w:szCs w:val="22"/>
        </w:rPr>
        <w:t>” (Sic.)</w:t>
      </w:r>
    </w:p>
    <w:p w:rsidR="0067234E" w:rsidRDefault="0067234E">
      <w:pPr>
        <w:spacing w:line="360" w:lineRule="auto"/>
        <w:ind w:left="567" w:right="843"/>
        <w:jc w:val="both"/>
        <w:rPr>
          <w:rFonts w:ascii="Palatino Linotype" w:eastAsia="Palatino Linotype" w:hAnsi="Palatino Linotype" w:cs="Palatino Linotype"/>
          <w:i/>
          <w:iCs/>
          <w:sz w:val="22"/>
          <w:szCs w:val="22"/>
        </w:rPr>
      </w:pPr>
    </w:p>
    <w:p w:rsidR="0067234E" w:rsidRDefault="006E4B40">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Modalidad elegida para la entrega de la información:</w:t>
      </w:r>
      <w:r>
        <w:rPr>
          <w:rFonts w:ascii="Palatino Linotype" w:eastAsia="Palatino Linotype" w:hAnsi="Palatino Linotype" w:cs="Palatino Linotype"/>
          <w:sz w:val="22"/>
          <w:szCs w:val="22"/>
        </w:rPr>
        <w:t xml:space="preserve"> a través del Sistema de Acceso a la Información Mexiquense (SAIMEX).</w:t>
      </w:r>
    </w:p>
    <w:p w:rsidR="0067234E" w:rsidRDefault="0067234E">
      <w:pPr>
        <w:spacing w:line="360" w:lineRule="auto"/>
        <w:ind w:right="49"/>
        <w:jc w:val="both"/>
        <w:rPr>
          <w:rFonts w:ascii="Palatino Linotype" w:eastAsia="Palatino Linotype" w:hAnsi="Palatino Linotype" w:cs="Palatino Linotype"/>
          <w:sz w:val="22"/>
          <w:szCs w:val="22"/>
        </w:rPr>
      </w:pPr>
    </w:p>
    <w:p w:rsidR="0067234E" w:rsidRDefault="006E4B40">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lastRenderedPageBreak/>
        <w:t>2. Respuesta.</w:t>
      </w:r>
      <w:r>
        <w:rPr>
          <w:rFonts w:ascii="Palatino Linotype" w:eastAsia="Palatino Linotype" w:hAnsi="Palatino Linotype" w:cs="Palatino Linotype"/>
          <w:sz w:val="22"/>
          <w:szCs w:val="22"/>
        </w:rPr>
        <w:t xml:space="preserve"> El </w:t>
      </w:r>
      <w:r>
        <w:rPr>
          <w:rFonts w:ascii="Palatino Linotype" w:eastAsia="Palatino Linotype" w:hAnsi="Palatino Linotype" w:cs="Palatino Linotype"/>
          <w:b/>
          <w:bCs/>
          <w:sz w:val="22"/>
          <w:szCs w:val="22"/>
        </w:rPr>
        <w:t>once de noviembre de dos mil veinticinco</w:t>
      </w:r>
      <w:r>
        <w:rPr>
          <w:rFonts w:ascii="Palatino Linotype" w:eastAsia="Palatino Linotype" w:hAnsi="Palatino Linotype" w:cs="Palatino Linotype"/>
          <w:sz w:val="22"/>
          <w:szCs w:val="22"/>
        </w:rPr>
        <w:t>, el Sujeto Obligado dio respuesta a la solicitud, señalando lo siguiente:</w:t>
      </w:r>
    </w:p>
    <w:p w:rsidR="0067234E" w:rsidRDefault="0067234E">
      <w:pPr>
        <w:widowControl w:val="0"/>
        <w:spacing w:line="360" w:lineRule="auto"/>
        <w:jc w:val="both"/>
        <w:rPr>
          <w:rFonts w:ascii="Palatino Linotype" w:eastAsia="Palatino Linotype" w:hAnsi="Palatino Linotype" w:cs="Palatino Linotype"/>
          <w:sz w:val="22"/>
          <w:szCs w:val="22"/>
        </w:rPr>
      </w:pPr>
    </w:p>
    <w:p w:rsidR="0067234E" w:rsidRDefault="006E4B40">
      <w:pPr>
        <w:widowControl w:val="0"/>
        <w:spacing w:line="360" w:lineRule="auto"/>
        <w:ind w:left="567" w:right="843"/>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“En respuesta a la solicitud recibida, nos permitimos hacer de su conocimiento que con fundamento en el artículo 53, Fracciones: II, V y VI </w:t>
      </w:r>
      <w:r>
        <w:rPr>
          <w:rFonts w:ascii="Palatino Linotype" w:eastAsia="Palatino Linotype" w:hAnsi="Palatino Linotype" w:cs="Palatino Linotype"/>
          <w:i/>
          <w:iCs/>
          <w:sz w:val="22"/>
          <w:szCs w:val="22"/>
        </w:rPr>
        <w:t>de la Ley de Transparencia y Acceso a la Información Pública del Estado de México y Municipios, le contestamos que:</w:t>
      </w:r>
    </w:p>
    <w:p w:rsidR="0067234E" w:rsidRDefault="006E4B40">
      <w:pPr>
        <w:widowControl w:val="0"/>
        <w:spacing w:line="360" w:lineRule="auto"/>
        <w:ind w:left="567" w:right="843"/>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ESTIMADO </w:t>
      </w:r>
      <w:r w:rsidR="00D809C5">
        <w:rPr>
          <w:rFonts w:ascii="Palatino Linotype" w:eastAsia="Palatino Linotype" w:hAnsi="Palatino Linotype" w:cs="Palatino Linotype"/>
          <w:i/>
          <w:iCs/>
          <w:sz w:val="22"/>
          <w:szCs w:val="22"/>
        </w:rPr>
        <w:t>XXXXXXXXXXX:</w:t>
      </w:r>
      <w:bookmarkStart w:id="1" w:name="_GoBack"/>
      <w:bookmarkEnd w:id="1"/>
      <w:r>
        <w:rPr>
          <w:rFonts w:ascii="Palatino Linotype" w:eastAsia="Palatino Linotype" w:hAnsi="Palatino Linotype" w:cs="Palatino Linotype"/>
          <w:i/>
          <w:iCs/>
          <w:sz w:val="22"/>
          <w:szCs w:val="22"/>
        </w:rPr>
        <w:t xml:space="preserve"> EN ATENCIÓN A SU SOLICITUD DE INFORMACIÓN CON NÚMERO DE FOLIO 00552/CALIMAYA/IP/2025 POR ESTE MEDIO ME PERMITO HACER D</w:t>
      </w:r>
      <w:r>
        <w:rPr>
          <w:rFonts w:ascii="Palatino Linotype" w:eastAsia="Palatino Linotype" w:hAnsi="Palatino Linotype" w:cs="Palatino Linotype"/>
          <w:i/>
          <w:iCs/>
          <w:sz w:val="22"/>
          <w:szCs w:val="22"/>
        </w:rPr>
        <w:t>E SU CONOCIMIENTO QUE SU SOLICITUD FUE TURNADA AL SERVIDOR PÚBLICO HABILITADO QUE A CONTINUACIÓN SE ENLISTAN, QUIEN EMITIÓ LA SIGUIENTE RESPUESTA Y DOCUMENTOS ADJUNTOS QUE SE ENTREGAN A TRAVÉS DEL SAIMEX, DE CONFORMIDAD A LO ESTABLECIDO EN LOS ARTÍCULOS 53</w:t>
      </w:r>
      <w:r>
        <w:rPr>
          <w:rFonts w:ascii="Palatino Linotype" w:eastAsia="Palatino Linotype" w:hAnsi="Palatino Linotype" w:cs="Palatino Linotype"/>
          <w:i/>
          <w:iCs/>
          <w:sz w:val="22"/>
          <w:szCs w:val="22"/>
        </w:rPr>
        <w:t xml:space="preserve"> FRACCIÓN II Y IV, 59, 158, 159, 161, 162 Y 163 DE LA LEY DE TRANSPARENCIA Y ACCESO A LA INFORMACIÓN PÚBLICA DEL ESTADO DE MÉXICO Y MUNICIPIOS: “SE HACE DEL CONOCIMIENTO DEL SOLICITANTE QUE MEDIANTE EL OFICIO NÚMERO PMC/DDU/989/2025 (DIRECCIÓN DE DESARROLL</w:t>
      </w:r>
      <w:r>
        <w:rPr>
          <w:rFonts w:ascii="Palatino Linotype" w:eastAsia="Palatino Linotype" w:hAnsi="Palatino Linotype" w:cs="Palatino Linotype"/>
          <w:i/>
          <w:iCs/>
          <w:sz w:val="22"/>
          <w:szCs w:val="22"/>
        </w:rPr>
        <w:t xml:space="preserve">O URBANO), SE DIO RESPUESTA A LA SOLICITUD CON NÚMERO DE FOLIO 00552/CALIMAYA/IP/2025, SE ADJUNTAN EL OFICIO DE RESPUESTA, CON SUS ANEXOS PARA MAYOR REFERENCIA.” ADICIONALMENTE SE ANEXAN EL ACTA DE LA DÉCIMA PRIMERA SESIÓN ORDINARIA DE CLASIFICACIÓN DE LA </w:t>
      </w:r>
      <w:r>
        <w:rPr>
          <w:rFonts w:ascii="Palatino Linotype" w:eastAsia="Palatino Linotype" w:hAnsi="Palatino Linotype" w:cs="Palatino Linotype"/>
          <w:i/>
          <w:iCs/>
          <w:sz w:val="22"/>
          <w:szCs w:val="22"/>
        </w:rPr>
        <w:t xml:space="preserve">INFORMACIÓN COMO CONFIDENCIAL CON FUNDAMENTO EN EL ARTÍCULO 132 FRACCIONES I Y III DE LA LEY DE TRANSPARENCIA Y ACCESO A LA INFORMACIÓN PÚBLICA DEL ESTADO DE MÉXICO Y MUNICIPIOS </w:t>
      </w:r>
      <w:r>
        <w:rPr>
          <w:rFonts w:ascii="Palatino Linotype" w:eastAsia="Palatino Linotype" w:hAnsi="Palatino Linotype" w:cs="Palatino Linotype"/>
          <w:i/>
          <w:iCs/>
          <w:sz w:val="22"/>
          <w:szCs w:val="22"/>
        </w:rPr>
        <w:lastRenderedPageBreak/>
        <w:t>DONDE SE ENCUENTRA EL ACUERDO CALIMAYA/CT/11ORD/0076/2025 POR LOS CUALES EL CO</w:t>
      </w:r>
      <w:r>
        <w:rPr>
          <w:rFonts w:ascii="Palatino Linotype" w:eastAsia="Palatino Linotype" w:hAnsi="Palatino Linotype" w:cs="Palatino Linotype"/>
          <w:i/>
          <w:iCs/>
          <w:sz w:val="22"/>
          <w:szCs w:val="22"/>
        </w:rPr>
        <w:t xml:space="preserve">MITÉ DE TRANSPARENCIA APRUEBA LA CLASIFICACIÓN DE LA INFORMACIÓN COMO CONFIDENCIAL, QUE ABRA DE DAR RESPUESTA A SU SOLICITUD DE INFORMACIÓN PÚBLICA. SIN OTRO ASUNTO, DEJANDO A SALVO SUS PRERROGATIVAS DE INCONFORMIDAD ESTABLECIDAS EN EL TÍTULO OCTAVO DE LA </w:t>
      </w:r>
      <w:r>
        <w:rPr>
          <w:rFonts w:ascii="Palatino Linotype" w:eastAsia="Palatino Linotype" w:hAnsi="Palatino Linotype" w:cs="Palatino Linotype"/>
          <w:i/>
          <w:iCs/>
          <w:sz w:val="22"/>
          <w:szCs w:val="22"/>
        </w:rPr>
        <w:t>LEY DE TRANSPARENCIA Y ACCESO A LA INFORMACIÓN PÚBLICA DEL ESTADO DE MÉXICO Y MUNICIPIOS, INFORMANDO QUE CUENTA, EN SU CASO, CON 15 DÍAS PARA PROMOVERLA, QUEDO DE USTED.</w:t>
      </w:r>
    </w:p>
    <w:p w:rsidR="0067234E" w:rsidRDefault="006E4B40">
      <w:pPr>
        <w:widowControl w:val="0"/>
        <w:spacing w:line="360" w:lineRule="auto"/>
        <w:ind w:left="567" w:right="843"/>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ATENTAMENTE</w:t>
      </w:r>
    </w:p>
    <w:p w:rsidR="0067234E" w:rsidRDefault="006E4B40">
      <w:pPr>
        <w:widowControl w:val="0"/>
        <w:spacing w:line="360" w:lineRule="auto"/>
        <w:ind w:left="567" w:right="843"/>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Mtra. Mari Toña Olmedo Carmona”</w:t>
      </w:r>
    </w:p>
    <w:p w:rsidR="0067234E" w:rsidRDefault="0067234E">
      <w:pPr>
        <w:widowControl w:val="0"/>
        <w:spacing w:line="360" w:lineRule="auto"/>
        <w:ind w:right="843"/>
        <w:jc w:val="both"/>
        <w:rPr>
          <w:rFonts w:ascii="Palatino Linotype" w:eastAsia="Palatino Linotype" w:hAnsi="Palatino Linotype" w:cs="Palatino Linotype"/>
          <w:b/>
          <w:bCs/>
          <w:sz w:val="22"/>
          <w:szCs w:val="22"/>
        </w:rPr>
      </w:pPr>
    </w:p>
    <w:p w:rsidR="0067234E" w:rsidRDefault="006E4B40">
      <w:pPr>
        <w:widowControl w:val="0"/>
        <w:spacing w:line="360" w:lineRule="auto"/>
        <w:ind w:right="843"/>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El Sujeto Obligado entregó la siguiente i</w:t>
      </w:r>
      <w:r>
        <w:rPr>
          <w:rFonts w:ascii="Palatino Linotype" w:eastAsia="Palatino Linotype" w:hAnsi="Palatino Linotype" w:cs="Palatino Linotype"/>
          <w:b/>
          <w:bCs/>
          <w:sz w:val="22"/>
          <w:szCs w:val="22"/>
        </w:rPr>
        <w:t>nformación:</w:t>
      </w:r>
    </w:p>
    <w:p w:rsidR="0067234E" w:rsidRDefault="0067234E">
      <w:pPr>
        <w:widowControl w:val="0"/>
        <w:spacing w:line="360" w:lineRule="auto"/>
        <w:ind w:right="843"/>
        <w:jc w:val="both"/>
        <w:rPr>
          <w:rFonts w:ascii="Palatino Linotype" w:eastAsia="Palatino Linotype" w:hAnsi="Palatino Linotype" w:cs="Palatino Linotype"/>
          <w:i/>
          <w:iCs/>
          <w:sz w:val="22"/>
          <w:szCs w:val="22"/>
        </w:rPr>
      </w:pPr>
    </w:p>
    <w:p w:rsidR="0067234E" w:rsidRDefault="006E4B40">
      <w:pPr>
        <w:widowControl w:val="0"/>
        <w:numPr>
          <w:ilvl w:val="0"/>
          <w:numId w:val="4"/>
        </w:numPr>
        <w:pBdr>
          <w:top w:val="nil"/>
          <w:left w:val="nil"/>
          <w:bottom w:val="nil"/>
          <w:right w:val="nil"/>
          <w:between w:val="nil"/>
        </w:pBdr>
        <w:spacing w:line="360" w:lineRule="auto"/>
        <w:ind w:left="426" w:right="843"/>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Convenio entre el Municipio y el Colegio de Arquitectos del Estado de México 2025, en versión pública;</w:t>
      </w:r>
    </w:p>
    <w:p w:rsidR="0067234E" w:rsidRDefault="006E4B40">
      <w:pPr>
        <w:widowControl w:val="0"/>
        <w:numPr>
          <w:ilvl w:val="0"/>
          <w:numId w:val="4"/>
        </w:numPr>
        <w:pBdr>
          <w:top w:val="nil"/>
          <w:left w:val="nil"/>
          <w:bottom w:val="nil"/>
          <w:right w:val="nil"/>
          <w:between w:val="nil"/>
        </w:pBdr>
        <w:spacing w:line="360" w:lineRule="auto"/>
        <w:ind w:left="426" w:right="843"/>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Convenio entre el Municipio y la Sociedad de Urbanistas del Estado de México (SUEM) 2025, en versión pública;</w:t>
      </w:r>
    </w:p>
    <w:p w:rsidR="0067234E" w:rsidRDefault="006E4B40">
      <w:pPr>
        <w:widowControl w:val="0"/>
        <w:numPr>
          <w:ilvl w:val="0"/>
          <w:numId w:val="4"/>
        </w:numPr>
        <w:pBdr>
          <w:top w:val="nil"/>
          <w:left w:val="nil"/>
          <w:bottom w:val="nil"/>
          <w:right w:val="nil"/>
          <w:between w:val="nil"/>
        </w:pBdr>
        <w:spacing w:line="360" w:lineRule="auto"/>
        <w:ind w:left="426" w:right="843"/>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Convenio entre el Municipio y </w:t>
      </w:r>
      <w:r>
        <w:rPr>
          <w:rFonts w:ascii="Palatino Linotype" w:eastAsia="Palatino Linotype" w:hAnsi="Palatino Linotype" w:cs="Palatino Linotype"/>
          <w:color w:val="000000"/>
          <w:sz w:val="22"/>
          <w:szCs w:val="22"/>
        </w:rPr>
        <w:t xml:space="preserve">el Colegio de Ingenieros Civiles del Estado de México de 2025, en versión pública; </w:t>
      </w:r>
    </w:p>
    <w:p w:rsidR="0067234E" w:rsidRDefault="006E4B40">
      <w:pPr>
        <w:widowControl w:val="0"/>
        <w:numPr>
          <w:ilvl w:val="0"/>
          <w:numId w:val="4"/>
        </w:numPr>
        <w:pBdr>
          <w:top w:val="nil"/>
          <w:left w:val="nil"/>
          <w:bottom w:val="nil"/>
          <w:right w:val="nil"/>
          <w:between w:val="nil"/>
        </w:pBdr>
        <w:spacing w:line="360" w:lineRule="auto"/>
        <w:ind w:left="426" w:right="843"/>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Of. 989-2025.Pdf: </w:t>
      </w:r>
      <w:r>
        <w:rPr>
          <w:rFonts w:ascii="Palatino Linotype" w:eastAsia="Palatino Linotype" w:hAnsi="Palatino Linotype" w:cs="Palatino Linotype"/>
          <w:color w:val="000000"/>
          <w:sz w:val="22"/>
          <w:szCs w:val="22"/>
        </w:rPr>
        <w:t>Oficio suscrito por la Directora de Desarrollo Urbano mediante el cual refiere que da respuesta a la solicitud.</w:t>
      </w:r>
    </w:p>
    <w:p w:rsidR="0067234E" w:rsidRDefault="006E4B40">
      <w:pPr>
        <w:widowControl w:val="0"/>
        <w:numPr>
          <w:ilvl w:val="0"/>
          <w:numId w:val="4"/>
        </w:numPr>
        <w:pBdr>
          <w:top w:val="nil"/>
          <w:left w:val="nil"/>
          <w:bottom w:val="nil"/>
          <w:right w:val="nil"/>
          <w:between w:val="nil"/>
        </w:pBdr>
        <w:spacing w:line="360" w:lineRule="auto"/>
        <w:ind w:left="426" w:right="843"/>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Acta De La Décima Primera Sesión Ordinaria Del Comité De Transparencia que sustenta la versión pública de los convenios requeridos. </w:t>
      </w:r>
    </w:p>
    <w:p w:rsidR="0067234E" w:rsidRDefault="0067234E">
      <w:pPr>
        <w:widowControl w:val="0"/>
        <w:spacing w:line="360" w:lineRule="auto"/>
        <w:ind w:right="843"/>
        <w:jc w:val="both"/>
        <w:rPr>
          <w:rFonts w:ascii="Palatino Linotype" w:eastAsia="Palatino Linotype" w:hAnsi="Palatino Linotype" w:cs="Palatino Linotype"/>
          <w:i/>
          <w:iCs/>
          <w:sz w:val="22"/>
          <w:szCs w:val="22"/>
        </w:rPr>
      </w:pPr>
    </w:p>
    <w:p w:rsidR="0067234E" w:rsidRDefault="006E4B4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3. Del Recurso de Revisión. </w:t>
      </w:r>
      <w:r>
        <w:rPr>
          <w:rFonts w:ascii="Palatino Linotype" w:eastAsia="Palatino Linotype" w:hAnsi="Palatino Linotype" w:cs="Palatino Linotype"/>
          <w:sz w:val="22"/>
          <w:szCs w:val="22"/>
        </w:rPr>
        <w:t>Inconforme con la respuesta del</w:t>
      </w:r>
      <w:r>
        <w:rPr>
          <w:rFonts w:ascii="Palatino Linotype" w:eastAsia="Palatino Linotype" w:hAnsi="Palatino Linotype" w:cs="Palatino Linotype"/>
          <w:b/>
          <w:bCs/>
          <w:sz w:val="22"/>
          <w:szCs w:val="22"/>
        </w:rPr>
        <w:t xml:space="preserve"> SUJETO OBLIGADO, </w:t>
      </w:r>
      <w:r>
        <w:rPr>
          <w:rFonts w:ascii="Palatino Linotype" w:eastAsia="Palatino Linotype" w:hAnsi="Palatino Linotype" w:cs="Palatino Linotype"/>
          <w:sz w:val="22"/>
          <w:szCs w:val="22"/>
        </w:rPr>
        <w:t xml:space="preserve">el </w:t>
      </w:r>
      <w:r>
        <w:rPr>
          <w:rFonts w:ascii="Palatino Linotype" w:eastAsia="Palatino Linotype" w:hAnsi="Palatino Linotype" w:cs="Palatino Linotype"/>
          <w:b/>
          <w:bCs/>
          <w:sz w:val="22"/>
          <w:szCs w:val="22"/>
        </w:rPr>
        <w:t>veintiocho de noviembre de dos mil veintic</w:t>
      </w:r>
      <w:r>
        <w:rPr>
          <w:rFonts w:ascii="Palatino Linotype" w:eastAsia="Palatino Linotype" w:hAnsi="Palatino Linotype" w:cs="Palatino Linotype"/>
          <w:b/>
          <w:bCs/>
          <w:sz w:val="22"/>
          <w:szCs w:val="22"/>
        </w:rPr>
        <w:t xml:space="preserve">inco, LA PARTE RECURRENTE </w:t>
      </w:r>
      <w:r>
        <w:rPr>
          <w:rFonts w:ascii="Palatino Linotype" w:eastAsia="Palatino Linotype" w:hAnsi="Palatino Linotype" w:cs="Palatino Linotype"/>
          <w:sz w:val="22"/>
          <w:szCs w:val="22"/>
        </w:rPr>
        <w:t xml:space="preserve">interpuso el recurso de revisión, mediante el cual y manifestó lo siguiente: </w:t>
      </w:r>
    </w:p>
    <w:p w:rsidR="0067234E" w:rsidRDefault="0067234E">
      <w:pPr>
        <w:spacing w:line="360" w:lineRule="auto"/>
        <w:jc w:val="both"/>
        <w:rPr>
          <w:rFonts w:ascii="Palatino Linotype" w:eastAsia="Palatino Linotype" w:hAnsi="Palatino Linotype" w:cs="Palatino Linotype"/>
          <w:sz w:val="22"/>
          <w:szCs w:val="22"/>
        </w:rPr>
      </w:pPr>
    </w:p>
    <w:p w:rsidR="0067234E" w:rsidRDefault="006E4B40">
      <w:pPr>
        <w:numPr>
          <w:ilvl w:val="0"/>
          <w:numId w:val="1"/>
        </w:numPr>
        <w:pBdr>
          <w:top w:val="nil"/>
          <w:left w:val="nil"/>
          <w:bottom w:val="nil"/>
          <w:right w:val="nil"/>
          <w:between w:val="nil"/>
        </w:pBdr>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color w:val="000000"/>
          <w:sz w:val="22"/>
          <w:szCs w:val="22"/>
        </w:rPr>
        <w:t>Acto Impugnado:</w:t>
      </w:r>
      <w:r>
        <w:rPr>
          <w:rFonts w:ascii="Palatino Linotype" w:eastAsia="Palatino Linotype" w:hAnsi="Palatino Linotype" w:cs="Palatino Linotype"/>
          <w:color w:val="000000"/>
          <w:sz w:val="22"/>
          <w:szCs w:val="22"/>
        </w:rPr>
        <w:t xml:space="preserve"> “INFORMACIÓN INCOMPLETA” (Sic.)</w:t>
      </w:r>
    </w:p>
    <w:p w:rsidR="0067234E" w:rsidRDefault="0067234E">
      <w:pPr>
        <w:pBdr>
          <w:top w:val="nil"/>
          <w:left w:val="nil"/>
          <w:bottom w:val="nil"/>
          <w:right w:val="nil"/>
          <w:between w:val="nil"/>
        </w:pBdr>
        <w:spacing w:line="360" w:lineRule="auto"/>
        <w:ind w:left="720" w:right="560"/>
        <w:jc w:val="both"/>
        <w:rPr>
          <w:rFonts w:ascii="Palatino Linotype" w:eastAsia="Palatino Linotype" w:hAnsi="Palatino Linotype" w:cs="Palatino Linotype"/>
          <w:i/>
          <w:iCs/>
          <w:sz w:val="22"/>
          <w:szCs w:val="22"/>
        </w:rPr>
      </w:pPr>
    </w:p>
    <w:p w:rsidR="0067234E" w:rsidRDefault="006E4B40">
      <w:pPr>
        <w:numPr>
          <w:ilvl w:val="0"/>
          <w:numId w:val="1"/>
        </w:numPr>
        <w:pBdr>
          <w:top w:val="nil"/>
          <w:left w:val="nil"/>
          <w:bottom w:val="nil"/>
          <w:right w:val="nil"/>
          <w:between w:val="nil"/>
        </w:pBdr>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Motivo de inconformidad:</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i/>
          <w:iCs/>
          <w:color w:val="000000"/>
          <w:sz w:val="22"/>
          <w:szCs w:val="22"/>
        </w:rPr>
        <w:t>FALTA INFORMACIÓN SOLICITADA</w:t>
      </w:r>
      <w:r>
        <w:rPr>
          <w:rFonts w:ascii="Palatino Linotype" w:eastAsia="Palatino Linotype" w:hAnsi="Palatino Linotype" w:cs="Palatino Linotype"/>
          <w:color w:val="000000"/>
          <w:sz w:val="22"/>
          <w:szCs w:val="22"/>
        </w:rPr>
        <w:t>” (Sic.)</w:t>
      </w:r>
    </w:p>
    <w:p w:rsidR="0067234E" w:rsidRDefault="0067234E">
      <w:pPr>
        <w:pBdr>
          <w:top w:val="nil"/>
          <w:left w:val="nil"/>
          <w:bottom w:val="nil"/>
          <w:right w:val="nil"/>
          <w:between w:val="nil"/>
        </w:pBdr>
        <w:spacing w:line="360" w:lineRule="auto"/>
        <w:rPr>
          <w:rFonts w:ascii="Palatino Linotype" w:eastAsia="Palatino Linotype" w:hAnsi="Palatino Linotype" w:cs="Palatino Linotype"/>
          <w:i/>
          <w:iCs/>
          <w:sz w:val="22"/>
          <w:szCs w:val="22"/>
        </w:rPr>
      </w:pPr>
    </w:p>
    <w:p w:rsidR="0067234E" w:rsidRDefault="006E4B4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4. Turno. </w:t>
      </w:r>
      <w:r>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Pr>
          <w:rFonts w:ascii="Palatino Linotype" w:eastAsia="Palatino Linotype" w:hAnsi="Palatino Linotype" w:cs="Palatino Linotype"/>
          <w:b/>
          <w:bCs/>
          <w:sz w:val="22"/>
          <w:szCs w:val="22"/>
        </w:rPr>
        <w:t>13319/INFOEM/IP/RR/2025</w:t>
      </w:r>
      <w:r>
        <w:rPr>
          <w:rFonts w:ascii="Palatino Linotype" w:eastAsia="Palatino Linotype" w:hAnsi="Palatino Linotype" w:cs="Palatino Linotype"/>
          <w:sz w:val="22"/>
          <w:szCs w:val="22"/>
        </w:rPr>
        <w:t>, se turnó por el sistema electrónico del Instituto de Trans</w:t>
      </w:r>
      <w:r>
        <w:rPr>
          <w:rFonts w:ascii="Palatino Linotype" w:eastAsia="Palatino Linotype" w:hAnsi="Palatino Linotype" w:cs="Palatino Linotype"/>
          <w:sz w:val="22"/>
          <w:szCs w:val="22"/>
        </w:rPr>
        <w:t xml:space="preserve">parencia, Acceso a la Información Pública y Protección de Datos Personales del Estado de México y Municipios, a la Comisionada </w:t>
      </w:r>
      <w:r>
        <w:rPr>
          <w:rFonts w:ascii="Palatino Linotype" w:eastAsia="Palatino Linotype" w:hAnsi="Palatino Linotype" w:cs="Palatino Linotype"/>
          <w:b/>
          <w:bCs/>
          <w:sz w:val="22"/>
          <w:szCs w:val="22"/>
        </w:rPr>
        <w:t>Guadalupe Ramírez Peña</w:t>
      </w:r>
      <w:r>
        <w:rPr>
          <w:rFonts w:ascii="Palatino Linotype" w:eastAsia="Palatino Linotype" w:hAnsi="Palatino Linotype" w:cs="Palatino Linotype"/>
          <w:sz w:val="22"/>
          <w:szCs w:val="22"/>
        </w:rPr>
        <w:t xml:space="preserve">, para su análisis, estudio, elaboración del proyecto y presentación ante el Pleno de este Instituto. </w:t>
      </w:r>
    </w:p>
    <w:p w:rsidR="0067234E" w:rsidRDefault="0067234E">
      <w:pPr>
        <w:spacing w:line="360" w:lineRule="auto"/>
        <w:jc w:val="both"/>
        <w:rPr>
          <w:rFonts w:ascii="Palatino Linotype" w:eastAsia="Palatino Linotype" w:hAnsi="Palatino Linotype" w:cs="Palatino Linotype"/>
          <w:sz w:val="22"/>
          <w:szCs w:val="22"/>
        </w:rPr>
      </w:pPr>
    </w:p>
    <w:p w:rsidR="0067234E" w:rsidRDefault="006E4B40">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5. </w:t>
      </w:r>
      <w:r>
        <w:rPr>
          <w:rFonts w:ascii="Palatino Linotype" w:eastAsia="Palatino Linotype" w:hAnsi="Palatino Linotype" w:cs="Palatino Linotype"/>
          <w:b/>
          <w:bCs/>
          <w:sz w:val="22"/>
          <w:szCs w:val="22"/>
        </w:rPr>
        <w:t xml:space="preserve">Admisión. </w:t>
      </w:r>
      <w:r>
        <w:rPr>
          <w:rFonts w:ascii="Palatino Linotype" w:eastAsia="Palatino Linotype" w:hAnsi="Palatino Linotype" w:cs="Palatino Linotype"/>
          <w:sz w:val="22"/>
          <w:szCs w:val="22"/>
        </w:rPr>
        <w:t xml:space="preserve">El </w:t>
      </w:r>
      <w:r>
        <w:rPr>
          <w:rFonts w:ascii="Palatino Linotype" w:eastAsia="Palatino Linotype" w:hAnsi="Palatino Linotype" w:cs="Palatino Linotype"/>
          <w:b/>
          <w:bCs/>
          <w:sz w:val="22"/>
          <w:szCs w:val="22"/>
        </w:rPr>
        <w:t>cinco de diciembre de dos mil veinticinco</w:t>
      </w:r>
      <w:r>
        <w:rPr>
          <w:rFonts w:ascii="Palatino Linotype" w:eastAsia="Palatino Linotype" w:hAnsi="Palatino Linotype" w:cs="Palatino Linotype"/>
          <w:sz w:val="22"/>
          <w:szCs w:val="22"/>
        </w:rPr>
        <w:t xml:space="preserve">, en términos de lo dispuesto en el artículo 185 fracciones I, II y IV de la Ley de Transparencia y Acceso a la Información Pública del Estado de México y Municipios, se admitió a trámite el recurso de </w:t>
      </w:r>
      <w:r>
        <w:rPr>
          <w:rFonts w:ascii="Palatino Linotype" w:eastAsia="Palatino Linotype" w:hAnsi="Palatino Linotype" w:cs="Palatino Linotype"/>
          <w:sz w:val="22"/>
          <w:szCs w:val="22"/>
        </w:rPr>
        <w:t>revisión</w:t>
      </w:r>
      <w:r>
        <w:rPr>
          <w:rFonts w:ascii="Palatino Linotype" w:eastAsia="Palatino Linotype" w:hAnsi="Palatino Linotype" w:cs="Palatino Linotype"/>
          <w:b/>
          <w:bCs/>
          <w:sz w:val="22"/>
          <w:szCs w:val="22"/>
        </w:rPr>
        <w:t xml:space="preserve">. </w:t>
      </w:r>
    </w:p>
    <w:p w:rsidR="0067234E" w:rsidRDefault="0067234E">
      <w:pPr>
        <w:spacing w:line="360" w:lineRule="auto"/>
        <w:jc w:val="both"/>
        <w:rPr>
          <w:rFonts w:ascii="Palatino Linotype" w:eastAsia="Palatino Linotype" w:hAnsi="Palatino Linotype" w:cs="Palatino Linotype"/>
          <w:b/>
          <w:bCs/>
          <w:sz w:val="22"/>
          <w:szCs w:val="22"/>
        </w:rPr>
      </w:pPr>
    </w:p>
    <w:p w:rsidR="0067234E" w:rsidRDefault="006E4B4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6. Manifestaciones.</w:t>
      </w:r>
      <w:r>
        <w:rPr>
          <w:rFonts w:ascii="Palatino Linotype" w:eastAsia="Palatino Linotype" w:hAnsi="Palatino Linotype" w:cs="Palatino Linotype"/>
          <w:sz w:val="22"/>
          <w:szCs w:val="22"/>
        </w:rPr>
        <w:t xml:space="preserve"> De las constancias que obran en el expediente electrónico del SAIMEX, se advierte que tanto el Sujeto Obligado como el Recurrente fueron omisos en realizar manifestaciones; se inserta imagen de referencia:</w:t>
      </w:r>
    </w:p>
    <w:p w:rsidR="0067234E" w:rsidRDefault="0067234E">
      <w:pPr>
        <w:spacing w:line="360" w:lineRule="auto"/>
        <w:jc w:val="both"/>
        <w:rPr>
          <w:rFonts w:ascii="Palatino Linotype" w:eastAsia="Palatino Linotype" w:hAnsi="Palatino Linotype" w:cs="Palatino Linotype"/>
          <w:sz w:val="22"/>
          <w:szCs w:val="22"/>
        </w:rPr>
      </w:pPr>
    </w:p>
    <w:p w:rsidR="0067234E" w:rsidRDefault="006E4B4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extent cx="5528170" cy="1618507"/>
            <wp:effectExtent l="0" t="0" r="0" b="0"/>
            <wp:docPr id="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528170" cy="1618507"/>
                    </a:xfrm>
                    <a:prstGeom prst="rect">
                      <a:avLst/>
                    </a:prstGeom>
                    <a:ln/>
                  </pic:spPr>
                </pic:pic>
              </a:graphicData>
            </a:graphic>
          </wp:inline>
        </w:drawing>
      </w:r>
    </w:p>
    <w:p w:rsidR="0067234E" w:rsidRDefault="0067234E">
      <w:pPr>
        <w:spacing w:line="360" w:lineRule="auto"/>
        <w:jc w:val="both"/>
        <w:rPr>
          <w:rFonts w:ascii="Palatino Linotype" w:eastAsia="Palatino Linotype" w:hAnsi="Palatino Linotype" w:cs="Palatino Linotype"/>
          <w:sz w:val="22"/>
          <w:szCs w:val="22"/>
        </w:rPr>
      </w:pPr>
    </w:p>
    <w:p w:rsidR="0067234E" w:rsidRDefault="006E4B4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8. Cierre de instrucción</w:t>
      </w:r>
      <w:r>
        <w:rPr>
          <w:rFonts w:ascii="Palatino Linotype" w:eastAsia="Palatino Linotype" w:hAnsi="Palatino Linotype" w:cs="Palatino Linotype"/>
          <w:sz w:val="22"/>
          <w:szCs w:val="22"/>
        </w:rPr>
        <w:t xml:space="preserve">. En fecha </w:t>
      </w:r>
      <w:r>
        <w:rPr>
          <w:rFonts w:ascii="Palatino Linotype" w:eastAsia="Palatino Linotype" w:hAnsi="Palatino Linotype" w:cs="Palatino Linotype"/>
          <w:b/>
          <w:bCs/>
          <w:sz w:val="22"/>
          <w:szCs w:val="22"/>
        </w:rPr>
        <w:t>diecisiete</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de diciembre de dos mil veinticinco</w:t>
      </w:r>
      <w:r>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 mediante acuerdo notificado el dieciocho de diciembre</w:t>
      </w:r>
      <w:r>
        <w:rPr>
          <w:rFonts w:ascii="Palatino Linotype" w:eastAsia="Palatino Linotype" w:hAnsi="Palatino Linotype" w:cs="Palatino Linotype"/>
          <w:sz w:val="22"/>
          <w:szCs w:val="22"/>
        </w:rPr>
        <w:t xml:space="preserve"> de dos mil veinticinco. </w:t>
      </w:r>
    </w:p>
    <w:p w:rsidR="0067234E" w:rsidRDefault="0067234E">
      <w:pPr>
        <w:spacing w:line="360" w:lineRule="auto"/>
        <w:ind w:right="49"/>
        <w:jc w:val="both"/>
        <w:rPr>
          <w:rFonts w:ascii="Palatino Linotype" w:eastAsia="Palatino Linotype" w:hAnsi="Palatino Linotype" w:cs="Palatino Linotype"/>
          <w:sz w:val="22"/>
          <w:szCs w:val="22"/>
        </w:rPr>
      </w:pPr>
    </w:p>
    <w:p w:rsidR="0067234E" w:rsidRDefault="006E4B40">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Debido a que fue debidamente sustanciado </w:t>
      </w:r>
      <w:r>
        <w:rPr>
          <w:rFonts w:ascii="Palatino Linotype" w:eastAsia="Palatino Linotype" w:hAnsi="Palatino Linotype" w:cs="Palatino Linotype"/>
          <w:sz w:val="22"/>
          <w:szCs w:val="22"/>
        </w:rPr>
        <w:tab/>
        <w:t xml:space="preserve">el expediente electrónico y no existe diligencia pendiente de desahogo, se emite la Resolución que conforme a Derecho proceda, de acuerdo con los siguientes: </w:t>
      </w:r>
    </w:p>
    <w:p w:rsidR="0067234E" w:rsidRDefault="006E4B40">
      <w:pPr>
        <w:spacing w:line="360" w:lineRule="auto"/>
        <w:ind w:right="49"/>
        <w:jc w:val="cente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II.</w:t>
      </w:r>
      <w:r>
        <w:rPr>
          <w:rFonts w:ascii="Palatino Linotype" w:eastAsia="Palatino Linotype" w:hAnsi="Palatino Linotype" w:cs="Palatino Linotype"/>
          <w:b/>
          <w:bCs/>
          <w:sz w:val="22"/>
          <w:szCs w:val="22"/>
        </w:rPr>
        <w:tab/>
        <w:t>C O N S I D E R A N D O:</w:t>
      </w:r>
    </w:p>
    <w:p w:rsidR="0067234E" w:rsidRDefault="0067234E">
      <w:pPr>
        <w:spacing w:line="360" w:lineRule="auto"/>
        <w:ind w:right="49"/>
        <w:jc w:val="both"/>
        <w:rPr>
          <w:rFonts w:ascii="Palatino Linotype" w:eastAsia="Palatino Linotype" w:hAnsi="Palatino Linotype" w:cs="Palatino Linotype"/>
          <w:sz w:val="22"/>
          <w:szCs w:val="22"/>
        </w:rPr>
      </w:pPr>
    </w:p>
    <w:p w:rsidR="0067234E" w:rsidRDefault="006E4B4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Primero. Competencia.</w:t>
      </w:r>
      <w:r>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w:t>
      </w:r>
      <w:r>
        <w:rPr>
          <w:rFonts w:ascii="Palatino Linotype" w:eastAsia="Palatino Linotype" w:hAnsi="Palatino Linotype" w:cs="Palatino Linotype"/>
          <w:sz w:val="22"/>
          <w:szCs w:val="22"/>
        </w:rPr>
        <w:t>ente, conforme a lo dispuesto en los artículos 6, apartado A de la Constitución Política de los Estados Unidos Mexicanos; 5 párrafos cuadragésimo cuarto, cuadragésimo quinto, cuadragésimo sexto, fracciones IV y V de la Constitución Política del Estado Libr</w:t>
      </w:r>
      <w:r>
        <w:rPr>
          <w:rFonts w:ascii="Palatino Linotype" w:eastAsia="Palatino Linotype" w:hAnsi="Palatino Linotype" w:cs="Palatino Linotype"/>
          <w:sz w:val="22"/>
          <w:szCs w:val="22"/>
        </w:rPr>
        <w:t>e y Soberano de México; Transitorio Cuarto, párrafo segundo del Decreto número 198 de la “LXII” Legislatura del Estado de México; 2, fracción II; 29, 36 fracciones I y II; 176, 178, 181, 185, fracción I, 186 y 188 de la Ley Transparencia y Acceso a la Info</w:t>
      </w:r>
      <w:r>
        <w:rPr>
          <w:rFonts w:ascii="Palatino Linotype" w:eastAsia="Palatino Linotype" w:hAnsi="Palatino Linotype" w:cs="Palatino Linotype"/>
          <w:sz w:val="22"/>
          <w:szCs w:val="22"/>
        </w:rPr>
        <w:t>rmación Pública del Estado de México y Municipios; 9, fracciones I y XXIII y 11 del Reglamento Interior del Instituto de Transparencia, Acceso a la Información Pública y Protección de Datos Personales del Estado de México y Municipios.</w:t>
      </w:r>
    </w:p>
    <w:p w:rsidR="0067234E" w:rsidRDefault="006E4B40">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Segundo. Oportunidad</w:t>
      </w:r>
      <w:r>
        <w:rPr>
          <w:rFonts w:ascii="Palatino Linotype" w:eastAsia="Palatino Linotype" w:hAnsi="Palatino Linotype" w:cs="Palatino Linotype"/>
          <w:b/>
          <w:bCs/>
          <w:sz w:val="22"/>
          <w:szCs w:val="22"/>
        </w:rPr>
        <w:t xml:space="preserve"> y Procedibilidad del Recurso de Revisión. </w:t>
      </w:r>
      <w:r>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w:t>
      </w:r>
      <w:r>
        <w:rPr>
          <w:rFonts w:ascii="Palatino Linotype" w:eastAsia="Palatino Linotype" w:hAnsi="Palatino Linotype" w:cs="Palatino Linotype"/>
          <w:sz w:val="22"/>
          <w:szCs w:val="22"/>
        </w:rPr>
        <w:t>ansparencia y Acceso a la Información Pública del Estado de México y Municipios.</w:t>
      </w:r>
    </w:p>
    <w:p w:rsidR="0067234E" w:rsidRDefault="006E4B40">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rsidR="0067234E" w:rsidRDefault="006E4B40">
      <w:pPr>
        <w:spacing w:line="360" w:lineRule="auto"/>
        <w:ind w:left="851"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“Artículo 178. </w:t>
      </w:r>
      <w:r>
        <w:rPr>
          <w:rFonts w:ascii="Palatino Linotype" w:eastAsia="Palatino Linotype" w:hAnsi="Palatino Linotype" w:cs="Palatino Linotype"/>
          <w:i/>
          <w:iCs/>
          <w:sz w:val="22"/>
          <w:szCs w:val="22"/>
        </w:rPr>
        <w:t>El solicitante podrá interponer</w:t>
      </w:r>
      <w:r>
        <w:rPr>
          <w:rFonts w:ascii="Palatino Linotype" w:eastAsia="Palatino Linotype" w:hAnsi="Palatino Linotype" w:cs="Palatino Linotype"/>
          <w:i/>
          <w:iCs/>
          <w:sz w:val="22"/>
          <w:szCs w:val="22"/>
        </w:rPr>
        <w:t>, por sí mismo o a través de su representante, de manera directa o por medios electrónicos, recurso de revisión ante el Instituto o ante la Unidad de Transparencia que haya conocido de la solicitud dentro de los quince días hábiles, siguientes a la fecha d</w:t>
      </w:r>
      <w:r>
        <w:rPr>
          <w:rFonts w:ascii="Palatino Linotype" w:eastAsia="Palatino Linotype" w:hAnsi="Palatino Linotype" w:cs="Palatino Linotype"/>
          <w:i/>
          <w:iCs/>
          <w:sz w:val="22"/>
          <w:szCs w:val="22"/>
        </w:rPr>
        <w:t>e la notificación de la respuesta.</w:t>
      </w:r>
    </w:p>
    <w:p w:rsidR="0067234E" w:rsidRDefault="006E4B40">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Del precepto legal transcrito, se desprende que cuando los solicitantes de información en el ejercicio del derecho de acceso a la información no se encuentren satisfechos con la información entregada por los sujetos oblig</w:t>
      </w:r>
      <w:r>
        <w:rPr>
          <w:rFonts w:ascii="Palatino Linotype" w:eastAsia="Palatino Linotype" w:hAnsi="Palatino Linotype" w:cs="Palatino Linotype"/>
          <w:sz w:val="22"/>
          <w:szCs w:val="22"/>
        </w:rPr>
        <w:t xml:space="preserve">ados, podrán interponer recurso de revisión de manera directa o por medios electrónicos dentro de los quince días hábiles siguientes a la fecha de notificación de la respuesta, y, toda vez que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remitió la respuesta a la solicitud de infor</w:t>
      </w:r>
      <w:r>
        <w:rPr>
          <w:rFonts w:ascii="Palatino Linotype" w:eastAsia="Palatino Linotype" w:hAnsi="Palatino Linotype" w:cs="Palatino Linotype"/>
          <w:sz w:val="22"/>
          <w:szCs w:val="22"/>
        </w:rPr>
        <w:t xml:space="preserve">mación el día </w:t>
      </w:r>
      <w:r>
        <w:rPr>
          <w:rFonts w:ascii="Palatino Linotype" w:eastAsia="Palatino Linotype" w:hAnsi="Palatino Linotype" w:cs="Palatino Linotype"/>
          <w:b/>
          <w:bCs/>
          <w:sz w:val="22"/>
          <w:szCs w:val="22"/>
        </w:rPr>
        <w:t xml:space="preserve">once de noviembre de dos mil veinticinco, </w:t>
      </w:r>
      <w:r>
        <w:rPr>
          <w:rFonts w:ascii="Palatino Linotype" w:eastAsia="Palatino Linotype" w:hAnsi="Palatino Linotype" w:cs="Palatino Linotype"/>
          <w:sz w:val="22"/>
          <w:szCs w:val="22"/>
        </w:rPr>
        <w:t xml:space="preserve">mientras que el recurso de revisión interpuesto por la parte </w:t>
      </w:r>
      <w:r>
        <w:rPr>
          <w:rFonts w:ascii="Palatino Linotype" w:eastAsia="Palatino Linotype" w:hAnsi="Palatino Linotype" w:cs="Palatino Linotype"/>
          <w:b/>
          <w:bCs/>
          <w:sz w:val="22"/>
          <w:szCs w:val="22"/>
        </w:rPr>
        <w:t>RECURRENTE</w:t>
      </w:r>
      <w:r>
        <w:rPr>
          <w:rFonts w:ascii="Palatino Linotype" w:eastAsia="Palatino Linotype" w:hAnsi="Palatino Linotype" w:cs="Palatino Linotype"/>
          <w:sz w:val="22"/>
          <w:szCs w:val="22"/>
        </w:rPr>
        <w:t xml:space="preserve">, se tuvo por presentado el </w:t>
      </w:r>
      <w:r>
        <w:rPr>
          <w:rFonts w:ascii="Palatino Linotype" w:eastAsia="Palatino Linotype" w:hAnsi="Palatino Linotype" w:cs="Palatino Linotype"/>
          <w:b/>
          <w:bCs/>
          <w:sz w:val="22"/>
          <w:szCs w:val="22"/>
        </w:rPr>
        <w:t>veintiocho de noviembre del año dos mil veinticinco</w:t>
      </w:r>
      <w:r>
        <w:rPr>
          <w:rFonts w:ascii="Palatino Linotype" w:eastAsia="Palatino Linotype" w:hAnsi="Palatino Linotype" w:cs="Palatino Linotype"/>
          <w:sz w:val="22"/>
          <w:szCs w:val="22"/>
        </w:rPr>
        <w:t>; esto es, al décimo segundo día que se tuvo conoc</w:t>
      </w:r>
      <w:r>
        <w:rPr>
          <w:rFonts w:ascii="Palatino Linotype" w:eastAsia="Palatino Linotype" w:hAnsi="Palatino Linotype" w:cs="Palatino Linotype"/>
          <w:sz w:val="22"/>
          <w:szCs w:val="22"/>
        </w:rPr>
        <w:t>imiento de la respuesta.</w:t>
      </w:r>
    </w:p>
    <w:p w:rsidR="0067234E" w:rsidRDefault="006E4B4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otro lado, es de suma importancia mencionar que, si bien la parte Recurrente no proporcionó nombre completo, como se advierte en el detalle de seguimiento del SAIMEX; sin embargo, el no proporcionar un nombre no es motivo para </w:t>
      </w:r>
      <w:r>
        <w:rPr>
          <w:rFonts w:ascii="Palatino Linotype" w:eastAsia="Palatino Linotype" w:hAnsi="Palatino Linotype" w:cs="Palatino Linotype"/>
          <w:sz w:val="22"/>
          <w:szCs w:val="22"/>
        </w:rPr>
        <w:t>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67234E" w:rsidRDefault="006E4B40">
      <w:pPr>
        <w:ind w:left="426" w:right="701"/>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br/>
      </w:r>
      <w:r>
        <w:rPr>
          <w:rFonts w:ascii="Palatino Linotype" w:eastAsia="Palatino Linotype" w:hAnsi="Palatino Linotype" w:cs="Palatino Linotype"/>
          <w:b/>
          <w:bCs/>
          <w:i/>
          <w:iCs/>
          <w:sz w:val="22"/>
          <w:szCs w:val="22"/>
        </w:rPr>
        <w:t xml:space="preserve">"Las solicitudes anónimas, </w:t>
      </w:r>
      <w:r>
        <w:rPr>
          <w:rFonts w:ascii="Palatino Linotype" w:eastAsia="Palatino Linotype" w:hAnsi="Palatino Linotype" w:cs="Palatino Linotype"/>
          <w:i/>
          <w:iCs/>
          <w:sz w:val="22"/>
          <w:szCs w:val="22"/>
        </w:rPr>
        <w:t>con nombre incompleto o seudónimo </w:t>
      </w:r>
      <w:r>
        <w:rPr>
          <w:rFonts w:ascii="Palatino Linotype" w:eastAsia="Palatino Linotype" w:hAnsi="Palatino Linotype" w:cs="Palatino Linotype"/>
          <w:b/>
          <w:bCs/>
          <w:i/>
          <w:iCs/>
          <w:sz w:val="22"/>
          <w:szCs w:val="22"/>
        </w:rPr>
        <w:t>serán procedentes para su trámite por parte del sujeto obligado ante quien se presente.</w:t>
      </w:r>
      <w:r>
        <w:rPr>
          <w:rFonts w:ascii="Palatino Linotype" w:eastAsia="Palatino Linotype" w:hAnsi="Palatino Linotype" w:cs="Palatino Linotype"/>
          <w:i/>
          <w:iCs/>
          <w:sz w:val="22"/>
          <w:szCs w:val="22"/>
        </w:rPr>
        <w:t xml:space="preserve"> No podrá requerirse información adicional con motivo del nombre proporcionado por el solicitante."</w:t>
      </w:r>
    </w:p>
    <w:p w:rsidR="0067234E" w:rsidRDefault="006E4B40">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w:t>
      </w:r>
      <w:r>
        <w:rPr>
          <w:rFonts w:ascii="Palatino Linotype" w:eastAsia="Palatino Linotype" w:hAnsi="Palatino Linotype" w:cs="Palatino Linotype"/>
          <w:sz w:val="22"/>
          <w:szCs w:val="22"/>
        </w:rPr>
        <w:t>ansparencia y Acceso a la Información Pública del Estado de México y Municipios, en atención a que fue presentado mediante el formato visible en el SAIMEX.</w:t>
      </w:r>
    </w:p>
    <w:p w:rsidR="0067234E" w:rsidRDefault="006E4B40">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resulta procedente la interposición del recurso de revisión al rubro anotado, toda vez que</w:t>
      </w:r>
      <w:r>
        <w:rPr>
          <w:rFonts w:ascii="Palatino Linotype" w:eastAsia="Palatino Linotype" w:hAnsi="Palatino Linotype" w:cs="Palatino Linotype"/>
          <w:sz w:val="22"/>
          <w:szCs w:val="22"/>
        </w:rPr>
        <w:t xml:space="preserve"> se actualiza las hipótesis previstas en el artículo 179, fracciones V de la ley de la materia, que a la letra dice:</w:t>
      </w:r>
    </w:p>
    <w:p w:rsidR="0067234E" w:rsidRDefault="006E4B40">
      <w:pPr>
        <w:spacing w:line="360" w:lineRule="auto"/>
        <w:ind w:left="851" w:right="1041"/>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 xml:space="preserve">Artículo 179. </w:t>
      </w:r>
      <w:r>
        <w:rPr>
          <w:rFonts w:ascii="Palatino Linotype" w:eastAsia="Palatino Linotype" w:hAnsi="Palatino Linotype" w:cs="Palatino Linotype"/>
          <w:i/>
          <w:iCs/>
          <w:sz w:val="22"/>
          <w:szCs w:val="22"/>
        </w:rPr>
        <w:t>El recurso de revisión es un medio de protección que la Ley otorga a los particulares, para hacer valer su derecho de acceso</w:t>
      </w:r>
      <w:r>
        <w:rPr>
          <w:rFonts w:ascii="Palatino Linotype" w:eastAsia="Palatino Linotype" w:hAnsi="Palatino Linotype" w:cs="Palatino Linotype"/>
          <w:i/>
          <w:iCs/>
          <w:sz w:val="22"/>
          <w:szCs w:val="22"/>
        </w:rPr>
        <w:t xml:space="preserve"> a la información pública, y procederá en contra de las siguientes causas:</w:t>
      </w:r>
    </w:p>
    <w:p w:rsidR="0067234E" w:rsidRDefault="006E4B40">
      <w:pPr>
        <w:spacing w:line="360" w:lineRule="auto"/>
        <w:ind w:left="851" w:right="1041"/>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67234E" w:rsidRDefault="006E4B40">
      <w:pPr>
        <w:spacing w:line="360" w:lineRule="auto"/>
        <w:ind w:left="851" w:right="1041"/>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V. La entrega de información incompleta;</w:t>
      </w:r>
    </w:p>
    <w:p w:rsidR="0067234E" w:rsidRDefault="006E4B40">
      <w:pPr>
        <w:spacing w:line="360" w:lineRule="auto"/>
        <w:ind w:left="851" w:right="1041"/>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67234E" w:rsidRDefault="006E4B40">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Tercero. Materia de la revisión. </w:t>
      </w:r>
      <w:r>
        <w:rPr>
          <w:rFonts w:ascii="Palatino Linotype" w:eastAsia="Palatino Linotype" w:hAnsi="Palatino Linotype" w:cs="Palatino Linotype"/>
          <w:sz w:val="22"/>
          <w:szCs w:val="22"/>
        </w:rPr>
        <w:t>De la revisión a las constancias y documentos que obran en el expediente electrónico se advierte, que e</w:t>
      </w:r>
      <w:r>
        <w:rPr>
          <w:rFonts w:ascii="Palatino Linotype" w:eastAsia="Palatino Linotype" w:hAnsi="Palatino Linotype" w:cs="Palatino Linotype"/>
          <w:sz w:val="22"/>
          <w:szCs w:val="22"/>
        </w:rPr>
        <w:t xml:space="preserve">l tema sobre el que este Organismo Garante de Transparencia y Acceso a la Información se pronunciará será: </w:t>
      </w:r>
      <w:r>
        <w:rPr>
          <w:rFonts w:ascii="Palatino Linotype" w:eastAsia="Palatino Linotype" w:hAnsi="Palatino Linotype" w:cs="Palatino Linotype"/>
          <w:b/>
          <w:bCs/>
          <w:sz w:val="22"/>
          <w:szCs w:val="22"/>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sz w:val="22"/>
          <w:szCs w:val="22"/>
        </w:rPr>
        <w:t xml:space="preserve">de la parte </w:t>
      </w:r>
      <w:r>
        <w:rPr>
          <w:rFonts w:ascii="Palatino Linotype" w:eastAsia="Palatino Linotype" w:hAnsi="Palatino Linotype" w:cs="Palatino Linotype"/>
          <w:b/>
          <w:bCs/>
          <w:sz w:val="22"/>
          <w:szCs w:val="22"/>
        </w:rPr>
        <w:t>Recurrente</w:t>
      </w:r>
      <w:r>
        <w:rPr>
          <w:rFonts w:ascii="Palatino Linotype" w:eastAsia="Palatino Linotype" w:hAnsi="Palatino Linotype" w:cs="Palatino Linotype"/>
          <w:sz w:val="22"/>
          <w:szCs w:val="22"/>
        </w:rPr>
        <w:t>, o en su defecto, en caso de ser procedente, ordenar la entrega de información.</w:t>
      </w:r>
    </w:p>
    <w:p w:rsidR="0067234E" w:rsidRDefault="006E4B4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Cuarto. Estudio del asunto. </w:t>
      </w:r>
      <w:r>
        <w:rPr>
          <w:rFonts w:ascii="Palatino Linotype" w:eastAsia="Palatino Linotype" w:hAnsi="Palatino Linotype" w:cs="Palatino Linotype"/>
          <w:sz w:val="22"/>
          <w:szCs w:val="22"/>
        </w:rPr>
        <w:t xml:space="preserve">En principio, es conveniente analizar si la respuesta del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cumple con los requisitos y procedimientos del dere</w:t>
      </w:r>
      <w:r>
        <w:rPr>
          <w:rFonts w:ascii="Palatino Linotype" w:eastAsia="Palatino Linotype" w:hAnsi="Palatino Linotype" w:cs="Palatino Linotype"/>
          <w:sz w:val="22"/>
          <w:szCs w:val="22"/>
        </w:rPr>
        <w:t>cho de acceso a la información pública, en atención a que en la Ley de Transparencia y Acceso a la Información Pública del Estado de México y Municipios en su artículo 4, que dice que toda la información generada, obtenida, adquirida, transformada, adminis</w:t>
      </w:r>
      <w:r>
        <w:rPr>
          <w:rFonts w:ascii="Palatino Linotype" w:eastAsia="Palatino Linotype" w:hAnsi="Palatino Linotype" w:cs="Palatino Linotype"/>
          <w:sz w:val="22"/>
          <w:szCs w:val="22"/>
        </w:rPr>
        <w:t>trada o en posesión de los sujetos obligados es pública y accesible de manera permanente a cualquier persona, privilegiando el principio de máxima publicidad, como así lo establece dicha determinación, que a continuación se trascribe para un mejor entendim</w:t>
      </w:r>
      <w:r>
        <w:rPr>
          <w:rFonts w:ascii="Palatino Linotype" w:eastAsia="Palatino Linotype" w:hAnsi="Palatino Linotype" w:cs="Palatino Linotype"/>
          <w:sz w:val="22"/>
          <w:szCs w:val="22"/>
        </w:rPr>
        <w:t>iento:</w:t>
      </w:r>
    </w:p>
    <w:p w:rsidR="0067234E" w:rsidRDefault="0067234E">
      <w:pPr>
        <w:spacing w:line="360" w:lineRule="auto"/>
        <w:jc w:val="both"/>
        <w:rPr>
          <w:rFonts w:ascii="Palatino Linotype" w:eastAsia="Palatino Linotype" w:hAnsi="Palatino Linotype" w:cs="Palatino Linotype"/>
          <w:sz w:val="22"/>
          <w:szCs w:val="22"/>
        </w:rPr>
      </w:pPr>
    </w:p>
    <w:p w:rsidR="0067234E" w:rsidRDefault="006E4B40">
      <w:pPr>
        <w:spacing w:line="360"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4</w:t>
      </w:r>
      <w:r>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67234E" w:rsidRDefault="006E4B40">
      <w:pPr>
        <w:spacing w:line="360"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iCs/>
          <w:sz w:val="22"/>
          <w:szCs w:val="22"/>
        </w:rPr>
        <w:t>, en los términos y condiciones que se establezcan en los tratados internaci</w:t>
      </w:r>
      <w:r>
        <w:rPr>
          <w:rFonts w:ascii="Palatino Linotype" w:eastAsia="Palatino Linotype" w:hAnsi="Palatino Linotype" w:cs="Palatino Linotype"/>
          <w:i/>
          <w:iCs/>
          <w:sz w:val="22"/>
          <w:szCs w:val="22"/>
        </w:rPr>
        <w:t>onales de los que el Estado mexicano sea parte, en la Ley General, la presente Ley y demás disposiciones de la materia, privilegiando el principio de máxima publicidad de la información. Solo podrá ser clasificada excepcionalmente Ley de Transparencia y Ac</w:t>
      </w:r>
      <w:r>
        <w:rPr>
          <w:rFonts w:ascii="Palatino Linotype" w:eastAsia="Palatino Linotype" w:hAnsi="Palatino Linotype" w:cs="Palatino Linotype"/>
          <w:i/>
          <w:iCs/>
          <w:sz w:val="22"/>
          <w:szCs w:val="22"/>
        </w:rPr>
        <w:t>ceso a la Información Pública del Estado de México y Municipios 29 como reservada temporalmente por razones de interés público, en los términos de las causas legítimas y estrictamente necesarias previstas por esta Ley.</w:t>
      </w:r>
    </w:p>
    <w:p w:rsidR="0067234E" w:rsidRDefault="006E4B40">
      <w:pPr>
        <w:spacing w:line="360"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Los sujetos obligados deben poner en </w:t>
      </w:r>
      <w:r>
        <w:rPr>
          <w:rFonts w:ascii="Palatino Linotype" w:eastAsia="Palatino Linotype" w:hAnsi="Palatino Linotype" w:cs="Palatino Linotype"/>
          <w:b/>
          <w:bCs/>
          <w:i/>
          <w:iCs/>
          <w:sz w:val="22"/>
          <w:szCs w:val="22"/>
        </w:rPr>
        <w:t>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iCs/>
          <w:sz w:val="22"/>
          <w:szCs w:val="22"/>
        </w:rPr>
        <w:t>.”</w:t>
      </w:r>
    </w:p>
    <w:p w:rsidR="0067234E" w:rsidRDefault="0067234E">
      <w:pPr>
        <w:spacing w:line="360" w:lineRule="auto"/>
        <w:jc w:val="both"/>
        <w:rPr>
          <w:rFonts w:ascii="Palatino Linotype" w:eastAsia="Palatino Linotype" w:hAnsi="Palatino Linotype" w:cs="Palatino Linotype"/>
          <w:sz w:val="22"/>
          <w:szCs w:val="22"/>
        </w:rPr>
      </w:pPr>
    </w:p>
    <w:p w:rsidR="0067234E" w:rsidRDefault="006E4B4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Esto es, que los Sujetos Obligados tiene la obligación o deber de atend</w:t>
      </w:r>
      <w:r>
        <w:rPr>
          <w:rFonts w:ascii="Palatino Linotype" w:eastAsia="Palatino Linotype" w:hAnsi="Palatino Linotype" w:cs="Palatino Linotype"/>
          <w:sz w:val="22"/>
          <w:szCs w:val="22"/>
        </w:rPr>
        <w:t>er las solicitudes de acceso a la información pública que se les hagan de su conocimiento y proporcionar la información pública que obren en su poder conforme el estado que se encuentra y no hacer un procesamiento de la misma, ni presentarla conforme al in</w:t>
      </w:r>
      <w:r>
        <w:rPr>
          <w:rFonts w:ascii="Palatino Linotype" w:eastAsia="Palatino Linotype" w:hAnsi="Palatino Linotype" w:cs="Palatino Linotype"/>
          <w:sz w:val="22"/>
          <w:szCs w:val="22"/>
        </w:rPr>
        <w:t>terés del solicitante; como así lo establece el artículo 12 de la Ley de Transparencia y Acceso a la Información Pública del Estado de México y Municipios, que a la letra dice:</w:t>
      </w:r>
    </w:p>
    <w:p w:rsidR="0067234E" w:rsidRDefault="0067234E">
      <w:pPr>
        <w:spacing w:line="360" w:lineRule="auto"/>
        <w:jc w:val="both"/>
        <w:rPr>
          <w:rFonts w:ascii="Palatino Linotype" w:eastAsia="Palatino Linotype" w:hAnsi="Palatino Linotype" w:cs="Palatino Linotype"/>
          <w:sz w:val="22"/>
          <w:szCs w:val="22"/>
        </w:rPr>
      </w:pPr>
    </w:p>
    <w:p w:rsidR="0067234E" w:rsidRDefault="006E4B40">
      <w:pPr>
        <w:spacing w:line="360"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12.-</w:t>
      </w:r>
      <w:r>
        <w:rPr>
          <w:rFonts w:ascii="Palatino Linotype" w:eastAsia="Palatino Linotype" w:hAnsi="Palatino Linotype" w:cs="Palatino Linotype"/>
          <w:i/>
          <w:iCs/>
          <w:sz w:val="22"/>
          <w:szCs w:val="22"/>
        </w:rPr>
        <w:t xml:space="preserve"> Quienes generen, recopilen, administren, manejen, procesen, arc</w:t>
      </w:r>
      <w:r>
        <w:rPr>
          <w:rFonts w:ascii="Palatino Linotype" w:eastAsia="Palatino Linotype" w:hAnsi="Palatino Linotype" w:cs="Palatino Linotype"/>
          <w:i/>
          <w:iCs/>
          <w:sz w:val="22"/>
          <w:szCs w:val="22"/>
        </w:rPr>
        <w:t xml:space="preserve">hiven o conserven información pública serán responsables de la misma en los términos de las disposiciones jurídicas aplicables. </w:t>
      </w:r>
    </w:p>
    <w:p w:rsidR="0067234E" w:rsidRDefault="0067234E">
      <w:pPr>
        <w:spacing w:line="360" w:lineRule="auto"/>
        <w:ind w:left="567" w:right="616"/>
        <w:jc w:val="both"/>
        <w:rPr>
          <w:rFonts w:ascii="Palatino Linotype" w:eastAsia="Palatino Linotype" w:hAnsi="Palatino Linotype" w:cs="Palatino Linotype"/>
          <w:i/>
          <w:iCs/>
          <w:sz w:val="22"/>
          <w:szCs w:val="22"/>
        </w:rPr>
      </w:pPr>
    </w:p>
    <w:p w:rsidR="0067234E" w:rsidRDefault="006E4B40">
      <w:pPr>
        <w:spacing w:line="360"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w:t>
      </w:r>
      <w:r>
        <w:rPr>
          <w:rFonts w:ascii="Palatino Linotype" w:eastAsia="Palatino Linotype" w:hAnsi="Palatino Linotype" w:cs="Palatino Linotype"/>
          <w:b/>
          <w:bCs/>
          <w:i/>
          <w:iCs/>
          <w:sz w:val="22"/>
          <w:szCs w:val="22"/>
        </w:rPr>
        <w:t xml:space="preserve"> en que ésta se encuentre</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La obligación de proporcionar información no comprende el procesamiento de la misma, ni el presentarla conforme al interés del solicitante; no estarán obligados a generarla, resumirla, efectuar cálculos o practicar investigacione</w:t>
      </w:r>
      <w:r>
        <w:rPr>
          <w:rFonts w:ascii="Palatino Linotype" w:eastAsia="Palatino Linotype" w:hAnsi="Palatino Linotype" w:cs="Palatino Linotype"/>
          <w:b/>
          <w:bCs/>
          <w:i/>
          <w:iCs/>
          <w:sz w:val="22"/>
          <w:szCs w:val="22"/>
        </w:rPr>
        <w:t xml:space="preserve">s.” </w:t>
      </w:r>
    </w:p>
    <w:p w:rsidR="0067234E" w:rsidRDefault="0067234E">
      <w:pPr>
        <w:spacing w:line="360" w:lineRule="auto"/>
        <w:ind w:right="-93"/>
        <w:jc w:val="both"/>
        <w:rPr>
          <w:rFonts w:ascii="Palatino Linotype" w:eastAsia="Palatino Linotype" w:hAnsi="Palatino Linotype" w:cs="Palatino Linotype"/>
          <w:sz w:val="22"/>
          <w:szCs w:val="22"/>
        </w:rPr>
      </w:pPr>
    </w:p>
    <w:p w:rsidR="0067234E" w:rsidRDefault="006E4B40">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w:t>
      </w:r>
      <w:r>
        <w:rPr>
          <w:rFonts w:ascii="Palatino Linotype" w:eastAsia="Palatino Linotype" w:hAnsi="Palatino Linotype" w:cs="Palatino Linotype"/>
          <w:sz w:val="22"/>
          <w:szCs w:val="22"/>
        </w:rPr>
        <w:t>rocedimientos para obtenerla, calcular y practicar investigaciones; en otras palabras, que los Sujetos Obligados solo se concretaran a proporcionar la información solicitada que tengan en su poder en el estado que se encuentran, sin necesidad de concretars</w:t>
      </w:r>
      <w:r>
        <w:rPr>
          <w:rFonts w:ascii="Palatino Linotype" w:eastAsia="Palatino Linotype" w:hAnsi="Palatino Linotype" w:cs="Palatino Linotype"/>
          <w:sz w:val="22"/>
          <w:szCs w:val="22"/>
        </w:rPr>
        <w:t>e al interés o términos específicos del solicitante.</w:t>
      </w:r>
    </w:p>
    <w:p w:rsidR="0067234E" w:rsidRDefault="0067234E">
      <w:pPr>
        <w:spacing w:line="360" w:lineRule="auto"/>
        <w:ind w:right="-93"/>
        <w:jc w:val="both"/>
        <w:rPr>
          <w:rFonts w:ascii="Palatino Linotype" w:eastAsia="Palatino Linotype" w:hAnsi="Palatino Linotype" w:cs="Palatino Linotype"/>
          <w:sz w:val="22"/>
          <w:szCs w:val="22"/>
        </w:rPr>
      </w:pPr>
    </w:p>
    <w:p w:rsidR="0067234E" w:rsidRDefault="006E4B40">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Pr>
          <w:rFonts w:ascii="Palatino Linotype" w:eastAsia="Palatino Linotype" w:hAnsi="Palatino Linotype" w:cs="Palatino Linotype"/>
          <w:b/>
          <w:bCs/>
          <w:sz w:val="22"/>
          <w:szCs w:val="22"/>
        </w:rPr>
        <w:t xml:space="preserve"> </w:t>
      </w:r>
    </w:p>
    <w:p w:rsidR="0067234E" w:rsidRDefault="0067234E">
      <w:pPr>
        <w:spacing w:line="360" w:lineRule="auto"/>
        <w:jc w:val="both"/>
        <w:rPr>
          <w:rFonts w:ascii="Palatino Linotype" w:eastAsia="Palatino Linotype" w:hAnsi="Palatino Linotype" w:cs="Palatino Linotype"/>
          <w:b/>
          <w:bCs/>
          <w:sz w:val="22"/>
          <w:szCs w:val="22"/>
        </w:rPr>
      </w:pPr>
    </w:p>
    <w:p w:rsidR="0067234E" w:rsidRDefault="006E4B40">
      <w:pPr>
        <w:spacing w:line="360"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No existe</w:t>
      </w:r>
      <w:r>
        <w:rPr>
          <w:rFonts w:ascii="Palatino Linotype" w:eastAsia="Palatino Linotype" w:hAnsi="Palatino Linotype" w:cs="Palatino Linotype"/>
          <w:b/>
          <w:bCs/>
          <w:i/>
          <w:iCs/>
          <w:sz w:val="22"/>
          <w:szCs w:val="22"/>
        </w:rPr>
        <w:t xml:space="preserve"> obligación de elaborar documentos ad hoc para atender las solicitudes de acceso a la información.</w:t>
      </w:r>
      <w:r>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w:t>
      </w:r>
      <w:r>
        <w:rPr>
          <w:rFonts w:ascii="Palatino Linotype" w:eastAsia="Palatino Linotype" w:hAnsi="Palatino Linotype" w:cs="Palatino Linotype"/>
          <w:i/>
          <w:iCs/>
          <w:sz w:val="22"/>
          <w:szCs w:val="22"/>
        </w:rPr>
        <w:t>a Información Pública, señalan que los sujetos obligados deberán otorgar acceso a los documentos que se encuentren en sus archivos o que estén obligados a documentar, de acuerdo con sus facultades, competencias o funciones, conforme a las características f</w:t>
      </w:r>
      <w:r>
        <w:rPr>
          <w:rFonts w:ascii="Palatino Linotype" w:eastAsia="Palatino Linotype" w:hAnsi="Palatino Linotype" w:cs="Palatino Linotype"/>
          <w:i/>
          <w:iCs/>
          <w:sz w:val="22"/>
          <w:szCs w:val="22"/>
        </w:rPr>
        <w:t>ísicas de la información o del lugar donde se encuentre. Por lo anterior, los sujetos obligados deben garantizar el derecho de acceso a la información del particular, proporcionando la información con la que cuentan en el formato en que la misma obre en su</w:t>
      </w:r>
      <w:r>
        <w:rPr>
          <w:rFonts w:ascii="Palatino Linotype" w:eastAsia="Palatino Linotype" w:hAnsi="Palatino Linotype" w:cs="Palatino Linotype"/>
          <w:i/>
          <w:iCs/>
          <w:sz w:val="22"/>
          <w:szCs w:val="22"/>
        </w:rPr>
        <w:t xml:space="preserve">s archivos; sin necesidad de elaborar documentos ad hoc para atender las solicitudes de información”. </w:t>
      </w:r>
    </w:p>
    <w:p w:rsidR="0067234E" w:rsidRDefault="0067234E">
      <w:pPr>
        <w:spacing w:line="360" w:lineRule="auto"/>
        <w:ind w:right="-93"/>
        <w:jc w:val="both"/>
        <w:rPr>
          <w:rFonts w:ascii="Palatino Linotype" w:eastAsia="Palatino Linotype" w:hAnsi="Palatino Linotype" w:cs="Palatino Linotype"/>
          <w:sz w:val="22"/>
          <w:szCs w:val="22"/>
        </w:rPr>
      </w:pPr>
    </w:p>
    <w:p w:rsidR="0067234E" w:rsidRDefault="006E4B4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w:t>
      </w:r>
      <w:r>
        <w:rPr>
          <w:rFonts w:ascii="Palatino Linotype" w:eastAsia="Palatino Linotype" w:hAnsi="Palatino Linotype" w:cs="Palatino Linotype"/>
          <w:sz w:val="22"/>
          <w:szCs w:val="22"/>
        </w:rPr>
        <w:t>ca que generen, administren o posean en el ejercicio de sus atribuciones; por consiguiente, la información pública se encuentra a disposición de cualquier persona, lo que implica que es deber de los Sujetos Obligados, garantizar el Derecho de Acceso a la I</w:t>
      </w:r>
      <w:r>
        <w:rPr>
          <w:rFonts w:ascii="Palatino Linotype" w:eastAsia="Palatino Linotype" w:hAnsi="Palatino Linotype" w:cs="Palatino Linotype"/>
          <w:sz w:val="22"/>
          <w:szCs w:val="22"/>
        </w:rPr>
        <w:t>nformación Pública.</w:t>
      </w:r>
    </w:p>
    <w:p w:rsidR="0067234E" w:rsidRDefault="0067234E">
      <w:pPr>
        <w:spacing w:line="360" w:lineRule="auto"/>
        <w:jc w:val="both"/>
        <w:rPr>
          <w:rFonts w:ascii="Palatino Linotype" w:eastAsia="Palatino Linotype" w:hAnsi="Palatino Linotype" w:cs="Palatino Linotype"/>
          <w:sz w:val="22"/>
          <w:szCs w:val="22"/>
        </w:rPr>
      </w:pPr>
    </w:p>
    <w:p w:rsidR="0067234E" w:rsidRDefault="006E4B40">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w:t>
      </w:r>
      <w:r>
        <w:rPr>
          <w:rFonts w:ascii="Palatino Linotype" w:eastAsia="Palatino Linotype" w:hAnsi="Palatino Linotype" w:cs="Palatino Linotype"/>
          <w:sz w:val="22"/>
          <w:szCs w:val="22"/>
        </w:rPr>
        <w:t>ón a través del acuerdo clasificatorio del comité de transparencia y la versión pública que emita el servidor público habilitado de cada Sujeto Obligado; como así se establece en la Ley de Transparencia y Acceso a la Información Pública del Estado de Méxic</w:t>
      </w:r>
      <w:r>
        <w:rPr>
          <w:rFonts w:ascii="Palatino Linotype" w:eastAsia="Palatino Linotype" w:hAnsi="Palatino Linotype" w:cs="Palatino Linotype"/>
          <w:sz w:val="22"/>
          <w:szCs w:val="22"/>
        </w:rPr>
        <w:t>o y Municipios.</w:t>
      </w:r>
    </w:p>
    <w:p w:rsidR="0067234E" w:rsidRDefault="0067234E">
      <w:pPr>
        <w:spacing w:line="360" w:lineRule="auto"/>
        <w:ind w:right="49"/>
        <w:jc w:val="both"/>
        <w:rPr>
          <w:rFonts w:ascii="Palatino Linotype" w:eastAsia="Palatino Linotype" w:hAnsi="Palatino Linotype" w:cs="Palatino Linotype"/>
          <w:sz w:val="22"/>
          <w:szCs w:val="22"/>
        </w:rPr>
      </w:pPr>
    </w:p>
    <w:p w:rsidR="0067234E" w:rsidRDefault="006E4B4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conclusión, el derecho de acceso a la información pública, consiste en que la información solicitada conste en un documento en cualquiera de sus formas, a saber: expedientes, reportes, estudios, actas, resoluciones, oficios, corresponde</w:t>
      </w:r>
      <w:r>
        <w:rPr>
          <w:rFonts w:ascii="Palatino Linotype" w:eastAsia="Palatino Linotype" w:hAnsi="Palatino Linotype" w:cs="Palatino Linotype"/>
          <w:sz w:val="22"/>
          <w:szCs w:val="22"/>
        </w:rPr>
        <w:t>ncia, acuerdos, directivas, directrices, circulares, contratos, convenios, instructivos, notas, memorandos, estadísticas o bien, cualquier otro registro que documente el ejercicio de las facultades, funciones y competencias de los Sujetos Obligados; los qu</w:t>
      </w:r>
      <w:r>
        <w:rPr>
          <w:rFonts w:ascii="Palatino Linotype" w:eastAsia="Palatino Linotype" w:hAnsi="Palatino Linotype" w:cs="Palatino Linotype"/>
          <w:sz w:val="22"/>
          <w:szCs w:val="22"/>
        </w:rPr>
        <w:t xml:space="preserve">e, podrán estar en cualquier medio, sea escrito, impreso, sonoro, visual, electrónico, informático u holográfico de conformidad con el artículo 3, fracción XI de la Ley de la materia, el cual señala lo siguiente: </w:t>
      </w:r>
    </w:p>
    <w:p w:rsidR="0067234E" w:rsidRDefault="0067234E">
      <w:pPr>
        <w:spacing w:line="360" w:lineRule="auto"/>
        <w:ind w:left="567" w:right="616"/>
        <w:jc w:val="both"/>
        <w:rPr>
          <w:rFonts w:ascii="Palatino Linotype" w:eastAsia="Palatino Linotype" w:hAnsi="Palatino Linotype" w:cs="Palatino Linotype"/>
          <w:i/>
          <w:iCs/>
          <w:sz w:val="22"/>
          <w:szCs w:val="22"/>
        </w:rPr>
      </w:pPr>
    </w:p>
    <w:p w:rsidR="0067234E" w:rsidRDefault="006E4B40">
      <w:pPr>
        <w:spacing w:line="360"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 xml:space="preserve">Artículo 3. </w:t>
      </w:r>
      <w:r>
        <w:rPr>
          <w:rFonts w:ascii="Palatino Linotype" w:eastAsia="Palatino Linotype" w:hAnsi="Palatino Linotype" w:cs="Palatino Linotype"/>
          <w:i/>
          <w:iCs/>
          <w:sz w:val="22"/>
          <w:szCs w:val="22"/>
        </w:rPr>
        <w:t>Para los efectos de la prese</w:t>
      </w:r>
      <w:r>
        <w:rPr>
          <w:rFonts w:ascii="Palatino Linotype" w:eastAsia="Palatino Linotype" w:hAnsi="Palatino Linotype" w:cs="Palatino Linotype"/>
          <w:i/>
          <w:iCs/>
          <w:sz w:val="22"/>
          <w:szCs w:val="22"/>
        </w:rPr>
        <w:t>nte Ley se entenderá por:</w:t>
      </w:r>
    </w:p>
    <w:p w:rsidR="0067234E" w:rsidRDefault="006E4B40">
      <w:pPr>
        <w:spacing w:line="360"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67234E" w:rsidRDefault="006E4B40">
      <w:pPr>
        <w:spacing w:line="360"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XI. Documento:</w:t>
      </w:r>
      <w:r>
        <w:rPr>
          <w:rFonts w:ascii="Palatino Linotype" w:eastAsia="Palatino Linotype" w:hAnsi="Palatino Linotype" w:cs="Palatino Linotype"/>
          <w:i/>
          <w:iCs/>
          <w:sz w:val="22"/>
          <w:szCs w:val="22"/>
        </w:rPr>
        <w:t xml:space="preserve"> Los expedientes, reportes, estudios, actas</w:t>
      </w:r>
      <w:r>
        <w:rPr>
          <w:rFonts w:ascii="Palatino Linotype" w:eastAsia="Palatino Linotype" w:hAnsi="Palatino Linotype" w:cs="Palatino Linotype"/>
          <w:b/>
          <w:bCs/>
          <w:i/>
          <w:iCs/>
          <w:sz w:val="22"/>
          <w:szCs w:val="22"/>
        </w:rPr>
        <w:t>,</w:t>
      </w:r>
      <w:r>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w:t>
      </w:r>
      <w:r>
        <w:rPr>
          <w:rFonts w:ascii="Palatino Linotype" w:eastAsia="Palatino Linotype" w:hAnsi="Palatino Linotype" w:cs="Palatino Linotype"/>
          <w:i/>
          <w:iCs/>
          <w:sz w:val="22"/>
          <w:szCs w:val="22"/>
        </w:rPr>
        <w:t xml:space="preserve">as de los sujetos obligados, sus servidores públicos e integrantes, sin importar su fuente o fecha de elaboración. Los documentos podrán estar en cualquier medio, sea escrito, impreso, sonoro, visual, electrónico, informático u holográfico…” </w:t>
      </w:r>
    </w:p>
    <w:p w:rsidR="0067234E" w:rsidRDefault="0067234E">
      <w:pPr>
        <w:spacing w:line="360" w:lineRule="auto"/>
        <w:ind w:left="851" w:right="899"/>
        <w:jc w:val="both"/>
        <w:rPr>
          <w:rFonts w:ascii="Palatino Linotype" w:eastAsia="Palatino Linotype" w:hAnsi="Palatino Linotype" w:cs="Palatino Linotype"/>
          <w:sz w:val="22"/>
          <w:szCs w:val="22"/>
        </w:rPr>
      </w:pPr>
    </w:p>
    <w:p w:rsidR="0067234E" w:rsidRDefault="006E4B4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Siendo aplic</w:t>
      </w:r>
      <w:r>
        <w:rPr>
          <w:rFonts w:ascii="Palatino Linotype" w:eastAsia="Palatino Linotype" w:hAnsi="Palatino Linotype" w:cs="Palatino Linotype"/>
          <w:sz w:val="22"/>
          <w:szCs w:val="22"/>
        </w:rPr>
        <w:t xml:space="preserve">able, el Criterio de interpretación en el orden administrativo número 0002-11, emitido por Acuerdo del Pleno del Instituto de Transparencia y Acceso a la Información Pública del Estado de México y Municipios; publicado en el Periódico Oficial del Gobierno </w:t>
      </w:r>
      <w:r>
        <w:rPr>
          <w:rFonts w:ascii="Palatino Linotype" w:eastAsia="Palatino Linotype" w:hAnsi="Palatino Linotype" w:cs="Palatino Linotype"/>
          <w:sz w:val="22"/>
          <w:szCs w:val="22"/>
        </w:rPr>
        <w:t>del Estado Libre y Soberano de México “Gaceta del Gobierno”, el diecinueve de octubre de dos mil once, cuyo rubro y texto refieren lo siguiente:</w:t>
      </w:r>
    </w:p>
    <w:p w:rsidR="0067234E" w:rsidRDefault="0067234E">
      <w:pPr>
        <w:spacing w:line="360" w:lineRule="auto"/>
        <w:jc w:val="both"/>
        <w:rPr>
          <w:rFonts w:ascii="Palatino Linotype" w:eastAsia="Palatino Linotype" w:hAnsi="Palatino Linotype" w:cs="Palatino Linotype"/>
          <w:sz w:val="22"/>
          <w:szCs w:val="22"/>
        </w:rPr>
      </w:pPr>
    </w:p>
    <w:p w:rsidR="0067234E" w:rsidRDefault="006E4B40">
      <w:pPr>
        <w:spacing w:line="360" w:lineRule="auto"/>
        <w:ind w:left="567" w:right="616"/>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sz w:val="22"/>
          <w:szCs w:val="22"/>
        </w:rPr>
        <w:t>“</w:t>
      </w:r>
      <w:r>
        <w:rPr>
          <w:rFonts w:ascii="Palatino Linotype" w:eastAsia="Palatino Linotype" w:hAnsi="Palatino Linotype" w:cs="Palatino Linotype"/>
          <w:b/>
          <w:bCs/>
          <w:i/>
          <w:iCs/>
          <w:sz w:val="22"/>
          <w:szCs w:val="22"/>
        </w:rPr>
        <w:t>CRITERIO 0002-11. INFORMACIÓN PÚBLICA, CONCEPTO DE, EN MATERIA DE TRANSPARENCIA. INTERPRETACIÓN SISTEMÁTICA D</w:t>
      </w:r>
      <w:r>
        <w:rPr>
          <w:rFonts w:ascii="Palatino Linotype" w:eastAsia="Palatino Linotype" w:hAnsi="Palatino Linotype" w:cs="Palatino Linotype"/>
          <w:b/>
          <w:bCs/>
          <w:i/>
          <w:iCs/>
          <w:sz w:val="22"/>
          <w:szCs w:val="22"/>
        </w:rPr>
        <w:t>E LOS ARTÍCULOS 2°, FRACCIÓN V, XV, Y XVI, 3°, 4°, 11 Y 41.</w:t>
      </w:r>
      <w:r>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w:t>
      </w:r>
      <w:r>
        <w:rPr>
          <w:rFonts w:ascii="Palatino Linotype" w:eastAsia="Palatino Linotype" w:hAnsi="Palatino Linotype" w:cs="Palatino Linotype"/>
          <w:i/>
          <w:iCs/>
          <w:sz w:val="22"/>
          <w:szCs w:val="22"/>
        </w:rPr>
        <w:t>ntos públicos, administrados, generados o en posesión de los órganos u organismos públicos, en virtud del ejercicio de sus funciones de derecho público, sin importar su fuente, soporte o fecha de elaboración.</w:t>
      </w:r>
    </w:p>
    <w:p w:rsidR="0067234E" w:rsidRDefault="006E4B40">
      <w:pPr>
        <w:spacing w:line="360"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En consecuencia el acceso a la información se r</w:t>
      </w:r>
      <w:r>
        <w:rPr>
          <w:rFonts w:ascii="Palatino Linotype" w:eastAsia="Palatino Linotype" w:hAnsi="Palatino Linotype" w:cs="Palatino Linotype"/>
          <w:i/>
          <w:iCs/>
          <w:sz w:val="22"/>
          <w:szCs w:val="22"/>
        </w:rPr>
        <w:t>efiere a que se cumplan cualquiera de los siguientes tres supuestos:</w:t>
      </w:r>
    </w:p>
    <w:p w:rsidR="0067234E" w:rsidRDefault="006E4B40">
      <w:pPr>
        <w:spacing w:line="360" w:lineRule="auto"/>
        <w:ind w:left="567"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rsidR="0067234E" w:rsidRDefault="006E4B40">
      <w:pPr>
        <w:spacing w:line="360" w:lineRule="auto"/>
        <w:ind w:left="567" w:right="616"/>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2) Que se trate de información registrada en cualquier soporte documental, que en ejercicio de las atribuciones conferidas, sea administrada por los Sujetos Obligados, y</w:t>
      </w:r>
    </w:p>
    <w:p w:rsidR="0067234E" w:rsidRDefault="006E4B40">
      <w:pPr>
        <w:spacing w:line="360" w:lineRule="auto"/>
        <w:ind w:left="567" w:right="616"/>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3) Que se trate de información registrada en cualquier soporte documental, que en ejer</w:t>
      </w:r>
      <w:r>
        <w:rPr>
          <w:rFonts w:ascii="Palatino Linotype" w:eastAsia="Palatino Linotype" w:hAnsi="Palatino Linotype" w:cs="Palatino Linotype"/>
          <w:b/>
          <w:bCs/>
          <w:i/>
          <w:iCs/>
          <w:sz w:val="22"/>
          <w:szCs w:val="22"/>
        </w:rPr>
        <w:t xml:space="preserve">cicio de las atribuciones conferidas, se encuentre en posesión de los Sujetos Obligados.” </w:t>
      </w:r>
    </w:p>
    <w:p w:rsidR="0067234E" w:rsidRDefault="0067234E">
      <w:pPr>
        <w:tabs>
          <w:tab w:val="left" w:pos="8647"/>
        </w:tabs>
        <w:spacing w:line="360" w:lineRule="auto"/>
        <w:jc w:val="both"/>
        <w:rPr>
          <w:rFonts w:ascii="Palatino Linotype" w:eastAsia="Palatino Linotype" w:hAnsi="Palatino Linotype" w:cs="Palatino Linotype"/>
          <w:b/>
          <w:bCs/>
          <w:sz w:val="22"/>
          <w:szCs w:val="22"/>
        </w:rPr>
      </w:pPr>
    </w:p>
    <w:p w:rsidR="0067234E" w:rsidRDefault="006E4B40">
      <w:pPr>
        <w:spacing w:after="240"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 xml:space="preserve">Del análisis de la solicitud de información motivo del recurso de revisión que ahora se resuelve, se tiene que el Recurrente solicitó al </w:t>
      </w:r>
      <w:r>
        <w:rPr>
          <w:rFonts w:ascii="Palatino Linotype" w:eastAsia="Palatino Linotype" w:hAnsi="Palatino Linotype" w:cs="Palatino Linotype"/>
          <w:b/>
          <w:bCs/>
          <w:sz w:val="22"/>
          <w:szCs w:val="22"/>
        </w:rPr>
        <w:t>Ayuntamiento de Calimaya, l</w:t>
      </w:r>
      <w:r>
        <w:rPr>
          <w:rFonts w:ascii="Palatino Linotype" w:eastAsia="Palatino Linotype" w:hAnsi="Palatino Linotype" w:cs="Palatino Linotype"/>
          <w:b/>
          <w:bCs/>
          <w:sz w:val="22"/>
          <w:szCs w:val="22"/>
        </w:rPr>
        <w:t>o siguiente:</w:t>
      </w:r>
    </w:p>
    <w:p w:rsidR="0067234E" w:rsidRDefault="006E4B40">
      <w:pPr>
        <w:widowControl w:val="0"/>
        <w:numPr>
          <w:ilvl w:val="0"/>
          <w:numId w:val="4"/>
        </w:numPr>
        <w:pBdr>
          <w:top w:val="nil"/>
          <w:left w:val="nil"/>
          <w:bottom w:val="nil"/>
          <w:right w:val="nil"/>
          <w:between w:val="nil"/>
        </w:pBdr>
        <w:spacing w:line="360" w:lineRule="auto"/>
        <w:ind w:left="426" w:right="843"/>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Convenio entre el Municipio y el Colegio de Arquitectos del Estado de México 2025;</w:t>
      </w:r>
    </w:p>
    <w:p w:rsidR="0067234E" w:rsidRDefault="006E4B40">
      <w:pPr>
        <w:widowControl w:val="0"/>
        <w:numPr>
          <w:ilvl w:val="0"/>
          <w:numId w:val="4"/>
        </w:numPr>
        <w:pBdr>
          <w:top w:val="nil"/>
          <w:left w:val="nil"/>
          <w:bottom w:val="nil"/>
          <w:right w:val="nil"/>
          <w:between w:val="nil"/>
        </w:pBdr>
        <w:spacing w:line="360" w:lineRule="auto"/>
        <w:ind w:left="426" w:right="843"/>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Convenio entre el Municipio y la Sociedad de Urbanistas del Estado de México (SUEM) 2025; y,</w:t>
      </w:r>
    </w:p>
    <w:p w:rsidR="0067234E" w:rsidRDefault="006E4B40">
      <w:pPr>
        <w:widowControl w:val="0"/>
        <w:numPr>
          <w:ilvl w:val="0"/>
          <w:numId w:val="4"/>
        </w:numPr>
        <w:pBdr>
          <w:top w:val="nil"/>
          <w:left w:val="nil"/>
          <w:bottom w:val="nil"/>
          <w:right w:val="nil"/>
          <w:between w:val="nil"/>
        </w:pBdr>
        <w:spacing w:line="360" w:lineRule="auto"/>
        <w:ind w:left="426" w:right="843"/>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Convenio entre el Municipio y el Colegio de Ingenieros Civiles del Estado de México de 2025. </w:t>
      </w:r>
    </w:p>
    <w:p w:rsidR="0067234E" w:rsidRDefault="0067234E">
      <w:pPr>
        <w:spacing w:after="240" w:line="360" w:lineRule="auto"/>
        <w:jc w:val="both"/>
        <w:rPr>
          <w:rFonts w:ascii="Palatino Linotype" w:eastAsia="Palatino Linotype" w:hAnsi="Palatino Linotype" w:cs="Palatino Linotype"/>
          <w:sz w:val="22"/>
          <w:szCs w:val="22"/>
        </w:rPr>
      </w:pPr>
    </w:p>
    <w:p w:rsidR="0067234E" w:rsidRDefault="006E4B40">
      <w:pPr>
        <w:spacing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respuesta, el Sujeto Obligado entregó los convenios requeridos en versión pública, mientras que el agravio del Recurrente va encaminado a manifestar que la in</w:t>
      </w:r>
      <w:r>
        <w:rPr>
          <w:rFonts w:ascii="Palatino Linotype" w:eastAsia="Palatino Linotype" w:hAnsi="Palatino Linotype" w:cs="Palatino Linotype"/>
          <w:sz w:val="22"/>
          <w:szCs w:val="22"/>
        </w:rPr>
        <w:t>formación es incompleta.</w:t>
      </w:r>
    </w:p>
    <w:p w:rsidR="0067234E" w:rsidRDefault="006E4B40">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Dicho esto, se procede a contextualizar la información requerida, para ello, es menester referir que el convenio es definido por el Código Civil del Estado de México, en términos de su artículo 7.30, como: </w:t>
      </w:r>
      <w:r>
        <w:rPr>
          <w:rFonts w:ascii="Palatino Linotype" w:eastAsia="Palatino Linotype" w:hAnsi="Palatino Linotype" w:cs="Palatino Linotype"/>
          <w:i/>
          <w:iCs/>
          <w:sz w:val="22"/>
          <w:szCs w:val="22"/>
        </w:rPr>
        <w:t xml:space="preserve">“el acuerdo de dos o más </w:t>
      </w:r>
      <w:r>
        <w:rPr>
          <w:rFonts w:ascii="Palatino Linotype" w:eastAsia="Palatino Linotype" w:hAnsi="Palatino Linotype" w:cs="Palatino Linotype"/>
          <w:i/>
          <w:iCs/>
          <w:sz w:val="22"/>
          <w:szCs w:val="22"/>
        </w:rPr>
        <w:t>personas para crear, transferir, modificar o extinguir obligaciones.”</w:t>
      </w:r>
    </w:p>
    <w:p w:rsidR="0067234E" w:rsidRDefault="0067234E">
      <w:pPr>
        <w:spacing w:line="360" w:lineRule="auto"/>
        <w:ind w:right="49"/>
        <w:jc w:val="both"/>
        <w:rPr>
          <w:rFonts w:ascii="Palatino Linotype" w:eastAsia="Palatino Linotype" w:hAnsi="Palatino Linotype" w:cs="Palatino Linotype"/>
          <w:sz w:val="22"/>
          <w:szCs w:val="22"/>
        </w:rPr>
      </w:pPr>
    </w:p>
    <w:p w:rsidR="0067234E" w:rsidRDefault="006E4B40">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Ahora bien, de acuerdo con la Ley Orgánica Municipal del Estado de México, se advierte que: </w:t>
      </w:r>
    </w:p>
    <w:p w:rsidR="0067234E" w:rsidRDefault="0067234E">
      <w:pPr>
        <w:spacing w:line="360" w:lineRule="auto"/>
        <w:ind w:right="49"/>
        <w:jc w:val="both"/>
        <w:rPr>
          <w:rFonts w:ascii="Palatino Linotype" w:eastAsia="Palatino Linotype" w:hAnsi="Palatino Linotype" w:cs="Palatino Linotype"/>
          <w:sz w:val="22"/>
          <w:szCs w:val="22"/>
        </w:rPr>
      </w:pPr>
    </w:p>
    <w:p w:rsidR="0067234E" w:rsidRDefault="006E4B40">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31.-</w:t>
      </w:r>
      <w:r>
        <w:rPr>
          <w:rFonts w:ascii="Palatino Linotype" w:eastAsia="Palatino Linotype" w:hAnsi="Palatino Linotype" w:cs="Palatino Linotype"/>
          <w:i/>
          <w:iCs/>
          <w:sz w:val="22"/>
          <w:szCs w:val="22"/>
        </w:rPr>
        <w:t xml:space="preserve"> Son atribuciones de los ayuntamientos:</w:t>
      </w:r>
    </w:p>
    <w:p w:rsidR="0067234E" w:rsidRDefault="006E4B40">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67234E" w:rsidRDefault="006E4B40">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u w:val="single"/>
        </w:rPr>
        <w:t>II. Celebrar convenios, cuando así fuese necesario, con las autoridades estatales competentes</w:t>
      </w:r>
      <w:r>
        <w:rPr>
          <w:rFonts w:ascii="Palatino Linotype" w:eastAsia="Palatino Linotype" w:hAnsi="Palatino Linotype" w:cs="Palatino Linotype"/>
          <w:i/>
          <w:iCs/>
          <w:sz w:val="22"/>
          <w:szCs w:val="22"/>
        </w:rPr>
        <w:t xml:space="preserve">; en relación con la prestación de los servicios públicos a que se refiere el artículo 115, fracción III de la Constitución General, así como en lo referente a la </w:t>
      </w:r>
      <w:r>
        <w:rPr>
          <w:rFonts w:ascii="Palatino Linotype" w:eastAsia="Palatino Linotype" w:hAnsi="Palatino Linotype" w:cs="Palatino Linotype"/>
          <w:i/>
          <w:iCs/>
          <w:sz w:val="22"/>
          <w:szCs w:val="22"/>
        </w:rPr>
        <w:t>administración de contribuciones fiscales;</w:t>
      </w:r>
    </w:p>
    <w:p w:rsidR="0067234E" w:rsidRDefault="006E4B40">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67234E" w:rsidRDefault="006E4B40">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XXI Bis. Promover políticas públicas apoyadas en sistemas de financiamiento, cooperación y coordinación, que procuren el acceso a las tecnologías de la información y comunicación, específicamente servicios de ac</w:t>
      </w:r>
      <w:r>
        <w:rPr>
          <w:rFonts w:ascii="Palatino Linotype" w:eastAsia="Palatino Linotype" w:hAnsi="Palatino Linotype" w:cs="Palatino Linotype"/>
          <w:i/>
          <w:iCs/>
          <w:sz w:val="22"/>
          <w:szCs w:val="22"/>
        </w:rPr>
        <w:t>ceso a internet, como un servicio gratuito, considerando para ello las características socioeconómicas de la población.</w:t>
      </w:r>
    </w:p>
    <w:p w:rsidR="0067234E" w:rsidRDefault="006E4B40">
      <w:pPr>
        <w:spacing w:line="276" w:lineRule="auto"/>
        <w:ind w:left="851" w:right="616"/>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67234E" w:rsidRDefault="006E4B40">
      <w:pPr>
        <w:spacing w:after="240" w:line="360" w:lineRule="auto"/>
        <w:ind w:left="567" w:right="843"/>
        <w:jc w:val="center"/>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Capítulo II</w:t>
      </w:r>
    </w:p>
    <w:p w:rsidR="0067234E" w:rsidRDefault="006E4B40">
      <w:pPr>
        <w:spacing w:after="240" w:line="360" w:lineRule="auto"/>
        <w:ind w:left="567" w:right="843"/>
        <w:jc w:val="center"/>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De las Obligaciones de Transparencia Comunes</w:t>
      </w:r>
    </w:p>
    <w:p w:rsidR="0067234E" w:rsidRDefault="006E4B40">
      <w:pPr>
        <w:spacing w:after="240" w:line="360" w:lineRule="auto"/>
        <w:ind w:left="567" w:right="843"/>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w:t>
      </w:r>
      <w:r>
        <w:rPr>
          <w:rFonts w:ascii="Palatino Linotype" w:eastAsia="Palatino Linotype" w:hAnsi="Palatino Linotype" w:cs="Palatino Linotype"/>
          <w:i/>
          <w:iCs/>
          <w:sz w:val="22"/>
          <w:szCs w:val="22"/>
        </w:rPr>
        <w:t xml:space="preserve">ocial, según corresponda, la información, por lo menos, de los temas, documentos y políticas que a continuación se señalan: </w:t>
      </w:r>
    </w:p>
    <w:p w:rsidR="0067234E" w:rsidRDefault="006E4B40">
      <w:pPr>
        <w:spacing w:after="240" w:line="360" w:lineRule="auto"/>
        <w:ind w:left="567" w:right="843"/>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67234E" w:rsidRDefault="006E4B40">
      <w:pPr>
        <w:spacing w:after="240" w:line="360" w:lineRule="auto"/>
        <w:ind w:left="567" w:right="843"/>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XXXII. Las concesiones, contratos</w:t>
      </w:r>
      <w:r>
        <w:rPr>
          <w:rFonts w:ascii="Palatino Linotype" w:eastAsia="Palatino Linotype" w:hAnsi="Palatino Linotype" w:cs="Palatino Linotype"/>
          <w:b/>
          <w:bCs/>
          <w:i/>
          <w:iCs/>
          <w:sz w:val="22"/>
          <w:szCs w:val="22"/>
          <w:u w:val="single"/>
        </w:rPr>
        <w:t>, convenios</w:t>
      </w:r>
      <w:r>
        <w:rPr>
          <w:rFonts w:ascii="Palatino Linotype" w:eastAsia="Palatino Linotype" w:hAnsi="Palatino Linotype" w:cs="Palatino Linotype"/>
          <w:i/>
          <w:iCs/>
          <w:sz w:val="22"/>
          <w:szCs w:val="22"/>
        </w:rPr>
        <w:t>, permisos, licencias o autorizaciones otorgados, especificando los titulares de aqué</w:t>
      </w:r>
      <w:r>
        <w:rPr>
          <w:rFonts w:ascii="Palatino Linotype" w:eastAsia="Palatino Linotype" w:hAnsi="Palatino Linotype" w:cs="Palatino Linotype"/>
          <w:i/>
          <w:iCs/>
          <w:sz w:val="22"/>
          <w:szCs w:val="22"/>
        </w:rPr>
        <w:t>llos, debiendo publicarse su objeto, nombre o razón social del titular, vigencia, tipo, términos, condiciones, monto y modificaciones, así como si el procedimiento involucra el aprovechamiento de bienes, servicios y/o recursos públicos;</w:t>
      </w:r>
    </w:p>
    <w:p w:rsidR="0067234E" w:rsidRDefault="006E4B40">
      <w:pPr>
        <w:spacing w:after="240" w:line="360" w:lineRule="auto"/>
        <w:ind w:left="567" w:right="843"/>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67234E" w:rsidRDefault="006E4B40">
      <w:pPr>
        <w:spacing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Dicho lo anterior</w:t>
      </w:r>
      <w:r>
        <w:rPr>
          <w:rFonts w:ascii="Palatino Linotype" w:eastAsia="Palatino Linotype" w:hAnsi="Palatino Linotype" w:cs="Palatino Linotype"/>
          <w:sz w:val="22"/>
          <w:szCs w:val="22"/>
        </w:rPr>
        <w:t>, es de recordar que, quien dio respuesta a la solicitud fue la Dirección de Desarrollo Urbano que tiene las siguientes atribuciones:</w:t>
      </w:r>
    </w:p>
    <w:p w:rsidR="0067234E" w:rsidRDefault="0067234E">
      <w:pPr>
        <w:pBdr>
          <w:top w:val="nil"/>
          <w:left w:val="nil"/>
          <w:bottom w:val="nil"/>
          <w:right w:val="nil"/>
          <w:between w:val="nil"/>
        </w:pBdr>
        <w:rPr>
          <w:rFonts w:ascii="Arial" w:eastAsia="Arial" w:hAnsi="Arial" w:cs="Arial"/>
          <w:color w:val="000000"/>
        </w:rPr>
      </w:pPr>
    </w:p>
    <w:p w:rsidR="0067234E" w:rsidRDefault="006E4B40">
      <w:pPr>
        <w:pBdr>
          <w:top w:val="nil"/>
          <w:left w:val="nil"/>
          <w:bottom w:val="nil"/>
          <w:right w:val="nil"/>
          <w:between w:val="nil"/>
        </w:pBdr>
        <w:ind w:left="567" w:right="843"/>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 </w:t>
      </w:r>
      <w:r>
        <w:rPr>
          <w:rFonts w:ascii="Palatino Linotype" w:eastAsia="Palatino Linotype" w:hAnsi="Palatino Linotype" w:cs="Palatino Linotype"/>
          <w:b/>
          <w:bCs/>
          <w:i/>
          <w:iCs/>
          <w:color w:val="000000"/>
          <w:sz w:val="22"/>
          <w:szCs w:val="22"/>
        </w:rPr>
        <w:t xml:space="preserve">Artículo 103.- </w:t>
      </w:r>
      <w:r>
        <w:rPr>
          <w:rFonts w:ascii="Palatino Linotype" w:eastAsia="Palatino Linotype" w:hAnsi="Palatino Linotype" w:cs="Palatino Linotype"/>
          <w:i/>
          <w:iCs/>
          <w:color w:val="000000"/>
          <w:sz w:val="22"/>
          <w:szCs w:val="22"/>
        </w:rPr>
        <w:t xml:space="preserve">El Director de Desarrollo Urbano, tiene las atribuciones conferidas dentro del artículo 96 sexies de la Ley Orgánica Municipal, así como las siguientes funciones: </w:t>
      </w:r>
    </w:p>
    <w:p w:rsidR="0067234E" w:rsidRDefault="006E4B40">
      <w:pPr>
        <w:pBdr>
          <w:top w:val="nil"/>
          <w:left w:val="nil"/>
          <w:bottom w:val="nil"/>
          <w:right w:val="nil"/>
          <w:between w:val="nil"/>
        </w:pBdr>
        <w:spacing w:after="25"/>
        <w:ind w:left="567" w:right="843"/>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 xml:space="preserve">I. </w:t>
      </w:r>
      <w:r>
        <w:rPr>
          <w:rFonts w:ascii="Palatino Linotype" w:eastAsia="Palatino Linotype" w:hAnsi="Palatino Linotype" w:cs="Palatino Linotype"/>
          <w:i/>
          <w:iCs/>
          <w:color w:val="000000"/>
          <w:sz w:val="22"/>
          <w:szCs w:val="22"/>
        </w:rPr>
        <w:t>Formular, administrar, ejecutar y evaluar el Plan Municipal de Desarrollo Urbano y los Pl</w:t>
      </w:r>
      <w:r>
        <w:rPr>
          <w:rFonts w:ascii="Palatino Linotype" w:eastAsia="Palatino Linotype" w:hAnsi="Palatino Linotype" w:cs="Palatino Linotype"/>
          <w:i/>
          <w:iCs/>
          <w:color w:val="000000"/>
          <w:sz w:val="22"/>
          <w:szCs w:val="22"/>
        </w:rPr>
        <w:t xml:space="preserve">anes Estratégicos de los Centros de Población y Vivienda, y demás que de estas deriven de acuerdo con las necesidades específicas del municipio; </w:t>
      </w:r>
    </w:p>
    <w:p w:rsidR="0067234E" w:rsidRDefault="006E4B40">
      <w:pPr>
        <w:pBdr>
          <w:top w:val="nil"/>
          <w:left w:val="nil"/>
          <w:bottom w:val="nil"/>
          <w:right w:val="nil"/>
          <w:between w:val="nil"/>
        </w:pBdr>
        <w:spacing w:after="25"/>
        <w:ind w:left="567" w:right="843"/>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 xml:space="preserve">II. </w:t>
      </w:r>
      <w:r>
        <w:rPr>
          <w:rFonts w:ascii="Palatino Linotype" w:eastAsia="Palatino Linotype" w:hAnsi="Palatino Linotype" w:cs="Palatino Linotype"/>
          <w:i/>
          <w:iCs/>
          <w:color w:val="000000"/>
          <w:sz w:val="22"/>
          <w:szCs w:val="22"/>
        </w:rPr>
        <w:t xml:space="preserve">Participar en el ordenamiento de los asentamientos humanos a través de los programas de Desarrollo Urbano </w:t>
      </w:r>
      <w:r>
        <w:rPr>
          <w:rFonts w:ascii="Palatino Linotype" w:eastAsia="Palatino Linotype" w:hAnsi="Palatino Linotype" w:cs="Palatino Linotype"/>
          <w:i/>
          <w:iCs/>
          <w:color w:val="000000"/>
          <w:sz w:val="22"/>
          <w:szCs w:val="22"/>
        </w:rPr>
        <w:t xml:space="preserve">y demás instrumentos regulados en los Ordenamientos Federales, Estatales y Municipales en la materia; </w:t>
      </w:r>
    </w:p>
    <w:p w:rsidR="0067234E" w:rsidRDefault="006E4B40">
      <w:pPr>
        <w:pBdr>
          <w:top w:val="nil"/>
          <w:left w:val="nil"/>
          <w:bottom w:val="nil"/>
          <w:right w:val="nil"/>
          <w:between w:val="nil"/>
        </w:pBdr>
        <w:ind w:left="567" w:right="843"/>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 xml:space="preserve">III. </w:t>
      </w:r>
      <w:r>
        <w:rPr>
          <w:rFonts w:ascii="Palatino Linotype" w:eastAsia="Palatino Linotype" w:hAnsi="Palatino Linotype" w:cs="Palatino Linotype"/>
          <w:i/>
          <w:iCs/>
          <w:color w:val="000000"/>
          <w:sz w:val="22"/>
          <w:szCs w:val="22"/>
        </w:rPr>
        <w:t xml:space="preserve">Aplicar las disposiciones contenidas en el Plan de Desarrollo Urbano y las declaratorias correspondientes para su cumplimiento; </w:t>
      </w:r>
    </w:p>
    <w:p w:rsidR="0067234E" w:rsidRDefault="006E4B40">
      <w:pPr>
        <w:spacing w:after="240" w:line="360" w:lineRule="auto"/>
        <w:ind w:left="567" w:right="843"/>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 </w:t>
      </w:r>
    </w:p>
    <w:p w:rsidR="0067234E" w:rsidRDefault="006E4B40">
      <w:pPr>
        <w:pBdr>
          <w:top w:val="nil"/>
          <w:left w:val="nil"/>
          <w:bottom w:val="nil"/>
          <w:right w:val="nil"/>
          <w:between w:val="nil"/>
        </w:pBdr>
        <w:spacing w:after="19"/>
        <w:ind w:left="567" w:right="843"/>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 xml:space="preserve">VI. </w:t>
      </w:r>
      <w:r>
        <w:rPr>
          <w:rFonts w:ascii="Palatino Linotype" w:eastAsia="Palatino Linotype" w:hAnsi="Palatino Linotype" w:cs="Palatino Linotype"/>
          <w:i/>
          <w:iCs/>
          <w:color w:val="000000"/>
          <w:sz w:val="22"/>
          <w:szCs w:val="22"/>
        </w:rPr>
        <w:t>Supervisar q</w:t>
      </w:r>
      <w:r>
        <w:rPr>
          <w:rFonts w:ascii="Palatino Linotype" w:eastAsia="Palatino Linotype" w:hAnsi="Palatino Linotype" w:cs="Palatino Linotype"/>
          <w:i/>
          <w:iCs/>
          <w:color w:val="000000"/>
          <w:sz w:val="22"/>
          <w:szCs w:val="22"/>
        </w:rPr>
        <w:t>ue todo tipo de construcciones, antenas, anuncios publicitarios, instalaciones de redes subterráneas y tendidas aéreas y demás edificaciones que se realicen dentro del territorio municipal, cumplan con las normas de uso de suelo, desarrollo urbano y de con</w:t>
      </w:r>
      <w:r>
        <w:rPr>
          <w:rFonts w:ascii="Palatino Linotype" w:eastAsia="Palatino Linotype" w:hAnsi="Palatino Linotype" w:cs="Palatino Linotype"/>
          <w:i/>
          <w:iCs/>
          <w:color w:val="000000"/>
          <w:sz w:val="22"/>
          <w:szCs w:val="22"/>
        </w:rPr>
        <w:t xml:space="preserve">strucción en materia Federal, Estatal y Municipal; </w:t>
      </w:r>
    </w:p>
    <w:p w:rsidR="0067234E" w:rsidRDefault="006E4B40">
      <w:pPr>
        <w:pBdr>
          <w:top w:val="nil"/>
          <w:left w:val="nil"/>
          <w:bottom w:val="nil"/>
          <w:right w:val="nil"/>
          <w:between w:val="nil"/>
        </w:pBdr>
        <w:ind w:left="567" w:right="843"/>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 xml:space="preserve">VII. </w:t>
      </w:r>
      <w:r>
        <w:rPr>
          <w:rFonts w:ascii="Palatino Linotype" w:eastAsia="Palatino Linotype" w:hAnsi="Palatino Linotype" w:cs="Palatino Linotype"/>
          <w:i/>
          <w:iCs/>
          <w:color w:val="000000"/>
          <w:sz w:val="22"/>
          <w:szCs w:val="22"/>
        </w:rPr>
        <w:t xml:space="preserve">Expedir las licencias en materia de Desarrollo Urbano Municipal; </w:t>
      </w:r>
    </w:p>
    <w:p w:rsidR="0067234E" w:rsidRDefault="006E4B40">
      <w:pPr>
        <w:pBdr>
          <w:top w:val="nil"/>
          <w:left w:val="nil"/>
          <w:bottom w:val="nil"/>
          <w:right w:val="nil"/>
          <w:between w:val="nil"/>
        </w:pBdr>
        <w:spacing w:after="24"/>
        <w:ind w:left="567" w:right="843"/>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 xml:space="preserve">VIII. </w:t>
      </w:r>
      <w:r>
        <w:rPr>
          <w:rFonts w:ascii="Palatino Linotype" w:eastAsia="Palatino Linotype" w:hAnsi="Palatino Linotype" w:cs="Palatino Linotype"/>
          <w:i/>
          <w:iCs/>
          <w:color w:val="000000"/>
          <w:sz w:val="22"/>
          <w:szCs w:val="22"/>
        </w:rPr>
        <w:t xml:space="preserve">Autorizar y ejecutar la suspensión, remoción, clausura y en su caso la demolición de construcciones, antenas, anuncios publicitarios y demás edificaciones que se realicen en incumplimiento a lo dispuesto por la normatividad Federal, Estatal y Municipal en </w:t>
      </w:r>
      <w:r>
        <w:rPr>
          <w:rFonts w:ascii="Palatino Linotype" w:eastAsia="Palatino Linotype" w:hAnsi="Palatino Linotype" w:cs="Palatino Linotype"/>
          <w:i/>
          <w:iCs/>
          <w:color w:val="000000"/>
          <w:sz w:val="22"/>
          <w:szCs w:val="22"/>
        </w:rPr>
        <w:t xml:space="preserve">materia de desarrollo urbano y uso de suelo; </w:t>
      </w:r>
    </w:p>
    <w:p w:rsidR="0067234E" w:rsidRDefault="006E4B40">
      <w:pPr>
        <w:pBdr>
          <w:top w:val="nil"/>
          <w:left w:val="nil"/>
          <w:bottom w:val="nil"/>
          <w:right w:val="nil"/>
          <w:between w:val="nil"/>
        </w:pBdr>
        <w:spacing w:after="24"/>
        <w:ind w:left="567" w:right="843"/>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 xml:space="preserve">IX. </w:t>
      </w:r>
      <w:r>
        <w:rPr>
          <w:rFonts w:ascii="Palatino Linotype" w:eastAsia="Palatino Linotype" w:hAnsi="Palatino Linotype" w:cs="Palatino Linotype"/>
          <w:i/>
          <w:iCs/>
          <w:color w:val="000000"/>
          <w:sz w:val="22"/>
          <w:szCs w:val="22"/>
        </w:rPr>
        <w:t xml:space="preserve">Elaborar y ejecutar programas de imagen urbana dentro del municipio; </w:t>
      </w:r>
    </w:p>
    <w:p w:rsidR="0067234E" w:rsidRDefault="006E4B40">
      <w:pPr>
        <w:pBdr>
          <w:top w:val="nil"/>
          <w:left w:val="nil"/>
          <w:bottom w:val="nil"/>
          <w:right w:val="nil"/>
          <w:between w:val="nil"/>
        </w:pBdr>
        <w:spacing w:after="24"/>
        <w:ind w:left="567" w:right="843"/>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 xml:space="preserve">X. </w:t>
      </w:r>
      <w:r>
        <w:rPr>
          <w:rFonts w:ascii="Palatino Linotype" w:eastAsia="Palatino Linotype" w:hAnsi="Palatino Linotype" w:cs="Palatino Linotype"/>
          <w:i/>
          <w:iCs/>
          <w:color w:val="000000"/>
          <w:sz w:val="22"/>
          <w:szCs w:val="22"/>
        </w:rPr>
        <w:t xml:space="preserve">Vigilar que los inmuebles que representan un testimonio histórico y cultural preserven su arquitectura original; </w:t>
      </w:r>
    </w:p>
    <w:p w:rsidR="0067234E" w:rsidRDefault="006E4B40">
      <w:pPr>
        <w:pBdr>
          <w:top w:val="nil"/>
          <w:left w:val="nil"/>
          <w:bottom w:val="nil"/>
          <w:right w:val="nil"/>
          <w:between w:val="nil"/>
        </w:pBdr>
        <w:spacing w:after="24"/>
        <w:ind w:left="567" w:right="843"/>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 xml:space="preserve">XI. </w:t>
      </w:r>
      <w:r>
        <w:rPr>
          <w:rFonts w:ascii="Palatino Linotype" w:eastAsia="Palatino Linotype" w:hAnsi="Palatino Linotype" w:cs="Palatino Linotype"/>
          <w:i/>
          <w:iCs/>
          <w:color w:val="000000"/>
          <w:sz w:val="22"/>
          <w:szCs w:val="22"/>
        </w:rPr>
        <w:t>Promover el des</w:t>
      </w:r>
      <w:r>
        <w:rPr>
          <w:rFonts w:ascii="Palatino Linotype" w:eastAsia="Palatino Linotype" w:hAnsi="Palatino Linotype" w:cs="Palatino Linotype"/>
          <w:i/>
          <w:iCs/>
          <w:color w:val="000000"/>
          <w:sz w:val="22"/>
          <w:szCs w:val="22"/>
        </w:rPr>
        <w:t xml:space="preserve">arrollo regional equilibrado y el ordenamiento territorial de las diversas localidades y centros de población del municipio; </w:t>
      </w:r>
    </w:p>
    <w:p w:rsidR="0067234E" w:rsidRDefault="006E4B40">
      <w:pPr>
        <w:pBdr>
          <w:top w:val="nil"/>
          <w:left w:val="nil"/>
          <w:bottom w:val="nil"/>
          <w:right w:val="nil"/>
          <w:between w:val="nil"/>
        </w:pBdr>
        <w:spacing w:after="24"/>
        <w:ind w:left="567" w:right="843"/>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 xml:space="preserve">XII. </w:t>
      </w:r>
      <w:r>
        <w:rPr>
          <w:rFonts w:ascii="Palatino Linotype" w:eastAsia="Palatino Linotype" w:hAnsi="Palatino Linotype" w:cs="Palatino Linotype"/>
          <w:i/>
          <w:iCs/>
          <w:color w:val="000000"/>
          <w:sz w:val="22"/>
          <w:szCs w:val="22"/>
        </w:rPr>
        <w:t>Participar en la celebración de convenios que realice el municipio en materia de Desarrollo Urbano con el Estado, la Federaci</w:t>
      </w:r>
      <w:r>
        <w:rPr>
          <w:rFonts w:ascii="Palatino Linotype" w:eastAsia="Palatino Linotype" w:hAnsi="Palatino Linotype" w:cs="Palatino Linotype"/>
          <w:i/>
          <w:iCs/>
          <w:color w:val="000000"/>
          <w:sz w:val="22"/>
          <w:szCs w:val="22"/>
        </w:rPr>
        <w:t xml:space="preserve">ón y otros municipios; </w:t>
      </w:r>
    </w:p>
    <w:p w:rsidR="0067234E" w:rsidRDefault="006E4B40">
      <w:pPr>
        <w:pBdr>
          <w:top w:val="nil"/>
          <w:left w:val="nil"/>
          <w:bottom w:val="nil"/>
          <w:right w:val="nil"/>
          <w:between w:val="nil"/>
        </w:pBdr>
        <w:spacing w:after="24"/>
        <w:ind w:left="567" w:right="843"/>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 xml:space="preserve">XIII. </w:t>
      </w:r>
      <w:r>
        <w:rPr>
          <w:rFonts w:ascii="Palatino Linotype" w:eastAsia="Palatino Linotype" w:hAnsi="Palatino Linotype" w:cs="Palatino Linotype"/>
          <w:i/>
          <w:iCs/>
          <w:color w:val="000000"/>
          <w:sz w:val="22"/>
          <w:szCs w:val="22"/>
        </w:rPr>
        <w:t xml:space="preserve">Vigilar que el crecimiento urbano del municipio se genere de acuerdo con el Plan del Centro de Población Estratégico, así como con los respectivos Planes de Desarrollo Urbano; </w:t>
      </w:r>
    </w:p>
    <w:p w:rsidR="0067234E" w:rsidRDefault="006E4B40">
      <w:pPr>
        <w:pBdr>
          <w:top w:val="nil"/>
          <w:left w:val="nil"/>
          <w:bottom w:val="nil"/>
          <w:right w:val="nil"/>
          <w:between w:val="nil"/>
        </w:pBdr>
        <w:spacing w:after="24"/>
        <w:ind w:left="567" w:right="843"/>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 xml:space="preserve">XIV. </w:t>
      </w:r>
      <w:r>
        <w:rPr>
          <w:rFonts w:ascii="Palatino Linotype" w:eastAsia="Palatino Linotype" w:hAnsi="Palatino Linotype" w:cs="Palatino Linotype"/>
          <w:i/>
          <w:iCs/>
          <w:color w:val="000000"/>
          <w:sz w:val="22"/>
          <w:szCs w:val="22"/>
        </w:rPr>
        <w:t>Expedir cédulas informativas de zonificación</w:t>
      </w:r>
      <w:r>
        <w:rPr>
          <w:rFonts w:ascii="Palatino Linotype" w:eastAsia="Palatino Linotype" w:hAnsi="Palatino Linotype" w:cs="Palatino Linotype"/>
          <w:i/>
          <w:iCs/>
          <w:color w:val="000000"/>
          <w:sz w:val="22"/>
          <w:szCs w:val="22"/>
        </w:rPr>
        <w:t xml:space="preserve">, licencias de uso del suelo, cambios de uso del suelo, del coeficiente de ocupación del suelo, del coeficiente de utilización del suelo y del cambio de altura de las edificaciones, que derivan del convenio de la transferencia de funciones; </w:t>
      </w:r>
    </w:p>
    <w:p w:rsidR="0067234E" w:rsidRDefault="006E4B40">
      <w:pPr>
        <w:pBdr>
          <w:top w:val="nil"/>
          <w:left w:val="nil"/>
          <w:bottom w:val="nil"/>
          <w:right w:val="nil"/>
          <w:between w:val="nil"/>
        </w:pBdr>
        <w:spacing w:after="24"/>
        <w:ind w:left="567" w:right="843"/>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 xml:space="preserve">XV. </w:t>
      </w:r>
      <w:r>
        <w:rPr>
          <w:rFonts w:ascii="Palatino Linotype" w:eastAsia="Palatino Linotype" w:hAnsi="Palatino Linotype" w:cs="Palatino Linotype"/>
          <w:i/>
          <w:iCs/>
          <w:color w:val="000000"/>
          <w:sz w:val="22"/>
          <w:szCs w:val="22"/>
        </w:rPr>
        <w:t>Expedir de</w:t>
      </w:r>
      <w:r>
        <w:rPr>
          <w:rFonts w:ascii="Palatino Linotype" w:eastAsia="Palatino Linotype" w:hAnsi="Palatino Linotype" w:cs="Palatino Linotype"/>
          <w:i/>
          <w:iCs/>
          <w:color w:val="000000"/>
          <w:sz w:val="22"/>
          <w:szCs w:val="22"/>
        </w:rPr>
        <w:t xml:space="preserve">ntro del ámbito de su competencia la verificación de inmuebles que así lo requieran, para su incorporación a catastro, sujetándose en estricto apego al Plan de Desarrollo Urbano Municipal; </w:t>
      </w:r>
    </w:p>
    <w:p w:rsidR="0067234E" w:rsidRDefault="006E4B40">
      <w:pPr>
        <w:pBdr>
          <w:top w:val="nil"/>
          <w:left w:val="nil"/>
          <w:bottom w:val="nil"/>
          <w:right w:val="nil"/>
          <w:between w:val="nil"/>
        </w:pBdr>
        <w:spacing w:after="24"/>
        <w:ind w:left="567" w:right="843"/>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 xml:space="preserve">XVI. </w:t>
      </w:r>
      <w:r>
        <w:rPr>
          <w:rFonts w:ascii="Palatino Linotype" w:eastAsia="Palatino Linotype" w:hAnsi="Palatino Linotype" w:cs="Palatino Linotype"/>
          <w:i/>
          <w:iCs/>
          <w:color w:val="000000"/>
          <w:sz w:val="22"/>
          <w:szCs w:val="22"/>
        </w:rPr>
        <w:t>Instrumentar programas de reordenamiento de nomenclatura y nú</w:t>
      </w:r>
      <w:r>
        <w:rPr>
          <w:rFonts w:ascii="Palatino Linotype" w:eastAsia="Palatino Linotype" w:hAnsi="Palatino Linotype" w:cs="Palatino Linotype"/>
          <w:i/>
          <w:iCs/>
          <w:color w:val="000000"/>
          <w:sz w:val="22"/>
          <w:szCs w:val="22"/>
        </w:rPr>
        <w:t xml:space="preserve">mero oficial; y </w:t>
      </w:r>
    </w:p>
    <w:p w:rsidR="0067234E" w:rsidRDefault="006E4B40">
      <w:pPr>
        <w:pBdr>
          <w:top w:val="nil"/>
          <w:left w:val="nil"/>
          <w:bottom w:val="nil"/>
          <w:right w:val="nil"/>
          <w:between w:val="nil"/>
        </w:pBdr>
        <w:ind w:left="567" w:right="843"/>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 xml:space="preserve">XVII. </w:t>
      </w:r>
      <w:r>
        <w:rPr>
          <w:rFonts w:ascii="Palatino Linotype" w:eastAsia="Palatino Linotype" w:hAnsi="Palatino Linotype" w:cs="Palatino Linotype"/>
          <w:i/>
          <w:iCs/>
          <w:color w:val="000000"/>
          <w:sz w:val="22"/>
          <w:szCs w:val="22"/>
        </w:rPr>
        <w:t xml:space="preserve">Las demás que confieran otras disposiciones legales en el orden Federal, Estatal y Municipal. </w:t>
      </w:r>
    </w:p>
    <w:p w:rsidR="0067234E" w:rsidRDefault="0067234E">
      <w:pPr>
        <w:pBdr>
          <w:top w:val="nil"/>
          <w:left w:val="nil"/>
          <w:bottom w:val="nil"/>
          <w:right w:val="nil"/>
          <w:between w:val="nil"/>
        </w:pBdr>
        <w:rPr>
          <w:rFonts w:ascii="Arial" w:eastAsia="Arial" w:hAnsi="Arial" w:cs="Arial"/>
          <w:color w:val="000000"/>
          <w:sz w:val="18"/>
          <w:szCs w:val="18"/>
        </w:rPr>
      </w:pPr>
    </w:p>
    <w:p w:rsidR="0067234E" w:rsidRDefault="006E4B40">
      <w:pPr>
        <w:spacing w:line="360" w:lineRule="auto"/>
        <w:ind w:firstLine="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Expuesto lo anterior, se advierte que el Titular de la Unidad de Transparencia turnó la solicitud a la Dirección de Desarrollo Urbano que tiene como objetivo Formular, administrar, ejecutar y evaluar el Plan Municipal de Desarrollo Urbano y los Planes Estr</w:t>
      </w:r>
      <w:r>
        <w:rPr>
          <w:rFonts w:ascii="Palatino Linotype" w:eastAsia="Palatino Linotype" w:hAnsi="Palatino Linotype" w:cs="Palatino Linotype"/>
          <w:sz w:val="22"/>
          <w:szCs w:val="22"/>
        </w:rPr>
        <w:t>atégicos de los Centros de Población y Vivienda, y demás que de estas deriven de acuerdo con las necesidades específicas del municipio, por lo que se tiene que los convenios requeridos se relacionan con las atribuciones de dicha dirección, por lo que se ti</w:t>
      </w:r>
      <w:r>
        <w:rPr>
          <w:rFonts w:ascii="Palatino Linotype" w:eastAsia="Palatino Linotype" w:hAnsi="Palatino Linotype" w:cs="Palatino Linotype"/>
          <w:sz w:val="22"/>
          <w:szCs w:val="22"/>
        </w:rPr>
        <w:t xml:space="preserve">ene que se siguió con ello el procedimiento para la atención a las solicitudes de acceso a la información, establecido en los artículos 151, 160, 162, 163, 164, 165 y 166, de la Ley de Transparencia y Acceso a la Información Pública del Estado de México y </w:t>
      </w:r>
      <w:r>
        <w:rPr>
          <w:rFonts w:ascii="Palatino Linotype" w:eastAsia="Palatino Linotype" w:hAnsi="Palatino Linotype" w:cs="Palatino Linotype"/>
          <w:sz w:val="22"/>
          <w:szCs w:val="22"/>
        </w:rPr>
        <w:t xml:space="preserve">Municipios:  </w:t>
      </w:r>
    </w:p>
    <w:p w:rsidR="0067234E" w:rsidRDefault="0067234E">
      <w:pPr>
        <w:spacing w:line="360" w:lineRule="auto"/>
        <w:ind w:firstLine="1"/>
        <w:jc w:val="both"/>
        <w:rPr>
          <w:rFonts w:ascii="Palatino Linotype" w:eastAsia="Palatino Linotype" w:hAnsi="Palatino Linotype" w:cs="Palatino Linotype"/>
          <w:sz w:val="22"/>
          <w:szCs w:val="22"/>
        </w:rPr>
      </w:pPr>
    </w:p>
    <w:p w:rsidR="0067234E" w:rsidRDefault="006E4B40">
      <w:pPr>
        <w:spacing w:after="240" w:line="360" w:lineRule="auto"/>
        <w:ind w:left="28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Las Unidades de Transparencia de los sujetos obligados deben garantizar las medidas y condiciones de accesibilidad para que toda persona pueda ejercer el derecho de acceso a la información; por lo que, son las responsables de hacer las not</w:t>
      </w:r>
      <w:r>
        <w:rPr>
          <w:rFonts w:ascii="Palatino Linotype" w:eastAsia="Palatino Linotype" w:hAnsi="Palatino Linotype" w:cs="Palatino Linotype"/>
          <w:sz w:val="22"/>
          <w:szCs w:val="22"/>
        </w:rPr>
        <w:t xml:space="preserve">ificaciones correspondientes, además de llevar a cabo todas las gestiones necesarias para facilitar el acceso de la información; </w:t>
      </w:r>
    </w:p>
    <w:p w:rsidR="0067234E" w:rsidRDefault="006E4B40">
      <w:pPr>
        <w:spacing w:after="240" w:line="360" w:lineRule="auto"/>
        <w:ind w:left="28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La respuesta a los requerimientos informativos, deberá notificarse al interesado en el menor tiempo posible, que no podrá ex</w:t>
      </w:r>
      <w:r>
        <w:rPr>
          <w:rFonts w:ascii="Palatino Linotype" w:eastAsia="Palatino Linotype" w:hAnsi="Palatino Linotype" w:cs="Palatino Linotype"/>
          <w:sz w:val="22"/>
          <w:szCs w:val="22"/>
        </w:rPr>
        <w:t xml:space="preserve">ceder de quince días hábiles, contados a partir del día siguiente a la presentación de esta.  </w:t>
      </w:r>
    </w:p>
    <w:p w:rsidR="0067234E" w:rsidRDefault="006E4B40">
      <w:pPr>
        <w:spacing w:after="240" w:line="360" w:lineRule="auto"/>
        <w:ind w:left="28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Excepcionalmente, el plazo referido podrá ampliarse por siete días hábiles más, cuando existan razones fundadas y motivadas, a través del Comité de Transparencia</w:t>
      </w:r>
      <w:r>
        <w:rPr>
          <w:rFonts w:ascii="Palatino Linotype" w:eastAsia="Palatino Linotype" w:hAnsi="Palatino Linotype" w:cs="Palatino Linotype"/>
          <w:sz w:val="22"/>
          <w:szCs w:val="22"/>
        </w:rPr>
        <w:t xml:space="preserve">; </w:t>
      </w:r>
    </w:p>
    <w:p w:rsidR="0067234E" w:rsidRDefault="006E4B40">
      <w:pPr>
        <w:spacing w:after="240" w:line="360" w:lineRule="auto"/>
        <w:ind w:left="28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Las Unidades de Transparencia garantizarán que las solicitudes se turnen a todas las áreas competentes que cuenten con la información o deban tenerla de acuerdo a sus facultades, funciones y atribuciones, para que realicen una búsqueda exhaustiva y ra</w:t>
      </w:r>
      <w:r>
        <w:rPr>
          <w:rFonts w:ascii="Palatino Linotype" w:eastAsia="Palatino Linotype" w:hAnsi="Palatino Linotype" w:cs="Palatino Linotype"/>
          <w:sz w:val="22"/>
          <w:szCs w:val="22"/>
        </w:rPr>
        <w:t xml:space="preserve">zonable de la documentación solicitada, con el fin de que proporcionen las expresiones documentales que se encuentren en sus archivos o que estén constreñidos a elaborar; </w:t>
      </w:r>
    </w:p>
    <w:p w:rsidR="0067234E" w:rsidRDefault="006E4B40">
      <w:pPr>
        <w:spacing w:after="240" w:line="360" w:lineRule="auto"/>
        <w:ind w:left="28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El acceso se dará en la modalidad de entrega y en su caso, de envío elegido por la</w:t>
      </w:r>
      <w:r>
        <w:rPr>
          <w:rFonts w:ascii="Palatino Linotype" w:eastAsia="Palatino Linotype" w:hAnsi="Palatino Linotype" w:cs="Palatino Linotype"/>
          <w:sz w:val="22"/>
          <w:szCs w:val="22"/>
        </w:rPr>
        <w:t xml:space="preserve"> solicitante, cuando no pueda entregarse en dicha modalidad, el Sujeto Obligado deberá ofrecer otras; por lo cual, deberá fundar y motivar la necesidad de modificar el medio de entrega; y </w:t>
      </w:r>
    </w:p>
    <w:p w:rsidR="0067234E" w:rsidRDefault="006E4B40">
      <w:pPr>
        <w:spacing w:after="240" w:line="360" w:lineRule="auto"/>
        <w:ind w:left="28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Las Unidades de Transparencia, tendrán disponible la información </w:t>
      </w:r>
      <w:r>
        <w:rPr>
          <w:rFonts w:ascii="Palatino Linotype" w:eastAsia="Palatino Linotype" w:hAnsi="Palatino Linotype" w:cs="Palatino Linotype"/>
          <w:sz w:val="22"/>
          <w:szCs w:val="22"/>
        </w:rPr>
        <w:t>requerida durante un plazo mínimo de sesenta días hábiles, contados a partir de que la solicitante hubiere realizado, en su caso, el pago respectivo, el cual deberá efectuarse en un plazo no mayor a treinta días hábiles; por lo que, una vez transcurrida di</w:t>
      </w:r>
      <w:r>
        <w:rPr>
          <w:rFonts w:ascii="Palatino Linotype" w:eastAsia="Palatino Linotype" w:hAnsi="Palatino Linotype" w:cs="Palatino Linotype"/>
          <w:sz w:val="22"/>
          <w:szCs w:val="22"/>
        </w:rPr>
        <w:t xml:space="preserve">cha temporalidad, los Sujetos Obligados darán por concluida la solicitud y procederán de ser el caso, a la destrucción del material; </w:t>
      </w:r>
    </w:p>
    <w:p w:rsidR="0067234E" w:rsidRDefault="006E4B4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este orden de ideas, se reitera que la solicitud al turnarse a la unidad administrativa que cuentan con atribuciones pa</w:t>
      </w:r>
      <w:r>
        <w:rPr>
          <w:rFonts w:ascii="Palatino Linotype" w:eastAsia="Palatino Linotype" w:hAnsi="Palatino Linotype" w:cs="Palatino Linotype"/>
          <w:sz w:val="22"/>
          <w:szCs w:val="22"/>
        </w:rPr>
        <w:t>ra generar, administrar o poseer la información requerida, es que se acreditó la correcta búsqueda exhaustiva y razonable de la información.</w:t>
      </w:r>
    </w:p>
    <w:p w:rsidR="0067234E" w:rsidRDefault="0067234E">
      <w:pPr>
        <w:spacing w:line="360" w:lineRule="auto"/>
        <w:jc w:val="both"/>
        <w:rPr>
          <w:rFonts w:ascii="Palatino Linotype" w:eastAsia="Palatino Linotype" w:hAnsi="Palatino Linotype" w:cs="Palatino Linotype"/>
          <w:sz w:val="22"/>
          <w:szCs w:val="22"/>
        </w:rPr>
      </w:pPr>
    </w:p>
    <w:p w:rsidR="0067234E" w:rsidRDefault="006E4B4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Establecido lo anterior es de recordar que el Sujeto Obligado entregó los siguientes convenios:</w:t>
      </w:r>
    </w:p>
    <w:p w:rsidR="0067234E" w:rsidRDefault="0067234E">
      <w:pPr>
        <w:spacing w:line="360" w:lineRule="auto"/>
        <w:jc w:val="both"/>
        <w:rPr>
          <w:rFonts w:ascii="Palatino Linotype" w:eastAsia="Palatino Linotype" w:hAnsi="Palatino Linotype" w:cs="Palatino Linotype"/>
          <w:sz w:val="22"/>
          <w:szCs w:val="22"/>
        </w:rPr>
      </w:pPr>
    </w:p>
    <w:p w:rsidR="0067234E" w:rsidRDefault="006E4B40">
      <w:pPr>
        <w:widowControl w:val="0"/>
        <w:numPr>
          <w:ilvl w:val="0"/>
          <w:numId w:val="4"/>
        </w:numPr>
        <w:pBdr>
          <w:top w:val="nil"/>
          <w:left w:val="nil"/>
          <w:bottom w:val="nil"/>
          <w:right w:val="nil"/>
          <w:between w:val="nil"/>
        </w:pBdr>
        <w:spacing w:line="360" w:lineRule="auto"/>
        <w:ind w:left="426" w:right="843"/>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Convenio entre el</w:t>
      </w:r>
      <w:r>
        <w:rPr>
          <w:rFonts w:ascii="Palatino Linotype" w:eastAsia="Palatino Linotype" w:hAnsi="Palatino Linotype" w:cs="Palatino Linotype"/>
          <w:color w:val="000000"/>
          <w:sz w:val="22"/>
          <w:szCs w:val="22"/>
        </w:rPr>
        <w:t xml:space="preserve"> Municipio y el Colegio de Arquitectos del Estado de México 2025</w:t>
      </w:r>
    </w:p>
    <w:p w:rsidR="0067234E" w:rsidRDefault="006E4B40">
      <w:pPr>
        <w:widowControl w:val="0"/>
        <w:pBdr>
          <w:top w:val="nil"/>
          <w:left w:val="nil"/>
          <w:bottom w:val="nil"/>
          <w:right w:val="nil"/>
          <w:between w:val="nil"/>
        </w:pBdr>
        <w:spacing w:line="360" w:lineRule="auto"/>
        <w:ind w:left="426" w:right="843"/>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rPr>
        <w:drawing>
          <wp:inline distT="0" distB="0" distL="0" distR="0">
            <wp:extent cx="5420481" cy="2457793"/>
            <wp:effectExtent l="0" t="0" r="0" b="0"/>
            <wp:docPr id="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420481" cy="2457793"/>
                    </a:xfrm>
                    <a:prstGeom prst="rect">
                      <a:avLst/>
                    </a:prstGeom>
                    <a:ln/>
                  </pic:spPr>
                </pic:pic>
              </a:graphicData>
            </a:graphic>
          </wp:inline>
        </w:drawing>
      </w:r>
    </w:p>
    <w:p w:rsidR="0067234E" w:rsidRDefault="006E4B40">
      <w:pPr>
        <w:widowControl w:val="0"/>
        <w:numPr>
          <w:ilvl w:val="0"/>
          <w:numId w:val="4"/>
        </w:numPr>
        <w:pBdr>
          <w:top w:val="nil"/>
          <w:left w:val="nil"/>
          <w:bottom w:val="nil"/>
          <w:right w:val="nil"/>
          <w:between w:val="nil"/>
        </w:pBdr>
        <w:spacing w:line="360" w:lineRule="auto"/>
        <w:ind w:left="426" w:right="843"/>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Convenio entre el Municipio y la Sociedad de Urbanistas del Estado de México (SUEM) 2025;</w:t>
      </w:r>
    </w:p>
    <w:p w:rsidR="0067234E" w:rsidRDefault="006E4B40">
      <w:pPr>
        <w:widowControl w:val="0"/>
        <w:pBdr>
          <w:top w:val="nil"/>
          <w:left w:val="nil"/>
          <w:bottom w:val="nil"/>
          <w:right w:val="nil"/>
          <w:between w:val="nil"/>
        </w:pBdr>
        <w:spacing w:line="360" w:lineRule="auto"/>
        <w:ind w:left="426" w:right="843"/>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rPr>
        <w:drawing>
          <wp:inline distT="0" distB="0" distL="0" distR="0">
            <wp:extent cx="5449060" cy="2086266"/>
            <wp:effectExtent l="0" t="0" r="0" b="0"/>
            <wp:docPr id="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449060" cy="2086266"/>
                    </a:xfrm>
                    <a:prstGeom prst="rect">
                      <a:avLst/>
                    </a:prstGeom>
                    <a:ln/>
                  </pic:spPr>
                </pic:pic>
              </a:graphicData>
            </a:graphic>
          </wp:inline>
        </w:drawing>
      </w:r>
    </w:p>
    <w:p w:rsidR="0067234E" w:rsidRDefault="006E4B40">
      <w:pPr>
        <w:widowControl w:val="0"/>
        <w:numPr>
          <w:ilvl w:val="0"/>
          <w:numId w:val="4"/>
        </w:numPr>
        <w:pBdr>
          <w:top w:val="nil"/>
          <w:left w:val="nil"/>
          <w:bottom w:val="nil"/>
          <w:right w:val="nil"/>
          <w:between w:val="nil"/>
        </w:pBdr>
        <w:spacing w:line="360" w:lineRule="auto"/>
        <w:ind w:left="426" w:right="843"/>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Convenio entre el Municipio y el Colegio de Ingenieros Civiles del Estado de México de 2025</w:t>
      </w:r>
    </w:p>
    <w:p w:rsidR="0067234E" w:rsidRDefault="006E4B40">
      <w:pPr>
        <w:widowControl w:val="0"/>
        <w:pBdr>
          <w:top w:val="nil"/>
          <w:left w:val="nil"/>
          <w:bottom w:val="nil"/>
          <w:right w:val="nil"/>
          <w:between w:val="nil"/>
        </w:pBdr>
        <w:spacing w:line="360" w:lineRule="auto"/>
        <w:ind w:left="426" w:right="843"/>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rPr>
        <w:drawing>
          <wp:inline distT="0" distB="0" distL="0" distR="0">
            <wp:extent cx="5372850" cy="2114845"/>
            <wp:effectExtent l="0" t="0" r="0" b="0"/>
            <wp:docPr id="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372850" cy="2114845"/>
                    </a:xfrm>
                    <a:prstGeom prst="rect">
                      <a:avLst/>
                    </a:prstGeom>
                    <a:ln/>
                  </pic:spPr>
                </pic:pic>
              </a:graphicData>
            </a:graphic>
          </wp:inline>
        </w:drawing>
      </w:r>
    </w:p>
    <w:p w:rsidR="0067234E" w:rsidRDefault="0067234E">
      <w:pPr>
        <w:spacing w:line="360" w:lineRule="auto"/>
        <w:jc w:val="both"/>
        <w:rPr>
          <w:rFonts w:ascii="Palatino Linotype" w:eastAsia="Palatino Linotype" w:hAnsi="Palatino Linotype" w:cs="Palatino Linotype"/>
          <w:sz w:val="22"/>
          <w:szCs w:val="22"/>
        </w:rPr>
      </w:pPr>
    </w:p>
    <w:p w:rsidR="0067234E" w:rsidRDefault="006E4B4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Si bien es cierto, el Sujeto Obligado entregó los convenios requeridos por el particular, lo cierto es que se proporcionaron en versión pública, clasificando como información confidencial el nombre y firma del representante legal y el domicilio fiscal.  </w:t>
      </w:r>
    </w:p>
    <w:p w:rsidR="0067234E" w:rsidRDefault="0067234E">
      <w:pPr>
        <w:spacing w:line="360" w:lineRule="auto"/>
        <w:jc w:val="both"/>
        <w:rPr>
          <w:rFonts w:ascii="Palatino Linotype" w:eastAsia="Palatino Linotype" w:hAnsi="Palatino Linotype" w:cs="Palatino Linotype"/>
          <w:sz w:val="22"/>
          <w:szCs w:val="22"/>
        </w:rPr>
      </w:pPr>
    </w:p>
    <w:p w:rsidR="0067234E" w:rsidRDefault="006E4B40">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Información del Representante Legal </w:t>
      </w:r>
    </w:p>
    <w:p w:rsidR="0067234E" w:rsidRDefault="006E4B40">
      <w:pPr>
        <w:spacing w:before="240" w:after="240" w:line="360" w:lineRule="auto"/>
        <w:ind w:right="5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Relacionado con lo anterior, el </w:t>
      </w:r>
      <w:r>
        <w:rPr>
          <w:rFonts w:ascii="Palatino Linotype" w:eastAsia="Palatino Linotype" w:hAnsi="Palatino Linotype" w:cs="Palatino Linotype"/>
          <w:b/>
          <w:bCs/>
          <w:sz w:val="22"/>
          <w:szCs w:val="22"/>
        </w:rPr>
        <w:t>nombre de las personas físicas</w:t>
      </w:r>
      <w:r>
        <w:rPr>
          <w:rFonts w:ascii="Palatino Linotype" w:eastAsia="Palatino Linotype" w:hAnsi="Palatino Linotype" w:cs="Palatino Linotype"/>
          <w:sz w:val="22"/>
          <w:szCs w:val="22"/>
        </w:rPr>
        <w:t xml:space="preserve"> o los </w:t>
      </w:r>
      <w:r>
        <w:rPr>
          <w:rFonts w:ascii="Palatino Linotype" w:eastAsia="Palatino Linotype" w:hAnsi="Palatino Linotype" w:cs="Palatino Linotype"/>
          <w:b/>
          <w:bCs/>
          <w:sz w:val="22"/>
          <w:szCs w:val="22"/>
        </w:rPr>
        <w:t>representantes legales de las personas morales</w:t>
      </w:r>
      <w:r>
        <w:rPr>
          <w:rFonts w:ascii="Palatino Linotype" w:eastAsia="Palatino Linotype" w:hAnsi="Palatino Linotype" w:cs="Palatino Linotype"/>
          <w:sz w:val="22"/>
          <w:szCs w:val="22"/>
        </w:rPr>
        <w:t>, con quién el Sujeto Obligado suscriba convenios de colaboración, con proveedores, contratistas o prest</w:t>
      </w:r>
      <w:r>
        <w:rPr>
          <w:rFonts w:ascii="Palatino Linotype" w:eastAsia="Palatino Linotype" w:hAnsi="Palatino Linotype" w:cs="Palatino Linotype"/>
          <w:sz w:val="22"/>
          <w:szCs w:val="22"/>
        </w:rPr>
        <w:t xml:space="preserve">adores de servicios, y la firma y rúbrica de estos, que participen en algún  proceso de adjudicación en cualquiera de sus modalidades, debe mencionarse que con base en el artículo 23 párrafo segundo y 24 fracción XVIII  de la Ley de Transparencia y Acceso </w:t>
      </w:r>
      <w:r>
        <w:rPr>
          <w:rFonts w:ascii="Palatino Linotype" w:eastAsia="Palatino Linotype" w:hAnsi="Palatino Linotype" w:cs="Palatino Linotype"/>
          <w:sz w:val="22"/>
          <w:szCs w:val="22"/>
        </w:rPr>
        <w:t>a la Información Pública del Estado de México y Municipios, los entes públicos tienen la obligación de difundir toda aquella información relativa a los montos y las personas a quienes entreguen, por cualquier motivo, recursos públicos, así como los informe</w:t>
      </w:r>
      <w:r>
        <w:rPr>
          <w:rFonts w:ascii="Palatino Linotype" w:eastAsia="Palatino Linotype" w:hAnsi="Palatino Linotype" w:cs="Palatino Linotype"/>
          <w:sz w:val="22"/>
          <w:szCs w:val="22"/>
        </w:rPr>
        <w:t>s que dichas personas entreguen sobre el uso y destino de dichos recursos, motivo por el cual los datos del representante legal de la persona moral que resultó favorecida con el procedimiento de licitación no conservan el carácter de confidencial y por tan</w:t>
      </w:r>
      <w:r>
        <w:rPr>
          <w:rFonts w:ascii="Palatino Linotype" w:eastAsia="Palatino Linotype" w:hAnsi="Palatino Linotype" w:cs="Palatino Linotype"/>
          <w:sz w:val="22"/>
          <w:szCs w:val="22"/>
        </w:rPr>
        <w:t>to no deben ser testados.</w:t>
      </w:r>
    </w:p>
    <w:p w:rsidR="0067234E" w:rsidRDefault="006E4B40">
      <w:pPr>
        <w:spacing w:before="280" w:after="28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resulta aplicable el contenido del criterio orientador 01/19 emitido por el entonces Instituto Nacional de Transparencia, Acceso a la Información, y Protección de Datos Personales, INAI, que lleva por rubro y texto los s</w:t>
      </w:r>
      <w:r>
        <w:rPr>
          <w:rFonts w:ascii="Palatino Linotype" w:eastAsia="Palatino Linotype" w:hAnsi="Palatino Linotype" w:cs="Palatino Linotype"/>
          <w:sz w:val="22"/>
          <w:szCs w:val="22"/>
        </w:rPr>
        <w:t>iguientes</w:t>
      </w:r>
    </w:p>
    <w:p w:rsidR="0067234E" w:rsidRDefault="006E4B40">
      <w:pPr>
        <w:ind w:left="851"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“Datos de identificación del representante o apoderado legal.</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 xml:space="preserve">Naturaleza jurídica. </w:t>
      </w:r>
      <w:r>
        <w:rPr>
          <w:rFonts w:ascii="Palatino Linotype" w:eastAsia="Palatino Linotype" w:hAnsi="Palatino Linotype" w:cs="Palatino Linotype"/>
          <w:i/>
          <w:iCs/>
          <w:sz w:val="22"/>
          <w:szCs w:val="22"/>
        </w:rPr>
        <w:t xml:space="preserve">El nombre, la firma y la rúbrica de una persona física, que actúe como representante o apoderado legal de un tercero que haya celebrado un acto jurídico, con algún sujeto obligado, </w:t>
      </w:r>
      <w:r>
        <w:rPr>
          <w:rFonts w:ascii="Palatino Linotype" w:eastAsia="Palatino Linotype" w:hAnsi="Palatino Linotype" w:cs="Palatino Linotype"/>
          <w:b/>
          <w:bCs/>
          <w:i/>
          <w:iCs/>
          <w:sz w:val="22"/>
          <w:szCs w:val="22"/>
        </w:rPr>
        <w:t>es información pública, en razón de que tales datos fueron proporcionados c</w:t>
      </w:r>
      <w:r>
        <w:rPr>
          <w:rFonts w:ascii="Palatino Linotype" w:eastAsia="Palatino Linotype" w:hAnsi="Palatino Linotype" w:cs="Palatino Linotype"/>
          <w:b/>
          <w:bCs/>
          <w:i/>
          <w:iCs/>
          <w:sz w:val="22"/>
          <w:szCs w:val="22"/>
        </w:rPr>
        <w:t>on el objeto de expresar el consentimiento obligacional del tercero y otorgar validez a dicho instrumento jurídico</w:t>
      </w:r>
      <w:r>
        <w:rPr>
          <w:rFonts w:ascii="Palatino Linotype" w:eastAsia="Palatino Linotype" w:hAnsi="Palatino Linotype" w:cs="Palatino Linotype"/>
          <w:i/>
          <w:iCs/>
          <w:sz w:val="22"/>
          <w:szCs w:val="22"/>
        </w:rPr>
        <w:t>.”</w:t>
      </w:r>
    </w:p>
    <w:p w:rsidR="0067234E" w:rsidRDefault="0067234E">
      <w:pPr>
        <w:spacing w:line="360" w:lineRule="auto"/>
        <w:jc w:val="both"/>
        <w:rPr>
          <w:rFonts w:ascii="Palatino Linotype" w:eastAsia="Palatino Linotype" w:hAnsi="Palatino Linotype" w:cs="Palatino Linotype"/>
          <w:sz w:val="22"/>
          <w:szCs w:val="22"/>
        </w:rPr>
      </w:pPr>
    </w:p>
    <w:p w:rsidR="0067234E" w:rsidRDefault="006E4B4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lo referente al domicilio fiscal, ya que al tratarse de un domicilio donde se efectúan las operaciones propias de la persona mor</w:t>
      </w:r>
      <w:r>
        <w:rPr>
          <w:rFonts w:ascii="Palatino Linotype" w:eastAsia="Palatino Linotype" w:hAnsi="Palatino Linotype" w:cs="Palatino Linotype"/>
          <w:sz w:val="22"/>
          <w:szCs w:val="22"/>
        </w:rPr>
        <w:t>al, por lo que no se individualiza el domicilio de una persona física, en ese entendido, se considera información pública, por haber formalizado un instrumento jurídico, como lo es un convenio de colaboración.</w:t>
      </w:r>
    </w:p>
    <w:p w:rsidR="0067234E" w:rsidRDefault="0067234E">
      <w:pPr>
        <w:spacing w:line="360" w:lineRule="auto"/>
        <w:jc w:val="both"/>
        <w:rPr>
          <w:rFonts w:ascii="Palatino Linotype" w:eastAsia="Palatino Linotype" w:hAnsi="Palatino Linotype" w:cs="Palatino Linotype"/>
          <w:sz w:val="22"/>
          <w:szCs w:val="22"/>
        </w:rPr>
      </w:pPr>
    </w:p>
    <w:p w:rsidR="0067234E" w:rsidRDefault="006E4B4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consecuencia, se determina que las version</w:t>
      </w:r>
      <w:r>
        <w:rPr>
          <w:rFonts w:ascii="Palatino Linotype" w:eastAsia="Palatino Linotype" w:hAnsi="Palatino Linotype" w:cs="Palatino Linotype"/>
          <w:sz w:val="22"/>
          <w:szCs w:val="22"/>
        </w:rPr>
        <w:t>es públicas que remitió el Sujeto Obligado en respuesta resultan excesivas, pues se testó información que es pública.</w:t>
      </w:r>
    </w:p>
    <w:p w:rsidR="0067234E" w:rsidRDefault="0067234E">
      <w:pPr>
        <w:spacing w:line="360" w:lineRule="auto"/>
        <w:jc w:val="both"/>
        <w:rPr>
          <w:rFonts w:ascii="Palatino Linotype" w:eastAsia="Palatino Linotype" w:hAnsi="Palatino Linotype" w:cs="Palatino Linotype"/>
          <w:sz w:val="22"/>
          <w:szCs w:val="22"/>
        </w:rPr>
      </w:pPr>
    </w:p>
    <w:p w:rsidR="0067234E" w:rsidRDefault="006E4B4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anterior, se ORDENA al Sujeto Obligado entregar los convenios de colaboración proporcionados en respuesta de manera íntegra.</w:t>
      </w:r>
    </w:p>
    <w:p w:rsidR="0067234E" w:rsidRDefault="006E4B40">
      <w:pPr>
        <w:spacing w:line="360" w:lineRule="auto"/>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 </w:t>
      </w:r>
    </w:p>
    <w:p w:rsidR="0067234E" w:rsidRDefault="006E4B4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w:t>
      </w:r>
      <w:r>
        <w:rPr>
          <w:rFonts w:ascii="Palatino Linotype" w:eastAsia="Palatino Linotype" w:hAnsi="Palatino Linotype" w:cs="Palatino Linotype"/>
          <w:sz w:val="22"/>
          <w:szCs w:val="22"/>
        </w:rPr>
        <w:t xml:space="preserve"> lo anteriormente expuesto y con fundamento en lo prescrito en los artículos 5 párrafos cuadragésimo cuarto, cuadragésimo quinto, cuadragésimo sexto, fracciones IV y V de la Constitución Política del Estado Libre y Soberano de México; Transitorio Cuarto, p</w:t>
      </w:r>
      <w:r>
        <w:rPr>
          <w:rFonts w:ascii="Palatino Linotype" w:eastAsia="Palatino Linotype" w:hAnsi="Palatino Linotype" w:cs="Palatino Linotype"/>
          <w:sz w:val="22"/>
          <w:szCs w:val="22"/>
        </w:rPr>
        <w:t>árrafo segundo del Decreto número 198 de la “LXII” Legislatura del Estado de México; 2, fracción II; 29, 36 fracciones I y II; 176, 178, 181, 185 y 186 fracción II de la Ley de Transparencia y Acceso a la Información Pública del Estado de México y Municipi</w:t>
      </w:r>
      <w:r>
        <w:rPr>
          <w:rFonts w:ascii="Palatino Linotype" w:eastAsia="Palatino Linotype" w:hAnsi="Palatino Linotype" w:cs="Palatino Linotype"/>
          <w:sz w:val="22"/>
          <w:szCs w:val="22"/>
        </w:rPr>
        <w:t>os, este Pleno:</w:t>
      </w:r>
    </w:p>
    <w:p w:rsidR="0067234E" w:rsidRDefault="006E4B40">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 E S U E L V E:</w:t>
      </w:r>
    </w:p>
    <w:p w:rsidR="0067234E" w:rsidRDefault="006E4B40">
      <w:pPr>
        <w:spacing w:before="240" w:after="240"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Primero. </w:t>
      </w:r>
      <w:r>
        <w:rPr>
          <w:rFonts w:ascii="Palatino Linotype" w:eastAsia="Palatino Linotype" w:hAnsi="Palatino Linotype" w:cs="Palatino Linotype"/>
          <w:sz w:val="22"/>
          <w:szCs w:val="22"/>
        </w:rPr>
        <w:t>Resultan</w:t>
      </w:r>
      <w:r>
        <w:rPr>
          <w:rFonts w:ascii="Palatino Linotype" w:eastAsia="Palatino Linotype" w:hAnsi="Palatino Linotype" w:cs="Palatino Linotype"/>
          <w:b/>
          <w:bCs/>
          <w:sz w:val="22"/>
          <w:szCs w:val="22"/>
        </w:rPr>
        <w:t xml:space="preserve"> parcialmente fundados </w:t>
      </w:r>
      <w:r>
        <w:rPr>
          <w:rFonts w:ascii="Palatino Linotype" w:eastAsia="Palatino Linotype" w:hAnsi="Palatino Linotype" w:cs="Palatino Linotype"/>
          <w:sz w:val="22"/>
          <w:szCs w:val="22"/>
        </w:rPr>
        <w:t xml:space="preserve">los motivos de inconformidad hechos valer por </w:t>
      </w:r>
      <w:r>
        <w:rPr>
          <w:rFonts w:ascii="Palatino Linotype" w:eastAsia="Palatino Linotype" w:hAnsi="Palatino Linotype" w:cs="Palatino Linotype"/>
          <w:b/>
          <w:bCs/>
          <w:sz w:val="22"/>
          <w:szCs w:val="22"/>
        </w:rPr>
        <w:t>la parte Recurrente</w:t>
      </w:r>
      <w:r>
        <w:rPr>
          <w:rFonts w:ascii="Palatino Linotype" w:eastAsia="Palatino Linotype" w:hAnsi="Palatino Linotype" w:cs="Palatino Linotype"/>
          <w:sz w:val="22"/>
          <w:szCs w:val="22"/>
        </w:rPr>
        <w:t xml:space="preserve"> en el Recurso de Revisión</w:t>
      </w:r>
      <w:r>
        <w:rPr>
          <w:rFonts w:ascii="Palatino Linotype" w:eastAsia="Palatino Linotype" w:hAnsi="Palatino Linotype" w:cs="Palatino Linotype"/>
          <w:b/>
          <w:bCs/>
          <w:sz w:val="22"/>
          <w:szCs w:val="22"/>
        </w:rPr>
        <w:t xml:space="preserve"> 13319/INFOEM/IP/RR/2025, </w:t>
      </w:r>
      <w:r>
        <w:rPr>
          <w:rFonts w:ascii="Palatino Linotype" w:eastAsia="Palatino Linotype" w:hAnsi="Palatino Linotype" w:cs="Palatino Linotype"/>
          <w:sz w:val="22"/>
          <w:szCs w:val="22"/>
        </w:rPr>
        <w:t>por lo que</w:t>
      </w:r>
      <w:r>
        <w:rPr>
          <w:rFonts w:ascii="Palatino Linotype" w:eastAsia="Palatino Linotype" w:hAnsi="Palatino Linotype" w:cs="Palatino Linotype"/>
          <w:b/>
          <w:bCs/>
          <w:sz w:val="22"/>
          <w:szCs w:val="22"/>
        </w:rPr>
        <w:t xml:space="preserve">, en términos del Considerando Cuarto </w:t>
      </w:r>
      <w:r>
        <w:rPr>
          <w:rFonts w:ascii="Palatino Linotype" w:eastAsia="Palatino Linotype" w:hAnsi="Palatino Linotype" w:cs="Palatino Linotype"/>
          <w:sz w:val="22"/>
          <w:szCs w:val="22"/>
        </w:rPr>
        <w:t>de la presente resolución</w:t>
      </w:r>
      <w:r>
        <w:rPr>
          <w:rFonts w:ascii="Palatino Linotype" w:eastAsia="Palatino Linotype" w:hAnsi="Palatino Linotype" w:cs="Palatino Linotype"/>
          <w:b/>
          <w:bCs/>
          <w:sz w:val="22"/>
          <w:szCs w:val="22"/>
        </w:rPr>
        <w:t>, se MODIFICA l</w:t>
      </w:r>
      <w:r>
        <w:rPr>
          <w:rFonts w:ascii="Palatino Linotype" w:eastAsia="Palatino Linotype" w:hAnsi="Palatino Linotype" w:cs="Palatino Linotype"/>
          <w:sz w:val="22"/>
          <w:szCs w:val="22"/>
        </w:rPr>
        <w:t>a respuesta del</w:t>
      </w:r>
      <w:r>
        <w:rPr>
          <w:rFonts w:ascii="Palatino Linotype" w:eastAsia="Palatino Linotype" w:hAnsi="Palatino Linotype" w:cs="Palatino Linotype"/>
          <w:b/>
          <w:bCs/>
          <w:sz w:val="22"/>
          <w:szCs w:val="22"/>
        </w:rPr>
        <w:t xml:space="preserve"> Sujeto Obligado.</w:t>
      </w:r>
    </w:p>
    <w:p w:rsidR="0067234E" w:rsidRDefault="006E4B40">
      <w:pPr>
        <w:spacing w:before="240" w:after="240" w:line="360" w:lineRule="auto"/>
        <w:jc w:val="both"/>
        <w:rPr>
          <w:rFonts w:ascii="Palatino Linotype" w:eastAsia="Palatino Linotype" w:hAnsi="Palatino Linotype" w:cs="Palatino Linotype"/>
          <w:b/>
          <w:bCs/>
          <w:sz w:val="22"/>
          <w:szCs w:val="22"/>
        </w:rPr>
      </w:pPr>
      <w:bookmarkStart w:id="2" w:name="_heading=h.j3ppyxwlb1s2" w:colFirst="0" w:colLast="0"/>
      <w:bookmarkEnd w:id="2"/>
      <w:r>
        <w:rPr>
          <w:rFonts w:ascii="Palatino Linotype" w:eastAsia="Palatino Linotype" w:hAnsi="Palatino Linotype" w:cs="Palatino Linotype"/>
          <w:b/>
          <w:bCs/>
          <w:sz w:val="22"/>
          <w:szCs w:val="22"/>
        </w:rPr>
        <w:t xml:space="preserve">Segundo. Se Ordena al Sujeto Obligado </w:t>
      </w:r>
      <w:r>
        <w:rPr>
          <w:rFonts w:ascii="Palatino Linotype" w:eastAsia="Palatino Linotype" w:hAnsi="Palatino Linotype" w:cs="Palatino Linotype"/>
          <w:sz w:val="22"/>
          <w:szCs w:val="22"/>
        </w:rPr>
        <w:t>que en términos del</w:t>
      </w:r>
      <w:r>
        <w:rPr>
          <w:rFonts w:ascii="Palatino Linotype" w:eastAsia="Palatino Linotype" w:hAnsi="Palatino Linotype" w:cs="Palatino Linotype"/>
          <w:b/>
          <w:bCs/>
          <w:sz w:val="22"/>
          <w:szCs w:val="22"/>
        </w:rPr>
        <w:t xml:space="preserve"> Considerando Cuarto </w:t>
      </w:r>
      <w:r>
        <w:rPr>
          <w:rFonts w:ascii="Palatino Linotype" w:eastAsia="Palatino Linotype" w:hAnsi="Palatino Linotype" w:cs="Palatino Linotype"/>
          <w:sz w:val="22"/>
          <w:szCs w:val="22"/>
        </w:rPr>
        <w:t xml:space="preserve">de esta resolución, haga entrega previa búsqueda exhaustiva y razonable, a </w:t>
      </w:r>
      <w:r>
        <w:rPr>
          <w:rFonts w:ascii="Palatino Linotype" w:eastAsia="Palatino Linotype" w:hAnsi="Palatino Linotype" w:cs="Palatino Linotype"/>
          <w:b/>
          <w:bCs/>
          <w:sz w:val="22"/>
          <w:szCs w:val="22"/>
        </w:rPr>
        <w:t>la parte Recurrente a través d</w:t>
      </w:r>
      <w:r>
        <w:rPr>
          <w:rFonts w:ascii="Palatino Linotype" w:eastAsia="Palatino Linotype" w:hAnsi="Palatino Linotype" w:cs="Palatino Linotype"/>
          <w:b/>
          <w:bCs/>
          <w:sz w:val="22"/>
          <w:szCs w:val="22"/>
        </w:rPr>
        <w:t xml:space="preserve">el SAIMEX, </w:t>
      </w:r>
      <w:r>
        <w:rPr>
          <w:rFonts w:ascii="Palatino Linotype" w:eastAsia="Palatino Linotype" w:hAnsi="Palatino Linotype" w:cs="Palatino Linotype"/>
          <w:sz w:val="22"/>
          <w:szCs w:val="22"/>
        </w:rPr>
        <w:t>la siguiente información:</w:t>
      </w:r>
    </w:p>
    <w:p w:rsidR="0067234E" w:rsidRDefault="006E4B40">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 xml:space="preserve">Convenios de colaboración remitidos en respuesta, de manera íntegra. </w:t>
      </w:r>
    </w:p>
    <w:p w:rsidR="0067234E" w:rsidRDefault="006E4B40">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Tercero.  Notifíquese vía SAIMEX, </w:t>
      </w:r>
      <w:r>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w:t>
      </w:r>
      <w:r>
        <w:rPr>
          <w:rFonts w:ascii="Palatino Linotype" w:eastAsia="Palatino Linotype" w:hAnsi="Palatino Linotype" w:cs="Palatino Linotype"/>
          <w:sz w:val="22"/>
          <w:szCs w:val="22"/>
        </w:rPr>
        <w:t xml:space="preserve"> dé cumplimiento a lo ordenado dentro del plazo de diez días hábiles, e informe a este Instituto en un plazo de tres días hábiles siguientes sobre el cumplimiento dado a la presente y, se le apercibe que en caso de negarse a cumplir la presente resolución </w:t>
      </w:r>
      <w:r>
        <w:rPr>
          <w:rFonts w:ascii="Palatino Linotype" w:eastAsia="Palatino Linotype" w:hAnsi="Palatino Linotype" w:cs="Palatino Linotype"/>
          <w:sz w:val="22"/>
          <w:szCs w:val="22"/>
        </w:rPr>
        <w:t>o hacerlo de manera parcial, se le impondrá una medida de apremio de conformidad con lo previsto en los artículos 198, 200, fracción III; 214, 215 y 216 de la Ley  de Transparencia y Acceso a la Información Pública del Estado de México y Municipios.</w:t>
      </w:r>
    </w:p>
    <w:p w:rsidR="0067234E" w:rsidRDefault="006E4B40">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Cuarto</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de manera fundada y motivada, podrá solicitar una ampliación de plazo para e</w:t>
      </w:r>
      <w:r>
        <w:rPr>
          <w:rFonts w:ascii="Palatino Linotype" w:eastAsia="Palatino Linotype" w:hAnsi="Palatino Linotype" w:cs="Palatino Linotype"/>
          <w:sz w:val="22"/>
          <w:szCs w:val="22"/>
        </w:rPr>
        <w:t>l cumplimiento de la presente resolución.</w:t>
      </w:r>
    </w:p>
    <w:p w:rsidR="0067234E" w:rsidRDefault="006E4B40">
      <w:pPr>
        <w:spacing w:line="360" w:lineRule="auto"/>
        <w:jc w:val="both"/>
        <w:rPr>
          <w:rFonts w:ascii="Palatino Linotype" w:eastAsia="Palatino Linotype" w:hAnsi="Palatino Linotype" w:cs="Palatino Linotype"/>
          <w:sz w:val="22"/>
          <w:szCs w:val="22"/>
        </w:rPr>
      </w:pPr>
      <w:bookmarkStart w:id="3" w:name="_heading=h.tyjcwt" w:colFirst="0" w:colLast="0"/>
      <w:bookmarkEnd w:id="3"/>
      <w:r>
        <w:rPr>
          <w:rFonts w:ascii="Palatino Linotype" w:eastAsia="Palatino Linotype" w:hAnsi="Palatino Linotype" w:cs="Palatino Linotype"/>
          <w:b/>
          <w:bCs/>
          <w:sz w:val="22"/>
          <w:szCs w:val="22"/>
        </w:rPr>
        <w:t xml:space="preserve">Quinto. Notifíquese vía SAIMEX, </w:t>
      </w:r>
      <w:r>
        <w:rPr>
          <w:rFonts w:ascii="Palatino Linotype" w:eastAsia="Palatino Linotype" w:hAnsi="Palatino Linotype" w:cs="Palatino Linotype"/>
          <w:sz w:val="22"/>
          <w:szCs w:val="22"/>
        </w:rPr>
        <w:t>a</w:t>
      </w:r>
      <w:r>
        <w:rPr>
          <w:rFonts w:ascii="Palatino Linotype" w:eastAsia="Palatino Linotype" w:hAnsi="Palatino Linotype" w:cs="Palatino Linotype"/>
          <w:b/>
          <w:bCs/>
          <w:sz w:val="22"/>
          <w:szCs w:val="22"/>
        </w:rPr>
        <w:t xml:space="preserve"> la parte Recurrente</w:t>
      </w:r>
      <w:r>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w:t>
      </w:r>
      <w:r>
        <w:rPr>
          <w:rFonts w:ascii="Palatino Linotype" w:eastAsia="Palatino Linotype" w:hAnsi="Palatino Linotype" w:cs="Palatino Linotype"/>
          <w:sz w:val="22"/>
          <w:szCs w:val="22"/>
        </w:rPr>
        <w:t>lo 196 de la Ley de Transparencia y Acceso a la Información Pública del Estado de México y Municipios.</w:t>
      </w:r>
    </w:p>
    <w:p w:rsidR="0067234E" w:rsidRDefault="0067234E">
      <w:pPr>
        <w:spacing w:line="360" w:lineRule="auto"/>
        <w:jc w:val="both"/>
        <w:rPr>
          <w:rFonts w:ascii="Palatino Linotype" w:eastAsia="Palatino Linotype" w:hAnsi="Palatino Linotype" w:cs="Palatino Linotype"/>
          <w:b/>
          <w:bCs/>
          <w:sz w:val="22"/>
          <w:szCs w:val="22"/>
        </w:rPr>
      </w:pPr>
    </w:p>
    <w:p w:rsidR="0067234E" w:rsidRDefault="006E4B40">
      <w:pPr>
        <w:spacing w:line="360" w:lineRule="auto"/>
        <w:ind w:right="-93"/>
        <w:jc w:val="both"/>
        <w:rPr>
          <w:rFonts w:ascii="Palatino Linotype" w:eastAsia="Palatino Linotype" w:hAnsi="Palatino Linotype" w:cs="Palatino Linotype"/>
          <w:sz w:val="22"/>
          <w:szCs w:val="22"/>
        </w:rPr>
      </w:pPr>
      <w:bookmarkStart w:id="4" w:name="_heading=h.jl0dlasot4f" w:colFirst="0" w:colLast="0"/>
      <w:bookmarkEnd w:id="4"/>
      <w:r>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w:t>
      </w:r>
      <w:r>
        <w:rPr>
          <w:rFonts w:ascii="Palatino Linotype" w:eastAsia="Palatino Linotype" w:hAnsi="Palatino Linotype" w:cs="Palatino Linotype"/>
          <w:sz w:val="22"/>
          <w:szCs w:val="22"/>
        </w:rPr>
        <w:t xml:space="preserve">ESTADO DE MÉXICO Y MUNICIPIOS, CONFORMADO POR LOS COMISIONADOS JOSÉ MARTÍNEZ VILCHIS, MARÍA DEL ROSARIO MEJÍA AYALA, SHARON CRISTINA MORALES MARTÍNEZ, LUIS GUSTAVO PARRA NORIEGA Y GUADALUPE RAMÍREZ PEÑA; EN LA PRIMERA SESIÓN ORDINARIA CELEBRADA EL CATORCE </w:t>
      </w:r>
      <w:r>
        <w:rPr>
          <w:rFonts w:ascii="Palatino Linotype" w:eastAsia="Palatino Linotype" w:hAnsi="Palatino Linotype" w:cs="Palatino Linotype"/>
          <w:sz w:val="22"/>
          <w:szCs w:val="22"/>
        </w:rPr>
        <w:t>DE ENERO DE DOS MIL VEINTISÉIS, ANTE EL SECRETARIO TÉCNICO DEL PLENO ALEXIS TAPIA RAMÍREZ.</w:t>
      </w:r>
    </w:p>
    <w:p w:rsidR="0067234E" w:rsidRDefault="0067234E">
      <w:pPr>
        <w:spacing w:line="360" w:lineRule="auto"/>
        <w:ind w:right="-93"/>
        <w:jc w:val="both"/>
        <w:rPr>
          <w:rFonts w:ascii="Palatino Linotype" w:eastAsia="Palatino Linotype" w:hAnsi="Palatino Linotype" w:cs="Palatino Linotype"/>
          <w:sz w:val="22"/>
          <w:szCs w:val="22"/>
        </w:rPr>
      </w:pPr>
    </w:p>
    <w:p w:rsidR="0067234E" w:rsidRDefault="0067234E">
      <w:pPr>
        <w:spacing w:line="360" w:lineRule="auto"/>
        <w:ind w:right="-93"/>
        <w:jc w:val="both"/>
        <w:rPr>
          <w:rFonts w:ascii="Palatino Linotype" w:eastAsia="Palatino Linotype" w:hAnsi="Palatino Linotype" w:cs="Palatino Linotype"/>
          <w:sz w:val="22"/>
          <w:szCs w:val="22"/>
        </w:rPr>
      </w:pPr>
    </w:p>
    <w:p w:rsidR="0067234E" w:rsidRDefault="0067234E">
      <w:pPr>
        <w:spacing w:line="360" w:lineRule="auto"/>
        <w:ind w:right="-93"/>
        <w:jc w:val="both"/>
        <w:rPr>
          <w:rFonts w:ascii="Palatino Linotype" w:eastAsia="Palatino Linotype" w:hAnsi="Palatino Linotype" w:cs="Palatino Linotype"/>
          <w:sz w:val="22"/>
          <w:szCs w:val="22"/>
        </w:rPr>
      </w:pPr>
    </w:p>
    <w:p w:rsidR="0067234E" w:rsidRDefault="0067234E">
      <w:pPr>
        <w:spacing w:line="360" w:lineRule="auto"/>
        <w:ind w:right="-93"/>
        <w:jc w:val="both"/>
        <w:rPr>
          <w:rFonts w:ascii="Palatino Linotype" w:eastAsia="Palatino Linotype" w:hAnsi="Palatino Linotype" w:cs="Palatino Linotype"/>
          <w:sz w:val="22"/>
          <w:szCs w:val="22"/>
        </w:rPr>
      </w:pPr>
    </w:p>
    <w:p w:rsidR="0067234E" w:rsidRDefault="0067234E">
      <w:pPr>
        <w:spacing w:line="360" w:lineRule="auto"/>
        <w:ind w:right="-93"/>
        <w:jc w:val="both"/>
        <w:rPr>
          <w:rFonts w:ascii="Palatino Linotype" w:eastAsia="Palatino Linotype" w:hAnsi="Palatino Linotype" w:cs="Palatino Linotype"/>
          <w:sz w:val="22"/>
          <w:szCs w:val="22"/>
        </w:rPr>
      </w:pPr>
    </w:p>
    <w:p w:rsidR="0067234E" w:rsidRDefault="0067234E">
      <w:pPr>
        <w:spacing w:line="360" w:lineRule="auto"/>
        <w:ind w:right="-93"/>
        <w:jc w:val="both"/>
        <w:rPr>
          <w:rFonts w:ascii="Palatino Linotype" w:eastAsia="Palatino Linotype" w:hAnsi="Palatino Linotype" w:cs="Palatino Linotype"/>
          <w:sz w:val="22"/>
          <w:szCs w:val="22"/>
        </w:rPr>
      </w:pPr>
    </w:p>
    <w:p w:rsidR="0067234E" w:rsidRDefault="0067234E">
      <w:pPr>
        <w:spacing w:line="360" w:lineRule="auto"/>
        <w:ind w:right="-93"/>
        <w:jc w:val="both"/>
        <w:rPr>
          <w:rFonts w:ascii="Palatino Linotype" w:eastAsia="Palatino Linotype" w:hAnsi="Palatino Linotype" w:cs="Palatino Linotype"/>
          <w:sz w:val="22"/>
          <w:szCs w:val="22"/>
        </w:rPr>
      </w:pPr>
    </w:p>
    <w:p w:rsidR="0067234E" w:rsidRDefault="0067234E">
      <w:pPr>
        <w:spacing w:line="360" w:lineRule="auto"/>
        <w:ind w:right="-93"/>
        <w:jc w:val="both"/>
        <w:rPr>
          <w:rFonts w:ascii="Palatino Linotype" w:eastAsia="Palatino Linotype" w:hAnsi="Palatino Linotype" w:cs="Palatino Linotype"/>
          <w:sz w:val="22"/>
          <w:szCs w:val="22"/>
        </w:rPr>
      </w:pPr>
    </w:p>
    <w:p w:rsidR="0067234E" w:rsidRDefault="0067234E">
      <w:pPr>
        <w:spacing w:line="360" w:lineRule="auto"/>
        <w:ind w:right="-93"/>
        <w:jc w:val="both"/>
        <w:rPr>
          <w:rFonts w:ascii="Palatino Linotype" w:eastAsia="Palatino Linotype" w:hAnsi="Palatino Linotype" w:cs="Palatino Linotype"/>
          <w:sz w:val="22"/>
          <w:szCs w:val="22"/>
        </w:rPr>
      </w:pPr>
    </w:p>
    <w:p w:rsidR="0067234E" w:rsidRDefault="0067234E">
      <w:pPr>
        <w:spacing w:line="360" w:lineRule="auto"/>
        <w:ind w:right="-93"/>
        <w:jc w:val="both"/>
        <w:rPr>
          <w:rFonts w:ascii="Palatino Linotype" w:eastAsia="Palatino Linotype" w:hAnsi="Palatino Linotype" w:cs="Palatino Linotype"/>
          <w:sz w:val="22"/>
          <w:szCs w:val="22"/>
        </w:rPr>
      </w:pPr>
    </w:p>
    <w:p w:rsidR="0067234E" w:rsidRDefault="0067234E">
      <w:pPr>
        <w:spacing w:line="360" w:lineRule="auto"/>
        <w:ind w:right="-93"/>
        <w:jc w:val="both"/>
        <w:rPr>
          <w:rFonts w:ascii="Palatino Linotype" w:eastAsia="Palatino Linotype" w:hAnsi="Palatino Linotype" w:cs="Palatino Linotype"/>
          <w:sz w:val="22"/>
          <w:szCs w:val="22"/>
        </w:rPr>
      </w:pPr>
    </w:p>
    <w:p w:rsidR="0067234E" w:rsidRDefault="0067234E">
      <w:pPr>
        <w:pBdr>
          <w:top w:val="nil"/>
          <w:left w:val="nil"/>
          <w:bottom w:val="nil"/>
          <w:right w:val="nil"/>
          <w:between w:val="nil"/>
        </w:pBdr>
        <w:spacing w:line="360" w:lineRule="auto"/>
        <w:ind w:right="49" w:hanging="22"/>
        <w:jc w:val="both"/>
        <w:rPr>
          <w:rFonts w:ascii="Palatino Linotype" w:eastAsia="Palatino Linotype" w:hAnsi="Palatino Linotype" w:cs="Palatino Linotype"/>
          <w:sz w:val="22"/>
          <w:szCs w:val="22"/>
        </w:rPr>
      </w:pPr>
    </w:p>
    <w:sectPr w:rsidR="0067234E">
      <w:headerReference w:type="default" r:id="rId12"/>
      <w:footerReference w:type="default" r:id="rId13"/>
      <w:headerReference w:type="first" r:id="rId14"/>
      <w:footerReference w:type="first" r:id="rId15"/>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6E4B40">
      <w:r>
        <w:separator/>
      </w:r>
    </w:p>
  </w:endnote>
  <w:endnote w:type="continuationSeparator" w:id="0">
    <w:p w:rsidR="00000000" w:rsidRDefault="006E4B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9ADB7AAB-81CE-42D1-90AF-DC1BE8054439}"/>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66514F6B-ADC8-4C8A-B06E-0A9602893B85}"/>
    <w:embedBold r:id="rId3" w:fontKey="{B86060F8-19AE-4A6D-8289-05C82F32C76C}"/>
    <w:embedItalic r:id="rId4" w:fontKey="{4FA7475C-8700-4F34-947C-58BA771A3C42}"/>
    <w:embedBoldItalic r:id="rId5" w:fontKey="{91577468-1DC0-4FF2-BD26-B3F624B2B02F}"/>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B78744E6-4B4F-4B61-8BE8-878533DED40D}"/>
    <w:embedBold r:id="rId7" w:fontKey="{B116DD04-AA7D-4B61-927F-E3B3249907D7}"/>
    <w:embedItalic r:id="rId8" w:fontKey="{4E52DA6C-11AE-4C7C-B227-768C14266944}"/>
  </w:font>
  <w:font w:name="Bookman Old Style">
    <w:panose1 w:val="02050604050505020204"/>
    <w:charset w:val="00"/>
    <w:family w:val="roman"/>
    <w:pitch w:val="variable"/>
    <w:sig w:usb0="00000287" w:usb1="00000000" w:usb2="00000000" w:usb3="00000000" w:csb0="0000009F" w:csb1="00000000"/>
    <w:embedRegular r:id="rId9" w:fontKey="{24CB3C62-191E-4BAE-A4D1-083F95F1FA30}"/>
  </w:font>
  <w:font w:name="Georgia">
    <w:panose1 w:val="02040502050405020303"/>
    <w:charset w:val="00"/>
    <w:family w:val="roman"/>
    <w:pitch w:val="variable"/>
    <w:sig w:usb0="00000287" w:usb1="00000000" w:usb2="00000000" w:usb3="00000000" w:csb0="0000009F" w:csb1="00000000"/>
    <w:embedItalic r:id="rId10" w:fontKey="{EB25869A-1CDE-4F39-B5B5-2D9F9619FF7A}"/>
  </w:font>
  <w:font w:name="Calibri Light">
    <w:panose1 w:val="020F0302020204030204"/>
    <w:charset w:val="00"/>
    <w:family w:val="swiss"/>
    <w:pitch w:val="variable"/>
    <w:sig w:usb0="E4002EFF" w:usb1="C200247B" w:usb2="00000009" w:usb3="00000000" w:csb0="000001FF" w:csb1="00000000"/>
    <w:embedRegular r:id="rId11" w:fontKey="{383C5ACD-7A6D-4501-80C7-777541B50EE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34E" w:rsidRDefault="006E4B40">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sidR="00D809C5">
      <w:rPr>
        <w:b/>
        <w:bCs/>
        <w:color w:val="000000"/>
      </w:rPr>
      <w:fldChar w:fldCharType="separate"/>
    </w:r>
    <w:r>
      <w:rPr>
        <w:b/>
        <w:bCs/>
        <w:noProof/>
        <w:color w:val="000000"/>
      </w:rPr>
      <w:t>17</w:t>
    </w:r>
    <w:r>
      <w:rPr>
        <w:b/>
        <w:bCs/>
        <w:color w:val="000000"/>
      </w:rPr>
      <w:fldChar w:fldCharType="end"/>
    </w:r>
    <w:r>
      <w:rPr>
        <w:color w:val="000000"/>
      </w:rPr>
      <w:t xml:space="preserve"> de </w:t>
    </w:r>
    <w:r>
      <w:rPr>
        <w:b/>
        <w:bCs/>
        <w:color w:val="000000"/>
      </w:rPr>
      <w:fldChar w:fldCharType="begin"/>
    </w:r>
    <w:r>
      <w:rPr>
        <w:b/>
        <w:bCs/>
        <w:color w:val="000000"/>
      </w:rPr>
      <w:instrText>NUMPAGES</w:instrText>
    </w:r>
    <w:r w:rsidR="00D809C5">
      <w:rPr>
        <w:b/>
        <w:bCs/>
        <w:color w:val="000000"/>
      </w:rPr>
      <w:fldChar w:fldCharType="separate"/>
    </w:r>
    <w:r>
      <w:rPr>
        <w:b/>
        <w:bCs/>
        <w:noProof/>
        <w:color w:val="000000"/>
      </w:rPr>
      <w:t>23</w:t>
    </w:r>
    <w:r>
      <w:rPr>
        <w:b/>
        <w:bCs/>
        <w:color w:val="000000"/>
      </w:rPr>
      <w:fldChar w:fldCharType="end"/>
    </w:r>
  </w:p>
  <w:p w:rsidR="0067234E" w:rsidRDefault="0067234E">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34E" w:rsidRDefault="006E4B40">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sidR="00D809C5">
      <w:rPr>
        <w:b/>
        <w:bCs/>
        <w:color w:val="000000"/>
      </w:rPr>
      <w:fldChar w:fldCharType="separate"/>
    </w:r>
    <w:r>
      <w:rPr>
        <w:b/>
        <w:bCs/>
        <w:noProof/>
        <w:color w:val="000000"/>
      </w:rPr>
      <w:t>1</w:t>
    </w:r>
    <w:r>
      <w:rPr>
        <w:b/>
        <w:bCs/>
        <w:color w:val="000000"/>
      </w:rPr>
      <w:fldChar w:fldCharType="end"/>
    </w:r>
    <w:r>
      <w:rPr>
        <w:color w:val="000000"/>
      </w:rPr>
      <w:t xml:space="preserve"> de </w:t>
    </w:r>
    <w:r>
      <w:rPr>
        <w:b/>
        <w:bCs/>
        <w:color w:val="000000"/>
      </w:rPr>
      <w:fldChar w:fldCharType="begin"/>
    </w:r>
    <w:r>
      <w:rPr>
        <w:b/>
        <w:bCs/>
        <w:color w:val="000000"/>
      </w:rPr>
      <w:instrText>NUMPAGES</w:instrText>
    </w:r>
    <w:r w:rsidR="00D809C5">
      <w:rPr>
        <w:b/>
        <w:bCs/>
        <w:color w:val="000000"/>
      </w:rPr>
      <w:fldChar w:fldCharType="separate"/>
    </w:r>
    <w:r>
      <w:rPr>
        <w:b/>
        <w:bCs/>
        <w:noProof/>
        <w:color w:val="000000"/>
      </w:rPr>
      <w:t>23</w:t>
    </w:r>
    <w:r>
      <w:rPr>
        <w:b/>
        <w:bCs/>
        <w:color w:val="000000"/>
      </w:rPr>
      <w:fldChar w:fldCharType="end"/>
    </w:r>
  </w:p>
  <w:p w:rsidR="0067234E" w:rsidRDefault="0067234E">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6E4B40">
      <w:r>
        <w:separator/>
      </w:r>
    </w:p>
  </w:footnote>
  <w:footnote w:type="continuationSeparator" w:id="0">
    <w:p w:rsidR="00000000" w:rsidRDefault="006E4B4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34E" w:rsidRDefault="006E4B40">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simplePos x="0" y="0"/>
          <wp:positionH relativeFrom="column">
            <wp:posOffset>0</wp:posOffset>
          </wp:positionH>
          <wp:positionV relativeFrom="paragraph">
            <wp:posOffset>-401952</wp:posOffset>
          </wp:positionV>
          <wp:extent cx="7809876" cy="10165823"/>
          <wp:effectExtent l="0" t="0" r="0" b="0"/>
          <wp:wrapNone/>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8"/>
      <w:tblW w:w="5603" w:type="dxa"/>
      <w:tblInd w:w="3611" w:type="dxa"/>
      <w:tblLayout w:type="fixed"/>
      <w:tblLook w:val="0400" w:firstRow="0" w:lastRow="0" w:firstColumn="0" w:lastColumn="0" w:noHBand="0" w:noVBand="1"/>
    </w:tblPr>
    <w:tblGrid>
      <w:gridCol w:w="2551"/>
      <w:gridCol w:w="3052"/>
    </w:tblGrid>
    <w:tr w:rsidR="0067234E">
      <w:tc>
        <w:tcPr>
          <w:tcW w:w="2551" w:type="dxa"/>
          <w:vAlign w:val="center"/>
        </w:tcPr>
        <w:p w:rsidR="0067234E" w:rsidRDefault="006E4B40">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Recurso de Revisión:</w:t>
          </w:r>
        </w:p>
        <w:p w:rsidR="0067234E" w:rsidRDefault="0067234E">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p>
      </w:tc>
      <w:tc>
        <w:tcPr>
          <w:tcW w:w="3052" w:type="dxa"/>
          <w:vAlign w:val="center"/>
        </w:tcPr>
        <w:p w:rsidR="0067234E" w:rsidRDefault="006E4B40">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13319/INFOEM/IP/RR/2025</w:t>
          </w:r>
        </w:p>
      </w:tc>
    </w:tr>
    <w:tr w:rsidR="0067234E">
      <w:trPr>
        <w:trHeight w:val="217"/>
      </w:trPr>
      <w:tc>
        <w:tcPr>
          <w:tcW w:w="2551" w:type="dxa"/>
          <w:vAlign w:val="center"/>
        </w:tcPr>
        <w:p w:rsidR="0067234E" w:rsidRDefault="006E4B40">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Sujeto obligado:</w:t>
          </w:r>
        </w:p>
      </w:tc>
      <w:tc>
        <w:tcPr>
          <w:tcW w:w="3052" w:type="dxa"/>
          <w:vAlign w:val="center"/>
        </w:tcPr>
        <w:p w:rsidR="0067234E" w:rsidRDefault="006E4B40">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Ayuntamiento de Calimaya</w:t>
          </w:r>
        </w:p>
      </w:tc>
    </w:tr>
    <w:tr w:rsidR="0067234E">
      <w:tc>
        <w:tcPr>
          <w:tcW w:w="2551" w:type="dxa"/>
          <w:vAlign w:val="center"/>
        </w:tcPr>
        <w:p w:rsidR="0067234E" w:rsidRDefault="006E4B40">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Comisionada ponente:</w:t>
          </w:r>
        </w:p>
      </w:tc>
      <w:tc>
        <w:tcPr>
          <w:tcW w:w="3052" w:type="dxa"/>
          <w:vAlign w:val="center"/>
        </w:tcPr>
        <w:p w:rsidR="0067234E" w:rsidRDefault="006E4B40">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Guadalupe Ramírez Peña</w:t>
          </w:r>
        </w:p>
      </w:tc>
    </w:tr>
  </w:tbl>
  <w:p w:rsidR="0067234E" w:rsidRDefault="0067234E">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34E" w:rsidRDefault="006E4B40">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simplePos x="0" y="0"/>
          <wp:positionH relativeFrom="column">
            <wp:posOffset>-929003</wp:posOffset>
          </wp:positionH>
          <wp:positionV relativeFrom="paragraph">
            <wp:posOffset>-644523</wp:posOffset>
          </wp:positionV>
          <wp:extent cx="7809865" cy="10165715"/>
          <wp:effectExtent l="0" t="0" r="0" b="0"/>
          <wp:wrapNone/>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9"/>
      <w:tblW w:w="5461" w:type="dxa"/>
      <w:tblInd w:w="3611" w:type="dxa"/>
      <w:tblLayout w:type="fixed"/>
      <w:tblLook w:val="0400" w:firstRow="0" w:lastRow="0" w:firstColumn="0" w:lastColumn="0" w:noHBand="0" w:noVBand="1"/>
    </w:tblPr>
    <w:tblGrid>
      <w:gridCol w:w="2343"/>
      <w:gridCol w:w="3118"/>
    </w:tblGrid>
    <w:tr w:rsidR="0067234E">
      <w:tc>
        <w:tcPr>
          <w:tcW w:w="2343" w:type="dxa"/>
          <w:vAlign w:val="center"/>
        </w:tcPr>
        <w:p w:rsidR="0067234E" w:rsidRDefault="006E4B40">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Recurso de Revisión:</w:t>
          </w:r>
        </w:p>
        <w:p w:rsidR="0067234E" w:rsidRDefault="0067234E">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p>
      </w:tc>
      <w:tc>
        <w:tcPr>
          <w:tcW w:w="3118" w:type="dxa"/>
          <w:vAlign w:val="center"/>
        </w:tcPr>
        <w:p w:rsidR="0067234E" w:rsidRDefault="006E4B40">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13319/INFOEM/IP/RR/2025</w:t>
          </w:r>
        </w:p>
      </w:tc>
    </w:tr>
    <w:tr w:rsidR="0067234E">
      <w:tc>
        <w:tcPr>
          <w:tcW w:w="2343" w:type="dxa"/>
          <w:vAlign w:val="center"/>
        </w:tcPr>
        <w:p w:rsidR="0067234E" w:rsidRDefault="006E4B40">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Recurrente:</w:t>
          </w:r>
        </w:p>
      </w:tc>
      <w:tc>
        <w:tcPr>
          <w:tcW w:w="3118" w:type="dxa"/>
          <w:vAlign w:val="center"/>
        </w:tcPr>
        <w:p w:rsidR="0067234E" w:rsidRDefault="00D809C5">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XXXXXXX XX</w:t>
          </w:r>
        </w:p>
      </w:tc>
    </w:tr>
    <w:tr w:rsidR="0067234E">
      <w:trPr>
        <w:trHeight w:val="152"/>
      </w:trPr>
      <w:tc>
        <w:tcPr>
          <w:tcW w:w="2343" w:type="dxa"/>
          <w:vAlign w:val="center"/>
        </w:tcPr>
        <w:p w:rsidR="0067234E" w:rsidRDefault="006E4B40">
          <w:pP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Sujeto obligado:</w:t>
          </w:r>
        </w:p>
        <w:p w:rsidR="0067234E" w:rsidRDefault="0067234E">
          <w:pPr>
            <w:tabs>
              <w:tab w:val="center" w:pos="4419"/>
              <w:tab w:val="right" w:pos="8838"/>
            </w:tabs>
            <w:rPr>
              <w:rFonts w:ascii="Palatino Linotype" w:eastAsia="Palatino Linotype" w:hAnsi="Palatino Linotype" w:cs="Palatino Linotype"/>
              <w:b/>
              <w:bCs/>
              <w:color w:val="000000"/>
              <w:sz w:val="20"/>
              <w:szCs w:val="20"/>
            </w:rPr>
          </w:pPr>
        </w:p>
      </w:tc>
      <w:tc>
        <w:tcPr>
          <w:tcW w:w="3118" w:type="dxa"/>
          <w:vAlign w:val="center"/>
        </w:tcPr>
        <w:p w:rsidR="0067234E" w:rsidRDefault="006E4B40">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Ayuntamiento de Calimaya</w:t>
          </w:r>
        </w:p>
      </w:tc>
    </w:tr>
    <w:tr w:rsidR="0067234E">
      <w:tc>
        <w:tcPr>
          <w:tcW w:w="2343" w:type="dxa"/>
          <w:vAlign w:val="center"/>
        </w:tcPr>
        <w:p w:rsidR="0067234E" w:rsidRDefault="006E4B40">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Comisionada ponente:</w:t>
          </w:r>
        </w:p>
      </w:tc>
      <w:tc>
        <w:tcPr>
          <w:tcW w:w="3118" w:type="dxa"/>
          <w:vAlign w:val="center"/>
        </w:tcPr>
        <w:p w:rsidR="0067234E" w:rsidRDefault="006E4B40">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Guadalupe Ramírez Peña</w:t>
          </w:r>
        </w:p>
      </w:tc>
    </w:tr>
  </w:tbl>
  <w:p w:rsidR="0067234E" w:rsidRDefault="006E4B40">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7850D4"/>
    <w:multiLevelType w:val="multilevel"/>
    <w:tmpl w:val="48A2D8F6"/>
    <w:lvl w:ilvl="0">
      <w:start w:val="1"/>
      <w:numFmt w:val="bullet"/>
      <w:pStyle w:val="Listaconvieta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BE44A0B"/>
    <w:multiLevelType w:val="multilevel"/>
    <w:tmpl w:val="742A0F84"/>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58802C7"/>
    <w:multiLevelType w:val="multilevel"/>
    <w:tmpl w:val="71BCB59A"/>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B4116B1"/>
    <w:multiLevelType w:val="multilevel"/>
    <w:tmpl w:val="8D3A86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34E"/>
    <w:rsid w:val="0067234E"/>
    <w:rsid w:val="006E4B40"/>
    <w:rsid w:val="00D809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AE974"/>
  <w15:docId w15:val="{290986F4-96B6-4CD7-AE2F-98827EC28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table" w:customStyle="1" w:styleId="a3">
    <w:basedOn w:val="TableNormal5"/>
    <w:tblPr>
      <w:tblStyleRowBandSize w:val="1"/>
      <w:tblStyleColBandSize w:val="1"/>
      <w:tblCellMar>
        <w:top w:w="15" w:type="dxa"/>
        <w:left w:w="115" w:type="dxa"/>
        <w:bottom w:w="15" w:type="dxa"/>
        <w:right w:w="115" w:type="dxa"/>
      </w:tblCellMar>
    </w:tblPr>
  </w:style>
  <w:style w:type="table" w:customStyle="1" w:styleId="a4">
    <w:basedOn w:val="TableNormal5"/>
    <w:tblPr>
      <w:tblStyleRowBandSize w:val="1"/>
      <w:tblStyleColBandSize w:val="1"/>
      <w:tblCellMar>
        <w:top w:w="15" w:type="dxa"/>
        <w:left w:w="115" w:type="dxa"/>
        <w:bottom w:w="15" w:type="dxa"/>
        <w:right w:w="115" w:type="dxa"/>
      </w:tblCellMar>
    </w:tbl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tblPr>
      <w:tblStyleRowBandSize w:val="1"/>
      <w:tblStyleColBandSize w:val="1"/>
      <w:tblCellMar>
        <w:left w:w="115" w:type="dxa"/>
        <w:right w:w="115" w:type="dxa"/>
      </w:tblCellMar>
    </w:tblPr>
  </w:style>
  <w:style w:type="table" w:customStyle="1" w:styleId="a9">
    <w:basedOn w:val="TableNormal4"/>
    <w:tblPr>
      <w:tblStyleRowBandSize w:val="1"/>
      <w:tblStyleColBandSize w:val="1"/>
      <w:tblCellMar>
        <w:top w:w="15" w:type="dxa"/>
        <w:left w:w="115" w:type="dxa"/>
        <w:bottom w:w="15" w:type="dxa"/>
        <w:right w:w="115" w:type="dxa"/>
      </w:tblCellMar>
    </w:tblPr>
  </w:style>
  <w:style w:type="table" w:customStyle="1" w:styleId="aa">
    <w:basedOn w:val="TableNormal4"/>
    <w:tblPr>
      <w:tblStyleRowBandSize w:val="1"/>
      <w:tblStyleColBandSize w:val="1"/>
      <w:tblCellMar>
        <w:top w:w="15" w:type="dxa"/>
        <w:left w:w="115" w:type="dxa"/>
        <w:bottom w:w="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3"/>
    <w:tblPr>
      <w:tblStyleRowBandSize w:val="1"/>
      <w:tblStyleColBandSize w:val="1"/>
      <w:tblCellMar>
        <w:left w:w="108" w:type="dxa"/>
        <w:right w:w="108" w:type="dxa"/>
      </w:tblCellMar>
    </w:tblPr>
  </w:style>
  <w:style w:type="table" w:customStyle="1" w:styleId="af0">
    <w:basedOn w:val="TableNormal3"/>
    <w:tblPr>
      <w:tblStyleRowBandSize w:val="1"/>
      <w:tblStyleColBandSize w:val="1"/>
      <w:tblCellMar>
        <w:left w:w="108" w:type="dxa"/>
        <w:right w:w="108" w:type="dxa"/>
      </w:tblCellMar>
    </w:tblPr>
  </w:style>
  <w:style w:type="table" w:customStyle="1" w:styleId="af1">
    <w:basedOn w:val="TableNormal3"/>
    <w:tblPr>
      <w:tblStyleRowBandSize w:val="1"/>
      <w:tblStyleColBandSize w:val="1"/>
      <w:tblCellMar>
        <w:top w:w="15" w:type="dxa"/>
        <w:left w:w="115" w:type="dxa"/>
        <w:bottom w:w="15" w:type="dxa"/>
        <w:right w:w="115" w:type="dxa"/>
      </w:tblCellMar>
    </w:tblPr>
  </w:style>
  <w:style w:type="table" w:customStyle="1" w:styleId="af2">
    <w:basedOn w:val="TableNormal3"/>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top w:w="15" w:type="dxa"/>
        <w:left w:w="115" w:type="dxa"/>
        <w:bottom w:w="15" w:type="dxa"/>
        <w:right w:w="115" w:type="dxa"/>
      </w:tblCellMar>
    </w:tblPr>
  </w:style>
  <w:style w:type="table" w:customStyle="1" w:styleId="af5">
    <w:basedOn w:val="TableNormal2"/>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4"/>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table" w:customStyle="1" w:styleId="af6">
    <w:basedOn w:val="TableNormal1"/>
    <w:tblPr>
      <w:tblStyleRowBandSize w:val="1"/>
      <w:tblStyleColBandSize w:val="1"/>
      <w:tblCellMar>
        <w:top w:w="15" w:type="dxa"/>
        <w:left w:w="115" w:type="dxa"/>
        <w:bottom w:w="15" w:type="dxa"/>
        <w:right w:w="115" w:type="dxa"/>
      </w:tblCellMar>
    </w:tblPr>
  </w:style>
  <w:style w:type="table" w:customStyle="1" w:styleId="af7">
    <w:basedOn w:val="TableNormal1"/>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 w:type="paragraph" w:customStyle="1" w:styleId="p1">
    <w:name w:val="p1"/>
    <w:basedOn w:val="Normal"/>
    <w:rsid w:val="00E41FFF"/>
    <w:rPr>
      <w:rFonts w:ascii="Bookman Old Style" w:hAnsi="Bookman Old Style"/>
      <w:color w:val="000000"/>
      <w:sz w:val="15"/>
      <w:szCs w:val="15"/>
      <w:lang w:val="es-ES" w:eastAsia="es-ES_tradnl"/>
    </w:rPr>
  </w:style>
  <w:style w:type="character" w:customStyle="1" w:styleId="s1">
    <w:name w:val="s1"/>
    <w:basedOn w:val="Fuentedeprrafopredeter"/>
    <w:rsid w:val="00E41FFF"/>
    <w:rPr>
      <w:rFonts w:ascii="Bookman Old Style" w:hAnsi="Bookman Old Style" w:hint="default"/>
      <w:sz w:val="15"/>
      <w:szCs w:val="15"/>
    </w:rPr>
  </w:style>
  <w:style w:type="character" w:customStyle="1" w:styleId="s2">
    <w:name w:val="s2"/>
    <w:basedOn w:val="Fuentedeprrafopredeter"/>
    <w:rsid w:val="00E41FFF"/>
    <w:rPr>
      <w:rFonts w:ascii="Arial" w:hAnsi="Arial" w:cs="Arial" w:hint="default"/>
      <w:sz w:val="15"/>
      <w:szCs w:val="15"/>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8">
    <w:basedOn w:val="TableNormal0"/>
    <w:tblPr>
      <w:tblStyleRowBandSize w:val="1"/>
      <w:tblStyleColBandSize w:val="1"/>
      <w:tblCellMar>
        <w:top w:w="15" w:type="dxa"/>
        <w:left w:w="115" w:type="dxa"/>
        <w:bottom w:w="15" w:type="dxa"/>
        <w:right w:w="115" w:type="dxa"/>
      </w:tblCellMar>
    </w:tblPr>
  </w:style>
  <w:style w:type="table" w:customStyle="1" w:styleId="af9">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pfCe5R+Aqi6b2UREulpDD57u4A==">CgMxLjAyCWguM3pueXNoNzIOaC5qM3BweXh3bGIxczIyCGgudHlqY3d0Mg1oLmpsMGRsYXNvdDRmOAByITE4emVNcGIzdFczQjN4OWY3UVhVczQ1MU9IaV9JajNWaw==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5167</Words>
  <Characters>28420</Characters>
  <Application>Microsoft Office Word</Application>
  <DocSecurity>0</DocSecurity>
  <Lines>236</Lines>
  <Paragraphs>67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33520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dcterms:created xsi:type="dcterms:W3CDTF">2026-03-19T18:30:00Z</dcterms:created>
  <dcterms:modified xsi:type="dcterms:W3CDTF">2026-03-19T18:30:00Z</dcterms:modified>
</cp:coreProperties>
</file>