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FE4" w:rsidRPr="009B1CF3" w:rsidRDefault="00E36FE4" w:rsidP="00E36FE4">
      <w:pPr>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00CA105C" w:rsidRPr="009B1CF3">
        <w:rPr>
          <w:rFonts w:ascii="Palatino Linotype" w:eastAsia="Palatino Linotype" w:hAnsi="Palatino Linotype" w:cs="Palatino Linotype"/>
          <w:b/>
        </w:rPr>
        <w:t xml:space="preserve">uno </w:t>
      </w:r>
      <w:r w:rsidR="009B1CF3">
        <w:rPr>
          <w:rFonts w:ascii="Palatino Linotype" w:eastAsia="Palatino Linotype" w:hAnsi="Palatino Linotype" w:cs="Palatino Linotype"/>
          <w:b/>
        </w:rPr>
        <w:t xml:space="preserve">(01) </w:t>
      </w:r>
      <w:r w:rsidR="007A0B86" w:rsidRPr="009B1CF3">
        <w:rPr>
          <w:rFonts w:ascii="Palatino Linotype" w:eastAsia="Palatino Linotype" w:hAnsi="Palatino Linotype" w:cs="Palatino Linotype"/>
          <w:b/>
        </w:rPr>
        <w:t xml:space="preserve">de julio </w:t>
      </w:r>
      <w:r w:rsidRPr="009B1CF3">
        <w:rPr>
          <w:rFonts w:ascii="Palatino Linotype" w:eastAsia="Palatino Linotype" w:hAnsi="Palatino Linotype" w:cs="Palatino Linotype"/>
          <w:b/>
        </w:rPr>
        <w:t>de dos mil veintiséis.</w:t>
      </w:r>
    </w:p>
    <w:p w:rsidR="00E36FE4" w:rsidRPr="009B1CF3" w:rsidRDefault="00E36FE4" w:rsidP="00E36FE4">
      <w:pPr>
        <w:spacing w:line="360" w:lineRule="auto"/>
        <w:jc w:val="both"/>
        <w:rPr>
          <w:rFonts w:ascii="Palatino Linotype" w:eastAsia="Palatino Linotype" w:hAnsi="Palatino Linotype" w:cs="Palatino Linotype"/>
        </w:rPr>
      </w:pPr>
    </w:p>
    <w:p w:rsidR="00E36FE4" w:rsidRPr="009B1CF3" w:rsidRDefault="00E36FE4" w:rsidP="00E36FE4">
      <w:pPr>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bCs/>
        </w:rPr>
        <w:t>VISTO</w:t>
      </w:r>
      <w:r w:rsidRPr="009B1CF3">
        <w:rPr>
          <w:rFonts w:ascii="Palatino Linotype" w:eastAsia="Palatino Linotype" w:hAnsi="Palatino Linotype" w:cs="Palatino Linotype"/>
        </w:rPr>
        <w:t xml:space="preserve"> el expediente electrónico formado con motivo del recurso de revisión </w:t>
      </w:r>
      <w:r w:rsidR="007A0B86" w:rsidRPr="009B1CF3">
        <w:rPr>
          <w:rFonts w:ascii="Palatino Linotype" w:eastAsia="Palatino Linotype" w:hAnsi="Palatino Linotype" w:cs="Palatino Linotype"/>
          <w:b/>
          <w:bCs/>
        </w:rPr>
        <w:t>01858</w:t>
      </w:r>
      <w:r w:rsidRPr="009B1CF3">
        <w:rPr>
          <w:rFonts w:ascii="Palatino Linotype" w:eastAsia="Palatino Linotype" w:hAnsi="Palatino Linotype" w:cs="Palatino Linotype"/>
          <w:b/>
          <w:bCs/>
        </w:rPr>
        <w:t xml:space="preserve">/INFOEM/IP/RR/2026, </w:t>
      </w:r>
      <w:r w:rsidRPr="009B1CF3">
        <w:rPr>
          <w:rFonts w:ascii="Palatino Linotype" w:eastAsia="Palatino Linotype" w:hAnsi="Palatino Linotype" w:cs="Palatino Linotype"/>
        </w:rPr>
        <w:t xml:space="preserve">promovido por </w:t>
      </w:r>
      <w:r w:rsidR="00DC241F">
        <w:rPr>
          <w:rFonts w:ascii="Palatino Linotype" w:eastAsia="Palatino Linotype" w:hAnsi="Palatino Linotype" w:cs="Palatino Linotype"/>
          <w:b/>
          <w:bCs/>
        </w:rPr>
        <w:t> XXXX</w:t>
      </w:r>
      <w:r w:rsidRPr="009B1CF3">
        <w:rPr>
          <w:rFonts w:ascii="Palatino Linotype" w:eastAsia="Palatino Linotype" w:hAnsi="Palatino Linotype" w:cs="Palatino Linotype"/>
          <w:b/>
          <w:bCs/>
        </w:rPr>
        <w:t>,</w:t>
      </w:r>
      <w:r w:rsidRPr="009B1CF3">
        <w:rPr>
          <w:rFonts w:ascii="Palatino Linotype" w:eastAsia="Palatino Linotype" w:hAnsi="Palatino Linotype" w:cs="Palatino Linotype"/>
        </w:rPr>
        <w:t xml:space="preserve"> a quien en lo sucesivo se identificará como </w:t>
      </w:r>
      <w:r w:rsidRPr="009B1CF3">
        <w:rPr>
          <w:rFonts w:ascii="Palatino Linotype" w:eastAsia="Palatino Linotype" w:hAnsi="Palatino Linotype" w:cs="Palatino Linotype"/>
          <w:b/>
          <w:bCs/>
        </w:rPr>
        <w:t>EL RECURRENTE</w:t>
      </w:r>
      <w:r w:rsidRPr="009B1CF3">
        <w:rPr>
          <w:rFonts w:ascii="Palatino Linotype" w:eastAsia="Palatino Linotype" w:hAnsi="Palatino Linotype" w:cs="Palatino Linotype"/>
        </w:rPr>
        <w:t xml:space="preserve">, en contra de la respuesta del </w:t>
      </w:r>
      <w:r w:rsidR="007A0B86" w:rsidRPr="009B1CF3">
        <w:rPr>
          <w:rFonts w:ascii="Palatino Linotype" w:eastAsia="Palatino Linotype" w:hAnsi="Palatino Linotype" w:cs="Palatino Linotype"/>
          <w:b/>
          <w:bCs/>
        </w:rPr>
        <w:t>Sistema de Transporte Masivo y Teleférico del Estado de México</w:t>
      </w:r>
      <w:r w:rsidRPr="009B1CF3">
        <w:rPr>
          <w:rFonts w:ascii="Palatino Linotype" w:eastAsia="Palatino Linotype" w:hAnsi="Palatino Linotype" w:cs="Palatino Linotype"/>
          <w:b/>
          <w:bCs/>
        </w:rPr>
        <w:t xml:space="preserve">, </w:t>
      </w:r>
      <w:r w:rsidRPr="009B1CF3">
        <w:rPr>
          <w:rFonts w:ascii="Palatino Linotype" w:eastAsia="Palatino Linotype" w:hAnsi="Palatino Linotype" w:cs="Palatino Linotype"/>
        </w:rPr>
        <w:t>en adelante el</w:t>
      </w:r>
      <w:r w:rsidRPr="009B1CF3">
        <w:rPr>
          <w:rFonts w:ascii="Palatino Linotype" w:eastAsia="Palatino Linotype" w:hAnsi="Palatino Linotype" w:cs="Palatino Linotype"/>
          <w:b/>
          <w:bCs/>
        </w:rPr>
        <w:t xml:space="preserve"> SUJETO OBLIGADO</w:t>
      </w:r>
      <w:r w:rsidRPr="009B1CF3">
        <w:rPr>
          <w:rFonts w:ascii="Palatino Linotype" w:eastAsia="Palatino Linotype" w:hAnsi="Palatino Linotype" w:cs="Palatino Linotype"/>
        </w:rPr>
        <w:t xml:space="preserve">, por lo que se procede a dictar la presente resolución, con base en los siguientes: </w:t>
      </w:r>
      <w:bookmarkStart w:id="0" w:name="_GoBack"/>
      <w:bookmarkEnd w:id="0"/>
    </w:p>
    <w:p w:rsidR="00E36FE4" w:rsidRPr="009B1CF3" w:rsidRDefault="00E36FE4" w:rsidP="00E36FE4">
      <w:pPr>
        <w:spacing w:line="360" w:lineRule="auto"/>
        <w:jc w:val="both"/>
        <w:rPr>
          <w:rFonts w:ascii="Palatino Linotype" w:eastAsia="Palatino Linotype" w:hAnsi="Palatino Linotype" w:cs="Palatino Linotype"/>
          <w:b/>
          <w:bCs/>
        </w:rPr>
      </w:pPr>
    </w:p>
    <w:p w:rsidR="00E36FE4" w:rsidRPr="009B1CF3" w:rsidRDefault="00E36FE4" w:rsidP="00E36FE4">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9B1CF3">
        <w:rPr>
          <w:rFonts w:ascii="Palatino Linotype" w:eastAsia="Palatino Linotype" w:hAnsi="Palatino Linotype" w:cs="Palatino Linotype"/>
          <w:b/>
          <w:bCs/>
        </w:rPr>
        <w:t>A N T E C E D E N T E S</w:t>
      </w:r>
    </w:p>
    <w:p w:rsidR="00E36FE4" w:rsidRPr="009B1CF3" w:rsidRDefault="00E36FE4" w:rsidP="00E36FE4">
      <w:pPr>
        <w:spacing w:line="360" w:lineRule="auto"/>
        <w:jc w:val="both"/>
        <w:rPr>
          <w:rFonts w:ascii="Palatino Linotype" w:eastAsia="Palatino Linotype" w:hAnsi="Palatino Linotype" w:cs="Palatino Linotype"/>
        </w:rPr>
      </w:pP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 xml:space="preserve">El </w:t>
      </w:r>
      <w:r w:rsidR="007A0B86" w:rsidRPr="009B1CF3">
        <w:rPr>
          <w:rFonts w:ascii="Palatino Linotype" w:eastAsia="Palatino Linotype" w:hAnsi="Palatino Linotype" w:cs="Palatino Linotype"/>
          <w:b/>
          <w:bCs/>
          <w:color w:val="000000"/>
        </w:rPr>
        <w:t>catorce de enero de dos mil veintiséis</w:t>
      </w:r>
      <w:r w:rsidRPr="009B1CF3">
        <w:rPr>
          <w:rFonts w:ascii="Palatino Linotype" w:eastAsia="Palatino Linotype" w:hAnsi="Palatino Linotype" w:cs="Palatino Linotype"/>
          <w:color w:val="000000"/>
        </w:rPr>
        <w:t xml:space="preserve">, </w:t>
      </w:r>
      <w:r w:rsidRPr="009B1CF3">
        <w:rPr>
          <w:rFonts w:ascii="Palatino Linotype" w:eastAsia="Palatino Linotype" w:hAnsi="Palatino Linotype" w:cs="Palatino Linotype"/>
          <w:b/>
          <w:bCs/>
          <w:color w:val="000000"/>
        </w:rPr>
        <w:t>EL RECURRENTE,</w:t>
      </w:r>
      <w:r w:rsidRPr="009B1CF3">
        <w:rPr>
          <w:rFonts w:ascii="Palatino Linotype" w:eastAsia="Palatino Linotype" w:hAnsi="Palatino Linotype" w:cs="Palatino Linotype"/>
          <w:color w:val="000000"/>
        </w:rPr>
        <w:t xml:space="preserve"> ante el </w:t>
      </w:r>
      <w:r w:rsidRPr="009B1CF3">
        <w:rPr>
          <w:rFonts w:ascii="Palatino Linotype" w:eastAsia="Palatino Linotype" w:hAnsi="Palatino Linotype" w:cs="Palatino Linotype"/>
          <w:b/>
          <w:bCs/>
          <w:color w:val="000000"/>
        </w:rPr>
        <w:t>SUJETO OBLIGADO</w:t>
      </w:r>
      <w:r w:rsidRPr="009B1CF3">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007A0B86" w:rsidRPr="009B1CF3">
        <w:rPr>
          <w:rFonts w:ascii="Palatino Linotype" w:eastAsia="Palatino Linotype" w:hAnsi="Palatino Linotype" w:cs="Palatino Linotype"/>
          <w:b/>
          <w:bCs/>
          <w:color w:val="000000"/>
        </w:rPr>
        <w:t>00007/STMEM/IP/2026</w:t>
      </w:r>
      <w:r w:rsidRPr="009B1CF3">
        <w:rPr>
          <w:rFonts w:ascii="Palatino Linotype" w:eastAsia="Palatino Linotype" w:hAnsi="Palatino Linotype" w:cs="Palatino Linotype"/>
          <w:b/>
          <w:bCs/>
          <w:color w:val="000000"/>
        </w:rPr>
        <w:t xml:space="preserve">, </w:t>
      </w:r>
      <w:r w:rsidRPr="009B1CF3">
        <w:rPr>
          <w:rFonts w:ascii="Palatino Linotype" w:eastAsia="Palatino Linotype" w:hAnsi="Palatino Linotype" w:cs="Palatino Linotype"/>
        </w:rPr>
        <w:t>en la que se</w:t>
      </w:r>
      <w:r w:rsidRPr="009B1CF3">
        <w:rPr>
          <w:rFonts w:ascii="Palatino Linotype" w:eastAsia="Palatino Linotype" w:hAnsi="Palatino Linotype" w:cs="Palatino Linotype"/>
          <w:color w:val="000000"/>
        </w:rPr>
        <w:t xml:space="preserve"> solicitó lo siguiente:</w:t>
      </w:r>
    </w:p>
    <w:p w:rsidR="00E36FE4" w:rsidRPr="009B1CF3" w:rsidRDefault="00E36FE4" w:rsidP="00E36FE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36FE4" w:rsidRPr="009B1CF3" w:rsidRDefault="00E36FE4" w:rsidP="00E36FE4">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9B1CF3">
        <w:rPr>
          <w:rFonts w:ascii="Palatino Linotype" w:eastAsia="Palatino Linotype" w:hAnsi="Palatino Linotype" w:cs="Palatino Linotype"/>
          <w:i/>
          <w:iCs/>
          <w:color w:val="000000"/>
        </w:rPr>
        <w:t>“</w:t>
      </w:r>
      <w:r w:rsidR="007A0B86" w:rsidRPr="009B1CF3">
        <w:rPr>
          <w:rFonts w:ascii="Palatino Linotype" w:eastAsia="Palatino Linotype" w:hAnsi="Palatino Linotype" w:cs="Palatino Linotype"/>
          <w:i/>
          <w:iCs/>
          <w:color w:val="000000"/>
        </w:rPr>
        <w:t>quiero los recibos de nomina y de aguinados entregados en diciembre 2025 de todo el personal de ese sujeto obligado</w:t>
      </w:r>
      <w:r w:rsidRPr="009B1CF3">
        <w:rPr>
          <w:rFonts w:ascii="Palatino Linotype" w:eastAsia="Palatino Linotype" w:hAnsi="Palatino Linotype" w:cs="Palatino Linotype"/>
          <w:i/>
          <w:iCs/>
          <w:color w:val="000000"/>
        </w:rPr>
        <w:t xml:space="preserve">” (Sic) </w:t>
      </w:r>
    </w:p>
    <w:p w:rsidR="00E36FE4" w:rsidRPr="009B1CF3" w:rsidRDefault="00E36FE4" w:rsidP="00E36FE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Se señaló como modalidad de entrega a través de SAIMEX.</w:t>
      </w:r>
    </w:p>
    <w:p w:rsidR="00E36FE4" w:rsidRPr="009B1CF3" w:rsidRDefault="00E36FE4" w:rsidP="00E36FE4">
      <w:pPr>
        <w:rPr>
          <w:rFonts w:ascii="Palatino Linotype" w:eastAsia="Palatino Linotype" w:hAnsi="Palatino Linotype" w:cs="Palatino Linotype"/>
          <w:color w:val="000000"/>
        </w:rPr>
      </w:pP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 xml:space="preserve">El </w:t>
      </w:r>
      <w:r w:rsidR="007A0B86" w:rsidRPr="009B1CF3">
        <w:rPr>
          <w:rFonts w:ascii="Palatino Linotype" w:eastAsia="Palatino Linotype" w:hAnsi="Palatino Linotype" w:cs="Palatino Linotype"/>
          <w:b/>
          <w:color w:val="000000"/>
        </w:rPr>
        <w:t>veintidós de enero de dos mil veintiséis</w:t>
      </w:r>
      <w:r w:rsidRPr="009B1CF3">
        <w:rPr>
          <w:rFonts w:ascii="Palatino Linotype" w:eastAsia="Palatino Linotype" w:hAnsi="Palatino Linotype" w:cs="Palatino Linotype"/>
          <w:color w:val="000000"/>
        </w:rPr>
        <w:t xml:space="preserve">, se realizó un requerimiento al servidor público habilitado. </w:t>
      </w: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lastRenderedPageBreak/>
        <w:t xml:space="preserve">El </w:t>
      </w:r>
      <w:r w:rsidR="007A0B86" w:rsidRPr="009B1CF3">
        <w:rPr>
          <w:rFonts w:ascii="Palatino Linotype" w:eastAsia="Palatino Linotype" w:hAnsi="Palatino Linotype" w:cs="Palatino Linotype"/>
          <w:b/>
          <w:bCs/>
          <w:color w:val="000000"/>
        </w:rPr>
        <w:t>veintiocho</w:t>
      </w:r>
      <w:r w:rsidRPr="009B1CF3">
        <w:rPr>
          <w:rFonts w:ascii="Palatino Linotype" w:eastAsia="Palatino Linotype" w:hAnsi="Palatino Linotype" w:cs="Palatino Linotype"/>
          <w:b/>
          <w:bCs/>
          <w:color w:val="000000"/>
        </w:rPr>
        <w:t xml:space="preserve"> de enero de dos mil veintiséis</w:t>
      </w:r>
      <w:r w:rsidRPr="009B1CF3">
        <w:rPr>
          <w:rFonts w:ascii="Palatino Linotype" w:eastAsia="Palatino Linotype" w:hAnsi="Palatino Linotype" w:cs="Palatino Linotype"/>
          <w:color w:val="000000"/>
        </w:rPr>
        <w:t>, el Sujeto Obligado dio respuesta a la solicitud de información en los siguientes términos:</w:t>
      </w:r>
    </w:p>
    <w:p w:rsidR="00E36FE4" w:rsidRPr="009B1CF3" w:rsidRDefault="00E36FE4" w:rsidP="00E36FE4">
      <w:pPr>
        <w:pStyle w:val="Prrafodelista"/>
        <w:rPr>
          <w:rFonts w:ascii="Palatino Linotype" w:eastAsia="Palatino Linotype" w:hAnsi="Palatino Linotype" w:cs="Palatino Linotype"/>
          <w:color w:val="000000"/>
        </w:rPr>
      </w:pPr>
    </w:p>
    <w:tbl>
      <w:tblPr>
        <w:tblW w:w="7616" w:type="dxa"/>
        <w:jc w:val="center"/>
        <w:tblCellSpacing w:w="0" w:type="dxa"/>
        <w:tblCellMar>
          <w:left w:w="0" w:type="dxa"/>
          <w:right w:w="0" w:type="dxa"/>
        </w:tblCellMar>
        <w:tblLook w:val="04A0" w:firstRow="1" w:lastRow="0" w:firstColumn="1" w:lastColumn="0" w:noHBand="0" w:noVBand="1"/>
      </w:tblPr>
      <w:tblGrid>
        <w:gridCol w:w="7616"/>
      </w:tblGrid>
      <w:tr w:rsidR="007A0B86" w:rsidRPr="009B1CF3" w:rsidTr="007A0B86">
        <w:trPr>
          <w:trHeight w:val="301"/>
          <w:tblCellSpacing w:w="0" w:type="dxa"/>
          <w:jc w:val="center"/>
        </w:trPr>
        <w:tc>
          <w:tcPr>
            <w:tcW w:w="0" w:type="auto"/>
            <w:vAlign w:val="center"/>
            <w:hideMark/>
          </w:tcPr>
          <w:p w:rsidR="007A0B86" w:rsidRPr="009B1CF3" w:rsidRDefault="007A0B86" w:rsidP="007A0B86">
            <w:pPr>
              <w:jc w:val="right"/>
              <w:rPr>
                <w:rFonts w:ascii="Palatino Linotype" w:hAnsi="Palatino Linotype"/>
                <w:i/>
              </w:rPr>
            </w:pPr>
            <w:r w:rsidRPr="009B1CF3">
              <w:rPr>
                <w:rFonts w:ascii="Palatino Linotype" w:hAnsi="Palatino Linotype"/>
                <w:i/>
              </w:rPr>
              <w:t>“Metepec, México a 28 de Enero de 2026</w:t>
            </w:r>
          </w:p>
        </w:tc>
      </w:tr>
      <w:tr w:rsidR="007A0B86" w:rsidRPr="009B1CF3" w:rsidTr="007A0B86">
        <w:trPr>
          <w:trHeight w:val="301"/>
          <w:tblCellSpacing w:w="0" w:type="dxa"/>
          <w:jc w:val="center"/>
        </w:trPr>
        <w:tc>
          <w:tcPr>
            <w:tcW w:w="0" w:type="auto"/>
            <w:vAlign w:val="center"/>
            <w:hideMark/>
          </w:tcPr>
          <w:p w:rsidR="007A0B86" w:rsidRPr="009B1CF3" w:rsidRDefault="007A0B86" w:rsidP="007A0B86">
            <w:pPr>
              <w:jc w:val="right"/>
              <w:rPr>
                <w:rFonts w:ascii="Palatino Linotype" w:hAnsi="Palatino Linotype"/>
                <w:i/>
              </w:rPr>
            </w:pPr>
            <w:r w:rsidRPr="009B1CF3">
              <w:rPr>
                <w:rFonts w:ascii="Palatino Linotype" w:hAnsi="Palatino Linotype"/>
                <w:i/>
              </w:rPr>
              <w:t>Nombre del solicitante: C. Solicitante</w:t>
            </w:r>
          </w:p>
        </w:tc>
      </w:tr>
      <w:tr w:rsidR="007A0B86" w:rsidRPr="009B1CF3" w:rsidTr="007A0B86">
        <w:trPr>
          <w:trHeight w:val="301"/>
          <w:tblCellSpacing w:w="0" w:type="dxa"/>
          <w:jc w:val="center"/>
        </w:trPr>
        <w:tc>
          <w:tcPr>
            <w:tcW w:w="0" w:type="auto"/>
            <w:vAlign w:val="center"/>
            <w:hideMark/>
          </w:tcPr>
          <w:p w:rsidR="007A0B86" w:rsidRPr="009B1CF3" w:rsidRDefault="007A0B86" w:rsidP="007A0B86">
            <w:pPr>
              <w:jc w:val="right"/>
              <w:rPr>
                <w:rFonts w:ascii="Palatino Linotype" w:hAnsi="Palatino Linotype"/>
                <w:i/>
              </w:rPr>
            </w:pPr>
            <w:r w:rsidRPr="009B1CF3">
              <w:rPr>
                <w:rFonts w:ascii="Palatino Linotype" w:hAnsi="Palatino Linotype"/>
                <w:i/>
              </w:rPr>
              <w:t>Folio de la solicitud: 00007/STMEM/IP/2026</w:t>
            </w:r>
          </w:p>
        </w:tc>
      </w:tr>
      <w:tr w:rsidR="007A0B86" w:rsidRPr="009B1CF3" w:rsidTr="007A0B86">
        <w:trPr>
          <w:trHeight w:val="451"/>
          <w:tblCellSpacing w:w="0" w:type="dxa"/>
          <w:jc w:val="center"/>
        </w:trPr>
        <w:tc>
          <w:tcPr>
            <w:tcW w:w="0" w:type="auto"/>
            <w:vAlign w:val="center"/>
            <w:hideMark/>
          </w:tcPr>
          <w:p w:rsidR="007A0B86" w:rsidRPr="009B1CF3" w:rsidRDefault="007A0B86" w:rsidP="007A0B86">
            <w:pPr>
              <w:jc w:val="right"/>
              <w:rPr>
                <w:rFonts w:ascii="Palatino Linotype" w:hAnsi="Palatino Linotype"/>
                <w:i/>
              </w:rPr>
            </w:pPr>
          </w:p>
        </w:tc>
      </w:tr>
      <w:tr w:rsidR="007A0B86" w:rsidRPr="009B1CF3" w:rsidTr="007A0B86">
        <w:trPr>
          <w:trHeight w:val="150"/>
          <w:tblCellSpacing w:w="0" w:type="dxa"/>
          <w:jc w:val="center"/>
        </w:trPr>
        <w:tc>
          <w:tcPr>
            <w:tcW w:w="0" w:type="auto"/>
            <w:vAlign w:val="center"/>
            <w:hideMark/>
          </w:tcPr>
          <w:p w:rsidR="007A0B86" w:rsidRPr="009B1CF3" w:rsidRDefault="007A0B86" w:rsidP="007A0B86">
            <w:pPr>
              <w:rPr>
                <w:rFonts w:ascii="Palatino Linotype" w:hAnsi="Palatino Linotype"/>
                <w:i/>
              </w:rPr>
            </w:pPr>
            <w:r w:rsidRPr="009B1CF3">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7A0B86" w:rsidRPr="009B1CF3" w:rsidTr="007A0B86">
        <w:trPr>
          <w:trHeight w:val="376"/>
          <w:tblCellSpacing w:w="0" w:type="dxa"/>
          <w:jc w:val="center"/>
        </w:trPr>
        <w:tc>
          <w:tcPr>
            <w:tcW w:w="0" w:type="auto"/>
            <w:vAlign w:val="center"/>
            <w:hideMark/>
          </w:tcPr>
          <w:p w:rsidR="007A0B86" w:rsidRPr="009B1CF3" w:rsidRDefault="007A0B86" w:rsidP="007A0B86">
            <w:pPr>
              <w:rPr>
                <w:rFonts w:ascii="Palatino Linotype" w:hAnsi="Palatino Linotype"/>
                <w:i/>
              </w:rPr>
            </w:pPr>
          </w:p>
        </w:tc>
      </w:tr>
      <w:tr w:rsidR="007A0B86" w:rsidRPr="009B1CF3" w:rsidTr="007A0B86">
        <w:trPr>
          <w:trHeight w:val="150"/>
          <w:tblCellSpacing w:w="0" w:type="dxa"/>
          <w:jc w:val="center"/>
        </w:trPr>
        <w:tc>
          <w:tcPr>
            <w:tcW w:w="0" w:type="auto"/>
            <w:vAlign w:val="center"/>
            <w:hideMark/>
          </w:tcPr>
          <w:p w:rsidR="007A0B86" w:rsidRPr="009B1CF3" w:rsidRDefault="007A0B86" w:rsidP="007A0B86">
            <w:pPr>
              <w:rPr>
                <w:rFonts w:ascii="Palatino Linotype" w:hAnsi="Palatino Linotype"/>
                <w:i/>
              </w:rPr>
            </w:pPr>
            <w:r w:rsidRPr="009B1CF3">
              <w:rPr>
                <w:rFonts w:ascii="Palatino Linotype" w:hAnsi="Palatino Linotype"/>
                <w:i/>
              </w:rPr>
              <w:t>Con fundamento en el artículo 53 de la Ley de Transparencia y Acceso a la Información Pública del Estado de México y Municipios se remite respuesta</w:t>
            </w:r>
          </w:p>
        </w:tc>
      </w:tr>
      <w:tr w:rsidR="007A0B86" w:rsidRPr="009B1CF3" w:rsidTr="007A0B86">
        <w:trPr>
          <w:trHeight w:val="376"/>
          <w:tblCellSpacing w:w="0" w:type="dxa"/>
          <w:jc w:val="center"/>
        </w:trPr>
        <w:tc>
          <w:tcPr>
            <w:tcW w:w="0" w:type="auto"/>
            <w:vAlign w:val="center"/>
            <w:hideMark/>
          </w:tcPr>
          <w:p w:rsidR="007A0B86" w:rsidRPr="009B1CF3" w:rsidRDefault="007A0B86" w:rsidP="007A0B86">
            <w:pPr>
              <w:rPr>
                <w:rFonts w:ascii="Palatino Linotype" w:hAnsi="Palatino Linotype"/>
                <w:i/>
              </w:rPr>
            </w:pPr>
          </w:p>
        </w:tc>
      </w:tr>
      <w:tr w:rsidR="007A0B86" w:rsidRPr="009B1CF3" w:rsidTr="007A0B86">
        <w:trPr>
          <w:trHeight w:val="150"/>
          <w:tblCellSpacing w:w="0" w:type="dxa"/>
          <w:jc w:val="center"/>
        </w:trPr>
        <w:tc>
          <w:tcPr>
            <w:tcW w:w="0" w:type="auto"/>
            <w:vAlign w:val="center"/>
            <w:hideMark/>
          </w:tcPr>
          <w:p w:rsidR="007A0B86" w:rsidRPr="009B1CF3" w:rsidRDefault="007A0B86" w:rsidP="007A0B86">
            <w:pPr>
              <w:jc w:val="center"/>
              <w:rPr>
                <w:rFonts w:ascii="Palatino Linotype" w:hAnsi="Palatino Linotype"/>
                <w:i/>
              </w:rPr>
            </w:pPr>
          </w:p>
        </w:tc>
      </w:tr>
      <w:tr w:rsidR="007A0B86" w:rsidRPr="009B1CF3" w:rsidTr="007A0B86">
        <w:trPr>
          <w:trHeight w:val="150"/>
          <w:tblCellSpacing w:w="0" w:type="dxa"/>
          <w:jc w:val="center"/>
        </w:trPr>
        <w:tc>
          <w:tcPr>
            <w:tcW w:w="0" w:type="auto"/>
            <w:vAlign w:val="center"/>
            <w:hideMark/>
          </w:tcPr>
          <w:p w:rsidR="007A0B86" w:rsidRPr="009B1CF3" w:rsidRDefault="007A0B86" w:rsidP="007A0B86">
            <w:pPr>
              <w:rPr>
                <w:rFonts w:ascii="Palatino Linotype" w:hAnsi="Palatino Linotype"/>
                <w:i/>
              </w:rPr>
            </w:pPr>
          </w:p>
        </w:tc>
      </w:tr>
      <w:tr w:rsidR="007A0B86" w:rsidRPr="009B1CF3" w:rsidTr="007A0B86">
        <w:trPr>
          <w:trHeight w:val="150"/>
          <w:tblCellSpacing w:w="0" w:type="dxa"/>
          <w:jc w:val="center"/>
        </w:trPr>
        <w:tc>
          <w:tcPr>
            <w:tcW w:w="0" w:type="auto"/>
            <w:vAlign w:val="center"/>
            <w:hideMark/>
          </w:tcPr>
          <w:p w:rsidR="007A0B86" w:rsidRPr="009B1CF3" w:rsidRDefault="007A0B86" w:rsidP="007A0B86">
            <w:pPr>
              <w:rPr>
                <w:rFonts w:ascii="Palatino Linotype" w:hAnsi="Palatino Linotype"/>
                <w:i/>
              </w:rPr>
            </w:pPr>
            <w:r w:rsidRPr="009B1CF3">
              <w:rPr>
                <w:rFonts w:ascii="Palatino Linotype" w:hAnsi="Palatino Linotype"/>
                <w:i/>
              </w:rPr>
              <w:t>ATENTAMENTE</w:t>
            </w:r>
          </w:p>
        </w:tc>
      </w:tr>
      <w:tr w:rsidR="007A0B86" w:rsidRPr="009B1CF3" w:rsidTr="007A0B86">
        <w:trPr>
          <w:trHeight w:val="225"/>
          <w:tblCellSpacing w:w="0" w:type="dxa"/>
          <w:jc w:val="center"/>
        </w:trPr>
        <w:tc>
          <w:tcPr>
            <w:tcW w:w="0" w:type="auto"/>
            <w:vAlign w:val="center"/>
            <w:hideMark/>
          </w:tcPr>
          <w:p w:rsidR="007A0B86" w:rsidRPr="009B1CF3" w:rsidRDefault="007A0B86" w:rsidP="007A0B86">
            <w:pPr>
              <w:rPr>
                <w:rFonts w:ascii="Palatino Linotype" w:hAnsi="Palatino Linotype"/>
                <w:i/>
              </w:rPr>
            </w:pPr>
          </w:p>
        </w:tc>
      </w:tr>
      <w:tr w:rsidR="007A0B86" w:rsidRPr="009B1CF3" w:rsidTr="007A0B86">
        <w:trPr>
          <w:trHeight w:val="150"/>
          <w:tblCellSpacing w:w="0" w:type="dxa"/>
          <w:jc w:val="center"/>
        </w:trPr>
        <w:tc>
          <w:tcPr>
            <w:tcW w:w="0" w:type="auto"/>
            <w:vAlign w:val="center"/>
            <w:hideMark/>
          </w:tcPr>
          <w:p w:rsidR="007A0B86" w:rsidRPr="009B1CF3" w:rsidRDefault="007A0B86" w:rsidP="007A0B86">
            <w:pPr>
              <w:rPr>
                <w:rFonts w:ascii="Palatino Linotype" w:hAnsi="Palatino Linotype"/>
                <w:i/>
              </w:rPr>
            </w:pPr>
            <w:r w:rsidRPr="009B1CF3">
              <w:rPr>
                <w:rFonts w:ascii="Palatino Linotype" w:hAnsi="Palatino Linotype"/>
                <w:i/>
              </w:rPr>
              <w:t>LIC. GONZALO LINAS COLIN”</w:t>
            </w:r>
          </w:p>
        </w:tc>
      </w:tr>
    </w:tbl>
    <w:p w:rsidR="00E36FE4" w:rsidRPr="009B1CF3" w:rsidRDefault="00E36FE4" w:rsidP="00E36FE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36FE4" w:rsidRPr="009B1CF3" w:rsidRDefault="00E36FE4" w:rsidP="00E36FE4">
      <w:pPr>
        <w:spacing w:line="360" w:lineRule="auto"/>
        <w:jc w:val="both"/>
        <w:rPr>
          <w:rFonts w:ascii="Palatino Linotype" w:eastAsia="Palatino Linotype" w:hAnsi="Palatino Linotype" w:cs="Palatino Linotype"/>
        </w:rPr>
      </w:pPr>
    </w:p>
    <w:p w:rsidR="00662F22" w:rsidRPr="009B1CF3" w:rsidRDefault="00E36FE4" w:rsidP="00662F22">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i/>
          <w:color w:val="000000"/>
        </w:rPr>
      </w:pPr>
      <w:r w:rsidRPr="009B1CF3">
        <w:rPr>
          <w:rFonts w:ascii="Palatino Linotype" w:eastAsia="Palatino Linotype" w:hAnsi="Palatino Linotype" w:cs="Palatino Linotype"/>
          <w:color w:val="000000"/>
        </w:rPr>
        <w:t xml:space="preserve">A la respuesta, el Sujeto Obligado </w:t>
      </w:r>
      <w:r w:rsidR="00662F22" w:rsidRPr="009B1CF3">
        <w:rPr>
          <w:rFonts w:ascii="Palatino Linotype" w:eastAsia="Palatino Linotype" w:hAnsi="Palatino Linotype" w:cs="Palatino Linotype"/>
          <w:color w:val="000000"/>
        </w:rPr>
        <w:t>adjuntó los archivos que se describen enseguida:</w:t>
      </w:r>
    </w:p>
    <w:p w:rsidR="007A0B86" w:rsidRPr="009B1CF3" w:rsidRDefault="007A0B86" w:rsidP="007A0B86">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b/>
          <w:color w:val="000000"/>
        </w:rPr>
        <w:t>AGUINALDO Y GRATIFICACIONES 2025 OFICIO 141.pdf</w:t>
      </w:r>
      <w:r w:rsidRPr="009B1CF3">
        <w:rPr>
          <w:rFonts w:ascii="Palatino Linotype" w:eastAsia="Palatino Linotype" w:hAnsi="Palatino Linotype" w:cs="Palatino Linotype"/>
          <w:color w:val="000000"/>
        </w:rPr>
        <w:t xml:space="preserve">: documento que contiene los recibos de aguinaldo y gratificaciones del mes de diciembre de dos mil veinticinco. </w:t>
      </w:r>
    </w:p>
    <w:p w:rsidR="007A0B86" w:rsidRPr="009B1CF3" w:rsidRDefault="007A0B86" w:rsidP="007A0B86">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b/>
          <w:color w:val="000000"/>
        </w:rPr>
        <w:t>OFICIO 141-2026 UAA SOLI 00007.pdf</w:t>
      </w:r>
      <w:r w:rsidRPr="009B1CF3">
        <w:rPr>
          <w:rFonts w:ascii="Palatino Linotype" w:eastAsia="Palatino Linotype" w:hAnsi="Palatino Linotype" w:cs="Palatino Linotype"/>
          <w:color w:val="000000"/>
        </w:rPr>
        <w:t>: oficio de fecha veintiuno de enero de dos mil veintiséis, suscrito por el Jefa de la Unidad de Apoyo Administrativo del Sistema de Transporte Masivo y T</w:t>
      </w:r>
      <w:r w:rsidR="002D7FAB" w:rsidRPr="009B1CF3">
        <w:rPr>
          <w:rFonts w:ascii="Palatino Linotype" w:eastAsia="Palatino Linotype" w:hAnsi="Palatino Linotype" w:cs="Palatino Linotype"/>
          <w:color w:val="000000"/>
        </w:rPr>
        <w:t xml:space="preserve">eleférico del Estado de México quien señaló que adjunta la información solicitada. </w:t>
      </w:r>
    </w:p>
    <w:p w:rsidR="007A0B86" w:rsidRPr="009B1CF3" w:rsidRDefault="007A0B86" w:rsidP="007A0B86">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b/>
          <w:color w:val="000000"/>
        </w:rPr>
        <w:lastRenderedPageBreak/>
        <w:t>NOMINA 16-31 DIC 2025 OFICIO 141.pdf</w:t>
      </w:r>
      <w:r w:rsidRPr="009B1CF3">
        <w:rPr>
          <w:rFonts w:ascii="Palatino Linotype" w:eastAsia="Palatino Linotype" w:hAnsi="Palatino Linotype" w:cs="Palatino Linotype"/>
          <w:color w:val="000000"/>
        </w:rPr>
        <w:t xml:space="preserve">: </w:t>
      </w:r>
      <w:r w:rsidR="002D7FAB" w:rsidRPr="009B1CF3">
        <w:rPr>
          <w:rFonts w:ascii="Palatino Linotype" w:eastAsia="Palatino Linotype" w:hAnsi="Palatino Linotype" w:cs="Palatino Linotype"/>
          <w:color w:val="000000"/>
        </w:rPr>
        <w:t>documento que contiene los recibos de nómina de la segunda quincena de diciembre de 2025.</w:t>
      </w:r>
    </w:p>
    <w:p w:rsidR="00E36FE4" w:rsidRPr="009B1CF3" w:rsidRDefault="007A0B86" w:rsidP="007A0B86">
      <w:pPr>
        <w:pStyle w:val="Prrafodelista"/>
        <w:numPr>
          <w:ilvl w:val="0"/>
          <w:numId w:val="12"/>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b/>
          <w:color w:val="000000"/>
        </w:rPr>
        <w:t>NOMINA 1-15 DIC 2025 OFICIO 141.pdf</w:t>
      </w:r>
      <w:r w:rsidRPr="009B1CF3">
        <w:rPr>
          <w:rFonts w:ascii="Palatino Linotype" w:eastAsia="Palatino Linotype" w:hAnsi="Palatino Linotype" w:cs="Palatino Linotype"/>
          <w:color w:val="000000"/>
        </w:rPr>
        <w:t xml:space="preserve">: </w:t>
      </w:r>
      <w:r w:rsidR="002D7FAB" w:rsidRPr="009B1CF3">
        <w:rPr>
          <w:rFonts w:ascii="Palatino Linotype" w:eastAsia="Palatino Linotype" w:hAnsi="Palatino Linotype" w:cs="Palatino Linotype"/>
          <w:color w:val="000000"/>
        </w:rPr>
        <w:t>documento que contiene los recibos de nómina de la primera quincena de diciembre de 2025.</w:t>
      </w:r>
    </w:p>
    <w:p w:rsidR="007A0B86" w:rsidRPr="009B1CF3" w:rsidRDefault="007A0B86" w:rsidP="007A0B86">
      <w:pPr>
        <w:pStyle w:val="Prrafodelista"/>
        <w:pBdr>
          <w:top w:val="nil"/>
          <w:left w:val="nil"/>
          <w:bottom w:val="nil"/>
          <w:right w:val="nil"/>
          <w:between w:val="nil"/>
        </w:pBdr>
        <w:spacing w:line="360" w:lineRule="auto"/>
        <w:ind w:left="1080"/>
        <w:jc w:val="both"/>
        <w:rPr>
          <w:rFonts w:ascii="Palatino Linotype" w:eastAsia="Palatino Linotype" w:hAnsi="Palatino Linotype" w:cs="Palatino Linotype"/>
          <w:color w:val="000000"/>
        </w:rPr>
      </w:pP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 xml:space="preserve">El </w:t>
      </w:r>
      <w:r w:rsidR="002D7FAB" w:rsidRPr="009B1CF3">
        <w:rPr>
          <w:rFonts w:ascii="Palatino Linotype" w:eastAsia="Palatino Linotype" w:hAnsi="Palatino Linotype" w:cs="Palatino Linotype"/>
          <w:b/>
          <w:bCs/>
          <w:color w:val="000000"/>
        </w:rPr>
        <w:t>catorce de febrero</w:t>
      </w:r>
      <w:r w:rsidR="00747AD3" w:rsidRPr="009B1CF3">
        <w:rPr>
          <w:rFonts w:ascii="Palatino Linotype" w:eastAsia="Palatino Linotype" w:hAnsi="Palatino Linotype" w:cs="Palatino Linotype"/>
          <w:b/>
          <w:bCs/>
          <w:color w:val="000000"/>
        </w:rPr>
        <w:t xml:space="preserve"> de dos mil veintiséis</w:t>
      </w:r>
      <w:r w:rsidRPr="009B1CF3">
        <w:rPr>
          <w:rFonts w:ascii="Palatino Linotype" w:eastAsia="Palatino Linotype" w:hAnsi="Palatino Linotype" w:cs="Palatino Linotype"/>
          <w:color w:val="000000"/>
        </w:rPr>
        <w:t xml:space="preserve">, </w:t>
      </w:r>
      <w:r w:rsidRPr="009B1CF3">
        <w:rPr>
          <w:rFonts w:ascii="Palatino Linotype" w:eastAsia="Palatino Linotype" w:hAnsi="Palatino Linotype" w:cs="Palatino Linotype"/>
          <w:b/>
          <w:bCs/>
          <w:color w:val="000000"/>
        </w:rPr>
        <w:t>EL RECURRENTE</w:t>
      </w:r>
      <w:r w:rsidRPr="009B1CF3">
        <w:rPr>
          <w:rFonts w:ascii="Palatino Linotype" w:eastAsia="Palatino Linotype" w:hAnsi="Palatino Linotype" w:cs="Palatino Linotype"/>
          <w:color w:val="000000"/>
        </w:rPr>
        <w:t xml:space="preserve"> interpuso el recurso de revisión, en contra de la respuesta, señalando como:</w:t>
      </w:r>
    </w:p>
    <w:p w:rsidR="00E36FE4" w:rsidRPr="009B1CF3" w:rsidRDefault="00E36FE4" w:rsidP="00E36FE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36FE4" w:rsidRPr="009B1CF3" w:rsidRDefault="00E36FE4" w:rsidP="00E36FE4">
      <w:pPr>
        <w:numPr>
          <w:ilvl w:val="0"/>
          <w:numId w:val="1"/>
        </w:numPr>
        <w:spacing w:line="360" w:lineRule="auto"/>
        <w:ind w:left="851" w:right="822" w:firstLine="0"/>
        <w:jc w:val="both"/>
        <w:rPr>
          <w:rFonts w:ascii="Palatino Linotype" w:hAnsi="Palatino Linotype"/>
        </w:rPr>
      </w:pPr>
      <w:r w:rsidRPr="009B1CF3">
        <w:rPr>
          <w:rFonts w:ascii="Palatino Linotype" w:eastAsia="Palatino Linotype" w:hAnsi="Palatino Linotype" w:cs="Palatino Linotype"/>
          <w:b/>
          <w:bCs/>
        </w:rPr>
        <w:t>Acto impugnado</w:t>
      </w:r>
      <w:r w:rsidRPr="009B1CF3">
        <w:rPr>
          <w:rFonts w:ascii="Palatino Linotype" w:eastAsia="Palatino Linotype" w:hAnsi="Palatino Linotype" w:cs="Palatino Linotype"/>
          <w:b/>
          <w:bCs/>
          <w:i/>
          <w:iCs/>
        </w:rPr>
        <w:t>:</w:t>
      </w:r>
      <w:r w:rsidRPr="009B1CF3">
        <w:rPr>
          <w:rFonts w:ascii="Palatino Linotype" w:eastAsia="Palatino Linotype" w:hAnsi="Palatino Linotype" w:cs="Palatino Linotype"/>
          <w:i/>
          <w:iCs/>
          <w:color w:val="000000"/>
        </w:rPr>
        <w:t xml:space="preserve"> “</w:t>
      </w:r>
      <w:r w:rsidR="002D7FAB" w:rsidRPr="009B1CF3">
        <w:rPr>
          <w:rFonts w:ascii="Palatino Linotype" w:eastAsia="Palatino Linotype" w:hAnsi="Palatino Linotype" w:cs="Palatino Linotype"/>
          <w:i/>
          <w:iCs/>
          <w:color w:val="000000"/>
        </w:rPr>
        <w:t>RESPUESTA</w:t>
      </w:r>
      <w:r w:rsidRPr="009B1CF3">
        <w:rPr>
          <w:rFonts w:ascii="Palatino Linotype" w:eastAsia="Palatino Linotype" w:hAnsi="Palatino Linotype" w:cs="Palatino Linotype"/>
          <w:i/>
          <w:iCs/>
          <w:color w:val="000000"/>
        </w:rPr>
        <w:t>" (Sic)</w:t>
      </w:r>
    </w:p>
    <w:p w:rsidR="00E36FE4" w:rsidRPr="009B1CF3" w:rsidRDefault="00E36FE4" w:rsidP="00E36FE4">
      <w:pPr>
        <w:spacing w:line="360" w:lineRule="auto"/>
        <w:ind w:left="851" w:right="822"/>
        <w:jc w:val="both"/>
        <w:rPr>
          <w:rFonts w:ascii="Palatino Linotype" w:hAnsi="Palatino Linotype"/>
        </w:rPr>
      </w:pPr>
    </w:p>
    <w:p w:rsidR="00E36FE4" w:rsidRPr="009B1CF3" w:rsidRDefault="00E36FE4" w:rsidP="00E36FE4">
      <w:pPr>
        <w:numPr>
          <w:ilvl w:val="0"/>
          <w:numId w:val="1"/>
        </w:numPr>
        <w:spacing w:line="360" w:lineRule="auto"/>
        <w:ind w:left="851" w:right="822" w:firstLine="0"/>
        <w:jc w:val="both"/>
        <w:rPr>
          <w:rFonts w:ascii="Palatino Linotype" w:eastAsia="Palatino Linotype" w:hAnsi="Palatino Linotype" w:cs="Palatino Linotype"/>
        </w:rPr>
      </w:pPr>
      <w:r w:rsidRPr="009B1CF3">
        <w:rPr>
          <w:rFonts w:ascii="Palatino Linotype" w:eastAsia="Palatino Linotype" w:hAnsi="Palatino Linotype" w:cs="Palatino Linotype"/>
          <w:b/>
          <w:bCs/>
        </w:rPr>
        <w:t xml:space="preserve">Razones o Motivos de inconformidad: </w:t>
      </w:r>
      <w:r w:rsidRPr="009B1CF3">
        <w:rPr>
          <w:rFonts w:ascii="Palatino Linotype" w:eastAsia="Palatino Linotype" w:hAnsi="Palatino Linotype" w:cs="Palatino Linotype"/>
          <w:i/>
          <w:iCs/>
        </w:rPr>
        <w:t>"</w:t>
      </w:r>
      <w:r w:rsidR="002D7FAB" w:rsidRPr="009B1CF3">
        <w:rPr>
          <w:rFonts w:ascii="Verdana" w:hAnsi="Verdana"/>
          <w:color w:val="000000"/>
        </w:rPr>
        <w:t xml:space="preserve"> </w:t>
      </w:r>
      <w:r w:rsidR="002D7FAB" w:rsidRPr="009B1CF3">
        <w:rPr>
          <w:rFonts w:ascii="Palatino Linotype" w:eastAsia="Palatino Linotype" w:hAnsi="Palatino Linotype" w:cs="Palatino Linotype"/>
          <w:i/>
          <w:iCs/>
        </w:rPr>
        <w:t>ENTREGAN UNOS RECIBOS MAL TESTADOS, SIN EL ACUERDO DE COMITE QUE DE FE Y LEGALIDA, DEJANDO A LA VISTA INCLUSO DATO PERSONAL QUE REFIERE EL METODO DE PAGO QUE FUE POR TRASNFERENCIA COSA QUE NO DEBE DARSE, ES INCREIBLE QUE EL SEUDO SERVIDOR PUBLCIO Y LA TITULAR DE ESE SISTEMA SEAN INCOMPETENTES EN REALIZAR UN TRABAJO A PEGADO A LA NORMA Y PEOR AUN SE LES PAGUE POR UN MAL SERVICIO, SE DE VISTA A LA CON}TRALORIA Y SE ENTREGUE LA INFORMACION.</w:t>
      </w:r>
      <w:r w:rsidRPr="009B1CF3">
        <w:rPr>
          <w:rFonts w:ascii="Palatino Linotype" w:eastAsia="Palatino Linotype" w:hAnsi="Palatino Linotype" w:cs="Palatino Linotype"/>
          <w:i/>
          <w:iCs/>
        </w:rPr>
        <w:t>" (Sic)</w:t>
      </w:r>
    </w:p>
    <w:p w:rsidR="00E36FE4" w:rsidRPr="009B1CF3" w:rsidRDefault="00E36FE4" w:rsidP="00747AD3">
      <w:pPr>
        <w:spacing w:line="360" w:lineRule="auto"/>
        <w:jc w:val="both"/>
        <w:rPr>
          <w:rFonts w:ascii="Palatino Linotype" w:eastAsia="Palatino Linotype" w:hAnsi="Palatino Linotype" w:cs="Palatino Linotype"/>
        </w:rPr>
      </w:pP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9B1CF3">
        <w:rPr>
          <w:rFonts w:ascii="Palatino Linotype" w:eastAsia="Palatino Linotype" w:hAnsi="Palatino Linotype" w:cs="Palatino Linotype"/>
          <w:b/>
          <w:bCs/>
          <w:color w:val="000000"/>
        </w:rPr>
        <w:t xml:space="preserve">Ley de Transparencia y Acceso a la Información Pública del Estado de México y Municipios </w:t>
      </w:r>
      <w:r w:rsidRPr="009B1CF3">
        <w:rPr>
          <w:rFonts w:ascii="Palatino Linotype" w:eastAsia="Palatino Linotype" w:hAnsi="Palatino Linotype" w:cs="Palatino Linotype"/>
          <w:color w:val="000000"/>
        </w:rPr>
        <w:t xml:space="preserve">se </w:t>
      </w:r>
      <w:r w:rsidRPr="009B1CF3">
        <w:rPr>
          <w:rFonts w:ascii="Palatino Linotype" w:eastAsia="Palatino Linotype" w:hAnsi="Palatino Linotype" w:cs="Palatino Linotype"/>
        </w:rPr>
        <w:t>turna</w:t>
      </w:r>
      <w:r w:rsidRPr="009B1CF3">
        <w:rPr>
          <w:rFonts w:ascii="Palatino Linotype" w:eastAsia="Palatino Linotype" w:hAnsi="Palatino Linotype" w:cs="Palatino Linotype"/>
          <w:color w:val="000000"/>
        </w:rPr>
        <w:t xml:space="preserve"> a la </w:t>
      </w:r>
      <w:r w:rsidRPr="009B1CF3">
        <w:rPr>
          <w:rFonts w:ascii="Palatino Linotype" w:eastAsia="Palatino Linotype" w:hAnsi="Palatino Linotype" w:cs="Palatino Linotype"/>
          <w:b/>
          <w:bCs/>
          <w:color w:val="000000"/>
        </w:rPr>
        <w:t xml:space="preserve">Comisionada María del Rosario Mejía Ayala, </w:t>
      </w:r>
      <w:r w:rsidRPr="009B1CF3">
        <w:rPr>
          <w:rFonts w:ascii="Palatino Linotype" w:eastAsia="Palatino Linotype" w:hAnsi="Palatino Linotype" w:cs="Palatino Linotype"/>
        </w:rPr>
        <w:t xml:space="preserve">para </w:t>
      </w:r>
      <w:r w:rsidRPr="009B1CF3">
        <w:rPr>
          <w:rFonts w:ascii="Palatino Linotype" w:eastAsia="Palatino Linotype" w:hAnsi="Palatino Linotype" w:cs="Palatino Linotype"/>
          <w:color w:val="000000"/>
        </w:rPr>
        <w:t xml:space="preserve">su análisis. </w:t>
      </w: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rPr>
        <w:lastRenderedPageBreak/>
        <w:t>La</w:t>
      </w:r>
      <w:r w:rsidRPr="009B1CF3">
        <w:rPr>
          <w:rFonts w:ascii="Palatino Linotype" w:eastAsia="Palatino Linotype" w:hAnsi="Palatino Linotype" w:cs="Palatino Linotype"/>
          <w:color w:val="000000"/>
        </w:rPr>
        <w:t xml:space="preserve"> Comisionad</w:t>
      </w:r>
      <w:r w:rsidRPr="009B1CF3">
        <w:rPr>
          <w:rFonts w:ascii="Palatino Linotype" w:eastAsia="Palatino Linotype" w:hAnsi="Palatino Linotype" w:cs="Palatino Linotype"/>
        </w:rPr>
        <w:t>a</w:t>
      </w:r>
      <w:r w:rsidRPr="009B1CF3">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002D7FAB" w:rsidRPr="009B1CF3">
        <w:rPr>
          <w:rFonts w:ascii="Palatino Linotype" w:eastAsia="Palatino Linotype" w:hAnsi="Palatino Linotype" w:cs="Palatino Linotype"/>
          <w:b/>
          <w:bCs/>
          <w:color w:val="000000"/>
        </w:rPr>
        <w:t>dieciocho de febrero</w:t>
      </w:r>
      <w:r w:rsidR="00747AD3" w:rsidRPr="009B1CF3">
        <w:rPr>
          <w:rFonts w:ascii="Palatino Linotype" w:eastAsia="Palatino Linotype" w:hAnsi="Palatino Linotype" w:cs="Palatino Linotype"/>
          <w:b/>
          <w:bCs/>
          <w:color w:val="000000"/>
        </w:rPr>
        <w:t xml:space="preserve"> de dos mil veintiséis</w:t>
      </w:r>
      <w:r w:rsidRPr="009B1CF3">
        <w:rPr>
          <w:rFonts w:ascii="Palatino Linotype" w:eastAsia="Palatino Linotype" w:hAnsi="Palatino Linotype" w:cs="Palatino Linotype"/>
          <w:color w:val="000000"/>
        </w:rPr>
        <w:t xml:space="preserve">, puso a disposición de las partes el expediente electrónico vía </w:t>
      </w:r>
      <w:r w:rsidRPr="009B1CF3">
        <w:rPr>
          <w:rFonts w:ascii="Palatino Linotype" w:eastAsia="Palatino Linotype" w:hAnsi="Palatino Linotype" w:cs="Palatino Linotype"/>
          <w:b/>
          <w:bCs/>
          <w:color w:val="000000"/>
        </w:rPr>
        <w:t xml:space="preserve">SAIMEX </w:t>
      </w:r>
      <w:r w:rsidRPr="009B1CF3">
        <w:rPr>
          <w:rFonts w:ascii="Palatino Linotype" w:eastAsia="Palatino Linotype" w:hAnsi="Palatino Linotype" w:cs="Palatino Linotype"/>
          <w:color w:val="000000"/>
        </w:rPr>
        <w:t xml:space="preserve">a efecto de que en un plazo máximo de siete días </w:t>
      </w:r>
      <w:r w:rsidRPr="009B1CF3">
        <w:rPr>
          <w:rFonts w:ascii="Palatino Linotype" w:eastAsia="Palatino Linotype" w:hAnsi="Palatino Linotype" w:cs="Palatino Linotype"/>
        </w:rPr>
        <w:t>manifestara</w:t>
      </w:r>
      <w:r w:rsidRPr="009B1CF3">
        <w:rPr>
          <w:rFonts w:ascii="Palatino Linotype" w:eastAsia="Palatino Linotype" w:hAnsi="Palatino Linotype" w:cs="Palatino Linotype"/>
          <w:color w:val="000000"/>
        </w:rPr>
        <w:t xml:space="preserve"> lo que a derecho </w:t>
      </w:r>
      <w:r w:rsidRPr="009B1CF3">
        <w:rPr>
          <w:rFonts w:ascii="Palatino Linotype" w:eastAsia="Palatino Linotype" w:hAnsi="Palatino Linotype" w:cs="Palatino Linotype"/>
        </w:rPr>
        <w:t>conviniera</w:t>
      </w:r>
      <w:r w:rsidRPr="009B1CF3">
        <w:rPr>
          <w:rFonts w:ascii="Palatino Linotype" w:eastAsia="Palatino Linotype" w:hAnsi="Palatino Linotype" w:cs="Palatino Linotype"/>
          <w:color w:val="000000"/>
        </w:rPr>
        <w:t xml:space="preserve">, </w:t>
      </w:r>
      <w:r w:rsidRPr="009B1CF3">
        <w:rPr>
          <w:rFonts w:ascii="Palatino Linotype" w:eastAsia="Palatino Linotype" w:hAnsi="Palatino Linotype" w:cs="Palatino Linotype"/>
        </w:rPr>
        <w:t>ofreciera</w:t>
      </w:r>
      <w:r w:rsidRPr="009B1CF3">
        <w:rPr>
          <w:rFonts w:ascii="Palatino Linotype" w:eastAsia="Palatino Linotype" w:hAnsi="Palatino Linotype" w:cs="Palatino Linotype"/>
          <w:color w:val="000000"/>
        </w:rPr>
        <w:t xml:space="preserve"> pruebas y alegatos según corresponda al caso concreto, de esta forma para que el </w:t>
      </w:r>
      <w:r w:rsidRPr="009B1CF3">
        <w:rPr>
          <w:rFonts w:ascii="Palatino Linotype" w:eastAsia="Palatino Linotype" w:hAnsi="Palatino Linotype" w:cs="Palatino Linotype"/>
          <w:b/>
          <w:bCs/>
          <w:color w:val="000000"/>
        </w:rPr>
        <w:t>SUJETO OBLIGADO</w:t>
      </w:r>
      <w:r w:rsidRPr="009B1CF3">
        <w:rPr>
          <w:rFonts w:ascii="Palatino Linotype" w:eastAsia="Palatino Linotype" w:hAnsi="Palatino Linotype" w:cs="Palatino Linotype"/>
          <w:color w:val="000000"/>
        </w:rPr>
        <w:t xml:space="preserve"> </w:t>
      </w:r>
      <w:r w:rsidRPr="009B1CF3">
        <w:rPr>
          <w:rFonts w:ascii="Palatino Linotype" w:eastAsia="Palatino Linotype" w:hAnsi="Palatino Linotype" w:cs="Palatino Linotype"/>
        </w:rPr>
        <w:t>presentará</w:t>
      </w:r>
      <w:r w:rsidRPr="009B1CF3">
        <w:rPr>
          <w:rFonts w:ascii="Palatino Linotype" w:eastAsia="Palatino Linotype" w:hAnsi="Palatino Linotype" w:cs="Palatino Linotype"/>
          <w:color w:val="000000"/>
        </w:rPr>
        <w:t xml:space="preserve"> el informe justificado procedente. </w:t>
      </w:r>
    </w:p>
    <w:p w:rsidR="00E36FE4" w:rsidRPr="009B1CF3" w:rsidRDefault="00E36FE4" w:rsidP="00E36FE4">
      <w:pPr>
        <w:pBdr>
          <w:top w:val="nil"/>
          <w:left w:val="nil"/>
          <w:bottom w:val="nil"/>
          <w:right w:val="nil"/>
          <w:between w:val="nil"/>
        </w:pBdr>
        <w:ind w:left="720"/>
        <w:jc w:val="both"/>
        <w:rPr>
          <w:rFonts w:ascii="Palatino Linotype" w:eastAsia="Palatino Linotype" w:hAnsi="Palatino Linotype" w:cs="Palatino Linotype"/>
          <w:color w:val="000000"/>
        </w:rPr>
      </w:pP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De las constancias del expediente electrónico SAIMEX se advierte que el Recurrente no realizó manifestaciones que a su derecho convinieran; por su parte, el Sujeto Obligado</w:t>
      </w:r>
      <w:r w:rsidR="002D7FAB" w:rsidRPr="009B1CF3">
        <w:rPr>
          <w:rFonts w:ascii="Palatino Linotype" w:eastAsia="Palatino Linotype" w:hAnsi="Palatino Linotype" w:cs="Palatino Linotype"/>
          <w:color w:val="000000"/>
        </w:rPr>
        <w:t xml:space="preserve"> entregó informe justificado el</w:t>
      </w:r>
      <w:r w:rsidR="00747AD3" w:rsidRPr="009B1CF3">
        <w:rPr>
          <w:rFonts w:ascii="Palatino Linotype" w:eastAsia="Palatino Linotype" w:hAnsi="Palatino Linotype" w:cs="Palatino Linotype"/>
          <w:b/>
          <w:color w:val="000000"/>
        </w:rPr>
        <w:t xml:space="preserve"> diecisiete de marzo de dos mil veintiséis</w:t>
      </w:r>
      <w:r w:rsidRPr="009B1CF3">
        <w:rPr>
          <w:rFonts w:ascii="Palatino Linotype" w:eastAsia="Palatino Linotype" w:hAnsi="Palatino Linotype" w:cs="Palatino Linotype"/>
          <w:color w:val="000000"/>
        </w:rPr>
        <w:t xml:space="preserve">, </w:t>
      </w:r>
      <w:r w:rsidR="002D7FAB" w:rsidRPr="009B1CF3">
        <w:rPr>
          <w:rFonts w:ascii="Palatino Linotype" w:eastAsia="Palatino Linotype" w:hAnsi="Palatino Linotype" w:cs="Palatino Linotype"/>
          <w:color w:val="000000"/>
        </w:rPr>
        <w:t>y parte de la información se</w:t>
      </w:r>
      <w:r w:rsidRPr="009B1CF3">
        <w:rPr>
          <w:rFonts w:ascii="Palatino Linotype" w:eastAsia="Palatino Linotype" w:hAnsi="Palatino Linotype" w:cs="Palatino Linotype"/>
          <w:color w:val="000000"/>
        </w:rPr>
        <w:t xml:space="preserve"> puso a la vista del Recurrente el </w:t>
      </w:r>
      <w:r w:rsidR="002D7FAB" w:rsidRPr="009B1CF3">
        <w:rPr>
          <w:rFonts w:ascii="Palatino Linotype" w:eastAsia="Palatino Linotype" w:hAnsi="Palatino Linotype" w:cs="Palatino Linotype"/>
          <w:b/>
          <w:color w:val="000000"/>
        </w:rPr>
        <w:t>veinticinco de junio</w:t>
      </w:r>
      <w:r w:rsidRPr="009B1CF3">
        <w:rPr>
          <w:rFonts w:ascii="Palatino Linotype" w:eastAsia="Palatino Linotype" w:hAnsi="Palatino Linotype" w:cs="Palatino Linotype"/>
          <w:b/>
          <w:color w:val="000000"/>
        </w:rPr>
        <w:t xml:space="preserve"> de dos mil veintiséis </w:t>
      </w:r>
      <w:r w:rsidRPr="009B1CF3">
        <w:rPr>
          <w:rFonts w:ascii="Palatino Linotype" w:eastAsia="Palatino Linotype" w:hAnsi="Palatino Linotype" w:cs="Palatino Linotype"/>
          <w:color w:val="000000"/>
        </w:rPr>
        <w:t xml:space="preserve">y que consta de </w:t>
      </w:r>
      <w:r w:rsidR="002D7FAB" w:rsidRPr="009B1CF3">
        <w:rPr>
          <w:rFonts w:ascii="Palatino Linotype" w:eastAsia="Palatino Linotype" w:hAnsi="Palatino Linotype" w:cs="Palatino Linotype"/>
          <w:color w:val="000000"/>
        </w:rPr>
        <w:t xml:space="preserve">la información remitida en respuesta, aunado a ello se adjuntó Acta del Comité de Transparencia que sustenta la versión pública. </w:t>
      </w:r>
    </w:p>
    <w:p w:rsidR="00E36FE4" w:rsidRPr="009B1CF3" w:rsidRDefault="00E36FE4" w:rsidP="002D7FA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El</w:t>
      </w:r>
      <w:r w:rsidR="00400DE3" w:rsidRPr="009B1CF3">
        <w:rPr>
          <w:rFonts w:ascii="Palatino Linotype" w:eastAsia="Palatino Linotype" w:hAnsi="Palatino Linotype" w:cs="Palatino Linotype"/>
          <w:b/>
          <w:bCs/>
          <w:color w:val="000000"/>
        </w:rPr>
        <w:t xml:space="preserve"> veintinueve de mayo</w:t>
      </w:r>
      <w:r w:rsidRPr="009B1CF3">
        <w:rPr>
          <w:rFonts w:ascii="Palatino Linotype" w:eastAsia="Palatino Linotype" w:hAnsi="Palatino Linotype" w:cs="Palatino Linotype"/>
          <w:b/>
          <w:bCs/>
          <w:color w:val="000000"/>
        </w:rPr>
        <w:t xml:space="preserve"> de dos mil veintiséis</w:t>
      </w:r>
      <w:r w:rsidRPr="009B1CF3">
        <w:rPr>
          <w:rFonts w:ascii="Palatino Linotype" w:eastAsia="Palatino Linotype" w:hAnsi="Palatino Linotype" w:cs="Palatino Linotype"/>
          <w:color w:val="000000"/>
        </w:rPr>
        <w:t xml:space="preserve">, se notificó el acuerdo mediante el cual se aprobó la ampliación de plazo para emitir resolución. </w:t>
      </w:r>
    </w:p>
    <w:p w:rsidR="00E36FE4" w:rsidRPr="009B1CF3" w:rsidRDefault="00E36FE4" w:rsidP="00E36FE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 xml:space="preserve">La Comisionada Ponente decretó el cierre de instrucción mediante el acuerdo del </w:t>
      </w:r>
      <w:r w:rsidR="002D7FAB" w:rsidRPr="009B1CF3">
        <w:rPr>
          <w:rFonts w:ascii="Palatino Linotype" w:eastAsia="Palatino Linotype" w:hAnsi="Palatino Linotype" w:cs="Palatino Linotype"/>
          <w:b/>
          <w:bCs/>
          <w:color w:val="000000"/>
        </w:rPr>
        <w:t>treinta</w:t>
      </w:r>
      <w:r w:rsidRPr="009B1CF3">
        <w:rPr>
          <w:rFonts w:ascii="Palatino Linotype" w:eastAsia="Palatino Linotype" w:hAnsi="Palatino Linotype" w:cs="Palatino Linotype"/>
          <w:b/>
          <w:bCs/>
          <w:color w:val="000000"/>
        </w:rPr>
        <w:t xml:space="preserve"> de junio de dos mil veintiséis.</w:t>
      </w:r>
      <w:r w:rsidR="009B1CF3">
        <w:rPr>
          <w:rFonts w:ascii="Palatino Linotype" w:eastAsia="Palatino Linotype" w:hAnsi="Palatino Linotype" w:cs="Palatino Linotype"/>
          <w:b/>
          <w:bCs/>
          <w:color w:val="000000"/>
        </w:rPr>
        <w:t xml:space="preserve"> -------------------------------------------------------------------------------------</w:t>
      </w:r>
    </w:p>
    <w:p w:rsidR="009B1CF3" w:rsidRDefault="009B1CF3" w:rsidP="009B1CF3">
      <w:pPr>
        <w:pStyle w:val="Prrafodelista"/>
        <w:rPr>
          <w:rFonts w:ascii="Palatino Linotype" w:eastAsia="Palatino Linotype" w:hAnsi="Palatino Linotype" w:cs="Palatino Linotype"/>
          <w:color w:val="000000"/>
        </w:rPr>
      </w:pPr>
    </w:p>
    <w:p w:rsidR="009B1CF3" w:rsidRDefault="009B1CF3" w:rsidP="009B1CF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B1CF3" w:rsidRDefault="009B1CF3" w:rsidP="009B1CF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B1CF3" w:rsidRDefault="009B1CF3" w:rsidP="009B1CF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B1CF3" w:rsidRPr="009B1CF3" w:rsidRDefault="009B1CF3" w:rsidP="009B1CF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36FE4" w:rsidRPr="009B1CF3" w:rsidRDefault="00E36FE4" w:rsidP="00E36FE4">
      <w:pPr>
        <w:spacing w:line="360" w:lineRule="auto"/>
        <w:jc w:val="center"/>
        <w:rPr>
          <w:rFonts w:ascii="Palatino Linotype" w:eastAsia="Palatino Linotype" w:hAnsi="Palatino Linotype" w:cs="Palatino Linotype"/>
        </w:rPr>
      </w:pPr>
    </w:p>
    <w:p w:rsidR="00E36FE4" w:rsidRPr="009B1CF3" w:rsidRDefault="00E36FE4" w:rsidP="00E36FE4">
      <w:pPr>
        <w:spacing w:line="360" w:lineRule="auto"/>
        <w:jc w:val="center"/>
        <w:rPr>
          <w:rFonts w:ascii="Palatino Linotype" w:eastAsia="Palatino Linotype" w:hAnsi="Palatino Linotype" w:cs="Palatino Linotype"/>
        </w:rPr>
      </w:pPr>
      <w:bookmarkStart w:id="2" w:name="_heading=h.1fob9te" w:colFirst="0" w:colLast="0"/>
      <w:bookmarkEnd w:id="2"/>
      <w:r w:rsidRPr="009B1CF3">
        <w:rPr>
          <w:rFonts w:ascii="Palatino Linotype" w:eastAsia="Palatino Linotype" w:hAnsi="Palatino Linotype" w:cs="Palatino Linotype"/>
          <w:b/>
          <w:bCs/>
        </w:rPr>
        <w:lastRenderedPageBreak/>
        <w:t>C O N S I D E R A N D O</w:t>
      </w:r>
    </w:p>
    <w:p w:rsidR="00E36FE4" w:rsidRPr="009B1CF3" w:rsidRDefault="00E36FE4" w:rsidP="00E36FE4">
      <w:pPr>
        <w:spacing w:line="360" w:lineRule="auto"/>
        <w:jc w:val="both"/>
        <w:rPr>
          <w:rFonts w:ascii="Palatino Linotype" w:eastAsia="Palatino Linotype" w:hAnsi="Palatino Linotype" w:cs="Palatino Linotype"/>
        </w:rPr>
      </w:pPr>
    </w:p>
    <w:p w:rsidR="00E36FE4" w:rsidRPr="009B1CF3" w:rsidRDefault="00E36FE4" w:rsidP="00E36FE4">
      <w:pPr>
        <w:spacing w:line="360" w:lineRule="auto"/>
        <w:jc w:val="both"/>
        <w:rPr>
          <w:rFonts w:ascii="Palatino Linotype" w:eastAsia="Palatino Linotype" w:hAnsi="Palatino Linotype" w:cs="Palatino Linotype"/>
          <w:b/>
          <w:bCs/>
        </w:rPr>
      </w:pPr>
      <w:bookmarkStart w:id="3" w:name="_heading=h.3znysh7" w:colFirst="0" w:colLast="0"/>
      <w:bookmarkEnd w:id="3"/>
      <w:r w:rsidRPr="009B1CF3">
        <w:rPr>
          <w:rFonts w:ascii="Palatino Linotype" w:eastAsia="Palatino Linotype" w:hAnsi="Palatino Linotype" w:cs="Palatino Linotype"/>
          <w:b/>
          <w:bCs/>
        </w:rPr>
        <w:t>PRIMERO. De la competencia</w:t>
      </w:r>
    </w:p>
    <w:p w:rsidR="00400DE3" w:rsidRPr="009B1CF3" w:rsidRDefault="00400DE3" w:rsidP="00400DE3">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400DE3" w:rsidRPr="009B1CF3" w:rsidRDefault="00400DE3" w:rsidP="00400DE3">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E36FE4" w:rsidRPr="009B1CF3" w:rsidRDefault="00E36FE4" w:rsidP="00E36FE4">
      <w:pPr>
        <w:keepNext/>
        <w:keepLines/>
        <w:spacing w:line="360" w:lineRule="auto"/>
        <w:jc w:val="both"/>
        <w:rPr>
          <w:rFonts w:ascii="Palatino Linotype" w:eastAsia="Palatino Linotype" w:hAnsi="Palatino Linotype" w:cs="Palatino Linotype"/>
          <w:b/>
          <w:bCs/>
        </w:rPr>
      </w:pPr>
      <w:bookmarkStart w:id="4" w:name="_heading=h.2et92p0" w:colFirst="0" w:colLast="0"/>
      <w:bookmarkEnd w:id="4"/>
      <w:r w:rsidRPr="009B1CF3">
        <w:rPr>
          <w:rFonts w:ascii="Palatino Linotype" w:eastAsia="Palatino Linotype" w:hAnsi="Palatino Linotype" w:cs="Palatino Linotype"/>
          <w:b/>
          <w:bCs/>
        </w:rPr>
        <w:t>SEGUNDO. De la oportunidad y procedencia.</w:t>
      </w: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 xml:space="preserve">El medio de impugnación fue presentado a través del </w:t>
      </w:r>
      <w:r w:rsidRPr="009B1CF3">
        <w:rPr>
          <w:rFonts w:ascii="Palatino Linotype" w:eastAsia="Palatino Linotype" w:hAnsi="Palatino Linotype" w:cs="Palatino Linotype"/>
          <w:b/>
          <w:bCs/>
          <w:color w:val="000000"/>
        </w:rPr>
        <w:t>SAIMEX,</w:t>
      </w:r>
      <w:r w:rsidRPr="009B1CF3">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9B1CF3">
        <w:rPr>
          <w:rFonts w:ascii="Palatino Linotype" w:eastAsia="Palatino Linotype" w:hAnsi="Palatino Linotype" w:cs="Palatino Linotype"/>
          <w:b/>
          <w:bCs/>
          <w:color w:val="000000"/>
        </w:rPr>
        <w:t>SUJETO OBLIGADO</w:t>
      </w:r>
      <w:r w:rsidRPr="009B1CF3">
        <w:rPr>
          <w:rFonts w:ascii="Palatino Linotype" w:eastAsia="Palatino Linotype" w:hAnsi="Palatino Linotype" w:cs="Palatino Linotype"/>
          <w:color w:val="000000"/>
        </w:rPr>
        <w:t xml:space="preserve"> entregó respuesta a la solicitud el </w:t>
      </w:r>
      <w:r w:rsidR="002B315C" w:rsidRPr="009B1CF3">
        <w:rPr>
          <w:rFonts w:ascii="Palatino Linotype" w:eastAsia="Palatino Linotype" w:hAnsi="Palatino Linotype" w:cs="Palatino Linotype"/>
          <w:b/>
          <w:color w:val="000000"/>
        </w:rPr>
        <w:t>veintiocho</w:t>
      </w:r>
      <w:r w:rsidR="00400DE3" w:rsidRPr="009B1CF3">
        <w:rPr>
          <w:rFonts w:ascii="Palatino Linotype" w:eastAsia="Palatino Linotype" w:hAnsi="Palatino Linotype" w:cs="Palatino Linotype"/>
          <w:b/>
          <w:color w:val="000000"/>
        </w:rPr>
        <w:t xml:space="preserve"> de enero de dos mil veintiséis</w:t>
      </w:r>
      <w:r w:rsidRPr="009B1CF3">
        <w:rPr>
          <w:rFonts w:ascii="Palatino Linotype" w:eastAsia="Palatino Linotype" w:hAnsi="Palatino Linotype" w:cs="Palatino Linotype"/>
          <w:color w:val="000000"/>
        </w:rPr>
        <w:t>, de tal forma que el plazo para interponer el recurso de revisión transcurrió del</w:t>
      </w:r>
      <w:r w:rsidRPr="009B1CF3">
        <w:rPr>
          <w:rFonts w:ascii="Palatino Linotype" w:eastAsia="Palatino Linotype" w:hAnsi="Palatino Linotype" w:cs="Palatino Linotype"/>
          <w:b/>
          <w:bCs/>
          <w:color w:val="000000"/>
        </w:rPr>
        <w:t xml:space="preserve"> </w:t>
      </w:r>
      <w:r w:rsidR="002B315C" w:rsidRPr="009B1CF3">
        <w:rPr>
          <w:rFonts w:ascii="Palatino Linotype" w:eastAsia="Palatino Linotype" w:hAnsi="Palatino Linotype" w:cs="Palatino Linotype"/>
          <w:b/>
          <w:bCs/>
          <w:color w:val="000000"/>
        </w:rPr>
        <w:t>veintinueve de enero al diecinueve</w:t>
      </w:r>
      <w:r w:rsidR="00400DE3" w:rsidRPr="009B1CF3">
        <w:rPr>
          <w:rFonts w:ascii="Palatino Linotype" w:eastAsia="Palatino Linotype" w:hAnsi="Palatino Linotype" w:cs="Palatino Linotype"/>
          <w:b/>
          <w:bCs/>
          <w:color w:val="000000"/>
        </w:rPr>
        <w:t xml:space="preserve"> de febrero de dos mil veintiséis</w:t>
      </w:r>
      <w:r w:rsidRPr="009B1CF3">
        <w:rPr>
          <w:rFonts w:ascii="Palatino Linotype" w:eastAsia="Palatino Linotype" w:hAnsi="Palatino Linotype" w:cs="Palatino Linotype"/>
          <w:color w:val="000000"/>
        </w:rPr>
        <w:t xml:space="preserve">; en consecuencia, presentó su inconformidad el día </w:t>
      </w:r>
      <w:r w:rsidR="002B315C" w:rsidRPr="009B1CF3">
        <w:rPr>
          <w:rFonts w:ascii="Palatino Linotype" w:eastAsia="Palatino Linotype" w:hAnsi="Palatino Linotype" w:cs="Palatino Linotype"/>
          <w:b/>
          <w:bCs/>
          <w:color w:val="000000"/>
        </w:rPr>
        <w:t>catorce de febrero</w:t>
      </w:r>
      <w:r w:rsidR="00400DE3" w:rsidRPr="009B1CF3">
        <w:rPr>
          <w:rFonts w:ascii="Palatino Linotype" w:eastAsia="Palatino Linotype" w:hAnsi="Palatino Linotype" w:cs="Palatino Linotype"/>
          <w:b/>
          <w:bCs/>
          <w:color w:val="000000"/>
        </w:rPr>
        <w:t xml:space="preserve"> de dos mil veintiséis</w:t>
      </w:r>
      <w:r w:rsidRPr="009B1CF3">
        <w:rPr>
          <w:rFonts w:ascii="Palatino Linotype" w:eastAsia="Palatino Linotype" w:hAnsi="Palatino Linotype" w:cs="Palatino Linotype"/>
          <w:color w:val="000000"/>
        </w:rPr>
        <w:t xml:space="preserve">, por lo que se encuentra dentro de los márgenes temporales previstos en el artículo 178 de la </w:t>
      </w:r>
      <w:r w:rsidRPr="009B1CF3">
        <w:rPr>
          <w:rFonts w:ascii="Palatino Linotype" w:eastAsia="Palatino Linotype" w:hAnsi="Palatino Linotype" w:cs="Palatino Linotype"/>
          <w:b/>
          <w:bCs/>
          <w:color w:val="000000"/>
        </w:rPr>
        <w:t xml:space="preserve">Ley de Transparencia y Acceso a la Información Pública del Estado de México y Municipios </w:t>
      </w:r>
      <w:r w:rsidRPr="009B1CF3">
        <w:rPr>
          <w:rFonts w:ascii="Palatino Linotype" w:eastAsia="Palatino Linotype" w:hAnsi="Palatino Linotype" w:cs="Palatino Linotype"/>
          <w:color w:val="000000"/>
        </w:rPr>
        <w:t>vigente.</w:t>
      </w:r>
    </w:p>
    <w:p w:rsidR="00E36FE4" w:rsidRPr="009B1CF3" w:rsidRDefault="00E36FE4" w:rsidP="00E36FE4">
      <w:pPr>
        <w:jc w:val="both"/>
        <w:rPr>
          <w:rFonts w:ascii="Palatino Linotype" w:eastAsia="Palatino Linotype" w:hAnsi="Palatino Linotype" w:cs="Palatino Linotype"/>
          <w:color w:val="000000"/>
        </w:rPr>
      </w:pPr>
    </w:p>
    <w:p w:rsidR="00E36FE4" w:rsidRPr="009B1CF3" w:rsidRDefault="00E36FE4" w:rsidP="00E36FE4">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lastRenderedPageBreak/>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E36FE4" w:rsidRPr="009B1CF3" w:rsidRDefault="00E36FE4" w:rsidP="00E36FE4">
      <w:pPr>
        <w:pStyle w:val="Ttulo1"/>
        <w:spacing w:line="360" w:lineRule="auto"/>
        <w:jc w:val="both"/>
        <w:rPr>
          <w:rFonts w:ascii="Palatino Linotype" w:eastAsia="Palatino Linotype" w:hAnsi="Palatino Linotype" w:cs="Palatino Linotype"/>
          <w:b/>
          <w:bCs/>
          <w:i/>
          <w:iCs/>
          <w:color w:val="000000"/>
          <w:sz w:val="24"/>
          <w:szCs w:val="24"/>
        </w:rPr>
      </w:pPr>
      <w:r w:rsidRPr="009B1CF3">
        <w:rPr>
          <w:rFonts w:ascii="Palatino Linotype" w:eastAsia="Palatino Linotype" w:hAnsi="Palatino Linotype" w:cs="Palatino Linotype"/>
          <w:b/>
          <w:bCs/>
          <w:color w:val="000000"/>
          <w:sz w:val="24"/>
          <w:szCs w:val="24"/>
        </w:rPr>
        <w:t>TERCERO. Del planteamiento de la Litis</w:t>
      </w:r>
    </w:p>
    <w:p w:rsidR="002B315C" w:rsidRPr="009B1CF3" w:rsidRDefault="00E36FE4" w:rsidP="002B315C">
      <w:pPr>
        <w:numPr>
          <w:ilvl w:val="0"/>
          <w:numId w:val="2"/>
        </w:numPr>
        <w:pBdr>
          <w:top w:val="nil"/>
          <w:left w:val="nil"/>
          <w:bottom w:val="nil"/>
          <w:right w:val="nil"/>
          <w:between w:val="nil"/>
        </w:pBdr>
        <w:spacing w:line="360" w:lineRule="auto"/>
        <w:ind w:left="0" w:firstLine="0"/>
        <w:jc w:val="both"/>
        <w:rPr>
          <w:rFonts w:ascii="Palatino Linotype" w:hAnsi="Palatino Linotype"/>
          <w:color w:val="000000"/>
        </w:rPr>
      </w:pPr>
      <w:r w:rsidRPr="009B1CF3">
        <w:rPr>
          <w:rFonts w:ascii="Palatino Linotype" w:eastAsia="Palatino Linotype" w:hAnsi="Palatino Linotype" w:cs="Palatino Linotype"/>
          <w:color w:val="000000"/>
        </w:rPr>
        <w:t>El particular solicitó</w:t>
      </w:r>
      <w:r w:rsidR="00A070DA" w:rsidRPr="009B1CF3">
        <w:rPr>
          <w:rFonts w:ascii="Palatino Linotype" w:eastAsia="Palatino Linotype" w:hAnsi="Palatino Linotype" w:cs="Palatino Linotype"/>
          <w:color w:val="000000"/>
        </w:rPr>
        <w:t xml:space="preserve"> los recibos de nómina y de aguinaldos de los servidores públicos adscritos al Sujeto Obligado, entregados en diciembre de dos mil veinticinco.  </w:t>
      </w:r>
    </w:p>
    <w:p w:rsidR="0055249F" w:rsidRPr="009B1CF3" w:rsidRDefault="0055249F" w:rsidP="0055249F">
      <w:pPr>
        <w:pStyle w:val="Prrafodelista"/>
        <w:pBdr>
          <w:top w:val="nil"/>
          <w:left w:val="nil"/>
          <w:bottom w:val="nil"/>
          <w:right w:val="nil"/>
          <w:between w:val="nil"/>
        </w:pBdr>
        <w:spacing w:line="360" w:lineRule="auto"/>
        <w:ind w:left="1440" w:right="822"/>
        <w:jc w:val="both"/>
        <w:rPr>
          <w:rFonts w:ascii="Palatino Linotype" w:eastAsia="Palatino Linotype" w:hAnsi="Palatino Linotype" w:cs="Palatino Linotype"/>
          <w:i/>
          <w:iCs/>
          <w:color w:val="000000"/>
        </w:rPr>
      </w:pPr>
    </w:p>
    <w:p w:rsidR="00E36FE4" w:rsidRPr="009B1CF3" w:rsidRDefault="00E36FE4" w:rsidP="00E36FE4">
      <w:pPr>
        <w:numPr>
          <w:ilvl w:val="0"/>
          <w:numId w:val="2"/>
        </w:numPr>
        <w:spacing w:line="360" w:lineRule="auto"/>
        <w:ind w:left="0" w:firstLine="0"/>
        <w:jc w:val="both"/>
        <w:rPr>
          <w:rFonts w:ascii="Palatino Linotype" w:eastAsia="Palatino Linotype" w:hAnsi="Palatino Linotype" w:cs="Palatino Linotype"/>
        </w:rPr>
      </w:pPr>
      <w:r w:rsidRPr="009B1CF3">
        <w:rPr>
          <w:rFonts w:ascii="Palatino Linotype" w:eastAsia="Palatino Linotype" w:hAnsi="Palatino Linotype" w:cs="Palatino Linotype"/>
        </w:rPr>
        <w:t>E</w:t>
      </w:r>
      <w:r w:rsidR="006E6065" w:rsidRPr="009B1CF3">
        <w:rPr>
          <w:rFonts w:ascii="Palatino Linotype" w:eastAsia="Palatino Linotype" w:hAnsi="Palatino Linotype" w:cs="Palatino Linotype"/>
        </w:rPr>
        <w:t xml:space="preserve">n respuesta, el Sujeto Obligado entregó diversa documentación para colmar el requerimiento del Recurrente. Posteriormente, el particular se inconformó por la negativa de la información. </w:t>
      </w:r>
      <w:r w:rsidRPr="009B1CF3">
        <w:rPr>
          <w:rFonts w:ascii="Palatino Linotype" w:eastAsia="Palatino Linotype" w:hAnsi="Palatino Linotype" w:cs="Palatino Linotype"/>
        </w:rPr>
        <w:t xml:space="preserve"> </w:t>
      </w:r>
    </w:p>
    <w:p w:rsidR="00E36FE4" w:rsidRPr="009B1CF3" w:rsidRDefault="00E36FE4" w:rsidP="00E36FE4">
      <w:pPr>
        <w:spacing w:line="360" w:lineRule="auto"/>
        <w:jc w:val="both"/>
        <w:rPr>
          <w:rFonts w:ascii="Palatino Linotype" w:eastAsia="Palatino Linotype" w:hAnsi="Palatino Linotype" w:cs="Palatino Linotype"/>
        </w:rPr>
      </w:pPr>
    </w:p>
    <w:p w:rsidR="00E36FE4" w:rsidRPr="009B1CF3" w:rsidRDefault="00E36FE4" w:rsidP="00E36FE4">
      <w:pPr>
        <w:numPr>
          <w:ilvl w:val="0"/>
          <w:numId w:val="2"/>
        </w:numPr>
        <w:spacing w:line="360" w:lineRule="auto"/>
        <w:ind w:left="0" w:firstLine="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En consecuencia, la Litis a resolver en este recurso, se circunscribe a determinar si la respuesta colma con lo solicitado o si se actualiza la causal de procedencia prevista en el artículo 179, fracción I de la Ley de Transparencia y Acceso a la Información Pública del Estado de México y Municipios; que establece la negativa de la información.  </w:t>
      </w:r>
    </w:p>
    <w:p w:rsidR="00E36FE4" w:rsidRPr="009B1CF3" w:rsidRDefault="00E36FE4" w:rsidP="00E36FE4">
      <w:pPr>
        <w:pStyle w:val="Ttulo1"/>
        <w:spacing w:line="360" w:lineRule="auto"/>
        <w:jc w:val="both"/>
        <w:rPr>
          <w:rFonts w:ascii="Palatino Linotype" w:eastAsia="Palatino Linotype" w:hAnsi="Palatino Linotype" w:cs="Palatino Linotype"/>
          <w:b/>
          <w:bCs/>
          <w:color w:val="000000"/>
          <w:sz w:val="24"/>
          <w:szCs w:val="24"/>
        </w:rPr>
      </w:pPr>
      <w:bookmarkStart w:id="5" w:name="_heading=h.3dy6vkm" w:colFirst="0" w:colLast="0"/>
      <w:bookmarkEnd w:id="5"/>
      <w:r w:rsidRPr="009B1CF3">
        <w:rPr>
          <w:rFonts w:ascii="Palatino Linotype" w:eastAsia="Palatino Linotype" w:hAnsi="Palatino Linotype" w:cs="Palatino Linotype"/>
          <w:b/>
          <w:bCs/>
          <w:color w:val="000000"/>
          <w:sz w:val="24"/>
          <w:szCs w:val="24"/>
        </w:rPr>
        <w:t xml:space="preserve">CUARTO. Estudio y resolución del recurso de revisión. </w:t>
      </w:r>
    </w:p>
    <w:p w:rsidR="00E36FE4" w:rsidRPr="009B1CF3" w:rsidRDefault="00E36FE4" w:rsidP="00E36FE4">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9B1CF3">
        <w:rPr>
          <w:rFonts w:ascii="Palatino Linotype" w:eastAsia="Palatino Linotype" w:hAnsi="Palatino Linotype" w:cs="Palatino Linotype"/>
          <w:b/>
          <w:bCs/>
          <w:color w:val="000000"/>
        </w:rPr>
        <w:t>Ley de Transparencia y Acceso a la Información Pública del Estado de México y Municipios</w:t>
      </w:r>
      <w:r w:rsidRPr="009B1CF3">
        <w:rPr>
          <w:rFonts w:ascii="Palatino Linotype" w:eastAsia="Palatino Linotype" w:hAnsi="Palatino Linotype" w:cs="Palatino Linotype"/>
          <w:color w:val="000000"/>
        </w:rPr>
        <w:t>.</w:t>
      </w:r>
    </w:p>
    <w:p w:rsidR="00E36FE4" w:rsidRPr="009B1CF3" w:rsidRDefault="00E36FE4" w:rsidP="00FD1370">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bookmarkStart w:id="6" w:name="_heading=h.4d34og8" w:colFirst="0" w:colLast="0"/>
      <w:bookmarkEnd w:id="6"/>
      <w:r w:rsidRPr="009B1CF3">
        <w:rPr>
          <w:rFonts w:ascii="Palatino Linotype" w:eastAsia="Palatino Linotype" w:hAnsi="Palatino Linotype" w:cs="Palatino Linotype"/>
          <w:color w:val="000000"/>
        </w:rPr>
        <w:lastRenderedPageBreak/>
        <w:t xml:space="preserve">Así, este Instituto de Transparencia, de conformidad con los principios de eficacia y profesionalismo, procederá a verificar la información remitida por el </w:t>
      </w:r>
      <w:r w:rsidRPr="009B1CF3">
        <w:rPr>
          <w:rFonts w:ascii="Palatino Linotype" w:eastAsia="Palatino Linotype" w:hAnsi="Palatino Linotype" w:cs="Palatino Linotype"/>
          <w:b/>
          <w:bCs/>
          <w:color w:val="000000"/>
        </w:rPr>
        <w:t>SUJETO OBLIGADO y</w:t>
      </w:r>
      <w:r w:rsidRPr="009B1CF3">
        <w:rPr>
          <w:rFonts w:ascii="Palatino Linotype" w:eastAsia="Palatino Linotype" w:hAnsi="Palatino Linotype" w:cs="Palatino Linotype"/>
          <w:color w:val="000000"/>
        </w:rPr>
        <w:t xml:space="preserve"> las manifestaciones realizadas por el </w:t>
      </w:r>
      <w:r w:rsidRPr="009B1CF3">
        <w:rPr>
          <w:rFonts w:ascii="Palatino Linotype" w:eastAsia="Palatino Linotype" w:hAnsi="Palatino Linotype" w:cs="Palatino Linotype"/>
          <w:b/>
          <w:bCs/>
        </w:rPr>
        <w:t>SOLICITANTE</w:t>
      </w:r>
      <w:r w:rsidRPr="009B1CF3">
        <w:rPr>
          <w:rFonts w:ascii="Palatino Linotype" w:eastAsia="Palatino Linotype" w:hAnsi="Palatino Linotype" w:cs="Palatino Linotype"/>
          <w:b/>
          <w:bCs/>
          <w:color w:val="000000"/>
        </w:rPr>
        <w:t xml:space="preserve"> </w:t>
      </w:r>
      <w:r w:rsidRPr="009B1CF3">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FD1370" w:rsidRPr="009B1CF3" w:rsidRDefault="00FD1370" w:rsidP="00FD1370">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9B1CF3">
        <w:rPr>
          <w:rFonts w:ascii="Palatino Linotype" w:eastAsia="Palatino Linotype" w:hAnsi="Palatino Linotype" w:cs="Palatino Linotype"/>
        </w:rPr>
        <w:t>Ahora bien, la solicitud del Recurrente es sobre el los recibos de nómina y de aguinaldo de los servidores públicos adscritos al Sujeto Obligado, correspondientes al mes de diciembre de dos mil veinticinco. En respuesta, el Sujeto Obligado entregó los recibos solicitados en versión pública, posteriormente, el Recurrente se inconformó por las siguientes razones:</w:t>
      </w:r>
    </w:p>
    <w:p w:rsidR="00FD1370" w:rsidRPr="009B1CF3" w:rsidRDefault="00FD1370" w:rsidP="00FD1370">
      <w:pPr>
        <w:pBdr>
          <w:top w:val="nil"/>
          <w:left w:val="nil"/>
          <w:bottom w:val="nil"/>
          <w:right w:val="nil"/>
          <w:between w:val="nil"/>
        </w:pBdr>
        <w:tabs>
          <w:tab w:val="left" w:pos="567"/>
        </w:tabs>
        <w:spacing w:line="360" w:lineRule="auto"/>
        <w:ind w:left="851" w:right="822"/>
        <w:jc w:val="both"/>
        <w:rPr>
          <w:rFonts w:ascii="Palatino Linotype" w:eastAsia="Palatino Linotype" w:hAnsi="Palatino Linotype" w:cs="Palatino Linotype"/>
          <w:i/>
        </w:rPr>
      </w:pPr>
      <w:r w:rsidRPr="009B1CF3">
        <w:rPr>
          <w:rFonts w:ascii="Palatino Linotype" w:eastAsia="Palatino Linotype" w:hAnsi="Palatino Linotype" w:cs="Palatino Linotype"/>
          <w:i/>
        </w:rPr>
        <w:t xml:space="preserve">“ENTREGAN UNOS RECIBOS MAL TESTADOS, SIN EL ACUERDO DE COMITE QUE DE FE Y LEGALIDA, DEJANDO A LA VISTA INCLUSO DATO PERSONAL QUE REFIERE EL METODO DE PAGO QUE FUE POR TRASNFERENCIA COSA QUE NO DEBE DARSE, ES INCREIBLE QUE EL SEUDO SERVIDOR PUBLCIO Y LA TITULAR DE ESE SISTEMA SEAN INCOMPETENTES EN REALIZAR UN TRABAJO A PEGADO A LA NORMA Y PEOR AUN SE LES PAGUE POR UN MAL SERVICIO, SE DE VISTA A LA CON}TRALORIA Y SE ENTREGUE LA INFORMACION”. </w:t>
      </w:r>
    </w:p>
    <w:p w:rsidR="00FD1370" w:rsidRPr="009B1CF3" w:rsidRDefault="00FD1370" w:rsidP="00FD1370">
      <w:pPr>
        <w:pStyle w:val="Prrafodelista"/>
        <w:rPr>
          <w:rFonts w:ascii="Palatino Linotype" w:eastAsia="Palatino Linotype" w:hAnsi="Palatino Linotype" w:cs="Palatino Linotype"/>
          <w:color w:val="000000"/>
        </w:rPr>
      </w:pPr>
    </w:p>
    <w:p w:rsidR="00D003DE" w:rsidRPr="009B1CF3" w:rsidRDefault="00D003DE" w:rsidP="00D003DE">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9B1CF3">
        <w:rPr>
          <w:rFonts w:ascii="Palatino Linotype" w:eastAsia="MS Mincho" w:hAnsi="Palatino Linotype" w:cs="Arial"/>
          <w:lang w:eastAsia="es-ES"/>
        </w:rPr>
        <w:t xml:space="preserve">En este contexto, la inconformidad del RECURRENTE radica en la versión pública que se realizó de los recibos, es decir, que no se inconformó por toda la información;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D003DE" w:rsidRPr="009B1CF3" w:rsidRDefault="00D003DE" w:rsidP="00D003DE">
      <w:pPr>
        <w:pStyle w:val="Prrafodelista"/>
        <w:spacing w:before="240" w:after="240" w:line="360" w:lineRule="auto"/>
        <w:ind w:left="0" w:right="48"/>
        <w:jc w:val="both"/>
        <w:rPr>
          <w:rFonts w:ascii="Palatino Linotype" w:eastAsia="MS Mincho" w:hAnsi="Palatino Linotype" w:cs="Arial"/>
          <w:lang w:eastAsia="es-ES"/>
        </w:rPr>
      </w:pPr>
    </w:p>
    <w:p w:rsidR="00D003DE" w:rsidRPr="009B1CF3" w:rsidRDefault="00D003DE" w:rsidP="00D003DE">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9B1CF3">
        <w:rPr>
          <w:rFonts w:ascii="Palatino Linotype" w:eastAsia="MS Mincho" w:hAnsi="Palatino Linotype" w:cs="Arial"/>
          <w:lang w:eastAsia="es-ES"/>
        </w:rPr>
        <w:lastRenderedPageBreak/>
        <w:t>Sirve de sustento, la tesis jurisprudencial número VI.3o.C. J/60, publicada en el Semanario Judicial de la Federación y su Gaceta bajo el número de registro 176,608 que a la letra dice:</w:t>
      </w:r>
    </w:p>
    <w:p w:rsidR="00D003DE" w:rsidRPr="009B1CF3" w:rsidRDefault="00D003DE" w:rsidP="00D003DE">
      <w:pPr>
        <w:pStyle w:val="Prrafodelista"/>
        <w:spacing w:before="240" w:after="240" w:line="360" w:lineRule="auto"/>
        <w:ind w:left="851" w:right="822"/>
        <w:jc w:val="both"/>
        <w:rPr>
          <w:rFonts w:ascii="Palatino Linotype" w:eastAsia="MS Mincho" w:hAnsi="Palatino Linotype" w:cs="Arial"/>
          <w:i/>
          <w:lang w:eastAsia="es-ES"/>
        </w:rPr>
      </w:pPr>
      <w:r w:rsidRPr="009B1CF3">
        <w:rPr>
          <w:rFonts w:ascii="Palatino Linotype" w:eastAsia="MS Mincho" w:hAnsi="Palatino Linotype" w:cs="Arial"/>
          <w:i/>
          <w:lang w:eastAsia="es-ES"/>
        </w:rPr>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D003DE" w:rsidRPr="009B1CF3" w:rsidRDefault="00D003DE" w:rsidP="00D003DE">
      <w:pPr>
        <w:pStyle w:val="Prrafodelista"/>
        <w:spacing w:before="240" w:after="240" w:line="360" w:lineRule="auto"/>
        <w:ind w:left="851" w:right="822"/>
        <w:jc w:val="both"/>
        <w:rPr>
          <w:rFonts w:ascii="Palatino Linotype" w:eastAsia="MS Mincho" w:hAnsi="Palatino Linotype" w:cs="Arial"/>
          <w:i/>
          <w:lang w:eastAsia="es-ES"/>
        </w:rPr>
      </w:pPr>
    </w:p>
    <w:p w:rsidR="00D003DE" w:rsidRPr="009B1CF3" w:rsidRDefault="00D003DE" w:rsidP="00D003DE">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9B1CF3">
        <w:rPr>
          <w:rFonts w:ascii="Palatino Linotype" w:eastAsia="MS Mincho" w:hAnsi="Palatino Linotype" w:cs="Arial"/>
          <w:lang w:eastAsia="es-ES"/>
        </w:rPr>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está conforme con la respuesta proporcionada por EL SUJETO OBLIGADO, al no contravenir la misma. </w:t>
      </w:r>
    </w:p>
    <w:p w:rsidR="00D003DE" w:rsidRPr="009B1CF3" w:rsidRDefault="00D003DE" w:rsidP="00D003DE">
      <w:pPr>
        <w:pStyle w:val="Prrafodelista"/>
        <w:spacing w:before="240" w:after="240" w:line="360" w:lineRule="auto"/>
        <w:ind w:left="0" w:right="48"/>
        <w:jc w:val="both"/>
        <w:rPr>
          <w:rFonts w:ascii="Palatino Linotype" w:eastAsia="MS Mincho" w:hAnsi="Palatino Linotype" w:cs="Arial"/>
          <w:lang w:eastAsia="es-ES"/>
        </w:rPr>
      </w:pPr>
    </w:p>
    <w:p w:rsidR="00D003DE" w:rsidRPr="009B1CF3" w:rsidRDefault="00D003DE" w:rsidP="00D003DE">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9B1CF3">
        <w:rPr>
          <w:rFonts w:ascii="Palatino Linotype" w:eastAsia="MS Mincho" w:hAnsi="Palatino Linotype" w:cs="Arial"/>
          <w:lang w:eastAsia="es-ES"/>
        </w:rPr>
        <w:t>Atento a ello, es importante traer a contexto la Tesis Jurisprudencial Número 3ª./J.7/91, Publicada en el Semanario Judicial de la Federación y su Gaceta bajo el número de registro 174,177, que establece lo siguiente:</w:t>
      </w:r>
    </w:p>
    <w:p w:rsidR="00D003DE" w:rsidRPr="009B1CF3" w:rsidRDefault="00D003DE" w:rsidP="00D003DE">
      <w:pPr>
        <w:pStyle w:val="Prrafodelista"/>
        <w:spacing w:before="240" w:after="240" w:line="360" w:lineRule="auto"/>
        <w:ind w:left="851" w:right="822"/>
        <w:jc w:val="both"/>
        <w:rPr>
          <w:rFonts w:ascii="Palatino Linotype" w:eastAsia="MS Mincho" w:hAnsi="Palatino Linotype" w:cs="Arial"/>
          <w:i/>
          <w:lang w:eastAsia="es-ES"/>
        </w:rPr>
      </w:pPr>
      <w:r w:rsidRPr="009B1CF3">
        <w:rPr>
          <w:rFonts w:ascii="Palatino Linotype" w:eastAsia="MS Mincho" w:hAnsi="Palatino Linotype" w:cs="Arial"/>
          <w:i/>
          <w:lang w:eastAsia="es-ES"/>
        </w:rPr>
        <w:t xml:space="preserve">“REVISIÓN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w:t>
      </w:r>
      <w:r w:rsidRPr="009B1CF3">
        <w:rPr>
          <w:rFonts w:ascii="Palatino Linotype" w:eastAsia="MS Mincho" w:hAnsi="Palatino Linotype" w:cs="Arial"/>
          <w:i/>
          <w:lang w:eastAsia="es-ES"/>
        </w:rPr>
        <w:lastRenderedPageBreak/>
        <w:t>declaración de firmeza debe reflejarse en la parte considerativa y en los resolutivos debe confirmarse la sentencia recurrida en la parte correspondiente.”</w:t>
      </w:r>
    </w:p>
    <w:p w:rsidR="00D003DE" w:rsidRPr="009B1CF3" w:rsidRDefault="00D003DE" w:rsidP="00D003DE">
      <w:pPr>
        <w:numPr>
          <w:ilvl w:val="0"/>
          <w:numId w:val="2"/>
        </w:numPr>
        <w:spacing w:line="360" w:lineRule="auto"/>
        <w:ind w:left="0" w:right="49" w:firstLine="0"/>
        <w:contextualSpacing/>
        <w:jc w:val="both"/>
        <w:rPr>
          <w:rFonts w:ascii="Palatino Linotype" w:eastAsiaTheme="minorEastAsia" w:hAnsi="Palatino Linotype"/>
          <w:lang w:val="es-ES_tradnl" w:eastAsia="es-ES"/>
        </w:rPr>
      </w:pPr>
      <w:r w:rsidRPr="009B1CF3">
        <w:rPr>
          <w:rFonts w:ascii="Palatino Linotype" w:hAnsi="Palatino Linotype" w:cs="Tahoma"/>
          <w:bCs/>
          <w:lang w:eastAsia="es-ES"/>
        </w:rPr>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w:t>
      </w:r>
      <w:r w:rsidRPr="009B1CF3">
        <w:rPr>
          <w:rFonts w:ascii="Palatino Linotype" w:hAnsi="Palatino Linotype" w:cs="Tahoma"/>
          <w:bCs/>
          <w:iCs/>
          <w:lang w:eastAsia="es-ES"/>
        </w:rPr>
        <w:t xml:space="preserve">En este contexto, se hará pronunciamiento, únicamente por la versión pública de la información que se remitió en respuesta. </w:t>
      </w:r>
    </w:p>
    <w:p w:rsidR="00FD1370" w:rsidRPr="009B1CF3" w:rsidRDefault="00FD1370" w:rsidP="00D003DE">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FD1370" w:rsidRPr="009B1CF3" w:rsidRDefault="00D003DE" w:rsidP="00E36FE4">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9B1CF3">
        <w:rPr>
          <w:rFonts w:ascii="Palatino Linotype" w:eastAsia="Palatino Linotype" w:hAnsi="Palatino Linotype" w:cs="Palatino Linotype"/>
        </w:rPr>
        <w:t>Por consiguiente, es de relevante importancia señalar que en los recibos remitidos se testaron datos como el RFC, CURP, número de seguridad social, algunas deducciones como préstamos personales, créditos y descuentos por pensión alimenticia, folio fiscal, sello digital, código QR y cadena original, mismos que se analizan enseguida:</w:t>
      </w:r>
    </w:p>
    <w:p w:rsidR="00266671" w:rsidRPr="009B1CF3" w:rsidRDefault="0053398A" w:rsidP="00266671">
      <w:pPr>
        <w:pStyle w:val="Prrafodelista"/>
        <w:numPr>
          <w:ilvl w:val="0"/>
          <w:numId w:val="14"/>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u w:val="single"/>
        </w:rPr>
        <w:t>RFC</w:t>
      </w:r>
      <w:r w:rsidRPr="009B1CF3">
        <w:rPr>
          <w:rFonts w:ascii="Palatino Linotype" w:eastAsia="Palatino Linotype" w:hAnsi="Palatino Linotype" w:cs="Palatino Linotype"/>
        </w:rPr>
        <w:t>:</w:t>
      </w:r>
      <w:r w:rsidR="00266671" w:rsidRPr="009B1CF3">
        <w:rPr>
          <w:rFonts w:ascii="Palatino Linotype" w:eastAsia="Palatino Linotype" w:hAnsi="Palatino Linotype" w:cs="Palatino Linotype"/>
        </w:rPr>
        <w:t xml:space="preserve"> </w:t>
      </w:r>
      <w:r w:rsidR="00266671" w:rsidRPr="009B1CF3">
        <w:rPr>
          <w:rFonts w:ascii="Palatino Linotype" w:eastAsia="Palatino Linotype" w:hAnsi="Palatino Linotype" w:cs="Palatino Linotype"/>
          <w:color w:val="000000" w:themeColor="text1"/>
        </w:rPr>
        <w:t xml:space="preserve">Por cuanto hace al </w:t>
      </w:r>
      <w:r w:rsidR="00266671" w:rsidRPr="009B1CF3">
        <w:rPr>
          <w:rFonts w:ascii="Palatino Linotype" w:eastAsia="Palatino Linotype" w:hAnsi="Palatino Linotype" w:cs="Palatino Linotype"/>
          <w:b/>
          <w:color w:val="000000" w:themeColor="text1"/>
        </w:rPr>
        <w:t xml:space="preserve">Registro Federal de Contribuyentes (RFC) </w:t>
      </w:r>
      <w:r w:rsidR="00266671" w:rsidRPr="009B1CF3">
        <w:rPr>
          <w:rFonts w:ascii="Palatino Linotype" w:eastAsia="Palatino Linotype" w:hAnsi="Palatino Linotype" w:cs="Palatino Linotype"/>
          <w:color w:val="000000" w:themeColor="text1"/>
        </w:rPr>
        <w:t xml:space="preserve">del empleador, se presenta en el momento en el que se firme su acta o documento constitutivo, a través del fedatario público que protocolice el instrumento constitutivo de que se trate, dentro del mes siguiente a aquél en que se realice la firma del contrato, </w:t>
      </w:r>
      <w:r w:rsidR="00266671" w:rsidRPr="009B1CF3">
        <w:rPr>
          <w:rFonts w:ascii="Palatino Linotype" w:eastAsia="Palatino Linotype" w:hAnsi="Palatino Linotype" w:cs="Palatino Linotype"/>
          <w:b/>
          <w:color w:val="000000" w:themeColor="text1"/>
        </w:rPr>
        <w:t>o la publicación del decreto o del acto jurídico que les dé origen</w:t>
      </w:r>
      <w:r w:rsidR="00266671" w:rsidRPr="009B1CF3">
        <w:rPr>
          <w:rFonts w:ascii="Palatino Linotype" w:eastAsia="Palatino Linotype" w:hAnsi="Palatino Linotype" w:cs="Palatino Linotype"/>
          <w:color w:val="000000" w:themeColor="text1"/>
        </w:rPr>
        <w:t>, para el caso de que no se constituyan ante fedatario público, como es el caso de las entidades públicas.</w:t>
      </w:r>
    </w:p>
    <w:p w:rsidR="00266671" w:rsidRPr="009B1CF3" w:rsidRDefault="00266671" w:rsidP="00266671">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53398A" w:rsidRPr="009B1CF3" w:rsidRDefault="0053398A" w:rsidP="00266671">
      <w:pPr>
        <w:pStyle w:val="Prrafodelista"/>
        <w:numPr>
          <w:ilvl w:val="0"/>
          <w:numId w:val="14"/>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u w:val="single"/>
        </w:rPr>
        <w:t>CURP:</w:t>
      </w:r>
      <w:r w:rsidR="00266671" w:rsidRPr="009B1CF3">
        <w:rPr>
          <w:rFonts w:ascii="Palatino Linotype" w:eastAsia="Palatino Linotype" w:hAnsi="Palatino Linotype" w:cs="Palatino Linotype"/>
        </w:rPr>
        <w:t xml:space="preserve"> </w:t>
      </w:r>
      <w:r w:rsidRPr="009B1CF3">
        <w:rPr>
          <w:rFonts w:ascii="Palatino Linotype" w:eastAsia="Palatino Linotype" w:hAnsi="Palatino Linotype" w:cs="Palatino Linotype"/>
          <w:color w:val="000000"/>
        </w:rPr>
        <w:t>La Clave Única de Registro de Población (CURP)</w:t>
      </w:r>
      <w:r w:rsidR="00266671" w:rsidRPr="009B1CF3">
        <w:rPr>
          <w:rFonts w:ascii="Palatino Linotype" w:eastAsia="Palatino Linotype" w:hAnsi="Palatino Linotype" w:cs="Palatino Linotype"/>
          <w:color w:val="000000"/>
        </w:rPr>
        <w:t>:</w:t>
      </w:r>
      <w:r w:rsidRPr="009B1CF3">
        <w:rPr>
          <w:rFonts w:ascii="Palatino Linotype" w:eastAsia="Palatino Linotype" w:hAnsi="Palatino Linotype" w:cs="Palatino Linotype"/>
          <w:color w:val="000000"/>
        </w:rPr>
        <w:t xml:space="preserve"> según lo establecido en el Instructivo Normativo para la Asignación de la Clave Única de Registro de Población, la CURP es un elemento que permite registrar de forma individual a las o los mexicanos, así como a los extranjeros que se encuentren en condiciones de estancia regular en el país o en trámite de ésta, se integra por dieciocho (18) caracteres.</w:t>
      </w:r>
    </w:p>
    <w:p w:rsidR="0053398A" w:rsidRPr="009B1CF3" w:rsidRDefault="0053398A" w:rsidP="0053398A">
      <w:pPr>
        <w:shd w:val="clear" w:color="auto" w:fill="FFFFFF"/>
        <w:spacing w:before="240" w:after="240" w:line="360" w:lineRule="auto"/>
        <w:ind w:left="720"/>
        <w:jc w:val="both"/>
        <w:rPr>
          <w:rFonts w:ascii="Palatino Linotype" w:hAnsi="Palatino Linotype"/>
          <w:color w:val="222222"/>
        </w:rPr>
      </w:pPr>
      <w:r w:rsidRPr="009B1CF3">
        <w:rPr>
          <w:rFonts w:ascii="Palatino Linotype" w:eastAsia="Palatino Linotype" w:hAnsi="Palatino Linotype" w:cs="Palatino Linotype"/>
          <w:color w:val="000000"/>
        </w:rPr>
        <w:lastRenderedPageBreak/>
        <w:t xml:space="preserve">Es entonces que a partir de los datos básicos de la persona (nombre, apellido, sexo, fecha y lugar de nacimiento) encontrados en los documentos probatorios de identidad es que se genera la CURP, la cual tiene la particularidad de asegurar una correspondencia entre claves y personas. </w:t>
      </w:r>
    </w:p>
    <w:p w:rsidR="0053398A" w:rsidRPr="009B1CF3" w:rsidRDefault="0053398A" w:rsidP="0053398A">
      <w:pPr>
        <w:shd w:val="clear" w:color="auto" w:fill="FFFFFF"/>
        <w:spacing w:before="240" w:after="240" w:line="360" w:lineRule="auto"/>
        <w:ind w:left="720"/>
        <w:jc w:val="both"/>
        <w:rPr>
          <w:rFonts w:ascii="Palatino Linotype" w:hAnsi="Palatino Linotype"/>
          <w:color w:val="222222"/>
        </w:rPr>
      </w:pPr>
      <w:r w:rsidRPr="009B1CF3">
        <w:rPr>
          <w:rFonts w:ascii="Palatino Linotype" w:eastAsia="Palatino Linotype" w:hAnsi="Palatino Linotype" w:cs="Palatino Linotype"/>
          <w:color w:val="000000"/>
        </w:rPr>
        <w:t xml:space="preserve">Entre las características de la CURP, se encuentra: </w:t>
      </w:r>
    </w:p>
    <w:p w:rsidR="0053398A" w:rsidRPr="009B1CF3" w:rsidRDefault="0053398A" w:rsidP="0053398A">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9B1CF3">
        <w:rPr>
          <w:rFonts w:ascii="Palatino Linotype" w:eastAsia="Palatino Linotype" w:hAnsi="Palatino Linotype" w:cs="Palatino Linotype"/>
          <w:b/>
        </w:rPr>
        <w:t xml:space="preserve">Composición. </w:t>
      </w:r>
      <w:r w:rsidRPr="009B1CF3">
        <w:rPr>
          <w:rFonts w:ascii="Palatino Linotype" w:eastAsia="Palatino Linotype" w:hAnsi="Palatino Linotype" w:cs="Palatino Linotype"/>
        </w:rPr>
        <w:t>Alfanumérica.</w:t>
      </w:r>
    </w:p>
    <w:p w:rsidR="0053398A" w:rsidRPr="009B1CF3" w:rsidRDefault="0053398A" w:rsidP="0053398A">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9B1CF3">
        <w:rPr>
          <w:rFonts w:ascii="Palatino Linotype" w:eastAsia="Palatino Linotype" w:hAnsi="Palatino Linotype" w:cs="Palatino Linotype"/>
          <w:b/>
        </w:rPr>
        <w:t xml:space="preserve">Longitud. </w:t>
      </w:r>
      <w:r w:rsidRPr="009B1CF3">
        <w:rPr>
          <w:rFonts w:ascii="Palatino Linotype" w:eastAsia="Palatino Linotype" w:hAnsi="Palatino Linotype" w:cs="Palatino Linotype"/>
        </w:rPr>
        <w:t xml:space="preserve"> 18 caracteres.</w:t>
      </w:r>
    </w:p>
    <w:p w:rsidR="0053398A" w:rsidRPr="009B1CF3" w:rsidRDefault="0053398A" w:rsidP="0053398A">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9B1CF3">
        <w:rPr>
          <w:rFonts w:ascii="Palatino Linotype" w:eastAsia="Palatino Linotype" w:hAnsi="Palatino Linotype" w:cs="Palatino Linotype"/>
          <w:b/>
        </w:rPr>
        <w:t xml:space="preserve">Naturaleza. </w:t>
      </w:r>
      <w:r w:rsidRPr="009B1CF3">
        <w:rPr>
          <w:rFonts w:ascii="Palatino Linotype" w:eastAsia="Palatino Linotype" w:hAnsi="Palatino Linotype" w:cs="Palatino Linotype"/>
        </w:rPr>
        <w:t>Biunívoca.</w:t>
      </w:r>
    </w:p>
    <w:p w:rsidR="0053398A" w:rsidRPr="009B1CF3" w:rsidRDefault="0053398A" w:rsidP="0053398A">
      <w:pPr>
        <w:pStyle w:val="Prrafodelista"/>
        <w:tabs>
          <w:tab w:val="left" w:pos="426"/>
          <w:tab w:val="left" w:pos="567"/>
        </w:tabs>
        <w:spacing w:line="360" w:lineRule="auto"/>
        <w:ind w:left="851" w:right="567"/>
        <w:jc w:val="both"/>
        <w:rPr>
          <w:rFonts w:ascii="Palatino Linotype" w:eastAsia="Palatino Linotype" w:hAnsi="Palatino Linotype" w:cs="Palatino Linotype"/>
        </w:rPr>
      </w:pPr>
      <w:r w:rsidRPr="009B1CF3">
        <w:rPr>
          <w:rFonts w:ascii="Palatino Linotype" w:eastAsia="Palatino Linotype" w:hAnsi="Palatino Linotype" w:cs="Palatino Linotype"/>
          <w:b/>
        </w:rPr>
        <w:t xml:space="preserve">Universalidad. </w:t>
      </w:r>
      <w:r w:rsidRPr="009B1CF3">
        <w:rPr>
          <w:rFonts w:ascii="Palatino Linotype" w:eastAsia="Palatino Linotype" w:hAnsi="Palatino Linotype" w:cs="Palatino Linotype"/>
        </w:rPr>
        <w:t>Se asigna a todas las personas que conforman la población.</w:t>
      </w:r>
    </w:p>
    <w:p w:rsidR="0053398A" w:rsidRPr="009B1CF3" w:rsidRDefault="0053398A" w:rsidP="0053398A">
      <w:pPr>
        <w:pStyle w:val="Prrafodelista"/>
        <w:tabs>
          <w:tab w:val="left" w:pos="426"/>
          <w:tab w:val="left" w:pos="567"/>
        </w:tabs>
        <w:spacing w:line="360" w:lineRule="auto"/>
        <w:ind w:left="851" w:right="567"/>
        <w:jc w:val="both"/>
        <w:rPr>
          <w:rFonts w:ascii="Palatino Linotype" w:eastAsia="Palatino Linotype" w:hAnsi="Palatino Linotype" w:cs="Palatino Linotype"/>
          <w:b/>
        </w:rPr>
      </w:pPr>
      <w:r w:rsidRPr="009B1CF3">
        <w:rPr>
          <w:rFonts w:ascii="Palatino Linotype" w:eastAsia="Palatino Linotype" w:hAnsi="Palatino Linotype" w:cs="Palatino Linotype"/>
          <w:b/>
        </w:rPr>
        <w:t xml:space="preserve">Verificabilidad. En su estructura existen elementos que permiten comprobar si fue conformada correctamente o no, así como fecha de nacimiento, sexo, identificad federativa de nacimiento y las primeras composiciones de la clave, conformadas por la letra inicial y primera vocal interna del primer apellido, la letra inicial del segundo apellido y la primera letra del nombre.  </w:t>
      </w:r>
    </w:p>
    <w:p w:rsidR="0053398A" w:rsidRPr="009B1CF3" w:rsidRDefault="0053398A" w:rsidP="0053398A">
      <w:pPr>
        <w:shd w:val="clear" w:color="auto" w:fill="FFFFFF"/>
        <w:spacing w:before="240" w:after="240" w:line="360" w:lineRule="auto"/>
        <w:ind w:left="720"/>
        <w:jc w:val="both"/>
        <w:rPr>
          <w:rFonts w:ascii="Palatino Linotype" w:hAnsi="Palatino Linotype"/>
          <w:color w:val="222222"/>
        </w:rPr>
      </w:pPr>
      <w:r w:rsidRPr="009B1CF3">
        <w:rPr>
          <w:rFonts w:ascii="Palatino Linotype" w:eastAsia="Palatino Linotype" w:hAnsi="Palatino Linotype" w:cs="Palatino Linotype"/>
          <w:color w:val="000000"/>
        </w:rPr>
        <w:t xml:space="preserve">Del mismo modo, los Lineamientos en comento señalan en su artículo Décimo Tercero, “Manejo de la Información que la información contenida en la Base de Datos Nacional de la Clave Única de Registro de Población (BNDCURP), tiene carácter de confidencial, por lo que su tratamiento debe ser acorde con la legislación aplicable y vigente en materia de transparencia y acceso a la información pública, y protección de datos personales. Es entonces que, de lo anterior, se desprende que la Clave Única de Registro de Población es un dato personal confidencial, ya que por sí releva información personal de su titular, y su exposición únicamente vulneraría la esfera privada del mismo, aunado a que no guarda </w:t>
      </w:r>
      <w:r w:rsidRPr="009B1CF3">
        <w:rPr>
          <w:rFonts w:ascii="Palatino Linotype" w:eastAsia="Palatino Linotype" w:hAnsi="Palatino Linotype" w:cs="Palatino Linotype"/>
          <w:color w:val="000000"/>
        </w:rPr>
        <w:lastRenderedPageBreak/>
        <w:t>relación con el desempeño profesional o laboral de un individuo ni con el ejercicio de recursos públicos.</w:t>
      </w:r>
    </w:p>
    <w:p w:rsidR="0053398A" w:rsidRPr="009B1CF3" w:rsidRDefault="0053398A" w:rsidP="0053398A">
      <w:pPr>
        <w:shd w:val="clear" w:color="auto" w:fill="FFFFFF"/>
        <w:spacing w:before="240" w:after="240" w:line="360" w:lineRule="auto"/>
        <w:ind w:left="720"/>
        <w:jc w:val="both"/>
        <w:rPr>
          <w:rFonts w:ascii="Palatino Linotype" w:hAnsi="Palatino Linotype"/>
          <w:color w:val="222222"/>
        </w:rPr>
      </w:pPr>
      <w:r w:rsidRPr="009B1CF3">
        <w:rPr>
          <w:rFonts w:ascii="Palatino Linotype" w:eastAsia="Palatino Linotype" w:hAnsi="Palatino Linotype" w:cs="Palatino Linotype"/>
          <w:color w:val="000000"/>
        </w:rPr>
        <w:t xml:space="preserve">Ante ello, resulta aplicable el Criterio 18/17 emitido por el Instituto Nacional de Transparencia, Acceso a la Información y Protección de Datos Personales, que a la literalidad señala: </w:t>
      </w:r>
    </w:p>
    <w:p w:rsidR="0053398A" w:rsidRPr="009B1CF3" w:rsidRDefault="0053398A" w:rsidP="0053398A">
      <w:pPr>
        <w:pStyle w:val="Prrafodelista"/>
        <w:pBdr>
          <w:top w:val="nil"/>
          <w:left w:val="nil"/>
          <w:bottom w:val="nil"/>
          <w:right w:val="nil"/>
          <w:between w:val="nil"/>
        </w:pBdr>
        <w:tabs>
          <w:tab w:val="left" w:pos="1134"/>
        </w:tabs>
        <w:spacing w:line="360" w:lineRule="auto"/>
        <w:ind w:left="851" w:right="822"/>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i/>
          <w:color w:val="000000"/>
        </w:rPr>
        <w:t>“</w:t>
      </w:r>
      <w:r w:rsidRPr="009B1CF3">
        <w:rPr>
          <w:rFonts w:ascii="Palatino Linotype" w:eastAsia="Palatino Linotype" w:hAnsi="Palatino Linotype" w:cs="Palatino Linotype"/>
          <w:b/>
          <w:i/>
          <w:color w:val="000000"/>
        </w:rPr>
        <w:t xml:space="preserve">Clave Única de Registro de Población (CURP). </w:t>
      </w:r>
      <w:r w:rsidRPr="009B1CF3">
        <w:rPr>
          <w:rFonts w:ascii="Palatino Linotype" w:eastAsia="Palatino Linotype" w:hAnsi="Palatino Linotype" w:cs="Palatino Linotype"/>
          <w:i/>
          <w:color w:val="000000"/>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w:t>
      </w:r>
    </w:p>
    <w:p w:rsidR="0053398A" w:rsidRPr="009B1CF3" w:rsidRDefault="0053398A" w:rsidP="0053398A">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rPr>
      </w:pPr>
    </w:p>
    <w:p w:rsidR="00266671" w:rsidRPr="009B1CF3" w:rsidRDefault="0053398A" w:rsidP="00266671">
      <w:pPr>
        <w:pStyle w:val="Prrafodelista"/>
        <w:numPr>
          <w:ilvl w:val="0"/>
          <w:numId w:val="14"/>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u w:val="single"/>
        </w:rPr>
        <w:t>Número de Seguridad Social</w:t>
      </w:r>
      <w:r w:rsidRPr="009B1CF3">
        <w:rPr>
          <w:rFonts w:ascii="Palatino Linotype" w:eastAsia="Palatino Linotype" w:hAnsi="Palatino Linotype" w:cs="Palatino Linotype"/>
        </w:rPr>
        <w:t>:</w:t>
      </w:r>
      <w:r w:rsidR="00266671" w:rsidRPr="009B1CF3">
        <w:rPr>
          <w:rFonts w:ascii="Palatino Linotype" w:eastAsia="Palatino Linotype" w:hAnsi="Palatino Linotype" w:cs="Palatino Linotype"/>
        </w:rPr>
        <w:t xml:space="preserve"> </w:t>
      </w:r>
      <w:r w:rsidR="00266671" w:rsidRPr="009B1CF3">
        <w:rPr>
          <w:rFonts w:ascii="Palatino Linotype" w:eastAsia="Palatino Linotype" w:hAnsi="Palatino Linotype" w:cs="Palatino Linotype"/>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rsidR="00266671" w:rsidRPr="009B1CF3" w:rsidRDefault="00266671" w:rsidP="00266671">
      <w:pPr>
        <w:shd w:val="clear" w:color="auto" w:fill="FFFFFF"/>
        <w:spacing w:before="240" w:after="240" w:line="360" w:lineRule="auto"/>
        <w:ind w:left="720"/>
        <w:jc w:val="both"/>
        <w:rPr>
          <w:rFonts w:ascii="Palatino Linotype" w:hAnsi="Palatino Linotype"/>
          <w:color w:val="222222"/>
        </w:rPr>
      </w:pPr>
      <w:r w:rsidRPr="009B1CF3">
        <w:rPr>
          <w:rFonts w:ascii="Palatino Linotype" w:eastAsia="Palatino Linotype" w:hAnsi="Palatino Linotype" w:cs="Palatino Linotype"/>
          <w:color w:val="000000"/>
        </w:rPr>
        <w:t xml:space="preserve">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w:t>
      </w:r>
      <w:r w:rsidRPr="009B1CF3">
        <w:rPr>
          <w:rFonts w:ascii="Palatino Linotype" w:eastAsia="Palatino Linotype" w:hAnsi="Palatino Linotype" w:cs="Palatino Linotype"/>
          <w:color w:val="000000"/>
        </w:rPr>
        <w:lastRenderedPageBreak/>
        <w:t>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rsidR="00266671" w:rsidRPr="009B1CF3" w:rsidRDefault="00266671" w:rsidP="00266671">
      <w:pPr>
        <w:shd w:val="clear" w:color="auto" w:fill="FFFFFF"/>
        <w:spacing w:before="240" w:after="240" w:line="360" w:lineRule="auto"/>
        <w:ind w:left="720"/>
        <w:jc w:val="both"/>
        <w:rPr>
          <w:rFonts w:ascii="Palatino Linotype" w:hAnsi="Palatino Linotype"/>
          <w:color w:val="222222"/>
        </w:rPr>
      </w:pPr>
      <w:r w:rsidRPr="009B1CF3">
        <w:rPr>
          <w:rFonts w:ascii="Palatino Linotype" w:eastAsia="Palatino Linotype" w:hAnsi="Palatino Linotype" w:cs="Palatino Linotype"/>
          <w:color w:val="000000"/>
        </w:rPr>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rsidR="00266671" w:rsidRPr="009B1CF3" w:rsidRDefault="0053398A" w:rsidP="00266671">
      <w:pPr>
        <w:pStyle w:val="Prrafodelista"/>
        <w:numPr>
          <w:ilvl w:val="0"/>
          <w:numId w:val="14"/>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u w:val="single"/>
        </w:rPr>
        <w:t>Deducciones personales</w:t>
      </w:r>
      <w:r w:rsidRPr="009B1CF3">
        <w:rPr>
          <w:rFonts w:ascii="Palatino Linotype" w:eastAsia="Palatino Linotype" w:hAnsi="Palatino Linotype" w:cs="Palatino Linotype"/>
        </w:rPr>
        <w:t>:</w:t>
      </w:r>
      <w:r w:rsidR="00266671" w:rsidRPr="009B1CF3">
        <w:rPr>
          <w:rFonts w:ascii="Palatino Linotype" w:eastAsia="Palatino Linotype" w:hAnsi="Palatino Linotype" w:cs="Palatino Linotype"/>
        </w:rPr>
        <w:t xml:space="preserve"> </w:t>
      </w:r>
      <w:r w:rsidR="00266671" w:rsidRPr="009B1CF3">
        <w:rPr>
          <w:rFonts w:ascii="Palatino Linotype" w:eastAsia="Palatino Linotype" w:hAnsi="Palatino Linotype" w:cs="Palatino Linotype"/>
          <w:color w:val="000000"/>
        </w:rPr>
        <w:t xml:space="preserve">Es necesario precisar que existen deducciones que se generan con motivo de una decisión libre y voluntaria de los servidores públicos, como son: créditos personales, </w:t>
      </w:r>
      <w:r w:rsidR="00266671" w:rsidRPr="009B1CF3">
        <w:rPr>
          <w:rFonts w:ascii="Palatino Linotype" w:eastAsia="Palatino Linotype" w:hAnsi="Palatino Linotype" w:cs="Palatino Linotype"/>
          <w:b/>
          <w:color w:val="000000"/>
          <w:u w:val="single"/>
        </w:rPr>
        <w:t>cuotas sindicales y fondo de resistencia del Sindicato Único de Trabajadores de los Poderes, Municipios e Institución Descentralizadas del Estado de México</w:t>
      </w:r>
      <w:r w:rsidR="00266671" w:rsidRPr="009B1CF3">
        <w:rPr>
          <w:rFonts w:ascii="Palatino Linotype" w:eastAsia="Palatino Linotype" w:hAnsi="Palatino Linotype" w:cs="Palatino Linotype"/>
          <w:color w:val="000000"/>
        </w:rPr>
        <w:t xml:space="preserve">, seguro de vida, accidentes y enfermedades. Asimismo, hay otras que se generan con motivo de una sentencia judicial, como es la </w:t>
      </w:r>
      <w:r w:rsidR="00266671" w:rsidRPr="009B1CF3">
        <w:rPr>
          <w:rFonts w:ascii="Palatino Linotype" w:eastAsia="Palatino Linotype" w:hAnsi="Palatino Linotype" w:cs="Palatino Linotype"/>
          <w:b/>
          <w:color w:val="000000"/>
        </w:rPr>
        <w:t>pensión alimenticia</w:t>
      </w:r>
      <w:r w:rsidR="00266671" w:rsidRPr="009B1CF3">
        <w:rPr>
          <w:rFonts w:ascii="Palatino Linotype" w:eastAsia="Palatino Linotype" w:hAnsi="Palatino Linotype" w:cs="Palatino Linotype"/>
          <w:color w:val="000000"/>
        </w:rPr>
        <w:t xml:space="preserve"> que periódicamente se retira de la cuenta de un empleado, a efecto de que sea entregado a un tercero.  En consecuencia, este tipo de deducciones son fruto de decisiones que impactan en el patrimonio de un servidor público con la finalidad de obtener un beneficio conforme a la decisión de un trabajador, mismas que no implican la entrega de recursos con cargo al erario, y tampoco reflejan el ejercicio de una prestación; por el contrario, en dichos casos se trata del libre ejercicio del servidor público para disponer de un ingreso que forma parte de su patrimonio. Así, dichas deducciones reflejan el destino que un servidor público da a su patrimonio, lo que se aleja de la transparencia y rendición de cuentas.</w:t>
      </w:r>
      <w:bookmarkStart w:id="7" w:name="_heading=h.1ksv4uv" w:colFirst="0" w:colLast="0"/>
      <w:bookmarkEnd w:id="7"/>
    </w:p>
    <w:p w:rsidR="0053398A" w:rsidRPr="009B1CF3" w:rsidRDefault="0053398A" w:rsidP="0053398A">
      <w:pPr>
        <w:pStyle w:val="Prrafodelista"/>
        <w:numPr>
          <w:ilvl w:val="0"/>
          <w:numId w:val="14"/>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u w:val="single"/>
        </w:rPr>
        <w:lastRenderedPageBreak/>
        <w:t>Folio fiscal</w:t>
      </w:r>
      <w:r w:rsidRPr="009B1CF3">
        <w:rPr>
          <w:rFonts w:ascii="Palatino Linotype" w:eastAsia="Palatino Linotype" w:hAnsi="Palatino Linotype" w:cs="Palatino Linotype"/>
          <w:b/>
        </w:rPr>
        <w:t>:</w:t>
      </w:r>
      <w:r w:rsidRPr="009B1CF3">
        <w:rPr>
          <w:rFonts w:ascii="Palatino Linotype" w:eastAsia="Palatino Linotype" w:hAnsi="Palatino Linotype" w:cs="Palatino Linotype"/>
        </w:rPr>
        <w:t xml:space="preserve"> </w:t>
      </w:r>
      <w:r w:rsidRPr="009B1CF3">
        <w:rPr>
          <w:rFonts w:ascii="Palatino Linotype" w:eastAsia="Palatino Linotype" w:hAnsi="Palatino Linotype" w:cs="Palatino Linotype"/>
          <w:color w:val="000000" w:themeColor="text1"/>
        </w:rPr>
        <w:t xml:space="preserve">Por cuanto hace </w:t>
      </w:r>
      <w:r w:rsidRPr="009B1CF3">
        <w:rPr>
          <w:rFonts w:ascii="Palatino Linotype" w:eastAsia="Palatino Linotype" w:hAnsi="Palatino Linotype" w:cs="Palatino Linotype"/>
          <w:b/>
          <w:color w:val="000000" w:themeColor="text1"/>
        </w:rPr>
        <w:t>al Folio Fiscal</w:t>
      </w:r>
      <w:r w:rsidRPr="009B1CF3">
        <w:rPr>
          <w:rFonts w:ascii="Palatino Linotype" w:eastAsia="Palatino Linotype" w:hAnsi="Palatino Linotype" w:cs="Palatino Linotype"/>
          <w:color w:val="000000" w:themeColor="text1"/>
        </w:rPr>
        <w:t>, cabe precisar que conforme a la Resolución Miscelánea Fiscal para 2025, el folio fiscal es un dato que deben contener los CDFI por concepto de nómina. Dicho dato es un identificador individual de cada factura o comprobante electrónico. El objetivo del Folio es prevenir los fraudes o falsificaciones, ya que contiene códigos o claves únicas de cada comprobante fiscal, de tal manera que se puede comprobar si la factura fue certificada por el SAT. El Folio Fiscal está compuesto por 32 dígitos hexadecimales, mostrados en 5 grupos separados por guiones. La Guía de llenado del comprobante del recibo de pago de nómina y su complemento Aplicable para la versión 4.0 del CFDI y el complemento de nómina versión 1.2. muestra la Representación gráfica del CFDI por concepto de nómina en donde se aprecia el Folio Fiscal:</w:t>
      </w:r>
    </w:p>
    <w:p w:rsidR="0053398A" w:rsidRPr="009B1CF3" w:rsidRDefault="0053398A" w:rsidP="0053398A">
      <w:pPr>
        <w:jc w:val="center"/>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noProof/>
          <w:color w:val="000000" w:themeColor="text1"/>
        </w:rPr>
        <w:drawing>
          <wp:inline distT="0" distB="0" distL="0" distR="0" wp14:anchorId="3867B207" wp14:editId="7D2584FD">
            <wp:extent cx="4513132" cy="815998"/>
            <wp:effectExtent l="0" t="0" r="0" b="0"/>
            <wp:docPr id="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513132" cy="815998"/>
                    </a:xfrm>
                    <a:prstGeom prst="rect">
                      <a:avLst/>
                    </a:prstGeom>
                    <a:ln/>
                  </pic:spPr>
                </pic:pic>
              </a:graphicData>
            </a:graphic>
          </wp:inline>
        </w:drawing>
      </w:r>
    </w:p>
    <w:p w:rsidR="0053398A" w:rsidRPr="009B1CF3" w:rsidRDefault="0053398A" w:rsidP="0053398A">
      <w:pPr>
        <w:jc w:val="center"/>
        <w:rPr>
          <w:rFonts w:ascii="Palatino Linotype" w:eastAsia="Palatino Linotype" w:hAnsi="Palatino Linotype" w:cs="Palatino Linotype"/>
          <w:color w:val="000000" w:themeColor="text1"/>
        </w:rPr>
      </w:pPr>
    </w:p>
    <w:p w:rsidR="0053398A" w:rsidRPr="009B1CF3" w:rsidRDefault="0053398A" w:rsidP="0053398A">
      <w:pPr>
        <w:spacing w:line="360" w:lineRule="auto"/>
        <w:ind w:left="720"/>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color w:val="000000" w:themeColor="text1"/>
        </w:rPr>
        <w:t>El Anexo 20 Guía de llenado de los comprobantes fiscales digitales por Internet, actualizado al 08 de marzo del 2023, señala que se debe registrar el folio fiscal (UUID) de un comprobante fiscal relacionado con el presente comprobante. Ejemplo: UUID= 5FB2822E-396D-4725-8521-CDC4BDD20CCF. En ese contexto, el folio fiscal, no contiene datos personales y tampoco se puede obtener información confidencial con el mismo, pues solamente es un identificador del emisor, del cual su transparencia ayuda a legitimar que el documento cumple con todos los requisitos establecidos en la normatividad aplicable, sin necesidad de algún dato personal, por lo que, no se actualiza la clasificación, en términos del artículo 143, fracción I de la Ley de la materia.</w:t>
      </w:r>
    </w:p>
    <w:p w:rsidR="0053398A" w:rsidRPr="009B1CF3" w:rsidRDefault="0053398A" w:rsidP="0053398A">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53398A" w:rsidRPr="009B1CF3" w:rsidRDefault="0053398A" w:rsidP="0053398A">
      <w:pPr>
        <w:pStyle w:val="Prrafodelista"/>
        <w:numPr>
          <w:ilvl w:val="0"/>
          <w:numId w:val="14"/>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u w:val="single"/>
        </w:rPr>
        <w:lastRenderedPageBreak/>
        <w:t>Sello digital y cadena original</w:t>
      </w:r>
      <w:r w:rsidRPr="009B1CF3">
        <w:rPr>
          <w:rFonts w:ascii="Palatino Linotype" w:eastAsia="Palatino Linotype" w:hAnsi="Palatino Linotype" w:cs="Palatino Linotype"/>
        </w:rPr>
        <w:t xml:space="preserve">: </w:t>
      </w:r>
      <w:r w:rsidRPr="009B1CF3">
        <w:rPr>
          <w:rFonts w:ascii="Palatino Linotype" w:eastAsia="Palatino Linotype" w:hAnsi="Palatino Linotype" w:cs="Palatino Linotype"/>
          <w:color w:val="000000" w:themeColor="text1"/>
        </w:rPr>
        <w:t>En esa línea de estudio,</w:t>
      </w:r>
      <w:r w:rsidRPr="009B1CF3">
        <w:rPr>
          <w:rFonts w:ascii="Palatino Linotype" w:eastAsia="Palatino Linotype" w:hAnsi="Palatino Linotype" w:cs="Palatino Linotype"/>
          <w:b/>
          <w:color w:val="000000" w:themeColor="text1"/>
        </w:rPr>
        <w:t xml:space="preserve"> las cadenas originales y sellos digitales</w:t>
      </w:r>
      <w:r w:rsidRPr="009B1CF3">
        <w:rPr>
          <w:rFonts w:ascii="Palatino Linotype" w:eastAsia="Palatino Linotype" w:hAnsi="Palatino Linotype" w:cs="Palatino Linotype"/>
          <w:color w:val="000000" w:themeColor="text1"/>
        </w:rPr>
        <w:t>, tienen una secuencia de generación, determinados con base en el Anexo 20 de la Resolución Miscelánea Fiscal para 2022, que precisa los datos de los que se componen los elementos de seguridad y se puntualiza que dicha información está encriptada.</w:t>
      </w:r>
    </w:p>
    <w:p w:rsidR="0053398A" w:rsidRPr="009B1CF3" w:rsidRDefault="0053398A" w:rsidP="0053398A">
      <w:pPr>
        <w:ind w:left="709"/>
        <w:jc w:val="both"/>
        <w:rPr>
          <w:rFonts w:ascii="Palatino Linotype" w:eastAsia="Palatino Linotype" w:hAnsi="Palatino Linotype" w:cs="Palatino Linotype"/>
          <w:i/>
          <w:color w:val="000000" w:themeColor="text1"/>
        </w:rPr>
      </w:pPr>
      <w:r w:rsidRPr="009B1CF3">
        <w:rPr>
          <w:rFonts w:ascii="Palatino Linotype" w:eastAsia="Palatino Linotype" w:hAnsi="Palatino Linotype" w:cs="Palatino Linotype"/>
          <w:i/>
          <w:color w:val="000000" w:themeColor="text1"/>
        </w:rPr>
        <w:t>“Elementos utilizados en la generación de Sellos Digitales:</w:t>
      </w:r>
    </w:p>
    <w:p w:rsidR="0053398A" w:rsidRPr="009B1CF3" w:rsidRDefault="0053398A" w:rsidP="0053398A">
      <w:pPr>
        <w:ind w:left="709"/>
        <w:jc w:val="both"/>
        <w:rPr>
          <w:rFonts w:ascii="Palatino Linotype" w:eastAsia="Palatino Linotype" w:hAnsi="Palatino Linotype" w:cs="Palatino Linotype"/>
          <w:i/>
          <w:color w:val="000000" w:themeColor="text1"/>
        </w:rPr>
      </w:pPr>
      <w:r w:rsidRPr="009B1CF3">
        <w:rPr>
          <w:rFonts w:ascii="Palatino Linotype" w:eastAsia="Palatino Linotype" w:hAnsi="Palatino Linotype" w:cs="Palatino Linotype"/>
          <w:i/>
          <w:color w:val="000000" w:themeColor="text1"/>
        </w:rPr>
        <w:tab/>
        <w:t>Cadena Original del elemento a sellar.</w:t>
      </w:r>
    </w:p>
    <w:p w:rsidR="0053398A" w:rsidRPr="009B1CF3" w:rsidRDefault="0053398A" w:rsidP="0053398A">
      <w:pPr>
        <w:ind w:left="709"/>
        <w:jc w:val="both"/>
        <w:rPr>
          <w:rFonts w:ascii="Palatino Linotype" w:eastAsia="Palatino Linotype" w:hAnsi="Palatino Linotype" w:cs="Palatino Linotype"/>
          <w:i/>
          <w:color w:val="000000" w:themeColor="text1"/>
        </w:rPr>
      </w:pPr>
      <w:r w:rsidRPr="009B1CF3">
        <w:rPr>
          <w:rFonts w:ascii="Palatino Linotype" w:eastAsia="Palatino Linotype" w:hAnsi="Palatino Linotype" w:cs="Palatino Linotype"/>
          <w:i/>
          <w:color w:val="000000" w:themeColor="text1"/>
        </w:rPr>
        <w:t>Certificado de Sello Digital y su correspondiente clave privada.</w:t>
      </w:r>
    </w:p>
    <w:p w:rsidR="0053398A" w:rsidRPr="009B1CF3" w:rsidRDefault="0053398A" w:rsidP="0053398A">
      <w:pPr>
        <w:ind w:left="709"/>
        <w:jc w:val="both"/>
        <w:rPr>
          <w:rFonts w:ascii="Palatino Linotype" w:eastAsia="Palatino Linotype" w:hAnsi="Palatino Linotype" w:cs="Palatino Linotype"/>
          <w:i/>
          <w:color w:val="000000" w:themeColor="text1"/>
        </w:rPr>
      </w:pPr>
      <w:r w:rsidRPr="009B1CF3">
        <w:rPr>
          <w:rFonts w:ascii="Palatino Linotype" w:eastAsia="Palatino Linotype" w:hAnsi="Palatino Linotype" w:cs="Palatino Linotype"/>
          <w:i/>
          <w:color w:val="000000" w:themeColor="text1"/>
        </w:rPr>
        <w:t>Algoritmos de criptografía de clave pública para firma electrónica avanzada.</w:t>
      </w:r>
    </w:p>
    <w:p w:rsidR="0053398A" w:rsidRPr="009B1CF3" w:rsidRDefault="0053398A" w:rsidP="0053398A">
      <w:pPr>
        <w:ind w:left="709"/>
        <w:jc w:val="both"/>
        <w:rPr>
          <w:rFonts w:ascii="Palatino Linotype" w:eastAsia="Palatino Linotype" w:hAnsi="Palatino Linotype" w:cs="Palatino Linotype"/>
          <w:i/>
          <w:color w:val="000000" w:themeColor="text1"/>
        </w:rPr>
      </w:pPr>
      <w:r w:rsidRPr="009B1CF3">
        <w:rPr>
          <w:rFonts w:ascii="Palatino Linotype" w:eastAsia="Palatino Linotype" w:hAnsi="Palatino Linotype" w:cs="Palatino Linotype"/>
          <w:i/>
          <w:color w:val="000000" w:themeColor="text1"/>
        </w:rPr>
        <w:t>•Especificaciones de conversión de la firma electrónica avanzada a Base 64.</w:t>
      </w:r>
    </w:p>
    <w:p w:rsidR="0053398A" w:rsidRPr="009B1CF3" w:rsidRDefault="0053398A" w:rsidP="0053398A">
      <w:pPr>
        <w:ind w:left="709"/>
        <w:jc w:val="both"/>
        <w:rPr>
          <w:rFonts w:ascii="Palatino Linotype" w:eastAsia="Palatino Linotype" w:hAnsi="Palatino Linotype" w:cs="Palatino Linotype"/>
          <w:i/>
          <w:color w:val="000000" w:themeColor="text1"/>
        </w:rPr>
      </w:pPr>
      <w:r w:rsidRPr="009B1CF3">
        <w:rPr>
          <w:rFonts w:ascii="Palatino Linotype" w:eastAsia="Palatino Linotype" w:hAnsi="Palatino Linotype" w:cs="Palatino Linotype"/>
          <w:i/>
          <w:color w:val="000000" w:themeColor="text1"/>
        </w:rPr>
        <w:t>Para la generación de sellos digitales se utiliza criptografía de clave pública aplicada a una cadena original.</w:t>
      </w:r>
    </w:p>
    <w:p w:rsidR="0053398A" w:rsidRPr="009B1CF3" w:rsidRDefault="0053398A" w:rsidP="0053398A">
      <w:pPr>
        <w:ind w:left="709"/>
        <w:jc w:val="both"/>
        <w:rPr>
          <w:rFonts w:ascii="Palatino Linotype" w:eastAsia="Palatino Linotype" w:hAnsi="Palatino Linotype" w:cs="Palatino Linotype"/>
          <w:b/>
          <w:i/>
          <w:color w:val="000000" w:themeColor="text1"/>
        </w:rPr>
      </w:pPr>
      <w:r w:rsidRPr="009B1CF3">
        <w:rPr>
          <w:rFonts w:ascii="Palatino Linotype" w:eastAsia="Palatino Linotype" w:hAnsi="Palatino Linotype" w:cs="Palatino Linotype"/>
          <w:b/>
          <w:i/>
          <w:color w:val="000000" w:themeColor="text1"/>
        </w:rPr>
        <w:t>Criptografía de la Clave Pública</w:t>
      </w:r>
    </w:p>
    <w:p w:rsidR="0053398A" w:rsidRPr="009B1CF3" w:rsidRDefault="0053398A" w:rsidP="0053398A">
      <w:pPr>
        <w:ind w:left="709"/>
        <w:jc w:val="both"/>
        <w:rPr>
          <w:rFonts w:ascii="Palatino Linotype" w:eastAsia="Palatino Linotype" w:hAnsi="Palatino Linotype" w:cs="Palatino Linotype"/>
          <w:i/>
          <w:color w:val="000000" w:themeColor="text1"/>
        </w:rPr>
      </w:pPr>
      <w:r w:rsidRPr="009B1CF3">
        <w:rPr>
          <w:rFonts w:ascii="Palatino Linotype" w:eastAsia="Palatino Linotype" w:hAnsi="Palatino Linotype" w:cs="Palatino Linotype"/>
          <w:i/>
          <w:color w:val="000000" w:themeColor="text1"/>
        </w:rPr>
        <w:t>La criptografía de Clave Pública se basa en la generación de una pareja de números muy grandes relacionados entre sí, de tal manera que una operación de encripción sobre un mensaje tomando como clave de encripción a uno de los dos números, produce un mensaje alterado en su significado que sólo puede ser devuelto a su estado original mediante la operación de desencripción correspondiente tomando como clave de desencripción al otro número de la pareja.”</w:t>
      </w:r>
    </w:p>
    <w:p w:rsidR="0053398A" w:rsidRPr="009B1CF3" w:rsidRDefault="0053398A" w:rsidP="0053398A">
      <w:pPr>
        <w:ind w:left="709"/>
        <w:jc w:val="both"/>
        <w:rPr>
          <w:rFonts w:ascii="Palatino Linotype" w:eastAsia="Palatino Linotype" w:hAnsi="Palatino Linotype" w:cs="Palatino Linotype"/>
          <w:i/>
          <w:color w:val="000000" w:themeColor="text1"/>
        </w:rPr>
      </w:pP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color w:val="000000" w:themeColor="text1"/>
        </w:rPr>
        <w:t xml:space="preserve">Es decir, por sí solos </w:t>
      </w:r>
      <w:r w:rsidRPr="009B1CF3">
        <w:rPr>
          <w:rFonts w:ascii="Palatino Linotype" w:eastAsia="Palatino Linotype" w:hAnsi="Palatino Linotype" w:cs="Palatino Linotype"/>
          <w:b/>
          <w:color w:val="000000" w:themeColor="text1"/>
        </w:rPr>
        <w:t>las cadenas originales y los sellos originales no contienen datos personales confidenciales</w:t>
      </w:r>
      <w:r w:rsidRPr="009B1CF3">
        <w:rPr>
          <w:rFonts w:ascii="Palatino Linotype" w:eastAsia="Palatino Linotype" w:hAnsi="Palatino Linotype" w:cs="Palatino Linotype"/>
          <w:color w:val="000000" w:themeColor="text1"/>
        </w:rPr>
        <w:t>, por lo que se considera que no actualizan el supuesto de confidencialidad previsto en el artículo 143, fracción I, de la Ley de Transparencia y Acceso a la Información Pública del Estado de México y Municipios y, por el contrario, son información que permite corroborar la legitimidad de la factura, de ser el caso, por lo que guardan el carácter de público.</w:t>
      </w:r>
    </w:p>
    <w:p w:rsidR="0053398A" w:rsidRPr="009B1CF3" w:rsidRDefault="0053398A" w:rsidP="0053398A">
      <w:pPr>
        <w:pBdr>
          <w:top w:val="nil"/>
          <w:left w:val="nil"/>
          <w:bottom w:val="nil"/>
          <w:right w:val="nil"/>
          <w:between w:val="nil"/>
        </w:pBdr>
        <w:spacing w:line="360" w:lineRule="auto"/>
        <w:ind w:left="709"/>
        <w:jc w:val="both"/>
        <w:rPr>
          <w:rFonts w:ascii="Palatino Linotype" w:eastAsia="Palatino Linotype" w:hAnsi="Palatino Linotype" w:cs="Palatino Linotype"/>
          <w:color w:val="000000" w:themeColor="text1"/>
        </w:rPr>
      </w:pP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color w:val="000000" w:themeColor="text1"/>
        </w:rPr>
        <w:t xml:space="preserve">Cabe señalar que, en algunos casos, las cadenas originales y sellos digitales, se pueden conformar de datos confidenciales, tales como el Registro Federal de Contribuyentes o la Clave Única de Registro de Población o las deducciones personales; por lo que, en su caso </w:t>
      </w:r>
      <w:r w:rsidRPr="009B1CF3">
        <w:rPr>
          <w:rFonts w:ascii="Palatino Linotype" w:eastAsia="Palatino Linotype" w:hAnsi="Palatino Linotype" w:cs="Palatino Linotype"/>
          <w:color w:val="000000" w:themeColor="text1"/>
        </w:rPr>
        <w:lastRenderedPageBreak/>
        <w:t>actualizarán actualiza la clasificación, en términos del artículo 143, fracción I, de la Ley de la materia.</w:t>
      </w: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color w:val="000000" w:themeColor="text1"/>
        </w:rPr>
        <w:t xml:space="preserve">Por otra parte, por lo que hace al </w:t>
      </w:r>
      <w:r w:rsidRPr="009B1CF3">
        <w:rPr>
          <w:rFonts w:ascii="Palatino Linotype" w:eastAsia="Palatino Linotype" w:hAnsi="Palatino Linotype" w:cs="Palatino Linotype"/>
          <w:b/>
          <w:color w:val="000000" w:themeColor="text1"/>
        </w:rPr>
        <w:t>número de serie de los certificados de Sello Digitales del emisor y del Servicio de Administración Tributaria</w:t>
      </w:r>
      <w:r w:rsidRPr="009B1CF3">
        <w:rPr>
          <w:rFonts w:ascii="Palatino Linotype" w:eastAsia="Palatino Linotype" w:hAnsi="Palatino Linotype" w:cs="Palatino Linotype"/>
          <w:color w:val="000000" w:themeColor="text1"/>
        </w:rPr>
        <w:t>, el Anexo 20 de la Resolución Miscelánea Fiscal para 2022, precisa que es un atributo requerido para expresar el número de serie del certificado de sello digital que ampara al comprobante, de acuerdo con el acuse correspondiente a 20 posiciones otorgado por el sistema del SAT.</w:t>
      </w: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color w:val="000000" w:themeColor="text1"/>
        </w:rPr>
        <w:t xml:space="preserve">Cómo se logra observar, </w:t>
      </w:r>
      <w:r w:rsidRPr="009B1CF3">
        <w:rPr>
          <w:rFonts w:ascii="Palatino Linotype" w:eastAsia="Palatino Linotype" w:hAnsi="Palatino Linotype" w:cs="Palatino Linotype"/>
          <w:b/>
          <w:color w:val="000000" w:themeColor="text1"/>
        </w:rPr>
        <w:t>los números de serie del certificado de sello digital no contiene datos personales</w:t>
      </w:r>
      <w:r w:rsidRPr="009B1CF3">
        <w:rPr>
          <w:rFonts w:ascii="Palatino Linotype" w:eastAsia="Palatino Linotype" w:hAnsi="Palatino Linotype" w:cs="Palatino Linotype"/>
          <w:color w:val="000000" w:themeColor="text1"/>
        </w:rPr>
        <w:t xml:space="preserve"> y con dichos dígitos tampoco se puede obtener información de carácter confidencial, por lo que, tampoco actualizan la causal de clasificación, establecida en el artículo 143, fracción I, de la Ley de Transparencia y Acceso a la Información Pública del Estado de México y Municipios. Máxime que permite corroborar la legitimidad a la factura, pues amparan la utilización de los certificados de sellos digitales válidos.</w:t>
      </w:r>
    </w:p>
    <w:p w:rsidR="0053398A" w:rsidRPr="009B1CF3" w:rsidRDefault="0053398A" w:rsidP="0053398A">
      <w:pPr>
        <w:pBdr>
          <w:top w:val="nil"/>
          <w:left w:val="nil"/>
          <w:bottom w:val="nil"/>
          <w:right w:val="nil"/>
          <w:between w:val="nil"/>
        </w:pBdr>
        <w:ind w:left="709"/>
        <w:rPr>
          <w:rFonts w:ascii="Palatino Linotype" w:eastAsia="Palatino Linotype" w:hAnsi="Palatino Linotype" w:cs="Palatino Linotype"/>
          <w:color w:val="000000" w:themeColor="text1"/>
        </w:rPr>
      </w:pPr>
    </w:p>
    <w:p w:rsidR="0053398A" w:rsidRPr="009B1CF3" w:rsidRDefault="0053398A" w:rsidP="0053398A">
      <w:pPr>
        <w:pStyle w:val="Prrafodelista"/>
        <w:numPr>
          <w:ilvl w:val="0"/>
          <w:numId w:val="12"/>
        </w:numPr>
        <w:pBdr>
          <w:top w:val="nil"/>
          <w:left w:val="nil"/>
          <w:bottom w:val="nil"/>
          <w:right w:val="nil"/>
          <w:between w:val="nil"/>
        </w:pBdr>
        <w:spacing w:line="360" w:lineRule="auto"/>
        <w:ind w:left="709" w:firstLine="0"/>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b/>
          <w:color w:val="000000" w:themeColor="text1"/>
        </w:rPr>
        <w:t>Número de serie y folio interno</w:t>
      </w: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color w:val="000000" w:themeColor="text1"/>
        </w:rPr>
        <w:t xml:space="preserve">Ahora bien, por lo que hace al </w:t>
      </w:r>
      <w:r w:rsidRPr="009B1CF3">
        <w:rPr>
          <w:rFonts w:ascii="Palatino Linotype" w:eastAsia="Palatino Linotype" w:hAnsi="Palatino Linotype" w:cs="Palatino Linotype"/>
          <w:b/>
          <w:color w:val="000000" w:themeColor="text1"/>
        </w:rPr>
        <w:t>número de serie y folio interno</w:t>
      </w:r>
      <w:r w:rsidRPr="009B1CF3">
        <w:rPr>
          <w:rFonts w:ascii="Palatino Linotype" w:eastAsia="Palatino Linotype" w:hAnsi="Palatino Linotype" w:cs="Palatino Linotype"/>
          <w:color w:val="000000" w:themeColor="text1"/>
        </w:rPr>
        <w:t>, la Guía de llenado del CFDI global versión 4.0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p>
    <w:p w:rsidR="0053398A" w:rsidRPr="009B1CF3" w:rsidRDefault="0053398A" w:rsidP="0053398A">
      <w:pPr>
        <w:pStyle w:val="Prrafodelista"/>
        <w:numPr>
          <w:ilvl w:val="0"/>
          <w:numId w:val="12"/>
        </w:numPr>
        <w:pBdr>
          <w:top w:val="nil"/>
          <w:left w:val="nil"/>
          <w:bottom w:val="nil"/>
          <w:right w:val="nil"/>
          <w:between w:val="nil"/>
        </w:pBdr>
        <w:spacing w:line="360" w:lineRule="auto"/>
        <w:ind w:left="709" w:firstLine="0"/>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b/>
          <w:color w:val="000000" w:themeColor="text1"/>
        </w:rPr>
        <w:t>Fecha y lugar de emisión y certificación</w:t>
      </w: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color w:val="000000" w:themeColor="text1"/>
        </w:rPr>
        <w:t xml:space="preserve">Además, por lo que hace a la </w:t>
      </w:r>
      <w:r w:rsidRPr="009B1CF3">
        <w:rPr>
          <w:rFonts w:ascii="Palatino Linotype" w:eastAsia="Palatino Linotype" w:hAnsi="Palatino Linotype" w:cs="Palatino Linotype"/>
          <w:b/>
          <w:color w:val="000000" w:themeColor="text1"/>
        </w:rPr>
        <w:t>fecha y lugar de emisión y certificación</w:t>
      </w:r>
      <w:r w:rsidRPr="009B1CF3">
        <w:rPr>
          <w:rFonts w:ascii="Palatino Linotype" w:eastAsia="Palatino Linotype" w:hAnsi="Palatino Linotype" w:cs="Palatino Linotype"/>
          <w:color w:val="000000" w:themeColor="text1"/>
        </w:rPr>
        <w:t>, la Guía de llenado del CFDI global versión 4.0 del CFDI, previamente referida, establece que los datos mencionados corresponden a la fecha y hora de emisión y certificación del comprobante fiscal, los cuales se expresan de la siguiente manera: AAAA-MM-DDThh:mm:ss.</w:t>
      </w: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color w:val="000000" w:themeColor="text1"/>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p>
    <w:p w:rsidR="0053398A" w:rsidRPr="009B1CF3" w:rsidRDefault="0053398A" w:rsidP="0053398A">
      <w:pPr>
        <w:spacing w:line="360" w:lineRule="auto"/>
        <w:ind w:left="709"/>
        <w:jc w:val="both"/>
        <w:rPr>
          <w:rFonts w:ascii="Palatino Linotype" w:eastAsia="Palatino Linotype" w:hAnsi="Palatino Linotype" w:cs="Palatino Linotype"/>
          <w:color w:val="000000" w:themeColor="text1"/>
        </w:rPr>
      </w:pPr>
      <w:r w:rsidRPr="009B1CF3">
        <w:rPr>
          <w:rFonts w:ascii="Palatino Linotype" w:eastAsia="Palatino Linotype" w:hAnsi="Palatino Linotype" w:cs="Palatino Linotype"/>
          <w:color w:val="000000" w:themeColor="text1"/>
        </w:rPr>
        <w:t>Conforme a lo anterior, se logra observar que el lugar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rsidR="0053398A" w:rsidRPr="009B1CF3" w:rsidRDefault="0053398A" w:rsidP="0053398A">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53398A" w:rsidRPr="009B1CF3" w:rsidRDefault="0053398A" w:rsidP="0053398A">
      <w:pPr>
        <w:pStyle w:val="Prrafodelista"/>
        <w:numPr>
          <w:ilvl w:val="0"/>
          <w:numId w:val="14"/>
        </w:num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u w:val="single"/>
        </w:rPr>
        <w:t>Código QR</w:t>
      </w:r>
      <w:r w:rsidRPr="009B1CF3">
        <w:rPr>
          <w:rFonts w:ascii="Palatino Linotype" w:eastAsia="Palatino Linotype" w:hAnsi="Palatino Linotype" w:cs="Palatino Linotype"/>
          <w:b/>
        </w:rPr>
        <w:t>:</w:t>
      </w:r>
      <w:r w:rsidRPr="009B1CF3">
        <w:rPr>
          <w:rFonts w:ascii="Palatino Linotype" w:eastAsia="Palatino Linotype" w:hAnsi="Palatino Linotype" w:cs="Palatino Linotype"/>
        </w:rPr>
        <w:t xml:space="preserve"> Resulta necesario señalar que los comprobantes fiscales digitales por Internet, deben de incluir un código bidimensional conforme al formato QR Code (Quick Response Code), el cual contiene el Registro Federal de Contribuyentes del receptor, del emisor, o de ambos; lo anterior, conforme al Anexo 20 de la Resolución Miscelánea Fiscal para 2022, localizada en la página electrónica  </w:t>
      </w:r>
      <w:r w:rsidRPr="009B1CF3">
        <w:rPr>
          <w:rFonts w:ascii="Palatino Linotype" w:eastAsia="Palatino Linotype" w:hAnsi="Palatino Linotype" w:cs="Palatino Linotype"/>
        </w:rPr>
        <w:lastRenderedPageBreak/>
        <w:t>http://omawww.sat.gob.mx/tramitesyservicios/paginas/documentos/anexo20_2022.pdf . Incluso con la captura de dicho código, a través de la aplicación móvil del Servicio de Administración Tributaria, permite el acceso al Registro Federal de Contribuyentes, como del Sujeto Obligado, como de la persona física o moral correspondiente. De tales circunstancias, se considera que se actualiza la causal de clasificación prevista en el artículo 143, fracción I de la Ley de la materia, toda vez que el Registro Federal de Contribuyentes corresponde a los servidores públicos, pues como se señaló en párrafos anteriores el mismo hace identificable o identificada al mismo.</w:t>
      </w:r>
    </w:p>
    <w:p w:rsidR="0053398A" w:rsidRPr="009B1CF3" w:rsidRDefault="0053398A" w:rsidP="0053398A">
      <w:pPr>
        <w:pStyle w:val="Prrafodelista"/>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FD1370" w:rsidRPr="009B1CF3" w:rsidRDefault="00266671" w:rsidP="00E36FE4">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9B1CF3">
        <w:rPr>
          <w:rFonts w:ascii="Palatino Linotype" w:eastAsia="Palatino Linotype" w:hAnsi="Palatino Linotype" w:cs="Palatino Linotype"/>
        </w:rPr>
        <w:t>Como se advierte, algunos de los datos testados son de naturaleza pública, razón por la cual, no se puede dar por colmado el derecho de acceso a la información pública del Recurrente. Por otra parte, se dejaron a la vista datos confidenciales, como las deducciones personales en las que, si bien, se testó el monto de la deducción, se dejó a la vista el concepto y la clave</w:t>
      </w:r>
      <w:r w:rsidR="00F46996" w:rsidRPr="009B1CF3">
        <w:rPr>
          <w:rFonts w:ascii="Palatino Linotype" w:eastAsia="Palatino Linotype" w:hAnsi="Palatino Linotype" w:cs="Palatino Linotype"/>
        </w:rPr>
        <w:t xml:space="preserve">, en razón de ello, se dará vista a la Dirección General de Protección de Datos Personales del Instituto de Transparencia, Acceso a la Información Pública y Protección de Datos Personales del Estado de México y Municipios. </w:t>
      </w:r>
    </w:p>
    <w:p w:rsidR="00F46996" w:rsidRPr="009B1CF3" w:rsidRDefault="00F46996" w:rsidP="00F46996">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F46996" w:rsidRPr="009B1CF3" w:rsidRDefault="00F46996" w:rsidP="00F46996">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9B1CF3">
        <w:rPr>
          <w:rFonts w:ascii="Palatino Linotype" w:hAnsi="Palatino Linotype"/>
          <w:lang w:val="es-ES"/>
        </w:rPr>
        <w:t xml:space="preserve">Por último y no menos importantes, respecto de las manifestaciones realizadas por el Recurrente como razones o motivos de inconformidad, consistentes en «… </w:t>
      </w:r>
      <w:r w:rsidR="009B1CF3">
        <w:rPr>
          <w:rFonts w:ascii="Palatino Linotype" w:hAnsi="Palatino Linotype"/>
          <w:i/>
        </w:rPr>
        <w:t>SE DE VISTA A LA CON</w:t>
      </w:r>
      <w:r w:rsidRPr="009B1CF3">
        <w:rPr>
          <w:rFonts w:ascii="Palatino Linotype" w:hAnsi="Palatino Linotype"/>
          <w:i/>
        </w:rPr>
        <w:t>TRALORIA</w:t>
      </w:r>
      <w:r w:rsidRPr="009B1CF3">
        <w:rPr>
          <w:rFonts w:ascii="Palatino Linotype" w:hAnsi="Palatino Linotype"/>
          <w:lang w:val="es-ES"/>
        </w:rPr>
        <w:t>…»; y derivado que el Recurso de Revisión no es el medio para sancionar, este Órgano Garante sugiere al solicitante, interponer su queja o denuncia ante la autoridad competente.</w:t>
      </w:r>
    </w:p>
    <w:p w:rsidR="00FD1370" w:rsidRPr="009B1CF3" w:rsidRDefault="00FD1370" w:rsidP="00F46996">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rPr>
      </w:pPr>
    </w:p>
    <w:p w:rsidR="00E36FE4" w:rsidRPr="009B1CF3" w:rsidRDefault="00E36FE4" w:rsidP="00E36FE4">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9B1CF3">
        <w:rPr>
          <w:rFonts w:ascii="Palatino Linotype" w:eastAsia="Palatino Linotype" w:hAnsi="Palatino Linotype" w:cs="Palatino Linotype"/>
          <w:color w:val="000000"/>
        </w:rPr>
        <w:lastRenderedPageBreak/>
        <w:t xml:space="preserve">Por lo tanto, en consecuencia y en mérito de lo expuesto en líneas anteriores, resultan fundadas las razones o motivos de inconformidad hechos valer por el </w:t>
      </w:r>
      <w:r w:rsidRPr="009B1CF3">
        <w:rPr>
          <w:rFonts w:ascii="Palatino Linotype" w:eastAsia="Palatino Linotype" w:hAnsi="Palatino Linotype" w:cs="Palatino Linotype"/>
          <w:b/>
          <w:bCs/>
          <w:color w:val="000000"/>
        </w:rPr>
        <w:t>RECURRENTE</w:t>
      </w:r>
      <w:r w:rsidRPr="009B1CF3">
        <w:rPr>
          <w:rFonts w:ascii="Palatino Linotype" w:eastAsia="Palatino Linotype" w:hAnsi="Palatino Linotype" w:cs="Palatino Linotype"/>
          <w:color w:val="000000"/>
        </w:rPr>
        <w:t xml:space="preserve"> dentro del recurso de revisión </w:t>
      </w:r>
      <w:r w:rsidR="00C438D7" w:rsidRPr="009B1CF3">
        <w:rPr>
          <w:rFonts w:ascii="Palatino Linotype" w:eastAsia="Palatino Linotype" w:hAnsi="Palatino Linotype" w:cs="Palatino Linotype"/>
          <w:b/>
          <w:bCs/>
          <w:color w:val="000000"/>
        </w:rPr>
        <w:t>0</w:t>
      </w:r>
      <w:r w:rsidR="00F46996" w:rsidRPr="009B1CF3">
        <w:rPr>
          <w:rFonts w:ascii="Palatino Linotype" w:eastAsia="Palatino Linotype" w:hAnsi="Palatino Linotype" w:cs="Palatino Linotype"/>
          <w:b/>
          <w:bCs/>
          <w:color w:val="000000"/>
        </w:rPr>
        <w:t>1858</w:t>
      </w:r>
      <w:r w:rsidR="00C438D7" w:rsidRPr="009B1CF3">
        <w:rPr>
          <w:rFonts w:ascii="Palatino Linotype" w:eastAsia="Palatino Linotype" w:hAnsi="Palatino Linotype" w:cs="Palatino Linotype"/>
          <w:b/>
          <w:bCs/>
          <w:color w:val="000000"/>
        </w:rPr>
        <w:t>/INFOEM/IP/RR/2026</w:t>
      </w:r>
      <w:r w:rsidRPr="009B1CF3">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w:t>
      </w:r>
      <w:r w:rsidRPr="009B1CF3">
        <w:rPr>
          <w:rFonts w:ascii="Palatino Linotype" w:eastAsia="Palatino Linotype" w:hAnsi="Palatino Linotype" w:cs="Palatino Linotype"/>
        </w:rPr>
        <w:t xml:space="preserve">de México y Municipios, se </w:t>
      </w:r>
      <w:r w:rsidRPr="009B1CF3">
        <w:rPr>
          <w:rFonts w:ascii="Palatino Linotype" w:eastAsia="Palatino Linotype" w:hAnsi="Palatino Linotype" w:cs="Palatino Linotype"/>
          <w:b/>
          <w:bCs/>
        </w:rPr>
        <w:t>MODIFICA</w:t>
      </w:r>
      <w:r w:rsidRPr="009B1CF3">
        <w:rPr>
          <w:rFonts w:ascii="Palatino Linotype" w:eastAsia="Palatino Linotype" w:hAnsi="Palatino Linotype" w:cs="Palatino Linotype"/>
        </w:rPr>
        <w:t xml:space="preserve"> la respuesta a la solicitud de información número </w:t>
      </w:r>
      <w:r w:rsidR="00F46996" w:rsidRPr="009B1CF3">
        <w:rPr>
          <w:rFonts w:ascii="Palatino Linotype" w:eastAsia="Palatino Linotype" w:hAnsi="Palatino Linotype" w:cs="Palatino Linotype"/>
          <w:b/>
          <w:bCs/>
        </w:rPr>
        <w:t>00007/STMEM/IP/2026</w:t>
      </w:r>
      <w:r w:rsidR="00124DBE" w:rsidRPr="009B1CF3">
        <w:rPr>
          <w:rFonts w:ascii="Palatino Linotype" w:eastAsia="Palatino Linotype" w:hAnsi="Palatino Linotype" w:cs="Palatino Linotype"/>
          <w:b/>
          <w:bCs/>
        </w:rPr>
        <w:t xml:space="preserve"> </w:t>
      </w:r>
      <w:r w:rsidRPr="009B1CF3">
        <w:rPr>
          <w:rFonts w:ascii="Palatino Linotype" w:eastAsia="Palatino Linotype" w:hAnsi="Palatino Linotype" w:cs="Palatino Linotype"/>
        </w:rPr>
        <w:t xml:space="preserve">y </w:t>
      </w:r>
      <w:r w:rsidRPr="009B1CF3">
        <w:rPr>
          <w:rFonts w:ascii="Palatino Linotype" w:eastAsia="Palatino Linotype" w:hAnsi="Palatino Linotype" w:cs="Palatino Linotype"/>
          <w:color w:val="000000"/>
        </w:rPr>
        <w:t xml:space="preserve">se </w:t>
      </w:r>
      <w:r w:rsidRPr="009B1CF3">
        <w:rPr>
          <w:rFonts w:ascii="Palatino Linotype" w:eastAsia="Palatino Linotype" w:hAnsi="Palatino Linotype" w:cs="Palatino Linotype"/>
          <w:b/>
          <w:bCs/>
          <w:color w:val="000000"/>
        </w:rPr>
        <w:t xml:space="preserve">ORDENA </w:t>
      </w:r>
      <w:r w:rsidRPr="009B1CF3">
        <w:rPr>
          <w:rFonts w:ascii="Palatino Linotype" w:eastAsia="Palatino Linotype" w:hAnsi="Palatino Linotype" w:cs="Palatino Linotype"/>
          <w:color w:val="000000"/>
        </w:rPr>
        <w:t>entregar, de ser procedente en versión pública, lo siguiente:</w:t>
      </w:r>
    </w:p>
    <w:p w:rsidR="00F46996" w:rsidRPr="009B1CF3" w:rsidRDefault="00F46996" w:rsidP="00F46996">
      <w:pPr>
        <w:pStyle w:val="Prrafodelista"/>
        <w:numPr>
          <w:ilvl w:val="1"/>
          <w:numId w:val="11"/>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rPr>
      </w:pPr>
      <w:r w:rsidRPr="009B1CF3">
        <w:rPr>
          <w:rFonts w:ascii="Palatino Linotype" w:eastAsia="Palatino Linotype" w:hAnsi="Palatino Linotype" w:cs="Palatino Linotype"/>
          <w:b/>
        </w:rPr>
        <w:t xml:space="preserve">Recibos entregados en respuesta a la solicitud de información </w:t>
      </w:r>
      <w:r w:rsidRPr="009B1CF3">
        <w:rPr>
          <w:rFonts w:ascii="Palatino Linotype" w:eastAsia="Palatino Linotype" w:hAnsi="Palatino Linotype" w:cs="Palatino Linotype"/>
          <w:b/>
          <w:bCs/>
        </w:rPr>
        <w:t xml:space="preserve">00007/STMEM/IP/2026, </w:t>
      </w:r>
      <w:r w:rsidRPr="009B1CF3">
        <w:rPr>
          <w:rFonts w:ascii="Palatino Linotype" w:eastAsia="Palatino Linotype" w:hAnsi="Palatino Linotype" w:cs="Palatino Linotype"/>
          <w:b/>
        </w:rPr>
        <w:t xml:space="preserve">en versión pública correcta. </w:t>
      </w:r>
    </w:p>
    <w:p w:rsidR="00F46996" w:rsidRPr="009B1CF3" w:rsidRDefault="00F46996" w:rsidP="00F46996">
      <w:pPr>
        <w:pStyle w:val="Prrafodelista"/>
        <w:pBdr>
          <w:top w:val="nil"/>
          <w:left w:val="nil"/>
          <w:bottom w:val="nil"/>
          <w:right w:val="nil"/>
          <w:between w:val="nil"/>
        </w:pBdr>
        <w:spacing w:line="360" w:lineRule="auto"/>
        <w:ind w:left="1800" w:right="822"/>
        <w:jc w:val="both"/>
        <w:rPr>
          <w:rFonts w:ascii="Palatino Linotype" w:eastAsia="Palatino Linotype" w:hAnsi="Palatino Linotype" w:cs="Palatino Linotype"/>
        </w:rPr>
      </w:pPr>
    </w:p>
    <w:p w:rsidR="00E36FE4" w:rsidRPr="009B1CF3" w:rsidRDefault="00E36FE4" w:rsidP="00E36FE4">
      <w:pPr>
        <w:pBdr>
          <w:top w:val="nil"/>
          <w:left w:val="nil"/>
          <w:bottom w:val="nil"/>
          <w:right w:val="nil"/>
          <w:between w:val="nil"/>
        </w:pBdr>
        <w:tabs>
          <w:tab w:val="left" w:pos="426"/>
        </w:tabs>
        <w:spacing w:line="360" w:lineRule="auto"/>
        <w:ind w:right="-876"/>
        <w:jc w:val="both"/>
        <w:rPr>
          <w:rFonts w:ascii="Palatino Linotype" w:eastAsia="Palatino Linotype" w:hAnsi="Palatino Linotype" w:cs="Palatino Linotype"/>
          <w:b/>
          <w:bCs/>
          <w:color w:val="000000"/>
        </w:rPr>
      </w:pPr>
      <w:r w:rsidRPr="009B1CF3">
        <w:rPr>
          <w:rFonts w:ascii="Palatino Linotype" w:eastAsia="Palatino Linotype" w:hAnsi="Palatino Linotype" w:cs="Palatino Linotype"/>
          <w:b/>
          <w:bCs/>
          <w:color w:val="000000"/>
        </w:rPr>
        <w:t>QUINTO. De la versión pública.</w:t>
      </w:r>
    </w:p>
    <w:p w:rsidR="00E36FE4" w:rsidRPr="009B1CF3" w:rsidRDefault="00E36FE4" w:rsidP="009B1CF3">
      <w:pPr>
        <w:pStyle w:val="Prrafodelista"/>
        <w:numPr>
          <w:ilvl w:val="0"/>
          <w:numId w:val="2"/>
        </w:numPr>
        <w:pBdr>
          <w:top w:val="nil"/>
          <w:left w:val="nil"/>
          <w:bottom w:val="nil"/>
          <w:right w:val="nil"/>
          <w:between w:val="nil"/>
        </w:pBdr>
        <w:tabs>
          <w:tab w:val="left" w:pos="0"/>
        </w:tabs>
        <w:spacing w:line="360" w:lineRule="auto"/>
        <w:ind w:left="0" w:right="255"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Debe destacarse que, debido a la naturaleza de la información solicitada</w:t>
      </w:r>
      <w:r w:rsidRPr="009B1CF3">
        <w:rPr>
          <w:rFonts w:ascii="Palatino Linotype" w:eastAsia="Palatino Linotype" w:hAnsi="Palatino Linotype" w:cs="Palatino Linotype"/>
          <w:b/>
          <w:bCs/>
          <w:color w:val="000000"/>
        </w:rPr>
        <w:t xml:space="preserve"> </w:t>
      </w:r>
      <w:r w:rsidRPr="009B1CF3">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E36FE4" w:rsidRPr="009B1CF3" w:rsidRDefault="00E36FE4" w:rsidP="009B1CF3">
      <w:pPr>
        <w:pBdr>
          <w:top w:val="nil"/>
          <w:left w:val="nil"/>
          <w:bottom w:val="nil"/>
          <w:right w:val="nil"/>
          <w:between w:val="nil"/>
        </w:pBdr>
        <w:tabs>
          <w:tab w:val="left" w:pos="426"/>
        </w:tabs>
        <w:spacing w:line="360" w:lineRule="auto"/>
        <w:ind w:right="255"/>
        <w:jc w:val="both"/>
        <w:rPr>
          <w:rFonts w:ascii="Palatino Linotype" w:eastAsia="Palatino Linotype" w:hAnsi="Palatino Linotype" w:cs="Palatino Linotype"/>
          <w:color w:val="000000"/>
        </w:rPr>
      </w:pPr>
    </w:p>
    <w:p w:rsidR="00E36FE4" w:rsidRPr="009B1CF3" w:rsidRDefault="00E36FE4" w:rsidP="009B1CF3">
      <w:pPr>
        <w:numPr>
          <w:ilvl w:val="0"/>
          <w:numId w:val="2"/>
        </w:numPr>
        <w:pBdr>
          <w:top w:val="nil"/>
          <w:left w:val="nil"/>
          <w:bottom w:val="nil"/>
          <w:right w:val="nil"/>
          <w:between w:val="nil"/>
        </w:pBdr>
        <w:tabs>
          <w:tab w:val="left" w:pos="0"/>
        </w:tabs>
        <w:spacing w:line="360" w:lineRule="auto"/>
        <w:ind w:left="0" w:right="255" w:firstLine="0"/>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color w:val="000000"/>
        </w:rPr>
        <w:t>La clasificación total o parcial de la información requerida, mediante solicitud de acceso a la información pública, constituye una restricción al derecho humano de acceso a la información, por lo que es menester reiterar los mismos:</w:t>
      </w:r>
    </w:p>
    <w:p w:rsidR="00E36FE4" w:rsidRPr="009B1CF3" w:rsidRDefault="00E36FE4" w:rsidP="00E36FE4">
      <w:pPr>
        <w:pBdr>
          <w:top w:val="nil"/>
          <w:left w:val="nil"/>
          <w:bottom w:val="nil"/>
          <w:right w:val="nil"/>
          <w:between w:val="nil"/>
        </w:pBdr>
        <w:tabs>
          <w:tab w:val="left" w:pos="0"/>
        </w:tabs>
        <w:spacing w:line="360" w:lineRule="auto"/>
        <w:ind w:right="-876"/>
        <w:jc w:val="both"/>
        <w:rPr>
          <w:rFonts w:ascii="Palatino Linotype" w:eastAsia="Palatino Linotype" w:hAnsi="Palatino Linotype" w:cs="Palatino Linotype"/>
          <w:color w:val="000000"/>
        </w:rPr>
      </w:pPr>
    </w:p>
    <w:tbl>
      <w:tblPr>
        <w:tblW w:w="984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970"/>
        <w:gridCol w:w="6870"/>
      </w:tblGrid>
      <w:tr w:rsidR="00E36FE4" w:rsidRPr="009B1CF3" w:rsidTr="00E36FE4">
        <w:tc>
          <w:tcPr>
            <w:tcW w:w="2970" w:type="dxa"/>
          </w:tcPr>
          <w:p w:rsidR="00E36FE4" w:rsidRPr="009B1CF3" w:rsidRDefault="00E36FE4" w:rsidP="00E36FE4">
            <w:pPr>
              <w:spacing w:line="276" w:lineRule="auto"/>
              <w:ind w:right="20"/>
              <w:rPr>
                <w:rFonts w:ascii="Palatino Linotype" w:eastAsia="Palatino Linotype" w:hAnsi="Palatino Linotype" w:cs="Palatino Linotype"/>
              </w:rPr>
            </w:pPr>
            <w:r w:rsidRPr="009B1CF3">
              <w:rPr>
                <w:rFonts w:ascii="Palatino Linotype" w:eastAsia="Palatino Linotype" w:hAnsi="Palatino Linotype" w:cs="Palatino Linotype"/>
              </w:rPr>
              <w:t>a) Requisitos previos.</w:t>
            </w:r>
          </w:p>
        </w:tc>
        <w:tc>
          <w:tcPr>
            <w:tcW w:w="6870" w:type="dxa"/>
          </w:tcPr>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w:t>
            </w:r>
            <w:r w:rsidRPr="009B1CF3">
              <w:rPr>
                <w:rFonts w:ascii="Palatino Linotype" w:eastAsia="Palatino Linotype" w:hAnsi="Palatino Linotype" w:cs="Palatino Linotype"/>
              </w:rPr>
              <w:lastRenderedPageBreak/>
              <w:t xml:space="preserve">supuestos de clasificación, es deber de los titulares de las áreas proponer su clasificación y no del Comité de Transparencia. </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Al hacerlo tienen que precisar de qué información se trata, señalando el supuesto de clasificación (confidencialidad o reserva).</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Además, se debe señalar el procedimiento, de los tres que establecen los artículos 132 y 106 de la Ley Estatal y General, respectivamente.</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9B1CF3">
              <w:rPr>
                <w:rFonts w:ascii="Palatino Linotype" w:eastAsia="Palatino Linotype" w:hAnsi="Palatino Linotype" w:cs="Palatino Linotype"/>
                <w:u w:val="single"/>
              </w:rPr>
              <w:t xml:space="preserve">no se puede hacer un acuerdo para clasificar de manera general todos los documentos de un expediente o área,  </w:t>
            </w:r>
            <w:r w:rsidRPr="009B1CF3">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E36FE4" w:rsidRPr="009B1CF3" w:rsidTr="00E36FE4">
        <w:tc>
          <w:tcPr>
            <w:tcW w:w="2970" w:type="dxa"/>
          </w:tcPr>
          <w:p w:rsidR="00E36FE4" w:rsidRPr="009B1CF3" w:rsidRDefault="00E36FE4" w:rsidP="00E36FE4">
            <w:pPr>
              <w:spacing w:line="276" w:lineRule="auto"/>
              <w:ind w:right="20"/>
              <w:rPr>
                <w:rFonts w:ascii="Palatino Linotype" w:eastAsia="Palatino Linotype" w:hAnsi="Palatino Linotype" w:cs="Palatino Linotype"/>
              </w:rPr>
            </w:pPr>
            <w:r w:rsidRPr="009B1CF3">
              <w:rPr>
                <w:rFonts w:ascii="Palatino Linotype" w:eastAsia="Palatino Linotype" w:hAnsi="Palatino Linotype" w:cs="Palatino Linotype"/>
              </w:rPr>
              <w:lastRenderedPageBreak/>
              <w:t>b) Supuestos de clasificación.</w:t>
            </w:r>
          </w:p>
        </w:tc>
        <w:tc>
          <w:tcPr>
            <w:tcW w:w="6870" w:type="dxa"/>
          </w:tcPr>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El </w:t>
            </w:r>
            <w:r w:rsidRPr="009B1CF3">
              <w:rPr>
                <w:rFonts w:ascii="Palatino Linotype" w:eastAsia="Palatino Linotype" w:hAnsi="Palatino Linotype" w:cs="Palatino Linotype"/>
                <w:b/>
                <w:bCs/>
              </w:rPr>
              <w:t>SUJETO OBLIGADO</w:t>
            </w:r>
            <w:r w:rsidRPr="009B1CF3">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w:t>
            </w:r>
            <w:r w:rsidRPr="009B1CF3">
              <w:rPr>
                <w:rFonts w:ascii="Palatino Linotype" w:eastAsia="Palatino Linotype" w:hAnsi="Palatino Linotype" w:cs="Palatino Linotype"/>
              </w:rPr>
              <w:lastRenderedPageBreak/>
              <w:t>servidor público habilitado y el titular del área que administra la información.</w:t>
            </w:r>
          </w:p>
        </w:tc>
      </w:tr>
      <w:tr w:rsidR="00E36FE4" w:rsidRPr="009B1CF3" w:rsidTr="00E36FE4">
        <w:tc>
          <w:tcPr>
            <w:tcW w:w="2970" w:type="dxa"/>
          </w:tcPr>
          <w:p w:rsidR="00E36FE4" w:rsidRPr="009B1CF3" w:rsidRDefault="00E36FE4" w:rsidP="00E36FE4">
            <w:pPr>
              <w:spacing w:line="276" w:lineRule="auto"/>
              <w:ind w:right="20"/>
              <w:rPr>
                <w:rFonts w:ascii="Palatino Linotype" w:eastAsia="Palatino Linotype" w:hAnsi="Palatino Linotype" w:cs="Palatino Linotype"/>
              </w:rPr>
            </w:pPr>
            <w:r w:rsidRPr="009B1CF3">
              <w:rPr>
                <w:rFonts w:ascii="Palatino Linotype" w:eastAsia="Palatino Linotype" w:hAnsi="Palatino Linotype" w:cs="Palatino Linotype"/>
              </w:rPr>
              <w:lastRenderedPageBreak/>
              <w:t>c) Formalidades para emitir el acuerdo de clasificación.</w:t>
            </w:r>
          </w:p>
        </w:tc>
        <w:tc>
          <w:tcPr>
            <w:tcW w:w="6870" w:type="dxa"/>
          </w:tcPr>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Es necesario que </w:t>
            </w:r>
            <w:r w:rsidRPr="009B1CF3">
              <w:rPr>
                <w:rFonts w:ascii="Palatino Linotype" w:eastAsia="Palatino Linotype" w:hAnsi="Palatino Linotype" w:cs="Palatino Linotype"/>
                <w:b/>
                <w:bCs/>
                <w:u w:val="single"/>
              </w:rPr>
              <w:t>el acto reúna con los requisitos elementales</w:t>
            </w:r>
            <w:r w:rsidRPr="009B1CF3">
              <w:rPr>
                <w:rFonts w:ascii="Palatino Linotype" w:eastAsia="Palatino Linotype" w:hAnsi="Palatino Linotype" w:cs="Palatino Linotype"/>
              </w:rPr>
              <w:t>, entre ellos, que la autoridad que va a emitir el acto de autoridad sea la legalmente facultada para ello.</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E36FE4" w:rsidRPr="009B1CF3" w:rsidTr="00E36FE4">
        <w:tc>
          <w:tcPr>
            <w:tcW w:w="2970" w:type="dxa"/>
          </w:tcPr>
          <w:p w:rsidR="00E36FE4" w:rsidRPr="009B1CF3" w:rsidRDefault="00E36FE4" w:rsidP="00E36FE4">
            <w:pPr>
              <w:spacing w:line="276" w:lineRule="auto"/>
              <w:ind w:right="20"/>
              <w:rPr>
                <w:rFonts w:ascii="Palatino Linotype" w:eastAsia="Palatino Linotype" w:hAnsi="Palatino Linotype" w:cs="Palatino Linotype"/>
              </w:rPr>
            </w:pP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d) Requisitos de fondo del acuerdo de clasificación. </w:t>
            </w:r>
          </w:p>
        </w:tc>
        <w:tc>
          <w:tcPr>
            <w:tcW w:w="6870" w:type="dxa"/>
          </w:tcPr>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9B1CF3">
              <w:rPr>
                <w:rFonts w:ascii="Palatino Linotype" w:eastAsia="Palatino Linotype" w:hAnsi="Palatino Linotype" w:cs="Palatino Linotype"/>
                <w:b/>
                <w:bCs/>
              </w:rPr>
              <w:t>Sujetos Obligados</w:t>
            </w:r>
            <w:r w:rsidRPr="009B1CF3">
              <w:rPr>
                <w:rFonts w:ascii="Palatino Linotype" w:eastAsia="Palatino Linotype" w:hAnsi="Palatino Linotype" w:cs="Palatino Linotype"/>
              </w:rPr>
              <w:t xml:space="preserve">, por lo que deberán fundar y motivar debidamente la clasificación. </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De lo anterior, se desprende que para una correcta </w:t>
            </w:r>
            <w:r w:rsidRPr="009B1CF3">
              <w:rPr>
                <w:rFonts w:ascii="Palatino Linotype" w:eastAsia="Palatino Linotype" w:hAnsi="Palatino Linotype" w:cs="Palatino Linotype"/>
                <w:b/>
                <w:bCs/>
              </w:rPr>
              <w:t>clasificación total o parcial</w:t>
            </w:r>
            <w:r w:rsidRPr="009B1CF3">
              <w:rPr>
                <w:rFonts w:ascii="Palatino Linotype" w:eastAsia="Palatino Linotype" w:hAnsi="Palatino Linotype" w:cs="Palatino Linotype"/>
              </w:rPr>
              <w:t xml:space="preserve">, esto es determinar los datos que se suprimen en las versiones públicas, es necesario fundar y motivar, de manera correcta, la clasificación; considerando que todo acto que la autoridad pronuncie en el ejercicio de sus atribuciones, </w:t>
            </w:r>
            <w:r w:rsidRPr="009B1CF3">
              <w:rPr>
                <w:rFonts w:ascii="Palatino Linotype" w:eastAsia="Palatino Linotype" w:hAnsi="Palatino Linotype" w:cs="Palatino Linotype"/>
              </w:rPr>
              <w:lastRenderedPageBreak/>
              <w:t>debe expresar los fundamentos legales que le dieron origen y las razones por las que se deben aplicar al caso concreto.</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Ahora bien, </w:t>
            </w:r>
            <w:r w:rsidRPr="009B1CF3">
              <w:rPr>
                <w:rFonts w:ascii="Palatino Linotype" w:eastAsia="Palatino Linotype" w:hAnsi="Palatino Linotype" w:cs="Palatino Linotype"/>
                <w:b/>
                <w:bCs/>
                <w:u w:val="single"/>
              </w:rPr>
              <w:t>para cada caso además de fundar y motivar</w:t>
            </w:r>
            <w:r w:rsidRPr="009B1CF3">
              <w:rPr>
                <w:rFonts w:ascii="Palatino Linotype" w:eastAsia="Palatino Linotype" w:hAnsi="Palatino Linotype" w:cs="Palatino Linotype"/>
              </w:rPr>
              <w:t>, se debe identificar con claridad qué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E36FE4" w:rsidRPr="009B1CF3" w:rsidTr="00E36FE4">
        <w:tc>
          <w:tcPr>
            <w:tcW w:w="2970" w:type="dxa"/>
          </w:tcPr>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lastRenderedPageBreak/>
              <w:t xml:space="preserve">e) Condiciones especiales de la clasificación de la información como confidencial. </w:t>
            </w:r>
          </w:p>
          <w:p w:rsidR="00E36FE4" w:rsidRPr="009B1CF3" w:rsidRDefault="00E36FE4" w:rsidP="00E36FE4">
            <w:pPr>
              <w:spacing w:line="276" w:lineRule="auto"/>
              <w:ind w:right="20"/>
              <w:rPr>
                <w:rFonts w:ascii="Palatino Linotype" w:eastAsia="Palatino Linotype" w:hAnsi="Palatino Linotype" w:cs="Palatino Linotype"/>
              </w:rPr>
            </w:pPr>
          </w:p>
        </w:tc>
        <w:tc>
          <w:tcPr>
            <w:tcW w:w="6870" w:type="dxa"/>
          </w:tcPr>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E36FE4" w:rsidRPr="009B1CF3" w:rsidRDefault="00E36FE4" w:rsidP="00E36FE4">
            <w:pPr>
              <w:spacing w:line="276" w:lineRule="auto"/>
              <w:ind w:right="20"/>
              <w:jc w:val="both"/>
              <w:rPr>
                <w:rFonts w:ascii="Palatino Linotype" w:eastAsia="Palatino Linotype" w:hAnsi="Palatino Linotype" w:cs="Palatino Linotype"/>
              </w:rPr>
            </w:pPr>
            <w:r w:rsidRPr="009B1CF3">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E36FE4" w:rsidRPr="009B1CF3" w:rsidRDefault="00E36FE4" w:rsidP="00E36FE4">
            <w:pPr>
              <w:spacing w:line="276" w:lineRule="auto"/>
              <w:ind w:right="20"/>
              <w:rPr>
                <w:rFonts w:ascii="Palatino Linotype" w:eastAsia="Palatino Linotype" w:hAnsi="Palatino Linotype" w:cs="Palatino Linotype"/>
              </w:rPr>
            </w:pPr>
            <w:r w:rsidRPr="009B1CF3">
              <w:rPr>
                <w:rFonts w:ascii="Palatino Linotype" w:eastAsia="Palatino Linotype" w:hAnsi="Palatino Linotype" w:cs="Palatino Linotype"/>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E36FE4" w:rsidRPr="009B1CF3" w:rsidRDefault="00E36FE4" w:rsidP="00E36FE4">
      <w:pPr>
        <w:spacing w:line="360" w:lineRule="auto"/>
        <w:jc w:val="both"/>
        <w:rPr>
          <w:rFonts w:ascii="Palatino Linotype" w:eastAsia="Palatino Linotype" w:hAnsi="Palatino Linotype" w:cs="Palatino Linotype"/>
        </w:rPr>
      </w:pPr>
    </w:p>
    <w:p w:rsidR="00E36FE4" w:rsidRPr="009B1CF3" w:rsidRDefault="00E36FE4" w:rsidP="00E36FE4">
      <w:pPr>
        <w:numPr>
          <w:ilvl w:val="0"/>
          <w:numId w:val="2"/>
        </w:numPr>
        <w:spacing w:line="360" w:lineRule="auto"/>
        <w:ind w:left="0" w:firstLine="0"/>
        <w:jc w:val="both"/>
        <w:rPr>
          <w:rFonts w:ascii="Palatino Linotype" w:eastAsia="Palatino Linotype" w:hAnsi="Palatino Linotype" w:cs="Palatino Linotype"/>
        </w:rPr>
      </w:pPr>
      <w:r w:rsidRPr="009B1CF3">
        <w:rPr>
          <w:rFonts w:ascii="Palatino Linotype" w:eastAsia="Palatino Linotype" w:hAnsi="Palatino Linotype" w:cs="Palatino Linotype"/>
          <w:color w:val="000000"/>
        </w:rPr>
        <w:t xml:space="preserve">Por lo anteriormente expuesto y fundado, este </w:t>
      </w:r>
      <w:r w:rsidRPr="009B1CF3">
        <w:rPr>
          <w:rFonts w:ascii="Palatino Linotype" w:eastAsia="Palatino Linotype" w:hAnsi="Palatino Linotype" w:cs="Palatino Linotype"/>
          <w:b/>
          <w:bCs/>
          <w:color w:val="000000"/>
        </w:rPr>
        <w:t>ÓRGANO GARANTE</w:t>
      </w:r>
      <w:r w:rsidRPr="009B1CF3">
        <w:rPr>
          <w:rFonts w:ascii="Palatino Linotype" w:eastAsia="Palatino Linotype" w:hAnsi="Palatino Linotype" w:cs="Palatino Linotype"/>
          <w:color w:val="000000"/>
        </w:rPr>
        <w:t xml:space="preserve"> emite los siguientes:</w:t>
      </w:r>
    </w:p>
    <w:p w:rsidR="00E36FE4" w:rsidRPr="009B1CF3" w:rsidRDefault="00E36FE4" w:rsidP="00E36FE4">
      <w:pPr>
        <w:keepNext/>
        <w:keepLines/>
        <w:spacing w:before="240" w:line="360" w:lineRule="auto"/>
        <w:jc w:val="center"/>
        <w:rPr>
          <w:rFonts w:ascii="Palatino Linotype" w:eastAsia="Palatino Linotype" w:hAnsi="Palatino Linotype" w:cs="Palatino Linotype"/>
          <w:b/>
          <w:bCs/>
          <w:color w:val="000000"/>
        </w:rPr>
      </w:pPr>
      <w:r w:rsidRPr="009B1CF3">
        <w:rPr>
          <w:rFonts w:ascii="Palatino Linotype" w:eastAsia="Palatino Linotype" w:hAnsi="Palatino Linotype" w:cs="Palatino Linotype"/>
          <w:b/>
          <w:bCs/>
          <w:color w:val="000000"/>
        </w:rPr>
        <w:t>R E S O L U T I V O S</w:t>
      </w:r>
    </w:p>
    <w:p w:rsidR="00E36FE4" w:rsidRPr="009B1CF3" w:rsidRDefault="00E36FE4" w:rsidP="00E36FE4">
      <w:pPr>
        <w:keepNext/>
        <w:keepLines/>
        <w:spacing w:before="240" w:line="360" w:lineRule="auto"/>
        <w:jc w:val="both"/>
        <w:rPr>
          <w:rFonts w:ascii="Palatino Linotype" w:eastAsia="Palatino Linotype" w:hAnsi="Palatino Linotype" w:cs="Palatino Linotype"/>
          <w:b/>
          <w:bCs/>
          <w:color w:val="000000"/>
        </w:rPr>
      </w:pPr>
    </w:p>
    <w:p w:rsidR="00E36FE4" w:rsidRPr="009B1CF3" w:rsidRDefault="00E36FE4" w:rsidP="00E36FE4">
      <w:pPr>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bCs/>
        </w:rPr>
        <w:t xml:space="preserve">PRIMERO. </w:t>
      </w:r>
      <w:r w:rsidRPr="009B1CF3">
        <w:rPr>
          <w:rFonts w:ascii="Palatino Linotype" w:eastAsia="Palatino Linotype" w:hAnsi="Palatino Linotype" w:cs="Palatino Linotype"/>
        </w:rPr>
        <w:t>Resultan fundadas las</w:t>
      </w:r>
      <w:r w:rsidRPr="009B1CF3">
        <w:rPr>
          <w:rFonts w:ascii="Palatino Linotype" w:eastAsia="Palatino Linotype" w:hAnsi="Palatino Linotype" w:cs="Palatino Linotype"/>
          <w:b/>
          <w:bCs/>
        </w:rPr>
        <w:t xml:space="preserve"> </w:t>
      </w:r>
      <w:r w:rsidRPr="009B1CF3">
        <w:rPr>
          <w:rFonts w:ascii="Palatino Linotype" w:eastAsia="Palatino Linotype" w:hAnsi="Palatino Linotype" w:cs="Palatino Linotype"/>
        </w:rPr>
        <w:t xml:space="preserve">razones o motivos de inconformidad hechos valer en el recurso de revisión </w:t>
      </w:r>
      <w:r w:rsidR="00F46996" w:rsidRPr="009B1CF3">
        <w:rPr>
          <w:rFonts w:ascii="Palatino Linotype" w:eastAsia="Palatino Linotype" w:hAnsi="Palatino Linotype" w:cs="Palatino Linotype"/>
          <w:b/>
          <w:bCs/>
        </w:rPr>
        <w:t>01858</w:t>
      </w:r>
      <w:r w:rsidRPr="009B1CF3">
        <w:rPr>
          <w:rFonts w:ascii="Palatino Linotype" w:eastAsia="Palatino Linotype" w:hAnsi="Palatino Linotype" w:cs="Palatino Linotype"/>
          <w:b/>
          <w:bCs/>
        </w:rPr>
        <w:t>/INFOEM/</w:t>
      </w:r>
      <w:r w:rsidR="00124DBE" w:rsidRPr="009B1CF3">
        <w:rPr>
          <w:rFonts w:ascii="Palatino Linotype" w:eastAsia="Palatino Linotype" w:hAnsi="Palatino Linotype" w:cs="Palatino Linotype"/>
          <w:b/>
          <w:bCs/>
        </w:rPr>
        <w:t>IP/RR/2026</w:t>
      </w:r>
      <w:r w:rsidRPr="009B1CF3">
        <w:rPr>
          <w:rFonts w:ascii="Palatino Linotype" w:eastAsia="Palatino Linotype" w:hAnsi="Palatino Linotype" w:cs="Palatino Linotype"/>
          <w:b/>
          <w:bCs/>
        </w:rPr>
        <w:t xml:space="preserve"> </w:t>
      </w:r>
      <w:r w:rsidRPr="009B1CF3">
        <w:rPr>
          <w:rFonts w:ascii="Palatino Linotype" w:eastAsia="Palatino Linotype" w:hAnsi="Palatino Linotype" w:cs="Palatino Linotype"/>
        </w:rPr>
        <w:t xml:space="preserve">en términos del </w:t>
      </w:r>
      <w:r w:rsidRPr="009B1CF3">
        <w:rPr>
          <w:rFonts w:ascii="Palatino Linotype" w:eastAsia="Palatino Linotype" w:hAnsi="Palatino Linotype" w:cs="Palatino Linotype"/>
          <w:b/>
          <w:bCs/>
        </w:rPr>
        <w:t>Considerando</w:t>
      </w:r>
      <w:r w:rsidRPr="009B1CF3">
        <w:rPr>
          <w:rFonts w:ascii="Palatino Linotype" w:eastAsia="Palatino Linotype" w:hAnsi="Palatino Linotype" w:cs="Palatino Linotype"/>
        </w:rPr>
        <w:t xml:space="preserve"> </w:t>
      </w:r>
      <w:r w:rsidRPr="009B1CF3">
        <w:rPr>
          <w:rFonts w:ascii="Palatino Linotype" w:eastAsia="Palatino Linotype" w:hAnsi="Palatino Linotype" w:cs="Palatino Linotype"/>
          <w:b/>
          <w:bCs/>
        </w:rPr>
        <w:t xml:space="preserve">CUARTO y QUINTO </w:t>
      </w:r>
      <w:r w:rsidRPr="009B1CF3">
        <w:rPr>
          <w:rFonts w:ascii="Palatino Linotype" w:eastAsia="Palatino Linotype" w:hAnsi="Palatino Linotype" w:cs="Palatino Linotype"/>
        </w:rPr>
        <w:t>de la presente resolución.</w:t>
      </w:r>
    </w:p>
    <w:p w:rsidR="00E36FE4" w:rsidRPr="009B1CF3" w:rsidRDefault="00E36FE4" w:rsidP="00E36FE4">
      <w:pPr>
        <w:spacing w:line="360" w:lineRule="auto"/>
        <w:jc w:val="both"/>
        <w:rPr>
          <w:rFonts w:ascii="Palatino Linotype" w:eastAsia="Palatino Linotype" w:hAnsi="Palatino Linotype" w:cs="Palatino Linotype"/>
        </w:rPr>
      </w:pPr>
    </w:p>
    <w:p w:rsidR="00E36FE4" w:rsidRPr="009B1CF3" w:rsidRDefault="00E36FE4" w:rsidP="00E36FE4">
      <w:pPr>
        <w:spacing w:line="360" w:lineRule="auto"/>
        <w:jc w:val="both"/>
        <w:rPr>
          <w:rFonts w:ascii="Palatino Linotype" w:eastAsia="Palatino Linotype" w:hAnsi="Palatino Linotype" w:cs="Palatino Linotype"/>
        </w:rPr>
      </w:pPr>
      <w:bookmarkStart w:id="8" w:name="_heading=h.26in1rg" w:colFirst="0" w:colLast="0"/>
      <w:bookmarkEnd w:id="8"/>
      <w:r w:rsidRPr="009B1CF3">
        <w:rPr>
          <w:rFonts w:ascii="Palatino Linotype" w:eastAsia="Palatino Linotype" w:hAnsi="Palatino Linotype" w:cs="Palatino Linotype"/>
          <w:b/>
          <w:bCs/>
        </w:rPr>
        <w:t>SEGUNDO.</w:t>
      </w:r>
      <w:r w:rsidRPr="009B1CF3">
        <w:rPr>
          <w:rFonts w:ascii="Palatino Linotype" w:eastAsia="Palatino Linotype" w:hAnsi="Palatino Linotype" w:cs="Palatino Linotype"/>
          <w:color w:val="2F5496"/>
        </w:rPr>
        <w:t xml:space="preserve"> </w:t>
      </w:r>
      <w:r w:rsidRPr="009B1CF3">
        <w:rPr>
          <w:rFonts w:ascii="Palatino Linotype" w:eastAsia="Palatino Linotype" w:hAnsi="Palatino Linotype" w:cs="Palatino Linotype"/>
        </w:rPr>
        <w:t>Se</w:t>
      </w:r>
      <w:r w:rsidRPr="009B1CF3">
        <w:rPr>
          <w:rFonts w:ascii="Palatino Linotype" w:eastAsia="Palatino Linotype" w:hAnsi="Palatino Linotype" w:cs="Palatino Linotype"/>
          <w:b/>
          <w:bCs/>
        </w:rPr>
        <w:t xml:space="preserve"> MODIFICA </w:t>
      </w:r>
      <w:r w:rsidRPr="009B1CF3">
        <w:rPr>
          <w:rFonts w:ascii="Palatino Linotype" w:eastAsia="Palatino Linotype" w:hAnsi="Palatino Linotype" w:cs="Palatino Linotype"/>
        </w:rPr>
        <w:t xml:space="preserve">la respuesta emitida por el </w:t>
      </w:r>
      <w:r w:rsidR="00F46996" w:rsidRPr="009B1CF3">
        <w:rPr>
          <w:rFonts w:ascii="Palatino Linotype" w:eastAsia="Palatino Linotype" w:hAnsi="Palatino Linotype" w:cs="Palatino Linotype"/>
          <w:b/>
          <w:bCs/>
        </w:rPr>
        <w:t>Sistema de Transporte Masivo y Teleférico del Estado de México</w:t>
      </w:r>
      <w:r w:rsidRPr="009B1CF3">
        <w:rPr>
          <w:rFonts w:ascii="Palatino Linotype" w:eastAsia="Palatino Linotype" w:hAnsi="Palatino Linotype" w:cs="Palatino Linotype"/>
          <w:b/>
          <w:bCs/>
        </w:rPr>
        <w:t xml:space="preserve"> </w:t>
      </w:r>
      <w:r w:rsidRPr="009B1CF3">
        <w:rPr>
          <w:rFonts w:ascii="Palatino Linotype" w:eastAsia="Palatino Linotype" w:hAnsi="Palatino Linotype" w:cs="Palatino Linotype"/>
        </w:rPr>
        <w:t xml:space="preserve">a la solicitud </w:t>
      </w:r>
      <w:r w:rsidR="00CA105C" w:rsidRPr="009B1CF3">
        <w:rPr>
          <w:rFonts w:ascii="Palatino Linotype" w:eastAsia="Palatino Linotype" w:hAnsi="Palatino Linotype" w:cs="Palatino Linotype"/>
          <w:b/>
          <w:bCs/>
        </w:rPr>
        <w:t>00007/STMEM/IP/2026</w:t>
      </w:r>
      <w:r w:rsidRPr="009B1CF3">
        <w:rPr>
          <w:rFonts w:ascii="Palatino Linotype" w:eastAsia="Palatino Linotype" w:hAnsi="Palatino Linotype" w:cs="Palatino Linotype"/>
          <w:b/>
          <w:bCs/>
        </w:rPr>
        <w:t>,</w:t>
      </w:r>
      <w:r w:rsidRPr="009B1CF3">
        <w:rPr>
          <w:rFonts w:ascii="Palatino Linotype" w:eastAsia="Palatino Linotype" w:hAnsi="Palatino Linotype" w:cs="Palatino Linotype"/>
        </w:rPr>
        <w:t xml:space="preserve"> y se </w:t>
      </w:r>
      <w:r w:rsidRPr="009B1CF3">
        <w:rPr>
          <w:rFonts w:ascii="Palatino Linotype" w:eastAsia="Palatino Linotype" w:hAnsi="Palatino Linotype" w:cs="Palatino Linotype"/>
          <w:b/>
          <w:bCs/>
        </w:rPr>
        <w:t>ORDENA</w:t>
      </w:r>
      <w:r w:rsidRPr="009B1CF3">
        <w:rPr>
          <w:rFonts w:ascii="Palatino Linotype" w:eastAsia="Palatino Linotype" w:hAnsi="Palatino Linotype" w:cs="Palatino Linotype"/>
        </w:rPr>
        <w:t xml:space="preserve"> la entrega, a través del Sistema de Acceso a la Información Mexiquense, de se</w:t>
      </w:r>
      <w:r w:rsidR="00F46996" w:rsidRPr="009B1CF3">
        <w:rPr>
          <w:rFonts w:ascii="Palatino Linotype" w:eastAsia="Palatino Linotype" w:hAnsi="Palatino Linotype" w:cs="Palatino Linotype"/>
        </w:rPr>
        <w:t>r procedente en versión pública</w:t>
      </w:r>
      <w:r w:rsidR="00021DE0" w:rsidRPr="009B1CF3">
        <w:rPr>
          <w:rFonts w:ascii="Palatino Linotype" w:eastAsia="Palatino Linotype" w:hAnsi="Palatino Linotype" w:cs="Palatino Linotype"/>
        </w:rPr>
        <w:t xml:space="preserve">, </w:t>
      </w:r>
      <w:r w:rsidRPr="009B1CF3">
        <w:rPr>
          <w:rFonts w:ascii="Palatino Linotype" w:eastAsia="Palatino Linotype" w:hAnsi="Palatino Linotype" w:cs="Palatino Linotype"/>
        </w:rPr>
        <w:t>la siguiente información:</w:t>
      </w:r>
    </w:p>
    <w:p w:rsidR="00E36FE4" w:rsidRPr="009B1CF3" w:rsidRDefault="00E36FE4" w:rsidP="00E36FE4">
      <w:pPr>
        <w:spacing w:line="360" w:lineRule="auto"/>
        <w:jc w:val="both"/>
        <w:rPr>
          <w:rFonts w:ascii="Palatino Linotype" w:eastAsia="Palatino Linotype" w:hAnsi="Palatino Linotype" w:cs="Palatino Linotype"/>
        </w:rPr>
      </w:pPr>
    </w:p>
    <w:p w:rsidR="00E36FE4" w:rsidRPr="009B1CF3" w:rsidRDefault="00F46996" w:rsidP="00F46996">
      <w:pPr>
        <w:pStyle w:val="Prrafodelista"/>
        <w:numPr>
          <w:ilvl w:val="1"/>
          <w:numId w:val="2"/>
        </w:numPr>
        <w:pBdr>
          <w:top w:val="nil"/>
          <w:left w:val="nil"/>
          <w:bottom w:val="nil"/>
          <w:right w:val="nil"/>
          <w:between w:val="nil"/>
        </w:pBdr>
        <w:spacing w:line="360" w:lineRule="auto"/>
        <w:ind w:right="822"/>
        <w:jc w:val="both"/>
        <w:rPr>
          <w:rFonts w:ascii="Palatino Linotype" w:eastAsia="Palatino Linotype" w:hAnsi="Palatino Linotype" w:cs="Palatino Linotype"/>
          <w:b/>
        </w:rPr>
      </w:pPr>
      <w:bookmarkStart w:id="9" w:name="_heading=h.6oxbj6l8i40c" w:colFirst="0" w:colLast="0"/>
      <w:bookmarkEnd w:id="9"/>
      <w:r w:rsidRPr="009B1CF3">
        <w:rPr>
          <w:rFonts w:ascii="Palatino Linotype" w:eastAsia="Palatino Linotype" w:hAnsi="Palatino Linotype" w:cs="Palatino Linotype"/>
          <w:b/>
        </w:rPr>
        <w:t xml:space="preserve">Recibos </w:t>
      </w:r>
      <w:r w:rsidR="00CE49D9" w:rsidRPr="009B1CF3">
        <w:rPr>
          <w:rFonts w:ascii="Palatino Linotype" w:eastAsia="Palatino Linotype" w:hAnsi="Palatino Linotype" w:cs="Palatino Linotype"/>
          <w:b/>
        </w:rPr>
        <w:t xml:space="preserve">de nómina y aguinaldo </w:t>
      </w:r>
      <w:r w:rsidRPr="009B1CF3">
        <w:rPr>
          <w:rFonts w:ascii="Palatino Linotype" w:eastAsia="Palatino Linotype" w:hAnsi="Palatino Linotype" w:cs="Palatino Linotype"/>
          <w:b/>
        </w:rPr>
        <w:t xml:space="preserve">entregados en respuesta a la solicitud de información </w:t>
      </w:r>
      <w:r w:rsidRPr="009B1CF3">
        <w:rPr>
          <w:rFonts w:ascii="Palatino Linotype" w:eastAsia="Palatino Linotype" w:hAnsi="Palatino Linotype" w:cs="Palatino Linotype"/>
          <w:b/>
          <w:bCs/>
        </w:rPr>
        <w:t xml:space="preserve">00007/STMEM/IP/2026, </w:t>
      </w:r>
      <w:r w:rsidRPr="009B1CF3">
        <w:rPr>
          <w:rFonts w:ascii="Palatino Linotype" w:eastAsia="Palatino Linotype" w:hAnsi="Palatino Linotype" w:cs="Palatino Linotype"/>
          <w:b/>
        </w:rPr>
        <w:t xml:space="preserve">en versión pública correcta. </w:t>
      </w:r>
    </w:p>
    <w:p w:rsidR="00F46996" w:rsidRPr="009B1CF3" w:rsidRDefault="00F46996" w:rsidP="00F46996">
      <w:pPr>
        <w:pStyle w:val="Prrafodelista"/>
        <w:pBdr>
          <w:top w:val="nil"/>
          <w:left w:val="nil"/>
          <w:bottom w:val="nil"/>
          <w:right w:val="nil"/>
          <w:between w:val="nil"/>
        </w:pBdr>
        <w:spacing w:line="360" w:lineRule="auto"/>
        <w:ind w:left="1440" w:right="822"/>
        <w:jc w:val="both"/>
        <w:rPr>
          <w:rFonts w:ascii="Palatino Linotype" w:eastAsia="Palatino Linotype" w:hAnsi="Palatino Linotype" w:cs="Palatino Linotype"/>
        </w:rPr>
      </w:pPr>
    </w:p>
    <w:p w:rsidR="00E36FE4" w:rsidRPr="009B1CF3" w:rsidRDefault="00E36FE4" w:rsidP="00E36FE4">
      <w:pPr>
        <w:tabs>
          <w:tab w:val="left" w:pos="993"/>
        </w:tabs>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color w:val="000000"/>
        </w:rPr>
        <w:t xml:space="preserve">Para </w:t>
      </w:r>
      <w:r w:rsidRPr="009B1CF3">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w:t>
      </w:r>
      <w:r w:rsidRPr="009B1CF3">
        <w:rPr>
          <w:rFonts w:ascii="Palatino Linotype" w:eastAsia="Palatino Linotype" w:hAnsi="Palatino Linotype" w:cs="Palatino Linotype"/>
        </w:rPr>
        <w:lastRenderedPageBreak/>
        <w:t xml:space="preserve">razones sobre los datos que se supriman o eliminen dentro del soporte documental respectivo objeto de las versiones públicas que se formulen, y se ponga a disposición del </w:t>
      </w:r>
      <w:r w:rsidRPr="009B1CF3">
        <w:rPr>
          <w:rFonts w:ascii="Palatino Linotype" w:eastAsia="Palatino Linotype" w:hAnsi="Palatino Linotype" w:cs="Palatino Linotype"/>
          <w:b/>
        </w:rPr>
        <w:t>RECURRENTE</w:t>
      </w:r>
      <w:r w:rsidRPr="009B1CF3">
        <w:rPr>
          <w:rFonts w:ascii="Palatino Linotype" w:eastAsia="Palatino Linotype" w:hAnsi="Palatino Linotype" w:cs="Palatino Linotype"/>
        </w:rPr>
        <w:t>.</w:t>
      </w:r>
    </w:p>
    <w:p w:rsidR="00E36FE4" w:rsidRPr="009B1CF3" w:rsidRDefault="00E36FE4" w:rsidP="00E36FE4">
      <w:pPr>
        <w:pBdr>
          <w:top w:val="nil"/>
          <w:left w:val="nil"/>
          <w:bottom w:val="nil"/>
          <w:right w:val="nil"/>
          <w:between w:val="nil"/>
        </w:pBdr>
        <w:spacing w:line="360" w:lineRule="auto"/>
        <w:jc w:val="both"/>
        <w:rPr>
          <w:rFonts w:ascii="Palatino Linotype" w:eastAsia="Palatino Linotype" w:hAnsi="Palatino Linotype" w:cs="Palatino Linotype"/>
          <w:b/>
        </w:rPr>
      </w:pPr>
    </w:p>
    <w:p w:rsidR="00E36FE4" w:rsidRPr="009B1CF3" w:rsidRDefault="00E36FE4" w:rsidP="00E36FE4">
      <w:pPr>
        <w:shd w:val="clear" w:color="auto" w:fill="FFFFFF"/>
        <w:spacing w:line="360" w:lineRule="auto"/>
        <w:jc w:val="both"/>
        <w:rPr>
          <w:rFonts w:ascii="Palatino Linotype" w:eastAsia="Palatino Linotype" w:hAnsi="Palatino Linotype" w:cs="Palatino Linotype"/>
          <w:color w:val="222222"/>
        </w:rPr>
      </w:pPr>
      <w:r w:rsidRPr="009B1CF3">
        <w:rPr>
          <w:rFonts w:ascii="Palatino Linotype" w:eastAsia="Palatino Linotype" w:hAnsi="Palatino Linotype" w:cs="Palatino Linotype"/>
          <w:b/>
          <w:bCs/>
          <w:color w:val="222222"/>
        </w:rPr>
        <w:t xml:space="preserve">TERCERO. </w:t>
      </w:r>
      <w:r w:rsidRPr="009B1CF3">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9B1CF3">
        <w:rPr>
          <w:rFonts w:ascii="Palatino Linotype" w:eastAsia="Palatino Linotype" w:hAnsi="Palatino Linotype" w:cs="Palatino Linotype"/>
          <w:b/>
          <w:bCs/>
          <w:color w:val="222222"/>
        </w:rPr>
        <w:t>dé cumplimiento a lo ordenado dentro del plazo de diez días hábiles,</w:t>
      </w:r>
      <w:r w:rsidRPr="009B1CF3">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36FE4" w:rsidRPr="009B1CF3" w:rsidRDefault="00E36FE4" w:rsidP="00E36FE4">
      <w:pPr>
        <w:shd w:val="clear" w:color="auto" w:fill="FFFFFF"/>
        <w:spacing w:line="360" w:lineRule="auto"/>
        <w:jc w:val="both"/>
        <w:rPr>
          <w:rFonts w:ascii="Palatino Linotype" w:eastAsia="Palatino Linotype" w:hAnsi="Palatino Linotype" w:cs="Palatino Linotype"/>
          <w:b/>
          <w:bCs/>
          <w:color w:val="222222"/>
        </w:rPr>
      </w:pPr>
    </w:p>
    <w:p w:rsidR="00E36FE4" w:rsidRPr="009B1CF3" w:rsidRDefault="00E36FE4" w:rsidP="00E36FE4">
      <w:pPr>
        <w:shd w:val="clear" w:color="auto" w:fill="FFFFFF"/>
        <w:spacing w:line="360" w:lineRule="auto"/>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b/>
          <w:bCs/>
          <w:color w:val="000000"/>
        </w:rPr>
        <w:t>CUARTO.</w:t>
      </w:r>
      <w:r w:rsidRPr="009B1CF3">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9B1CF3">
        <w:rPr>
          <w:rFonts w:ascii="Palatino Linotype" w:eastAsia="Palatino Linotype" w:hAnsi="Palatino Linotype" w:cs="Palatino Linotype"/>
          <w:b/>
          <w:bCs/>
          <w:color w:val="000000"/>
        </w:rPr>
        <w:t>SUJETO OBLIGADO</w:t>
      </w:r>
      <w:r w:rsidRPr="009B1CF3">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E36FE4" w:rsidRPr="009B1CF3" w:rsidRDefault="00E36FE4" w:rsidP="00E36FE4">
      <w:pPr>
        <w:spacing w:line="360" w:lineRule="auto"/>
        <w:jc w:val="both"/>
        <w:rPr>
          <w:rFonts w:ascii="Palatino Linotype" w:eastAsia="Palatino Linotype" w:hAnsi="Palatino Linotype" w:cs="Palatino Linotype"/>
        </w:rPr>
      </w:pPr>
    </w:p>
    <w:p w:rsidR="00E36FE4" w:rsidRPr="009B1CF3" w:rsidRDefault="00E36FE4" w:rsidP="00E36FE4">
      <w:pPr>
        <w:shd w:val="clear" w:color="auto" w:fill="FFFFFF"/>
        <w:spacing w:line="360" w:lineRule="auto"/>
        <w:jc w:val="both"/>
        <w:rPr>
          <w:rFonts w:ascii="Palatino Linotype" w:eastAsia="Palatino Linotype" w:hAnsi="Palatino Linotype" w:cs="Palatino Linotype"/>
          <w:color w:val="000000"/>
        </w:rPr>
      </w:pPr>
      <w:r w:rsidRPr="009B1CF3">
        <w:rPr>
          <w:rFonts w:ascii="Palatino Linotype" w:eastAsia="Palatino Linotype" w:hAnsi="Palatino Linotype" w:cs="Palatino Linotype"/>
          <w:b/>
          <w:bCs/>
        </w:rPr>
        <w:t xml:space="preserve">QUINTO. </w:t>
      </w:r>
      <w:r w:rsidRPr="009B1CF3">
        <w:rPr>
          <w:rFonts w:ascii="Palatino Linotype" w:eastAsia="Palatino Linotype" w:hAnsi="Palatino Linotype" w:cs="Palatino Linotype"/>
          <w:b/>
          <w:bCs/>
          <w:color w:val="222222"/>
        </w:rPr>
        <w:t xml:space="preserve">Notifíquese </w:t>
      </w:r>
      <w:r w:rsidRPr="009B1CF3">
        <w:rPr>
          <w:rFonts w:ascii="Palatino Linotype" w:eastAsia="Palatino Linotype" w:hAnsi="Palatino Linotype" w:cs="Palatino Linotype"/>
          <w:color w:val="222222"/>
        </w:rPr>
        <w:t xml:space="preserve">al </w:t>
      </w:r>
      <w:r w:rsidRPr="009B1CF3">
        <w:rPr>
          <w:rFonts w:ascii="Palatino Linotype" w:eastAsia="Palatino Linotype" w:hAnsi="Palatino Linotype" w:cs="Palatino Linotype"/>
          <w:b/>
          <w:bCs/>
          <w:color w:val="222222"/>
        </w:rPr>
        <w:t>RECURRENTE</w:t>
      </w:r>
      <w:r w:rsidRPr="009B1CF3">
        <w:rPr>
          <w:rFonts w:ascii="Palatino Linotype" w:eastAsia="Palatino Linotype" w:hAnsi="Palatino Linotype" w:cs="Palatino Linotype"/>
          <w:color w:val="222222"/>
        </w:rPr>
        <w:t xml:space="preserve"> </w:t>
      </w:r>
      <w:r w:rsidRPr="009B1CF3">
        <w:rPr>
          <w:rFonts w:ascii="Palatino Linotype" w:eastAsia="Palatino Linotype" w:hAnsi="Palatino Linotype" w:cs="Palatino Linotype"/>
        </w:rPr>
        <w:t>la presente resolución vía Sistema de Acceso a la Información Mexiquense (SAIMEX).</w:t>
      </w:r>
    </w:p>
    <w:p w:rsidR="00E36FE4" w:rsidRPr="009B1CF3" w:rsidRDefault="00E36FE4" w:rsidP="00E36FE4">
      <w:pPr>
        <w:shd w:val="clear" w:color="auto" w:fill="FFFFFF"/>
        <w:spacing w:line="360" w:lineRule="auto"/>
        <w:jc w:val="both"/>
        <w:rPr>
          <w:rFonts w:ascii="Palatino Linotype" w:eastAsia="Palatino Linotype" w:hAnsi="Palatino Linotype" w:cs="Palatino Linotype"/>
        </w:rPr>
      </w:pPr>
    </w:p>
    <w:p w:rsidR="00E36FE4" w:rsidRPr="009B1CF3" w:rsidRDefault="00E36FE4" w:rsidP="00E36FE4">
      <w:pPr>
        <w:spacing w:line="360" w:lineRule="auto"/>
        <w:jc w:val="both"/>
        <w:rPr>
          <w:rFonts w:ascii="Palatino Linotype" w:eastAsia="Palatino Linotype" w:hAnsi="Palatino Linotype" w:cs="Palatino Linotype"/>
        </w:rPr>
      </w:pPr>
      <w:r w:rsidRPr="009B1CF3">
        <w:rPr>
          <w:rFonts w:ascii="Palatino Linotype" w:eastAsia="Palatino Linotype" w:hAnsi="Palatino Linotype" w:cs="Palatino Linotype"/>
          <w:b/>
          <w:bCs/>
        </w:rPr>
        <w:t>SEXTO.</w:t>
      </w:r>
      <w:r w:rsidRPr="009B1CF3">
        <w:rPr>
          <w:rFonts w:ascii="Palatino Linotype" w:eastAsia="Palatino Linotype" w:hAnsi="Palatino Linotype" w:cs="Palatino Linotype"/>
        </w:rPr>
        <w:t xml:space="preserve"> Se hace del conocimiento del </w:t>
      </w:r>
      <w:r w:rsidRPr="009B1CF3">
        <w:rPr>
          <w:rFonts w:ascii="Palatino Linotype" w:eastAsia="Palatino Linotype" w:hAnsi="Palatino Linotype" w:cs="Palatino Linotype"/>
          <w:b/>
          <w:bCs/>
        </w:rPr>
        <w:t>RECURRENTE</w:t>
      </w:r>
      <w:r w:rsidRPr="009B1CF3">
        <w:rPr>
          <w:rFonts w:ascii="Palatino Linotype" w:eastAsia="Palatino Linotype" w:hAnsi="Palatino Linotype" w:cs="Palatino Linotype"/>
          <w:color w:val="222222"/>
        </w:rPr>
        <w:t xml:space="preserve"> </w:t>
      </w:r>
      <w:r w:rsidRPr="009B1CF3">
        <w:rPr>
          <w:rFonts w:ascii="Palatino Linotype" w:eastAsia="Palatino Linotype" w:hAnsi="Palatino Linotype" w:cs="Palatino Linotype"/>
        </w:rPr>
        <w:t xml:space="preserve">que, de conformidad con lo establecido en el artículo 196 de la Ley de Transparencia y Acceso a la Información Pública del Estado de México </w:t>
      </w:r>
      <w:r w:rsidRPr="009B1CF3">
        <w:rPr>
          <w:rFonts w:ascii="Palatino Linotype" w:eastAsia="Palatino Linotype" w:hAnsi="Palatino Linotype" w:cs="Palatino Linotype"/>
        </w:rPr>
        <w:lastRenderedPageBreak/>
        <w:t>y Municipios, en caso de que considere que la resolución le cause algún perjuicio podrá impugnar vía juicio de amparo en los términos de las leyes aplicables.</w:t>
      </w:r>
    </w:p>
    <w:p w:rsidR="00E36FE4" w:rsidRPr="009B1CF3" w:rsidRDefault="00E36FE4" w:rsidP="00E36FE4">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CA105C" w:rsidRPr="009B1CF3" w:rsidRDefault="00CA105C" w:rsidP="00CA105C">
      <w:pPr>
        <w:spacing w:before="240" w:after="240" w:line="360" w:lineRule="auto"/>
        <w:ind w:firstLine="1"/>
        <w:jc w:val="both"/>
        <w:rPr>
          <w:rFonts w:ascii="Palatino Linotype" w:hAnsi="Palatino Linotype"/>
        </w:rPr>
      </w:pPr>
      <w:bookmarkStart w:id="10" w:name="_Hlk99014733"/>
      <w:r w:rsidRPr="009B1CF3">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UNO (01) DE JULIO DE DOS MIL VEINTISÉIS, ANTE EL SECRETARIO TÉCNICO DEL PLENO </w:t>
      </w:r>
      <w:r w:rsidRPr="009B1CF3">
        <w:rPr>
          <w:rFonts w:ascii="Palatino Linotype" w:hAnsi="Palatino Linotype" w:cs="Palatino Linotype"/>
          <w:color w:val="000000" w:themeColor="text1"/>
        </w:rPr>
        <w:t>ALEXIS TAPIA RAMÍREZ.</w:t>
      </w:r>
    </w:p>
    <w:bookmarkEnd w:id="10"/>
    <w:p w:rsidR="00E36FE4" w:rsidRPr="009B1CF3" w:rsidRDefault="00E36FE4" w:rsidP="00E36FE4">
      <w:pPr>
        <w:jc w:val="both"/>
        <w:rPr>
          <w:rFonts w:ascii="Palatino Linotype" w:hAnsi="Palatino Linotype"/>
        </w:rPr>
      </w:pPr>
    </w:p>
    <w:p w:rsidR="00E36FE4" w:rsidRPr="009B1CF3" w:rsidRDefault="00E36FE4" w:rsidP="00E36FE4">
      <w:pPr>
        <w:jc w:val="both"/>
        <w:rPr>
          <w:rFonts w:ascii="Palatino Linotype" w:hAnsi="Palatino Linotype"/>
        </w:rPr>
      </w:pPr>
    </w:p>
    <w:p w:rsidR="00E36FE4" w:rsidRPr="009B1CF3" w:rsidRDefault="00E36FE4" w:rsidP="00E36FE4">
      <w:pPr>
        <w:jc w:val="both"/>
        <w:rPr>
          <w:rFonts w:ascii="Palatino Linotype" w:hAnsi="Palatino Linotype"/>
        </w:rPr>
      </w:pPr>
    </w:p>
    <w:p w:rsidR="00E36FE4" w:rsidRPr="009B1CF3" w:rsidRDefault="00E36FE4" w:rsidP="00E36FE4">
      <w:pPr>
        <w:jc w:val="both"/>
        <w:rPr>
          <w:rFonts w:ascii="Palatino Linotype" w:hAnsi="Palatino Linotype"/>
        </w:rPr>
      </w:pPr>
    </w:p>
    <w:p w:rsidR="00E36FE4" w:rsidRPr="009B1CF3" w:rsidRDefault="00E36FE4" w:rsidP="00E36FE4">
      <w:pPr>
        <w:jc w:val="both"/>
        <w:rPr>
          <w:rFonts w:ascii="Palatino Linotype" w:hAnsi="Palatino Linotype"/>
        </w:rPr>
      </w:pPr>
    </w:p>
    <w:p w:rsidR="00E36FE4" w:rsidRPr="009B1CF3" w:rsidRDefault="00E36FE4" w:rsidP="00E36FE4">
      <w:pPr>
        <w:jc w:val="both"/>
        <w:rPr>
          <w:rFonts w:ascii="Palatino Linotype" w:hAnsi="Palatino Linotype"/>
        </w:rPr>
      </w:pPr>
    </w:p>
    <w:p w:rsidR="00E36FE4" w:rsidRPr="009B1CF3" w:rsidRDefault="00E36FE4" w:rsidP="00E36FE4">
      <w:pPr>
        <w:jc w:val="both"/>
        <w:rPr>
          <w:rFonts w:ascii="Palatino Linotype" w:hAnsi="Palatino Linotype"/>
        </w:rPr>
      </w:pPr>
    </w:p>
    <w:p w:rsidR="00E36FE4" w:rsidRPr="009B1CF3" w:rsidRDefault="00E36FE4" w:rsidP="00E36FE4">
      <w:pPr>
        <w:jc w:val="both"/>
        <w:rPr>
          <w:rFonts w:ascii="Palatino Linotype" w:hAnsi="Palatino Linotype"/>
        </w:rPr>
      </w:pPr>
    </w:p>
    <w:p w:rsidR="00E36FE4" w:rsidRPr="009B1CF3" w:rsidRDefault="00E36FE4" w:rsidP="00E36FE4">
      <w:pPr>
        <w:jc w:val="both"/>
        <w:rPr>
          <w:rFonts w:ascii="Palatino Linotype" w:hAnsi="Palatino Linotype"/>
        </w:rPr>
      </w:pPr>
    </w:p>
    <w:p w:rsidR="00E36FE4" w:rsidRPr="009B1CF3" w:rsidRDefault="00E36FE4" w:rsidP="00E36FE4"/>
    <w:p w:rsidR="00E36FE4" w:rsidRPr="009B1CF3" w:rsidRDefault="00E36FE4" w:rsidP="00E36FE4"/>
    <w:p w:rsidR="00F736ED" w:rsidRPr="009B1CF3" w:rsidRDefault="00F736ED"/>
    <w:p w:rsidR="000B0108" w:rsidRPr="009B1CF3" w:rsidRDefault="000B0108"/>
    <w:p w:rsidR="000B0108" w:rsidRPr="009B1CF3" w:rsidRDefault="000B0108"/>
    <w:p w:rsidR="000B0108" w:rsidRPr="009B1CF3" w:rsidRDefault="000B0108"/>
    <w:p w:rsidR="000B0108" w:rsidRPr="009B1CF3" w:rsidRDefault="000B0108"/>
    <w:p w:rsidR="000B0108" w:rsidRPr="009B1CF3" w:rsidRDefault="000B0108"/>
    <w:p w:rsidR="000B0108" w:rsidRPr="009B1CF3" w:rsidRDefault="000B0108"/>
    <w:p w:rsidR="000B0108" w:rsidRPr="009B1CF3" w:rsidRDefault="000B0108"/>
    <w:p w:rsidR="000B0108" w:rsidRPr="009B1CF3" w:rsidRDefault="000B0108"/>
    <w:p w:rsidR="000B0108" w:rsidRPr="009B1CF3" w:rsidRDefault="000B0108"/>
    <w:p w:rsidR="000B0108" w:rsidRPr="009B1CF3" w:rsidRDefault="000B0108"/>
    <w:p w:rsidR="000B0108" w:rsidRPr="009B1CF3" w:rsidRDefault="000B0108"/>
    <w:sectPr w:rsidR="000B0108" w:rsidRPr="009B1CF3" w:rsidSect="009B1CF3">
      <w:headerReference w:type="even" r:id="rId9"/>
      <w:headerReference w:type="default" r:id="rId10"/>
      <w:footerReference w:type="default" r:id="rId11"/>
      <w:headerReference w:type="first" r:id="rId12"/>
      <w:footerReference w:type="first" r:id="rId13"/>
      <w:pgSz w:w="12240" w:h="15840"/>
      <w:pgMar w:top="80" w:right="474"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985" w:rsidRDefault="00BE2985" w:rsidP="00E36FE4">
      <w:r>
        <w:separator/>
      </w:r>
    </w:p>
  </w:endnote>
  <w:endnote w:type="continuationSeparator" w:id="0">
    <w:p w:rsidR="00BE2985" w:rsidRDefault="00BE2985" w:rsidP="00E36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98A" w:rsidRPr="009B1CF3" w:rsidRDefault="0053398A">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9B1CF3">
      <w:rPr>
        <w:rFonts w:ascii="Palatino Linotype" w:hAnsi="Palatino Linotype"/>
        <w:color w:val="000000"/>
        <w:sz w:val="22"/>
        <w:szCs w:val="22"/>
      </w:rPr>
      <w:t xml:space="preserve">Página </w:t>
    </w:r>
    <w:r w:rsidRPr="009B1CF3">
      <w:rPr>
        <w:rFonts w:ascii="Palatino Linotype" w:hAnsi="Palatino Linotype"/>
        <w:b/>
        <w:bCs/>
        <w:color w:val="000000"/>
        <w:sz w:val="22"/>
        <w:szCs w:val="22"/>
      </w:rPr>
      <w:fldChar w:fldCharType="begin"/>
    </w:r>
    <w:r w:rsidRPr="009B1CF3">
      <w:rPr>
        <w:rFonts w:ascii="Palatino Linotype" w:hAnsi="Palatino Linotype"/>
        <w:b/>
        <w:bCs/>
        <w:color w:val="000000"/>
        <w:sz w:val="22"/>
        <w:szCs w:val="22"/>
      </w:rPr>
      <w:instrText>PAGE</w:instrText>
    </w:r>
    <w:r w:rsidRPr="009B1CF3">
      <w:rPr>
        <w:rFonts w:ascii="Palatino Linotype" w:hAnsi="Palatino Linotype"/>
        <w:b/>
        <w:bCs/>
        <w:color w:val="000000"/>
        <w:sz w:val="22"/>
        <w:szCs w:val="22"/>
      </w:rPr>
      <w:fldChar w:fldCharType="separate"/>
    </w:r>
    <w:r w:rsidR="00DC241F">
      <w:rPr>
        <w:rFonts w:ascii="Palatino Linotype" w:hAnsi="Palatino Linotype"/>
        <w:b/>
        <w:bCs/>
        <w:noProof/>
        <w:color w:val="000000"/>
        <w:sz w:val="22"/>
        <w:szCs w:val="22"/>
      </w:rPr>
      <w:t>22</w:t>
    </w:r>
    <w:r w:rsidRPr="009B1CF3">
      <w:rPr>
        <w:rFonts w:ascii="Palatino Linotype" w:hAnsi="Palatino Linotype"/>
        <w:b/>
        <w:bCs/>
        <w:color w:val="000000"/>
        <w:sz w:val="22"/>
        <w:szCs w:val="22"/>
      </w:rPr>
      <w:fldChar w:fldCharType="end"/>
    </w:r>
    <w:r w:rsidRPr="009B1CF3">
      <w:rPr>
        <w:rFonts w:ascii="Palatino Linotype" w:hAnsi="Palatino Linotype"/>
        <w:color w:val="000000"/>
        <w:sz w:val="22"/>
        <w:szCs w:val="22"/>
      </w:rPr>
      <w:t xml:space="preserve"> de </w:t>
    </w:r>
    <w:r w:rsidRPr="009B1CF3">
      <w:rPr>
        <w:rFonts w:ascii="Palatino Linotype" w:hAnsi="Palatino Linotype"/>
        <w:b/>
        <w:bCs/>
        <w:color w:val="000000"/>
        <w:sz w:val="22"/>
        <w:szCs w:val="22"/>
      </w:rPr>
      <w:fldChar w:fldCharType="begin"/>
    </w:r>
    <w:r w:rsidRPr="009B1CF3">
      <w:rPr>
        <w:rFonts w:ascii="Palatino Linotype" w:hAnsi="Palatino Linotype"/>
        <w:b/>
        <w:bCs/>
        <w:color w:val="000000"/>
        <w:sz w:val="22"/>
        <w:szCs w:val="22"/>
      </w:rPr>
      <w:instrText>NUMPAGES</w:instrText>
    </w:r>
    <w:r w:rsidRPr="009B1CF3">
      <w:rPr>
        <w:rFonts w:ascii="Palatino Linotype" w:hAnsi="Palatino Linotype"/>
        <w:b/>
        <w:bCs/>
        <w:color w:val="000000"/>
        <w:sz w:val="22"/>
        <w:szCs w:val="22"/>
      </w:rPr>
      <w:fldChar w:fldCharType="separate"/>
    </w:r>
    <w:r w:rsidR="00DC241F">
      <w:rPr>
        <w:rFonts w:ascii="Palatino Linotype" w:hAnsi="Palatino Linotype"/>
        <w:b/>
        <w:bCs/>
        <w:noProof/>
        <w:color w:val="000000"/>
        <w:sz w:val="22"/>
        <w:szCs w:val="22"/>
      </w:rPr>
      <w:t>25</w:t>
    </w:r>
    <w:r w:rsidRPr="009B1CF3">
      <w:rPr>
        <w:rFonts w:ascii="Palatino Linotype" w:hAnsi="Palatino Linotype"/>
        <w:b/>
        <w:bCs/>
        <w:color w:val="000000"/>
        <w:sz w:val="22"/>
        <w:szCs w:val="22"/>
      </w:rPr>
      <w:fldChar w:fldCharType="end"/>
    </w:r>
  </w:p>
  <w:p w:rsidR="0053398A" w:rsidRDefault="0053398A">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98A" w:rsidRPr="009B1CF3" w:rsidRDefault="0053398A">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9B1CF3">
      <w:rPr>
        <w:rFonts w:ascii="Palatino Linotype" w:hAnsi="Palatino Linotype"/>
        <w:color w:val="000000"/>
        <w:sz w:val="22"/>
      </w:rPr>
      <w:t xml:space="preserve">Página </w:t>
    </w:r>
    <w:r w:rsidRPr="009B1CF3">
      <w:rPr>
        <w:rFonts w:ascii="Palatino Linotype" w:hAnsi="Palatino Linotype"/>
        <w:b/>
        <w:bCs/>
        <w:color w:val="000000"/>
        <w:sz w:val="22"/>
      </w:rPr>
      <w:fldChar w:fldCharType="begin"/>
    </w:r>
    <w:r w:rsidRPr="009B1CF3">
      <w:rPr>
        <w:rFonts w:ascii="Palatino Linotype" w:hAnsi="Palatino Linotype"/>
        <w:b/>
        <w:bCs/>
        <w:color w:val="000000"/>
        <w:sz w:val="22"/>
      </w:rPr>
      <w:instrText>PAGE</w:instrText>
    </w:r>
    <w:r w:rsidRPr="009B1CF3">
      <w:rPr>
        <w:rFonts w:ascii="Palatino Linotype" w:hAnsi="Palatino Linotype"/>
        <w:b/>
        <w:bCs/>
        <w:color w:val="000000"/>
        <w:sz w:val="22"/>
      </w:rPr>
      <w:fldChar w:fldCharType="separate"/>
    </w:r>
    <w:r w:rsidR="00DC241F">
      <w:rPr>
        <w:rFonts w:ascii="Palatino Linotype" w:hAnsi="Palatino Linotype"/>
        <w:b/>
        <w:bCs/>
        <w:noProof/>
        <w:color w:val="000000"/>
        <w:sz w:val="22"/>
      </w:rPr>
      <w:t>1</w:t>
    </w:r>
    <w:r w:rsidRPr="009B1CF3">
      <w:rPr>
        <w:rFonts w:ascii="Palatino Linotype" w:hAnsi="Palatino Linotype"/>
        <w:b/>
        <w:bCs/>
        <w:color w:val="000000"/>
        <w:sz w:val="22"/>
      </w:rPr>
      <w:fldChar w:fldCharType="end"/>
    </w:r>
    <w:r w:rsidRPr="009B1CF3">
      <w:rPr>
        <w:rFonts w:ascii="Palatino Linotype" w:hAnsi="Palatino Linotype"/>
        <w:color w:val="000000"/>
        <w:sz w:val="22"/>
      </w:rPr>
      <w:t xml:space="preserve"> de </w:t>
    </w:r>
    <w:r w:rsidRPr="009B1CF3">
      <w:rPr>
        <w:rFonts w:ascii="Palatino Linotype" w:hAnsi="Palatino Linotype"/>
        <w:b/>
        <w:bCs/>
        <w:color w:val="000000"/>
        <w:sz w:val="22"/>
      </w:rPr>
      <w:fldChar w:fldCharType="begin"/>
    </w:r>
    <w:r w:rsidRPr="009B1CF3">
      <w:rPr>
        <w:rFonts w:ascii="Palatino Linotype" w:hAnsi="Palatino Linotype"/>
        <w:b/>
        <w:bCs/>
        <w:color w:val="000000"/>
        <w:sz w:val="22"/>
      </w:rPr>
      <w:instrText>NUMPAGES</w:instrText>
    </w:r>
    <w:r w:rsidRPr="009B1CF3">
      <w:rPr>
        <w:rFonts w:ascii="Palatino Linotype" w:hAnsi="Palatino Linotype"/>
        <w:b/>
        <w:bCs/>
        <w:color w:val="000000"/>
        <w:sz w:val="22"/>
      </w:rPr>
      <w:fldChar w:fldCharType="separate"/>
    </w:r>
    <w:r w:rsidR="00DC241F">
      <w:rPr>
        <w:rFonts w:ascii="Palatino Linotype" w:hAnsi="Palatino Linotype"/>
        <w:b/>
        <w:bCs/>
        <w:noProof/>
        <w:color w:val="000000"/>
        <w:sz w:val="22"/>
      </w:rPr>
      <w:t>25</w:t>
    </w:r>
    <w:r w:rsidRPr="009B1CF3">
      <w:rPr>
        <w:rFonts w:ascii="Palatino Linotype" w:hAnsi="Palatino Linotype"/>
        <w:b/>
        <w:bCs/>
        <w:color w:val="000000"/>
        <w:sz w:val="22"/>
      </w:rPr>
      <w:fldChar w:fldCharType="end"/>
    </w:r>
  </w:p>
  <w:p w:rsidR="0053398A" w:rsidRDefault="0053398A">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985" w:rsidRDefault="00BE2985" w:rsidP="00E36FE4">
      <w:r>
        <w:separator/>
      </w:r>
    </w:p>
  </w:footnote>
  <w:footnote w:type="continuationSeparator" w:id="0">
    <w:p w:rsidR="00BE2985" w:rsidRDefault="00BE2985" w:rsidP="00E36F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98A" w:rsidRDefault="00BE2985">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89.8pt;height:768pt;z-index:-25165721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632" w:type="dxa"/>
      <w:tblLayout w:type="fixed"/>
      <w:tblLook w:val="0400" w:firstRow="0" w:lastRow="0" w:firstColumn="0" w:lastColumn="0" w:noHBand="0" w:noVBand="1"/>
    </w:tblPr>
    <w:tblGrid>
      <w:gridCol w:w="2268"/>
      <w:gridCol w:w="8364"/>
    </w:tblGrid>
    <w:tr w:rsidR="0053398A" w:rsidTr="009B1CF3">
      <w:trPr>
        <w:trHeight w:val="1435"/>
      </w:trPr>
      <w:tc>
        <w:tcPr>
          <w:tcW w:w="2268" w:type="dxa"/>
          <w:shd w:val="clear" w:color="auto" w:fill="auto"/>
        </w:tcPr>
        <w:p w:rsidR="0053398A" w:rsidRDefault="0053398A">
          <w:pPr>
            <w:tabs>
              <w:tab w:val="right" w:pos="4273"/>
            </w:tabs>
            <w:rPr>
              <w:rFonts w:ascii="Garamond" w:eastAsia="Garamond" w:hAnsi="Garamond" w:cs="Garamond"/>
              <w:sz w:val="16"/>
              <w:szCs w:val="16"/>
            </w:rPr>
          </w:pPr>
        </w:p>
      </w:tc>
      <w:tc>
        <w:tcPr>
          <w:tcW w:w="8364" w:type="dxa"/>
          <w:shd w:val="clear" w:color="auto" w:fill="auto"/>
        </w:tcPr>
        <w:tbl>
          <w:tblPr>
            <w:tblW w:w="7088" w:type="dxa"/>
            <w:tblInd w:w="1026" w:type="dxa"/>
            <w:tblLayout w:type="fixed"/>
            <w:tblLook w:val="0400" w:firstRow="0" w:lastRow="0" w:firstColumn="0" w:lastColumn="0" w:noHBand="0" w:noVBand="1"/>
          </w:tblPr>
          <w:tblGrid>
            <w:gridCol w:w="2977"/>
            <w:gridCol w:w="4111"/>
          </w:tblGrid>
          <w:tr w:rsidR="0053398A" w:rsidTr="009B1CF3">
            <w:trPr>
              <w:trHeight w:val="150"/>
            </w:trPr>
            <w:tc>
              <w:tcPr>
                <w:tcW w:w="2977" w:type="dxa"/>
                <w:shd w:val="clear" w:color="auto" w:fill="auto"/>
              </w:tcPr>
              <w:p w:rsidR="0053398A" w:rsidRPr="009B1CF3" w:rsidRDefault="0053398A">
                <w:pPr>
                  <w:tabs>
                    <w:tab w:val="right" w:pos="8838"/>
                  </w:tabs>
                  <w:ind w:right="-105"/>
                  <w:rPr>
                    <w:rFonts w:ascii="Palatino Linotype" w:eastAsia="Palatino Linotype" w:hAnsi="Palatino Linotype" w:cs="Palatino Linotype"/>
                    <w:b/>
                    <w:bCs/>
                    <w:szCs w:val="22"/>
                  </w:rPr>
                </w:pPr>
                <w:r w:rsidRPr="009B1CF3">
                  <w:rPr>
                    <w:rFonts w:ascii="Palatino Linotype" w:eastAsia="Palatino Linotype" w:hAnsi="Palatino Linotype" w:cs="Palatino Linotype"/>
                    <w:b/>
                    <w:bCs/>
                    <w:szCs w:val="22"/>
                  </w:rPr>
                  <w:t>Recurso de Revisión:</w:t>
                </w:r>
              </w:p>
            </w:tc>
            <w:tc>
              <w:tcPr>
                <w:tcW w:w="4111" w:type="dxa"/>
                <w:shd w:val="clear" w:color="auto" w:fill="auto"/>
              </w:tcPr>
              <w:p w:rsidR="0053398A" w:rsidRPr="009B1CF3" w:rsidRDefault="0053398A">
                <w:pPr>
                  <w:tabs>
                    <w:tab w:val="right" w:pos="8838"/>
                  </w:tabs>
                  <w:ind w:left="-108" w:right="-1090"/>
                  <w:jc w:val="both"/>
                  <w:rPr>
                    <w:rFonts w:ascii="Palatino Linotype" w:eastAsia="Palatino Linotype" w:hAnsi="Palatino Linotype" w:cs="Palatino Linotype"/>
                    <w:szCs w:val="22"/>
                  </w:rPr>
                </w:pPr>
                <w:r w:rsidRPr="009B1CF3">
                  <w:rPr>
                    <w:rFonts w:ascii="Palatino Linotype" w:eastAsia="Palatino Linotype" w:hAnsi="Palatino Linotype" w:cs="Palatino Linotype"/>
                    <w:szCs w:val="22"/>
                  </w:rPr>
                  <w:t>01858/INFOEM/IP/RR/2026</w:t>
                </w:r>
                <w:r w:rsidRPr="009B1CF3">
                  <w:rPr>
                    <w:rFonts w:ascii="Palatino Linotype" w:eastAsia="Palatino Linotype" w:hAnsi="Palatino Linotype" w:cs="Palatino Linotype"/>
                    <w:b/>
                    <w:bCs/>
                    <w:szCs w:val="22"/>
                  </w:rPr>
                  <w:t xml:space="preserve"> </w:t>
                </w:r>
              </w:p>
            </w:tc>
          </w:tr>
          <w:tr w:rsidR="0053398A" w:rsidTr="009B1CF3">
            <w:trPr>
              <w:trHeight w:val="295"/>
            </w:trPr>
            <w:tc>
              <w:tcPr>
                <w:tcW w:w="2977" w:type="dxa"/>
                <w:shd w:val="clear" w:color="auto" w:fill="auto"/>
              </w:tcPr>
              <w:p w:rsidR="0053398A" w:rsidRPr="009B1CF3" w:rsidRDefault="0053398A">
                <w:pPr>
                  <w:tabs>
                    <w:tab w:val="right" w:pos="8838"/>
                  </w:tabs>
                  <w:ind w:right="-105"/>
                  <w:rPr>
                    <w:rFonts w:ascii="Palatino Linotype" w:eastAsia="Palatino Linotype" w:hAnsi="Palatino Linotype" w:cs="Palatino Linotype"/>
                    <w:b/>
                    <w:bCs/>
                    <w:szCs w:val="22"/>
                  </w:rPr>
                </w:pPr>
                <w:r w:rsidRPr="009B1CF3">
                  <w:rPr>
                    <w:rFonts w:ascii="Palatino Linotype" w:eastAsia="Palatino Linotype" w:hAnsi="Palatino Linotype" w:cs="Palatino Linotype"/>
                    <w:b/>
                    <w:bCs/>
                    <w:szCs w:val="22"/>
                  </w:rPr>
                  <w:t>Sujeto Obligado:</w:t>
                </w:r>
              </w:p>
            </w:tc>
            <w:tc>
              <w:tcPr>
                <w:tcW w:w="4111" w:type="dxa"/>
                <w:shd w:val="clear" w:color="auto" w:fill="auto"/>
              </w:tcPr>
              <w:p w:rsidR="0053398A" w:rsidRPr="009B1CF3" w:rsidRDefault="0053398A">
                <w:pPr>
                  <w:tabs>
                    <w:tab w:val="left" w:pos="2834"/>
                    <w:tab w:val="right" w:pos="8838"/>
                  </w:tabs>
                  <w:ind w:left="-108" w:right="-1090"/>
                  <w:jc w:val="both"/>
                  <w:rPr>
                    <w:rFonts w:ascii="Palatino Linotype" w:eastAsia="Palatino Linotype" w:hAnsi="Palatino Linotype" w:cs="Palatino Linotype"/>
                    <w:bCs/>
                    <w:szCs w:val="22"/>
                  </w:rPr>
                </w:pPr>
                <w:r w:rsidRPr="009B1CF3">
                  <w:rPr>
                    <w:rFonts w:ascii="Palatino Linotype" w:eastAsia="Palatino Linotype" w:hAnsi="Palatino Linotype" w:cs="Palatino Linotype"/>
                    <w:bCs/>
                    <w:szCs w:val="22"/>
                  </w:rPr>
                  <w:t xml:space="preserve">Sistema de Transporte Masivo y </w:t>
                </w:r>
              </w:p>
              <w:p w:rsidR="0053398A" w:rsidRPr="009B1CF3" w:rsidRDefault="0053398A">
                <w:pPr>
                  <w:tabs>
                    <w:tab w:val="left" w:pos="2834"/>
                    <w:tab w:val="right" w:pos="8838"/>
                  </w:tabs>
                  <w:ind w:left="-108" w:right="-1090"/>
                  <w:jc w:val="both"/>
                  <w:rPr>
                    <w:rFonts w:ascii="Palatino Linotype" w:eastAsia="Palatino Linotype" w:hAnsi="Palatino Linotype" w:cs="Palatino Linotype"/>
                    <w:szCs w:val="22"/>
                  </w:rPr>
                </w:pPr>
                <w:r w:rsidRPr="009B1CF3">
                  <w:rPr>
                    <w:rFonts w:ascii="Palatino Linotype" w:eastAsia="Palatino Linotype" w:hAnsi="Palatino Linotype" w:cs="Palatino Linotype"/>
                    <w:bCs/>
                    <w:szCs w:val="22"/>
                  </w:rPr>
                  <w:t>Teleférico del Estado de México</w:t>
                </w:r>
              </w:p>
            </w:tc>
          </w:tr>
          <w:tr w:rsidR="0053398A" w:rsidTr="009B1CF3">
            <w:trPr>
              <w:trHeight w:val="295"/>
            </w:trPr>
            <w:tc>
              <w:tcPr>
                <w:tcW w:w="2977" w:type="dxa"/>
                <w:shd w:val="clear" w:color="auto" w:fill="auto"/>
              </w:tcPr>
              <w:p w:rsidR="0053398A" w:rsidRPr="009B1CF3" w:rsidRDefault="0053398A">
                <w:pPr>
                  <w:tabs>
                    <w:tab w:val="right" w:pos="8838"/>
                  </w:tabs>
                  <w:ind w:right="-105"/>
                  <w:rPr>
                    <w:rFonts w:ascii="Palatino Linotype" w:eastAsia="Palatino Linotype" w:hAnsi="Palatino Linotype" w:cs="Palatino Linotype"/>
                    <w:b/>
                    <w:bCs/>
                    <w:szCs w:val="22"/>
                  </w:rPr>
                </w:pPr>
                <w:r w:rsidRPr="009B1CF3">
                  <w:rPr>
                    <w:rFonts w:ascii="Palatino Linotype" w:eastAsia="Palatino Linotype" w:hAnsi="Palatino Linotype" w:cs="Palatino Linotype"/>
                    <w:b/>
                    <w:bCs/>
                    <w:szCs w:val="22"/>
                  </w:rPr>
                  <w:t>Comisionado ponente:</w:t>
                </w:r>
              </w:p>
            </w:tc>
            <w:tc>
              <w:tcPr>
                <w:tcW w:w="4111" w:type="dxa"/>
                <w:shd w:val="clear" w:color="auto" w:fill="auto"/>
              </w:tcPr>
              <w:p w:rsidR="0053398A" w:rsidRPr="009B1CF3" w:rsidRDefault="0053398A">
                <w:pPr>
                  <w:tabs>
                    <w:tab w:val="right" w:pos="8838"/>
                  </w:tabs>
                  <w:ind w:left="-108" w:right="-1090"/>
                  <w:jc w:val="both"/>
                  <w:rPr>
                    <w:rFonts w:ascii="Palatino Linotype" w:eastAsia="Palatino Linotype" w:hAnsi="Palatino Linotype" w:cs="Palatino Linotype"/>
                    <w:szCs w:val="22"/>
                  </w:rPr>
                </w:pPr>
                <w:r w:rsidRPr="009B1CF3">
                  <w:rPr>
                    <w:rFonts w:ascii="Palatino Linotype" w:eastAsia="Palatino Linotype" w:hAnsi="Palatino Linotype" w:cs="Palatino Linotype"/>
                    <w:szCs w:val="22"/>
                  </w:rPr>
                  <w:t>María del Rosario Mejía Ayala</w:t>
                </w:r>
              </w:p>
              <w:p w:rsidR="0053398A" w:rsidRPr="009B1CF3" w:rsidRDefault="0053398A">
                <w:pPr>
                  <w:tabs>
                    <w:tab w:val="right" w:pos="8838"/>
                  </w:tabs>
                  <w:ind w:left="-108" w:right="-1090"/>
                  <w:jc w:val="both"/>
                  <w:rPr>
                    <w:rFonts w:ascii="Palatino Linotype" w:eastAsia="Palatino Linotype" w:hAnsi="Palatino Linotype" w:cs="Palatino Linotype"/>
                    <w:b/>
                    <w:bCs/>
                    <w:szCs w:val="22"/>
                  </w:rPr>
                </w:pPr>
              </w:p>
            </w:tc>
          </w:tr>
        </w:tbl>
        <w:p w:rsidR="0053398A" w:rsidRDefault="0053398A">
          <w:pPr>
            <w:tabs>
              <w:tab w:val="right" w:pos="8838"/>
            </w:tabs>
            <w:ind w:left="-28"/>
            <w:jc w:val="both"/>
            <w:rPr>
              <w:rFonts w:ascii="Arial" w:eastAsia="Arial" w:hAnsi="Arial" w:cs="Arial"/>
              <w:b/>
              <w:bCs/>
              <w:sz w:val="22"/>
              <w:szCs w:val="22"/>
            </w:rPr>
          </w:pPr>
        </w:p>
      </w:tc>
    </w:tr>
  </w:tbl>
  <w:p w:rsidR="0053398A" w:rsidRDefault="00BE2985">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style="position:absolute;margin-left:-56.8pt;margin-top:-128.7pt;width:589.8pt;height:768pt;z-index:-251656192;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5"/>
      <w:gridCol w:w="8083"/>
    </w:tblGrid>
    <w:tr w:rsidR="0053398A" w:rsidTr="009B1CF3">
      <w:trPr>
        <w:trHeight w:val="1435"/>
      </w:trPr>
      <w:tc>
        <w:tcPr>
          <w:tcW w:w="2265" w:type="dxa"/>
          <w:shd w:val="clear" w:color="auto" w:fill="auto"/>
        </w:tcPr>
        <w:p w:rsidR="0053398A" w:rsidRDefault="0053398A">
          <w:pPr>
            <w:tabs>
              <w:tab w:val="right" w:pos="4273"/>
            </w:tabs>
            <w:rPr>
              <w:rFonts w:ascii="Garamond" w:eastAsia="Garamond" w:hAnsi="Garamond" w:cs="Garamond"/>
              <w:sz w:val="22"/>
              <w:szCs w:val="22"/>
            </w:rPr>
          </w:pPr>
        </w:p>
      </w:tc>
      <w:tc>
        <w:tcPr>
          <w:tcW w:w="8083" w:type="dxa"/>
          <w:shd w:val="clear" w:color="auto" w:fill="auto"/>
        </w:tcPr>
        <w:tbl>
          <w:tblPr>
            <w:tblW w:w="7658" w:type="dxa"/>
            <w:tblInd w:w="604" w:type="dxa"/>
            <w:tblLayout w:type="fixed"/>
            <w:tblLook w:val="0400" w:firstRow="0" w:lastRow="0" w:firstColumn="0" w:lastColumn="0" w:noHBand="0" w:noVBand="1"/>
          </w:tblPr>
          <w:tblGrid>
            <w:gridCol w:w="2693"/>
            <w:gridCol w:w="4965"/>
          </w:tblGrid>
          <w:tr w:rsidR="0053398A" w:rsidTr="009B1CF3">
            <w:trPr>
              <w:trHeight w:val="144"/>
            </w:trPr>
            <w:tc>
              <w:tcPr>
                <w:tcW w:w="2693" w:type="dxa"/>
                <w:shd w:val="clear" w:color="auto" w:fill="auto"/>
              </w:tcPr>
              <w:p w:rsidR="0053398A" w:rsidRPr="009B1CF3" w:rsidRDefault="0053398A">
                <w:pPr>
                  <w:tabs>
                    <w:tab w:val="right" w:pos="8838"/>
                  </w:tabs>
                  <w:ind w:left="-264" w:right="-105" w:firstLine="195"/>
                  <w:rPr>
                    <w:rFonts w:ascii="Palatino Linotype" w:eastAsia="Palatino Linotype" w:hAnsi="Palatino Linotype" w:cs="Palatino Linotype"/>
                    <w:b/>
                    <w:bCs/>
                    <w:szCs w:val="22"/>
                  </w:rPr>
                </w:pPr>
                <w:r w:rsidRPr="009B1CF3">
                  <w:rPr>
                    <w:rFonts w:ascii="Palatino Linotype" w:eastAsia="Palatino Linotype" w:hAnsi="Palatino Linotype" w:cs="Palatino Linotype"/>
                    <w:b/>
                    <w:bCs/>
                    <w:szCs w:val="22"/>
                  </w:rPr>
                  <w:t>Recurso de Revisión:</w:t>
                </w:r>
              </w:p>
            </w:tc>
            <w:tc>
              <w:tcPr>
                <w:tcW w:w="4965" w:type="dxa"/>
                <w:shd w:val="clear" w:color="auto" w:fill="auto"/>
              </w:tcPr>
              <w:p w:rsidR="0053398A" w:rsidRPr="009B1CF3" w:rsidRDefault="0053398A">
                <w:pPr>
                  <w:tabs>
                    <w:tab w:val="right" w:pos="8838"/>
                  </w:tabs>
                  <w:ind w:left="-74" w:right="-1269"/>
                  <w:rPr>
                    <w:rFonts w:ascii="Palatino Linotype" w:eastAsia="Palatino Linotype" w:hAnsi="Palatino Linotype" w:cs="Palatino Linotype"/>
                    <w:szCs w:val="22"/>
                  </w:rPr>
                </w:pPr>
                <w:r w:rsidRPr="009B1CF3">
                  <w:rPr>
                    <w:rFonts w:ascii="Palatino Linotype" w:eastAsia="Palatino Linotype" w:hAnsi="Palatino Linotype" w:cs="Palatino Linotype"/>
                    <w:szCs w:val="22"/>
                  </w:rPr>
                  <w:t>01858/INFOEM/IP/RR/2026</w:t>
                </w:r>
              </w:p>
            </w:tc>
          </w:tr>
          <w:tr w:rsidR="0053398A" w:rsidTr="009B1CF3">
            <w:trPr>
              <w:trHeight w:val="144"/>
            </w:trPr>
            <w:tc>
              <w:tcPr>
                <w:tcW w:w="2693" w:type="dxa"/>
                <w:shd w:val="clear" w:color="auto" w:fill="auto"/>
              </w:tcPr>
              <w:p w:rsidR="0053398A" w:rsidRPr="009B1CF3" w:rsidRDefault="0053398A">
                <w:pPr>
                  <w:tabs>
                    <w:tab w:val="right" w:pos="8838"/>
                  </w:tabs>
                  <w:ind w:left="-74" w:right="-105"/>
                  <w:rPr>
                    <w:rFonts w:ascii="Palatino Linotype" w:eastAsia="Palatino Linotype" w:hAnsi="Palatino Linotype" w:cs="Palatino Linotype"/>
                    <w:b/>
                    <w:bCs/>
                    <w:szCs w:val="22"/>
                  </w:rPr>
                </w:pPr>
                <w:r w:rsidRPr="009B1CF3">
                  <w:rPr>
                    <w:rFonts w:ascii="Palatino Linotype" w:eastAsia="Palatino Linotype" w:hAnsi="Palatino Linotype" w:cs="Palatino Linotype"/>
                    <w:b/>
                    <w:bCs/>
                    <w:szCs w:val="22"/>
                  </w:rPr>
                  <w:t>Recurrente:</w:t>
                </w:r>
              </w:p>
            </w:tc>
            <w:tc>
              <w:tcPr>
                <w:tcW w:w="4965" w:type="dxa"/>
                <w:shd w:val="clear" w:color="auto" w:fill="auto"/>
              </w:tcPr>
              <w:p w:rsidR="0053398A" w:rsidRPr="009B1CF3" w:rsidRDefault="0053398A" w:rsidP="00DC241F">
                <w:pPr>
                  <w:tabs>
                    <w:tab w:val="left" w:pos="3122"/>
                    <w:tab w:val="right" w:pos="8838"/>
                  </w:tabs>
                  <w:ind w:left="-74" w:right="-1269"/>
                  <w:rPr>
                    <w:rFonts w:ascii="Palatino Linotype" w:eastAsia="Palatino Linotype" w:hAnsi="Palatino Linotype" w:cs="Palatino Linotype"/>
                    <w:szCs w:val="22"/>
                  </w:rPr>
                </w:pPr>
                <w:r w:rsidRPr="009B1CF3">
                  <w:rPr>
                    <w:rFonts w:ascii="Palatino Linotype" w:eastAsia="Palatino Linotype" w:hAnsi="Palatino Linotype" w:cs="Palatino Linotype"/>
                    <w:b/>
                    <w:bCs/>
                    <w:szCs w:val="22"/>
                  </w:rPr>
                  <w:t> </w:t>
                </w:r>
                <w:r w:rsidR="00DC241F">
                  <w:rPr>
                    <w:rFonts w:ascii="Palatino Linotype" w:eastAsia="Palatino Linotype" w:hAnsi="Palatino Linotype" w:cs="Palatino Linotype"/>
                    <w:bCs/>
                    <w:szCs w:val="22"/>
                  </w:rPr>
                  <w:t>XXXX</w:t>
                </w:r>
              </w:p>
            </w:tc>
          </w:tr>
          <w:tr w:rsidR="0053398A" w:rsidTr="009B1CF3">
            <w:trPr>
              <w:trHeight w:val="283"/>
            </w:trPr>
            <w:tc>
              <w:tcPr>
                <w:tcW w:w="2693" w:type="dxa"/>
                <w:shd w:val="clear" w:color="auto" w:fill="auto"/>
              </w:tcPr>
              <w:p w:rsidR="0053398A" w:rsidRPr="009B1CF3" w:rsidRDefault="0053398A">
                <w:pPr>
                  <w:tabs>
                    <w:tab w:val="right" w:pos="8838"/>
                  </w:tabs>
                  <w:ind w:left="-74" w:right="-105"/>
                  <w:rPr>
                    <w:rFonts w:ascii="Palatino Linotype" w:eastAsia="Palatino Linotype" w:hAnsi="Palatino Linotype" w:cs="Palatino Linotype"/>
                    <w:b/>
                    <w:bCs/>
                    <w:szCs w:val="22"/>
                  </w:rPr>
                </w:pPr>
                <w:r w:rsidRPr="009B1CF3">
                  <w:rPr>
                    <w:rFonts w:ascii="Palatino Linotype" w:eastAsia="Palatino Linotype" w:hAnsi="Palatino Linotype" w:cs="Palatino Linotype"/>
                    <w:b/>
                    <w:bCs/>
                    <w:szCs w:val="22"/>
                  </w:rPr>
                  <w:t>Sujeto Obligado:</w:t>
                </w:r>
              </w:p>
            </w:tc>
            <w:tc>
              <w:tcPr>
                <w:tcW w:w="4965" w:type="dxa"/>
                <w:shd w:val="clear" w:color="auto" w:fill="auto"/>
              </w:tcPr>
              <w:p w:rsidR="0053398A" w:rsidRPr="009B1CF3" w:rsidRDefault="0053398A" w:rsidP="009B1CF3">
                <w:pPr>
                  <w:tabs>
                    <w:tab w:val="left" w:pos="2834"/>
                    <w:tab w:val="right" w:pos="8838"/>
                  </w:tabs>
                  <w:ind w:left="-74" w:right="179"/>
                  <w:rPr>
                    <w:rFonts w:ascii="Palatino Linotype" w:eastAsia="Palatino Linotype" w:hAnsi="Palatino Linotype" w:cs="Palatino Linotype"/>
                    <w:bCs/>
                    <w:szCs w:val="22"/>
                  </w:rPr>
                </w:pPr>
                <w:r w:rsidRPr="009B1CF3">
                  <w:rPr>
                    <w:rFonts w:ascii="Palatino Linotype" w:eastAsia="Palatino Linotype" w:hAnsi="Palatino Linotype" w:cs="Palatino Linotype"/>
                    <w:bCs/>
                    <w:szCs w:val="22"/>
                  </w:rPr>
                  <w:t>Sistema de Transporte Masivo y Teleférico del Estado de México</w:t>
                </w:r>
              </w:p>
            </w:tc>
          </w:tr>
          <w:tr w:rsidR="0053398A" w:rsidTr="009B1CF3">
            <w:trPr>
              <w:trHeight w:val="283"/>
            </w:trPr>
            <w:tc>
              <w:tcPr>
                <w:tcW w:w="2693" w:type="dxa"/>
                <w:shd w:val="clear" w:color="auto" w:fill="auto"/>
              </w:tcPr>
              <w:p w:rsidR="0053398A" w:rsidRPr="009B1CF3" w:rsidRDefault="0053398A">
                <w:pPr>
                  <w:tabs>
                    <w:tab w:val="right" w:pos="8838"/>
                  </w:tabs>
                  <w:ind w:left="-74" w:right="-105"/>
                  <w:rPr>
                    <w:rFonts w:ascii="Palatino Linotype" w:eastAsia="Palatino Linotype" w:hAnsi="Palatino Linotype" w:cs="Palatino Linotype"/>
                    <w:b/>
                    <w:bCs/>
                    <w:szCs w:val="22"/>
                  </w:rPr>
                </w:pPr>
                <w:r w:rsidRPr="009B1CF3">
                  <w:rPr>
                    <w:rFonts w:ascii="Palatino Linotype" w:eastAsia="Palatino Linotype" w:hAnsi="Palatino Linotype" w:cs="Palatino Linotype"/>
                    <w:b/>
                    <w:bCs/>
                    <w:szCs w:val="22"/>
                  </w:rPr>
                  <w:t>Comisionado ponente:</w:t>
                </w:r>
              </w:p>
            </w:tc>
            <w:tc>
              <w:tcPr>
                <w:tcW w:w="4965" w:type="dxa"/>
                <w:shd w:val="clear" w:color="auto" w:fill="auto"/>
              </w:tcPr>
              <w:p w:rsidR="0053398A" w:rsidRPr="009B1CF3" w:rsidRDefault="0053398A">
                <w:pPr>
                  <w:tabs>
                    <w:tab w:val="right" w:pos="8838"/>
                  </w:tabs>
                  <w:ind w:left="-74" w:right="-1269"/>
                  <w:rPr>
                    <w:rFonts w:ascii="Palatino Linotype" w:eastAsia="Palatino Linotype" w:hAnsi="Palatino Linotype" w:cs="Palatino Linotype"/>
                    <w:szCs w:val="22"/>
                  </w:rPr>
                </w:pPr>
                <w:r w:rsidRPr="009B1CF3">
                  <w:rPr>
                    <w:rFonts w:ascii="Palatino Linotype" w:eastAsia="Palatino Linotype" w:hAnsi="Palatino Linotype" w:cs="Palatino Linotype"/>
                    <w:szCs w:val="22"/>
                  </w:rPr>
                  <w:t>María del Rosario Mejía Ayala</w:t>
                </w:r>
              </w:p>
              <w:p w:rsidR="0053398A" w:rsidRPr="009B1CF3" w:rsidRDefault="0053398A">
                <w:pPr>
                  <w:tabs>
                    <w:tab w:val="right" w:pos="8838"/>
                  </w:tabs>
                  <w:ind w:left="-74" w:right="-1269"/>
                  <w:rPr>
                    <w:rFonts w:ascii="Palatino Linotype" w:eastAsia="Palatino Linotype" w:hAnsi="Palatino Linotype" w:cs="Palatino Linotype"/>
                    <w:b/>
                    <w:bCs/>
                    <w:szCs w:val="22"/>
                  </w:rPr>
                </w:pPr>
              </w:p>
            </w:tc>
          </w:tr>
        </w:tbl>
        <w:p w:rsidR="0053398A" w:rsidRDefault="0053398A">
          <w:pPr>
            <w:tabs>
              <w:tab w:val="right" w:pos="8838"/>
            </w:tabs>
            <w:ind w:left="-28"/>
            <w:jc w:val="both"/>
            <w:rPr>
              <w:rFonts w:ascii="Arial" w:eastAsia="Arial" w:hAnsi="Arial" w:cs="Arial"/>
              <w:b/>
              <w:bCs/>
              <w:sz w:val="22"/>
              <w:szCs w:val="22"/>
            </w:rPr>
          </w:pPr>
        </w:p>
      </w:tc>
    </w:tr>
  </w:tbl>
  <w:p w:rsidR="0053398A" w:rsidRDefault="00BE2985">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style="position:absolute;margin-left:-68.4pt;margin-top:-133.35pt;width:589.8pt;height:768pt;z-index:-251655168;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706A1"/>
    <w:multiLevelType w:val="hybridMultilevel"/>
    <w:tmpl w:val="F710CB56"/>
    <w:lvl w:ilvl="0" w:tplc="6D48FB40">
      <w:numFmt w:val="bullet"/>
      <w:lvlText w:val="-"/>
      <w:lvlJc w:val="left"/>
      <w:pPr>
        <w:ind w:left="1080" w:hanging="360"/>
      </w:pPr>
      <w:rPr>
        <w:rFonts w:ascii="Palatino Linotype" w:eastAsia="Palatino Linotype" w:hAnsi="Palatino Linotype" w:cs="Palatino Linotype" w:hint="default"/>
      </w:rPr>
    </w:lvl>
    <w:lvl w:ilvl="1" w:tplc="080A0003">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 w15:restartNumberingAfterBreak="0">
    <w:nsid w:val="089314B4"/>
    <w:multiLevelType w:val="multilevel"/>
    <w:tmpl w:val="2538409E"/>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rPr>
        <w:b/>
        <w:i w:val="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6E3E65"/>
    <w:multiLevelType w:val="hybridMultilevel"/>
    <w:tmpl w:val="A59A9E8E"/>
    <w:lvl w:ilvl="0" w:tplc="352E8DDA">
      <w:start w:val="1"/>
      <w:numFmt w:val="decimal"/>
      <w:lvlText w:val="%1."/>
      <w:lvlJc w:val="left"/>
      <w:pPr>
        <w:ind w:left="720" w:hanging="360"/>
      </w:pPr>
      <w:rPr>
        <w:b/>
        <w:i w:val="0"/>
        <w:sz w:val="24"/>
      </w:rPr>
    </w:lvl>
    <w:lvl w:ilvl="1" w:tplc="5C580E56">
      <w:start w:val="5"/>
      <w:numFmt w:val="bullet"/>
      <w:lvlText w:val="•"/>
      <w:lvlJc w:val="left"/>
      <w:pPr>
        <w:ind w:left="1785" w:hanging="705"/>
      </w:pPr>
      <w:rPr>
        <w:rFonts w:ascii="Palatino Linotype" w:eastAsiaTheme="minorEastAsia" w:hAnsi="Palatino Linotype" w:cs="Arial" w:hint="default"/>
      </w:rPr>
    </w:lvl>
    <w:lvl w:ilvl="2" w:tplc="8D2E970C">
      <w:start w:val="1"/>
      <w:numFmt w:val="lowerLetter"/>
      <w:lvlText w:val="%3)"/>
      <w:lvlJc w:val="left"/>
      <w:pPr>
        <w:ind w:left="2820" w:hanging="840"/>
      </w:pPr>
      <w:rPr>
        <w:rFonts w:hint="default"/>
      </w:rPr>
    </w:lvl>
    <w:lvl w:ilvl="3" w:tplc="354C2A32">
      <w:start w:val="1"/>
      <w:numFmt w:val="upperRoman"/>
      <w:lvlText w:val="%4."/>
      <w:lvlJc w:val="left"/>
      <w:pPr>
        <w:ind w:left="3240" w:hanging="720"/>
      </w:pPr>
      <w:rPr>
        <w:rFonts w:hint="default"/>
      </w:rPr>
    </w:lvl>
    <w:lvl w:ilvl="4" w:tplc="5F60518E">
      <w:start w:val="1"/>
      <w:numFmt w:val="upperLetter"/>
      <w:lvlText w:val="%5."/>
      <w:lvlJc w:val="left"/>
      <w:pPr>
        <w:ind w:left="786" w:hanging="360"/>
      </w:pPr>
      <w:rPr>
        <w:rFonts w:hint="default"/>
      </w:rPr>
    </w:lvl>
    <w:lvl w:ilvl="5" w:tplc="DAF0C25E">
      <w:start w:val="70"/>
      <w:numFmt w:val="bullet"/>
      <w:lvlText w:val="·"/>
      <w:lvlJc w:val="left"/>
      <w:pPr>
        <w:ind w:left="4500" w:hanging="360"/>
      </w:pPr>
      <w:rPr>
        <w:rFonts w:ascii="Palatino Linotype" w:eastAsiaTheme="minorEastAsia" w:hAnsi="Palatino Linotype" w:cs="Arial" w:hint="default"/>
      </w:r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291A86"/>
    <w:multiLevelType w:val="hybridMultilevel"/>
    <w:tmpl w:val="937C66AC"/>
    <w:lvl w:ilvl="0" w:tplc="6D48FB40">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87D29CD"/>
    <w:multiLevelType w:val="hybridMultilevel"/>
    <w:tmpl w:val="A81E3A42"/>
    <w:lvl w:ilvl="0" w:tplc="6D48FB40">
      <w:numFmt w:val="bullet"/>
      <w:lvlText w:val="-"/>
      <w:lvlJc w:val="left"/>
      <w:pPr>
        <w:ind w:left="1080" w:hanging="360"/>
      </w:pPr>
      <w:rPr>
        <w:rFonts w:ascii="Palatino Linotype" w:eastAsia="Palatino Linotype" w:hAnsi="Palatino Linotype" w:cs="Palatino Linotype" w:hint="default"/>
      </w:rPr>
    </w:lvl>
    <w:lvl w:ilvl="1" w:tplc="6D48FB40">
      <w:numFmt w:val="bullet"/>
      <w:lvlText w:val="-"/>
      <w:lvlJc w:val="left"/>
      <w:pPr>
        <w:ind w:left="1800" w:hanging="360"/>
      </w:pPr>
      <w:rPr>
        <w:rFonts w:ascii="Palatino Linotype" w:eastAsia="Palatino Linotype" w:hAnsi="Palatino Linotype" w:cs="Palatino Linotype"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189365D8"/>
    <w:multiLevelType w:val="multilevel"/>
    <w:tmpl w:val="D902CC2E"/>
    <w:lvl w:ilvl="0">
      <w:start w:val="1"/>
      <w:numFmt w:val="decimal"/>
      <w:lvlText w:val="%1."/>
      <w:lvlJc w:val="left"/>
      <w:pPr>
        <w:ind w:left="4613" w:hanging="360"/>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8"/>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FD3BE3"/>
    <w:multiLevelType w:val="hybridMultilevel"/>
    <w:tmpl w:val="C786170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61E0ABF"/>
    <w:multiLevelType w:val="hybridMultilevel"/>
    <w:tmpl w:val="018A4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2F2243F"/>
    <w:multiLevelType w:val="multilevel"/>
    <w:tmpl w:val="67988E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0" w15:restartNumberingAfterBreak="0">
    <w:nsid w:val="37AF7097"/>
    <w:multiLevelType w:val="multilevel"/>
    <w:tmpl w:val="4E5EC0A8"/>
    <w:lvl w:ilvl="0">
      <w:start w:val="1"/>
      <w:numFmt w:val="decimal"/>
      <w:lvlText w:val="%1."/>
      <w:lvlJc w:val="left"/>
      <w:pPr>
        <w:ind w:left="3479" w:hanging="36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6545C5"/>
    <w:multiLevelType w:val="hybridMultilevel"/>
    <w:tmpl w:val="09BA89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2B190D"/>
    <w:multiLevelType w:val="hybridMultilevel"/>
    <w:tmpl w:val="88B4C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3" w15:restartNumberingAfterBreak="0">
    <w:nsid w:val="61EF58C9"/>
    <w:multiLevelType w:val="hybridMultilevel"/>
    <w:tmpl w:val="DD0CC76A"/>
    <w:lvl w:ilvl="0" w:tplc="9C1A17DE">
      <w:numFmt w:val="bullet"/>
      <w:lvlText w:val="-"/>
      <w:lvlJc w:val="left"/>
      <w:pPr>
        <w:ind w:left="1080" w:hanging="360"/>
      </w:pPr>
      <w:rPr>
        <w:rFonts w:ascii="Palatino Linotype" w:eastAsia="Palatino Linotype" w:hAnsi="Palatino Linotype" w:cs="Palatino Linotype" w:hint="default"/>
        <w:i w:val="0"/>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8EF5CCF"/>
    <w:multiLevelType w:val="hybridMultilevel"/>
    <w:tmpl w:val="DBC49110"/>
    <w:lvl w:ilvl="0" w:tplc="1E82C0BE">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6" w15:restartNumberingAfterBreak="0">
    <w:nsid w:val="6A003D4A"/>
    <w:multiLevelType w:val="hybridMultilevel"/>
    <w:tmpl w:val="BD526848"/>
    <w:lvl w:ilvl="0" w:tplc="C37E60D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4BF133F"/>
    <w:multiLevelType w:val="multilevel"/>
    <w:tmpl w:val="3590257C"/>
    <w:lvl w:ilvl="0">
      <w:start w:val="1"/>
      <w:numFmt w:val="decimal"/>
      <w:lvlText w:val="%1."/>
      <w:lvlJc w:val="left"/>
      <w:pPr>
        <w:ind w:left="7731"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1"/>
  </w:num>
  <w:num w:numId="3">
    <w:abstractNumId w:val="14"/>
  </w:num>
  <w:num w:numId="4">
    <w:abstractNumId w:val="0"/>
  </w:num>
  <w:num w:numId="5">
    <w:abstractNumId w:val="16"/>
  </w:num>
  <w:num w:numId="6">
    <w:abstractNumId w:val="13"/>
  </w:num>
  <w:num w:numId="7">
    <w:abstractNumId w:val="3"/>
  </w:num>
  <w:num w:numId="8">
    <w:abstractNumId w:val="6"/>
  </w:num>
  <w:num w:numId="9">
    <w:abstractNumId w:val="11"/>
  </w:num>
  <w:num w:numId="10">
    <w:abstractNumId w:val="10"/>
  </w:num>
  <w:num w:numId="11">
    <w:abstractNumId w:val="4"/>
  </w:num>
  <w:num w:numId="12">
    <w:abstractNumId w:val="15"/>
  </w:num>
  <w:num w:numId="13">
    <w:abstractNumId w:val="12"/>
  </w:num>
  <w:num w:numId="14">
    <w:abstractNumId w:val="8"/>
  </w:num>
  <w:num w:numId="15">
    <w:abstractNumId w:val="17"/>
  </w:num>
  <w:num w:numId="16">
    <w:abstractNumId w:val="9"/>
  </w:num>
  <w:num w:numId="17">
    <w:abstractNumId w:val="5"/>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FE4"/>
    <w:rsid w:val="00021DE0"/>
    <w:rsid w:val="000334DA"/>
    <w:rsid w:val="000A47F4"/>
    <w:rsid w:val="000B0108"/>
    <w:rsid w:val="00124DBE"/>
    <w:rsid w:val="001A2C6E"/>
    <w:rsid w:val="00215CE4"/>
    <w:rsid w:val="00266671"/>
    <w:rsid w:val="002B315C"/>
    <w:rsid w:val="002D6993"/>
    <w:rsid w:val="002D7FAB"/>
    <w:rsid w:val="003B6C35"/>
    <w:rsid w:val="003C6AF0"/>
    <w:rsid w:val="003E1D7D"/>
    <w:rsid w:val="00400DE3"/>
    <w:rsid w:val="00454EDE"/>
    <w:rsid w:val="0053398A"/>
    <w:rsid w:val="0055249F"/>
    <w:rsid w:val="00553417"/>
    <w:rsid w:val="00606504"/>
    <w:rsid w:val="00662F22"/>
    <w:rsid w:val="006E6065"/>
    <w:rsid w:val="006F0547"/>
    <w:rsid w:val="0073117C"/>
    <w:rsid w:val="00747AD3"/>
    <w:rsid w:val="00773680"/>
    <w:rsid w:val="007A0B86"/>
    <w:rsid w:val="00811409"/>
    <w:rsid w:val="00865429"/>
    <w:rsid w:val="0088222F"/>
    <w:rsid w:val="00917283"/>
    <w:rsid w:val="0093418E"/>
    <w:rsid w:val="009B1CF3"/>
    <w:rsid w:val="00A070DA"/>
    <w:rsid w:val="00A45C7F"/>
    <w:rsid w:val="00A500B9"/>
    <w:rsid w:val="00AB19EE"/>
    <w:rsid w:val="00AD2A27"/>
    <w:rsid w:val="00AD6B37"/>
    <w:rsid w:val="00B3209A"/>
    <w:rsid w:val="00BA4AB1"/>
    <w:rsid w:val="00BE2985"/>
    <w:rsid w:val="00C13207"/>
    <w:rsid w:val="00C20EAE"/>
    <w:rsid w:val="00C438D7"/>
    <w:rsid w:val="00CA105C"/>
    <w:rsid w:val="00CD7F6F"/>
    <w:rsid w:val="00CE49D9"/>
    <w:rsid w:val="00D003DE"/>
    <w:rsid w:val="00D830F6"/>
    <w:rsid w:val="00D966C9"/>
    <w:rsid w:val="00DC241F"/>
    <w:rsid w:val="00DD4CE6"/>
    <w:rsid w:val="00E36FE4"/>
    <w:rsid w:val="00E41F0D"/>
    <w:rsid w:val="00E47416"/>
    <w:rsid w:val="00EA2FF6"/>
    <w:rsid w:val="00EB0265"/>
    <w:rsid w:val="00EB28E9"/>
    <w:rsid w:val="00EE4E45"/>
    <w:rsid w:val="00EF4491"/>
    <w:rsid w:val="00F32796"/>
    <w:rsid w:val="00F46996"/>
    <w:rsid w:val="00F736ED"/>
    <w:rsid w:val="00FD1370"/>
    <w:rsid w:val="00FF5C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9C1EFC6-5523-48BA-8CDA-5F3AAD9D8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36FE4"/>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E36FE4"/>
    <w:pPr>
      <w:keepNext/>
      <w:keepLines/>
      <w:spacing w:before="240"/>
      <w:outlineLvl w:val="0"/>
    </w:pPr>
    <w:rPr>
      <w:rFonts w:ascii="Calibri" w:eastAsia="Calibri" w:hAnsi="Calibri" w:cs="Calibri"/>
      <w:color w:val="2E75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36FE4"/>
    <w:rPr>
      <w:rFonts w:ascii="Calibri" w:eastAsia="Calibri" w:hAnsi="Calibri" w:cs="Calibri"/>
      <w:color w:val="2E75B5"/>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E36FE4"/>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E36FE4"/>
    <w:rPr>
      <w:rFonts w:ascii="Times New Roman" w:eastAsia="Times New Roman" w:hAnsi="Times New Roman" w:cs="Times New Roman"/>
      <w:sz w:val="24"/>
      <w:szCs w:val="24"/>
      <w:lang w:eastAsia="es-MX"/>
    </w:rPr>
  </w:style>
  <w:style w:type="character" w:styleId="Hipervnculo">
    <w:name w:val="Hyperlink"/>
    <w:aliases w:val="Hipervínculo1,Hipervínculo11,Hipervínculo12,Hipervínculo13,Hipervínculo14,Hipervínculo15"/>
    <w:basedOn w:val="Fuentedeprrafopredeter"/>
    <w:uiPriority w:val="99"/>
    <w:unhideWhenUsed/>
    <w:qFormat/>
    <w:rsid w:val="00E36FE4"/>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E36FE4"/>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36FE4"/>
    <w:rPr>
      <w:rFonts w:ascii="Calibri" w:eastAsia="Calibri" w:hAnsi="Calibri" w:cs="Times New Roman"/>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E36FE4"/>
    <w:rPr>
      <w:vertAlign w:val="superscript"/>
    </w:rPr>
  </w:style>
  <w:style w:type="table" w:styleId="Tabladecuadrcula4-nfasis3">
    <w:name w:val="Grid Table 4 Accent 3"/>
    <w:basedOn w:val="Tablanormal"/>
    <w:uiPriority w:val="49"/>
    <w:rsid w:val="00E36FE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iedepgina">
    <w:name w:val="footer"/>
    <w:basedOn w:val="Normal"/>
    <w:link w:val="PiedepginaCar"/>
    <w:uiPriority w:val="99"/>
    <w:unhideWhenUsed/>
    <w:rsid w:val="00E36FE4"/>
    <w:pPr>
      <w:tabs>
        <w:tab w:val="center" w:pos="4419"/>
        <w:tab w:val="right" w:pos="8838"/>
      </w:tabs>
    </w:pPr>
  </w:style>
  <w:style w:type="character" w:customStyle="1" w:styleId="PiedepginaCar">
    <w:name w:val="Pie de página Car"/>
    <w:basedOn w:val="Fuentedeprrafopredeter"/>
    <w:link w:val="Piedepgina"/>
    <w:uiPriority w:val="99"/>
    <w:rsid w:val="00E36FE4"/>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968433">
      <w:bodyDiv w:val="1"/>
      <w:marLeft w:val="0"/>
      <w:marRight w:val="0"/>
      <w:marTop w:val="0"/>
      <w:marBottom w:val="0"/>
      <w:divBdr>
        <w:top w:val="none" w:sz="0" w:space="0" w:color="auto"/>
        <w:left w:val="none" w:sz="0" w:space="0" w:color="auto"/>
        <w:bottom w:val="none" w:sz="0" w:space="0" w:color="auto"/>
        <w:right w:val="none" w:sz="0" w:space="0" w:color="auto"/>
      </w:divBdr>
    </w:div>
    <w:div w:id="165603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55C0B-E235-4741-9D5D-C23AD8D8F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25</Pages>
  <Words>5835</Words>
  <Characters>32095</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37855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12</cp:revision>
  <cp:lastPrinted>2026-07-03T16:00:00Z</cp:lastPrinted>
  <dcterms:created xsi:type="dcterms:W3CDTF">2026-06-25T19:34:00Z</dcterms:created>
  <dcterms:modified xsi:type="dcterms:W3CDTF">2026-07-07T22:39:00Z</dcterms:modified>
</cp:coreProperties>
</file>