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AB03A" w14:textId="77777777" w:rsidR="008576E7" w:rsidRPr="00B26B57" w:rsidRDefault="008576E7" w:rsidP="00FE611C">
      <w:pPr>
        <w:spacing w:line="360" w:lineRule="auto"/>
        <w:contextualSpacing/>
        <w:jc w:val="both"/>
        <w:rPr>
          <w:rFonts w:ascii="Palatino Linotype" w:hAnsi="Palatino Linotype" w:cs="Tahoma"/>
          <w:bCs/>
          <w:sz w:val="22"/>
          <w:szCs w:val="22"/>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color w:val="FF0000"/>
          <w:szCs w:val="20"/>
        </w:rPr>
      </w:sdtEndPr>
      <w:sdtContent>
        <w:p w14:paraId="4D219B7C" w14:textId="18B3278B" w:rsidR="008576E7" w:rsidRPr="00B26B57" w:rsidRDefault="008576E7" w:rsidP="008576E7">
          <w:pPr>
            <w:pStyle w:val="TtulodeTDC"/>
            <w:spacing w:line="360" w:lineRule="auto"/>
            <w:rPr>
              <w:b w:val="0"/>
              <w:bCs/>
              <w:color w:val="auto"/>
              <w:szCs w:val="22"/>
              <w:lang w:val="es-ES"/>
            </w:rPr>
          </w:pPr>
          <w:r w:rsidRPr="00B26B57">
            <w:rPr>
              <w:b w:val="0"/>
              <w:bCs/>
              <w:color w:val="auto"/>
              <w:szCs w:val="22"/>
              <w:lang w:val="es-ES"/>
            </w:rPr>
            <w:t>RESOLUC</w:t>
          </w:r>
          <w:r w:rsidR="001E21F9" w:rsidRPr="00B26B57">
            <w:rPr>
              <w:b w:val="0"/>
              <w:bCs/>
              <w:color w:val="auto"/>
              <w:szCs w:val="22"/>
              <w:lang w:val="es-ES"/>
            </w:rPr>
            <w:t>IÓN DEL RECURSO DE REVISIÓN 14321</w:t>
          </w:r>
          <w:r w:rsidRPr="00B26B57">
            <w:rPr>
              <w:b w:val="0"/>
              <w:bCs/>
              <w:color w:val="auto"/>
              <w:szCs w:val="22"/>
              <w:lang w:val="es-ES"/>
            </w:rPr>
            <w:t xml:space="preserve">/INFOEM/IP/RR/2025 </w:t>
          </w:r>
        </w:p>
        <w:p w14:paraId="1D56B619" w14:textId="77777777" w:rsidR="008576E7" w:rsidRPr="00B26B57" w:rsidRDefault="008576E7" w:rsidP="008576E7">
          <w:pPr>
            <w:rPr>
              <w:sz w:val="22"/>
              <w:szCs w:val="22"/>
              <w:lang w:val="es-ES" w:eastAsia="es-MX"/>
            </w:rPr>
          </w:pPr>
        </w:p>
        <w:p w14:paraId="22948C97" w14:textId="77777777" w:rsidR="008576E7" w:rsidRPr="00B26B57" w:rsidRDefault="008576E7" w:rsidP="008576E7">
          <w:pPr>
            <w:spacing w:line="360" w:lineRule="auto"/>
            <w:rPr>
              <w:sz w:val="22"/>
              <w:szCs w:val="22"/>
              <w:lang w:val="es-ES" w:eastAsia="es-MX"/>
            </w:rPr>
          </w:pPr>
        </w:p>
        <w:p w14:paraId="1A0D6DD8" w14:textId="77777777" w:rsidR="00701644" w:rsidRPr="00701644" w:rsidRDefault="008576E7">
          <w:pPr>
            <w:pStyle w:val="TDC1"/>
            <w:rPr>
              <w:rFonts w:asciiTheme="minorHAnsi" w:eastAsiaTheme="minorEastAsia" w:hAnsiTheme="minorHAnsi" w:cstheme="minorBidi"/>
              <w:noProof/>
              <w:sz w:val="22"/>
              <w:szCs w:val="22"/>
              <w:lang w:eastAsia="es-MX"/>
            </w:rPr>
          </w:pPr>
          <w:r w:rsidRPr="00B26B57">
            <w:rPr>
              <w:rFonts w:ascii="Palatino Linotype" w:hAnsi="Palatino Linotype"/>
              <w:bCs/>
              <w:sz w:val="22"/>
              <w:szCs w:val="22"/>
            </w:rPr>
            <w:fldChar w:fldCharType="begin"/>
          </w:r>
          <w:r w:rsidRPr="00B26B57">
            <w:rPr>
              <w:rFonts w:ascii="Palatino Linotype" w:hAnsi="Palatino Linotype"/>
              <w:bCs/>
              <w:sz w:val="22"/>
              <w:szCs w:val="22"/>
            </w:rPr>
            <w:instrText xml:space="preserve"> TOC \o "1-3" \h \z \u </w:instrText>
          </w:r>
          <w:r w:rsidRPr="00B26B57">
            <w:rPr>
              <w:rFonts w:ascii="Palatino Linotype" w:hAnsi="Palatino Linotype"/>
              <w:bCs/>
              <w:sz w:val="22"/>
              <w:szCs w:val="22"/>
            </w:rPr>
            <w:fldChar w:fldCharType="separate"/>
          </w:r>
          <w:hyperlink w:anchor="_Toc219984635" w:history="1">
            <w:r w:rsidR="00701644" w:rsidRPr="00701644">
              <w:rPr>
                <w:rStyle w:val="Hipervnculo"/>
                <w:rFonts w:ascii="Palatino Linotype" w:hAnsi="Palatino Linotype"/>
                <w:noProof/>
              </w:rPr>
              <w:t>A N T E C E D E N T E S</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_Toc219984635 \h </w:instrText>
            </w:r>
            <w:r w:rsidR="00701644" w:rsidRPr="00701644">
              <w:rPr>
                <w:noProof/>
                <w:webHidden/>
              </w:rPr>
            </w:r>
            <w:r w:rsidR="00701644" w:rsidRPr="00701644">
              <w:rPr>
                <w:noProof/>
                <w:webHidden/>
              </w:rPr>
              <w:fldChar w:fldCharType="separate"/>
            </w:r>
            <w:r w:rsidR="00485376">
              <w:rPr>
                <w:noProof/>
                <w:webHidden/>
              </w:rPr>
              <w:t>2</w:t>
            </w:r>
            <w:r w:rsidR="00701644" w:rsidRPr="00701644">
              <w:rPr>
                <w:noProof/>
                <w:webHidden/>
              </w:rPr>
              <w:fldChar w:fldCharType="end"/>
            </w:r>
          </w:hyperlink>
        </w:p>
        <w:p w14:paraId="103BAF4B"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36" w:history="1">
            <w:r w:rsidR="00701644" w:rsidRPr="00701644">
              <w:rPr>
                <w:rStyle w:val="Hipervnculo"/>
                <w:rFonts w:ascii="Palatino Linotype" w:hAnsi="Palatino Linotype"/>
                <w:noProof/>
              </w:rPr>
              <w:t>I. Presentación de la solicitud de información</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_Toc219984636 \h </w:instrText>
            </w:r>
            <w:r w:rsidR="00701644" w:rsidRPr="00701644">
              <w:rPr>
                <w:noProof/>
                <w:webHidden/>
              </w:rPr>
            </w:r>
            <w:r w:rsidR="00701644" w:rsidRPr="00701644">
              <w:rPr>
                <w:noProof/>
                <w:webHidden/>
              </w:rPr>
              <w:fldChar w:fldCharType="separate"/>
            </w:r>
            <w:r w:rsidR="00485376">
              <w:rPr>
                <w:noProof/>
                <w:webHidden/>
              </w:rPr>
              <w:t>2</w:t>
            </w:r>
            <w:r w:rsidR="00701644" w:rsidRPr="00701644">
              <w:rPr>
                <w:noProof/>
                <w:webHidden/>
              </w:rPr>
              <w:fldChar w:fldCharType="end"/>
            </w:r>
          </w:hyperlink>
        </w:p>
        <w:p w14:paraId="5CC09015"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37" w:history="1">
            <w:r w:rsidR="00701644" w:rsidRPr="00701644">
              <w:rPr>
                <w:rStyle w:val="Hipervnculo"/>
                <w:rFonts w:ascii="Palatino Linotype" w:eastAsia="Calibri" w:hAnsi="Palatino Linotype"/>
                <w:noProof/>
              </w:rPr>
              <w:t>II. Respuesta del Sujeto Obligado</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_Toc219984637 \h </w:instrText>
            </w:r>
            <w:r w:rsidR="00701644" w:rsidRPr="00701644">
              <w:rPr>
                <w:noProof/>
                <w:webHidden/>
              </w:rPr>
            </w:r>
            <w:r w:rsidR="00701644" w:rsidRPr="00701644">
              <w:rPr>
                <w:noProof/>
                <w:webHidden/>
              </w:rPr>
              <w:fldChar w:fldCharType="separate"/>
            </w:r>
            <w:r w:rsidR="00485376">
              <w:rPr>
                <w:noProof/>
                <w:webHidden/>
              </w:rPr>
              <w:t>3</w:t>
            </w:r>
            <w:r w:rsidR="00701644" w:rsidRPr="00701644">
              <w:rPr>
                <w:noProof/>
                <w:webHidden/>
              </w:rPr>
              <w:fldChar w:fldCharType="end"/>
            </w:r>
          </w:hyperlink>
        </w:p>
        <w:p w14:paraId="62646C8A"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38" w:history="1">
            <w:r w:rsidR="00701644" w:rsidRPr="00701644">
              <w:rPr>
                <w:rStyle w:val="Hipervnculo"/>
                <w:rFonts w:ascii="Palatino Linotype" w:hAnsi="Palatino Linotype"/>
                <w:noProof/>
              </w:rPr>
              <w:t>III. Interposición del Recurso de Revisión</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_Toc219984638 \h </w:instrText>
            </w:r>
            <w:r w:rsidR="00701644" w:rsidRPr="00701644">
              <w:rPr>
                <w:noProof/>
                <w:webHidden/>
              </w:rPr>
            </w:r>
            <w:r w:rsidR="00701644" w:rsidRPr="00701644">
              <w:rPr>
                <w:noProof/>
                <w:webHidden/>
              </w:rPr>
              <w:fldChar w:fldCharType="separate"/>
            </w:r>
            <w:r w:rsidR="00485376">
              <w:rPr>
                <w:noProof/>
                <w:webHidden/>
              </w:rPr>
              <w:t>3</w:t>
            </w:r>
            <w:r w:rsidR="00701644" w:rsidRPr="00701644">
              <w:rPr>
                <w:noProof/>
                <w:webHidden/>
              </w:rPr>
              <w:fldChar w:fldCharType="end"/>
            </w:r>
          </w:hyperlink>
        </w:p>
        <w:p w14:paraId="41A4CE16"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39" w:history="1">
            <w:r w:rsidR="00701644" w:rsidRPr="00701644">
              <w:rPr>
                <w:rStyle w:val="Hipervnculo"/>
                <w:rFonts w:ascii="Palatino Linotype" w:hAnsi="Palatino Linotype"/>
                <w:noProof/>
              </w:rPr>
              <w:t xml:space="preserve">IV. </w:t>
            </w:r>
            <w:r w:rsidR="00701644" w:rsidRPr="00701644">
              <w:rPr>
                <w:rStyle w:val="Hipervnculo"/>
                <w:rFonts w:ascii="Palatino Linotype" w:eastAsia="Batang" w:hAnsi="Palatino Linotype"/>
                <w:noProof/>
              </w:rPr>
              <w:t xml:space="preserve">Trámite del </w:t>
            </w:r>
            <w:r w:rsidR="00701644" w:rsidRPr="00701644">
              <w:rPr>
                <w:rStyle w:val="Hipervnculo"/>
                <w:rFonts w:ascii="Palatino Linotype" w:hAnsi="Palatino Linotype"/>
                <w:noProof/>
              </w:rPr>
              <w:t xml:space="preserve">Recurso de Revisión </w:t>
            </w:r>
            <w:r w:rsidR="00701644" w:rsidRPr="00701644">
              <w:rPr>
                <w:rStyle w:val="Hipervnculo"/>
                <w:rFonts w:ascii="Palatino Linotype" w:eastAsia="Batang" w:hAnsi="Palatino Linotype"/>
                <w:noProof/>
              </w:rPr>
              <w:t>ante este Instituto</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_Toc219984639 \h </w:instrText>
            </w:r>
            <w:r w:rsidR="00701644" w:rsidRPr="00701644">
              <w:rPr>
                <w:noProof/>
                <w:webHidden/>
              </w:rPr>
            </w:r>
            <w:r w:rsidR="00701644" w:rsidRPr="00701644">
              <w:rPr>
                <w:noProof/>
                <w:webHidden/>
              </w:rPr>
              <w:fldChar w:fldCharType="separate"/>
            </w:r>
            <w:r w:rsidR="00485376">
              <w:rPr>
                <w:noProof/>
                <w:webHidden/>
              </w:rPr>
              <w:t>4</w:t>
            </w:r>
            <w:r w:rsidR="00701644" w:rsidRPr="00701644">
              <w:rPr>
                <w:noProof/>
                <w:webHidden/>
              </w:rPr>
              <w:fldChar w:fldCharType="end"/>
            </w:r>
          </w:hyperlink>
        </w:p>
        <w:p w14:paraId="6A8307AB" w14:textId="77777777" w:rsidR="00701644" w:rsidRPr="00701644" w:rsidRDefault="004969FB">
          <w:pPr>
            <w:pStyle w:val="TDC2"/>
            <w:tabs>
              <w:tab w:val="right" w:leader="dot" w:pos="8828"/>
            </w:tabs>
            <w:rPr>
              <w:rFonts w:asciiTheme="minorHAnsi" w:eastAsiaTheme="minorEastAsia" w:hAnsiTheme="minorHAnsi" w:cstheme="minorBidi"/>
              <w:noProof/>
              <w:sz w:val="22"/>
              <w:szCs w:val="22"/>
              <w:lang w:eastAsia="es-MX"/>
            </w:rPr>
          </w:pPr>
          <w:hyperlink w:anchor="_Toc219984640" w:history="1">
            <w:r w:rsidR="00701644" w:rsidRPr="00701644">
              <w:rPr>
                <w:rStyle w:val="Hipervnculo"/>
                <w:rFonts w:ascii="Palatino Linotype" w:hAnsi="Palatino Linotype"/>
                <w:noProof/>
              </w:rPr>
              <w:t>a) Turno del Recurso de Revisión</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_Toc219984640 \h </w:instrText>
            </w:r>
            <w:r w:rsidR="00701644" w:rsidRPr="00701644">
              <w:rPr>
                <w:noProof/>
                <w:webHidden/>
              </w:rPr>
            </w:r>
            <w:r w:rsidR="00701644" w:rsidRPr="00701644">
              <w:rPr>
                <w:noProof/>
                <w:webHidden/>
              </w:rPr>
              <w:fldChar w:fldCharType="separate"/>
            </w:r>
            <w:r w:rsidR="00485376">
              <w:rPr>
                <w:noProof/>
                <w:webHidden/>
              </w:rPr>
              <w:t>4</w:t>
            </w:r>
            <w:r w:rsidR="00701644" w:rsidRPr="00701644">
              <w:rPr>
                <w:noProof/>
                <w:webHidden/>
              </w:rPr>
              <w:fldChar w:fldCharType="end"/>
            </w:r>
          </w:hyperlink>
        </w:p>
        <w:p w14:paraId="3FCA179E" w14:textId="77777777" w:rsidR="00701644" w:rsidRPr="00701644" w:rsidRDefault="004969FB">
          <w:pPr>
            <w:pStyle w:val="TDC2"/>
            <w:tabs>
              <w:tab w:val="right" w:leader="dot" w:pos="8828"/>
            </w:tabs>
            <w:rPr>
              <w:rFonts w:asciiTheme="minorHAnsi" w:eastAsiaTheme="minorEastAsia" w:hAnsiTheme="minorHAnsi" w:cstheme="minorBidi"/>
              <w:noProof/>
              <w:sz w:val="22"/>
              <w:szCs w:val="22"/>
              <w:lang w:eastAsia="es-MX"/>
            </w:rPr>
          </w:pPr>
          <w:hyperlink w:anchor="_Toc219984641" w:history="1">
            <w:r w:rsidR="00701644" w:rsidRPr="00701644">
              <w:rPr>
                <w:rStyle w:val="Hipervnculo"/>
                <w:rFonts w:ascii="Palatino Linotype" w:hAnsi="Palatino Linotype"/>
                <w:noProof/>
              </w:rPr>
              <w:t>b) Admisión de los Recursos de Revisión</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_Toc219984641 \h </w:instrText>
            </w:r>
            <w:r w:rsidR="00701644" w:rsidRPr="00701644">
              <w:rPr>
                <w:noProof/>
                <w:webHidden/>
              </w:rPr>
            </w:r>
            <w:r w:rsidR="00701644" w:rsidRPr="00701644">
              <w:rPr>
                <w:noProof/>
                <w:webHidden/>
              </w:rPr>
              <w:fldChar w:fldCharType="separate"/>
            </w:r>
            <w:r w:rsidR="00485376">
              <w:rPr>
                <w:noProof/>
                <w:webHidden/>
              </w:rPr>
              <w:t>5</w:t>
            </w:r>
            <w:r w:rsidR="00701644" w:rsidRPr="00701644">
              <w:rPr>
                <w:noProof/>
                <w:webHidden/>
              </w:rPr>
              <w:fldChar w:fldCharType="end"/>
            </w:r>
          </w:hyperlink>
        </w:p>
        <w:p w14:paraId="46F8E2D6" w14:textId="77777777" w:rsidR="00701644" w:rsidRPr="00701644" w:rsidRDefault="004969FB">
          <w:pPr>
            <w:pStyle w:val="TDC2"/>
            <w:tabs>
              <w:tab w:val="right" w:leader="dot" w:pos="8828"/>
            </w:tabs>
            <w:rPr>
              <w:rFonts w:asciiTheme="minorHAnsi" w:eastAsiaTheme="minorEastAsia" w:hAnsiTheme="minorHAnsi" w:cstheme="minorBidi"/>
              <w:noProof/>
              <w:sz w:val="22"/>
              <w:szCs w:val="22"/>
              <w:lang w:eastAsia="es-MX"/>
            </w:rPr>
          </w:pPr>
          <w:hyperlink w:anchor="_Toc219984642" w:history="1">
            <w:r w:rsidR="00701644" w:rsidRPr="00701644">
              <w:rPr>
                <w:rStyle w:val="Hipervnculo"/>
                <w:rFonts w:ascii="Palatino Linotype" w:hAnsi="Palatino Linotype"/>
                <w:noProof/>
              </w:rPr>
              <w:t>c) Informe Justificado</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_Toc219984642 \h </w:instrText>
            </w:r>
            <w:r w:rsidR="00701644" w:rsidRPr="00701644">
              <w:rPr>
                <w:noProof/>
                <w:webHidden/>
              </w:rPr>
            </w:r>
            <w:r w:rsidR="00701644" w:rsidRPr="00701644">
              <w:rPr>
                <w:noProof/>
                <w:webHidden/>
              </w:rPr>
              <w:fldChar w:fldCharType="separate"/>
            </w:r>
            <w:r w:rsidR="00485376">
              <w:rPr>
                <w:noProof/>
                <w:webHidden/>
              </w:rPr>
              <w:t>5</w:t>
            </w:r>
            <w:r w:rsidR="00701644" w:rsidRPr="00701644">
              <w:rPr>
                <w:noProof/>
                <w:webHidden/>
              </w:rPr>
              <w:fldChar w:fldCharType="end"/>
            </w:r>
          </w:hyperlink>
        </w:p>
        <w:p w14:paraId="55230ECC" w14:textId="77777777" w:rsidR="00701644" w:rsidRPr="00701644" w:rsidRDefault="004969FB">
          <w:pPr>
            <w:pStyle w:val="TDC2"/>
            <w:tabs>
              <w:tab w:val="right" w:leader="dot" w:pos="8828"/>
            </w:tabs>
            <w:rPr>
              <w:rFonts w:asciiTheme="minorHAnsi" w:eastAsiaTheme="minorEastAsia" w:hAnsiTheme="minorHAnsi" w:cstheme="minorBidi"/>
              <w:noProof/>
              <w:sz w:val="22"/>
              <w:szCs w:val="22"/>
              <w:lang w:eastAsia="es-MX"/>
            </w:rPr>
          </w:pPr>
          <w:hyperlink w:anchor="_Toc219984643" w:history="1">
            <w:r w:rsidR="00701644" w:rsidRPr="00701644">
              <w:rPr>
                <w:rStyle w:val="Hipervnculo"/>
                <w:rFonts w:ascii="Palatino Linotype" w:hAnsi="Palatino Linotype"/>
                <w:noProof/>
              </w:rPr>
              <w:t>e) Vista de Informe Justificado</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_Toc219984643 \h </w:instrText>
            </w:r>
            <w:r w:rsidR="00701644" w:rsidRPr="00701644">
              <w:rPr>
                <w:noProof/>
                <w:webHidden/>
              </w:rPr>
            </w:r>
            <w:r w:rsidR="00701644" w:rsidRPr="00701644">
              <w:rPr>
                <w:noProof/>
                <w:webHidden/>
              </w:rPr>
              <w:fldChar w:fldCharType="separate"/>
            </w:r>
            <w:r w:rsidR="00485376">
              <w:rPr>
                <w:noProof/>
                <w:webHidden/>
              </w:rPr>
              <w:t>6</w:t>
            </w:r>
            <w:r w:rsidR="00701644" w:rsidRPr="00701644">
              <w:rPr>
                <w:noProof/>
                <w:webHidden/>
              </w:rPr>
              <w:fldChar w:fldCharType="end"/>
            </w:r>
          </w:hyperlink>
        </w:p>
        <w:p w14:paraId="3CFB86E5" w14:textId="77777777" w:rsidR="00701644" w:rsidRPr="00701644" w:rsidRDefault="004969FB">
          <w:pPr>
            <w:pStyle w:val="TDC2"/>
            <w:tabs>
              <w:tab w:val="right" w:leader="dot" w:pos="8828"/>
            </w:tabs>
            <w:rPr>
              <w:rFonts w:asciiTheme="minorHAnsi" w:eastAsiaTheme="minorEastAsia" w:hAnsiTheme="minorHAnsi" w:cstheme="minorBidi"/>
              <w:noProof/>
              <w:sz w:val="22"/>
              <w:szCs w:val="22"/>
              <w:lang w:eastAsia="es-MX"/>
            </w:rPr>
          </w:pPr>
          <w:hyperlink w:anchor="_Toc219984644" w:history="1">
            <w:r w:rsidR="00701644" w:rsidRPr="00701644">
              <w:rPr>
                <w:rStyle w:val="Hipervnculo"/>
                <w:rFonts w:ascii="Palatino Linotype" w:hAnsi="Palatino Linotype"/>
                <w:noProof/>
              </w:rPr>
              <w:t>f) Cierre de instrucción</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_Toc219984644 \h </w:instrText>
            </w:r>
            <w:r w:rsidR="00701644" w:rsidRPr="00701644">
              <w:rPr>
                <w:noProof/>
                <w:webHidden/>
              </w:rPr>
            </w:r>
            <w:r w:rsidR="00701644" w:rsidRPr="00701644">
              <w:rPr>
                <w:noProof/>
                <w:webHidden/>
              </w:rPr>
              <w:fldChar w:fldCharType="separate"/>
            </w:r>
            <w:r w:rsidR="00485376">
              <w:rPr>
                <w:noProof/>
                <w:webHidden/>
              </w:rPr>
              <w:t>6</w:t>
            </w:r>
            <w:r w:rsidR="00701644" w:rsidRPr="00701644">
              <w:rPr>
                <w:noProof/>
                <w:webHidden/>
              </w:rPr>
              <w:fldChar w:fldCharType="end"/>
            </w:r>
          </w:hyperlink>
        </w:p>
        <w:p w14:paraId="1872D06B"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45" w:history="1">
            <w:r w:rsidR="00701644" w:rsidRPr="00701644">
              <w:rPr>
                <w:rStyle w:val="Hipervnculo"/>
                <w:rFonts w:ascii="Palatino Linotype" w:hAnsi="Palatino Linotype"/>
                <w:noProof/>
              </w:rPr>
              <w:t>C O N S I D E R A N D O S</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_Toc219984645 \h </w:instrText>
            </w:r>
            <w:r w:rsidR="00701644" w:rsidRPr="00701644">
              <w:rPr>
                <w:noProof/>
                <w:webHidden/>
              </w:rPr>
            </w:r>
            <w:r w:rsidR="00701644" w:rsidRPr="00701644">
              <w:rPr>
                <w:noProof/>
                <w:webHidden/>
              </w:rPr>
              <w:fldChar w:fldCharType="separate"/>
            </w:r>
            <w:r w:rsidR="00485376">
              <w:rPr>
                <w:noProof/>
                <w:webHidden/>
              </w:rPr>
              <w:t>6</w:t>
            </w:r>
            <w:r w:rsidR="00701644" w:rsidRPr="00701644">
              <w:rPr>
                <w:noProof/>
                <w:webHidden/>
              </w:rPr>
              <w:fldChar w:fldCharType="end"/>
            </w:r>
          </w:hyperlink>
        </w:p>
        <w:p w14:paraId="07B24874"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46" w:history="1">
            <w:r w:rsidR="00701644" w:rsidRPr="00701644">
              <w:rPr>
                <w:rStyle w:val="Hipervnculo"/>
                <w:rFonts w:ascii="Palatino Linotype" w:eastAsia="Batang" w:hAnsi="Palatino Linotype"/>
                <w:noProof/>
              </w:rPr>
              <w:t>PRIMERO. Competencia</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_Toc219984646 \h </w:instrText>
            </w:r>
            <w:r w:rsidR="00701644" w:rsidRPr="00701644">
              <w:rPr>
                <w:noProof/>
                <w:webHidden/>
              </w:rPr>
            </w:r>
            <w:r w:rsidR="00701644" w:rsidRPr="00701644">
              <w:rPr>
                <w:noProof/>
                <w:webHidden/>
              </w:rPr>
              <w:fldChar w:fldCharType="separate"/>
            </w:r>
            <w:r w:rsidR="00485376">
              <w:rPr>
                <w:noProof/>
                <w:webHidden/>
              </w:rPr>
              <w:t>6</w:t>
            </w:r>
            <w:r w:rsidR="00701644" w:rsidRPr="00701644">
              <w:rPr>
                <w:noProof/>
                <w:webHidden/>
              </w:rPr>
              <w:fldChar w:fldCharType="end"/>
            </w:r>
          </w:hyperlink>
        </w:p>
        <w:p w14:paraId="5D924ABA"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47" w:history="1">
            <w:r w:rsidR="00701644" w:rsidRPr="00701644">
              <w:rPr>
                <w:rStyle w:val="Hipervnculo"/>
                <w:rFonts w:ascii="Palatino Linotype" w:eastAsia="Calibri" w:hAnsi="Palatino Linotype"/>
                <w:noProof/>
                <w:lang w:val="es-ES" w:eastAsia="es-MX"/>
              </w:rPr>
              <w:t xml:space="preserve">SEGUNDO. </w:t>
            </w:r>
            <w:r w:rsidR="00701644" w:rsidRPr="00701644">
              <w:rPr>
                <w:rStyle w:val="Hipervnculo"/>
                <w:rFonts w:ascii="Palatino Linotype" w:hAnsi="Palatino Linotype"/>
                <w:noProof/>
                <w:lang w:val="es-ES"/>
              </w:rPr>
              <w:t>Causales de improcedencia y sobreseimiento</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_Toc219984647 \h </w:instrText>
            </w:r>
            <w:r w:rsidR="00701644" w:rsidRPr="00701644">
              <w:rPr>
                <w:noProof/>
                <w:webHidden/>
              </w:rPr>
            </w:r>
            <w:r w:rsidR="00701644" w:rsidRPr="00701644">
              <w:rPr>
                <w:noProof/>
                <w:webHidden/>
              </w:rPr>
              <w:fldChar w:fldCharType="separate"/>
            </w:r>
            <w:r w:rsidR="00485376">
              <w:rPr>
                <w:noProof/>
                <w:webHidden/>
              </w:rPr>
              <w:t>7</w:t>
            </w:r>
            <w:r w:rsidR="00701644" w:rsidRPr="00701644">
              <w:rPr>
                <w:noProof/>
                <w:webHidden/>
              </w:rPr>
              <w:fldChar w:fldCharType="end"/>
            </w:r>
          </w:hyperlink>
        </w:p>
        <w:p w14:paraId="5049B170"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48" w:history="1">
            <w:r w:rsidR="00701644" w:rsidRPr="00701644">
              <w:rPr>
                <w:rStyle w:val="Hipervnculo"/>
                <w:rFonts w:ascii="Palatino Linotype" w:hAnsi="Palatino Linotype"/>
                <w:noProof/>
                <w:lang w:val="es-ES"/>
              </w:rPr>
              <w:t>TERCERO. Causales de sobreseimiento</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_Toc219984648 \h </w:instrText>
            </w:r>
            <w:r w:rsidR="00701644" w:rsidRPr="00701644">
              <w:rPr>
                <w:noProof/>
                <w:webHidden/>
              </w:rPr>
            </w:r>
            <w:r w:rsidR="00701644" w:rsidRPr="00701644">
              <w:rPr>
                <w:noProof/>
                <w:webHidden/>
              </w:rPr>
              <w:fldChar w:fldCharType="separate"/>
            </w:r>
            <w:r w:rsidR="00485376">
              <w:rPr>
                <w:noProof/>
                <w:webHidden/>
              </w:rPr>
              <w:t>8</w:t>
            </w:r>
            <w:r w:rsidR="00701644" w:rsidRPr="00701644">
              <w:rPr>
                <w:noProof/>
                <w:webHidden/>
              </w:rPr>
              <w:fldChar w:fldCharType="end"/>
            </w:r>
          </w:hyperlink>
        </w:p>
        <w:p w14:paraId="3628F6CC" w14:textId="77777777" w:rsidR="00701644" w:rsidRPr="00701644" w:rsidRDefault="004969FB">
          <w:pPr>
            <w:pStyle w:val="TDC2"/>
            <w:tabs>
              <w:tab w:val="right" w:leader="dot" w:pos="8828"/>
            </w:tabs>
            <w:rPr>
              <w:rFonts w:asciiTheme="minorHAnsi" w:eastAsiaTheme="minorEastAsia" w:hAnsiTheme="minorHAnsi" w:cstheme="minorBidi"/>
              <w:noProof/>
              <w:sz w:val="22"/>
              <w:szCs w:val="22"/>
              <w:lang w:eastAsia="es-MX"/>
            </w:rPr>
          </w:pPr>
          <w:hyperlink w:anchor="_Toc219984649" w:history="1">
            <w:r w:rsidR="00701644" w:rsidRPr="00701644">
              <w:rPr>
                <w:rStyle w:val="Hipervnculo"/>
                <w:rFonts w:ascii="Palatino Linotype" w:eastAsiaTheme="majorEastAsia" w:hAnsi="Palatino Linotype" w:cstheme="majorBidi"/>
                <w:noProof/>
              </w:rPr>
              <w:t>CUARTO. Decisión</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_Toc219984649 \h </w:instrText>
            </w:r>
            <w:r w:rsidR="00701644" w:rsidRPr="00701644">
              <w:rPr>
                <w:noProof/>
                <w:webHidden/>
              </w:rPr>
            </w:r>
            <w:r w:rsidR="00701644" w:rsidRPr="00701644">
              <w:rPr>
                <w:noProof/>
                <w:webHidden/>
              </w:rPr>
              <w:fldChar w:fldCharType="separate"/>
            </w:r>
            <w:r w:rsidR="00485376">
              <w:rPr>
                <w:noProof/>
                <w:webHidden/>
              </w:rPr>
              <w:t>19</w:t>
            </w:r>
            <w:r w:rsidR="00701644" w:rsidRPr="00701644">
              <w:rPr>
                <w:noProof/>
                <w:webHidden/>
              </w:rPr>
              <w:fldChar w:fldCharType="end"/>
            </w:r>
          </w:hyperlink>
        </w:p>
        <w:p w14:paraId="5C90B32B" w14:textId="77777777" w:rsidR="00701644" w:rsidRPr="00701644" w:rsidRDefault="004969FB">
          <w:pPr>
            <w:pStyle w:val="TDC1"/>
            <w:rPr>
              <w:rFonts w:asciiTheme="minorHAnsi" w:eastAsiaTheme="minorEastAsia" w:hAnsiTheme="minorHAnsi" w:cstheme="minorBidi"/>
              <w:noProof/>
              <w:sz w:val="22"/>
              <w:szCs w:val="22"/>
              <w:lang w:eastAsia="es-MX"/>
            </w:rPr>
          </w:pPr>
          <w:hyperlink w:anchor="_Toc219984650" w:history="1">
            <w:r w:rsidR="00701644" w:rsidRPr="00701644">
              <w:rPr>
                <w:rStyle w:val="Hipervnculo"/>
                <w:rFonts w:ascii="Palatino Linotype" w:eastAsiaTheme="majorEastAsia" w:hAnsi="Palatino Linotype" w:cstheme="majorBidi"/>
                <w:noProof/>
              </w:rPr>
              <w:t>R E S U E L V E</w:t>
            </w:r>
            <w:r w:rsidR="00701644" w:rsidRPr="00701644">
              <w:rPr>
                <w:noProof/>
                <w:webHidden/>
              </w:rPr>
              <w:tab/>
            </w:r>
            <w:r w:rsidR="00701644" w:rsidRPr="00701644">
              <w:rPr>
                <w:noProof/>
                <w:webHidden/>
              </w:rPr>
              <w:fldChar w:fldCharType="begin"/>
            </w:r>
            <w:r w:rsidR="00701644" w:rsidRPr="00701644">
              <w:rPr>
                <w:noProof/>
                <w:webHidden/>
              </w:rPr>
              <w:instrText xml:space="preserve"> PAGEREF _Toc219984650 \h </w:instrText>
            </w:r>
            <w:r w:rsidR="00701644" w:rsidRPr="00701644">
              <w:rPr>
                <w:noProof/>
                <w:webHidden/>
              </w:rPr>
            </w:r>
            <w:r w:rsidR="00701644" w:rsidRPr="00701644">
              <w:rPr>
                <w:noProof/>
                <w:webHidden/>
              </w:rPr>
              <w:fldChar w:fldCharType="separate"/>
            </w:r>
            <w:r w:rsidR="00485376">
              <w:rPr>
                <w:noProof/>
                <w:webHidden/>
              </w:rPr>
              <w:t>19</w:t>
            </w:r>
            <w:r w:rsidR="00701644" w:rsidRPr="00701644">
              <w:rPr>
                <w:noProof/>
                <w:webHidden/>
              </w:rPr>
              <w:fldChar w:fldCharType="end"/>
            </w:r>
          </w:hyperlink>
        </w:p>
        <w:p w14:paraId="673EA6CB" w14:textId="7043473E" w:rsidR="008576E7" w:rsidRPr="001E21F9" w:rsidRDefault="008576E7" w:rsidP="00FE611C">
          <w:pPr>
            <w:spacing w:line="360" w:lineRule="auto"/>
            <w:jc w:val="both"/>
            <w:rPr>
              <w:bCs/>
              <w:color w:val="FF0000"/>
              <w:lang w:val="es-ES"/>
            </w:rPr>
          </w:pPr>
          <w:r w:rsidRPr="00B26B57">
            <w:rPr>
              <w:rFonts w:ascii="Palatino Linotype" w:hAnsi="Palatino Linotype"/>
              <w:bCs/>
              <w:sz w:val="22"/>
              <w:szCs w:val="22"/>
              <w:lang w:val="es-ES"/>
            </w:rPr>
            <w:fldChar w:fldCharType="end"/>
          </w:r>
        </w:p>
      </w:sdtContent>
    </w:sdt>
    <w:p w14:paraId="715B0914" w14:textId="77777777" w:rsidR="00075BCF" w:rsidRDefault="00075BCF" w:rsidP="00FE611C">
      <w:pPr>
        <w:spacing w:line="360" w:lineRule="auto"/>
        <w:contextualSpacing/>
        <w:jc w:val="both"/>
        <w:rPr>
          <w:rFonts w:ascii="Palatino Linotype" w:hAnsi="Palatino Linotype" w:cs="Tahoma"/>
          <w:bCs/>
          <w:sz w:val="22"/>
          <w:szCs w:val="22"/>
        </w:rPr>
      </w:pPr>
    </w:p>
    <w:p w14:paraId="4C78430B" w14:textId="77777777" w:rsidR="00075BCF" w:rsidRDefault="00075BCF" w:rsidP="00FE611C">
      <w:pPr>
        <w:spacing w:line="360" w:lineRule="auto"/>
        <w:contextualSpacing/>
        <w:jc w:val="both"/>
        <w:rPr>
          <w:rFonts w:ascii="Palatino Linotype" w:hAnsi="Palatino Linotype" w:cs="Tahoma"/>
          <w:bCs/>
          <w:sz w:val="22"/>
          <w:szCs w:val="22"/>
        </w:rPr>
      </w:pPr>
    </w:p>
    <w:p w14:paraId="3CB0E3B9" w14:textId="77777777" w:rsidR="00075BCF" w:rsidRDefault="00075BCF" w:rsidP="00FE611C">
      <w:pPr>
        <w:spacing w:line="360" w:lineRule="auto"/>
        <w:contextualSpacing/>
        <w:jc w:val="both"/>
        <w:rPr>
          <w:rFonts w:ascii="Palatino Linotype" w:hAnsi="Palatino Linotype" w:cs="Tahoma"/>
          <w:bCs/>
          <w:sz w:val="22"/>
          <w:szCs w:val="22"/>
        </w:rPr>
      </w:pPr>
    </w:p>
    <w:p w14:paraId="691D0B2B" w14:textId="77777777" w:rsidR="00075BCF" w:rsidRDefault="00075BCF" w:rsidP="00FE611C">
      <w:pPr>
        <w:spacing w:line="360" w:lineRule="auto"/>
        <w:contextualSpacing/>
        <w:jc w:val="both"/>
        <w:rPr>
          <w:rFonts w:ascii="Palatino Linotype" w:hAnsi="Palatino Linotype" w:cs="Tahoma"/>
          <w:bCs/>
          <w:sz w:val="22"/>
          <w:szCs w:val="22"/>
        </w:rPr>
      </w:pPr>
    </w:p>
    <w:p w14:paraId="1A425E18" w14:textId="77777777" w:rsidR="00075BCF" w:rsidRDefault="00075BCF" w:rsidP="00FE611C">
      <w:pPr>
        <w:spacing w:line="360" w:lineRule="auto"/>
        <w:contextualSpacing/>
        <w:jc w:val="both"/>
        <w:rPr>
          <w:rFonts w:ascii="Palatino Linotype" w:hAnsi="Palatino Linotype" w:cs="Tahoma"/>
          <w:bCs/>
          <w:sz w:val="22"/>
          <w:szCs w:val="22"/>
        </w:rPr>
      </w:pPr>
    </w:p>
    <w:p w14:paraId="5D7936B0" w14:textId="209D6237" w:rsidR="00FE611C" w:rsidRPr="009713ED" w:rsidRDefault="00FE611C" w:rsidP="00FE611C">
      <w:pPr>
        <w:spacing w:line="360" w:lineRule="auto"/>
        <w:contextualSpacing/>
        <w:jc w:val="both"/>
        <w:rPr>
          <w:rFonts w:ascii="Palatino Linotype" w:hAnsi="Palatino Linotype" w:cs="Tahoma"/>
          <w:sz w:val="22"/>
          <w:szCs w:val="22"/>
        </w:rPr>
      </w:pPr>
      <w:r w:rsidRPr="009713ED">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 fecha </w:t>
      </w:r>
      <w:r w:rsidR="001E21F9" w:rsidRPr="009713ED">
        <w:rPr>
          <w:rFonts w:ascii="Palatino Linotype" w:hAnsi="Palatino Linotype" w:cs="Tahoma"/>
          <w:bCs/>
          <w:sz w:val="22"/>
          <w:szCs w:val="22"/>
        </w:rPr>
        <w:t>veintiuno de enero de dos mil veintiséis.</w:t>
      </w:r>
    </w:p>
    <w:p w14:paraId="0E33DE86" w14:textId="77777777" w:rsidR="00FE611C" w:rsidRPr="001E21F9" w:rsidRDefault="00FE611C" w:rsidP="00FE611C">
      <w:pPr>
        <w:spacing w:line="360" w:lineRule="auto"/>
        <w:contextualSpacing/>
        <w:rPr>
          <w:rFonts w:ascii="Palatino Linotype" w:hAnsi="Palatino Linotype" w:cs="Tahoma"/>
          <w:bCs/>
          <w:color w:val="FF0000"/>
          <w:sz w:val="22"/>
          <w:szCs w:val="22"/>
        </w:rPr>
      </w:pPr>
    </w:p>
    <w:p w14:paraId="76EC7353" w14:textId="1BEB5A14" w:rsidR="00FE611C" w:rsidRPr="009713ED" w:rsidRDefault="00FE611C" w:rsidP="00FE611C">
      <w:pPr>
        <w:spacing w:line="360" w:lineRule="auto"/>
        <w:contextualSpacing/>
        <w:jc w:val="both"/>
        <w:rPr>
          <w:rFonts w:ascii="Palatino Linotype" w:hAnsi="Palatino Linotype" w:cs="Tahoma"/>
          <w:bCs/>
          <w:sz w:val="22"/>
          <w:szCs w:val="22"/>
        </w:rPr>
      </w:pPr>
      <w:r w:rsidRPr="00701644">
        <w:rPr>
          <w:rFonts w:ascii="Palatino Linotype" w:eastAsia="Batang" w:hAnsi="Palatino Linotype" w:cs="Tahoma"/>
          <w:b/>
          <w:bCs/>
          <w:sz w:val="22"/>
          <w:szCs w:val="22"/>
          <w:lang w:val="es-ES_tradnl"/>
        </w:rPr>
        <w:t>VISTO</w:t>
      </w:r>
      <w:r w:rsidRPr="00701644">
        <w:rPr>
          <w:rFonts w:ascii="Palatino Linotype" w:eastAsia="Batang" w:hAnsi="Palatino Linotype" w:cs="Tahoma"/>
          <w:bCs/>
          <w:sz w:val="22"/>
          <w:szCs w:val="22"/>
          <w:lang w:val="es-ES_tradnl"/>
        </w:rPr>
        <w:t xml:space="preserve"> el expediente elect</w:t>
      </w:r>
      <w:r w:rsidR="009713ED" w:rsidRPr="00701644">
        <w:rPr>
          <w:rFonts w:ascii="Palatino Linotype" w:eastAsia="Batang" w:hAnsi="Palatino Linotype" w:cs="Tahoma"/>
          <w:bCs/>
          <w:sz w:val="22"/>
          <w:szCs w:val="22"/>
          <w:lang w:val="es-ES_tradnl"/>
        </w:rPr>
        <w:t xml:space="preserve">rónico conformado con motivo del Recurso de Revisión </w:t>
      </w:r>
      <w:r w:rsidR="00587A6E" w:rsidRPr="00412810">
        <w:rPr>
          <w:rFonts w:ascii="Palatino Linotype" w:eastAsia="Calibri" w:hAnsi="Palatino Linotype" w:cs="Tahoma"/>
          <w:b/>
          <w:sz w:val="22"/>
          <w:szCs w:val="22"/>
          <w:lang w:eastAsia="en-US"/>
        </w:rPr>
        <w:t>14321</w:t>
      </w:r>
      <w:r w:rsidR="009713ED" w:rsidRPr="00412810">
        <w:rPr>
          <w:rFonts w:ascii="Palatino Linotype" w:eastAsia="Calibri" w:hAnsi="Palatino Linotype" w:cs="Tahoma"/>
          <w:b/>
          <w:sz w:val="22"/>
          <w:szCs w:val="22"/>
          <w:lang w:eastAsia="en-US"/>
        </w:rPr>
        <w:t>/TEPOTZOT/IP/2025</w:t>
      </w:r>
      <w:r w:rsidRPr="00701644">
        <w:rPr>
          <w:rFonts w:ascii="Palatino Linotype" w:eastAsia="Batang" w:hAnsi="Palatino Linotype" w:cs="Tahoma"/>
          <w:bCs/>
          <w:sz w:val="22"/>
          <w:szCs w:val="22"/>
          <w:lang w:val="es-ES_tradnl"/>
        </w:rPr>
        <w:t xml:space="preserve">, </w:t>
      </w:r>
      <w:r w:rsidR="009713ED" w:rsidRPr="00701644">
        <w:rPr>
          <w:rFonts w:ascii="Palatino Linotype" w:hAnsi="Palatino Linotype" w:cs="Tahoma"/>
          <w:bCs/>
          <w:sz w:val="22"/>
          <w:szCs w:val="22"/>
        </w:rPr>
        <w:t xml:space="preserve">interpuestos </w:t>
      </w:r>
      <w:r w:rsidRPr="00701644">
        <w:rPr>
          <w:rFonts w:ascii="Palatino Linotype" w:hAnsi="Palatino Linotype" w:cs="Tahoma"/>
          <w:bCs/>
          <w:sz w:val="22"/>
          <w:szCs w:val="22"/>
        </w:rPr>
        <w:t xml:space="preserve">por </w:t>
      </w:r>
      <w:r w:rsidR="00810974" w:rsidRPr="00810974">
        <w:rPr>
          <w:rFonts w:ascii="Palatino Linotype" w:eastAsia="Calibri" w:hAnsi="Palatino Linotype" w:cs="Tahoma"/>
          <w:sz w:val="22"/>
          <w:szCs w:val="22"/>
          <w:highlight w:val="black"/>
          <w:lang w:eastAsia="en-US"/>
        </w:rPr>
        <w:t>XXXXXXXXXXXXXXXXXXXX</w:t>
      </w:r>
      <w:bookmarkStart w:id="0" w:name="_GoBack"/>
      <w:bookmarkEnd w:id="0"/>
      <w:r w:rsidR="00810974">
        <w:rPr>
          <w:rFonts w:ascii="Palatino Linotype" w:hAnsi="Palatino Linotype" w:cs="Tahoma"/>
          <w:bCs/>
          <w:sz w:val="22"/>
          <w:szCs w:val="22"/>
        </w:rPr>
        <w:t xml:space="preserve"> </w:t>
      </w:r>
      <w:r w:rsidR="009713ED" w:rsidRPr="00701644">
        <w:rPr>
          <w:rFonts w:ascii="Palatino Linotype" w:hAnsi="Palatino Linotype" w:cs="Tahoma"/>
          <w:bCs/>
          <w:sz w:val="22"/>
          <w:szCs w:val="22"/>
        </w:rPr>
        <w:t xml:space="preserve">en lo sucesivo la persona </w:t>
      </w:r>
      <w:r w:rsidRPr="00701644">
        <w:rPr>
          <w:rFonts w:ascii="Palatino Linotype" w:hAnsi="Palatino Linotype" w:cs="Tahoma"/>
          <w:bCs/>
          <w:sz w:val="22"/>
          <w:szCs w:val="22"/>
        </w:rPr>
        <w:t>Recurrente o Particular, en contra de la</w:t>
      </w:r>
      <w:r w:rsidR="004E6F03" w:rsidRPr="00701644">
        <w:rPr>
          <w:rFonts w:ascii="Palatino Linotype" w:hAnsi="Palatino Linotype" w:cs="Tahoma"/>
          <w:bCs/>
          <w:sz w:val="22"/>
          <w:szCs w:val="22"/>
        </w:rPr>
        <w:t xml:space="preserve"> falta de</w:t>
      </w:r>
      <w:r w:rsidRPr="00701644">
        <w:rPr>
          <w:rFonts w:ascii="Palatino Linotype" w:hAnsi="Palatino Linotype" w:cs="Tahoma"/>
          <w:bCs/>
          <w:sz w:val="22"/>
          <w:szCs w:val="22"/>
        </w:rPr>
        <w:t xml:space="preserve"> respuesta del Sujeto Obligado, </w:t>
      </w:r>
      <w:r w:rsidRPr="00412810">
        <w:rPr>
          <w:rFonts w:ascii="Palatino Linotype" w:hAnsi="Palatino Linotype"/>
          <w:b/>
          <w:sz w:val="22"/>
          <w:szCs w:val="22"/>
        </w:rPr>
        <w:t>Ayuntamiento de</w:t>
      </w:r>
      <w:r w:rsidR="009713ED" w:rsidRPr="00412810">
        <w:rPr>
          <w:rFonts w:ascii="Palatino Linotype" w:hAnsi="Palatino Linotype"/>
          <w:b/>
          <w:sz w:val="22"/>
          <w:szCs w:val="22"/>
        </w:rPr>
        <w:t xml:space="preserve"> Tepotzotlán</w:t>
      </w:r>
      <w:r w:rsidRPr="00412810">
        <w:rPr>
          <w:rFonts w:ascii="Palatino Linotype" w:hAnsi="Palatino Linotype" w:cs="Tahoma"/>
          <w:b/>
          <w:sz w:val="22"/>
          <w:szCs w:val="22"/>
        </w:rPr>
        <w:t>,</w:t>
      </w:r>
      <w:r w:rsidRPr="00701644">
        <w:rPr>
          <w:rFonts w:ascii="Palatino Linotype" w:hAnsi="Palatino Linotype" w:cs="Tahoma"/>
          <w:sz w:val="22"/>
          <w:szCs w:val="22"/>
        </w:rPr>
        <w:t xml:space="preserve"> </w:t>
      </w:r>
      <w:r w:rsidRPr="00701644">
        <w:rPr>
          <w:rFonts w:ascii="Palatino Linotype" w:hAnsi="Palatino Linotype" w:cs="Tahoma"/>
          <w:bCs/>
          <w:sz w:val="22"/>
          <w:szCs w:val="22"/>
        </w:rPr>
        <w:t xml:space="preserve">a </w:t>
      </w:r>
      <w:r w:rsidR="009713ED" w:rsidRPr="00701644">
        <w:rPr>
          <w:rFonts w:ascii="Palatino Linotype" w:hAnsi="Palatino Linotype" w:cs="Tahoma"/>
          <w:bCs/>
          <w:sz w:val="22"/>
          <w:szCs w:val="22"/>
        </w:rPr>
        <w:t xml:space="preserve">la solicitud de acceso a la información pública </w:t>
      </w:r>
      <w:r w:rsidR="009713ED" w:rsidRPr="00701644">
        <w:rPr>
          <w:rFonts w:ascii="Palatino Linotype" w:hAnsi="Palatino Linotype"/>
          <w:bCs/>
          <w:sz w:val="22"/>
          <w:szCs w:val="22"/>
        </w:rPr>
        <w:t>01197/TEPOTZOT/IP/2025</w:t>
      </w:r>
      <w:r w:rsidR="0020768E" w:rsidRPr="00701644">
        <w:rPr>
          <w:rFonts w:ascii="Palatino Linotype" w:hAnsi="Palatino Linotype"/>
          <w:bCs/>
          <w:sz w:val="22"/>
          <w:szCs w:val="22"/>
        </w:rPr>
        <w:t xml:space="preserve">, </w:t>
      </w:r>
      <w:r w:rsidR="006F115E" w:rsidRPr="00701644">
        <w:rPr>
          <w:rFonts w:ascii="Palatino Linotype" w:hAnsi="Palatino Linotype"/>
          <w:bCs/>
          <w:sz w:val="22"/>
          <w:szCs w:val="22"/>
        </w:rPr>
        <w:t xml:space="preserve">y </w:t>
      </w:r>
      <w:r w:rsidR="006F115E" w:rsidRPr="00701644">
        <w:rPr>
          <w:rFonts w:ascii="Palatino Linotype" w:hAnsi="Palatino Linotype" w:cs="Tahoma"/>
          <w:bCs/>
          <w:sz w:val="22"/>
          <w:szCs w:val="22"/>
        </w:rPr>
        <w:t>se</w:t>
      </w:r>
      <w:r w:rsidRPr="00701644">
        <w:rPr>
          <w:rFonts w:ascii="Palatino Linotype" w:hAnsi="Palatino Linotype" w:cs="Tahoma"/>
          <w:bCs/>
          <w:sz w:val="22"/>
          <w:szCs w:val="22"/>
        </w:rPr>
        <w:t xml:space="preserve"> emite la presente Resolución, con base en los Antecedentes y Considerandos que a continuación se exponen:</w:t>
      </w:r>
    </w:p>
    <w:p w14:paraId="68111D47" w14:textId="77777777" w:rsidR="00FE611C" w:rsidRPr="009713ED" w:rsidRDefault="00FE611C" w:rsidP="00FE611C">
      <w:pPr>
        <w:tabs>
          <w:tab w:val="center" w:pos="4522"/>
          <w:tab w:val="left" w:pos="7245"/>
        </w:tabs>
        <w:spacing w:line="360" w:lineRule="auto"/>
        <w:contextualSpacing/>
        <w:jc w:val="center"/>
        <w:rPr>
          <w:rFonts w:ascii="Palatino Linotype" w:hAnsi="Palatino Linotype" w:cs="Tahoma"/>
          <w:b/>
          <w:sz w:val="22"/>
          <w:szCs w:val="22"/>
        </w:rPr>
      </w:pPr>
    </w:p>
    <w:p w14:paraId="739D1CCF" w14:textId="77777777" w:rsidR="00FE611C" w:rsidRPr="009713ED" w:rsidRDefault="00FE611C" w:rsidP="008576E7">
      <w:pPr>
        <w:pStyle w:val="Ttulo1"/>
        <w:jc w:val="center"/>
        <w:rPr>
          <w:rFonts w:ascii="Palatino Linotype" w:hAnsi="Palatino Linotype"/>
          <w:b/>
          <w:color w:val="auto"/>
          <w:sz w:val="22"/>
          <w:szCs w:val="22"/>
        </w:rPr>
      </w:pPr>
      <w:bookmarkStart w:id="1" w:name="_Toc219984635"/>
      <w:r w:rsidRPr="009713ED">
        <w:rPr>
          <w:rFonts w:ascii="Palatino Linotype" w:hAnsi="Palatino Linotype"/>
          <w:b/>
          <w:color w:val="auto"/>
          <w:sz w:val="22"/>
          <w:szCs w:val="22"/>
        </w:rPr>
        <w:t>A N T E C E D E N T E S</w:t>
      </w:r>
      <w:bookmarkEnd w:id="1"/>
    </w:p>
    <w:p w14:paraId="6D67203E" w14:textId="77777777" w:rsidR="00FE611C" w:rsidRPr="001E21F9" w:rsidRDefault="00FE611C" w:rsidP="00FE611C">
      <w:pPr>
        <w:pStyle w:val="Prrafodelista"/>
        <w:tabs>
          <w:tab w:val="left" w:pos="567"/>
        </w:tabs>
        <w:spacing w:line="360" w:lineRule="auto"/>
        <w:ind w:left="567"/>
        <w:jc w:val="both"/>
        <w:rPr>
          <w:rFonts w:ascii="Palatino Linotype" w:hAnsi="Palatino Linotype" w:cs="Tahoma"/>
          <w:color w:val="FF0000"/>
          <w:szCs w:val="22"/>
        </w:rPr>
      </w:pPr>
    </w:p>
    <w:p w14:paraId="2535689A" w14:textId="7583F245" w:rsidR="00FE611C" w:rsidRDefault="00FE611C" w:rsidP="003F2DA8">
      <w:pPr>
        <w:pStyle w:val="Ttulo1"/>
        <w:rPr>
          <w:rFonts w:ascii="Palatino Linotype" w:hAnsi="Palatino Linotype"/>
          <w:b/>
          <w:color w:val="auto"/>
          <w:sz w:val="22"/>
          <w:szCs w:val="22"/>
        </w:rPr>
      </w:pPr>
      <w:bookmarkStart w:id="2" w:name="_Toc219984636"/>
      <w:r w:rsidRPr="009713ED">
        <w:rPr>
          <w:rFonts w:ascii="Palatino Linotype" w:hAnsi="Palatino Linotype"/>
          <w:b/>
          <w:color w:val="auto"/>
          <w:sz w:val="22"/>
          <w:szCs w:val="22"/>
        </w:rPr>
        <w:t xml:space="preserve">I. Presentación de </w:t>
      </w:r>
      <w:r w:rsidR="003F2DA8">
        <w:rPr>
          <w:rFonts w:ascii="Palatino Linotype" w:hAnsi="Palatino Linotype"/>
          <w:b/>
          <w:color w:val="auto"/>
          <w:sz w:val="22"/>
          <w:szCs w:val="22"/>
        </w:rPr>
        <w:t>la solicitud de información</w:t>
      </w:r>
      <w:bookmarkEnd w:id="2"/>
    </w:p>
    <w:p w14:paraId="61F233C8" w14:textId="77777777" w:rsidR="003F2DA8" w:rsidRPr="003F2DA8" w:rsidRDefault="003F2DA8" w:rsidP="003F2DA8"/>
    <w:p w14:paraId="0CFA9FD5" w14:textId="649F31E6" w:rsidR="00FE611C" w:rsidRPr="009713ED" w:rsidRDefault="00FE611C" w:rsidP="00FE611C">
      <w:pPr>
        <w:pStyle w:val="Prrafodelista"/>
        <w:tabs>
          <w:tab w:val="left" w:pos="567"/>
        </w:tabs>
        <w:spacing w:line="360" w:lineRule="auto"/>
        <w:ind w:left="0"/>
        <w:jc w:val="both"/>
        <w:rPr>
          <w:rFonts w:ascii="Palatino Linotype" w:hAnsi="Palatino Linotype" w:cs="Tahoma"/>
          <w:szCs w:val="22"/>
        </w:rPr>
      </w:pPr>
      <w:r w:rsidRPr="009713ED">
        <w:rPr>
          <w:rFonts w:ascii="Palatino Linotype" w:hAnsi="Palatino Linotype" w:cs="Tahoma"/>
          <w:szCs w:val="22"/>
        </w:rPr>
        <w:t>Con fecha</w:t>
      </w:r>
      <w:r w:rsidR="009713ED" w:rsidRPr="009713ED">
        <w:rPr>
          <w:rFonts w:ascii="Palatino Linotype" w:hAnsi="Palatino Linotype" w:cs="Tahoma"/>
          <w:szCs w:val="22"/>
        </w:rPr>
        <w:t xml:space="preserve"> dieciocho de noviembre de dos mil veinticinco</w:t>
      </w:r>
      <w:r w:rsidR="005C5686" w:rsidRPr="009713ED">
        <w:rPr>
          <w:rFonts w:ascii="Palatino Linotype" w:hAnsi="Palatino Linotype" w:cs="Tahoma"/>
          <w:szCs w:val="22"/>
        </w:rPr>
        <w:t xml:space="preserve"> (ya que si bien se registr</w:t>
      </w:r>
      <w:r w:rsidR="009713ED" w:rsidRPr="009713ED">
        <w:rPr>
          <w:rFonts w:ascii="Palatino Linotype" w:hAnsi="Palatino Linotype" w:cs="Tahoma"/>
          <w:szCs w:val="22"/>
        </w:rPr>
        <w:t>ó el dieciséis de dicho mes y año</w:t>
      </w:r>
      <w:r w:rsidR="005C5686" w:rsidRPr="009713ED">
        <w:rPr>
          <w:rFonts w:ascii="Palatino Linotype" w:hAnsi="Palatino Linotype" w:cs="Tahoma"/>
          <w:szCs w:val="22"/>
        </w:rPr>
        <w:t>, este fue inhábil, por lo que se tuvo por</w:t>
      </w:r>
      <w:r w:rsidR="005C5686" w:rsidRPr="009713ED">
        <w:rPr>
          <w:rFonts w:ascii="Palatino Linotype" w:hAnsi="Palatino Linotype" w:cs="Tahoma"/>
          <w:szCs w:val="22"/>
        </w:rPr>
        <w:br/>
        <w:t xml:space="preserve">presentado el día hábil siguiente) </w:t>
      </w:r>
      <w:r w:rsidRPr="009713ED">
        <w:rPr>
          <w:rFonts w:ascii="Palatino Linotype" w:hAnsi="Palatino Linotype" w:cs="Tahoma"/>
          <w:szCs w:val="22"/>
        </w:rPr>
        <w:t>el Particular presentó</w:t>
      </w:r>
      <w:r w:rsidR="009713ED" w:rsidRPr="009713ED">
        <w:rPr>
          <w:rFonts w:ascii="Palatino Linotype" w:hAnsi="Palatino Linotype" w:cs="Tahoma"/>
          <w:szCs w:val="22"/>
        </w:rPr>
        <w:t xml:space="preserve"> una solicitud de información</w:t>
      </w:r>
      <w:r w:rsidRPr="009713ED">
        <w:rPr>
          <w:rFonts w:ascii="Palatino Linotype" w:hAnsi="Palatino Linotype" w:cs="Tahoma"/>
          <w:szCs w:val="22"/>
        </w:rPr>
        <w:t>,</w:t>
      </w:r>
      <w:r w:rsidR="005610A9" w:rsidRPr="009713ED">
        <w:rPr>
          <w:rFonts w:ascii="Palatino Linotype" w:hAnsi="Palatino Linotype" w:cs="Tahoma"/>
        </w:rPr>
        <w:t xml:space="preserve"> a través del Sistema de Acceso a la Información Mexiquense </w:t>
      </w:r>
      <w:r w:rsidR="005610A9" w:rsidRPr="009713ED">
        <w:rPr>
          <w:rFonts w:ascii="Palatino Linotype" w:hAnsi="Palatino Linotype" w:cs="Tahoma"/>
          <w:lang w:val="es-ES"/>
        </w:rPr>
        <w:t>(SAIMEX)</w:t>
      </w:r>
      <w:r w:rsidR="005610A9" w:rsidRPr="009713ED">
        <w:rPr>
          <w:rFonts w:ascii="Palatino Linotype" w:hAnsi="Palatino Linotype" w:cs="Tahoma"/>
        </w:rPr>
        <w:t>,</w:t>
      </w:r>
      <w:r w:rsidR="005610A9" w:rsidRPr="009713ED">
        <w:rPr>
          <w:rFonts w:cs="Tahoma"/>
        </w:rPr>
        <w:t xml:space="preserve"> </w:t>
      </w:r>
      <w:r w:rsidRPr="009713ED">
        <w:rPr>
          <w:rFonts w:ascii="Palatino Linotype" w:hAnsi="Palatino Linotype" w:cs="Tahoma"/>
          <w:szCs w:val="22"/>
        </w:rPr>
        <w:t xml:space="preserve">ante el </w:t>
      </w:r>
      <w:r w:rsidRPr="009713ED">
        <w:rPr>
          <w:rFonts w:ascii="Palatino Linotype" w:hAnsi="Palatino Linotype"/>
          <w:bCs/>
          <w:szCs w:val="22"/>
        </w:rPr>
        <w:t>Ayuntamiento de</w:t>
      </w:r>
      <w:r w:rsidR="009713ED" w:rsidRPr="009713ED">
        <w:rPr>
          <w:rFonts w:ascii="Palatino Linotype" w:hAnsi="Palatino Linotype"/>
          <w:bCs/>
          <w:szCs w:val="22"/>
        </w:rPr>
        <w:t xml:space="preserve"> Tepotzotlán</w:t>
      </w:r>
      <w:r w:rsidRPr="009713ED">
        <w:rPr>
          <w:rFonts w:ascii="Palatino Linotype" w:hAnsi="Palatino Linotype" w:cs="Tahoma"/>
          <w:szCs w:val="22"/>
        </w:rPr>
        <w:t>,</w:t>
      </w:r>
      <w:r w:rsidRPr="009713ED">
        <w:rPr>
          <w:rFonts w:ascii="Palatino Linotype" w:hAnsi="Palatino Linotype" w:cs="Tahoma"/>
          <w:szCs w:val="22"/>
          <w:lang w:val="es-ES"/>
        </w:rPr>
        <w:t xml:space="preserve"> </w:t>
      </w:r>
      <w:r w:rsidR="009713ED" w:rsidRPr="009713ED">
        <w:rPr>
          <w:rFonts w:ascii="Palatino Linotype" w:hAnsi="Palatino Linotype" w:cs="Tahoma"/>
          <w:szCs w:val="22"/>
        </w:rPr>
        <w:t>mediante la cual</w:t>
      </w:r>
      <w:r w:rsidRPr="009713ED">
        <w:rPr>
          <w:rFonts w:ascii="Palatino Linotype" w:hAnsi="Palatino Linotype" w:cs="Tahoma"/>
          <w:szCs w:val="22"/>
        </w:rPr>
        <w:t xml:space="preserve"> requirió lo siguiente:</w:t>
      </w:r>
    </w:p>
    <w:p w14:paraId="05D27796" w14:textId="77777777" w:rsidR="00FE611C" w:rsidRPr="009713ED" w:rsidRDefault="00FE611C" w:rsidP="00FE611C">
      <w:pPr>
        <w:pStyle w:val="Prrafodelista"/>
        <w:tabs>
          <w:tab w:val="left" w:pos="567"/>
        </w:tabs>
        <w:spacing w:line="360" w:lineRule="auto"/>
        <w:ind w:left="0"/>
        <w:jc w:val="both"/>
        <w:rPr>
          <w:rFonts w:ascii="Palatino Linotype" w:hAnsi="Palatino Linotype" w:cs="Tahoma"/>
          <w:b/>
          <w:szCs w:val="22"/>
        </w:rPr>
      </w:pPr>
    </w:p>
    <w:p w14:paraId="6F6B051D" w14:textId="0DD4E7C9" w:rsidR="00FE611C" w:rsidRPr="009713ED" w:rsidRDefault="009713ED" w:rsidP="009713ED">
      <w:pPr>
        <w:spacing w:line="360" w:lineRule="auto"/>
        <w:ind w:left="567" w:right="567"/>
        <w:contextualSpacing/>
        <w:jc w:val="both"/>
        <w:rPr>
          <w:rFonts w:ascii="Palatino Linotype" w:hAnsi="Palatino Linotype" w:cs="Tahoma"/>
          <w:bCs/>
          <w:i/>
        </w:rPr>
      </w:pPr>
      <w:r w:rsidRPr="009713ED">
        <w:rPr>
          <w:rFonts w:ascii="Palatino Linotype" w:hAnsi="Palatino Linotype" w:cs="Tahoma"/>
          <w:b/>
          <w:bCs/>
          <w:i/>
        </w:rPr>
        <w:t xml:space="preserve"> </w:t>
      </w:r>
      <w:r w:rsidR="00FE611C" w:rsidRPr="009713ED">
        <w:rPr>
          <w:rFonts w:ascii="Palatino Linotype" w:hAnsi="Palatino Linotype" w:cs="Tahoma"/>
          <w:b/>
          <w:bCs/>
          <w:i/>
        </w:rPr>
        <w:t>“DESCRIPCIÓN CLARA Y PRECISA DE LA INFORMACIÓN SOLICITADA</w:t>
      </w:r>
    </w:p>
    <w:p w14:paraId="50F87574" w14:textId="1A0D6A20" w:rsidR="00FE611C" w:rsidRPr="009713ED" w:rsidRDefault="009713ED" w:rsidP="009713ED">
      <w:pPr>
        <w:spacing w:line="360" w:lineRule="auto"/>
        <w:ind w:left="567" w:right="567"/>
        <w:contextualSpacing/>
        <w:jc w:val="both"/>
        <w:rPr>
          <w:rFonts w:ascii="Palatino Linotype" w:hAnsi="Palatino Linotype" w:cs="Tahoma"/>
          <w:bCs/>
          <w:i/>
        </w:rPr>
      </w:pPr>
      <w:r w:rsidRPr="009713ED">
        <w:rPr>
          <w:rFonts w:ascii="Palatino Linotype" w:hAnsi="Palatino Linotype" w:cs="Tahoma"/>
          <w:bCs/>
          <w:i/>
        </w:rPr>
        <w:t>Solicito las declaraciones patrimoniales de todos los directores 2025.” (Sic)</w:t>
      </w:r>
    </w:p>
    <w:p w14:paraId="0FAD0C45" w14:textId="77777777" w:rsidR="009713ED" w:rsidRPr="009713ED" w:rsidRDefault="009713ED" w:rsidP="009713ED">
      <w:pPr>
        <w:spacing w:line="360" w:lineRule="auto"/>
        <w:ind w:left="567" w:right="567"/>
        <w:contextualSpacing/>
        <w:jc w:val="both"/>
        <w:rPr>
          <w:rFonts w:ascii="Palatino Linotype" w:hAnsi="Palatino Linotype"/>
          <w:b/>
          <w:bCs/>
          <w:i/>
          <w:iCs/>
          <w:color w:val="FF0000"/>
        </w:rPr>
      </w:pPr>
    </w:p>
    <w:p w14:paraId="727ACE1E" w14:textId="77777777" w:rsidR="009713ED" w:rsidRPr="009713ED" w:rsidRDefault="009713ED" w:rsidP="009713ED">
      <w:pPr>
        <w:tabs>
          <w:tab w:val="left" w:pos="4667"/>
        </w:tabs>
        <w:spacing w:line="360" w:lineRule="auto"/>
        <w:ind w:left="567" w:right="567"/>
        <w:jc w:val="both"/>
        <w:rPr>
          <w:rFonts w:ascii="Palatino Linotype" w:eastAsia="Palatino Linotype" w:hAnsi="Palatino Linotype" w:cs="Palatino Linotype"/>
          <w:b/>
          <w:i/>
          <w:lang w:eastAsia="es-MX"/>
        </w:rPr>
      </w:pPr>
      <w:r w:rsidRPr="009713ED">
        <w:rPr>
          <w:rFonts w:ascii="Palatino Linotype" w:eastAsia="Palatino Linotype" w:hAnsi="Palatino Linotype" w:cs="Palatino Linotype"/>
          <w:b/>
          <w:i/>
          <w:lang w:eastAsia="es-MX"/>
        </w:rPr>
        <w:t>“MODALIDAD DE ENTREGA</w:t>
      </w:r>
    </w:p>
    <w:p w14:paraId="6C4254A6" w14:textId="77777777" w:rsidR="009713ED" w:rsidRPr="009713ED" w:rsidRDefault="009713ED" w:rsidP="009713ED">
      <w:pPr>
        <w:spacing w:line="360" w:lineRule="auto"/>
        <w:ind w:left="567" w:right="567"/>
        <w:jc w:val="both"/>
        <w:rPr>
          <w:rFonts w:ascii="Palatino Linotype" w:eastAsia="Palatino Linotype" w:hAnsi="Palatino Linotype" w:cs="Palatino Linotype"/>
          <w:i/>
          <w:lang w:eastAsia="es-MX"/>
        </w:rPr>
      </w:pPr>
      <w:r w:rsidRPr="009713ED">
        <w:rPr>
          <w:rFonts w:ascii="Palatino Linotype" w:eastAsia="Palatino Linotype" w:hAnsi="Palatino Linotype" w:cs="Palatino Linotype"/>
          <w:i/>
          <w:lang w:eastAsia="es-MX"/>
        </w:rPr>
        <w:t>A través del SAIMEX”</w:t>
      </w:r>
    </w:p>
    <w:p w14:paraId="39363335" w14:textId="77777777" w:rsidR="00FE611C" w:rsidRPr="001E21F9" w:rsidRDefault="00FE611C" w:rsidP="00FE611C">
      <w:pPr>
        <w:tabs>
          <w:tab w:val="left" w:pos="4667"/>
        </w:tabs>
        <w:spacing w:line="360" w:lineRule="auto"/>
        <w:contextualSpacing/>
        <w:jc w:val="both"/>
        <w:rPr>
          <w:rFonts w:ascii="Palatino Linotype" w:hAnsi="Palatino Linotype" w:cs="Tahoma"/>
          <w:color w:val="FF0000"/>
          <w:sz w:val="22"/>
          <w:szCs w:val="22"/>
        </w:rPr>
      </w:pPr>
    </w:p>
    <w:p w14:paraId="4C32C6C8" w14:textId="1935289B" w:rsidR="001C4A74" w:rsidRPr="009713ED" w:rsidRDefault="003F2DA8" w:rsidP="008576E7">
      <w:pPr>
        <w:pStyle w:val="Ttulo1"/>
        <w:rPr>
          <w:rFonts w:ascii="Palatino Linotype" w:eastAsia="Calibri" w:hAnsi="Palatino Linotype"/>
          <w:b/>
          <w:color w:val="auto"/>
          <w:sz w:val="22"/>
          <w:szCs w:val="22"/>
        </w:rPr>
      </w:pPr>
      <w:bookmarkStart w:id="3" w:name="_Toc219984637"/>
      <w:r>
        <w:rPr>
          <w:rFonts w:ascii="Palatino Linotype" w:eastAsia="Calibri" w:hAnsi="Palatino Linotype"/>
          <w:b/>
          <w:color w:val="auto"/>
          <w:sz w:val="22"/>
          <w:szCs w:val="22"/>
        </w:rPr>
        <w:t>II. Respuesta</w:t>
      </w:r>
      <w:r w:rsidR="001C4A74" w:rsidRPr="009713ED">
        <w:rPr>
          <w:rFonts w:ascii="Palatino Linotype" w:eastAsia="Calibri" w:hAnsi="Palatino Linotype"/>
          <w:b/>
          <w:color w:val="auto"/>
          <w:sz w:val="22"/>
          <w:szCs w:val="22"/>
        </w:rPr>
        <w:t xml:space="preserve"> del Sujeto Obligado</w:t>
      </w:r>
      <w:bookmarkEnd w:id="3"/>
    </w:p>
    <w:p w14:paraId="6EDD9457" w14:textId="77777777" w:rsidR="009713ED" w:rsidRPr="009713ED" w:rsidRDefault="009713ED" w:rsidP="009713ED">
      <w:pPr>
        <w:rPr>
          <w:rFonts w:eastAsia="Calibri"/>
        </w:rPr>
      </w:pPr>
    </w:p>
    <w:p w14:paraId="4867CD15" w14:textId="77777777" w:rsidR="008576E7" w:rsidRPr="009713ED" w:rsidRDefault="008576E7" w:rsidP="008576E7">
      <w:pPr>
        <w:rPr>
          <w:rFonts w:eastAsia="Calibri"/>
        </w:rPr>
      </w:pPr>
    </w:p>
    <w:p w14:paraId="60FC41C1" w14:textId="656C70D0" w:rsidR="001C4A74" w:rsidRPr="003F2DA8" w:rsidRDefault="001C4A74" w:rsidP="001C4A74">
      <w:pPr>
        <w:autoSpaceDE w:val="0"/>
        <w:autoSpaceDN w:val="0"/>
        <w:adjustRightInd w:val="0"/>
        <w:spacing w:line="360" w:lineRule="auto"/>
        <w:contextualSpacing/>
        <w:jc w:val="both"/>
        <w:rPr>
          <w:rFonts w:ascii="Palatino Linotype" w:eastAsia="Calibri" w:hAnsi="Palatino Linotype" w:cs="Tahoma"/>
          <w:bCs/>
          <w:sz w:val="22"/>
          <w:szCs w:val="22"/>
        </w:rPr>
      </w:pPr>
      <w:r w:rsidRPr="009713ED">
        <w:rPr>
          <w:rFonts w:ascii="Palatino Linotype" w:eastAsia="Calibri" w:hAnsi="Palatino Linotype" w:cs="Tahoma"/>
          <w:sz w:val="22"/>
          <w:szCs w:val="22"/>
        </w:rPr>
        <w:t>De conformidad con el artículo 163, párrafo primero de la Ley de Transparencia y Acceso a la Información Pública del Estado de México y Municipios, el Sujeto Oblig</w:t>
      </w:r>
      <w:r w:rsidR="009713ED">
        <w:rPr>
          <w:rFonts w:ascii="Palatino Linotype" w:eastAsia="Calibri" w:hAnsi="Palatino Linotype" w:cs="Tahoma"/>
          <w:sz w:val="22"/>
          <w:szCs w:val="22"/>
        </w:rPr>
        <w:t>ado debió dar contestación a la solicitud</w:t>
      </w:r>
      <w:r w:rsidRPr="009713ED">
        <w:rPr>
          <w:rFonts w:ascii="Palatino Linotype" w:eastAsia="Calibri" w:hAnsi="Palatino Linotype" w:cs="Tahoma"/>
          <w:sz w:val="22"/>
          <w:szCs w:val="22"/>
        </w:rPr>
        <w:t xml:space="preserve"> de acceso a la información; sin embargo, de las constancias que obran en el expediente electrónico del </w:t>
      </w:r>
      <w:r w:rsidRPr="009713ED">
        <w:rPr>
          <w:rFonts w:ascii="Palatino Linotype" w:eastAsia="Calibri" w:hAnsi="Palatino Linotype" w:cs="Tahoma"/>
          <w:sz w:val="22"/>
          <w:szCs w:val="22"/>
          <w:lang w:val="es-ES"/>
        </w:rPr>
        <w:t xml:space="preserve">Sistema de Acceso a la Información Mexiquense (SAIMEX), se advierte que el </w:t>
      </w:r>
      <w:r w:rsidRPr="009713ED">
        <w:rPr>
          <w:rFonts w:ascii="Palatino Linotype" w:eastAsia="Calibri" w:hAnsi="Palatino Linotype" w:cs="Tahoma"/>
          <w:b/>
          <w:bCs/>
          <w:sz w:val="22"/>
          <w:szCs w:val="22"/>
        </w:rPr>
        <w:t>Ayuntamiento de</w:t>
      </w:r>
      <w:r w:rsidR="009713ED">
        <w:rPr>
          <w:rFonts w:ascii="Palatino Linotype" w:eastAsia="Calibri" w:hAnsi="Palatino Linotype" w:cs="Tahoma"/>
          <w:b/>
          <w:bCs/>
          <w:sz w:val="22"/>
          <w:szCs w:val="22"/>
        </w:rPr>
        <w:t xml:space="preserve"> Tepotzotlán</w:t>
      </w:r>
      <w:r w:rsidR="003F2DA8">
        <w:rPr>
          <w:rFonts w:ascii="Palatino Linotype" w:eastAsia="Calibri" w:hAnsi="Palatino Linotype" w:cs="Tahoma"/>
          <w:bCs/>
          <w:sz w:val="22"/>
          <w:szCs w:val="22"/>
        </w:rPr>
        <w:t>, omitió dar respuesta al requerimiento informativo</w:t>
      </w:r>
      <w:r w:rsidRPr="009713ED">
        <w:rPr>
          <w:rFonts w:ascii="Palatino Linotype" w:eastAsia="Calibri" w:hAnsi="Palatino Linotype" w:cs="Tahoma"/>
          <w:bCs/>
          <w:sz w:val="22"/>
          <w:szCs w:val="22"/>
        </w:rPr>
        <w:t xml:space="preserve">, por lo que </w:t>
      </w:r>
      <w:r w:rsidRPr="009713ED">
        <w:rPr>
          <w:rFonts w:ascii="Palatino Linotype" w:eastAsia="Calibri" w:hAnsi="Palatino Linotype" w:cs="Tahoma"/>
          <w:b/>
          <w:sz w:val="22"/>
          <w:szCs w:val="22"/>
        </w:rPr>
        <w:t xml:space="preserve">se configura la </w:t>
      </w:r>
      <w:r w:rsidRPr="009713ED">
        <w:rPr>
          <w:rFonts w:ascii="Palatino Linotype" w:eastAsia="Calibri" w:hAnsi="Palatino Linotype" w:cs="Tahoma"/>
          <w:b/>
          <w:sz w:val="22"/>
          <w:szCs w:val="22"/>
          <w:lang w:val="es-ES"/>
        </w:rPr>
        <w:t>negativa ficta</w:t>
      </w:r>
      <w:r w:rsidRPr="009713ED">
        <w:rPr>
          <w:rFonts w:ascii="Palatino Linotype" w:eastAsia="Calibri"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F0E5E0D" w14:textId="77777777" w:rsidR="001C4A74" w:rsidRPr="009713ED" w:rsidRDefault="001C4A74" w:rsidP="00FE611C">
      <w:pPr>
        <w:autoSpaceDE w:val="0"/>
        <w:autoSpaceDN w:val="0"/>
        <w:adjustRightInd w:val="0"/>
        <w:spacing w:line="360" w:lineRule="auto"/>
        <w:contextualSpacing/>
        <w:jc w:val="both"/>
        <w:rPr>
          <w:rFonts w:ascii="Palatino Linotype" w:hAnsi="Palatino Linotype" w:cs="Tahoma"/>
          <w:b/>
          <w:sz w:val="22"/>
          <w:szCs w:val="22"/>
        </w:rPr>
      </w:pPr>
    </w:p>
    <w:p w14:paraId="5EFAF571" w14:textId="0AC4BCCD" w:rsidR="00FE611C" w:rsidRPr="00B8455D" w:rsidRDefault="00B8455D" w:rsidP="003D0426">
      <w:pPr>
        <w:pStyle w:val="Ttulo1"/>
        <w:rPr>
          <w:rFonts w:ascii="Palatino Linotype" w:hAnsi="Palatino Linotype"/>
          <w:b/>
          <w:color w:val="auto"/>
          <w:sz w:val="22"/>
          <w:szCs w:val="22"/>
        </w:rPr>
      </w:pPr>
      <w:bookmarkStart w:id="4" w:name="_Toc219984638"/>
      <w:r w:rsidRPr="00B8455D">
        <w:rPr>
          <w:rFonts w:ascii="Palatino Linotype" w:hAnsi="Palatino Linotype"/>
          <w:b/>
          <w:color w:val="auto"/>
          <w:sz w:val="22"/>
          <w:szCs w:val="22"/>
        </w:rPr>
        <w:t>III. Interposición del Recurso</w:t>
      </w:r>
      <w:r w:rsidR="00FE611C" w:rsidRPr="00B8455D">
        <w:rPr>
          <w:rFonts w:ascii="Palatino Linotype" w:hAnsi="Palatino Linotype"/>
          <w:b/>
          <w:color w:val="auto"/>
          <w:sz w:val="22"/>
          <w:szCs w:val="22"/>
        </w:rPr>
        <w:t xml:space="preserve"> de Revisión</w:t>
      </w:r>
      <w:bookmarkEnd w:id="4"/>
    </w:p>
    <w:p w14:paraId="5CA6DD5F" w14:textId="77777777" w:rsidR="00FE611C" w:rsidRPr="001E21F9" w:rsidRDefault="00FE611C" w:rsidP="00FE611C">
      <w:pPr>
        <w:autoSpaceDE w:val="0"/>
        <w:autoSpaceDN w:val="0"/>
        <w:adjustRightInd w:val="0"/>
        <w:spacing w:line="360" w:lineRule="auto"/>
        <w:contextualSpacing/>
        <w:jc w:val="both"/>
        <w:rPr>
          <w:rFonts w:ascii="Palatino Linotype" w:hAnsi="Palatino Linotype" w:cs="Tahoma"/>
          <w:color w:val="FF0000"/>
          <w:sz w:val="22"/>
          <w:szCs w:val="22"/>
        </w:rPr>
      </w:pPr>
    </w:p>
    <w:p w14:paraId="5CCFE6B6" w14:textId="2FE0151D" w:rsidR="004E6F03" w:rsidRPr="00B8455D" w:rsidRDefault="001C4A74" w:rsidP="001C4A74">
      <w:pPr>
        <w:widowControl w:val="0"/>
        <w:spacing w:line="360" w:lineRule="auto"/>
        <w:contextualSpacing/>
        <w:jc w:val="both"/>
        <w:rPr>
          <w:rFonts w:ascii="Palatino Linotype" w:eastAsia="Calibri" w:hAnsi="Palatino Linotype"/>
          <w:bCs/>
          <w:sz w:val="22"/>
          <w:szCs w:val="22"/>
        </w:rPr>
      </w:pPr>
      <w:r w:rsidRPr="00B8455D">
        <w:rPr>
          <w:rFonts w:ascii="Palatino Linotype" w:eastAsia="Calibri" w:hAnsi="Palatino Linotype"/>
          <w:bCs/>
          <w:sz w:val="22"/>
          <w:szCs w:val="22"/>
        </w:rPr>
        <w:t>Con fecha</w:t>
      </w:r>
      <w:r w:rsidR="00706D40" w:rsidRPr="00B8455D">
        <w:rPr>
          <w:rFonts w:ascii="Palatino Linotype" w:eastAsia="Calibri" w:hAnsi="Palatino Linotype"/>
          <w:bCs/>
          <w:sz w:val="22"/>
          <w:szCs w:val="22"/>
        </w:rPr>
        <w:t xml:space="preserve"> </w:t>
      </w:r>
      <w:r w:rsidR="00B8455D" w:rsidRPr="00B8455D">
        <w:rPr>
          <w:rFonts w:ascii="Palatino Linotype" w:eastAsia="Calibri" w:hAnsi="Palatino Linotype"/>
          <w:bCs/>
          <w:sz w:val="22"/>
          <w:szCs w:val="22"/>
        </w:rPr>
        <w:t xml:space="preserve">doce de diciembre de dos mil veinticinco, </w:t>
      </w:r>
      <w:r w:rsidR="00B8455D" w:rsidRPr="00B8455D">
        <w:rPr>
          <w:rFonts w:ascii="Palatino Linotype" w:eastAsia="Calibri" w:hAnsi="Palatino Linotype"/>
          <w:bCs/>
          <w:sz w:val="22"/>
          <w:szCs w:val="22"/>
          <w:lang w:val="es-ES"/>
        </w:rPr>
        <w:t>se recibió</w:t>
      </w:r>
      <w:r w:rsidRPr="00B8455D">
        <w:rPr>
          <w:rFonts w:ascii="Palatino Linotype" w:eastAsia="Calibri" w:hAnsi="Palatino Linotype"/>
          <w:bCs/>
          <w:sz w:val="22"/>
          <w:szCs w:val="22"/>
          <w:lang w:val="es-ES"/>
        </w:rPr>
        <w:t xml:space="preserve"> en este Instituto, a través del Sistema de Acceso a la Info</w:t>
      </w:r>
      <w:r w:rsidR="00B8455D" w:rsidRPr="00B8455D">
        <w:rPr>
          <w:rFonts w:ascii="Palatino Linotype" w:eastAsia="Calibri" w:hAnsi="Palatino Linotype"/>
          <w:bCs/>
          <w:sz w:val="22"/>
          <w:szCs w:val="22"/>
          <w:lang w:val="es-ES"/>
        </w:rPr>
        <w:t>rmación Mexiquense (SAIMEX), el Recurso</w:t>
      </w:r>
      <w:r w:rsidR="00B8455D">
        <w:rPr>
          <w:rFonts w:ascii="Palatino Linotype" w:eastAsia="Calibri" w:hAnsi="Palatino Linotype"/>
          <w:bCs/>
          <w:sz w:val="22"/>
          <w:szCs w:val="22"/>
          <w:lang w:val="es-ES"/>
        </w:rPr>
        <w:t xml:space="preserve"> de Revisión interpuesto </w:t>
      </w:r>
      <w:r w:rsidRPr="00B8455D">
        <w:rPr>
          <w:rFonts w:ascii="Palatino Linotype" w:eastAsia="Calibri" w:hAnsi="Palatino Linotype"/>
          <w:bCs/>
          <w:sz w:val="22"/>
          <w:szCs w:val="22"/>
          <w:lang w:val="es-ES"/>
        </w:rPr>
        <w:t>por la parte Recurrente, en contra de la falta de respuesta por parte del Sujeto Obligado</w:t>
      </w:r>
      <w:r w:rsidRPr="00B8455D">
        <w:rPr>
          <w:rFonts w:ascii="Palatino Linotype" w:eastAsia="Calibri" w:hAnsi="Palatino Linotype"/>
          <w:b/>
          <w:sz w:val="22"/>
          <w:szCs w:val="22"/>
        </w:rPr>
        <w:t>,</w:t>
      </w:r>
      <w:r w:rsidRPr="00B8455D">
        <w:rPr>
          <w:rFonts w:ascii="Palatino Linotype" w:eastAsia="Calibri" w:hAnsi="Palatino Linotype"/>
          <w:bCs/>
          <w:sz w:val="22"/>
          <w:szCs w:val="22"/>
          <w:lang w:val="es-ES"/>
        </w:rPr>
        <w:t xml:space="preserve"> </w:t>
      </w:r>
      <w:r w:rsidRPr="00B8455D">
        <w:rPr>
          <w:rFonts w:ascii="Palatino Linotype" w:hAnsi="Palatino Linotype" w:cs="Tahoma"/>
          <w:bCs/>
          <w:sz w:val="22"/>
          <w:szCs w:val="22"/>
          <w:lang w:val="es-ES"/>
        </w:rPr>
        <w:t>en términos idénticos lo siguiente:</w:t>
      </w:r>
    </w:p>
    <w:p w14:paraId="2F95E7C5" w14:textId="77777777" w:rsidR="001C4A74" w:rsidRPr="00BC673F" w:rsidRDefault="001C4A74" w:rsidP="001C4A74">
      <w:pPr>
        <w:tabs>
          <w:tab w:val="left" w:pos="4667"/>
        </w:tabs>
        <w:spacing w:line="360" w:lineRule="auto"/>
        <w:ind w:right="567"/>
        <w:contextualSpacing/>
        <w:rPr>
          <w:b/>
          <w:bCs/>
          <w:iCs/>
        </w:rPr>
      </w:pPr>
    </w:p>
    <w:p w14:paraId="24E94F34" w14:textId="77777777" w:rsidR="001C4A74" w:rsidRPr="00BC673F" w:rsidRDefault="001C4A74" w:rsidP="001C4A74">
      <w:pPr>
        <w:tabs>
          <w:tab w:val="left" w:pos="4667"/>
        </w:tabs>
        <w:spacing w:line="360" w:lineRule="auto"/>
        <w:ind w:left="567" w:right="567"/>
        <w:contextualSpacing/>
        <w:rPr>
          <w:rFonts w:ascii="Palatino Linotype" w:hAnsi="Palatino Linotype" w:cs="Tahoma"/>
          <w:b/>
          <w:bCs/>
          <w:i/>
        </w:rPr>
      </w:pPr>
      <w:r w:rsidRPr="00BC673F">
        <w:rPr>
          <w:rFonts w:ascii="Palatino Linotype" w:hAnsi="Palatino Linotype" w:cs="Tahoma"/>
          <w:b/>
          <w:bCs/>
          <w:i/>
        </w:rPr>
        <w:t>“ACTO IMPUGNADO</w:t>
      </w:r>
    </w:p>
    <w:p w14:paraId="2590412E" w14:textId="4377D5DC" w:rsidR="001C4A74" w:rsidRPr="00BC673F" w:rsidRDefault="00BC673F" w:rsidP="00706D40">
      <w:pPr>
        <w:spacing w:line="360" w:lineRule="auto"/>
        <w:ind w:left="567" w:right="567"/>
        <w:contextualSpacing/>
        <w:rPr>
          <w:rFonts w:ascii="Palatino Linotype" w:hAnsi="Palatino Linotype"/>
          <w:i/>
        </w:rPr>
      </w:pPr>
      <w:r w:rsidRPr="00BC673F">
        <w:rPr>
          <w:rFonts w:ascii="Palatino Linotype" w:hAnsi="Palatino Linotype"/>
          <w:i/>
        </w:rPr>
        <w:t>Solicito las declaraciones patrimoniales de todos los directores 2025.</w:t>
      </w:r>
      <w:r w:rsidR="00706D40" w:rsidRPr="00BC673F">
        <w:rPr>
          <w:rFonts w:ascii="Palatino Linotype" w:hAnsi="Palatino Linotype"/>
          <w:i/>
        </w:rPr>
        <w:t>”</w:t>
      </w:r>
    </w:p>
    <w:p w14:paraId="2A213989" w14:textId="77777777" w:rsidR="001C4A74" w:rsidRPr="001E21F9" w:rsidRDefault="001C4A74" w:rsidP="001C4A74">
      <w:pPr>
        <w:autoSpaceDE w:val="0"/>
        <w:autoSpaceDN w:val="0"/>
        <w:adjustRightInd w:val="0"/>
        <w:spacing w:line="360" w:lineRule="auto"/>
        <w:ind w:left="567" w:right="567"/>
        <w:contextualSpacing/>
        <w:rPr>
          <w:rFonts w:ascii="Palatino Linotype" w:hAnsi="Palatino Linotype" w:cs="Tahoma"/>
          <w:b/>
          <w:i/>
          <w:color w:val="FF0000"/>
        </w:rPr>
      </w:pPr>
    </w:p>
    <w:p w14:paraId="57A8FC9B" w14:textId="77777777" w:rsidR="001C4A74" w:rsidRPr="00BC673F" w:rsidRDefault="001C4A74" w:rsidP="001C4A74">
      <w:pPr>
        <w:autoSpaceDE w:val="0"/>
        <w:autoSpaceDN w:val="0"/>
        <w:adjustRightInd w:val="0"/>
        <w:spacing w:line="360" w:lineRule="auto"/>
        <w:ind w:left="567" w:right="567"/>
        <w:contextualSpacing/>
        <w:rPr>
          <w:rFonts w:ascii="Palatino Linotype" w:hAnsi="Palatino Linotype" w:cs="Tahoma"/>
          <w:b/>
          <w:i/>
        </w:rPr>
      </w:pPr>
      <w:r w:rsidRPr="00BC673F">
        <w:rPr>
          <w:rFonts w:ascii="Palatino Linotype" w:hAnsi="Palatino Linotype" w:cs="Tahoma"/>
          <w:b/>
          <w:i/>
        </w:rPr>
        <w:t>“RAZONES O MOTIVOS DE LA INCONFORMIDAD</w:t>
      </w:r>
    </w:p>
    <w:p w14:paraId="4C75F076" w14:textId="45F93073" w:rsidR="00FE611C" w:rsidRPr="00BC673F" w:rsidRDefault="00BC673F" w:rsidP="00BC673F">
      <w:pPr>
        <w:spacing w:line="360" w:lineRule="auto"/>
        <w:ind w:left="567" w:right="567"/>
        <w:contextualSpacing/>
        <w:jc w:val="both"/>
        <w:rPr>
          <w:rFonts w:ascii="Palatino Linotype" w:hAnsi="Palatino Linotype"/>
          <w:i/>
        </w:rPr>
      </w:pPr>
      <w:r w:rsidRPr="00BC673F">
        <w:rPr>
          <w:rFonts w:ascii="Palatino Linotype" w:hAnsi="Palatino Linotype"/>
          <w:i/>
        </w:rPr>
        <w:t>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706D40" w:rsidRPr="00BC673F">
        <w:rPr>
          <w:rFonts w:ascii="Palatino Linotype" w:hAnsi="Palatino Linotype"/>
          <w:i/>
        </w:rPr>
        <w:t>”</w:t>
      </w:r>
      <w:r>
        <w:rPr>
          <w:rFonts w:ascii="Palatino Linotype" w:hAnsi="Palatino Linotype"/>
          <w:i/>
        </w:rPr>
        <w:t xml:space="preserve"> (Sic)</w:t>
      </w:r>
    </w:p>
    <w:p w14:paraId="7FB22A65" w14:textId="77777777" w:rsidR="00706D40" w:rsidRPr="001E21F9" w:rsidRDefault="00706D40" w:rsidP="00FE611C">
      <w:pPr>
        <w:autoSpaceDE w:val="0"/>
        <w:autoSpaceDN w:val="0"/>
        <w:adjustRightInd w:val="0"/>
        <w:spacing w:line="360" w:lineRule="auto"/>
        <w:contextualSpacing/>
        <w:jc w:val="both"/>
        <w:rPr>
          <w:rFonts w:ascii="Palatino Linotype" w:hAnsi="Palatino Linotype" w:cs="Tahoma"/>
          <w:color w:val="FF0000"/>
          <w:sz w:val="22"/>
          <w:szCs w:val="22"/>
        </w:rPr>
      </w:pPr>
    </w:p>
    <w:p w14:paraId="73C91090" w14:textId="1FCEE3F3" w:rsidR="00FE611C" w:rsidRPr="00E40F3E" w:rsidRDefault="00FE611C" w:rsidP="004B1022">
      <w:pPr>
        <w:pStyle w:val="Ttulo1"/>
        <w:rPr>
          <w:rFonts w:ascii="Palatino Linotype" w:eastAsia="Batang" w:hAnsi="Palatino Linotype"/>
          <w:b/>
          <w:color w:val="auto"/>
          <w:sz w:val="22"/>
          <w:szCs w:val="22"/>
        </w:rPr>
      </w:pPr>
      <w:bookmarkStart w:id="5" w:name="_Toc219984639"/>
      <w:r w:rsidRPr="00E40F3E">
        <w:rPr>
          <w:rFonts w:ascii="Palatino Linotype" w:hAnsi="Palatino Linotype"/>
          <w:b/>
          <w:color w:val="auto"/>
          <w:sz w:val="22"/>
          <w:szCs w:val="22"/>
        </w:rPr>
        <w:t xml:space="preserve">IV. </w:t>
      </w:r>
      <w:r w:rsidRPr="00E40F3E">
        <w:rPr>
          <w:rFonts w:ascii="Palatino Linotype" w:eastAsia="Batang" w:hAnsi="Palatino Linotype"/>
          <w:b/>
          <w:color w:val="auto"/>
          <w:sz w:val="22"/>
          <w:szCs w:val="22"/>
        </w:rPr>
        <w:t xml:space="preserve">Trámite del </w:t>
      </w:r>
      <w:r w:rsidRPr="00E40F3E">
        <w:rPr>
          <w:rFonts w:ascii="Palatino Linotype" w:hAnsi="Palatino Linotype"/>
          <w:b/>
          <w:color w:val="auto"/>
          <w:sz w:val="22"/>
          <w:szCs w:val="22"/>
        </w:rPr>
        <w:t xml:space="preserve">Recurso de Revisión </w:t>
      </w:r>
      <w:r w:rsidR="00706D40" w:rsidRPr="00E40F3E">
        <w:rPr>
          <w:rFonts w:ascii="Palatino Linotype" w:eastAsia="Batang" w:hAnsi="Palatino Linotype"/>
          <w:b/>
          <w:color w:val="auto"/>
          <w:sz w:val="22"/>
          <w:szCs w:val="22"/>
        </w:rPr>
        <w:t>ante este Instituto</w:t>
      </w:r>
      <w:bookmarkEnd w:id="5"/>
    </w:p>
    <w:p w14:paraId="038D4CFE" w14:textId="77777777" w:rsidR="00FE611C" w:rsidRPr="001E21F9" w:rsidRDefault="00FE611C" w:rsidP="00FE611C">
      <w:pPr>
        <w:spacing w:line="360" w:lineRule="auto"/>
        <w:contextualSpacing/>
        <w:jc w:val="both"/>
        <w:rPr>
          <w:rFonts w:ascii="Palatino Linotype" w:eastAsia="Batang" w:hAnsi="Palatino Linotype" w:cs="Tahoma"/>
          <w:b/>
          <w:bCs/>
          <w:color w:val="FF0000"/>
          <w:sz w:val="22"/>
          <w:szCs w:val="22"/>
        </w:rPr>
      </w:pPr>
    </w:p>
    <w:p w14:paraId="5ECF564F" w14:textId="337CD8E5" w:rsidR="00FE611C" w:rsidRPr="00E40F3E" w:rsidRDefault="00FE611C" w:rsidP="00FE611C">
      <w:pPr>
        <w:spacing w:line="360" w:lineRule="auto"/>
        <w:contextualSpacing/>
        <w:jc w:val="both"/>
        <w:rPr>
          <w:rFonts w:ascii="Palatino Linotype" w:eastAsia="Batang" w:hAnsi="Palatino Linotype" w:cs="Tahoma"/>
          <w:bCs/>
          <w:sz w:val="22"/>
          <w:szCs w:val="22"/>
          <w:lang w:val="es-ES_tradnl"/>
        </w:rPr>
      </w:pPr>
      <w:bookmarkStart w:id="6" w:name="_Toc219984640"/>
      <w:r w:rsidRPr="00E40F3E">
        <w:rPr>
          <w:rStyle w:val="Ttulo2Car"/>
          <w:rFonts w:ascii="Palatino Linotype" w:hAnsi="Palatino Linotype"/>
          <w:b/>
          <w:color w:val="auto"/>
          <w:sz w:val="22"/>
          <w:szCs w:val="22"/>
        </w:rPr>
        <w:t>a) Turno del Recurso de Revisión</w:t>
      </w:r>
      <w:bookmarkEnd w:id="6"/>
      <w:r w:rsidRPr="00E40F3E">
        <w:rPr>
          <w:rFonts w:ascii="Palatino Linotype" w:hAnsi="Palatino Linotype"/>
          <w:b/>
          <w:bCs/>
          <w:sz w:val="22"/>
          <w:szCs w:val="22"/>
        </w:rPr>
        <w:t xml:space="preserve">. </w:t>
      </w:r>
      <w:r w:rsidRPr="00E40F3E">
        <w:rPr>
          <w:rFonts w:ascii="Palatino Linotype" w:eastAsia="Batang" w:hAnsi="Palatino Linotype" w:cs="Tahoma"/>
          <w:bCs/>
          <w:sz w:val="22"/>
          <w:szCs w:val="22"/>
          <w:lang w:val="es-ES_tradnl"/>
        </w:rPr>
        <w:t xml:space="preserve">El </w:t>
      </w:r>
      <w:r w:rsidR="00E40F3E" w:rsidRPr="00E40F3E">
        <w:rPr>
          <w:rFonts w:ascii="Palatino Linotype" w:eastAsia="Batang" w:hAnsi="Palatino Linotype" w:cs="Tahoma"/>
          <w:bCs/>
          <w:sz w:val="22"/>
          <w:szCs w:val="22"/>
          <w:lang w:val="es-ES_tradnl"/>
        </w:rPr>
        <w:t xml:space="preserve">doce de diciembre de dos mil veinticinco, </w:t>
      </w:r>
      <w:r w:rsidRPr="00E40F3E">
        <w:rPr>
          <w:rFonts w:ascii="Palatino Linotype" w:eastAsia="Batang" w:hAnsi="Palatino Linotype" w:cs="Tahoma"/>
          <w:bCs/>
          <w:sz w:val="22"/>
          <w:szCs w:val="22"/>
          <w:lang w:val="es-ES_tradnl"/>
        </w:rPr>
        <w:t xml:space="preserve">el Sistema de Acceso a la Información Mexiquense (SAIMEX), asignó </w:t>
      </w:r>
      <w:r w:rsidR="00E40F3E" w:rsidRPr="00E40F3E">
        <w:rPr>
          <w:rFonts w:ascii="Palatino Linotype" w:eastAsia="Batang" w:hAnsi="Palatino Linotype" w:cs="Tahoma"/>
          <w:bCs/>
          <w:sz w:val="22"/>
          <w:szCs w:val="22"/>
          <w:lang w:val="es-ES_tradnl"/>
        </w:rPr>
        <w:t xml:space="preserve">el número de expediente </w:t>
      </w:r>
      <w:r w:rsidR="00E40F3E" w:rsidRPr="00E40F3E">
        <w:rPr>
          <w:rFonts w:ascii="Palatino Linotype" w:eastAsia="Calibri" w:hAnsi="Palatino Linotype" w:cs="Tahoma"/>
          <w:bCs/>
          <w:sz w:val="22"/>
          <w:szCs w:val="22"/>
          <w:lang w:eastAsia="en-US"/>
        </w:rPr>
        <w:t>14321/INFOEM/IP/RR/2025</w:t>
      </w:r>
      <w:r w:rsidR="00E40F3E" w:rsidRPr="00E40F3E">
        <w:rPr>
          <w:rFonts w:ascii="Palatino Linotype" w:eastAsia="Batang" w:hAnsi="Palatino Linotype" w:cs="Tahoma"/>
          <w:bCs/>
          <w:sz w:val="22"/>
          <w:szCs w:val="22"/>
          <w:lang w:val="es-ES_tradnl"/>
        </w:rPr>
        <w:t>, al medio</w:t>
      </w:r>
      <w:r w:rsidRPr="00E40F3E">
        <w:rPr>
          <w:rFonts w:ascii="Palatino Linotype" w:eastAsia="Batang" w:hAnsi="Palatino Linotype" w:cs="Tahoma"/>
          <w:bCs/>
          <w:sz w:val="22"/>
          <w:szCs w:val="22"/>
          <w:lang w:val="es-ES_tradnl"/>
        </w:rPr>
        <w:t xml:space="preserve"> de impugnación que nos ocupa, con base en el sistema aprobado por el Pleno de es</w:t>
      </w:r>
      <w:r w:rsidR="00E40F3E" w:rsidRPr="00E40F3E">
        <w:rPr>
          <w:rFonts w:ascii="Palatino Linotype" w:eastAsia="Batang" w:hAnsi="Palatino Linotype" w:cs="Tahoma"/>
          <w:bCs/>
          <w:sz w:val="22"/>
          <w:szCs w:val="22"/>
          <w:lang w:val="es-ES_tradnl"/>
        </w:rPr>
        <w:t xml:space="preserve">te Órgano Garante y los turnó al Comisionado </w:t>
      </w:r>
      <w:r w:rsidRPr="00E40F3E">
        <w:rPr>
          <w:rFonts w:ascii="Palatino Linotype" w:eastAsia="Batang" w:hAnsi="Palatino Linotype" w:cs="Tahoma"/>
          <w:b/>
          <w:sz w:val="22"/>
          <w:szCs w:val="22"/>
          <w:lang w:val="es-ES_tradnl"/>
        </w:rPr>
        <w:t>Luis Gustavo Parra Noriega</w:t>
      </w:r>
      <w:r w:rsidRPr="00E40F3E">
        <w:rPr>
          <w:rFonts w:ascii="Palatino Linotype" w:eastAsia="Batang" w:hAnsi="Palatino Linotype" w:cs="Tahoma"/>
          <w:bCs/>
          <w:sz w:val="22"/>
          <w:szCs w:val="22"/>
          <w:lang w:val="es-ES_tradnl"/>
        </w:rPr>
        <w:t>,</w:t>
      </w:r>
      <w:r w:rsidR="00706D40" w:rsidRPr="00E40F3E">
        <w:rPr>
          <w:rFonts w:ascii="Palatino Linotype" w:hAnsi="Palatino Linotype" w:cs="Tahoma"/>
          <w:sz w:val="22"/>
          <w:szCs w:val="22"/>
        </w:rPr>
        <w:t xml:space="preserve"> </w:t>
      </w:r>
      <w:r w:rsidRPr="00E40F3E">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532EEAB7" w14:textId="77777777" w:rsidR="00FE611C" w:rsidRPr="001E21F9" w:rsidRDefault="00FE611C" w:rsidP="00FE611C">
      <w:pPr>
        <w:spacing w:line="360" w:lineRule="auto"/>
        <w:contextualSpacing/>
        <w:jc w:val="both"/>
        <w:rPr>
          <w:rFonts w:ascii="Palatino Linotype" w:eastAsia="Batang" w:hAnsi="Palatino Linotype" w:cs="Tahoma"/>
          <w:b/>
          <w:bCs/>
          <w:color w:val="FF0000"/>
          <w:sz w:val="22"/>
          <w:szCs w:val="22"/>
        </w:rPr>
      </w:pPr>
    </w:p>
    <w:p w14:paraId="49EF5C66" w14:textId="4EE31340" w:rsidR="00FE611C" w:rsidRPr="00A9494D" w:rsidRDefault="00FE611C" w:rsidP="00FE611C">
      <w:pPr>
        <w:spacing w:line="360" w:lineRule="auto"/>
        <w:contextualSpacing/>
        <w:jc w:val="both"/>
        <w:rPr>
          <w:rFonts w:ascii="Palatino Linotype" w:eastAsia="Batang" w:hAnsi="Palatino Linotype" w:cs="Tahoma"/>
          <w:bCs/>
          <w:sz w:val="22"/>
          <w:szCs w:val="22"/>
          <w:lang w:val="es-ES_tradnl"/>
        </w:rPr>
      </w:pPr>
      <w:bookmarkStart w:id="7" w:name="_Toc219984641"/>
      <w:r w:rsidRPr="00A9494D">
        <w:rPr>
          <w:rStyle w:val="Ttulo2Car"/>
          <w:rFonts w:ascii="Palatino Linotype" w:hAnsi="Palatino Linotype"/>
          <w:b/>
          <w:color w:val="auto"/>
          <w:sz w:val="22"/>
          <w:szCs w:val="22"/>
        </w:rPr>
        <w:t>b) Admisión de los Recursos de Revisión</w:t>
      </w:r>
      <w:bookmarkEnd w:id="7"/>
      <w:r w:rsidRPr="00A9494D">
        <w:rPr>
          <w:rFonts w:ascii="Palatino Linotype" w:eastAsia="Batang" w:hAnsi="Palatino Linotype" w:cs="Tahoma"/>
          <w:b/>
          <w:bCs/>
          <w:sz w:val="22"/>
          <w:szCs w:val="22"/>
          <w:lang w:val="es-ES_tradnl"/>
        </w:rPr>
        <w:t xml:space="preserve">. </w:t>
      </w:r>
      <w:r w:rsidRPr="00A9494D">
        <w:rPr>
          <w:rFonts w:ascii="Palatino Linotype" w:eastAsia="Batang" w:hAnsi="Palatino Linotype" w:cs="Tahoma"/>
          <w:bCs/>
          <w:sz w:val="22"/>
          <w:szCs w:val="22"/>
          <w:lang w:val="es-ES_tradnl"/>
        </w:rPr>
        <w:t>E</w:t>
      </w:r>
      <w:r w:rsidR="00A9494D" w:rsidRPr="00A9494D">
        <w:rPr>
          <w:rFonts w:ascii="Palatino Linotype" w:eastAsia="Batang" w:hAnsi="Palatino Linotype" w:cs="Tahoma"/>
          <w:bCs/>
          <w:sz w:val="22"/>
          <w:szCs w:val="22"/>
          <w:lang w:val="es-ES_tradnl"/>
        </w:rPr>
        <w:t>l diecisiete de diciembre de dos mil veinticinco, se acordó la admisión del Recurso de Revisión, interpuesto</w:t>
      </w:r>
      <w:r w:rsidRPr="00A9494D">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Estado de México y Municipios, </w:t>
      </w:r>
      <w:r w:rsidR="00A9494D" w:rsidRPr="00A9494D">
        <w:rPr>
          <w:rFonts w:ascii="Palatino Linotype" w:eastAsia="Batang" w:hAnsi="Palatino Linotype" w:cs="Tahoma"/>
          <w:bCs/>
          <w:sz w:val="22"/>
          <w:szCs w:val="22"/>
          <w:lang w:val="es-ES_tradnl"/>
        </w:rPr>
        <w:t xml:space="preserve">el cual fue notificado </w:t>
      </w:r>
      <w:r w:rsidRPr="00A9494D">
        <w:rPr>
          <w:rFonts w:ascii="Palatino Linotype" w:eastAsia="Batang" w:hAnsi="Palatino Linotype" w:cs="Tahoma"/>
          <w:bCs/>
          <w:sz w:val="22"/>
          <w:szCs w:val="22"/>
          <w:lang w:val="es-ES_tradnl"/>
        </w:rPr>
        <w:t>a las partes</w:t>
      </w:r>
      <w:r w:rsidR="00A9494D">
        <w:rPr>
          <w:rFonts w:ascii="Palatino Linotype" w:eastAsia="Batang" w:hAnsi="Palatino Linotype" w:cs="Tahoma"/>
          <w:bCs/>
          <w:sz w:val="22"/>
          <w:szCs w:val="22"/>
          <w:lang w:val="es-ES_tradnl"/>
        </w:rPr>
        <w:t xml:space="preserve"> el dieciocho de dicho mes y año</w:t>
      </w:r>
      <w:r w:rsidRPr="00A9494D">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7EB8A0CC" w14:textId="77777777" w:rsidR="00FE611C" w:rsidRPr="001E21F9" w:rsidRDefault="00FE611C" w:rsidP="00FE611C">
      <w:pPr>
        <w:spacing w:line="360" w:lineRule="auto"/>
        <w:contextualSpacing/>
        <w:jc w:val="both"/>
        <w:rPr>
          <w:rFonts w:ascii="Palatino Linotype" w:eastAsia="Batang" w:hAnsi="Palatino Linotype" w:cs="Tahoma"/>
          <w:bCs/>
          <w:color w:val="FF0000"/>
          <w:sz w:val="22"/>
          <w:szCs w:val="22"/>
          <w:lang w:val="es-ES_tradnl"/>
        </w:rPr>
      </w:pPr>
    </w:p>
    <w:p w14:paraId="0BFDB9F5" w14:textId="1C4BE467" w:rsidR="00FE611C" w:rsidRDefault="00FE611C" w:rsidP="00FE611C">
      <w:pPr>
        <w:spacing w:line="360" w:lineRule="auto"/>
        <w:contextualSpacing/>
        <w:jc w:val="both"/>
        <w:rPr>
          <w:rFonts w:ascii="Palatino Linotype" w:hAnsi="Palatino Linotype" w:cs="Tahoma"/>
          <w:bCs/>
          <w:sz w:val="22"/>
          <w:szCs w:val="22"/>
          <w:lang w:val="es-ES_tradnl"/>
        </w:rPr>
      </w:pPr>
      <w:bookmarkStart w:id="8" w:name="_Toc219984642"/>
      <w:r w:rsidRPr="00A9494D">
        <w:rPr>
          <w:rStyle w:val="Ttulo2Car"/>
          <w:rFonts w:ascii="Palatino Linotype" w:hAnsi="Palatino Linotype"/>
          <w:b/>
          <w:color w:val="auto"/>
          <w:sz w:val="22"/>
          <w:szCs w:val="22"/>
        </w:rPr>
        <w:t>c) Informe Justificado</w:t>
      </w:r>
      <w:bookmarkEnd w:id="8"/>
      <w:r w:rsidRPr="00A9494D">
        <w:rPr>
          <w:rFonts w:ascii="Palatino Linotype" w:hAnsi="Palatino Linotype" w:cs="Tahoma"/>
          <w:b/>
          <w:sz w:val="22"/>
          <w:szCs w:val="22"/>
        </w:rPr>
        <w:t xml:space="preserve">. </w:t>
      </w:r>
      <w:r w:rsidR="00CD0AA8" w:rsidRPr="00A9494D">
        <w:rPr>
          <w:rFonts w:ascii="Palatino Linotype" w:hAnsi="Palatino Linotype" w:cs="Tahoma"/>
          <w:bCs/>
          <w:sz w:val="22"/>
          <w:szCs w:val="22"/>
          <w:lang w:val="es-ES_tradnl"/>
        </w:rPr>
        <w:t xml:space="preserve">El </w:t>
      </w:r>
      <w:r w:rsidR="00A9494D" w:rsidRPr="00A9494D">
        <w:rPr>
          <w:rFonts w:ascii="Palatino Linotype" w:hAnsi="Palatino Linotype" w:cs="Tahoma"/>
          <w:bCs/>
          <w:sz w:val="22"/>
          <w:szCs w:val="22"/>
          <w:lang w:val="es-ES_tradnl"/>
        </w:rPr>
        <w:t xml:space="preserve">veintiséis de diciembre de dos </w:t>
      </w:r>
      <w:r w:rsidR="00CD0AA8" w:rsidRPr="00A9494D">
        <w:rPr>
          <w:rFonts w:ascii="Palatino Linotype" w:hAnsi="Palatino Linotype" w:cs="Tahoma"/>
          <w:bCs/>
          <w:sz w:val="22"/>
          <w:szCs w:val="22"/>
          <w:lang w:val="es-ES_tradnl"/>
        </w:rPr>
        <w:t>mil veinticinco</w:t>
      </w:r>
      <w:r w:rsidRPr="00A9494D">
        <w:rPr>
          <w:rFonts w:ascii="Palatino Linotype" w:hAnsi="Palatino Linotype" w:cs="Tahoma"/>
          <w:bCs/>
          <w:sz w:val="22"/>
          <w:szCs w:val="22"/>
          <w:lang w:val="es-ES_tradnl"/>
        </w:rPr>
        <w:t xml:space="preserve">, se recibió en este Instituto, a través del Sistema de Acceso a la Información Mexiquense (SAIMEX), el Informe Justificado del Sujeto Obligado, a través </w:t>
      </w:r>
      <w:r w:rsidR="00A9494D">
        <w:rPr>
          <w:rFonts w:ascii="Palatino Linotype" w:hAnsi="Palatino Linotype" w:cs="Tahoma"/>
          <w:bCs/>
          <w:sz w:val="22"/>
          <w:szCs w:val="22"/>
          <w:lang w:val="es-ES_tradnl"/>
        </w:rPr>
        <w:t xml:space="preserve">del oficio </w:t>
      </w:r>
      <w:r w:rsidR="00A9494D" w:rsidRPr="00A9494D">
        <w:rPr>
          <w:rFonts w:ascii="Palatino Linotype" w:hAnsi="Palatino Linotype" w:cs="Tahoma"/>
          <w:bCs/>
          <w:sz w:val="22"/>
          <w:szCs w:val="22"/>
          <w:lang w:val="es-ES_tradnl"/>
        </w:rPr>
        <w:t>HAT/UTAIP/2025/1210</w:t>
      </w:r>
      <w:r w:rsidR="00A9494D">
        <w:rPr>
          <w:rFonts w:ascii="Palatino Linotype" w:hAnsi="Palatino Linotype" w:cs="Tahoma"/>
          <w:bCs/>
          <w:sz w:val="22"/>
          <w:szCs w:val="22"/>
          <w:lang w:val="es-ES_tradnl"/>
        </w:rPr>
        <w:t xml:space="preserve"> de la misma fecha suscrito por la Titular de la Unidad de Transparencia, dirigido al Solicitante, por medio del cual se menciona lo siguiente:</w:t>
      </w:r>
    </w:p>
    <w:p w14:paraId="0331E110" w14:textId="77777777" w:rsidR="00A9494D" w:rsidRDefault="00A9494D" w:rsidP="00FE611C">
      <w:pPr>
        <w:spacing w:line="360" w:lineRule="auto"/>
        <w:contextualSpacing/>
        <w:jc w:val="both"/>
        <w:rPr>
          <w:rFonts w:ascii="Palatino Linotype" w:hAnsi="Palatino Linotype" w:cs="Tahoma"/>
          <w:bCs/>
          <w:sz w:val="22"/>
          <w:szCs w:val="22"/>
          <w:lang w:val="es-ES_tradnl"/>
        </w:rPr>
      </w:pPr>
    </w:p>
    <w:p w14:paraId="26860129" w14:textId="7894E569" w:rsidR="00A9494D" w:rsidRPr="00A9494D" w:rsidRDefault="00A9494D" w:rsidP="00A9494D">
      <w:pPr>
        <w:autoSpaceDE w:val="0"/>
        <w:autoSpaceDN w:val="0"/>
        <w:adjustRightInd w:val="0"/>
        <w:spacing w:line="360" w:lineRule="auto"/>
        <w:ind w:left="567" w:right="567"/>
        <w:contextualSpacing/>
        <w:jc w:val="both"/>
        <w:rPr>
          <w:rFonts w:ascii="Palatino Linotype" w:hAnsi="Palatino Linotype" w:cs="Tahoma"/>
          <w:i/>
          <w:iCs/>
        </w:rPr>
      </w:pPr>
      <w:r w:rsidRPr="00A9494D">
        <w:rPr>
          <w:rFonts w:ascii="Palatino Linotype" w:hAnsi="Palatino Linotype" w:cs="Tahoma"/>
          <w:i/>
          <w:iCs/>
        </w:rPr>
        <w:t>“…No le compete al Sujeto Obligado Ayuntamiento de Tepotzotlán, por lo que se hace de su conocimiento que tiene que ingresar al Sistema de Acceso a la Información Mexiquense (SAIMEX) y dirigirse al Sujeto Obligado de la Administración Pública Centralizada del Poder Ejecutivo Estatal "Secretaría de la Contraloría", según lo marca el -Padrón de Sujetos Obligados en materia de Transparencia y Acceso a la Información Pública del Estado de México y Municipios- del INFOЕМ…” (Sic)</w:t>
      </w:r>
    </w:p>
    <w:p w14:paraId="1FD3AB9F" w14:textId="77777777" w:rsidR="00FE611C" w:rsidRPr="001E21F9" w:rsidRDefault="00FE611C" w:rsidP="00FE611C">
      <w:pPr>
        <w:spacing w:line="360" w:lineRule="auto"/>
        <w:contextualSpacing/>
        <w:jc w:val="both"/>
        <w:rPr>
          <w:rFonts w:ascii="Palatino Linotype" w:hAnsi="Palatino Linotype" w:cs="Tahoma"/>
          <w:bCs/>
          <w:color w:val="FF0000"/>
          <w:sz w:val="22"/>
          <w:szCs w:val="22"/>
          <w:lang w:val="es-ES_tradnl"/>
        </w:rPr>
      </w:pPr>
    </w:p>
    <w:p w14:paraId="0BAB41FA" w14:textId="77777777" w:rsidR="00392D25" w:rsidRPr="001E21F9" w:rsidRDefault="00392D25" w:rsidP="00FE611C">
      <w:pPr>
        <w:rPr>
          <w:color w:val="FF0000"/>
          <w:lang w:val="es-ES_tradnl"/>
        </w:rPr>
      </w:pPr>
    </w:p>
    <w:p w14:paraId="5626FE79" w14:textId="77777777" w:rsidR="008F3C38" w:rsidRPr="001E21F9" w:rsidRDefault="008F3C38" w:rsidP="00FE611C">
      <w:pPr>
        <w:autoSpaceDE w:val="0"/>
        <w:autoSpaceDN w:val="0"/>
        <w:adjustRightInd w:val="0"/>
        <w:spacing w:line="360" w:lineRule="auto"/>
        <w:contextualSpacing/>
        <w:jc w:val="both"/>
        <w:rPr>
          <w:rFonts w:ascii="Palatino Linotype" w:hAnsi="Palatino Linotype" w:cs="Tahoma"/>
          <w:b/>
          <w:color w:val="FF0000"/>
          <w:sz w:val="22"/>
          <w:szCs w:val="22"/>
        </w:rPr>
      </w:pPr>
    </w:p>
    <w:p w14:paraId="05BA65A3" w14:textId="41660174" w:rsidR="00FE611C" w:rsidRPr="00A9494D" w:rsidRDefault="00FE611C" w:rsidP="00FE611C">
      <w:pPr>
        <w:widowControl w:val="0"/>
        <w:spacing w:line="360" w:lineRule="auto"/>
        <w:contextualSpacing/>
        <w:jc w:val="both"/>
        <w:rPr>
          <w:rFonts w:ascii="Palatino Linotype" w:hAnsi="Palatino Linotype" w:cs="Tahoma"/>
          <w:bCs/>
          <w:sz w:val="22"/>
          <w:szCs w:val="22"/>
        </w:rPr>
      </w:pPr>
      <w:bookmarkStart w:id="9" w:name="_Toc219984643"/>
      <w:bookmarkStart w:id="10" w:name="_Hlk145410441"/>
      <w:r w:rsidRPr="00A9494D">
        <w:rPr>
          <w:rStyle w:val="Ttulo2Car"/>
          <w:rFonts w:ascii="Palatino Linotype" w:hAnsi="Palatino Linotype"/>
          <w:b/>
          <w:color w:val="auto"/>
          <w:sz w:val="22"/>
          <w:szCs w:val="22"/>
        </w:rPr>
        <w:t>e) Vista de Informe Justificado</w:t>
      </w:r>
      <w:bookmarkEnd w:id="9"/>
      <w:r w:rsidRPr="00A9494D">
        <w:rPr>
          <w:rFonts w:ascii="Palatino Linotype" w:hAnsi="Palatino Linotype" w:cs="Tahoma"/>
          <w:b/>
          <w:sz w:val="22"/>
          <w:szCs w:val="22"/>
        </w:rPr>
        <w:t xml:space="preserve">. </w:t>
      </w:r>
      <w:r w:rsidRPr="00A9494D">
        <w:rPr>
          <w:rFonts w:ascii="Palatino Linotype" w:hAnsi="Palatino Linotype" w:cs="Tahoma"/>
          <w:bCs/>
          <w:sz w:val="22"/>
          <w:szCs w:val="22"/>
        </w:rPr>
        <w:t>El</w:t>
      </w:r>
      <w:r w:rsidR="00D25049" w:rsidRPr="00A9494D">
        <w:rPr>
          <w:rFonts w:ascii="Palatino Linotype" w:hAnsi="Palatino Linotype" w:cs="Tahoma"/>
          <w:bCs/>
          <w:sz w:val="22"/>
          <w:szCs w:val="22"/>
        </w:rPr>
        <w:t xml:space="preserve"> </w:t>
      </w:r>
      <w:r w:rsidR="00A9494D" w:rsidRPr="00A9494D">
        <w:rPr>
          <w:rFonts w:ascii="Palatino Linotype" w:hAnsi="Palatino Linotype" w:cs="Tahoma"/>
          <w:bCs/>
          <w:sz w:val="22"/>
          <w:szCs w:val="22"/>
        </w:rPr>
        <w:t>quince de enero de dos mil veinti</w:t>
      </w:r>
      <w:r w:rsidR="00A9494D">
        <w:rPr>
          <w:rFonts w:ascii="Palatino Linotype" w:hAnsi="Palatino Linotype" w:cs="Tahoma"/>
          <w:bCs/>
          <w:sz w:val="22"/>
          <w:szCs w:val="22"/>
        </w:rPr>
        <w:t>séis</w:t>
      </w:r>
      <w:r w:rsidRPr="00A9494D">
        <w:rPr>
          <w:rFonts w:ascii="Palatino Linotype" w:hAnsi="Palatino Linotype" w:cs="Tahoma"/>
          <w:bCs/>
          <w:sz w:val="22"/>
          <w:szCs w:val="22"/>
        </w:rPr>
        <w:t>, se notificó a través del SAIMEX, el acuerdo mediante el cual se puso a la vista del Particular el Informe Justificado, proveído por el cual se le otorgó a este último, un término de tres días hábiles contados a partir del día siguiente a la notificación, para que emitiera las manifestaciones que conforme a sus intereses mayor conviniera.</w:t>
      </w:r>
    </w:p>
    <w:p w14:paraId="3D5DA3BD" w14:textId="77777777" w:rsidR="00210CD7" w:rsidRPr="00A9494D" w:rsidRDefault="00210CD7" w:rsidP="004D3537">
      <w:pPr>
        <w:autoSpaceDE w:val="0"/>
        <w:autoSpaceDN w:val="0"/>
        <w:adjustRightInd w:val="0"/>
        <w:spacing w:line="360" w:lineRule="auto"/>
        <w:ind w:left="567" w:right="567"/>
        <w:jc w:val="both"/>
        <w:rPr>
          <w:rFonts w:ascii="Palatino Linotype" w:hAnsi="Palatino Linotype" w:cs="Tahoma"/>
          <w:i/>
          <w:iCs/>
        </w:rPr>
      </w:pPr>
    </w:p>
    <w:p w14:paraId="6F7C99EC" w14:textId="540616A3" w:rsidR="00FE611C" w:rsidRPr="00A9494D" w:rsidRDefault="00A9494D" w:rsidP="00FE611C">
      <w:pPr>
        <w:spacing w:line="360" w:lineRule="auto"/>
        <w:contextualSpacing/>
        <w:jc w:val="both"/>
        <w:rPr>
          <w:rFonts w:ascii="Palatino Linotype" w:hAnsi="Palatino Linotype" w:cs="Tahoma"/>
          <w:bCs/>
          <w:sz w:val="22"/>
          <w:szCs w:val="22"/>
        </w:rPr>
      </w:pPr>
      <w:bookmarkStart w:id="11" w:name="_Toc219984644"/>
      <w:r w:rsidRPr="00A9494D">
        <w:rPr>
          <w:rStyle w:val="Ttulo2Car"/>
          <w:rFonts w:ascii="Palatino Linotype" w:hAnsi="Palatino Linotype"/>
          <w:b/>
          <w:color w:val="auto"/>
          <w:sz w:val="22"/>
          <w:szCs w:val="22"/>
        </w:rPr>
        <w:t>f</w:t>
      </w:r>
      <w:r w:rsidR="00FE611C" w:rsidRPr="00A9494D">
        <w:rPr>
          <w:rStyle w:val="Ttulo2Car"/>
          <w:rFonts w:ascii="Palatino Linotype" w:hAnsi="Palatino Linotype"/>
          <w:b/>
          <w:color w:val="auto"/>
          <w:sz w:val="22"/>
          <w:szCs w:val="22"/>
        </w:rPr>
        <w:t>) Cierre de instrucción</w:t>
      </w:r>
      <w:bookmarkEnd w:id="11"/>
      <w:r w:rsidR="00FE611C" w:rsidRPr="00A9494D">
        <w:rPr>
          <w:rFonts w:ascii="Palatino Linotype" w:hAnsi="Palatino Linotype" w:cs="Tahoma"/>
          <w:b/>
          <w:bCs/>
          <w:sz w:val="22"/>
          <w:szCs w:val="22"/>
        </w:rPr>
        <w:t>.</w:t>
      </w:r>
      <w:r w:rsidR="00FE611C" w:rsidRPr="00A9494D">
        <w:rPr>
          <w:rFonts w:ascii="Palatino Linotype" w:hAnsi="Palatino Linotype" w:cs="Tahoma"/>
          <w:bCs/>
          <w:sz w:val="22"/>
          <w:szCs w:val="22"/>
        </w:rPr>
        <w:t xml:space="preserve"> El</w:t>
      </w:r>
      <w:r w:rsidR="00210CD7" w:rsidRPr="00A9494D">
        <w:rPr>
          <w:rFonts w:ascii="Palatino Linotype" w:hAnsi="Palatino Linotype" w:cs="Tahoma"/>
          <w:bCs/>
          <w:sz w:val="22"/>
          <w:szCs w:val="22"/>
        </w:rPr>
        <w:t xml:space="preserve"> </w:t>
      </w:r>
      <w:r w:rsidRPr="00A9494D">
        <w:rPr>
          <w:rFonts w:ascii="Palatino Linotype" w:hAnsi="Palatino Linotype" w:cs="Tahoma"/>
          <w:bCs/>
          <w:sz w:val="22"/>
          <w:szCs w:val="22"/>
        </w:rPr>
        <w:t>veintiuno de enero de dos mil veintiséis</w:t>
      </w:r>
      <w:r w:rsidR="00FE611C" w:rsidRPr="00A9494D">
        <w:rPr>
          <w:rFonts w:ascii="Palatino Linotype" w:hAnsi="Palatino Linotype" w:cs="Tahoma"/>
          <w:bCs/>
          <w:sz w:val="22"/>
          <w:szCs w:val="22"/>
        </w:rPr>
        <w:t xml:space="preserve">, al no existir diligencias pendientes por desahogar, en los Recursos de Revisión,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FE611C" w:rsidRPr="00A9494D">
        <w:rPr>
          <w:rFonts w:ascii="Palatino Linotype" w:hAnsi="Palatino Linotype" w:cs="Tahoma"/>
          <w:bCs/>
          <w:sz w:val="22"/>
          <w:szCs w:val="22"/>
          <w:lang w:val="es-ES"/>
        </w:rPr>
        <w:t>acto que fue notificado a las partes, mediante el Sistema de Acceso a la I</w:t>
      </w:r>
      <w:r w:rsidR="00701644">
        <w:rPr>
          <w:rFonts w:ascii="Palatino Linotype" w:hAnsi="Palatino Linotype" w:cs="Tahoma"/>
          <w:bCs/>
          <w:sz w:val="22"/>
          <w:szCs w:val="22"/>
          <w:lang w:val="es-ES"/>
        </w:rPr>
        <w:t>nformación Mexiquense (SAIMEX).</w:t>
      </w:r>
    </w:p>
    <w:bookmarkEnd w:id="10"/>
    <w:p w14:paraId="1A29DB90" w14:textId="77777777" w:rsidR="00FE611C" w:rsidRPr="00A9494D" w:rsidRDefault="00FE611C" w:rsidP="00FE611C">
      <w:pPr>
        <w:autoSpaceDE w:val="0"/>
        <w:autoSpaceDN w:val="0"/>
        <w:adjustRightInd w:val="0"/>
        <w:spacing w:line="360" w:lineRule="auto"/>
        <w:contextualSpacing/>
        <w:jc w:val="both"/>
        <w:rPr>
          <w:rFonts w:ascii="Palatino Linotype" w:hAnsi="Palatino Linotype" w:cs="Tahoma"/>
          <w:b/>
          <w:sz w:val="22"/>
          <w:szCs w:val="22"/>
          <w:lang w:val="es-ES"/>
        </w:rPr>
      </w:pPr>
    </w:p>
    <w:p w14:paraId="52D8DB48" w14:textId="77777777" w:rsidR="00FE611C" w:rsidRPr="00A9494D" w:rsidRDefault="00FE611C" w:rsidP="00FE611C">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64614D4B" w14:textId="77777777" w:rsidR="00FE611C" w:rsidRPr="001E21F9" w:rsidRDefault="00FE611C" w:rsidP="00FE611C">
      <w:pPr>
        <w:spacing w:line="360" w:lineRule="auto"/>
        <w:contextualSpacing/>
        <w:jc w:val="both"/>
        <w:rPr>
          <w:rFonts w:ascii="Palatino Linotype" w:hAnsi="Palatino Linotype" w:cs="Tahoma"/>
          <w:color w:val="FF0000"/>
          <w:sz w:val="22"/>
          <w:szCs w:val="22"/>
        </w:rPr>
      </w:pPr>
    </w:p>
    <w:p w14:paraId="229809B7" w14:textId="5171A2D8" w:rsidR="00FE611C" w:rsidRPr="00A9494D" w:rsidRDefault="00FE611C" w:rsidP="002000A3">
      <w:pPr>
        <w:pStyle w:val="Ttulo1"/>
        <w:jc w:val="center"/>
        <w:rPr>
          <w:rFonts w:ascii="Palatino Linotype" w:hAnsi="Palatino Linotype"/>
          <w:b/>
          <w:color w:val="auto"/>
          <w:sz w:val="22"/>
          <w:szCs w:val="22"/>
        </w:rPr>
      </w:pPr>
      <w:bookmarkStart w:id="12" w:name="_Toc219984645"/>
      <w:r w:rsidRPr="00A9494D">
        <w:rPr>
          <w:rFonts w:ascii="Palatino Linotype" w:hAnsi="Palatino Linotype"/>
          <w:b/>
          <w:color w:val="auto"/>
          <w:sz w:val="22"/>
          <w:szCs w:val="22"/>
        </w:rPr>
        <w:t>C O N S I D E R A N D O S</w:t>
      </w:r>
      <w:bookmarkEnd w:id="12"/>
    </w:p>
    <w:p w14:paraId="0F811921" w14:textId="77777777" w:rsidR="002000A3" w:rsidRPr="00A9494D" w:rsidRDefault="002000A3" w:rsidP="002000A3"/>
    <w:p w14:paraId="3DB969C1" w14:textId="77777777" w:rsidR="00FE611C" w:rsidRPr="00A9494D" w:rsidRDefault="00FE611C" w:rsidP="002000A3">
      <w:pPr>
        <w:pStyle w:val="Ttulo1"/>
        <w:rPr>
          <w:rFonts w:ascii="Palatino Linotype" w:eastAsia="Batang" w:hAnsi="Palatino Linotype"/>
          <w:b/>
          <w:color w:val="auto"/>
          <w:sz w:val="22"/>
          <w:szCs w:val="22"/>
        </w:rPr>
      </w:pPr>
      <w:bookmarkStart w:id="13" w:name="_Toc219984646"/>
      <w:r w:rsidRPr="00A9494D">
        <w:rPr>
          <w:rFonts w:ascii="Palatino Linotype" w:eastAsia="Batang" w:hAnsi="Palatino Linotype"/>
          <w:b/>
          <w:color w:val="auto"/>
          <w:sz w:val="22"/>
          <w:szCs w:val="22"/>
        </w:rPr>
        <w:t>PRIMERO. Competencia</w:t>
      </w:r>
      <w:bookmarkEnd w:id="13"/>
    </w:p>
    <w:p w14:paraId="0D1AD467" w14:textId="77777777" w:rsidR="00FE611C" w:rsidRPr="00A9494D" w:rsidRDefault="00FE611C" w:rsidP="00FE611C">
      <w:pPr>
        <w:spacing w:line="360" w:lineRule="auto"/>
        <w:contextualSpacing/>
        <w:jc w:val="both"/>
        <w:rPr>
          <w:rFonts w:ascii="Palatino Linotype" w:eastAsia="Batang" w:hAnsi="Palatino Linotype" w:cs="Tahoma"/>
          <w:b/>
          <w:bCs/>
          <w:sz w:val="22"/>
          <w:szCs w:val="22"/>
        </w:rPr>
      </w:pPr>
    </w:p>
    <w:p w14:paraId="0402E459" w14:textId="458667CA" w:rsidR="006F115E" w:rsidRDefault="00A978D3" w:rsidP="00FE611C">
      <w:pPr>
        <w:spacing w:line="360" w:lineRule="auto"/>
        <w:contextualSpacing/>
        <w:jc w:val="both"/>
        <w:rPr>
          <w:rFonts w:ascii="Palatino Linotype" w:hAnsi="Palatino Linotype" w:cs="Tahoma"/>
          <w:bCs/>
          <w:sz w:val="22"/>
          <w:szCs w:val="22"/>
        </w:rPr>
      </w:pPr>
      <w:bookmarkStart w:id="14" w:name="_Hlk63334754"/>
      <w:r w:rsidRPr="00A978D3">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0489B15" w14:textId="77777777" w:rsidR="00A978D3" w:rsidRPr="00A9494D" w:rsidRDefault="00A978D3" w:rsidP="00FE611C">
      <w:pPr>
        <w:spacing w:line="360" w:lineRule="auto"/>
        <w:contextualSpacing/>
        <w:jc w:val="both"/>
        <w:rPr>
          <w:rFonts w:ascii="Palatino Linotype" w:hAnsi="Palatino Linotype" w:cs="Tahoma"/>
          <w:bCs/>
          <w:sz w:val="22"/>
          <w:szCs w:val="22"/>
        </w:rPr>
      </w:pPr>
    </w:p>
    <w:p w14:paraId="55A42555" w14:textId="3F52DB82" w:rsidR="00FE611C" w:rsidRPr="00A9494D" w:rsidRDefault="00C84634" w:rsidP="006F115E">
      <w:pPr>
        <w:pStyle w:val="Ttulo1"/>
        <w:spacing w:before="0"/>
        <w:rPr>
          <w:rFonts w:ascii="Palatino Linotype" w:hAnsi="Palatino Linotype"/>
          <w:b/>
          <w:color w:val="auto"/>
          <w:sz w:val="22"/>
          <w:szCs w:val="22"/>
          <w:lang w:val="es-ES"/>
        </w:rPr>
      </w:pPr>
      <w:bookmarkStart w:id="15" w:name="_Toc219984647"/>
      <w:bookmarkEnd w:id="14"/>
      <w:r>
        <w:rPr>
          <w:rFonts w:ascii="Palatino Linotype" w:eastAsia="Calibri" w:hAnsi="Palatino Linotype"/>
          <w:b/>
          <w:color w:val="auto"/>
          <w:sz w:val="22"/>
          <w:szCs w:val="22"/>
          <w:lang w:val="es-ES" w:eastAsia="es-MX"/>
        </w:rPr>
        <w:t>SEGUNDO</w:t>
      </w:r>
      <w:r w:rsidR="00FE611C" w:rsidRPr="00A9494D">
        <w:rPr>
          <w:rFonts w:ascii="Palatino Linotype" w:eastAsia="Calibri" w:hAnsi="Palatino Linotype"/>
          <w:b/>
          <w:color w:val="auto"/>
          <w:sz w:val="22"/>
          <w:szCs w:val="22"/>
          <w:lang w:val="es-ES" w:eastAsia="es-MX"/>
        </w:rPr>
        <w:t xml:space="preserve">. </w:t>
      </w:r>
      <w:r w:rsidR="00FE611C" w:rsidRPr="00A9494D">
        <w:rPr>
          <w:rFonts w:ascii="Palatino Linotype" w:hAnsi="Palatino Linotype"/>
          <w:b/>
          <w:color w:val="auto"/>
          <w:sz w:val="22"/>
          <w:szCs w:val="22"/>
          <w:lang w:val="es-ES"/>
        </w:rPr>
        <w:t>Causales de improcedencia y sobreseimiento</w:t>
      </w:r>
      <w:bookmarkEnd w:id="15"/>
    </w:p>
    <w:p w14:paraId="153911D6" w14:textId="77777777" w:rsidR="00FE611C" w:rsidRPr="00A9494D" w:rsidRDefault="00FE611C" w:rsidP="00FE611C">
      <w:pPr>
        <w:autoSpaceDE w:val="0"/>
        <w:autoSpaceDN w:val="0"/>
        <w:adjustRightInd w:val="0"/>
        <w:spacing w:line="360" w:lineRule="auto"/>
        <w:contextualSpacing/>
        <w:jc w:val="both"/>
        <w:rPr>
          <w:rFonts w:ascii="Palatino Linotype" w:hAnsi="Palatino Linotype" w:cs="Tahoma"/>
          <w:b/>
          <w:sz w:val="22"/>
          <w:szCs w:val="22"/>
          <w:lang w:val="es-ES"/>
        </w:rPr>
      </w:pPr>
    </w:p>
    <w:p w14:paraId="496DFE0E" w14:textId="77777777" w:rsidR="00FE611C" w:rsidRPr="00A9494D" w:rsidRDefault="00FE611C" w:rsidP="00FE611C">
      <w:pPr>
        <w:autoSpaceDE w:val="0"/>
        <w:autoSpaceDN w:val="0"/>
        <w:adjustRightInd w:val="0"/>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9494D">
        <w:rPr>
          <w:rFonts w:ascii="Palatino Linotype" w:hAnsi="Palatino Linotype" w:cs="Tahoma"/>
          <w:i/>
          <w:sz w:val="22"/>
          <w:szCs w:val="22"/>
          <w:lang w:val="es-ES"/>
        </w:rPr>
        <w:t>litis</w:t>
      </w:r>
      <w:r w:rsidRPr="00A9494D">
        <w:rPr>
          <w:rFonts w:ascii="Palatino Linotype" w:hAnsi="Palatino Linotype" w:cs="Tahoma"/>
          <w:sz w:val="22"/>
          <w:szCs w:val="22"/>
          <w:lang w:val="es-ES"/>
        </w:rPr>
        <w:t>, es necesario estudiar las causales de improcedencia y sobreseimiento que se adviertan, para determinar lo que en Derecho proceda.</w:t>
      </w:r>
    </w:p>
    <w:p w14:paraId="1BB84B96" w14:textId="77777777" w:rsidR="00FE611C" w:rsidRPr="00A9494D" w:rsidRDefault="00FE611C" w:rsidP="00FE611C">
      <w:pPr>
        <w:spacing w:line="360" w:lineRule="auto"/>
        <w:contextualSpacing/>
        <w:jc w:val="both"/>
        <w:rPr>
          <w:rFonts w:ascii="Palatino Linotype" w:eastAsia="Calibri" w:hAnsi="Palatino Linotype" w:cs="Tahoma"/>
          <w:b/>
          <w:sz w:val="22"/>
          <w:szCs w:val="22"/>
          <w:lang w:val="es-ES" w:eastAsia="es-MX"/>
        </w:rPr>
      </w:pPr>
    </w:p>
    <w:p w14:paraId="08386D92" w14:textId="77777777" w:rsidR="00FE611C" w:rsidRPr="00A9494D" w:rsidRDefault="00FE611C" w:rsidP="00FE611C">
      <w:pPr>
        <w:spacing w:line="360" w:lineRule="auto"/>
        <w:contextualSpacing/>
        <w:jc w:val="both"/>
        <w:rPr>
          <w:rFonts w:ascii="Palatino Linotype" w:hAnsi="Palatino Linotype" w:cs="Tahoma"/>
          <w:b/>
          <w:bCs/>
          <w:sz w:val="22"/>
          <w:szCs w:val="22"/>
          <w:lang w:val="es-ES"/>
        </w:rPr>
      </w:pPr>
      <w:r w:rsidRPr="00A9494D">
        <w:rPr>
          <w:rFonts w:ascii="Palatino Linotype" w:hAnsi="Palatino Linotype" w:cs="Tahoma"/>
          <w:b/>
          <w:bCs/>
          <w:sz w:val="22"/>
          <w:szCs w:val="22"/>
          <w:lang w:val="es-ES"/>
        </w:rPr>
        <w:t>Causales de improcedencia</w:t>
      </w:r>
    </w:p>
    <w:p w14:paraId="77D036BA" w14:textId="77777777" w:rsidR="00FE611C" w:rsidRPr="001E21F9" w:rsidRDefault="00FE611C" w:rsidP="00FE611C">
      <w:pPr>
        <w:spacing w:line="360" w:lineRule="auto"/>
        <w:contextualSpacing/>
        <w:jc w:val="both"/>
        <w:rPr>
          <w:rFonts w:ascii="Palatino Linotype" w:hAnsi="Palatino Linotype" w:cs="Tahoma"/>
          <w:color w:val="FF0000"/>
          <w:sz w:val="22"/>
          <w:szCs w:val="22"/>
          <w:lang w:val="es-ES"/>
        </w:rPr>
      </w:pPr>
    </w:p>
    <w:p w14:paraId="09D082B9" w14:textId="77777777" w:rsidR="00FE611C" w:rsidRPr="00A9494D" w:rsidRDefault="00FE611C" w:rsidP="00FE611C">
      <w:pPr>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F339E25" w14:textId="77777777" w:rsidR="00FE611C" w:rsidRPr="00A9494D" w:rsidRDefault="00FE611C" w:rsidP="00FE611C">
      <w:pPr>
        <w:spacing w:line="360" w:lineRule="auto"/>
        <w:contextualSpacing/>
        <w:jc w:val="both"/>
        <w:rPr>
          <w:rFonts w:ascii="Palatino Linotype" w:hAnsi="Palatino Linotype" w:cs="Tahoma"/>
          <w:sz w:val="22"/>
          <w:szCs w:val="22"/>
          <w:lang w:val="es-ES"/>
        </w:rPr>
      </w:pPr>
    </w:p>
    <w:p w14:paraId="1A46A7FE" w14:textId="77777777" w:rsidR="00FE611C" w:rsidRPr="00A9494D" w:rsidRDefault="00FE611C" w:rsidP="00FE611C">
      <w:pPr>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8DC4E1F" w14:textId="77777777" w:rsidR="003259FC" w:rsidRPr="00A9494D" w:rsidRDefault="003259FC" w:rsidP="00FE611C">
      <w:pPr>
        <w:spacing w:line="360" w:lineRule="auto"/>
        <w:contextualSpacing/>
        <w:jc w:val="both"/>
        <w:rPr>
          <w:rFonts w:ascii="Palatino Linotype" w:hAnsi="Palatino Linotype" w:cs="Tahoma"/>
          <w:sz w:val="22"/>
          <w:szCs w:val="22"/>
          <w:lang w:val="es-ES"/>
        </w:rPr>
      </w:pPr>
    </w:p>
    <w:p w14:paraId="49AF1A25" w14:textId="152F86B3" w:rsidR="003259FC" w:rsidRPr="00A9494D" w:rsidRDefault="003259FC" w:rsidP="003259FC">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 xml:space="preserve">Además, de que los Medios de Impugnación fueron presentados en tiempo, toda vez que ante la ausencia de la respuesta del Ente Recurrido, se constituyó la </w:t>
      </w:r>
      <w:r w:rsidRPr="00A9494D">
        <w:rPr>
          <w:rFonts w:ascii="Palatino Linotype" w:hAnsi="Palatino Linotype" w:cs="Tahoma"/>
          <w:b/>
          <w:sz w:val="22"/>
          <w:szCs w:val="22"/>
        </w:rPr>
        <w:t>negativa ficta</w:t>
      </w:r>
      <w:r w:rsidRPr="00A9494D">
        <w:rPr>
          <w:rFonts w:ascii="Palatino Linotype" w:hAnsi="Palatino Linotype" w:cs="Tahoma"/>
          <w:sz w:val="22"/>
          <w:szCs w:val="22"/>
        </w:rPr>
        <w:t xml:space="preserve">, que genera la posibilidad de los particulares de interponer un recurso de revisión ante tal omisión, </w:t>
      </w:r>
      <w:r w:rsidRPr="00A9494D">
        <w:rPr>
          <w:rFonts w:ascii="Palatino Linotype" w:hAnsi="Palatino Linotype" w:cs="Tahoma"/>
          <w:sz w:val="22"/>
          <w:szCs w:val="22"/>
          <w:u w:val="single"/>
        </w:rPr>
        <w:t>en cualquier momento</w:t>
      </w:r>
      <w:r w:rsidRPr="00A9494D">
        <w:rPr>
          <w:rFonts w:ascii="Palatino Linotype" w:hAnsi="Palatino Linotype" w:cs="Tahoma"/>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3A777BE" w14:textId="77777777" w:rsidR="00FE611C" w:rsidRPr="00A9494D" w:rsidRDefault="00FE611C" w:rsidP="00FE611C">
      <w:pPr>
        <w:spacing w:line="360" w:lineRule="auto"/>
        <w:contextualSpacing/>
        <w:jc w:val="both"/>
        <w:rPr>
          <w:rFonts w:ascii="Palatino Linotype" w:hAnsi="Palatino Linotype" w:cs="Tahoma"/>
          <w:sz w:val="22"/>
          <w:szCs w:val="22"/>
          <w:lang w:val="es-ES"/>
        </w:rPr>
      </w:pPr>
    </w:p>
    <w:p w14:paraId="4B4E59EE" w14:textId="77777777" w:rsidR="005610A9" w:rsidRPr="00A9494D" w:rsidRDefault="005610A9" w:rsidP="005610A9">
      <w:pPr>
        <w:spacing w:line="360" w:lineRule="auto"/>
        <w:contextualSpacing/>
        <w:jc w:val="both"/>
        <w:rPr>
          <w:rFonts w:ascii="Palatino Linotype" w:hAnsi="Palatino Linotype" w:cs="Tahoma"/>
          <w:bCs/>
          <w:sz w:val="22"/>
          <w:szCs w:val="22"/>
          <w:lang w:val="es-ES"/>
        </w:rPr>
      </w:pPr>
      <w:r w:rsidRPr="00A9494D">
        <w:rPr>
          <w:rFonts w:ascii="Palatino Linotype" w:hAnsi="Palatino Linotype" w:cs="Tahoma"/>
          <w:sz w:val="22"/>
          <w:szCs w:val="22"/>
          <w:lang w:val="es-ES"/>
        </w:rPr>
        <w:t>Conforme a lo anterior, se actualiza la causal de procedencia señalada en el artículo 179, fracciones VII, de la Ley de la materia</w:t>
      </w:r>
      <w:r w:rsidRPr="00A9494D">
        <w:rPr>
          <w:rFonts w:ascii="Palatino Linotype" w:hAnsi="Palatino Linotype" w:cs="Tahoma"/>
          <w:bCs/>
          <w:sz w:val="22"/>
          <w:szCs w:val="22"/>
          <w:lang w:val="es-ES"/>
        </w:rPr>
        <w:t>, toda vez que el Solicitante se inconformó con la falta de respuesta a la solicitud de información.</w:t>
      </w:r>
    </w:p>
    <w:p w14:paraId="034FE482" w14:textId="77777777" w:rsidR="00FE611C" w:rsidRPr="001E21F9" w:rsidRDefault="00FE611C" w:rsidP="00FE611C">
      <w:pPr>
        <w:spacing w:line="360" w:lineRule="auto"/>
        <w:contextualSpacing/>
        <w:jc w:val="both"/>
        <w:rPr>
          <w:rFonts w:ascii="Palatino Linotype" w:hAnsi="Palatino Linotype" w:cs="Tahoma"/>
          <w:color w:val="FF0000"/>
          <w:sz w:val="22"/>
          <w:szCs w:val="22"/>
          <w:lang w:val="es-ES"/>
        </w:rPr>
      </w:pPr>
    </w:p>
    <w:p w14:paraId="2AFDFDAF" w14:textId="7169EBC7" w:rsidR="00FE611C" w:rsidRPr="00C84634" w:rsidRDefault="00C84634" w:rsidP="00C84634">
      <w:pPr>
        <w:pStyle w:val="Ttulo1"/>
        <w:rPr>
          <w:rFonts w:ascii="Palatino Linotype" w:hAnsi="Palatino Linotype"/>
          <w:b/>
          <w:color w:val="auto"/>
          <w:sz w:val="22"/>
          <w:szCs w:val="22"/>
          <w:lang w:val="es-ES"/>
        </w:rPr>
      </w:pPr>
      <w:bookmarkStart w:id="16" w:name="_Toc219984648"/>
      <w:r w:rsidRPr="00C84634">
        <w:rPr>
          <w:rFonts w:ascii="Palatino Linotype" w:hAnsi="Palatino Linotype"/>
          <w:b/>
          <w:color w:val="auto"/>
          <w:sz w:val="22"/>
          <w:szCs w:val="22"/>
          <w:lang w:val="es-ES"/>
        </w:rPr>
        <w:t xml:space="preserve">TERCERO. </w:t>
      </w:r>
      <w:r w:rsidR="00FE611C" w:rsidRPr="00C84634">
        <w:rPr>
          <w:rFonts w:ascii="Palatino Linotype" w:hAnsi="Palatino Linotype"/>
          <w:b/>
          <w:color w:val="auto"/>
          <w:sz w:val="22"/>
          <w:szCs w:val="22"/>
          <w:lang w:val="es-ES"/>
        </w:rPr>
        <w:t>Causales de sobreseimiento</w:t>
      </w:r>
      <w:bookmarkEnd w:id="16"/>
    </w:p>
    <w:p w14:paraId="6CF9EDBA" w14:textId="77777777" w:rsidR="00FE611C" w:rsidRPr="00A9494D" w:rsidRDefault="00FE611C" w:rsidP="00FE611C">
      <w:pPr>
        <w:spacing w:line="360" w:lineRule="auto"/>
        <w:contextualSpacing/>
        <w:jc w:val="both"/>
        <w:rPr>
          <w:rFonts w:ascii="Palatino Linotype" w:hAnsi="Palatino Linotype" w:cs="Tahoma"/>
          <w:sz w:val="22"/>
          <w:szCs w:val="22"/>
        </w:rPr>
      </w:pPr>
    </w:p>
    <w:p w14:paraId="4B21F088" w14:textId="77777777" w:rsidR="00FE611C" w:rsidRPr="00A9494D" w:rsidRDefault="00FE611C" w:rsidP="00FE611C">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Por ser de previo y especial pronunciamiento, este Instituto analiza si se actualiza alguna causal de sobreseimiento.</w:t>
      </w:r>
    </w:p>
    <w:p w14:paraId="701563E6" w14:textId="77777777" w:rsidR="00FE611C" w:rsidRPr="00A9494D" w:rsidRDefault="00FE611C" w:rsidP="00FE611C">
      <w:pPr>
        <w:spacing w:line="360" w:lineRule="auto"/>
        <w:contextualSpacing/>
        <w:jc w:val="both"/>
        <w:rPr>
          <w:rFonts w:ascii="Palatino Linotype" w:hAnsi="Palatino Linotype" w:cs="Tahoma"/>
          <w:sz w:val="22"/>
          <w:szCs w:val="22"/>
        </w:rPr>
      </w:pPr>
    </w:p>
    <w:p w14:paraId="1207F6E9" w14:textId="65182654" w:rsidR="0000697F" w:rsidRPr="00A9494D" w:rsidRDefault="0000697F" w:rsidP="0000697F">
      <w:pPr>
        <w:spacing w:line="360" w:lineRule="auto"/>
        <w:contextualSpacing/>
        <w:jc w:val="both"/>
        <w:rPr>
          <w:rFonts w:ascii="Palatino Linotype" w:eastAsiaTheme="minorHAnsi" w:hAnsi="Palatino Linotype" w:cstheme="minorBidi"/>
          <w:bCs/>
          <w:sz w:val="22"/>
          <w:szCs w:val="22"/>
          <w:lang w:eastAsia="en-US"/>
        </w:rPr>
      </w:pPr>
      <w:r w:rsidRPr="00A9494D">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e no se actualizan los supuestos de sobreseimiento previstos en las fracciones </w:t>
      </w:r>
      <w:r w:rsidRPr="00A9494D">
        <w:rPr>
          <w:rFonts w:ascii="Palatino Linotype" w:eastAsiaTheme="minorHAnsi" w:hAnsi="Palatino Linotype" w:cstheme="minorBidi"/>
          <w:b/>
          <w:sz w:val="22"/>
          <w:szCs w:val="22"/>
          <w:lang w:eastAsia="en-US"/>
        </w:rPr>
        <w:t>I, II, III y IV,</w:t>
      </w:r>
      <w:r w:rsidRPr="00A9494D">
        <w:rPr>
          <w:rFonts w:ascii="Palatino Linotype" w:eastAsiaTheme="minorHAnsi" w:hAnsi="Palatino Linotype" w:cstheme="minorBidi"/>
          <w:bCs/>
          <w:sz w:val="22"/>
          <w:szCs w:val="22"/>
          <w:lang w:eastAsia="en-US"/>
        </w:rPr>
        <w:t xml:space="preserve"> del artículo en comento, lo anterior, en virtud de que no hay constancias en el expediente en que se actúa, de que el Recurrente se haya desistido del recurso, haya fallecido, el Sujeto Obligado haya modificado o revocado el Recurso de Revisión, o bien, </w:t>
      </w:r>
      <w:r w:rsidRPr="00A9494D">
        <w:rPr>
          <w:rFonts w:ascii="Palatino Linotype" w:eastAsiaTheme="minorHAnsi" w:hAnsi="Palatino Linotype" w:cs="Tahoma"/>
          <w:sz w:val="22"/>
          <w:szCs w:val="24"/>
          <w:lang w:eastAsia="en-US"/>
        </w:rPr>
        <w:t>sobreviniera alguna causal de improcedencia.</w:t>
      </w:r>
    </w:p>
    <w:p w14:paraId="56980AE1" w14:textId="77777777" w:rsidR="0000697F" w:rsidRPr="00A9494D" w:rsidRDefault="0000697F" w:rsidP="0000697F">
      <w:pPr>
        <w:spacing w:line="360" w:lineRule="auto"/>
        <w:contextualSpacing/>
        <w:jc w:val="both"/>
        <w:rPr>
          <w:rFonts w:ascii="Palatino Linotype" w:hAnsi="Palatino Linotype" w:cs="Tahoma"/>
          <w:sz w:val="22"/>
          <w:szCs w:val="22"/>
        </w:rPr>
      </w:pPr>
    </w:p>
    <w:p w14:paraId="2C38B4A9" w14:textId="2B46FC72" w:rsidR="00A9494D" w:rsidRDefault="0000697F" w:rsidP="0000697F">
      <w:pPr>
        <w:tabs>
          <w:tab w:val="left" w:pos="4962"/>
        </w:tabs>
        <w:spacing w:line="360" w:lineRule="auto"/>
        <w:contextualSpacing/>
        <w:jc w:val="both"/>
        <w:rPr>
          <w:rFonts w:ascii="Palatino Linotype" w:eastAsiaTheme="minorHAnsi" w:hAnsi="Palatino Linotype" w:cs="Tahoma"/>
          <w:sz w:val="22"/>
          <w:szCs w:val="24"/>
          <w:lang w:val="es-ES" w:eastAsia="en-US"/>
        </w:rPr>
      </w:pPr>
      <w:r w:rsidRPr="00A9494D">
        <w:rPr>
          <w:rFonts w:ascii="Palatino Linotype" w:eastAsiaTheme="minorHAnsi" w:hAnsi="Palatino Linotype" w:cs="Tahoma"/>
          <w:sz w:val="22"/>
          <w:szCs w:val="24"/>
          <w:lang w:val="es-ES" w:eastAsia="en-US"/>
        </w:rPr>
        <w:t xml:space="preserve">Ahora bien, por lo que hace a la fracción V, del artículo 192, de la Ley de la materia, es de señalar que </w:t>
      </w:r>
      <w:r w:rsidR="00A9494D">
        <w:rPr>
          <w:rFonts w:ascii="Palatino Linotype" w:eastAsiaTheme="minorHAnsi" w:hAnsi="Palatino Linotype" w:cs="Tahoma"/>
          <w:sz w:val="22"/>
          <w:szCs w:val="24"/>
          <w:lang w:val="es-ES" w:eastAsia="en-US"/>
        </w:rPr>
        <w:t xml:space="preserve">el </w:t>
      </w:r>
      <w:r w:rsidR="006F115E">
        <w:rPr>
          <w:rFonts w:ascii="Palatino Linotype" w:eastAsiaTheme="minorHAnsi" w:hAnsi="Palatino Linotype" w:cs="Tahoma"/>
          <w:sz w:val="22"/>
          <w:szCs w:val="24"/>
          <w:lang w:val="es-ES" w:eastAsia="en-US"/>
        </w:rPr>
        <w:t xml:space="preserve">Particular requirió </w:t>
      </w:r>
      <w:r w:rsidR="006F115E" w:rsidRPr="009D3936">
        <w:rPr>
          <w:rFonts w:ascii="Palatino Linotype" w:eastAsiaTheme="minorHAnsi" w:hAnsi="Palatino Linotype" w:cs="Tahoma"/>
          <w:sz w:val="22"/>
          <w:szCs w:val="24"/>
          <w:lang w:val="es-ES" w:eastAsia="en-US"/>
        </w:rPr>
        <w:t>las</w:t>
      </w:r>
      <w:r w:rsidR="009D3936" w:rsidRPr="009D3936">
        <w:rPr>
          <w:rFonts w:ascii="Palatino Linotype" w:eastAsiaTheme="minorHAnsi" w:hAnsi="Palatino Linotype" w:cs="Tahoma"/>
          <w:sz w:val="22"/>
          <w:szCs w:val="24"/>
          <w:lang w:val="es-ES" w:eastAsia="en-US"/>
        </w:rPr>
        <w:t xml:space="preserve"> declaraciones patrimoniales de todos los directores</w:t>
      </w:r>
      <w:r w:rsidR="009D3936">
        <w:rPr>
          <w:rFonts w:ascii="Palatino Linotype" w:eastAsiaTheme="minorHAnsi" w:hAnsi="Palatino Linotype" w:cs="Tahoma"/>
          <w:sz w:val="22"/>
          <w:szCs w:val="24"/>
          <w:lang w:val="es-ES" w:eastAsia="en-US"/>
        </w:rPr>
        <w:t xml:space="preserve"> de las diversas áreas del Ayuntamiento del ejercicio fiscal dos mil veinticinco.</w:t>
      </w:r>
    </w:p>
    <w:p w14:paraId="2C4A2791" w14:textId="77777777" w:rsidR="0000697F" w:rsidRPr="001E21F9" w:rsidRDefault="0000697F" w:rsidP="0000697F">
      <w:pPr>
        <w:tabs>
          <w:tab w:val="left" w:pos="4962"/>
        </w:tabs>
        <w:spacing w:line="360" w:lineRule="auto"/>
        <w:contextualSpacing/>
        <w:jc w:val="both"/>
        <w:rPr>
          <w:rFonts w:ascii="Palatino Linotype" w:eastAsiaTheme="minorHAnsi" w:hAnsi="Palatino Linotype" w:cs="Tahoma"/>
          <w:color w:val="FF0000"/>
          <w:sz w:val="22"/>
          <w:szCs w:val="24"/>
          <w:lang w:val="es-ES" w:eastAsia="en-US"/>
        </w:rPr>
      </w:pPr>
    </w:p>
    <w:p w14:paraId="7420D9F2" w14:textId="09F5DE60" w:rsidR="009D3936" w:rsidRPr="009D3936" w:rsidRDefault="00491048" w:rsidP="00491048">
      <w:pPr>
        <w:pStyle w:val="NormalWeb"/>
        <w:spacing w:after="0" w:line="360" w:lineRule="auto"/>
        <w:ind w:right="-28"/>
        <w:rPr>
          <w:rFonts w:ascii="Palatino Linotype" w:hAnsi="Palatino Linotype" w:cs="Tahoma"/>
          <w:color w:val="auto"/>
          <w:sz w:val="22"/>
          <w:szCs w:val="22"/>
          <w:lang w:val="es-ES"/>
        </w:rPr>
      </w:pPr>
      <w:r w:rsidRPr="009D3936">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D3936">
        <w:rPr>
          <w:rFonts w:ascii="Palatino Linotype" w:hAnsi="Palatino Linotype" w:cs="Tahoma"/>
          <w:bCs/>
          <w:iCs/>
          <w:color w:val="auto"/>
          <w:sz w:val="22"/>
          <w:szCs w:val="22"/>
          <w:shd w:val="clear" w:color="auto" w:fill="FFFFFF"/>
        </w:rPr>
        <w:t xml:space="preserve">. </w:t>
      </w:r>
      <w:r w:rsidRPr="009D3936">
        <w:rPr>
          <w:rFonts w:ascii="Palatino Linotype" w:hAnsi="Palatino Linotype" w:cs="Tahoma"/>
          <w:color w:val="auto"/>
          <w:sz w:val="22"/>
          <w:szCs w:val="22"/>
          <w:lang w:val="es-ES"/>
        </w:rPr>
        <w:t>Así las cosas, una vez admitido y notificado el Recurso de Revisión a las partes, la Particular ratificó su inconformidad y solicitó se le diera respuesta a su solicitud</w:t>
      </w:r>
      <w:r w:rsidR="007A29C3" w:rsidRPr="009D3936">
        <w:rPr>
          <w:rFonts w:ascii="Palatino Linotype" w:hAnsi="Palatino Linotype" w:cs="Tahoma"/>
          <w:color w:val="auto"/>
          <w:sz w:val="22"/>
          <w:szCs w:val="22"/>
          <w:lang w:val="es-ES"/>
        </w:rPr>
        <w:t xml:space="preserve">; mientras que el Sujeto Obligado en Informe Justificado, </w:t>
      </w:r>
      <w:r w:rsidR="009D3936" w:rsidRPr="009D3936">
        <w:rPr>
          <w:rFonts w:ascii="Palatino Linotype" w:hAnsi="Palatino Linotype" w:cs="Tahoma"/>
          <w:color w:val="auto"/>
          <w:sz w:val="22"/>
          <w:szCs w:val="22"/>
          <w:lang w:val="es-ES"/>
        </w:rPr>
        <w:t>a través de la Titular de la Unidad de Transparencia señalo que el Ayuntamiento de Tepotzotlán era incompetente para conocer de lo solicitado, invitando a la persona Particular a presentar su solicitud de información a la Secretaría de la Contraloría.</w:t>
      </w:r>
    </w:p>
    <w:p w14:paraId="338720D6" w14:textId="77777777" w:rsidR="0000697F" w:rsidRPr="009D3936" w:rsidRDefault="0000697F" w:rsidP="0000697F">
      <w:pPr>
        <w:tabs>
          <w:tab w:val="left" w:pos="4962"/>
        </w:tabs>
        <w:spacing w:line="360" w:lineRule="auto"/>
        <w:contextualSpacing/>
        <w:jc w:val="both"/>
        <w:rPr>
          <w:rFonts w:ascii="Palatino Linotype" w:hAnsi="Palatino Linotype" w:cs="Tahoma"/>
          <w:sz w:val="22"/>
          <w:szCs w:val="22"/>
          <w:lang w:val="es-ES"/>
        </w:rPr>
      </w:pPr>
    </w:p>
    <w:p w14:paraId="17C65D64" w14:textId="77777777" w:rsidR="00491048" w:rsidRPr="009D3936" w:rsidRDefault="00491048" w:rsidP="00491048">
      <w:pPr>
        <w:tabs>
          <w:tab w:val="left" w:pos="4962"/>
        </w:tabs>
        <w:spacing w:line="360" w:lineRule="auto"/>
        <w:jc w:val="both"/>
        <w:rPr>
          <w:rFonts w:ascii="Palatino Linotype" w:eastAsia="Calibri" w:hAnsi="Palatino Linotype" w:cs="Tahoma"/>
          <w:bCs/>
          <w:sz w:val="22"/>
          <w:szCs w:val="22"/>
          <w:lang w:eastAsia="en-US"/>
        </w:rPr>
      </w:pPr>
      <w:r w:rsidRPr="009D3936">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w:t>
      </w:r>
      <w:r w:rsidRPr="009D3936">
        <w:rPr>
          <w:rFonts w:ascii="Palatino Linotype" w:eastAsia="Calibri" w:hAnsi="Palatino Linotype" w:cs="Tahoma"/>
          <w:iCs/>
          <w:sz w:val="22"/>
          <w:szCs w:val="22"/>
          <w:lang w:eastAsia="es-ES_tradnl"/>
        </w:rPr>
        <w:t xml:space="preserve"> el escrito recursal y el Informe Justificado; </w:t>
      </w:r>
      <w:r w:rsidRPr="009D3936">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1BF4BEDC" w14:textId="77777777" w:rsidR="00491048" w:rsidRPr="001E21F9" w:rsidRDefault="00491048" w:rsidP="0000697F">
      <w:pPr>
        <w:tabs>
          <w:tab w:val="left" w:pos="4962"/>
        </w:tabs>
        <w:spacing w:line="360" w:lineRule="auto"/>
        <w:contextualSpacing/>
        <w:jc w:val="both"/>
        <w:rPr>
          <w:rFonts w:ascii="Palatino Linotype" w:hAnsi="Palatino Linotype" w:cs="Tahoma"/>
          <w:color w:val="FF0000"/>
          <w:sz w:val="22"/>
          <w:szCs w:val="22"/>
          <w:lang w:val="es-ES"/>
        </w:rPr>
      </w:pPr>
    </w:p>
    <w:p w14:paraId="4DF2BCE6" w14:textId="391EEE92" w:rsidR="00CC47B3" w:rsidRDefault="00CC47B3" w:rsidP="003814D3">
      <w:pPr>
        <w:spacing w:line="360" w:lineRule="auto"/>
        <w:jc w:val="both"/>
        <w:rPr>
          <w:rFonts w:ascii="Palatino Linotype" w:hAnsi="Palatino Linotype" w:cs="Tahoma"/>
          <w:bCs/>
          <w:iCs/>
          <w:color w:val="FF0000"/>
          <w:sz w:val="22"/>
          <w:szCs w:val="22"/>
        </w:rPr>
      </w:pPr>
      <w:r w:rsidRPr="000921A7">
        <w:rPr>
          <w:rFonts w:ascii="Palatino Linotype" w:hAnsi="Palatino Linotype" w:cs="Tahoma"/>
          <w:iCs/>
          <w:sz w:val="22"/>
          <w:szCs w:val="22"/>
        </w:rPr>
        <w:t>Expuestas las posturas de las partes, se procede al análisis del agravio hecho valer por la persona Recurrente, concerniente a la falta de respuesta del</w:t>
      </w:r>
      <w:r>
        <w:rPr>
          <w:rFonts w:ascii="Palatino Linotype" w:hAnsi="Palatino Linotype" w:cs="Tahoma"/>
          <w:iCs/>
          <w:sz w:val="22"/>
          <w:szCs w:val="22"/>
        </w:rPr>
        <w:t xml:space="preserve"> Ayuntamiento de Tepotzotlán a la solicitud de información.</w:t>
      </w:r>
    </w:p>
    <w:p w14:paraId="74459EBD" w14:textId="77777777" w:rsidR="00CC47B3" w:rsidRDefault="00CC47B3" w:rsidP="003814D3">
      <w:pPr>
        <w:spacing w:line="360" w:lineRule="auto"/>
        <w:jc w:val="both"/>
        <w:rPr>
          <w:rFonts w:ascii="Palatino Linotype" w:hAnsi="Palatino Linotype" w:cs="Tahoma"/>
          <w:bCs/>
          <w:iCs/>
          <w:color w:val="FF0000"/>
          <w:sz w:val="22"/>
          <w:szCs w:val="22"/>
        </w:rPr>
      </w:pPr>
    </w:p>
    <w:p w14:paraId="5C20A33C" w14:textId="77777777" w:rsidR="00CC47B3" w:rsidRPr="00CC47B3" w:rsidRDefault="00CC47B3" w:rsidP="00CC47B3">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B230EA2" w14:textId="77777777" w:rsidR="00CC47B3" w:rsidRPr="00CC47B3" w:rsidRDefault="00CC47B3" w:rsidP="00CC47B3">
      <w:pPr>
        <w:spacing w:line="360" w:lineRule="auto"/>
        <w:jc w:val="both"/>
        <w:rPr>
          <w:rFonts w:ascii="Palatino Linotype" w:hAnsi="Palatino Linotype" w:cs="Tahoma"/>
          <w:iCs/>
          <w:sz w:val="22"/>
          <w:szCs w:val="22"/>
        </w:rPr>
      </w:pPr>
    </w:p>
    <w:p w14:paraId="3AF554E3" w14:textId="77777777" w:rsidR="00CC47B3" w:rsidRPr="00CC47B3" w:rsidRDefault="00CC47B3" w:rsidP="00CC47B3">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70C66200" w14:textId="77777777" w:rsidR="00CC47B3" w:rsidRPr="00CC47B3" w:rsidRDefault="00CC47B3" w:rsidP="00CC47B3">
      <w:pPr>
        <w:spacing w:line="360" w:lineRule="auto"/>
        <w:ind w:left="720"/>
        <w:jc w:val="both"/>
        <w:rPr>
          <w:rFonts w:ascii="Palatino Linotype" w:hAnsi="Palatino Linotype" w:cs="Tahoma"/>
          <w:iCs/>
          <w:sz w:val="22"/>
          <w:szCs w:val="22"/>
        </w:rPr>
      </w:pPr>
    </w:p>
    <w:p w14:paraId="05AA9C87" w14:textId="77777777" w:rsidR="00CC47B3" w:rsidRPr="00CC47B3" w:rsidRDefault="00CC47B3" w:rsidP="00CC47B3">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Transparentar la gestión pública, mediante la difusión de la información generada por los Sujetos Obligados, y</w:t>
      </w:r>
    </w:p>
    <w:p w14:paraId="7D43AAB3" w14:textId="77777777" w:rsidR="00CC47B3" w:rsidRPr="00CC47B3" w:rsidRDefault="00CC47B3" w:rsidP="00CC47B3">
      <w:pPr>
        <w:ind w:left="720"/>
        <w:contextualSpacing/>
        <w:rPr>
          <w:rFonts w:ascii="Palatino Linotype" w:hAnsi="Palatino Linotype" w:cs="Tahoma"/>
          <w:iCs/>
          <w:sz w:val="22"/>
          <w:szCs w:val="22"/>
        </w:rPr>
      </w:pPr>
    </w:p>
    <w:p w14:paraId="27F8960E" w14:textId="77777777" w:rsidR="00CC47B3" w:rsidRPr="00CC47B3" w:rsidRDefault="00CC47B3" w:rsidP="00CC47B3">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6A168D6" w14:textId="77777777" w:rsidR="00CC47B3" w:rsidRPr="00CC47B3" w:rsidRDefault="00CC47B3" w:rsidP="00CC47B3">
      <w:pPr>
        <w:spacing w:line="360" w:lineRule="auto"/>
        <w:jc w:val="both"/>
        <w:rPr>
          <w:rFonts w:ascii="Palatino Linotype" w:hAnsi="Palatino Linotype" w:cs="Tahoma"/>
          <w:iCs/>
          <w:sz w:val="22"/>
          <w:szCs w:val="22"/>
        </w:rPr>
      </w:pPr>
    </w:p>
    <w:p w14:paraId="793F93BC" w14:textId="77777777" w:rsidR="00CC47B3" w:rsidRPr="00CC47B3" w:rsidRDefault="00CC47B3" w:rsidP="00CC47B3">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71383C4" w14:textId="77777777" w:rsidR="00CC47B3" w:rsidRPr="00CC47B3" w:rsidRDefault="00CC47B3" w:rsidP="00CC47B3">
      <w:pPr>
        <w:spacing w:line="360" w:lineRule="auto"/>
        <w:jc w:val="both"/>
        <w:rPr>
          <w:rFonts w:ascii="Palatino Linotype" w:hAnsi="Palatino Linotype" w:cs="Tahoma"/>
          <w:iCs/>
          <w:sz w:val="22"/>
          <w:szCs w:val="22"/>
        </w:rPr>
      </w:pPr>
    </w:p>
    <w:p w14:paraId="62B2C267" w14:textId="77777777" w:rsidR="00CC47B3" w:rsidRPr="00CC47B3" w:rsidRDefault="00CC47B3" w:rsidP="00CC47B3">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D8DF34" w14:textId="77777777" w:rsidR="00CC47B3" w:rsidRPr="00CC47B3" w:rsidRDefault="00CC47B3" w:rsidP="00CC47B3">
      <w:pPr>
        <w:spacing w:line="360" w:lineRule="auto"/>
        <w:jc w:val="both"/>
        <w:rPr>
          <w:rFonts w:ascii="Palatino Linotype" w:hAnsi="Palatino Linotype" w:cs="Tahoma"/>
          <w:iCs/>
          <w:sz w:val="22"/>
          <w:szCs w:val="22"/>
        </w:rPr>
      </w:pPr>
    </w:p>
    <w:p w14:paraId="60F7BC68" w14:textId="77777777" w:rsidR="00CC47B3" w:rsidRPr="00CC47B3" w:rsidRDefault="00CC47B3" w:rsidP="00CC47B3">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B03DEFD" w14:textId="77777777" w:rsidR="00CC47B3" w:rsidRPr="00CC47B3" w:rsidRDefault="00CC47B3" w:rsidP="00CC47B3">
      <w:pPr>
        <w:spacing w:line="360" w:lineRule="auto"/>
        <w:jc w:val="both"/>
        <w:rPr>
          <w:rFonts w:ascii="Palatino Linotype" w:hAnsi="Palatino Linotype" w:cs="Tahoma"/>
          <w:iCs/>
          <w:sz w:val="22"/>
          <w:szCs w:val="22"/>
        </w:rPr>
      </w:pPr>
    </w:p>
    <w:p w14:paraId="7E8E5763" w14:textId="77777777" w:rsidR="00CC47B3" w:rsidRPr="00CC47B3" w:rsidRDefault="00CC47B3" w:rsidP="00CC47B3">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5BB7C1C" w14:textId="77777777" w:rsidR="00CC47B3" w:rsidRPr="00CC47B3" w:rsidRDefault="00CC47B3" w:rsidP="00CC47B3">
      <w:pPr>
        <w:spacing w:line="360" w:lineRule="auto"/>
        <w:ind w:left="720"/>
        <w:jc w:val="both"/>
        <w:rPr>
          <w:rFonts w:ascii="Palatino Linotype" w:hAnsi="Palatino Linotype" w:cs="Tahoma"/>
          <w:iCs/>
          <w:sz w:val="22"/>
          <w:szCs w:val="22"/>
        </w:rPr>
      </w:pPr>
    </w:p>
    <w:p w14:paraId="7494FD7C" w14:textId="77777777" w:rsidR="00CC47B3" w:rsidRPr="00CC47B3" w:rsidRDefault="00CC47B3" w:rsidP="00CC47B3">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2CD6A8C" w14:textId="77777777" w:rsidR="00CC47B3" w:rsidRPr="00CC47B3" w:rsidRDefault="00CC47B3" w:rsidP="00CC47B3">
      <w:pPr>
        <w:ind w:left="720"/>
        <w:contextualSpacing/>
        <w:rPr>
          <w:rFonts w:ascii="Palatino Linotype" w:hAnsi="Palatino Linotype" w:cs="Tahoma"/>
          <w:iCs/>
          <w:sz w:val="22"/>
          <w:szCs w:val="22"/>
        </w:rPr>
      </w:pPr>
    </w:p>
    <w:p w14:paraId="6D7D30EF" w14:textId="77777777" w:rsidR="00CC47B3" w:rsidRPr="00CC47B3" w:rsidRDefault="00CC47B3" w:rsidP="00CC47B3">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76CB23E0" w14:textId="77777777" w:rsidR="00CC47B3" w:rsidRPr="00CC47B3" w:rsidRDefault="00CC47B3" w:rsidP="00CC47B3">
      <w:pPr>
        <w:ind w:left="720"/>
        <w:contextualSpacing/>
        <w:rPr>
          <w:rFonts w:ascii="Palatino Linotype" w:hAnsi="Palatino Linotype" w:cs="Tahoma"/>
          <w:iCs/>
          <w:sz w:val="22"/>
          <w:szCs w:val="22"/>
        </w:rPr>
      </w:pPr>
    </w:p>
    <w:p w14:paraId="6A2C4DAC" w14:textId="77777777" w:rsidR="00CC47B3" w:rsidRPr="00CC47B3" w:rsidRDefault="00CC47B3" w:rsidP="00CC47B3">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0AC9EB8" w14:textId="77777777" w:rsidR="00CC47B3" w:rsidRPr="00CC47B3" w:rsidRDefault="00CC47B3" w:rsidP="00CC47B3">
      <w:pPr>
        <w:rPr>
          <w:rFonts w:ascii="Palatino Linotype" w:hAnsi="Palatino Linotype" w:cs="Tahoma"/>
          <w:iCs/>
          <w:szCs w:val="22"/>
        </w:rPr>
      </w:pPr>
    </w:p>
    <w:p w14:paraId="3951CD83" w14:textId="77777777" w:rsidR="00CC47B3" w:rsidRPr="00CC47B3" w:rsidRDefault="00CC47B3" w:rsidP="00CC47B3">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245FE2C" w14:textId="77777777" w:rsidR="00CC47B3" w:rsidRPr="00CC47B3" w:rsidRDefault="00CC47B3" w:rsidP="00CC47B3">
      <w:pPr>
        <w:spacing w:line="360" w:lineRule="auto"/>
        <w:ind w:left="720"/>
        <w:contextualSpacing/>
        <w:rPr>
          <w:rFonts w:ascii="Palatino Linotype" w:hAnsi="Palatino Linotype" w:cs="Tahoma"/>
          <w:iCs/>
          <w:sz w:val="22"/>
          <w:szCs w:val="22"/>
        </w:rPr>
      </w:pPr>
    </w:p>
    <w:p w14:paraId="2234A0D3" w14:textId="77777777" w:rsidR="00CC47B3" w:rsidRPr="00CC47B3" w:rsidRDefault="00CC47B3" w:rsidP="00CC47B3">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0A7307" w14:textId="77777777" w:rsidR="00CC47B3" w:rsidRPr="00CC47B3" w:rsidRDefault="00CC47B3" w:rsidP="00CC47B3">
      <w:pPr>
        <w:spacing w:line="360" w:lineRule="auto"/>
        <w:jc w:val="both"/>
        <w:rPr>
          <w:rFonts w:ascii="Palatino Linotype" w:hAnsi="Palatino Linotype" w:cs="Tahoma"/>
          <w:iCs/>
          <w:sz w:val="22"/>
          <w:szCs w:val="22"/>
        </w:rPr>
      </w:pPr>
    </w:p>
    <w:p w14:paraId="23EBAC1C" w14:textId="5C7F6490" w:rsidR="00CC47B3" w:rsidRPr="00CC47B3" w:rsidRDefault="00CC47B3" w:rsidP="00CC47B3">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Una vez establecido lo anterior, es de indicar que el agravio del Particular consistió en que, a la fecha de interposición del Recurso de Revisión, el</w:t>
      </w:r>
      <w:r w:rsidRPr="00CC47B3">
        <w:rPr>
          <w:rFonts w:ascii="Palatino Linotype" w:eastAsia="Calibri" w:hAnsi="Palatino Linotype" w:cs="Tahoma"/>
          <w:sz w:val="22"/>
          <w:szCs w:val="22"/>
          <w:lang w:eastAsia="en-US"/>
        </w:rPr>
        <w:t xml:space="preserve"> Ayuntamiento de</w:t>
      </w:r>
      <w:r>
        <w:rPr>
          <w:rFonts w:ascii="Palatino Linotype" w:eastAsia="Calibri" w:hAnsi="Palatino Linotype" w:cs="Tahoma"/>
          <w:sz w:val="22"/>
          <w:szCs w:val="22"/>
          <w:lang w:eastAsia="en-US"/>
        </w:rPr>
        <w:t xml:space="preserve"> Tepotzotlán</w:t>
      </w:r>
      <w:r w:rsidRPr="00CC47B3">
        <w:rPr>
          <w:rFonts w:ascii="Palatino Linotype" w:hAnsi="Palatino Linotype" w:cs="Tahoma"/>
          <w:iCs/>
          <w:sz w:val="22"/>
          <w:szCs w:val="22"/>
        </w:rPr>
        <w:t>, no había registrado respuesta al requerimiento de acceso a la infor</w:t>
      </w:r>
      <w:r>
        <w:rPr>
          <w:rFonts w:ascii="Palatino Linotype" w:hAnsi="Palatino Linotype" w:cs="Tahoma"/>
          <w:iCs/>
          <w:sz w:val="22"/>
          <w:szCs w:val="22"/>
        </w:rPr>
        <w:t>mación, el cual se tuvo por presentado el dieciocho de noviembre de dos mil veinticinco.</w:t>
      </w:r>
    </w:p>
    <w:p w14:paraId="2DFF2435" w14:textId="77777777" w:rsidR="00CC47B3" w:rsidRDefault="00CC47B3" w:rsidP="003814D3">
      <w:pPr>
        <w:spacing w:line="360" w:lineRule="auto"/>
        <w:jc w:val="both"/>
        <w:rPr>
          <w:rFonts w:ascii="Palatino Linotype" w:hAnsi="Palatino Linotype" w:cs="Tahoma"/>
          <w:bCs/>
          <w:iCs/>
          <w:color w:val="FF0000"/>
          <w:sz w:val="22"/>
          <w:szCs w:val="22"/>
        </w:rPr>
      </w:pPr>
    </w:p>
    <w:p w14:paraId="5EA4E29A" w14:textId="5EBA8E7E" w:rsidR="00CC47B3" w:rsidRPr="000921A7" w:rsidRDefault="00CC47B3" w:rsidP="00CC47B3">
      <w:pPr>
        <w:spacing w:line="360" w:lineRule="auto"/>
        <w:jc w:val="both"/>
        <w:rPr>
          <w:rFonts w:ascii="Palatino Linotype" w:hAnsi="Palatino Linotype" w:cs="Tahoma"/>
          <w:iCs/>
          <w:sz w:val="22"/>
          <w:szCs w:val="22"/>
        </w:rPr>
      </w:pPr>
      <w:r w:rsidRPr="000921A7">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Pr>
          <w:rFonts w:ascii="Palatino Linotype" w:hAnsi="Palatino Linotype" w:cs="Tahoma"/>
          <w:iCs/>
          <w:sz w:val="22"/>
          <w:szCs w:val="22"/>
        </w:rPr>
        <w:t>diecinueve y feneció el nueve de diciembre de dos mil veinticinco</w:t>
      </w:r>
      <w:r w:rsidRPr="000921A7">
        <w:rPr>
          <w:rFonts w:ascii="Palatino Linotype" w:hAnsi="Palatino Linotype" w:cs="Tahoma"/>
          <w:iCs/>
          <w:sz w:val="22"/>
          <w:szCs w:val="22"/>
        </w:rPr>
        <w:t xml:space="preserve">; lo anterior, sin contar los días, </w:t>
      </w:r>
      <w:r>
        <w:rPr>
          <w:rFonts w:ascii="Palatino Linotype" w:hAnsi="Palatino Linotype" w:cs="Tahoma"/>
          <w:iCs/>
          <w:sz w:val="22"/>
          <w:szCs w:val="22"/>
        </w:rPr>
        <w:t xml:space="preserve">veintidós, veintitrés, veintinueve y treinta de noviembre, así como los días seis y siete de diciembre </w:t>
      </w:r>
      <w:r w:rsidRPr="000921A7">
        <w:rPr>
          <w:rFonts w:ascii="Palatino Linotype" w:hAnsi="Palatino Linotype" w:cs="Tahoma"/>
          <w:iCs/>
          <w:sz w:val="22"/>
          <w:szCs w:val="22"/>
        </w:rPr>
        <w:t xml:space="preserve">veinticinco, de conformidad con los artículo, 3°, fracción X y 159, de la Ley de Transparencia y Acceso a la Información Pública del Estado de México y Municipios y </w:t>
      </w:r>
      <w:bookmarkStart w:id="17" w:name="_Hlk65786947"/>
      <w:r w:rsidRPr="000921A7">
        <w:rPr>
          <w:rFonts w:ascii="Palatino Linotype" w:hAnsi="Palatino Linotype" w:cs="Tahoma"/>
          <w:iCs/>
          <w:sz w:val="22"/>
          <w:szCs w:val="22"/>
        </w:rPr>
        <w:t xml:space="preserve">el </w:t>
      </w:r>
      <w:r w:rsidRPr="000921A7">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7"/>
    <w:p w14:paraId="301CDA39" w14:textId="77777777" w:rsidR="00CC47B3" w:rsidRPr="00CC47B3" w:rsidRDefault="00CC47B3" w:rsidP="003814D3">
      <w:pPr>
        <w:spacing w:line="360" w:lineRule="auto"/>
        <w:jc w:val="both"/>
        <w:rPr>
          <w:rFonts w:ascii="Palatino Linotype" w:hAnsi="Palatino Linotype" w:cs="Tahoma"/>
          <w:bCs/>
          <w:iCs/>
          <w:sz w:val="22"/>
          <w:szCs w:val="22"/>
        </w:rPr>
      </w:pPr>
    </w:p>
    <w:p w14:paraId="5DEC95CC" w14:textId="4F40F047" w:rsidR="00CC47B3" w:rsidRDefault="00CC47B3" w:rsidP="003814D3">
      <w:pPr>
        <w:spacing w:line="360" w:lineRule="auto"/>
        <w:jc w:val="both"/>
        <w:rPr>
          <w:rFonts w:ascii="Palatino Linotype" w:hAnsi="Palatino Linotype" w:cs="Tahoma"/>
          <w:bCs/>
          <w:iCs/>
          <w:sz w:val="22"/>
          <w:szCs w:val="22"/>
        </w:rPr>
      </w:pPr>
      <w:r w:rsidRPr="00CC47B3">
        <w:rPr>
          <w:rFonts w:ascii="Palatino Linotype" w:hAnsi="Palatino Linotype" w:cs="Tahoma"/>
          <w:bCs/>
          <w:iCs/>
          <w:sz w:val="22"/>
          <w:szCs w:val="22"/>
        </w:rPr>
        <w:t>Así, este Instituto verificó que, en efecto, no se registró respuesta a la solicitud de información de la persona Recurrente, en el Sistema de Acceso a la Información Mexiquense (SAIMEX), tal como se observa a continuación:</w:t>
      </w:r>
    </w:p>
    <w:p w14:paraId="2D7678DC" w14:textId="77777777" w:rsidR="00CC47B3" w:rsidRPr="00CC47B3" w:rsidRDefault="00CC47B3" w:rsidP="003814D3">
      <w:pPr>
        <w:spacing w:line="360" w:lineRule="auto"/>
        <w:jc w:val="both"/>
        <w:rPr>
          <w:rFonts w:ascii="Palatino Linotype" w:hAnsi="Palatino Linotype" w:cs="Tahoma"/>
          <w:bCs/>
          <w:iCs/>
          <w:sz w:val="22"/>
          <w:szCs w:val="22"/>
        </w:rPr>
      </w:pPr>
    </w:p>
    <w:p w14:paraId="583B8BD3" w14:textId="1698BFF3" w:rsidR="00CC47B3" w:rsidRDefault="00CC47B3" w:rsidP="00CC47B3">
      <w:pPr>
        <w:spacing w:line="360" w:lineRule="auto"/>
        <w:jc w:val="center"/>
        <w:rPr>
          <w:rFonts w:ascii="Palatino Linotype" w:hAnsi="Palatino Linotype" w:cs="Tahoma"/>
          <w:bCs/>
          <w:iCs/>
          <w:color w:val="FF0000"/>
          <w:sz w:val="22"/>
          <w:szCs w:val="22"/>
        </w:rPr>
      </w:pPr>
      <w:r>
        <w:rPr>
          <w:rFonts w:ascii="Palatino Linotype" w:hAnsi="Palatino Linotype" w:cs="Tahoma"/>
          <w:bCs/>
          <w:iCs/>
          <w:noProof/>
          <w:color w:val="FF0000"/>
          <w:sz w:val="22"/>
          <w:szCs w:val="22"/>
          <w:lang w:eastAsia="es-MX"/>
        </w:rPr>
        <w:drawing>
          <wp:inline distT="0" distB="0" distL="0" distR="0" wp14:anchorId="0760B35E" wp14:editId="577137CC">
            <wp:extent cx="4191000" cy="13577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7809" cy="1363159"/>
                    </a:xfrm>
                    <a:prstGeom prst="rect">
                      <a:avLst/>
                    </a:prstGeom>
                    <a:noFill/>
                  </pic:spPr>
                </pic:pic>
              </a:graphicData>
            </a:graphic>
          </wp:inline>
        </w:drawing>
      </w:r>
    </w:p>
    <w:p w14:paraId="51431D2C" w14:textId="77777777" w:rsidR="00C84634" w:rsidRDefault="00C84634" w:rsidP="00C84634">
      <w:pPr>
        <w:tabs>
          <w:tab w:val="left" w:pos="4962"/>
        </w:tabs>
        <w:spacing w:line="360" w:lineRule="auto"/>
        <w:jc w:val="both"/>
        <w:rPr>
          <w:rFonts w:ascii="Palatino Linotype" w:hAnsi="Palatino Linotype" w:cs="Tahoma"/>
          <w:iCs/>
          <w:sz w:val="22"/>
          <w:szCs w:val="22"/>
        </w:rPr>
      </w:pPr>
    </w:p>
    <w:p w14:paraId="09B7CBFF" w14:textId="20215FBA" w:rsidR="00C84634" w:rsidRPr="000921A7" w:rsidRDefault="00C84634" w:rsidP="00C84634">
      <w:pPr>
        <w:tabs>
          <w:tab w:val="left" w:pos="4962"/>
        </w:tabs>
        <w:spacing w:line="360" w:lineRule="auto"/>
        <w:jc w:val="both"/>
        <w:rPr>
          <w:rFonts w:ascii="Palatino Linotype" w:eastAsia="Calibri" w:hAnsi="Palatino Linotype" w:cs="Tahoma"/>
          <w:sz w:val="22"/>
        </w:rPr>
      </w:pPr>
      <w:r w:rsidRPr="000921A7">
        <w:rPr>
          <w:rFonts w:ascii="Palatino Linotype" w:hAnsi="Palatino Linotype" w:cs="Tahoma"/>
          <w:iCs/>
          <w:sz w:val="22"/>
          <w:szCs w:val="22"/>
        </w:rPr>
        <w:t>Conforme a lo anterior, se colige que, tal como lo precisó la persona Recurrente, el</w:t>
      </w:r>
      <w:r w:rsidRPr="000921A7">
        <w:rPr>
          <w:rFonts w:ascii="Palatino Linotype" w:eastAsia="Calibri" w:hAnsi="Palatino Linotype" w:cs="Tahoma"/>
          <w:sz w:val="22"/>
          <w:szCs w:val="22"/>
          <w:lang w:eastAsia="en-US"/>
        </w:rPr>
        <w:t xml:space="preserve"> Ayuntamiento de</w:t>
      </w:r>
      <w:r>
        <w:rPr>
          <w:rFonts w:ascii="Palatino Linotype" w:eastAsia="Calibri" w:hAnsi="Palatino Linotype" w:cs="Tahoma"/>
          <w:sz w:val="22"/>
          <w:szCs w:val="22"/>
          <w:lang w:eastAsia="en-US"/>
        </w:rPr>
        <w:t xml:space="preserve"> Tepotzotlán</w:t>
      </w:r>
      <w:r w:rsidRPr="000921A7">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Pr>
          <w:rFonts w:ascii="Palatino Linotype" w:hAnsi="Palatino Linotype" w:cs="Tahoma"/>
          <w:iCs/>
          <w:sz w:val="22"/>
          <w:szCs w:val="22"/>
        </w:rPr>
        <w:t xml:space="preserve">nueve de </w:t>
      </w:r>
      <w:r w:rsidR="006F115E">
        <w:rPr>
          <w:rFonts w:ascii="Palatino Linotype" w:hAnsi="Palatino Linotype" w:cs="Tahoma"/>
          <w:iCs/>
          <w:sz w:val="22"/>
          <w:szCs w:val="22"/>
        </w:rPr>
        <w:t>diciembre</w:t>
      </w:r>
      <w:r w:rsidR="006F115E" w:rsidRPr="000921A7">
        <w:rPr>
          <w:rFonts w:ascii="Palatino Linotype" w:hAnsi="Palatino Linotype" w:cs="Tahoma"/>
          <w:iCs/>
          <w:sz w:val="22"/>
          <w:szCs w:val="22"/>
        </w:rPr>
        <w:t xml:space="preserve"> de</w:t>
      </w:r>
      <w:r w:rsidRPr="000921A7">
        <w:rPr>
          <w:rFonts w:ascii="Palatino Linotype" w:hAnsi="Palatino Linotype" w:cs="Tahoma"/>
          <w:iCs/>
          <w:sz w:val="22"/>
          <w:szCs w:val="22"/>
        </w:rPr>
        <w:t xml:space="preserve"> dos mil veinticinco, para realizar dicha situación, por lo que es evidente que el agravio es </w:t>
      </w:r>
      <w:r w:rsidRPr="000921A7">
        <w:rPr>
          <w:rFonts w:ascii="Palatino Linotype" w:hAnsi="Palatino Linotype" w:cs="Tahoma"/>
          <w:b/>
          <w:bCs/>
          <w:iCs/>
          <w:sz w:val="22"/>
          <w:szCs w:val="22"/>
        </w:rPr>
        <w:t>FUNDADO</w:t>
      </w:r>
      <w:r w:rsidRPr="000921A7">
        <w:rPr>
          <w:rFonts w:ascii="Palatino Linotype" w:hAnsi="Palatino Linotype" w:cs="Tahoma"/>
          <w:iCs/>
          <w:sz w:val="22"/>
          <w:szCs w:val="22"/>
        </w:rPr>
        <w:t xml:space="preserve">. </w:t>
      </w:r>
      <w:r w:rsidRPr="000921A7">
        <w:rPr>
          <w:rFonts w:ascii="Palatino Linotype" w:eastAsia="Calibri" w:hAnsi="Palatino Linotype" w:cs="Tahoma"/>
          <w:sz w:val="22"/>
        </w:rPr>
        <w:t>No obstante, durante la substanciación del Medio de Impugnación, el Ente Recurrido emitió contestación</w:t>
      </w:r>
      <w:r w:rsidR="006F115E">
        <w:rPr>
          <w:rFonts w:ascii="Palatino Linotype" w:eastAsia="Calibri" w:hAnsi="Palatino Linotype" w:cs="Tahoma"/>
          <w:sz w:val="22"/>
        </w:rPr>
        <w:t>, por medio del cual se declaró incompetente</w:t>
      </w:r>
      <w:r w:rsidRPr="000921A7">
        <w:rPr>
          <w:rFonts w:ascii="Palatino Linotype" w:eastAsia="Calibri" w:hAnsi="Palatino Linotype" w:cs="Tahoma"/>
          <w:sz w:val="22"/>
        </w:rPr>
        <w:t>, por lo que se procede a su análisis</w:t>
      </w:r>
      <w:r w:rsidR="006F115E">
        <w:rPr>
          <w:rFonts w:ascii="Palatino Linotype" w:eastAsia="Calibri" w:hAnsi="Palatino Linotype" w:cs="Tahoma"/>
          <w:sz w:val="22"/>
        </w:rPr>
        <w:t>.</w:t>
      </w:r>
    </w:p>
    <w:p w14:paraId="6B19A105" w14:textId="77777777" w:rsidR="00C84634" w:rsidRPr="000921A7" w:rsidRDefault="00C84634" w:rsidP="00C84634">
      <w:pPr>
        <w:tabs>
          <w:tab w:val="left" w:pos="4962"/>
        </w:tabs>
        <w:spacing w:line="360" w:lineRule="auto"/>
        <w:jc w:val="both"/>
        <w:rPr>
          <w:rFonts w:ascii="Palatino Linotype" w:eastAsia="Calibri" w:hAnsi="Palatino Linotype" w:cs="Tahoma"/>
          <w:sz w:val="22"/>
        </w:rPr>
      </w:pPr>
    </w:p>
    <w:p w14:paraId="6F84A195" w14:textId="77777777" w:rsidR="00C84634" w:rsidRPr="00C84634" w:rsidRDefault="00C84634" w:rsidP="00C84634">
      <w:pPr>
        <w:spacing w:line="360" w:lineRule="auto"/>
        <w:jc w:val="both"/>
        <w:rPr>
          <w:rFonts w:ascii="Palatino Linotype" w:eastAsiaTheme="minorHAnsi" w:hAnsi="Palatino Linotype" w:cstheme="minorBidi"/>
          <w:color w:val="000000" w:themeColor="text1"/>
          <w:sz w:val="22"/>
          <w:szCs w:val="22"/>
          <w:lang w:eastAsia="en-US"/>
        </w:rPr>
      </w:pPr>
      <w:r w:rsidRPr="00C84634">
        <w:rPr>
          <w:rFonts w:ascii="Palatino Linotype" w:eastAsiaTheme="minorHAnsi" w:hAnsi="Palatino Linotype" w:cstheme="minorBidi"/>
          <w:color w:val="000000" w:themeColor="text1"/>
          <w:sz w:val="22"/>
          <w:szCs w:val="22"/>
          <w:lang w:eastAsia="en-US"/>
        </w:rPr>
        <w:t xml:space="preserve">Al respecto, es importante señalar que, en la página oficial de la Secretaría de la Contraloría, en el apartado de Declaración Patrimonial y de Intereses, precisa que dicha dependencia ofrece el portal </w:t>
      </w:r>
      <w:r w:rsidRPr="00C84634">
        <w:rPr>
          <w:rFonts w:ascii="Palatino Linotype" w:eastAsiaTheme="minorHAnsi" w:hAnsi="Palatino Linotype" w:cstheme="minorBidi"/>
          <w:b/>
          <w:color w:val="000000" w:themeColor="text1"/>
          <w:sz w:val="22"/>
          <w:szCs w:val="22"/>
          <w:lang w:eastAsia="en-US"/>
        </w:rPr>
        <w:t>Decl@ranet</w:t>
      </w:r>
      <w:r w:rsidRPr="00C84634">
        <w:rPr>
          <w:rFonts w:ascii="Palatino Linotype" w:eastAsiaTheme="minorHAnsi" w:hAnsi="Palatino Linotype" w:cstheme="minorBidi"/>
          <w:color w:val="000000" w:themeColor="text1"/>
          <w:sz w:val="22"/>
          <w:szCs w:val="22"/>
          <w:lang w:eastAsia="en-US"/>
        </w:rPr>
        <w:t>, con la finalidad de facilitar a los servidores públicos del Estado de México, presenten su Declaración de Situación Patrimonial, Declaración de Intereses o Posible Conflicto de Intereses y presentación de Constancia de Declaración Fiscal.</w:t>
      </w:r>
    </w:p>
    <w:p w14:paraId="4E37BE4D" w14:textId="77777777" w:rsidR="00C84634" w:rsidRPr="00C84634" w:rsidRDefault="00C84634" w:rsidP="00C84634">
      <w:pPr>
        <w:spacing w:line="360" w:lineRule="auto"/>
        <w:jc w:val="both"/>
        <w:rPr>
          <w:rFonts w:ascii="Palatino Linotype" w:hAnsi="Palatino Linotype" w:cs="Tahoma"/>
          <w:bCs/>
          <w:sz w:val="22"/>
          <w:szCs w:val="22"/>
        </w:rPr>
      </w:pPr>
    </w:p>
    <w:p w14:paraId="4B8C5C79" w14:textId="77777777" w:rsidR="00C84634" w:rsidRPr="00C84634" w:rsidRDefault="00C84634" w:rsidP="00C84634">
      <w:pPr>
        <w:spacing w:line="360" w:lineRule="auto"/>
        <w:jc w:val="both"/>
        <w:rPr>
          <w:rFonts w:ascii="Palatino Linotype" w:eastAsiaTheme="minorHAnsi" w:hAnsi="Palatino Linotype" w:cstheme="minorBidi"/>
          <w:color w:val="000000" w:themeColor="text1"/>
          <w:sz w:val="22"/>
          <w:szCs w:val="22"/>
          <w:lang w:eastAsia="en-US"/>
        </w:rPr>
      </w:pPr>
      <w:r w:rsidRPr="00C84634">
        <w:rPr>
          <w:rFonts w:ascii="Palatino Linotype" w:eastAsiaTheme="minorHAnsi" w:hAnsi="Palatino Linotype" w:cstheme="minorBidi"/>
          <w:color w:val="000000" w:themeColor="text1"/>
          <w:sz w:val="22"/>
          <w:szCs w:val="22"/>
          <w:lang w:eastAsia="en-US"/>
        </w:rPr>
        <w:t xml:space="preserve">Además, que el díptico denominado “Sistema Declaranet”, precisa que dicho sistema es administrado por la </w:t>
      </w:r>
      <w:r w:rsidRPr="00C84634">
        <w:rPr>
          <w:rFonts w:ascii="Palatino Linotype" w:eastAsiaTheme="minorHAnsi" w:hAnsi="Palatino Linotype" w:cstheme="minorBidi"/>
          <w:b/>
          <w:color w:val="000000" w:themeColor="text1"/>
          <w:sz w:val="22"/>
          <w:szCs w:val="22"/>
          <w:lang w:eastAsia="en-US"/>
        </w:rPr>
        <w:t>Secretaría de la Contraloría,</w:t>
      </w:r>
      <w:r w:rsidRPr="00C84634">
        <w:rPr>
          <w:rFonts w:ascii="Palatino Linotype" w:eastAsiaTheme="minorHAnsi" w:hAnsi="Palatino Linotype" w:cstheme="minorBidi"/>
          <w:color w:val="000000" w:themeColor="text1"/>
          <w:sz w:val="22"/>
          <w:szCs w:val="22"/>
          <w:lang w:eastAsia="en-US"/>
        </w:rPr>
        <w:t xml:space="preserve"> y cuyo fin es los servidores públicos del Poder Ejecutivo y los ciento veinticinco Ayuntamientos, presenten su Manifestación de Bienes o Declaración Patrimonial.</w:t>
      </w:r>
    </w:p>
    <w:p w14:paraId="7C8D4378" w14:textId="77777777" w:rsidR="00C84634" w:rsidRDefault="00C84634" w:rsidP="00C84634">
      <w:pPr>
        <w:spacing w:line="360" w:lineRule="auto"/>
        <w:jc w:val="both"/>
        <w:rPr>
          <w:rFonts w:ascii="Palatino Linotype" w:hAnsi="Palatino Linotype" w:cs="Tahoma"/>
          <w:bCs/>
          <w:iCs/>
          <w:color w:val="FF0000"/>
          <w:sz w:val="22"/>
          <w:szCs w:val="22"/>
        </w:rPr>
      </w:pPr>
    </w:p>
    <w:p w14:paraId="63773E0E" w14:textId="77777777" w:rsidR="00C84634" w:rsidRPr="00C84634" w:rsidRDefault="00C84634" w:rsidP="00C84634">
      <w:pPr>
        <w:spacing w:line="360" w:lineRule="auto"/>
        <w:jc w:val="both"/>
        <w:rPr>
          <w:rFonts w:ascii="Palatino Linotype" w:eastAsiaTheme="minorHAnsi" w:hAnsi="Palatino Linotype" w:cstheme="minorBidi"/>
          <w:b/>
          <w:color w:val="000000" w:themeColor="text1"/>
          <w:sz w:val="22"/>
          <w:szCs w:val="22"/>
          <w:lang w:eastAsia="en-US"/>
        </w:rPr>
      </w:pPr>
      <w:r w:rsidRPr="00C84634">
        <w:rPr>
          <w:rFonts w:ascii="Palatino Linotype" w:eastAsiaTheme="minorHAnsi" w:hAnsi="Palatino Linotype" w:cstheme="minorBidi"/>
          <w:color w:val="000000" w:themeColor="text1"/>
          <w:sz w:val="22"/>
          <w:szCs w:val="22"/>
          <w:lang w:eastAsia="en-US"/>
        </w:rPr>
        <w:t xml:space="preserve">Como se logra observar, el Sistema Decl@ranet, es administrado y operado únicamente por la Secretaría de la Contraloría, por lo que, es la única dependencia que tiene acceso a las declaraciones presentadas por dicha plataforma; situación que se robustece con el Manual General de Organización de la </w:t>
      </w:r>
      <w:r w:rsidRPr="00C84634">
        <w:rPr>
          <w:rFonts w:ascii="Palatino Linotype" w:eastAsiaTheme="minorHAnsi" w:hAnsi="Palatino Linotype" w:cstheme="minorBidi"/>
          <w:b/>
          <w:color w:val="000000" w:themeColor="text1"/>
          <w:sz w:val="22"/>
          <w:szCs w:val="22"/>
          <w:lang w:eastAsia="en-US"/>
        </w:rPr>
        <w:t>Secretaría de la Contraloría,</w:t>
      </w:r>
      <w:r w:rsidRPr="00C84634">
        <w:rPr>
          <w:rFonts w:ascii="Palatino Linotype" w:eastAsiaTheme="minorHAnsi" w:hAnsi="Palatino Linotype" w:cstheme="minorBidi"/>
          <w:color w:val="000000" w:themeColor="text1"/>
          <w:sz w:val="22"/>
          <w:szCs w:val="22"/>
          <w:lang w:eastAsia="en-US"/>
        </w:rPr>
        <w:t xml:space="preserve"> que precisa que dicha dependencia cuenta con diversas unidades administrativas para el ejercicio de sus funciones, entre las cuales se encuentra la </w:t>
      </w:r>
      <w:r w:rsidRPr="00C84634">
        <w:rPr>
          <w:rFonts w:ascii="Palatino Linotype" w:eastAsiaTheme="minorHAnsi" w:hAnsi="Palatino Linotype" w:cstheme="minorBidi"/>
          <w:b/>
          <w:color w:val="000000" w:themeColor="text1"/>
          <w:sz w:val="22"/>
          <w:szCs w:val="22"/>
          <w:lang w:eastAsia="en-US"/>
        </w:rPr>
        <w:t>Dirección de Registro de Declaraciones y de Sanciones, encargada de realizar la recepción, registro y resguardo de las declaraciones de situación patrimonial de los servidores públicos de las Administraciones Públicas Estatal y Municipal.</w:t>
      </w:r>
    </w:p>
    <w:p w14:paraId="709483F0" w14:textId="77777777" w:rsidR="00C84634" w:rsidRPr="00C84634" w:rsidRDefault="00C84634" w:rsidP="00C84634">
      <w:pPr>
        <w:spacing w:line="360" w:lineRule="auto"/>
        <w:jc w:val="both"/>
        <w:rPr>
          <w:rFonts w:ascii="Palatino Linotype" w:eastAsiaTheme="minorHAnsi" w:hAnsi="Palatino Linotype" w:cstheme="minorBidi"/>
          <w:color w:val="000000" w:themeColor="text1"/>
          <w:sz w:val="22"/>
          <w:szCs w:val="22"/>
          <w:lang w:eastAsia="en-US"/>
        </w:rPr>
      </w:pPr>
    </w:p>
    <w:p w14:paraId="4B24BED0" w14:textId="77777777" w:rsidR="006F115E" w:rsidRDefault="006F115E" w:rsidP="006F115E">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eastAsia="es-ES_tradnl"/>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Pr>
          <w:rFonts w:ascii="Palatino Linotype" w:eastAsia="Calibri" w:hAnsi="Palatino Linotype" w:cs="Tahoma"/>
          <w:b/>
          <w:sz w:val="22"/>
          <w:szCs w:val="22"/>
          <w:lang w:eastAsia="es-ES_tradnl"/>
        </w:rPr>
        <w:t>cuando la misma no sea competencia del sujeto obligado ante el cual se formule la solicitud de acceso.</w:t>
      </w:r>
    </w:p>
    <w:p w14:paraId="5BB9167D" w14:textId="77777777" w:rsidR="006F115E" w:rsidRDefault="006F115E" w:rsidP="006F115E">
      <w:pPr>
        <w:spacing w:line="360" w:lineRule="auto"/>
        <w:jc w:val="both"/>
        <w:rPr>
          <w:rFonts w:ascii="Palatino Linotype" w:eastAsia="Calibri" w:hAnsi="Palatino Linotype" w:cs="Tahoma"/>
          <w:b/>
          <w:sz w:val="22"/>
          <w:szCs w:val="22"/>
          <w:lang w:eastAsia="es-ES_tradnl"/>
        </w:rPr>
      </w:pPr>
    </w:p>
    <w:p w14:paraId="66A0ACF3" w14:textId="77777777" w:rsidR="006F115E" w:rsidRDefault="006F115E" w:rsidP="006F115E">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Asimismo, que los Comités de Transparencia tienen entre sus atribuciones confirmar, modificar o revocar la </w:t>
      </w:r>
      <w:r>
        <w:rPr>
          <w:rFonts w:ascii="Palatino Linotype" w:eastAsia="Calibri" w:hAnsi="Palatino Linotype" w:cs="Tahoma"/>
          <w:b/>
          <w:sz w:val="22"/>
          <w:szCs w:val="22"/>
          <w:lang w:eastAsia="es-ES_tradnl"/>
        </w:rPr>
        <w:t>declaración de incompetencia</w:t>
      </w:r>
      <w:r>
        <w:rPr>
          <w:rFonts w:ascii="Palatino Linotype" w:eastAsia="Calibri" w:hAnsi="Palatino Linotype" w:cs="Tahoma"/>
          <w:sz w:val="22"/>
          <w:szCs w:val="22"/>
          <w:lang w:eastAsia="es-ES_tradnl"/>
        </w:rPr>
        <w:t xml:space="preserve"> que realicen los titulares de las unidades administrativas. En esa tesitura, cuando las Unidades de Transparencia determinen </w:t>
      </w:r>
      <w:r>
        <w:rPr>
          <w:rFonts w:ascii="Palatino Linotype" w:eastAsia="Calibri" w:hAnsi="Palatino Linotype" w:cs="Tahoma"/>
          <w:b/>
          <w:sz w:val="22"/>
          <w:szCs w:val="22"/>
          <w:lang w:eastAsia="es-ES_tradnl"/>
        </w:rPr>
        <w:t>la notoria incompetencia</w:t>
      </w:r>
      <w:r>
        <w:rPr>
          <w:rFonts w:ascii="Palatino Linotype" w:eastAsia="Calibri" w:hAnsi="Palatino Linotype" w:cs="Tahoma"/>
          <w:sz w:val="22"/>
          <w:szCs w:val="22"/>
          <w:lang w:eastAsia="es-ES_tradnl"/>
        </w:rPr>
        <w:t xml:space="preserve"> por parte de los sujetos obligados deberán comunicar al solicitante la misma dentro de los tres días posteriores a la recepción de la solicitud. </w:t>
      </w:r>
    </w:p>
    <w:p w14:paraId="3D17C390" w14:textId="77777777" w:rsidR="006F115E" w:rsidRDefault="006F115E" w:rsidP="006F115E">
      <w:pPr>
        <w:spacing w:line="360" w:lineRule="auto"/>
        <w:jc w:val="both"/>
        <w:rPr>
          <w:rFonts w:ascii="Palatino Linotype" w:eastAsia="Calibri" w:hAnsi="Palatino Linotype" w:cs="Tahoma"/>
          <w:sz w:val="22"/>
          <w:szCs w:val="22"/>
          <w:lang w:eastAsia="es-ES_tradnl"/>
        </w:rPr>
      </w:pPr>
    </w:p>
    <w:p w14:paraId="53B64A9F" w14:textId="77777777" w:rsidR="006F115E" w:rsidRDefault="006F115E" w:rsidP="006F115E">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sz w:val="22"/>
          <w:szCs w:val="22"/>
          <w:lang w:eastAsia="es-ES_tradnl"/>
        </w:rPr>
        <w:t>Como se logra observar, si bien la Ley de la materia, prevé el supuesto de incompetencia para que los sujetos obligados den atención a solitudes de información, también lo es, que no se precisa en que consiste dicho concepto; sobre dicha situación</w:t>
      </w:r>
      <w:r>
        <w:rPr>
          <w:rFonts w:ascii="Palatino Linotype" w:eastAsia="Calibri" w:hAnsi="Palatino Linotype" w:cs="Tahoma"/>
          <w:sz w:val="22"/>
          <w:szCs w:val="22"/>
          <w:lang w:val="es-ES_tradnl" w:eastAsia="es-ES_tradnl"/>
        </w:rPr>
        <w:t xml:space="preserve">, </w:t>
      </w:r>
      <w:r>
        <w:rPr>
          <w:rFonts w:ascii="Palatino Linotype" w:eastAsia="Calibri" w:hAnsi="Palatino Linotype" w:cs="Tahoma"/>
          <w:bCs/>
          <w:sz w:val="22"/>
          <w:szCs w:val="22"/>
          <w:lang w:eastAsia="es-ES_tradnl"/>
        </w:rPr>
        <w:t>según Cabanellas, Guillermo (1993), en el “Diccionario Jurídico Elemental” (p. 32 y 161), precisó los siguientes conceptos:</w:t>
      </w:r>
    </w:p>
    <w:p w14:paraId="13599167" w14:textId="77777777" w:rsidR="006F115E" w:rsidRDefault="006F115E" w:rsidP="006F115E">
      <w:pPr>
        <w:spacing w:line="360" w:lineRule="auto"/>
        <w:jc w:val="both"/>
        <w:rPr>
          <w:rFonts w:ascii="Palatino Linotype" w:eastAsia="Calibri" w:hAnsi="Palatino Linotype" w:cs="Tahoma"/>
          <w:bCs/>
          <w:sz w:val="22"/>
          <w:szCs w:val="22"/>
          <w:lang w:eastAsia="es-ES_tradnl"/>
        </w:rPr>
      </w:pPr>
    </w:p>
    <w:p w14:paraId="6E2BD583" w14:textId="77777777" w:rsidR="006F115E" w:rsidRDefault="006F115E" w:rsidP="006F115E">
      <w:pPr>
        <w:numPr>
          <w:ilvl w:val="0"/>
          <w:numId w:val="46"/>
        </w:num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
          <w:bCs/>
          <w:sz w:val="22"/>
          <w:szCs w:val="22"/>
          <w:lang w:eastAsia="es-ES_tradnl"/>
        </w:rPr>
        <w:t xml:space="preserve">Competencia: </w:t>
      </w:r>
      <w:r>
        <w:rPr>
          <w:rFonts w:ascii="Palatino Linotype" w:eastAsia="Calibri" w:hAnsi="Palatino Linotype" w:cs="Tahoma"/>
          <w:bCs/>
          <w:sz w:val="22"/>
          <w:szCs w:val="22"/>
          <w:lang w:eastAsia="es-ES_tradnl"/>
        </w:rPr>
        <w:t>La capacidad de una autoridad para conocer sobre una materia o asunto.</w:t>
      </w:r>
    </w:p>
    <w:p w14:paraId="22AAEC2A" w14:textId="77777777" w:rsidR="006F115E" w:rsidRDefault="006F115E" w:rsidP="006F115E">
      <w:pPr>
        <w:numPr>
          <w:ilvl w:val="0"/>
          <w:numId w:val="46"/>
        </w:num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
          <w:bCs/>
          <w:sz w:val="22"/>
          <w:szCs w:val="22"/>
          <w:lang w:eastAsia="es-ES_tradnl"/>
        </w:rPr>
        <w:t>Incompetencia:</w:t>
      </w:r>
      <w:r>
        <w:rPr>
          <w:rFonts w:ascii="Palatino Linotype" w:eastAsia="Calibri" w:hAnsi="Palatino Linotype" w:cs="Tahoma"/>
          <w:bCs/>
          <w:sz w:val="22"/>
          <w:szCs w:val="22"/>
          <w:lang w:eastAsia="es-ES_tradnl"/>
        </w:rPr>
        <w:t xml:space="preserve"> Falta de Competencia.</w:t>
      </w:r>
    </w:p>
    <w:p w14:paraId="1232DE8D" w14:textId="77777777" w:rsidR="006F115E" w:rsidRDefault="006F115E" w:rsidP="006F115E">
      <w:pPr>
        <w:spacing w:line="360" w:lineRule="auto"/>
        <w:jc w:val="both"/>
        <w:rPr>
          <w:rFonts w:ascii="Palatino Linotype" w:eastAsia="Calibri" w:hAnsi="Palatino Linotype" w:cs="Tahoma"/>
          <w:sz w:val="22"/>
          <w:szCs w:val="22"/>
          <w:lang w:eastAsia="es-ES_tradnl"/>
        </w:rPr>
      </w:pPr>
    </w:p>
    <w:p w14:paraId="44909227" w14:textId="77777777" w:rsidR="006F115E" w:rsidRDefault="006F115E" w:rsidP="006F115E">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val="es-ES_tradnl" w:eastAsia="es-ES_tradnl"/>
        </w:rPr>
        <w:t xml:space="preserve">Por lo que, </w:t>
      </w:r>
      <w:r>
        <w:rPr>
          <w:rFonts w:ascii="Palatino Linotype" w:eastAsia="Calibri" w:hAnsi="Palatino Linotype" w:cs="Tahoma"/>
          <w:b/>
          <w:sz w:val="22"/>
          <w:szCs w:val="22"/>
          <w:lang w:val="es-ES_tradnl" w:eastAsia="es-ES_tradnl"/>
        </w:rPr>
        <w:t>la incompetencia</w:t>
      </w:r>
      <w:r>
        <w:rPr>
          <w:rFonts w:ascii="Palatino Linotype" w:eastAsia="Calibri" w:hAnsi="Palatino Linotype" w:cs="Tahoma"/>
          <w:sz w:val="22"/>
          <w:szCs w:val="22"/>
          <w:lang w:val="es-ES_tradnl" w:eastAsia="es-ES_tradnl"/>
        </w:rPr>
        <w:t>, radica en la incapacidad de una autoridad para conocer de un tema o asunto; en el mismo sentido, conviene traer a cuenta tesis</w:t>
      </w:r>
      <w:r>
        <w:rPr>
          <w:rFonts w:ascii="Palatino Linotype" w:eastAsia="Calibri" w:hAnsi="Palatino Linotype" w:cs="Tahoma"/>
          <w:sz w:val="22"/>
          <w:szCs w:val="22"/>
          <w:lang w:eastAsia="es-ES_tradnl"/>
        </w:rPr>
        <w:t xml:space="preserve"> aislada número III.2o.P.11 K, publicada en el Semanario Judicial de la Federación y su Gaceta, Novena Época, Tomo XV, Mayo de 2002, Pág. 1243, ya que precisa lo siguiente: </w:t>
      </w:r>
    </w:p>
    <w:p w14:paraId="7943AE38" w14:textId="77777777" w:rsidR="006F115E" w:rsidRDefault="006F115E" w:rsidP="006F115E">
      <w:pPr>
        <w:spacing w:line="360" w:lineRule="auto"/>
        <w:jc w:val="both"/>
        <w:rPr>
          <w:rFonts w:ascii="Palatino Linotype" w:eastAsia="Calibri" w:hAnsi="Palatino Linotype" w:cs="Tahoma"/>
          <w:sz w:val="22"/>
          <w:szCs w:val="22"/>
          <w:lang w:val="es-ES_tradnl" w:eastAsia="es-ES_tradnl"/>
        </w:rPr>
      </w:pPr>
    </w:p>
    <w:p w14:paraId="347F8232" w14:textId="77777777" w:rsidR="006F115E" w:rsidRDefault="006F115E" w:rsidP="006F115E">
      <w:pPr>
        <w:spacing w:line="360" w:lineRule="auto"/>
        <w:ind w:left="567" w:right="539"/>
        <w:jc w:val="both"/>
        <w:rPr>
          <w:rFonts w:ascii="Palatino Linotype" w:eastAsia="Calibri" w:hAnsi="Palatino Linotype" w:cs="Tahoma"/>
          <w:i/>
          <w:szCs w:val="22"/>
          <w:lang w:val="es-ES_tradnl" w:eastAsia="es-ES_tradnl"/>
        </w:rPr>
      </w:pPr>
      <w:r>
        <w:rPr>
          <w:rFonts w:ascii="Palatino Linotype" w:eastAsia="Calibri" w:hAnsi="Palatino Linotype" w:cs="Tahoma"/>
          <w:b/>
          <w:bCs/>
          <w:i/>
          <w:szCs w:val="22"/>
          <w:lang w:val="es-ES_tradnl" w:eastAsia="es-ES_tradnl"/>
        </w:rPr>
        <w:t xml:space="preserve">“LEGITIMACIÓN DE FUNCIONARIOS PÚBLICOS. LOS TRIBUNALES DE AMPARO, POR ESTAR VINCULADOS CON EL CONCEPTO DE COMPETENCIA A QUE SE REFIERE EL ARTÍCULO 16 CONSTITUCIONAL, NO PUEDEN CONOCER DE AQUÉLLA. </w:t>
      </w:r>
      <w:r>
        <w:rPr>
          <w:rFonts w:ascii="Palatino Linotype" w:eastAsia="Calibri" w:hAnsi="Palatino Linotype" w:cs="Tahoma"/>
          <w:i/>
          <w:szCs w:val="22"/>
          <w:lang w:val="es-ES_tradnl" w:eastAsia="es-ES_tradnl"/>
        </w:rPr>
        <w:t>El artículo </w:t>
      </w:r>
      <w:hyperlink r:id="rId8" w:history="1">
        <w:r>
          <w:rPr>
            <w:rStyle w:val="Hipervnculo"/>
            <w:rFonts w:ascii="Palatino Linotype" w:eastAsia="Calibri" w:hAnsi="Palatino Linotype" w:cs="Tahoma"/>
            <w:i/>
            <w:szCs w:val="22"/>
            <w:lang w:val="es-ES_tradnl" w:eastAsia="es-ES_tradnl"/>
          </w:rPr>
          <w:t>16 constitucional</w:t>
        </w:r>
      </w:hyperlink>
      <w:r>
        <w:rPr>
          <w:rFonts w:ascii="Palatino Linotype" w:eastAsia="Calibri" w:hAnsi="Palatino Linotype" w:cs="Tahoma"/>
          <w:i/>
          <w:szCs w:val="22"/>
          <w:lang w:val="es-ES_tradnl" w:eastAsia="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AB288B7" w14:textId="77777777" w:rsidR="006F115E" w:rsidRDefault="006F115E" w:rsidP="006F115E">
      <w:pPr>
        <w:spacing w:line="360" w:lineRule="auto"/>
        <w:jc w:val="both"/>
        <w:rPr>
          <w:rFonts w:ascii="Palatino Linotype" w:eastAsia="Calibri" w:hAnsi="Palatino Linotype" w:cs="Tahoma"/>
          <w:sz w:val="22"/>
          <w:szCs w:val="22"/>
          <w:lang w:val="es-ES_tradnl" w:eastAsia="es-ES_tradnl"/>
        </w:rPr>
      </w:pPr>
    </w:p>
    <w:p w14:paraId="4E339212" w14:textId="77777777" w:rsidR="006F115E" w:rsidRDefault="006F115E" w:rsidP="006F115E">
      <w:pPr>
        <w:spacing w:line="360" w:lineRule="auto"/>
        <w:jc w:val="both"/>
        <w:rPr>
          <w:rFonts w:ascii="Palatino Linotype" w:eastAsia="Calibri" w:hAnsi="Palatino Linotype" w:cs="Tahoma"/>
          <w:b/>
          <w:sz w:val="22"/>
          <w:szCs w:val="22"/>
          <w:lang w:eastAsia="es-ES_tradnl"/>
        </w:rPr>
      </w:pPr>
      <w:r>
        <w:rPr>
          <w:rFonts w:ascii="Palatino Linotype" w:eastAsia="Calibri" w:hAnsi="Palatino Linotype" w:cs="Tahoma"/>
          <w:sz w:val="22"/>
          <w:szCs w:val="22"/>
          <w:lang w:val="es-ES_tradnl" w:eastAsia="es-ES_tradnl"/>
        </w:rPr>
        <w:t xml:space="preserve">De la misma manera, resulta necesario traer a colación, </w:t>
      </w:r>
      <w:r>
        <w:rPr>
          <w:rFonts w:ascii="Palatino Linotype" w:eastAsia="Calibri" w:hAnsi="Palatino Linotype" w:cs="Tahoma"/>
          <w:bCs/>
          <w:sz w:val="22"/>
          <w:szCs w:val="22"/>
          <w:lang w:val="es-ES" w:eastAsia="es-ES_tradnl"/>
        </w:rPr>
        <w:t xml:space="preserve">Criterio Orientador, de la Segunda Época, con clave de control </w:t>
      </w:r>
      <w:r>
        <w:rPr>
          <w:rFonts w:ascii="Palatino Linotype" w:eastAsia="Calibri" w:hAnsi="Palatino Linotype" w:cs="Tahoma"/>
          <w:bCs/>
          <w:sz w:val="22"/>
          <w:szCs w:val="22"/>
          <w:lang w:eastAsia="es-ES_tradnl"/>
        </w:rPr>
        <w:t>SO/013/2017</w:t>
      </w:r>
      <w:r>
        <w:rPr>
          <w:rFonts w:ascii="Palatino Linotype" w:eastAsia="Calibri" w:hAnsi="Palatino Linotype" w:cs="Tahoma"/>
          <w:sz w:val="22"/>
          <w:szCs w:val="22"/>
          <w:lang w:val="es-ES" w:eastAsia="es-ES_tradnl"/>
        </w:rPr>
        <w:t xml:space="preserve">, </w:t>
      </w:r>
      <w:r>
        <w:rPr>
          <w:rFonts w:ascii="Palatino Linotype" w:eastAsia="Calibri" w:hAnsi="Palatino Linotype" w:cs="Tahoma"/>
          <w:sz w:val="22"/>
          <w:szCs w:val="22"/>
          <w:lang w:eastAsia="es-ES_tradnl"/>
        </w:rPr>
        <w:t>emitido por el Instituto Nacional de Transparencia, Acceso a la Información y Protección de Datos Personales, el cual precisa que</w:t>
      </w:r>
      <w:r>
        <w:rPr>
          <w:rFonts w:ascii="Palatino Linotype" w:eastAsia="Calibri" w:hAnsi="Palatino Linotype" w:cs="Tahoma"/>
          <w:sz w:val="22"/>
          <w:szCs w:val="22"/>
          <w:lang w:val="es-ES_tradnl" w:eastAsia="es-ES_tradnl"/>
        </w:rPr>
        <w:t xml:space="preserve"> la </w:t>
      </w:r>
      <w:r>
        <w:rPr>
          <w:rFonts w:ascii="Palatino Linotype" w:eastAsia="Calibri" w:hAnsi="Palatino Linotype" w:cs="Tahoma"/>
          <w:b/>
          <w:sz w:val="22"/>
          <w:szCs w:val="22"/>
          <w:lang w:val="es-ES_tradnl" w:eastAsia="es-ES_tradnl"/>
        </w:rPr>
        <w:t xml:space="preserve">incompetencia </w:t>
      </w:r>
      <w:r>
        <w:rPr>
          <w:rFonts w:ascii="Palatino Linotype" w:eastAsia="Calibri" w:hAnsi="Palatino Linotype" w:cs="Tahoma"/>
          <w:sz w:val="22"/>
          <w:szCs w:val="22"/>
          <w:lang w:val="es-ES_tradnl" w:eastAsia="es-ES_tradnl"/>
        </w:rPr>
        <w:t>implica que, de conformidad con las atribuciones conferidas al Sujeto Obligado, no habría razón por la cual este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este.</w:t>
      </w:r>
    </w:p>
    <w:p w14:paraId="2B77A238" w14:textId="77777777" w:rsidR="006F115E" w:rsidRDefault="006F115E" w:rsidP="006F115E">
      <w:pPr>
        <w:spacing w:line="360" w:lineRule="auto"/>
        <w:jc w:val="both"/>
        <w:rPr>
          <w:rFonts w:ascii="Palatino Linotype" w:eastAsia="Calibri" w:hAnsi="Palatino Linotype" w:cs="Tahoma"/>
          <w:sz w:val="22"/>
          <w:szCs w:val="22"/>
          <w:lang w:eastAsia="es-ES_tradnl"/>
        </w:rPr>
      </w:pPr>
    </w:p>
    <w:p w14:paraId="2797047A" w14:textId="77777777" w:rsidR="006F115E" w:rsidRDefault="006F115E" w:rsidP="006F115E">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Bajo esa tesitura, el Reglamento Interior de la Secretaría de la Contraloría en el artículo 43 establece que corresponde a los Órganos Internos de Control de las dependencias y organismos auxiliares diversas atribuciones dentro de las que se encuentra la señalada en la fracción XV supervisar y verificar la presentación oportuna de las declaraciones de situación patrimonial, de intereses y de la constancia de la presentación de la declaración fiscal, de las personas servidoras públicas de la Dependencia u Organismo Auxiliar, en este sentido sólo revisa si las declaraciones se presentaron o no, sin que sea su competencia tenerlas en sus archivos y realizar el análisis de estas.</w:t>
      </w:r>
    </w:p>
    <w:p w14:paraId="679396C2" w14:textId="77777777" w:rsidR="006F115E" w:rsidRDefault="006F115E" w:rsidP="006F115E">
      <w:pPr>
        <w:spacing w:line="360" w:lineRule="auto"/>
        <w:jc w:val="both"/>
        <w:rPr>
          <w:rFonts w:ascii="Palatino Linotype" w:eastAsia="Calibri" w:hAnsi="Palatino Linotype" w:cs="Tahoma"/>
          <w:iCs/>
          <w:sz w:val="22"/>
          <w:szCs w:val="22"/>
          <w:lang w:eastAsia="es-ES_tradnl"/>
        </w:rPr>
      </w:pPr>
    </w:p>
    <w:p w14:paraId="240B7389" w14:textId="77777777" w:rsidR="006F115E" w:rsidRDefault="006F115E" w:rsidP="006F115E">
      <w:pPr>
        <w:tabs>
          <w:tab w:val="left" w:pos="4962"/>
        </w:tabs>
        <w:spacing w:line="360" w:lineRule="auto"/>
        <w:ind w:right="-28"/>
        <w:jc w:val="both"/>
        <w:rPr>
          <w:rFonts w:ascii="Palatino Linotype" w:eastAsia="Palatino Linotype" w:hAnsi="Palatino Linotype" w:cs="Tahoma"/>
          <w:bCs/>
          <w:iCs/>
          <w:sz w:val="22"/>
          <w:szCs w:val="22"/>
          <w:lang w:eastAsia="es-MX"/>
        </w:rPr>
      </w:pPr>
      <w:r>
        <w:rPr>
          <w:rFonts w:ascii="Palatino Linotype" w:eastAsia="Palatino Linotype" w:hAnsi="Palatino Linotype" w:cs="Tahoma"/>
          <w:bCs/>
          <w:iCs/>
          <w:sz w:val="22"/>
          <w:szCs w:val="22"/>
          <w:lang w:eastAsia="es-MX"/>
        </w:rPr>
        <w:t>Lo anterior, toma relevancia pues conforme al Manual General de Organización de la Secretaría de la Contraloría, este cuenta con la Dirección de Registro de Declaraciones y de Sanciones, encargada de realizar la recepción, registro y resguardo de las declaraciones de situación patrimonial y de intereses; así como el acuse de presentación de la declaración fiscal de las y los servidores públicos de las Administraciones Públicas Estatal y Municipal, por medio de las siguientes atribuciones:</w:t>
      </w:r>
    </w:p>
    <w:p w14:paraId="665C0730" w14:textId="77777777" w:rsidR="006F115E" w:rsidRDefault="006F115E" w:rsidP="006F115E">
      <w:pPr>
        <w:tabs>
          <w:tab w:val="left" w:pos="4962"/>
        </w:tabs>
        <w:spacing w:line="360" w:lineRule="auto"/>
        <w:ind w:right="-28"/>
        <w:jc w:val="both"/>
        <w:rPr>
          <w:rFonts w:ascii="Palatino Linotype" w:eastAsia="Palatino Linotype" w:hAnsi="Palatino Linotype" w:cs="Tahoma"/>
          <w:bCs/>
          <w:iCs/>
          <w:sz w:val="22"/>
          <w:szCs w:val="22"/>
          <w:lang w:eastAsia="es-MX"/>
        </w:rPr>
      </w:pPr>
    </w:p>
    <w:p w14:paraId="738CB405" w14:textId="77777777" w:rsidR="006F115E" w:rsidRDefault="006F115E" w:rsidP="006F115E">
      <w:pPr>
        <w:numPr>
          <w:ilvl w:val="0"/>
          <w:numId w:val="47"/>
        </w:numPr>
        <w:spacing w:line="360" w:lineRule="auto"/>
        <w:jc w:val="both"/>
        <w:rPr>
          <w:rFonts w:ascii="Palatino Linotype" w:hAnsi="Palatino Linotype" w:cs="Tahoma"/>
          <w:color w:val="000000"/>
          <w:sz w:val="22"/>
          <w:szCs w:val="22"/>
          <w:lang w:val="es-ES"/>
        </w:rPr>
      </w:pPr>
      <w:r>
        <w:rPr>
          <w:rFonts w:ascii="Palatino Linotype" w:hAnsi="Palatino Linotype" w:cs="Tahoma"/>
          <w:color w:val="000000"/>
          <w:sz w:val="22"/>
          <w:szCs w:val="22"/>
          <w:lang w:val="es-ES"/>
        </w:rPr>
        <w:t>Coordinar que la presentación de las declaraciones de situación patrimonial, y de intereses, y, en su caso, el acuse de la presentación de la declaración fiscal;</w:t>
      </w:r>
    </w:p>
    <w:p w14:paraId="77E3201F" w14:textId="77777777" w:rsidR="006F115E" w:rsidRDefault="006F115E" w:rsidP="006F115E">
      <w:pPr>
        <w:numPr>
          <w:ilvl w:val="0"/>
          <w:numId w:val="47"/>
        </w:numPr>
        <w:spacing w:line="360" w:lineRule="auto"/>
        <w:jc w:val="both"/>
        <w:rPr>
          <w:rFonts w:ascii="Palatino Linotype" w:hAnsi="Palatino Linotype" w:cs="Tahoma"/>
          <w:color w:val="000000"/>
          <w:sz w:val="22"/>
          <w:szCs w:val="22"/>
          <w:lang w:val="es-ES"/>
        </w:rPr>
      </w:pPr>
      <w:r>
        <w:rPr>
          <w:rFonts w:ascii="Palatino Linotype" w:hAnsi="Palatino Linotype" w:cs="Tahoma"/>
          <w:color w:val="000000"/>
          <w:sz w:val="22"/>
          <w:szCs w:val="22"/>
        </w:rPr>
        <w:t>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y los servidores públicos del Estado y Municipios;</w:t>
      </w:r>
    </w:p>
    <w:p w14:paraId="5F542C49" w14:textId="77777777" w:rsidR="006F115E" w:rsidRDefault="006F115E" w:rsidP="006F115E">
      <w:pPr>
        <w:numPr>
          <w:ilvl w:val="0"/>
          <w:numId w:val="47"/>
        </w:numPr>
        <w:spacing w:line="360" w:lineRule="auto"/>
        <w:jc w:val="both"/>
        <w:rPr>
          <w:rFonts w:ascii="Palatino Linotype" w:hAnsi="Palatino Linotype" w:cs="Tahoma"/>
          <w:color w:val="000000"/>
          <w:sz w:val="22"/>
          <w:szCs w:val="22"/>
          <w:lang w:val="es-ES"/>
        </w:rPr>
      </w:pPr>
      <w:r>
        <w:rPr>
          <w:rFonts w:ascii="Palatino Linotype" w:hAnsi="Palatino Linotype" w:cs="Tahoma"/>
          <w:color w:val="000000"/>
          <w:sz w:val="22"/>
          <w:szCs w:val="22"/>
          <w:lang w:val="es-ES"/>
        </w:rPr>
        <w:t>Recibir, registrar y resguardar las declaraciones de situación patrimonial, de intereses y, en su caso, el acuse de presentación de la declaración fiscal que presenten las y los servidores públicos;</w:t>
      </w:r>
    </w:p>
    <w:p w14:paraId="3B33E36E" w14:textId="77777777" w:rsidR="006F115E" w:rsidRDefault="006F115E" w:rsidP="006F115E">
      <w:pPr>
        <w:spacing w:line="360" w:lineRule="auto"/>
        <w:jc w:val="both"/>
        <w:rPr>
          <w:rFonts w:ascii="Palatino Linotype" w:eastAsia="Calibri" w:hAnsi="Palatino Linotype" w:cs="Tahoma"/>
          <w:iCs/>
          <w:sz w:val="22"/>
          <w:szCs w:val="22"/>
          <w:lang w:eastAsia="es-ES_tradnl"/>
        </w:rPr>
      </w:pPr>
    </w:p>
    <w:p w14:paraId="50A8D6EA" w14:textId="77777777" w:rsidR="006F115E" w:rsidRDefault="006F115E" w:rsidP="006F115E">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Aunado a lo anterior, en la página oficial de la Secretaría de la Contraloría, en el apartado de Declaración Patrimonial y de Intereses, precisa que dicha dependencia ofrece el portal </w:t>
      </w:r>
      <w:r>
        <w:rPr>
          <w:rFonts w:ascii="Palatino Linotype" w:eastAsia="Calibri" w:hAnsi="Palatino Linotype" w:cs="Tahoma"/>
          <w:b/>
          <w:sz w:val="22"/>
          <w:szCs w:val="22"/>
          <w:lang w:eastAsia="es-ES_tradnl"/>
        </w:rPr>
        <w:t>Decl@ranet</w:t>
      </w:r>
      <w:r>
        <w:rPr>
          <w:rFonts w:ascii="Palatino Linotype" w:eastAsia="Calibri" w:hAnsi="Palatino Linotype" w:cs="Tahoma"/>
          <w:bCs/>
          <w:sz w:val="22"/>
          <w:szCs w:val="22"/>
          <w:lang w:eastAsia="es-ES_tradnl"/>
        </w:rPr>
        <w:t>, con la finalidad de facilitar a los servidores públicos del Estado de México, presenten su Declaración de Situación Patrimonial, Declaración de Intereses o Posible Conflicto de Intereses y presentación de Constancia de Declaración Fiscal.</w:t>
      </w:r>
    </w:p>
    <w:p w14:paraId="7849B4AF" w14:textId="77777777" w:rsidR="006F115E" w:rsidRDefault="006F115E" w:rsidP="006F115E">
      <w:pPr>
        <w:spacing w:line="360" w:lineRule="auto"/>
        <w:jc w:val="both"/>
        <w:rPr>
          <w:rFonts w:ascii="Palatino Linotype" w:eastAsia="Calibri" w:hAnsi="Palatino Linotype" w:cs="Tahoma"/>
          <w:bCs/>
          <w:sz w:val="22"/>
          <w:szCs w:val="22"/>
          <w:lang w:eastAsia="es-ES_tradnl"/>
        </w:rPr>
      </w:pPr>
    </w:p>
    <w:p w14:paraId="3EA58A12" w14:textId="77777777" w:rsidR="006F115E" w:rsidRDefault="006F115E" w:rsidP="006F115E">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Además, que el díptico denominado “Sistema Declaranet”, precisa que dicho sistema es administrado por la </w:t>
      </w:r>
      <w:r>
        <w:rPr>
          <w:rFonts w:ascii="Palatino Linotype" w:eastAsia="Calibri" w:hAnsi="Palatino Linotype" w:cs="Tahoma"/>
          <w:b/>
          <w:sz w:val="22"/>
          <w:szCs w:val="22"/>
          <w:lang w:eastAsia="es-ES_tradnl"/>
        </w:rPr>
        <w:t>Secretaría de la Contraloría</w:t>
      </w:r>
      <w:r>
        <w:rPr>
          <w:rFonts w:ascii="Palatino Linotype" w:eastAsia="Calibri" w:hAnsi="Palatino Linotype" w:cs="Tahoma"/>
          <w:bCs/>
          <w:sz w:val="22"/>
          <w:szCs w:val="22"/>
          <w:lang w:eastAsia="es-ES_tradnl"/>
        </w:rPr>
        <w:t>, y cuyo fin es los servidores públicos del Poder Ejecutivo y los ciento veinticinco Ayuntamientos, presenten su Manifestación de Bienes o Declaración Patrimonial.</w:t>
      </w:r>
    </w:p>
    <w:p w14:paraId="6FAEAEFA" w14:textId="77777777" w:rsidR="006F115E" w:rsidRDefault="006F115E" w:rsidP="006F115E">
      <w:pPr>
        <w:spacing w:line="360" w:lineRule="auto"/>
        <w:jc w:val="both"/>
        <w:rPr>
          <w:rFonts w:ascii="Palatino Linotype" w:eastAsia="Calibri" w:hAnsi="Palatino Linotype" w:cs="Tahoma"/>
          <w:bCs/>
          <w:sz w:val="22"/>
          <w:szCs w:val="22"/>
          <w:lang w:eastAsia="es-ES_tradnl"/>
        </w:rPr>
      </w:pPr>
    </w:p>
    <w:p w14:paraId="1B7B8FE1" w14:textId="77777777" w:rsidR="006F115E" w:rsidRDefault="006F115E" w:rsidP="006F115E">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Como se logra observar, el Sistema Decl@ranet, es administrado y operado únicamente por la Secretaría de la Contraloría, por lo que, es la única dependencia que tiene acceso a las declaraciones presentadas por dicha plataforma; situación que se robustece con el Manual General de Organización de la </w:t>
      </w:r>
      <w:r>
        <w:rPr>
          <w:rFonts w:ascii="Palatino Linotype" w:eastAsia="Calibri" w:hAnsi="Palatino Linotype" w:cs="Tahoma"/>
          <w:b/>
          <w:sz w:val="22"/>
          <w:szCs w:val="22"/>
          <w:lang w:eastAsia="es-ES_tradnl"/>
        </w:rPr>
        <w:t>Secretaría de la Contraloría</w:t>
      </w:r>
      <w:r>
        <w:rPr>
          <w:rFonts w:ascii="Palatino Linotype" w:eastAsia="Calibri" w:hAnsi="Palatino Linotype" w:cs="Tahoma"/>
          <w:bCs/>
          <w:sz w:val="22"/>
          <w:szCs w:val="22"/>
          <w:lang w:eastAsia="es-ES_tradnl"/>
        </w:rPr>
        <w:t xml:space="preserve">, que precisa que dicha dependencia cuenta con diversas unidades administrativas para el ejercicio de sus funciones, entre las cuales se encuentra la </w:t>
      </w:r>
      <w:r>
        <w:rPr>
          <w:rFonts w:ascii="Palatino Linotype" w:eastAsia="Calibri" w:hAnsi="Palatino Linotype" w:cs="Tahoma"/>
          <w:b/>
          <w:sz w:val="22"/>
          <w:szCs w:val="22"/>
          <w:lang w:eastAsia="es-ES_tradnl"/>
        </w:rPr>
        <w:t>Dirección de Registro de Declaraciones y de Sanciones, encargada de realizar la recepción, registro y resguardo de las declaraciones de situación patrimonial de los servidores públicos de las Administraciones Públicas Estatal y Municipal.</w:t>
      </w:r>
    </w:p>
    <w:p w14:paraId="6E4B634F" w14:textId="77777777" w:rsidR="006F115E" w:rsidRDefault="006F115E" w:rsidP="006F115E">
      <w:pPr>
        <w:spacing w:line="360" w:lineRule="auto"/>
        <w:jc w:val="both"/>
        <w:rPr>
          <w:rFonts w:ascii="Palatino Linotype" w:eastAsia="Calibri" w:hAnsi="Palatino Linotype" w:cs="Tahoma"/>
          <w:iCs/>
          <w:sz w:val="22"/>
          <w:szCs w:val="22"/>
          <w:lang w:val="es-ES" w:eastAsia="es-ES_tradnl"/>
        </w:rPr>
      </w:pPr>
    </w:p>
    <w:p w14:paraId="6AAD14BA" w14:textId="64F6816F" w:rsidR="00C84634" w:rsidRPr="00C84634" w:rsidRDefault="006F115E" w:rsidP="006F115E">
      <w:pPr>
        <w:spacing w:line="360" w:lineRule="auto"/>
        <w:jc w:val="both"/>
        <w:rPr>
          <w:rFonts w:ascii="Palatino Linotype" w:eastAsiaTheme="minorHAnsi" w:hAnsi="Palatino Linotype" w:cstheme="minorBidi"/>
          <w:sz w:val="22"/>
          <w:szCs w:val="22"/>
          <w:lang w:eastAsia="en-US"/>
        </w:rPr>
      </w:pPr>
      <w:r>
        <w:rPr>
          <w:rFonts w:ascii="Palatino Linotype" w:eastAsia="Calibri" w:hAnsi="Palatino Linotype" w:cs="Tahoma"/>
          <w:sz w:val="22"/>
          <w:szCs w:val="22"/>
          <w:lang w:eastAsia="es-ES_tradnl"/>
        </w:rPr>
        <w:t>Conforme a lo anterior, se logra vislumbrar que la Contraloría Municipal del Sujeto Obligado no cuenta en sus archivos con la información solicitada, ya que sólo conoce si los servidores públicos presentaron o no su declaración, sin que ello implique que tengan acceso a los documentos, pues el encargado de recibir, registrar y resguardar las declaraciones patrimoniales que presenten los servidores públicos adscritos a este adscrito es únicamente la Secretaría de la Contraloría.</w:t>
      </w:r>
    </w:p>
    <w:p w14:paraId="0D0126D0" w14:textId="77777777" w:rsidR="00C84634" w:rsidRDefault="00C84634" w:rsidP="00C84634">
      <w:pPr>
        <w:spacing w:line="360" w:lineRule="auto"/>
        <w:jc w:val="both"/>
        <w:rPr>
          <w:rFonts w:ascii="Palatino Linotype" w:eastAsiaTheme="minorHAnsi" w:hAnsi="Palatino Linotype" w:cstheme="minorBidi"/>
          <w:color w:val="000000" w:themeColor="text1"/>
          <w:sz w:val="22"/>
          <w:szCs w:val="22"/>
          <w:lang w:eastAsia="en-US"/>
        </w:rPr>
      </w:pPr>
    </w:p>
    <w:p w14:paraId="345E6663" w14:textId="0C23F7DD" w:rsidR="006F115E" w:rsidRPr="006F115E" w:rsidRDefault="006F115E" w:rsidP="006F115E">
      <w:pPr>
        <w:spacing w:line="360" w:lineRule="auto"/>
        <w:jc w:val="both"/>
        <w:rPr>
          <w:rFonts w:ascii="Palatino Linotype" w:eastAsia="Palatino Linotype" w:hAnsi="Palatino Linotype" w:cs="Palatino Linotype"/>
          <w:color w:val="000000"/>
          <w:sz w:val="22"/>
          <w:szCs w:val="22"/>
          <w:lang w:eastAsia="es-MX"/>
        </w:rPr>
      </w:pPr>
      <w:r w:rsidRPr="006F115E">
        <w:rPr>
          <w:rFonts w:ascii="Palatino Linotype" w:eastAsia="Palatino Linotype" w:hAnsi="Palatino Linotype" w:cs="Palatino Linotype"/>
          <w:color w:val="000000"/>
          <w:sz w:val="22"/>
          <w:szCs w:val="22"/>
          <w:lang w:eastAsia="es-MX"/>
        </w:rPr>
        <w:t xml:space="preserve">Conforme a lo expuesto, se considera que el Sujeto Obligado </w:t>
      </w:r>
      <w:r>
        <w:rPr>
          <w:rFonts w:ascii="Palatino Linotype" w:eastAsia="Palatino Linotype" w:hAnsi="Palatino Linotype" w:cs="Palatino Linotype"/>
          <w:color w:val="000000"/>
          <w:sz w:val="22"/>
          <w:szCs w:val="22"/>
          <w:lang w:eastAsia="es-MX"/>
        </w:rPr>
        <w:t>durante la sustanciación del Medio de Impugnación se declaró incompetente para conocer de lo solicitado, lo cual se acreditó pues la Secretaría de la Contraloría es la que tienen dicha información, por lo que, quedo sin materia el Medio de Impugnación.</w:t>
      </w:r>
    </w:p>
    <w:p w14:paraId="5A5AAB00" w14:textId="77777777" w:rsidR="006F115E" w:rsidRDefault="006F115E" w:rsidP="00C84634">
      <w:pPr>
        <w:spacing w:line="360" w:lineRule="auto"/>
        <w:jc w:val="both"/>
        <w:rPr>
          <w:rFonts w:ascii="Palatino Linotype" w:eastAsiaTheme="minorHAnsi" w:hAnsi="Palatino Linotype" w:cstheme="minorBidi"/>
          <w:color w:val="000000" w:themeColor="text1"/>
          <w:sz w:val="22"/>
          <w:szCs w:val="22"/>
          <w:lang w:eastAsia="en-US"/>
        </w:rPr>
      </w:pPr>
    </w:p>
    <w:p w14:paraId="1D8D2422" w14:textId="4395D007" w:rsidR="00DB5FA9" w:rsidRPr="00DB5FA9" w:rsidRDefault="00DB5FA9" w:rsidP="00DB5FA9">
      <w:pPr>
        <w:keepNext/>
        <w:keepLines/>
        <w:spacing w:line="360" w:lineRule="auto"/>
        <w:outlineLvl w:val="1"/>
        <w:rPr>
          <w:rFonts w:ascii="Palatino Linotype" w:eastAsiaTheme="majorEastAsia" w:hAnsi="Palatino Linotype" w:cstheme="majorBidi"/>
          <w:b/>
          <w:color w:val="000000" w:themeColor="text1"/>
          <w:sz w:val="22"/>
          <w:szCs w:val="26"/>
        </w:rPr>
      </w:pPr>
      <w:bookmarkStart w:id="18" w:name="_Toc201139515"/>
      <w:bookmarkStart w:id="19" w:name="_Toc219984649"/>
      <w:r w:rsidRPr="00DB5FA9">
        <w:rPr>
          <w:rFonts w:ascii="Palatino Linotype" w:eastAsiaTheme="majorEastAsia" w:hAnsi="Palatino Linotype" w:cstheme="majorBidi"/>
          <w:b/>
          <w:color w:val="000000" w:themeColor="text1"/>
          <w:sz w:val="22"/>
          <w:szCs w:val="26"/>
        </w:rPr>
        <w:t>CUARTO. Decisión</w:t>
      </w:r>
      <w:bookmarkEnd w:id="18"/>
      <w:bookmarkEnd w:id="19"/>
    </w:p>
    <w:p w14:paraId="4AAFECCA" w14:textId="77777777" w:rsidR="00DB5FA9" w:rsidRPr="00DB5FA9" w:rsidRDefault="00DB5FA9" w:rsidP="00DB5FA9">
      <w:pPr>
        <w:spacing w:line="360" w:lineRule="auto"/>
        <w:jc w:val="both"/>
        <w:rPr>
          <w:rFonts w:ascii="Palatino Linotype" w:hAnsi="Palatino Linotype" w:cs="Tahoma"/>
          <w:sz w:val="22"/>
          <w:szCs w:val="22"/>
        </w:rPr>
      </w:pPr>
    </w:p>
    <w:p w14:paraId="5A1BE350" w14:textId="5EE72BF9" w:rsidR="00DB5FA9" w:rsidRDefault="00DB5FA9" w:rsidP="00DB5FA9">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 xml:space="preserve">Con fundamento en lo dispuesto en el artículo 186, fracción I, de la Ley de Transparencia y Acceso a la Información Pública del Estado de México y Municipios, se considera procedente </w:t>
      </w:r>
      <w:r w:rsidRPr="00DB5FA9">
        <w:rPr>
          <w:rFonts w:ascii="Palatino Linotype" w:hAnsi="Palatino Linotype" w:cs="Tahoma"/>
          <w:b/>
          <w:bCs/>
          <w:iCs/>
          <w:sz w:val="22"/>
          <w:szCs w:val="22"/>
          <w:lang w:val="es-ES"/>
        </w:rPr>
        <w:t xml:space="preserve">SOBRESEER </w:t>
      </w:r>
      <w:r>
        <w:rPr>
          <w:rFonts w:ascii="Palatino Linotype" w:hAnsi="Palatino Linotype" w:cs="Tahoma"/>
          <w:bCs/>
          <w:iCs/>
          <w:sz w:val="22"/>
          <w:szCs w:val="22"/>
          <w:lang w:val="es-ES"/>
        </w:rPr>
        <w:t>el Recurso de Revisión 14321</w:t>
      </w:r>
      <w:r w:rsidRPr="00DB5FA9">
        <w:rPr>
          <w:rFonts w:ascii="Palatino Linotype" w:hAnsi="Palatino Linotype" w:cs="Tahoma"/>
          <w:bCs/>
          <w:iCs/>
          <w:sz w:val="22"/>
          <w:szCs w:val="22"/>
          <w:lang w:val="es-ES"/>
        </w:rPr>
        <w:t>/INFOEM/IP/RR/2025, en virtud de que se actualiza la hipótesis normativa prevista en la fracción V, del artículo 192, del citado ordenamiento legal.</w:t>
      </w:r>
    </w:p>
    <w:p w14:paraId="5EAB8E81" w14:textId="77777777" w:rsidR="00A978D3" w:rsidRPr="00DB5FA9" w:rsidRDefault="00A978D3" w:rsidP="00DB5FA9">
      <w:pPr>
        <w:spacing w:line="360" w:lineRule="auto"/>
        <w:jc w:val="both"/>
        <w:rPr>
          <w:rFonts w:ascii="Palatino Linotype" w:hAnsi="Palatino Linotype" w:cs="Tahoma"/>
          <w:bCs/>
          <w:iCs/>
          <w:sz w:val="22"/>
          <w:szCs w:val="22"/>
          <w:lang w:val="es-ES"/>
        </w:rPr>
      </w:pPr>
    </w:p>
    <w:p w14:paraId="58C86DD1" w14:textId="5F6E0EF9" w:rsidR="00DB5FA9" w:rsidRPr="00DB5FA9" w:rsidRDefault="00DB5FA9" w:rsidP="00DB5FA9">
      <w:pPr>
        <w:spacing w:line="360" w:lineRule="auto"/>
        <w:jc w:val="both"/>
        <w:rPr>
          <w:rFonts w:ascii="Palatino Linotype" w:hAnsi="Palatino Linotype" w:cs="Tahoma"/>
          <w:b/>
          <w:bCs/>
          <w:iCs/>
          <w:sz w:val="22"/>
          <w:szCs w:val="22"/>
          <w:lang w:val="es-ES"/>
        </w:rPr>
      </w:pPr>
      <w:r w:rsidRPr="00DB5FA9">
        <w:rPr>
          <w:rFonts w:ascii="Palatino Linotype" w:hAnsi="Palatino Linotype" w:cs="Tahoma"/>
          <w:b/>
          <w:bCs/>
          <w:iCs/>
          <w:sz w:val="22"/>
          <w:szCs w:val="22"/>
          <w:lang w:val="es-ES"/>
        </w:rPr>
        <w:t>Términos de la Resolución p</w:t>
      </w:r>
      <w:r>
        <w:rPr>
          <w:rFonts w:ascii="Palatino Linotype" w:hAnsi="Palatino Linotype" w:cs="Tahoma"/>
          <w:b/>
          <w:bCs/>
          <w:iCs/>
          <w:sz w:val="22"/>
          <w:szCs w:val="22"/>
          <w:lang w:val="es-ES"/>
        </w:rPr>
        <w:t>ara conocimiento del Particular</w:t>
      </w:r>
    </w:p>
    <w:p w14:paraId="1C29E1B1" w14:textId="77777777" w:rsidR="00DB5FA9" w:rsidRPr="00DB5FA9" w:rsidRDefault="00DB5FA9" w:rsidP="00DB5FA9">
      <w:pPr>
        <w:spacing w:line="360" w:lineRule="auto"/>
        <w:jc w:val="both"/>
        <w:rPr>
          <w:rFonts w:ascii="Palatino Linotype" w:hAnsi="Palatino Linotype" w:cs="Tahoma"/>
          <w:bCs/>
          <w:iCs/>
          <w:sz w:val="22"/>
          <w:szCs w:val="22"/>
          <w:lang w:val="es-ES"/>
        </w:rPr>
      </w:pPr>
    </w:p>
    <w:p w14:paraId="281EF2FC" w14:textId="77777777" w:rsidR="006F115E" w:rsidRDefault="00DB5FA9" w:rsidP="00DB5FA9">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 xml:space="preserve">Se le hace del conocimiento al Particular, que, en el presente caso, se le concedía la razón, pues el Sujeto Obligado no había dado respuesta en los plazos establecidos en la normatividad, no obstante, durante la sustanciación del Medio de Impugnación </w:t>
      </w:r>
      <w:r>
        <w:rPr>
          <w:rFonts w:ascii="Palatino Linotype" w:hAnsi="Palatino Linotype" w:cs="Tahoma"/>
          <w:bCs/>
          <w:iCs/>
          <w:sz w:val="22"/>
          <w:szCs w:val="22"/>
          <w:lang w:val="es-ES"/>
        </w:rPr>
        <w:t xml:space="preserve">manifestó su incompetencia para conocer de lo solicitado, </w:t>
      </w:r>
      <w:r w:rsidRPr="00DB5FA9">
        <w:rPr>
          <w:rFonts w:ascii="Palatino Linotype" w:hAnsi="Palatino Linotype" w:cs="Tahoma"/>
          <w:bCs/>
          <w:iCs/>
          <w:sz w:val="22"/>
          <w:szCs w:val="22"/>
          <w:lang w:val="es-ES"/>
        </w:rPr>
        <w:t xml:space="preserve">lo cual dejó sin materia. </w:t>
      </w:r>
    </w:p>
    <w:p w14:paraId="656CA206" w14:textId="77777777" w:rsidR="006F115E" w:rsidRDefault="006F115E" w:rsidP="00DB5FA9">
      <w:pPr>
        <w:spacing w:line="360" w:lineRule="auto"/>
        <w:jc w:val="both"/>
        <w:rPr>
          <w:rFonts w:ascii="Palatino Linotype" w:hAnsi="Palatino Linotype" w:cs="Tahoma"/>
          <w:bCs/>
          <w:iCs/>
          <w:sz w:val="22"/>
          <w:szCs w:val="22"/>
          <w:lang w:val="es-ES"/>
        </w:rPr>
      </w:pPr>
    </w:p>
    <w:p w14:paraId="0DC3F2F5" w14:textId="33355B43" w:rsidR="00DB5FA9" w:rsidRPr="00DB5FA9" w:rsidRDefault="006F115E" w:rsidP="00DB5FA9">
      <w:pPr>
        <w:spacing w:line="360" w:lineRule="auto"/>
        <w:jc w:val="both"/>
        <w:rPr>
          <w:rFonts w:ascii="Palatino Linotype" w:hAnsi="Palatino Linotype" w:cs="Tahoma"/>
          <w:bCs/>
          <w:iCs/>
          <w:sz w:val="22"/>
          <w:szCs w:val="22"/>
          <w:lang w:val="es-ES"/>
        </w:rPr>
      </w:pPr>
      <w:r w:rsidRPr="006F115E">
        <w:rPr>
          <w:rFonts w:ascii="Palatino Linotype" w:hAnsi="Palatino Linotype" w:cs="Tahoma"/>
          <w:bCs/>
          <w:iCs/>
          <w:sz w:val="22"/>
          <w:szCs w:val="22"/>
          <w:lang w:val="es-ES"/>
        </w:rPr>
        <w:t xml:space="preserve">Además, se le hace del conocimiento que se le dejan a salvo sus derechos, a efecto de que, si es de su interés, presente la solicitud de información nuevamente, ante la Secretaría de la Contraloría. </w:t>
      </w:r>
      <w:r w:rsidR="00DB5FA9" w:rsidRPr="00DB5FA9">
        <w:rPr>
          <w:rFonts w:ascii="Palatino Linotype" w:hAnsi="Palatino Linotype" w:cs="Tahoma"/>
          <w:bCs/>
          <w:iCs/>
          <w:sz w:val="22"/>
          <w:szCs w:val="22"/>
          <w:lang w:val="es-ES"/>
        </w:rPr>
        <w:t>Finalmente, la labor de este Instituto, es apoyar a la población a acceder a la información pública y garantizar la protección de sus datos personales.</w:t>
      </w:r>
    </w:p>
    <w:p w14:paraId="314C6890" w14:textId="77777777" w:rsidR="00DB5FA9" w:rsidRPr="00DB5FA9" w:rsidRDefault="00DB5FA9" w:rsidP="00DB5FA9">
      <w:pPr>
        <w:spacing w:line="360" w:lineRule="auto"/>
        <w:jc w:val="both"/>
        <w:rPr>
          <w:rFonts w:ascii="Palatino Linotype" w:eastAsia="Calibri" w:hAnsi="Palatino Linotype"/>
          <w:color w:val="000000"/>
          <w:sz w:val="22"/>
          <w:szCs w:val="22"/>
          <w:lang w:eastAsia="en-US"/>
        </w:rPr>
      </w:pPr>
    </w:p>
    <w:p w14:paraId="5B5421B2" w14:textId="77777777" w:rsidR="00DB5FA9" w:rsidRPr="00DB5FA9" w:rsidRDefault="00DB5FA9" w:rsidP="00DB5FA9">
      <w:pPr>
        <w:spacing w:line="360" w:lineRule="auto"/>
        <w:jc w:val="both"/>
        <w:rPr>
          <w:rFonts w:ascii="Palatino Linotype" w:hAnsi="Palatino Linotype" w:cs="Tahoma"/>
          <w:bCs/>
          <w:iCs/>
          <w:sz w:val="22"/>
          <w:szCs w:val="22"/>
        </w:rPr>
      </w:pPr>
      <w:r w:rsidRPr="00DB5FA9">
        <w:rPr>
          <w:rFonts w:ascii="Palatino Linotype" w:hAnsi="Palatino Linotype" w:cs="Tahoma"/>
          <w:bCs/>
          <w:iCs/>
          <w:sz w:val="22"/>
          <w:szCs w:val="22"/>
        </w:rPr>
        <w:t>Por lo expuesto y fundado, este Pleno:</w:t>
      </w:r>
    </w:p>
    <w:p w14:paraId="459D8B25" w14:textId="77777777" w:rsidR="00DB5FA9" w:rsidRPr="00DB5FA9" w:rsidRDefault="00DB5FA9" w:rsidP="00DB5FA9">
      <w:pPr>
        <w:spacing w:line="360" w:lineRule="auto"/>
        <w:jc w:val="both"/>
        <w:rPr>
          <w:rFonts w:ascii="Palatino Linotype" w:hAnsi="Palatino Linotype" w:cs="Tahoma"/>
          <w:bCs/>
          <w:iCs/>
          <w:sz w:val="22"/>
          <w:szCs w:val="22"/>
        </w:rPr>
      </w:pPr>
    </w:p>
    <w:p w14:paraId="47EFF058" w14:textId="77777777" w:rsidR="00DB5FA9" w:rsidRPr="00DB5FA9" w:rsidRDefault="00DB5FA9" w:rsidP="00DB5FA9">
      <w:pPr>
        <w:keepNext/>
        <w:keepLines/>
        <w:spacing w:line="360" w:lineRule="auto"/>
        <w:jc w:val="center"/>
        <w:outlineLvl w:val="0"/>
        <w:rPr>
          <w:rFonts w:ascii="Palatino Linotype" w:eastAsiaTheme="majorEastAsia" w:hAnsi="Palatino Linotype" w:cstheme="majorBidi"/>
          <w:b/>
          <w:color w:val="000000" w:themeColor="text1"/>
          <w:sz w:val="22"/>
          <w:szCs w:val="32"/>
        </w:rPr>
      </w:pPr>
      <w:bookmarkStart w:id="20" w:name="_Toc201139516"/>
      <w:bookmarkStart w:id="21" w:name="_Toc219984650"/>
      <w:r w:rsidRPr="00DB5FA9">
        <w:rPr>
          <w:rFonts w:ascii="Palatino Linotype" w:eastAsiaTheme="majorEastAsia" w:hAnsi="Palatino Linotype" w:cstheme="majorBidi"/>
          <w:b/>
          <w:color w:val="000000" w:themeColor="text1"/>
          <w:sz w:val="22"/>
          <w:szCs w:val="32"/>
        </w:rPr>
        <w:t>R E S U E L V E</w:t>
      </w:r>
      <w:bookmarkEnd w:id="20"/>
      <w:bookmarkEnd w:id="21"/>
    </w:p>
    <w:p w14:paraId="5AE43B01" w14:textId="77777777" w:rsidR="00DB5FA9" w:rsidRPr="00DB5FA9" w:rsidRDefault="00DB5FA9" w:rsidP="00DB5FA9">
      <w:pPr>
        <w:spacing w:line="360" w:lineRule="auto"/>
        <w:jc w:val="both"/>
        <w:rPr>
          <w:rFonts w:ascii="Palatino Linotype" w:hAnsi="Palatino Linotype" w:cs="Tahoma"/>
          <w:b/>
          <w:bCs/>
          <w:iCs/>
          <w:sz w:val="22"/>
          <w:szCs w:val="22"/>
        </w:rPr>
      </w:pPr>
    </w:p>
    <w:p w14:paraId="00B889CE" w14:textId="05147991" w:rsidR="00DB5FA9" w:rsidRPr="00DB5FA9" w:rsidRDefault="00DB5FA9" w:rsidP="00DB5FA9">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PRIMERO</w:t>
      </w:r>
      <w:r w:rsidRPr="00DB5FA9">
        <w:rPr>
          <w:rFonts w:ascii="Palatino Linotype" w:hAnsi="Palatino Linotype" w:cs="Tahoma"/>
          <w:bCs/>
          <w:iCs/>
          <w:sz w:val="22"/>
          <w:szCs w:val="22"/>
        </w:rPr>
        <w:t xml:space="preserve">. Se </w:t>
      </w:r>
      <w:r w:rsidRPr="00DB5FA9">
        <w:rPr>
          <w:rFonts w:ascii="Palatino Linotype" w:hAnsi="Palatino Linotype" w:cs="Tahoma"/>
          <w:b/>
          <w:bCs/>
          <w:iCs/>
          <w:sz w:val="22"/>
          <w:szCs w:val="22"/>
        </w:rPr>
        <w:t xml:space="preserve">SOBRESEE </w:t>
      </w:r>
      <w:r w:rsidRPr="00DB5FA9">
        <w:rPr>
          <w:rFonts w:ascii="Palatino Linotype" w:hAnsi="Palatino Linotype" w:cs="Tahoma"/>
          <w:bCs/>
          <w:iCs/>
          <w:sz w:val="22"/>
          <w:szCs w:val="22"/>
        </w:rPr>
        <w:t xml:space="preserve">el Recurso de Revisión </w:t>
      </w:r>
      <w:r>
        <w:rPr>
          <w:rFonts w:ascii="Palatino Linotype" w:hAnsi="Palatino Linotype" w:cs="Tahoma"/>
          <w:bCs/>
          <w:iCs/>
          <w:sz w:val="22"/>
          <w:szCs w:val="22"/>
        </w:rPr>
        <w:t>14321</w:t>
      </w:r>
      <w:r w:rsidRPr="00DB5FA9">
        <w:rPr>
          <w:rFonts w:ascii="Palatino Linotype" w:hAnsi="Palatino Linotype" w:cs="Tahoma"/>
          <w:bCs/>
          <w:iCs/>
          <w:sz w:val="22"/>
          <w:szCs w:val="22"/>
        </w:rPr>
        <w:t xml:space="preserve">/INFOEM/IP/RR/2025, en términos del artículo 192, fracción V, de la Ley de Transparencia y Acceso a la Información Pública del Estado de México y Municipios, porque el Sujeto Obligado, al dar respuesta a la solicitud, mediante Informe Justificado, el Medio de Impugnación quedó sin materia, de conformidad con los Considerandos TERCERO y CUARTO de la presente Resolución.    </w:t>
      </w:r>
    </w:p>
    <w:p w14:paraId="428B61A7" w14:textId="77777777" w:rsidR="00DB5FA9" w:rsidRPr="00DB5FA9" w:rsidRDefault="00DB5FA9" w:rsidP="00DB5FA9">
      <w:pPr>
        <w:spacing w:line="360" w:lineRule="auto"/>
        <w:jc w:val="both"/>
        <w:rPr>
          <w:rFonts w:ascii="Palatino Linotype" w:hAnsi="Palatino Linotype" w:cs="Tahoma"/>
          <w:bCs/>
          <w:iCs/>
          <w:sz w:val="22"/>
          <w:szCs w:val="22"/>
        </w:rPr>
      </w:pPr>
    </w:p>
    <w:p w14:paraId="782E17E3" w14:textId="77777777" w:rsidR="00DB5FA9" w:rsidRPr="00DB5FA9" w:rsidRDefault="00DB5FA9" w:rsidP="00DB5FA9">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SEGUNDO</w:t>
      </w:r>
      <w:r w:rsidRPr="00DB5FA9">
        <w:rPr>
          <w:rFonts w:ascii="Palatino Linotype" w:hAnsi="Palatino Linotype" w:cs="Tahoma"/>
          <w:bCs/>
          <w:iCs/>
          <w:sz w:val="22"/>
          <w:szCs w:val="22"/>
        </w:rPr>
        <w:t xml:space="preserve">. </w:t>
      </w:r>
      <w:r w:rsidRPr="00DB5FA9">
        <w:rPr>
          <w:rFonts w:ascii="Palatino Linotype" w:hAnsi="Palatino Linotype" w:cs="Tahoma"/>
          <w:b/>
          <w:bCs/>
          <w:iCs/>
          <w:sz w:val="22"/>
          <w:szCs w:val="22"/>
        </w:rPr>
        <w:t>NOTIFÍQUESE POR SAIMEX</w:t>
      </w:r>
      <w:r w:rsidRPr="00DB5FA9">
        <w:rPr>
          <w:rFonts w:ascii="Palatino Linotype" w:hAnsi="Palatino Linotype" w:cs="Tahoma"/>
          <w:bCs/>
          <w:iCs/>
          <w:sz w:val="22"/>
          <w:szCs w:val="22"/>
        </w:rPr>
        <w:t xml:space="preserve"> la presente resolución al Titular de la Unidad de Transparencia del Sujeto Obligado.</w:t>
      </w:r>
    </w:p>
    <w:p w14:paraId="1B574B10" w14:textId="77777777" w:rsidR="00DB5FA9" w:rsidRPr="00DB5FA9" w:rsidRDefault="00DB5FA9" w:rsidP="00DB5FA9">
      <w:pPr>
        <w:spacing w:line="360" w:lineRule="auto"/>
        <w:jc w:val="both"/>
        <w:rPr>
          <w:rFonts w:ascii="Palatino Linotype" w:hAnsi="Palatino Linotype" w:cs="Tahoma"/>
          <w:bCs/>
          <w:iCs/>
          <w:sz w:val="22"/>
          <w:szCs w:val="22"/>
        </w:rPr>
      </w:pPr>
    </w:p>
    <w:p w14:paraId="7EE7785B" w14:textId="77777777" w:rsidR="00DB5FA9" w:rsidRPr="00DB5FA9" w:rsidRDefault="00DB5FA9" w:rsidP="00DB5FA9">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TERCERO</w:t>
      </w:r>
      <w:r w:rsidRPr="00DB5FA9">
        <w:rPr>
          <w:rFonts w:ascii="Palatino Linotype" w:hAnsi="Palatino Linotype" w:cs="Tahoma"/>
          <w:bCs/>
          <w:iCs/>
          <w:sz w:val="22"/>
          <w:szCs w:val="22"/>
        </w:rPr>
        <w:t xml:space="preserve">. </w:t>
      </w:r>
      <w:r w:rsidRPr="00DB5FA9">
        <w:rPr>
          <w:rFonts w:ascii="Palatino Linotype" w:hAnsi="Palatino Linotype" w:cs="Tahoma"/>
          <w:b/>
          <w:bCs/>
          <w:iCs/>
          <w:sz w:val="22"/>
          <w:szCs w:val="22"/>
        </w:rPr>
        <w:t>NOTIFÍQUESE POR SAIMEX</w:t>
      </w:r>
      <w:r w:rsidRPr="00DB5FA9">
        <w:rPr>
          <w:rFonts w:ascii="Palatino Linotype" w:hAnsi="Palatino Linotype" w:cs="Tahoma"/>
          <w:bCs/>
          <w:iCs/>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1012935" w14:textId="77777777" w:rsidR="00DB5FA9" w:rsidRPr="00DB5FA9" w:rsidRDefault="00DB5FA9" w:rsidP="00DB5FA9">
      <w:pPr>
        <w:spacing w:line="360" w:lineRule="auto"/>
        <w:jc w:val="both"/>
        <w:rPr>
          <w:rFonts w:ascii="Palatino Linotype" w:hAnsi="Palatino Linotype" w:cs="Tahoma"/>
          <w:b/>
          <w:bCs/>
          <w:iCs/>
          <w:sz w:val="22"/>
          <w:szCs w:val="22"/>
        </w:rPr>
      </w:pPr>
    </w:p>
    <w:p w14:paraId="74968A54" w14:textId="4487DEC5" w:rsidR="00DB5FA9" w:rsidRPr="00DB5FA9" w:rsidRDefault="00DB5FA9" w:rsidP="00DB5FA9">
      <w:pPr>
        <w:spacing w:line="360" w:lineRule="auto"/>
        <w:jc w:val="both"/>
        <w:rPr>
          <w:rFonts w:ascii="Palatino Linotype" w:hAnsi="Palatino Linotype" w:cs="Tahoma"/>
          <w:bCs/>
          <w:iCs/>
          <w:sz w:val="22"/>
          <w:szCs w:val="22"/>
        </w:rPr>
      </w:pPr>
      <w:r w:rsidRPr="00DB5FA9">
        <w:rPr>
          <w:rFonts w:ascii="Palatino Linotype" w:hAnsi="Palatino Linotype" w:cs="Tahoma"/>
          <w:bCs/>
          <w:iCs/>
          <w:sz w:val="22"/>
          <w:szCs w:val="22"/>
        </w:rPr>
        <w:t>ASÍ LO RESUELVE, POR </w:t>
      </w:r>
      <w:r w:rsidRPr="00DB5FA9">
        <w:rPr>
          <w:rFonts w:ascii="Palatino Linotype" w:hAnsi="Palatino Linotype" w:cs="Tahoma"/>
          <w:b/>
          <w:bCs/>
          <w:iCs/>
          <w:sz w:val="22"/>
          <w:szCs w:val="22"/>
        </w:rPr>
        <w:t>UNANIMIDAD</w:t>
      </w:r>
      <w:r w:rsidRPr="00DB5FA9">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iCs/>
          <w:sz w:val="22"/>
          <w:szCs w:val="22"/>
        </w:rPr>
        <w:t xml:space="preserve">SEGUNDA </w:t>
      </w:r>
      <w:r w:rsidRPr="00DB5FA9">
        <w:rPr>
          <w:rFonts w:ascii="Palatino Linotype" w:hAnsi="Palatino Linotype" w:cs="Tahoma"/>
          <w:bCs/>
          <w:iCs/>
          <w:sz w:val="22"/>
          <w:szCs w:val="22"/>
        </w:rPr>
        <w:t>SESIÓN ORDINARIA, CELEBRADA EL</w:t>
      </w:r>
      <w:r>
        <w:rPr>
          <w:rFonts w:ascii="Palatino Linotype" w:hAnsi="Palatino Linotype" w:cs="Tahoma"/>
          <w:bCs/>
          <w:iCs/>
          <w:sz w:val="22"/>
          <w:szCs w:val="22"/>
        </w:rPr>
        <w:t xml:space="preserve"> VEINTIUNO DE ENERO DE DOS MIL VEINTISÉIS</w:t>
      </w:r>
      <w:r w:rsidRPr="00DB5FA9">
        <w:rPr>
          <w:rFonts w:ascii="Palatino Linotype" w:hAnsi="Palatino Linotype" w:cs="Tahoma"/>
          <w:bCs/>
          <w:iCs/>
          <w:sz w:val="22"/>
          <w:szCs w:val="22"/>
        </w:rPr>
        <w:t>, ANTE EL SECRETARIO TÉCNICO DEL PLENO, ALEXIS TAPIA RAMÍREZ.</w:t>
      </w:r>
    </w:p>
    <w:p w14:paraId="1E0A5824" w14:textId="77777777" w:rsidR="00AB0E91" w:rsidRDefault="00AB0E91">
      <w:pPr>
        <w:rPr>
          <w:color w:val="FF0000"/>
        </w:rPr>
      </w:pPr>
    </w:p>
    <w:p w14:paraId="711C3CD4" w14:textId="77777777" w:rsidR="00075BCF" w:rsidRDefault="00075BCF">
      <w:pPr>
        <w:rPr>
          <w:color w:val="FF0000"/>
        </w:rPr>
      </w:pPr>
    </w:p>
    <w:p w14:paraId="63568BF9" w14:textId="77777777" w:rsidR="00075BCF" w:rsidRDefault="00075BCF">
      <w:pPr>
        <w:rPr>
          <w:color w:val="FF0000"/>
        </w:rPr>
      </w:pPr>
    </w:p>
    <w:p w14:paraId="0A44AC26" w14:textId="77777777" w:rsidR="00075BCF" w:rsidRDefault="00075BCF">
      <w:pPr>
        <w:rPr>
          <w:color w:val="FF0000"/>
        </w:rPr>
      </w:pPr>
    </w:p>
    <w:p w14:paraId="078CD55F" w14:textId="77777777" w:rsidR="00075BCF" w:rsidRDefault="00075BCF">
      <w:pPr>
        <w:rPr>
          <w:color w:val="FF0000"/>
        </w:rPr>
      </w:pPr>
    </w:p>
    <w:p w14:paraId="40E24D64" w14:textId="77777777" w:rsidR="00075BCF" w:rsidRDefault="00075BCF">
      <w:pPr>
        <w:rPr>
          <w:color w:val="FF0000"/>
        </w:rPr>
      </w:pPr>
    </w:p>
    <w:p w14:paraId="44BFD1CA" w14:textId="77777777" w:rsidR="00075BCF" w:rsidRDefault="00075BCF">
      <w:pPr>
        <w:rPr>
          <w:color w:val="FF0000"/>
        </w:rPr>
      </w:pPr>
    </w:p>
    <w:p w14:paraId="0DE011C5" w14:textId="77777777" w:rsidR="00075BCF" w:rsidRDefault="00075BCF">
      <w:pPr>
        <w:rPr>
          <w:color w:val="FF0000"/>
        </w:rPr>
      </w:pPr>
    </w:p>
    <w:p w14:paraId="68166ECE" w14:textId="77777777" w:rsidR="00075BCF" w:rsidRDefault="00075BCF">
      <w:pPr>
        <w:rPr>
          <w:color w:val="FF0000"/>
        </w:rPr>
      </w:pPr>
    </w:p>
    <w:p w14:paraId="3FA5D68A" w14:textId="77777777" w:rsidR="00075BCF" w:rsidRDefault="00075BCF">
      <w:pPr>
        <w:rPr>
          <w:color w:val="FF0000"/>
        </w:rPr>
      </w:pPr>
    </w:p>
    <w:p w14:paraId="22B48646" w14:textId="77777777" w:rsidR="00A978D3" w:rsidRDefault="00A978D3">
      <w:pPr>
        <w:rPr>
          <w:color w:val="FF0000"/>
        </w:rPr>
      </w:pPr>
    </w:p>
    <w:p w14:paraId="0290020D" w14:textId="77777777" w:rsidR="00A978D3" w:rsidRDefault="00A978D3">
      <w:pPr>
        <w:rPr>
          <w:color w:val="FF0000"/>
        </w:rPr>
      </w:pPr>
    </w:p>
    <w:p w14:paraId="69AB5F4C" w14:textId="77777777" w:rsidR="00A978D3" w:rsidRDefault="00A978D3">
      <w:pPr>
        <w:rPr>
          <w:color w:val="FF0000"/>
        </w:rPr>
      </w:pPr>
    </w:p>
    <w:p w14:paraId="6E73D7C0" w14:textId="77777777" w:rsidR="00A978D3" w:rsidRDefault="00A978D3">
      <w:pPr>
        <w:rPr>
          <w:color w:val="FF0000"/>
        </w:rPr>
      </w:pPr>
    </w:p>
    <w:p w14:paraId="6D28DC3B" w14:textId="77777777" w:rsidR="00A978D3" w:rsidRDefault="00A978D3">
      <w:pPr>
        <w:rPr>
          <w:color w:val="FF0000"/>
        </w:rPr>
      </w:pPr>
    </w:p>
    <w:p w14:paraId="5395AA76" w14:textId="77777777" w:rsidR="00A978D3" w:rsidRPr="001E21F9" w:rsidRDefault="00A978D3">
      <w:pPr>
        <w:rPr>
          <w:color w:val="FF0000"/>
        </w:rPr>
      </w:pPr>
    </w:p>
    <w:sectPr w:rsidR="00A978D3" w:rsidRPr="001E21F9" w:rsidSect="00FE61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C997D" w14:textId="77777777" w:rsidR="004969FB" w:rsidRDefault="004969FB" w:rsidP="00FE611C">
      <w:r>
        <w:separator/>
      </w:r>
    </w:p>
  </w:endnote>
  <w:endnote w:type="continuationSeparator" w:id="0">
    <w:p w14:paraId="5D8C55DB" w14:textId="77777777" w:rsidR="004969FB" w:rsidRDefault="004969FB" w:rsidP="00FE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12E4202A" w14:textId="77777777" w:rsidR="00C84634" w:rsidRDefault="00C846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85376">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54B2948B" w14:textId="77777777" w:rsidR="00C84634" w:rsidRDefault="00C846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A1FB95B" w14:textId="77777777" w:rsidR="00C84634" w:rsidRDefault="00C846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10974">
              <w:rPr>
                <w:rFonts w:ascii="Palatino Linotype" w:hAnsi="Palatino Linotype"/>
                <w:b/>
                <w:bCs/>
                <w:noProof/>
                <w:sz w:val="22"/>
                <w:szCs w:val="22"/>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10974">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6E1699B1" w14:textId="77777777" w:rsidR="00C84634" w:rsidRDefault="00C8463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377AF100" w14:textId="77777777" w:rsidR="00C84634" w:rsidRPr="00AA25BA" w:rsidRDefault="00C84634">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969F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969FB">
              <w:rPr>
                <w:rFonts w:ascii="Palatino Linotype" w:hAnsi="Palatino Linotype"/>
                <w:b/>
                <w:bCs/>
                <w:noProof/>
                <w:sz w:val="22"/>
                <w:szCs w:val="22"/>
              </w:rPr>
              <w:t>1</w:t>
            </w:r>
            <w:r w:rsidRPr="00AA25BA">
              <w:rPr>
                <w:rFonts w:ascii="Palatino Linotype" w:hAnsi="Palatino Linotype"/>
                <w:b/>
                <w:bCs/>
                <w:sz w:val="22"/>
                <w:szCs w:val="22"/>
              </w:rPr>
              <w:fldChar w:fldCharType="end"/>
            </w:r>
          </w:p>
        </w:sdtContent>
      </w:sdt>
    </w:sdtContent>
  </w:sdt>
  <w:p w14:paraId="027C62F2" w14:textId="77777777" w:rsidR="00C84634" w:rsidRDefault="00C846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984E7" w14:textId="77777777" w:rsidR="004969FB" w:rsidRDefault="004969FB" w:rsidP="00FE611C">
      <w:r>
        <w:separator/>
      </w:r>
    </w:p>
  </w:footnote>
  <w:footnote w:type="continuationSeparator" w:id="0">
    <w:p w14:paraId="3990DBED" w14:textId="77777777" w:rsidR="004969FB" w:rsidRDefault="004969FB" w:rsidP="00FE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C84634" w14:paraId="2546C3D8" w14:textId="77777777">
      <w:trPr>
        <w:trHeight w:val="1435"/>
      </w:trPr>
      <w:tc>
        <w:tcPr>
          <w:tcW w:w="2972" w:type="dxa"/>
        </w:tcPr>
        <w:p w14:paraId="0421BB5E" w14:textId="77777777" w:rsidR="00C84634" w:rsidRDefault="00C84634">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C84634" w14:paraId="6F190B37" w14:textId="77777777">
            <w:trPr>
              <w:trHeight w:val="144"/>
            </w:trPr>
            <w:tc>
              <w:tcPr>
                <w:tcW w:w="2447" w:type="dxa"/>
                <w:hideMark/>
              </w:tcPr>
              <w:p w14:paraId="1D1DBAE0" w14:textId="77777777" w:rsidR="00C84634" w:rsidRPr="008A245E" w:rsidRDefault="00C84634">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896DFEB" w14:textId="77777777" w:rsidR="00C84634" w:rsidRPr="008A245E" w:rsidRDefault="00C84634">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C84634" w14:paraId="3E36F811" w14:textId="77777777">
            <w:trPr>
              <w:trHeight w:val="283"/>
            </w:trPr>
            <w:tc>
              <w:tcPr>
                <w:tcW w:w="2447" w:type="dxa"/>
                <w:hideMark/>
              </w:tcPr>
              <w:p w14:paraId="2ED03CCF" w14:textId="77777777" w:rsidR="00C84634" w:rsidRPr="008A245E" w:rsidRDefault="00C84634">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5B9A68C" w14:textId="77777777" w:rsidR="00C84634" w:rsidRPr="008A245E" w:rsidRDefault="00C84634">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C84634" w14:paraId="56AEF6E0" w14:textId="77777777">
            <w:trPr>
              <w:trHeight w:val="283"/>
            </w:trPr>
            <w:tc>
              <w:tcPr>
                <w:tcW w:w="2447" w:type="dxa"/>
                <w:hideMark/>
              </w:tcPr>
              <w:p w14:paraId="5DD76849" w14:textId="77777777" w:rsidR="00C84634" w:rsidRPr="008A245E" w:rsidRDefault="00C84634">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BC896A2" w14:textId="77777777" w:rsidR="00C84634" w:rsidRPr="008A245E" w:rsidRDefault="00C84634">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9477DB9" w14:textId="77777777" w:rsidR="00C84634" w:rsidRPr="008A245E" w:rsidRDefault="00C84634">
                <w:pPr>
                  <w:tabs>
                    <w:tab w:val="right" w:pos="8838"/>
                  </w:tabs>
                  <w:ind w:left="-74" w:right="-105"/>
                  <w:jc w:val="both"/>
                  <w:rPr>
                    <w:rFonts w:ascii="Palatino Linotype" w:eastAsia="Calibri" w:hAnsi="Palatino Linotype" w:cs="Tahoma"/>
                    <w:b/>
                    <w:sz w:val="22"/>
                    <w:szCs w:val="22"/>
                    <w:lang w:eastAsia="en-US"/>
                  </w:rPr>
                </w:pPr>
              </w:p>
            </w:tc>
          </w:tr>
        </w:tbl>
        <w:p w14:paraId="1141D2F5" w14:textId="77777777" w:rsidR="00C84634" w:rsidRDefault="00C84634">
          <w:pPr>
            <w:tabs>
              <w:tab w:val="right" w:pos="8838"/>
            </w:tabs>
            <w:spacing w:line="256" w:lineRule="auto"/>
            <w:ind w:left="-28"/>
            <w:jc w:val="both"/>
            <w:rPr>
              <w:rFonts w:ascii="Arial" w:eastAsia="Calibri" w:hAnsi="Arial" w:cs="Arial"/>
              <w:b/>
              <w:sz w:val="22"/>
              <w:szCs w:val="22"/>
              <w:lang w:eastAsia="en-US"/>
            </w:rPr>
          </w:pPr>
        </w:p>
      </w:tc>
    </w:tr>
  </w:tbl>
  <w:p w14:paraId="26D3E9D8" w14:textId="77777777" w:rsidR="00C84634" w:rsidRDefault="00C84634">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889845F" wp14:editId="3EA80242">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0" w:type="dxa"/>
      <w:tblLayout w:type="fixed"/>
      <w:tblLook w:val="04A0" w:firstRow="1" w:lastRow="0" w:firstColumn="1" w:lastColumn="0" w:noHBand="0" w:noVBand="1"/>
    </w:tblPr>
    <w:tblGrid>
      <w:gridCol w:w="1276"/>
      <w:gridCol w:w="8304"/>
    </w:tblGrid>
    <w:tr w:rsidR="00C84634" w14:paraId="2A43EEBB" w14:textId="77777777">
      <w:trPr>
        <w:trHeight w:val="1419"/>
      </w:trPr>
      <w:tc>
        <w:tcPr>
          <w:tcW w:w="1276" w:type="dxa"/>
        </w:tcPr>
        <w:p w14:paraId="770C1391" w14:textId="77777777" w:rsidR="00C84634" w:rsidRDefault="00C84634">
          <w:pPr>
            <w:tabs>
              <w:tab w:val="right" w:pos="4273"/>
            </w:tabs>
            <w:spacing w:line="256" w:lineRule="auto"/>
            <w:rPr>
              <w:rFonts w:ascii="Garamond" w:eastAsia="Calibri" w:hAnsi="Garamond"/>
              <w:sz w:val="22"/>
              <w:szCs w:val="22"/>
              <w:lang w:eastAsia="en-US"/>
            </w:rPr>
          </w:pPr>
        </w:p>
      </w:tc>
      <w:tc>
        <w:tcPr>
          <w:tcW w:w="8304" w:type="dxa"/>
          <w:hideMark/>
        </w:tcPr>
        <w:p w14:paraId="25579AC3" w14:textId="50CC86A3" w:rsidR="00C84634" w:rsidRPr="007D2BD0" w:rsidRDefault="00C84634" w:rsidP="008576E7">
          <w:pPr>
            <w:tabs>
              <w:tab w:val="left" w:pos="6330"/>
            </w:tabs>
            <w:rPr>
              <w:sz w:val="28"/>
              <w:szCs w:val="28"/>
            </w:rPr>
          </w:pPr>
          <w:r>
            <w:rPr>
              <w:sz w:val="28"/>
              <w:szCs w:val="28"/>
            </w:rPr>
            <w:tab/>
          </w:r>
        </w:p>
        <w:tbl>
          <w:tblPr>
            <w:tblStyle w:val="Tablaconcuadrcula"/>
            <w:tblW w:w="7551" w:type="dxa"/>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312"/>
            <w:gridCol w:w="4239"/>
          </w:tblGrid>
          <w:tr w:rsidR="00C84634" w14:paraId="467C69BB" w14:textId="77777777" w:rsidTr="006F115E">
            <w:trPr>
              <w:trHeight w:val="139"/>
            </w:trPr>
            <w:tc>
              <w:tcPr>
                <w:tcW w:w="3312" w:type="dxa"/>
                <w:hideMark/>
              </w:tcPr>
              <w:p w14:paraId="2CD8F2B3"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Recurso de Revisión:</w:t>
                </w:r>
              </w:p>
            </w:tc>
            <w:tc>
              <w:tcPr>
                <w:tcW w:w="4239" w:type="dxa"/>
                <w:hideMark/>
              </w:tcPr>
              <w:p w14:paraId="19E377EC" w14:textId="6FF8A23E" w:rsidR="00C84634" w:rsidRPr="002C28FB" w:rsidRDefault="00C84634">
                <w:pPr>
                  <w:tabs>
                    <w:tab w:val="right" w:pos="8838"/>
                  </w:tabs>
                  <w:ind w:left="-74" w:right="-105"/>
                  <w:rPr>
                    <w:rFonts w:ascii="Palatino Linotype" w:eastAsia="Calibri" w:hAnsi="Palatino Linotype" w:cs="Tahoma"/>
                    <w:bCs/>
                    <w:sz w:val="22"/>
                    <w:szCs w:val="22"/>
                  </w:rPr>
                </w:pPr>
                <w:r w:rsidRPr="001E21F9">
                  <w:rPr>
                    <w:rFonts w:ascii="Palatino Linotype" w:eastAsia="Calibri" w:hAnsi="Palatino Linotype" w:cs="Tahoma"/>
                    <w:sz w:val="22"/>
                    <w:szCs w:val="22"/>
                    <w:lang w:val="es-MX" w:eastAsia="en-US"/>
                  </w:rPr>
                  <w:t>14321/INFOEM/IP/RR/2025</w:t>
                </w:r>
              </w:p>
            </w:tc>
          </w:tr>
          <w:tr w:rsidR="00C84634" w:rsidRPr="008C644E" w14:paraId="3E1A588C" w14:textId="77777777" w:rsidTr="006F115E">
            <w:trPr>
              <w:trHeight w:val="274"/>
            </w:trPr>
            <w:tc>
              <w:tcPr>
                <w:tcW w:w="3312" w:type="dxa"/>
                <w:hideMark/>
              </w:tcPr>
              <w:p w14:paraId="2DF11256"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Sujeto Obligado:</w:t>
                </w:r>
              </w:p>
            </w:tc>
            <w:tc>
              <w:tcPr>
                <w:tcW w:w="4239" w:type="dxa"/>
                <w:hideMark/>
              </w:tcPr>
              <w:p w14:paraId="14593A32" w14:textId="69EB9995" w:rsidR="00C84634" w:rsidRPr="002C28FB" w:rsidRDefault="00C84634" w:rsidP="0020768E">
                <w:pPr>
                  <w:tabs>
                    <w:tab w:val="left" w:pos="2834"/>
                    <w:tab w:val="right" w:pos="8838"/>
                  </w:tabs>
                  <w:ind w:left="-74" w:right="-105"/>
                  <w:rPr>
                    <w:rFonts w:ascii="Palatino Linotype" w:eastAsia="Calibri" w:hAnsi="Palatino Linotype" w:cs="Tahoma"/>
                    <w:sz w:val="22"/>
                    <w:szCs w:val="22"/>
                  </w:rPr>
                </w:pPr>
                <w:r w:rsidRPr="001E21F9">
                  <w:rPr>
                    <w:rFonts w:ascii="Palatino Linotype" w:eastAsia="Calibri" w:hAnsi="Palatino Linotype" w:cs="Tahoma"/>
                    <w:sz w:val="22"/>
                    <w:szCs w:val="22"/>
                    <w:lang w:val="es-MX" w:eastAsia="en-US"/>
                  </w:rPr>
                  <w:t>Ayuntamiento de Tepotzotlán</w:t>
                </w:r>
              </w:p>
            </w:tc>
          </w:tr>
          <w:tr w:rsidR="00C84634" w14:paraId="19E01661" w14:textId="77777777" w:rsidTr="006F115E">
            <w:trPr>
              <w:trHeight w:val="274"/>
            </w:trPr>
            <w:tc>
              <w:tcPr>
                <w:tcW w:w="3312" w:type="dxa"/>
                <w:hideMark/>
              </w:tcPr>
              <w:p w14:paraId="13C3B82C"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 xml:space="preserve">Comisionado Ponente: </w:t>
                </w:r>
              </w:p>
            </w:tc>
            <w:tc>
              <w:tcPr>
                <w:tcW w:w="4239" w:type="dxa"/>
                <w:hideMark/>
              </w:tcPr>
              <w:p w14:paraId="567D2422"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sz w:val="22"/>
                    <w:szCs w:val="22"/>
                  </w:rPr>
                  <w:t>Luis Gustavo Parra Noriega</w:t>
                </w:r>
              </w:p>
            </w:tc>
          </w:tr>
        </w:tbl>
        <w:p w14:paraId="44C73B8A" w14:textId="77777777" w:rsidR="00C84634" w:rsidRDefault="00C84634">
          <w:pPr>
            <w:tabs>
              <w:tab w:val="right" w:pos="8838"/>
            </w:tabs>
            <w:spacing w:line="256" w:lineRule="auto"/>
            <w:ind w:left="-28"/>
            <w:jc w:val="both"/>
            <w:rPr>
              <w:rFonts w:ascii="Arial" w:eastAsia="Calibri" w:hAnsi="Arial" w:cs="Arial"/>
              <w:b/>
              <w:sz w:val="22"/>
              <w:szCs w:val="22"/>
              <w:lang w:eastAsia="en-US"/>
            </w:rPr>
          </w:pPr>
        </w:p>
      </w:tc>
    </w:tr>
  </w:tbl>
  <w:p w14:paraId="0B2A4E5C" w14:textId="77777777" w:rsidR="00C84634" w:rsidRDefault="00C84634">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4E6B7E55" wp14:editId="0CDA735A">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1134"/>
      <w:gridCol w:w="9498"/>
    </w:tblGrid>
    <w:tr w:rsidR="00C84634" w14:paraId="0783D2F5" w14:textId="77777777">
      <w:trPr>
        <w:trHeight w:val="1435"/>
      </w:trPr>
      <w:tc>
        <w:tcPr>
          <w:tcW w:w="1134" w:type="dxa"/>
        </w:tcPr>
        <w:p w14:paraId="1CBF6DDA" w14:textId="77777777" w:rsidR="00C84634" w:rsidRDefault="00C84634">
          <w:pPr>
            <w:tabs>
              <w:tab w:val="right" w:pos="4273"/>
            </w:tabs>
            <w:spacing w:line="256" w:lineRule="auto"/>
            <w:rPr>
              <w:rFonts w:ascii="Garamond" w:eastAsia="Calibri" w:hAnsi="Garamond"/>
              <w:sz w:val="22"/>
              <w:szCs w:val="22"/>
              <w:lang w:eastAsia="en-US"/>
            </w:rPr>
          </w:pPr>
        </w:p>
      </w:tc>
      <w:tc>
        <w:tcPr>
          <w:tcW w:w="9498" w:type="dxa"/>
          <w:hideMark/>
        </w:tcPr>
        <w:tbl>
          <w:tblPr>
            <w:tblStyle w:val="Tablaconcuadrcula"/>
            <w:tblW w:w="8367"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6"/>
            <w:gridCol w:w="1701"/>
          </w:tblGrid>
          <w:tr w:rsidR="00C84634" w:rsidRPr="0095634C" w14:paraId="5BE3DE65" w14:textId="77777777">
            <w:trPr>
              <w:gridAfter w:val="1"/>
              <w:wAfter w:w="1701" w:type="dxa"/>
              <w:trHeight w:val="132"/>
            </w:trPr>
            <w:tc>
              <w:tcPr>
                <w:tcW w:w="2410" w:type="dxa"/>
                <w:hideMark/>
              </w:tcPr>
              <w:p w14:paraId="76E6138B" w14:textId="77777777" w:rsidR="00C84634" w:rsidRPr="0095634C" w:rsidRDefault="00C84634">
                <w:pPr>
                  <w:tabs>
                    <w:tab w:val="right" w:pos="8838"/>
                  </w:tabs>
                  <w:ind w:left="-112" w:right="3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r>
                  <w:rPr>
                    <w:rFonts w:ascii="Palatino Linotype" w:eastAsia="Calibri" w:hAnsi="Palatino Linotype" w:cs="Tahoma"/>
                    <w:b/>
                    <w:sz w:val="22"/>
                    <w:szCs w:val="22"/>
                    <w:lang w:eastAsia="en-US"/>
                  </w:rPr>
                  <w:t xml:space="preserve">                       </w:t>
                </w:r>
              </w:p>
            </w:tc>
            <w:tc>
              <w:tcPr>
                <w:tcW w:w="4256" w:type="dxa"/>
                <w:hideMark/>
              </w:tcPr>
              <w:p w14:paraId="7388A30B" w14:textId="7BF07336" w:rsidR="00C84634" w:rsidRPr="0095634C" w:rsidRDefault="00C84634" w:rsidP="00706D40">
                <w:pPr>
                  <w:tabs>
                    <w:tab w:val="right" w:pos="8838"/>
                  </w:tabs>
                  <w:ind w:right="33"/>
                  <w:jc w:val="both"/>
                  <w:rPr>
                    <w:rFonts w:ascii="Palatino Linotype" w:eastAsia="Calibri" w:hAnsi="Palatino Linotype" w:cs="Tahoma"/>
                    <w:sz w:val="22"/>
                    <w:szCs w:val="22"/>
                    <w:lang w:eastAsia="en-US"/>
                  </w:rPr>
                </w:pPr>
                <w:r w:rsidRPr="001E21F9">
                  <w:rPr>
                    <w:rFonts w:ascii="Palatino Linotype" w:eastAsia="Calibri" w:hAnsi="Palatino Linotype" w:cs="Tahoma"/>
                    <w:sz w:val="22"/>
                    <w:szCs w:val="22"/>
                    <w:lang w:val="es-MX" w:eastAsia="en-US"/>
                  </w:rPr>
                  <w:t>14321/INFOEM/IP/RR/2025</w:t>
                </w:r>
              </w:p>
            </w:tc>
          </w:tr>
          <w:tr w:rsidR="00C84634" w:rsidRPr="0095634C" w14:paraId="7E84D2BA" w14:textId="77777777">
            <w:trPr>
              <w:gridAfter w:val="1"/>
              <w:wAfter w:w="1701" w:type="dxa"/>
              <w:trHeight w:val="132"/>
            </w:trPr>
            <w:tc>
              <w:tcPr>
                <w:tcW w:w="2410" w:type="dxa"/>
                <w:hideMark/>
              </w:tcPr>
              <w:p w14:paraId="4FD7BD34" w14:textId="77777777" w:rsidR="00C84634" w:rsidRPr="0095634C" w:rsidRDefault="00C84634">
                <w:pPr>
                  <w:tabs>
                    <w:tab w:val="right" w:pos="8838"/>
                  </w:tabs>
                  <w:ind w:left="-112" w:right="3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56" w:type="dxa"/>
              </w:tcPr>
              <w:p w14:paraId="22825F0A" w14:textId="1606CFAC" w:rsidR="00C84634" w:rsidRPr="0095634C" w:rsidRDefault="00810974" w:rsidP="00DE2655">
                <w:pPr>
                  <w:tabs>
                    <w:tab w:val="right" w:pos="8838"/>
                  </w:tabs>
                  <w:ind w:right="33"/>
                  <w:jc w:val="both"/>
                  <w:rPr>
                    <w:rFonts w:ascii="Palatino Linotype" w:eastAsia="Calibri" w:hAnsi="Palatino Linotype" w:cs="Tahoma"/>
                    <w:sz w:val="22"/>
                    <w:szCs w:val="22"/>
                    <w:lang w:eastAsia="en-US"/>
                  </w:rPr>
                </w:pPr>
                <w:r w:rsidRPr="00810974">
                  <w:rPr>
                    <w:rFonts w:ascii="Palatino Linotype" w:eastAsia="Calibri" w:hAnsi="Palatino Linotype" w:cs="Tahoma"/>
                    <w:sz w:val="22"/>
                    <w:szCs w:val="22"/>
                    <w:highlight w:val="black"/>
                    <w:lang w:val="es-MX" w:eastAsia="en-US"/>
                  </w:rPr>
                  <w:t>XXXXXXXXXXXXXXXXXXXX</w:t>
                </w:r>
              </w:p>
            </w:tc>
          </w:tr>
          <w:tr w:rsidR="00C84634" w:rsidRPr="0095634C" w14:paraId="51FE579A" w14:textId="77777777">
            <w:trPr>
              <w:gridAfter w:val="1"/>
              <w:wAfter w:w="1701" w:type="dxa"/>
              <w:trHeight w:val="261"/>
            </w:trPr>
            <w:tc>
              <w:tcPr>
                <w:tcW w:w="2410" w:type="dxa"/>
                <w:hideMark/>
              </w:tcPr>
              <w:p w14:paraId="48953071" w14:textId="77777777" w:rsidR="00C84634" w:rsidRPr="0095634C" w:rsidRDefault="00C84634">
                <w:pPr>
                  <w:tabs>
                    <w:tab w:val="right" w:pos="8838"/>
                  </w:tabs>
                  <w:ind w:left="-112" w:right="-100"/>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S</w:t>
                </w:r>
                <w:r w:rsidRPr="0095634C">
                  <w:rPr>
                    <w:rFonts w:ascii="Palatino Linotype" w:eastAsia="Calibri" w:hAnsi="Palatino Linotype" w:cs="Tahoma"/>
                    <w:b/>
                    <w:sz w:val="22"/>
                    <w:szCs w:val="22"/>
                    <w:lang w:eastAsia="en-US"/>
                  </w:rPr>
                  <w:t>ujeto Obligado:</w:t>
                </w:r>
              </w:p>
            </w:tc>
            <w:tc>
              <w:tcPr>
                <w:tcW w:w="4256" w:type="dxa"/>
                <w:hideMark/>
              </w:tcPr>
              <w:p w14:paraId="1E703718" w14:textId="2C058061" w:rsidR="00C84634" w:rsidRPr="002C28FB" w:rsidRDefault="00C84634" w:rsidP="001E21F9">
                <w:pPr>
                  <w:tabs>
                    <w:tab w:val="right" w:pos="8838"/>
                  </w:tabs>
                  <w:ind w:right="33"/>
                  <w:jc w:val="both"/>
                  <w:rPr>
                    <w:rFonts w:ascii="Palatino Linotype" w:hAnsi="Palatino Linotype"/>
                    <w:sz w:val="22"/>
                    <w:szCs w:val="22"/>
                    <w:lang w:eastAsia="es-MX"/>
                  </w:rPr>
                </w:pPr>
                <w:r w:rsidRPr="001E21F9">
                  <w:rPr>
                    <w:rFonts w:ascii="Palatino Linotype" w:eastAsia="Calibri" w:hAnsi="Palatino Linotype" w:cs="Tahoma"/>
                    <w:sz w:val="22"/>
                    <w:szCs w:val="22"/>
                    <w:lang w:val="es-MX" w:eastAsia="en-US"/>
                  </w:rPr>
                  <w:t>Ayuntamiento de Tepotzotlán</w:t>
                </w:r>
              </w:p>
            </w:tc>
          </w:tr>
          <w:tr w:rsidR="00C84634" w:rsidRPr="0095634C" w14:paraId="70424BFB" w14:textId="77777777">
            <w:trPr>
              <w:trHeight w:val="261"/>
            </w:trPr>
            <w:tc>
              <w:tcPr>
                <w:tcW w:w="2410" w:type="dxa"/>
                <w:hideMark/>
              </w:tcPr>
              <w:p w14:paraId="25739E84" w14:textId="77777777" w:rsidR="00C84634" w:rsidRPr="0095634C" w:rsidRDefault="00C84634">
                <w:pPr>
                  <w:tabs>
                    <w:tab w:val="right" w:pos="8838"/>
                  </w:tabs>
                  <w:ind w:left="-112" w:right="-100"/>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C</w:t>
                </w:r>
                <w:r w:rsidRPr="0095634C">
                  <w:rPr>
                    <w:rFonts w:ascii="Palatino Linotype" w:eastAsia="Calibri" w:hAnsi="Palatino Linotype" w:cs="Tahoma"/>
                    <w:b/>
                    <w:sz w:val="22"/>
                    <w:szCs w:val="22"/>
                    <w:lang w:eastAsia="en-US"/>
                  </w:rPr>
                  <w:t xml:space="preserve">omisionado </w:t>
                </w:r>
                <w:r>
                  <w:rPr>
                    <w:rFonts w:ascii="Palatino Linotype" w:eastAsia="Calibri" w:hAnsi="Palatino Linotype" w:cs="Tahoma"/>
                    <w:b/>
                    <w:sz w:val="22"/>
                    <w:szCs w:val="22"/>
                    <w:lang w:eastAsia="en-US"/>
                  </w:rPr>
                  <w:t>P</w:t>
                </w:r>
                <w:r w:rsidRPr="0095634C">
                  <w:rPr>
                    <w:rFonts w:ascii="Palatino Linotype" w:eastAsia="Calibri" w:hAnsi="Palatino Linotype" w:cs="Tahoma"/>
                    <w:b/>
                    <w:sz w:val="22"/>
                    <w:szCs w:val="22"/>
                    <w:lang w:eastAsia="en-US"/>
                  </w:rPr>
                  <w:t>onente:</w:t>
                </w:r>
              </w:p>
            </w:tc>
            <w:tc>
              <w:tcPr>
                <w:tcW w:w="5957" w:type="dxa"/>
                <w:gridSpan w:val="2"/>
              </w:tcPr>
              <w:p w14:paraId="5F94F32F" w14:textId="77777777" w:rsidR="00C84634" w:rsidRPr="0057023C" w:rsidRDefault="00C84634" w:rsidP="00706D40">
                <w:pPr>
                  <w:tabs>
                    <w:tab w:val="right" w:pos="8838"/>
                  </w:tabs>
                  <w:ind w:right="33"/>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A69CA54" w14:textId="77777777" w:rsidR="00C84634" w:rsidRDefault="00C84634">
          <w:pPr>
            <w:tabs>
              <w:tab w:val="right" w:pos="8838"/>
            </w:tabs>
            <w:spacing w:line="256" w:lineRule="auto"/>
            <w:ind w:left="-28" w:right="33"/>
            <w:jc w:val="both"/>
            <w:rPr>
              <w:rFonts w:ascii="Arial" w:eastAsia="Calibri" w:hAnsi="Arial" w:cs="Arial"/>
              <w:b/>
              <w:sz w:val="22"/>
              <w:szCs w:val="22"/>
              <w:lang w:eastAsia="en-US"/>
            </w:rPr>
          </w:pPr>
        </w:p>
      </w:tc>
    </w:tr>
  </w:tbl>
  <w:p w14:paraId="6740BDB2" w14:textId="77777777" w:rsidR="00C84634" w:rsidRDefault="004969FB">
    <w:pPr>
      <w:pStyle w:val="Encabezado"/>
      <w:ind w:left="-112"/>
    </w:pPr>
    <w:r>
      <w:rPr>
        <w:rFonts w:ascii="Garamond" w:eastAsia="Calibri" w:hAnsi="Garamond"/>
        <w:noProof/>
        <w:sz w:val="22"/>
        <w:szCs w:val="22"/>
        <w:lang w:eastAsia="en-US"/>
      </w:rPr>
      <w:pict w14:anchorId="58385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6.8pt;margin-top:-134.5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168"/>
    <w:multiLevelType w:val="hybridMultilevel"/>
    <w:tmpl w:val="9CE484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5D792C"/>
    <w:multiLevelType w:val="hybridMultilevel"/>
    <w:tmpl w:val="F43C6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D91131"/>
    <w:multiLevelType w:val="hybridMultilevel"/>
    <w:tmpl w:val="CF8E146C"/>
    <w:lvl w:ilvl="0" w:tplc="08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9B0CD4"/>
    <w:multiLevelType w:val="hybridMultilevel"/>
    <w:tmpl w:val="F1C23DA0"/>
    <w:lvl w:ilvl="0" w:tplc="FCB20310">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FB33AF"/>
    <w:multiLevelType w:val="hybridMultilevel"/>
    <w:tmpl w:val="A18032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A1CCC"/>
    <w:multiLevelType w:val="multilevel"/>
    <w:tmpl w:val="CCDCC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3C74E03"/>
    <w:multiLevelType w:val="hybridMultilevel"/>
    <w:tmpl w:val="13889AF4"/>
    <w:lvl w:ilvl="0" w:tplc="E93C3C7A">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7A2091"/>
    <w:multiLevelType w:val="hybridMultilevel"/>
    <w:tmpl w:val="18BE80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F44E14"/>
    <w:multiLevelType w:val="hybridMultilevel"/>
    <w:tmpl w:val="3620F3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D041C29"/>
    <w:multiLevelType w:val="hybridMultilevel"/>
    <w:tmpl w:val="1F9E51D6"/>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7" w15:restartNumberingAfterBreak="0">
    <w:nsid w:val="34CF2801"/>
    <w:multiLevelType w:val="hybridMultilevel"/>
    <w:tmpl w:val="D2188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CC72D1"/>
    <w:multiLevelType w:val="hybridMultilevel"/>
    <w:tmpl w:val="1AC682D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F73E0"/>
    <w:multiLevelType w:val="hybridMultilevel"/>
    <w:tmpl w:val="351A98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41E11759"/>
    <w:multiLevelType w:val="hybridMultilevel"/>
    <w:tmpl w:val="F1F4B988"/>
    <w:lvl w:ilvl="0" w:tplc="8E7EEEB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476BDE"/>
    <w:multiLevelType w:val="hybridMultilevel"/>
    <w:tmpl w:val="CE94BF3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DD5210"/>
    <w:multiLevelType w:val="hybridMultilevel"/>
    <w:tmpl w:val="F1C23DA0"/>
    <w:lvl w:ilvl="0" w:tplc="FFFFFFFF">
      <w:start w:val="1"/>
      <w:numFmt w:val="lowerLetter"/>
      <w:lvlText w:val="%1)"/>
      <w:lvlJc w:val="left"/>
      <w:pPr>
        <w:ind w:left="1080" w:hanging="36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BEE3890"/>
    <w:multiLevelType w:val="hybridMultilevel"/>
    <w:tmpl w:val="6BE4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1770C3"/>
    <w:multiLevelType w:val="hybridMultilevel"/>
    <w:tmpl w:val="5CB4F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6" w15:restartNumberingAfterBreak="0">
    <w:nsid w:val="532456C8"/>
    <w:multiLevelType w:val="hybridMultilevel"/>
    <w:tmpl w:val="FB429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5245DF"/>
    <w:multiLevelType w:val="hybridMultilevel"/>
    <w:tmpl w:val="8F400CDE"/>
    <w:lvl w:ilvl="0" w:tplc="080A0019">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9C52D0"/>
    <w:multiLevelType w:val="hybridMultilevel"/>
    <w:tmpl w:val="80C47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A621CC"/>
    <w:multiLevelType w:val="hybridMultilevel"/>
    <w:tmpl w:val="50EE220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0B18A7"/>
    <w:multiLevelType w:val="hybridMultilevel"/>
    <w:tmpl w:val="AD120B38"/>
    <w:lvl w:ilvl="0" w:tplc="B2EA59E6">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437D92"/>
    <w:multiLevelType w:val="hybridMultilevel"/>
    <w:tmpl w:val="2B64E6E0"/>
    <w:lvl w:ilvl="0" w:tplc="62EEBC4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0A531A"/>
    <w:multiLevelType w:val="hybridMultilevel"/>
    <w:tmpl w:val="D76E52F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C7E6DE7"/>
    <w:multiLevelType w:val="hybridMultilevel"/>
    <w:tmpl w:val="F3BC1A98"/>
    <w:lvl w:ilvl="0" w:tplc="4510F03C">
      <w:start w:val="5"/>
      <w:numFmt w:val="bullet"/>
      <w:lvlText w:val="-"/>
      <w:lvlJc w:val="left"/>
      <w:pPr>
        <w:ind w:left="720" w:hanging="360"/>
      </w:pPr>
      <w:rPr>
        <w:rFonts w:ascii="Palatino Linotype" w:eastAsia="Calibri"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3513D72"/>
    <w:multiLevelType w:val="hybridMultilevel"/>
    <w:tmpl w:val="9AA4303A"/>
    <w:lvl w:ilvl="0" w:tplc="8E7EEEB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6016060"/>
    <w:multiLevelType w:val="hybridMultilevel"/>
    <w:tmpl w:val="BE7AC570"/>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DC4DA1"/>
    <w:multiLevelType w:val="hybridMultilevel"/>
    <w:tmpl w:val="D6C85E02"/>
    <w:lvl w:ilvl="0" w:tplc="E570822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BB354FE"/>
    <w:multiLevelType w:val="hybridMultilevel"/>
    <w:tmpl w:val="C3588F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241ED3"/>
    <w:multiLevelType w:val="hybridMultilevel"/>
    <w:tmpl w:val="465232E0"/>
    <w:lvl w:ilvl="0" w:tplc="080A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21"/>
  </w:num>
  <w:num w:numId="5">
    <w:abstractNumId w:val="8"/>
  </w:num>
  <w:num w:numId="6">
    <w:abstractNumId w:val="40"/>
  </w:num>
  <w:num w:numId="7">
    <w:abstractNumId w:val="6"/>
  </w:num>
  <w:num w:numId="8">
    <w:abstractNumId w:val="0"/>
  </w:num>
  <w:num w:numId="9">
    <w:abstractNumId w:val="29"/>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2"/>
  </w:num>
  <w:num w:numId="13">
    <w:abstractNumId w:val="37"/>
  </w:num>
  <w:num w:numId="14">
    <w:abstractNumId w:val="27"/>
  </w:num>
  <w:num w:numId="15">
    <w:abstractNumId w:val="3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8"/>
  </w:num>
  <w:num w:numId="20">
    <w:abstractNumId w:val="9"/>
  </w:num>
  <w:num w:numId="21">
    <w:abstractNumId w:val="33"/>
  </w:num>
  <w:num w:numId="22">
    <w:abstractNumId w:val="1"/>
  </w:num>
  <w:num w:numId="23">
    <w:abstractNumId w:val="41"/>
  </w:num>
  <w:num w:numId="24">
    <w:abstractNumId w:val="30"/>
  </w:num>
  <w:num w:numId="25">
    <w:abstractNumId w:val="5"/>
  </w:num>
  <w:num w:numId="26">
    <w:abstractNumId w:val="11"/>
  </w:num>
  <w:num w:numId="27">
    <w:abstractNumId w:val="22"/>
  </w:num>
  <w:num w:numId="28">
    <w:abstractNumId w:val="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0"/>
  </w:num>
  <w:num w:numId="32">
    <w:abstractNumId w:val="39"/>
  </w:num>
  <w:num w:numId="33">
    <w:abstractNumId w:val="42"/>
  </w:num>
  <w:num w:numId="34">
    <w:abstractNumId w:val="7"/>
  </w:num>
  <w:num w:numId="35">
    <w:abstractNumId w:val="28"/>
  </w:num>
  <w:num w:numId="36">
    <w:abstractNumId w:val="18"/>
  </w:num>
  <w:num w:numId="37">
    <w:abstractNumId w:val="31"/>
  </w:num>
  <w:num w:numId="38">
    <w:abstractNumId w:val="13"/>
  </w:num>
  <w:num w:numId="39">
    <w:abstractNumId w:val="26"/>
  </w:num>
  <w:num w:numId="40">
    <w:abstractNumId w:val="19"/>
  </w:num>
  <w:num w:numId="41">
    <w:abstractNumId w:val="16"/>
  </w:num>
  <w:num w:numId="42">
    <w:abstractNumId w:val="36"/>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3"/>
  </w:num>
  <w:num w:numId="46">
    <w:abstractNumId w:val="25"/>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1C"/>
    <w:rsid w:val="0000196C"/>
    <w:rsid w:val="00003070"/>
    <w:rsid w:val="00004888"/>
    <w:rsid w:val="0000697F"/>
    <w:rsid w:val="00007540"/>
    <w:rsid w:val="00007E74"/>
    <w:rsid w:val="0003094E"/>
    <w:rsid w:val="00043526"/>
    <w:rsid w:val="00046E39"/>
    <w:rsid w:val="00075BCF"/>
    <w:rsid w:val="000858BA"/>
    <w:rsid w:val="000A6225"/>
    <w:rsid w:val="000B1854"/>
    <w:rsid w:val="000B7058"/>
    <w:rsid w:val="001105F6"/>
    <w:rsid w:val="00110F52"/>
    <w:rsid w:val="00114A0D"/>
    <w:rsid w:val="00133623"/>
    <w:rsid w:val="00163D8A"/>
    <w:rsid w:val="001A27EB"/>
    <w:rsid w:val="001A3D40"/>
    <w:rsid w:val="001A77F0"/>
    <w:rsid w:val="001C0B1E"/>
    <w:rsid w:val="001C4A74"/>
    <w:rsid w:val="001C6E4F"/>
    <w:rsid w:val="001E21F9"/>
    <w:rsid w:val="001F16D8"/>
    <w:rsid w:val="002000A3"/>
    <w:rsid w:val="00200DF7"/>
    <w:rsid w:val="0020768E"/>
    <w:rsid w:val="00210CD7"/>
    <w:rsid w:val="00213CA6"/>
    <w:rsid w:val="002223DD"/>
    <w:rsid w:val="00236829"/>
    <w:rsid w:val="002524B7"/>
    <w:rsid w:val="00253ED0"/>
    <w:rsid w:val="002A2AA0"/>
    <w:rsid w:val="002A7722"/>
    <w:rsid w:val="002B07BE"/>
    <w:rsid w:val="002B1173"/>
    <w:rsid w:val="002B3CD5"/>
    <w:rsid w:val="002C4215"/>
    <w:rsid w:val="002E2D98"/>
    <w:rsid w:val="002E7B83"/>
    <w:rsid w:val="002F7903"/>
    <w:rsid w:val="00303795"/>
    <w:rsid w:val="00307D77"/>
    <w:rsid w:val="00315260"/>
    <w:rsid w:val="003259FC"/>
    <w:rsid w:val="00351DC1"/>
    <w:rsid w:val="003814D3"/>
    <w:rsid w:val="00386835"/>
    <w:rsid w:val="00392D25"/>
    <w:rsid w:val="00393402"/>
    <w:rsid w:val="003A6A9A"/>
    <w:rsid w:val="003B1750"/>
    <w:rsid w:val="003C401C"/>
    <w:rsid w:val="003C5DDE"/>
    <w:rsid w:val="003C7945"/>
    <w:rsid w:val="003D0426"/>
    <w:rsid w:val="003E4AB3"/>
    <w:rsid w:val="003F2DA8"/>
    <w:rsid w:val="00406EDE"/>
    <w:rsid w:val="00412810"/>
    <w:rsid w:val="0042047B"/>
    <w:rsid w:val="004209AF"/>
    <w:rsid w:val="0042391A"/>
    <w:rsid w:val="004308C6"/>
    <w:rsid w:val="00432F48"/>
    <w:rsid w:val="00435DFF"/>
    <w:rsid w:val="0044477D"/>
    <w:rsid w:val="0046570F"/>
    <w:rsid w:val="00485376"/>
    <w:rsid w:val="00491048"/>
    <w:rsid w:val="004969FB"/>
    <w:rsid w:val="00496EF6"/>
    <w:rsid w:val="004B1022"/>
    <w:rsid w:val="004D3537"/>
    <w:rsid w:val="004D6458"/>
    <w:rsid w:val="004E6F03"/>
    <w:rsid w:val="00560328"/>
    <w:rsid w:val="005610A9"/>
    <w:rsid w:val="00584ADA"/>
    <w:rsid w:val="00587A6E"/>
    <w:rsid w:val="005964F6"/>
    <w:rsid w:val="005A186F"/>
    <w:rsid w:val="005B1603"/>
    <w:rsid w:val="005C5686"/>
    <w:rsid w:val="005C6921"/>
    <w:rsid w:val="005D2DF5"/>
    <w:rsid w:val="0060284E"/>
    <w:rsid w:val="00613507"/>
    <w:rsid w:val="006145EE"/>
    <w:rsid w:val="00615119"/>
    <w:rsid w:val="006651F7"/>
    <w:rsid w:val="006668CA"/>
    <w:rsid w:val="0067498B"/>
    <w:rsid w:val="00695883"/>
    <w:rsid w:val="00697F40"/>
    <w:rsid w:val="006B2AE6"/>
    <w:rsid w:val="006C6390"/>
    <w:rsid w:val="006C7B50"/>
    <w:rsid w:val="006E57F9"/>
    <w:rsid w:val="006F115E"/>
    <w:rsid w:val="006F1B7B"/>
    <w:rsid w:val="006F69C0"/>
    <w:rsid w:val="00701644"/>
    <w:rsid w:val="007034AF"/>
    <w:rsid w:val="00706D40"/>
    <w:rsid w:val="00724F3F"/>
    <w:rsid w:val="00734E73"/>
    <w:rsid w:val="00744A5A"/>
    <w:rsid w:val="007455A3"/>
    <w:rsid w:val="0076023A"/>
    <w:rsid w:val="00766CFC"/>
    <w:rsid w:val="00783149"/>
    <w:rsid w:val="007A02BA"/>
    <w:rsid w:val="007A10B8"/>
    <w:rsid w:val="007A29C3"/>
    <w:rsid w:val="007C0AD8"/>
    <w:rsid w:val="007D3E01"/>
    <w:rsid w:val="007E5C08"/>
    <w:rsid w:val="0080376A"/>
    <w:rsid w:val="00810974"/>
    <w:rsid w:val="008338CB"/>
    <w:rsid w:val="0083508A"/>
    <w:rsid w:val="008511FB"/>
    <w:rsid w:val="00856CCD"/>
    <w:rsid w:val="008576E7"/>
    <w:rsid w:val="00860309"/>
    <w:rsid w:val="00877C9B"/>
    <w:rsid w:val="008D04EA"/>
    <w:rsid w:val="008F3C38"/>
    <w:rsid w:val="009078B9"/>
    <w:rsid w:val="00915DD4"/>
    <w:rsid w:val="00964300"/>
    <w:rsid w:val="009713ED"/>
    <w:rsid w:val="00971747"/>
    <w:rsid w:val="0097613A"/>
    <w:rsid w:val="00977C7C"/>
    <w:rsid w:val="00990034"/>
    <w:rsid w:val="009A0E84"/>
    <w:rsid w:val="009A7FB7"/>
    <w:rsid w:val="009B5279"/>
    <w:rsid w:val="009C3FC6"/>
    <w:rsid w:val="009C73C6"/>
    <w:rsid w:val="009D3936"/>
    <w:rsid w:val="009D6F2C"/>
    <w:rsid w:val="00A12A25"/>
    <w:rsid w:val="00A24C9F"/>
    <w:rsid w:val="00A33AFC"/>
    <w:rsid w:val="00A36052"/>
    <w:rsid w:val="00A3668D"/>
    <w:rsid w:val="00A77D0A"/>
    <w:rsid w:val="00A9494D"/>
    <w:rsid w:val="00A978D3"/>
    <w:rsid w:val="00AB0E91"/>
    <w:rsid w:val="00AB2F9E"/>
    <w:rsid w:val="00AC3E83"/>
    <w:rsid w:val="00AC46E4"/>
    <w:rsid w:val="00AE2C5D"/>
    <w:rsid w:val="00AE5570"/>
    <w:rsid w:val="00AF3931"/>
    <w:rsid w:val="00AF6721"/>
    <w:rsid w:val="00B0267C"/>
    <w:rsid w:val="00B10B4B"/>
    <w:rsid w:val="00B24B23"/>
    <w:rsid w:val="00B26B57"/>
    <w:rsid w:val="00B319C7"/>
    <w:rsid w:val="00B46A2D"/>
    <w:rsid w:val="00B537F9"/>
    <w:rsid w:val="00B547D2"/>
    <w:rsid w:val="00B77C9B"/>
    <w:rsid w:val="00B80C43"/>
    <w:rsid w:val="00B8455D"/>
    <w:rsid w:val="00B8477B"/>
    <w:rsid w:val="00BC673F"/>
    <w:rsid w:val="00BD3819"/>
    <w:rsid w:val="00BF2CAB"/>
    <w:rsid w:val="00C049DB"/>
    <w:rsid w:val="00C20483"/>
    <w:rsid w:val="00C26213"/>
    <w:rsid w:val="00C51F93"/>
    <w:rsid w:val="00C57984"/>
    <w:rsid w:val="00C57E80"/>
    <w:rsid w:val="00C62CF0"/>
    <w:rsid w:val="00C8232B"/>
    <w:rsid w:val="00C84634"/>
    <w:rsid w:val="00CC2010"/>
    <w:rsid w:val="00CC47B3"/>
    <w:rsid w:val="00CD0AA8"/>
    <w:rsid w:val="00CE4F88"/>
    <w:rsid w:val="00D02E6C"/>
    <w:rsid w:val="00D064D2"/>
    <w:rsid w:val="00D11DAD"/>
    <w:rsid w:val="00D213A7"/>
    <w:rsid w:val="00D213AD"/>
    <w:rsid w:val="00D24DA0"/>
    <w:rsid w:val="00D25049"/>
    <w:rsid w:val="00D3078B"/>
    <w:rsid w:val="00D31B83"/>
    <w:rsid w:val="00D47DA9"/>
    <w:rsid w:val="00D54104"/>
    <w:rsid w:val="00D84290"/>
    <w:rsid w:val="00D979AC"/>
    <w:rsid w:val="00DA77B4"/>
    <w:rsid w:val="00DB5FA9"/>
    <w:rsid w:val="00DD4137"/>
    <w:rsid w:val="00DE2655"/>
    <w:rsid w:val="00E02171"/>
    <w:rsid w:val="00E06083"/>
    <w:rsid w:val="00E233F4"/>
    <w:rsid w:val="00E314D2"/>
    <w:rsid w:val="00E33789"/>
    <w:rsid w:val="00E37366"/>
    <w:rsid w:val="00E40F3E"/>
    <w:rsid w:val="00E4112D"/>
    <w:rsid w:val="00E63987"/>
    <w:rsid w:val="00E65302"/>
    <w:rsid w:val="00E878D6"/>
    <w:rsid w:val="00E916D8"/>
    <w:rsid w:val="00EA0BC5"/>
    <w:rsid w:val="00EB4EFB"/>
    <w:rsid w:val="00ED215C"/>
    <w:rsid w:val="00ED49BA"/>
    <w:rsid w:val="00EF0EDE"/>
    <w:rsid w:val="00F078F3"/>
    <w:rsid w:val="00F13EB5"/>
    <w:rsid w:val="00F22DB7"/>
    <w:rsid w:val="00F2395E"/>
    <w:rsid w:val="00F55E0E"/>
    <w:rsid w:val="00F57D25"/>
    <w:rsid w:val="00F672CE"/>
    <w:rsid w:val="00F737D3"/>
    <w:rsid w:val="00F942EC"/>
    <w:rsid w:val="00F9536B"/>
    <w:rsid w:val="00FA087D"/>
    <w:rsid w:val="00FA31B7"/>
    <w:rsid w:val="00FD4E85"/>
    <w:rsid w:val="00FE53AE"/>
    <w:rsid w:val="00FE611C"/>
    <w:rsid w:val="00FF211C"/>
    <w:rsid w:val="00FF4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E65A2C"/>
  <w15:chartTrackingRefBased/>
  <w15:docId w15:val="{6287A6F0-B5FF-4CE7-97CC-EF274208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11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8576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10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E611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611C"/>
    <w:pPr>
      <w:ind w:left="720"/>
      <w:contextualSpacing/>
    </w:pPr>
    <w:rPr>
      <w:rFonts w:ascii="Century Gothic" w:hAnsi="Century Gothic"/>
      <w:kern w:val="2"/>
      <w:sz w:val="22"/>
      <w:szCs w:val="24"/>
      <w14:ligatures w14:val="standardContextual"/>
    </w:rPr>
  </w:style>
  <w:style w:type="table" w:styleId="Tablaconcuadrcula">
    <w:name w:val="Table Grid"/>
    <w:basedOn w:val="Tablanormal"/>
    <w:uiPriority w:val="59"/>
    <w:rsid w:val="00FE611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E611C"/>
    <w:pPr>
      <w:tabs>
        <w:tab w:val="center" w:pos="4419"/>
        <w:tab w:val="right" w:pos="8838"/>
      </w:tabs>
    </w:pPr>
  </w:style>
  <w:style w:type="character" w:customStyle="1" w:styleId="EncabezadoCar">
    <w:name w:val="Encabezado Car"/>
    <w:basedOn w:val="Fuentedeprrafopredeter"/>
    <w:link w:val="Encabezado"/>
    <w:uiPriority w:val="99"/>
    <w:rsid w:val="00FE611C"/>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FE611C"/>
    <w:pPr>
      <w:tabs>
        <w:tab w:val="center" w:pos="4419"/>
        <w:tab w:val="right" w:pos="8838"/>
      </w:tabs>
    </w:pPr>
  </w:style>
  <w:style w:type="character" w:customStyle="1" w:styleId="PiedepginaCar">
    <w:name w:val="Pie de página Car"/>
    <w:basedOn w:val="Fuentedeprrafopredeter"/>
    <w:link w:val="Piedepgina"/>
    <w:uiPriority w:val="99"/>
    <w:rsid w:val="00FE611C"/>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rsid w:val="0044477D"/>
    <w:rPr>
      <w:color w:val="0563C1" w:themeColor="hyperlink"/>
      <w:u w:val="single"/>
    </w:rPr>
  </w:style>
  <w:style w:type="character" w:customStyle="1" w:styleId="il">
    <w:name w:val="il"/>
    <w:basedOn w:val="Fuentedeprrafopredeter"/>
    <w:rsid w:val="005C5686"/>
  </w:style>
  <w:style w:type="paragraph" w:styleId="Textodeglobo">
    <w:name w:val="Balloon Text"/>
    <w:basedOn w:val="Normal"/>
    <w:link w:val="TextodegloboCar"/>
    <w:uiPriority w:val="99"/>
    <w:semiHidden/>
    <w:unhideWhenUsed/>
    <w:rsid w:val="00745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5A3"/>
    <w:rPr>
      <w:rFonts w:ascii="Segoe UI" w:eastAsia="Times New Roman" w:hAnsi="Segoe UI" w:cs="Segoe UI"/>
      <w:kern w:val="0"/>
      <w:sz w:val="18"/>
      <w:szCs w:val="18"/>
      <w:lang w:eastAsia="es-ES"/>
      <w14:ligatures w14:val="none"/>
    </w:rPr>
  </w:style>
  <w:style w:type="character" w:styleId="Hipervnculovisitado">
    <w:name w:val="FollowedHyperlink"/>
    <w:basedOn w:val="Fuentedeprrafopredeter"/>
    <w:uiPriority w:val="99"/>
    <w:semiHidden/>
    <w:unhideWhenUsed/>
    <w:rsid w:val="00D47DA9"/>
    <w:rPr>
      <w:color w:val="954F72" w:themeColor="followedHyperlink"/>
      <w:u w:val="single"/>
    </w:rPr>
  </w:style>
  <w:style w:type="paragraph" w:styleId="NormalWeb">
    <w:name w:val="Normal (Web)"/>
    <w:basedOn w:val="Normal"/>
    <w:uiPriority w:val="99"/>
    <w:unhideWhenUsed/>
    <w:rsid w:val="00496EF6"/>
    <w:pPr>
      <w:spacing w:after="160" w:line="256" w:lineRule="auto"/>
      <w:jc w:val="both"/>
    </w:pPr>
    <w:rPr>
      <w:rFonts w:eastAsiaTheme="minorHAnsi"/>
      <w:color w:val="000000" w:themeColor="text1"/>
      <w:sz w:val="24"/>
      <w:szCs w:val="24"/>
      <w:lang w:eastAsia="en-US"/>
    </w:rPr>
  </w:style>
  <w:style w:type="character" w:customStyle="1" w:styleId="Mencinsinresolver1">
    <w:name w:val="Mención sin resolver1"/>
    <w:basedOn w:val="Fuentedeprrafopredeter"/>
    <w:uiPriority w:val="99"/>
    <w:semiHidden/>
    <w:unhideWhenUsed/>
    <w:rsid w:val="007A29C3"/>
    <w:rPr>
      <w:color w:val="605E5C"/>
      <w:shd w:val="clear" w:color="auto" w:fill="E1DFDD"/>
    </w:rPr>
  </w:style>
  <w:style w:type="character" w:customStyle="1" w:styleId="Ttulo1Car">
    <w:name w:val="Título 1 Car"/>
    <w:basedOn w:val="Fuentedeprrafopredeter"/>
    <w:link w:val="Ttulo1"/>
    <w:uiPriority w:val="9"/>
    <w:rsid w:val="008576E7"/>
    <w:rPr>
      <w:rFonts w:asciiTheme="majorHAnsi" w:eastAsiaTheme="majorEastAsia" w:hAnsiTheme="majorHAnsi" w:cstheme="majorBidi"/>
      <w:color w:val="2F5496" w:themeColor="accent1" w:themeShade="BF"/>
      <w:kern w:val="0"/>
      <w:sz w:val="32"/>
      <w:szCs w:val="32"/>
      <w:lang w:eastAsia="es-ES"/>
      <w14:ligatures w14:val="none"/>
    </w:rPr>
  </w:style>
  <w:style w:type="paragraph" w:styleId="TtulodeTDC">
    <w:name w:val="TOC Heading"/>
    <w:basedOn w:val="Ttulo1"/>
    <w:next w:val="Normal"/>
    <w:uiPriority w:val="39"/>
    <w:unhideWhenUsed/>
    <w:qFormat/>
    <w:rsid w:val="008576E7"/>
    <w:pPr>
      <w:spacing w:before="0" w:line="259" w:lineRule="auto"/>
      <w:jc w:val="center"/>
      <w:outlineLvl w:val="9"/>
    </w:pPr>
    <w:rPr>
      <w:rFonts w:ascii="Palatino Linotype" w:hAnsi="Palatino Linotype"/>
      <w:b/>
      <w:color w:val="000000" w:themeColor="text1"/>
      <w:sz w:val="22"/>
      <w:lang w:eastAsia="es-MX"/>
    </w:rPr>
  </w:style>
  <w:style w:type="paragraph" w:styleId="TDC1">
    <w:name w:val="toc 1"/>
    <w:basedOn w:val="Normal"/>
    <w:next w:val="Normal"/>
    <w:autoRedefine/>
    <w:uiPriority w:val="39"/>
    <w:unhideWhenUsed/>
    <w:rsid w:val="008576E7"/>
    <w:pPr>
      <w:tabs>
        <w:tab w:val="right" w:leader="dot" w:pos="9034"/>
      </w:tabs>
      <w:spacing w:after="100" w:line="360" w:lineRule="auto"/>
      <w:jc w:val="both"/>
    </w:pPr>
  </w:style>
  <w:style w:type="paragraph" w:styleId="TDC2">
    <w:name w:val="toc 2"/>
    <w:basedOn w:val="Normal"/>
    <w:next w:val="Normal"/>
    <w:autoRedefine/>
    <w:uiPriority w:val="39"/>
    <w:unhideWhenUsed/>
    <w:rsid w:val="008576E7"/>
    <w:pPr>
      <w:spacing w:after="100"/>
      <w:ind w:left="200"/>
    </w:pPr>
  </w:style>
  <w:style w:type="character" w:customStyle="1" w:styleId="Ttulo2Car">
    <w:name w:val="Título 2 Car"/>
    <w:basedOn w:val="Fuentedeprrafopredeter"/>
    <w:link w:val="Ttulo2"/>
    <w:uiPriority w:val="9"/>
    <w:rsid w:val="004B1022"/>
    <w:rPr>
      <w:rFonts w:asciiTheme="majorHAnsi" w:eastAsiaTheme="majorEastAsia" w:hAnsiTheme="majorHAnsi" w:cstheme="majorBidi"/>
      <w:color w:val="2F5496" w:themeColor="accent1" w:themeShade="BF"/>
      <w:kern w:val="0"/>
      <w:sz w:val="26"/>
      <w:szCs w:val="2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8106">
      <w:bodyDiv w:val="1"/>
      <w:marLeft w:val="0"/>
      <w:marRight w:val="0"/>
      <w:marTop w:val="0"/>
      <w:marBottom w:val="0"/>
      <w:divBdr>
        <w:top w:val="none" w:sz="0" w:space="0" w:color="auto"/>
        <w:left w:val="none" w:sz="0" w:space="0" w:color="auto"/>
        <w:bottom w:val="none" w:sz="0" w:space="0" w:color="auto"/>
        <w:right w:val="none" w:sz="0" w:space="0" w:color="auto"/>
      </w:divBdr>
    </w:div>
    <w:div w:id="216169740">
      <w:bodyDiv w:val="1"/>
      <w:marLeft w:val="0"/>
      <w:marRight w:val="0"/>
      <w:marTop w:val="0"/>
      <w:marBottom w:val="0"/>
      <w:divBdr>
        <w:top w:val="none" w:sz="0" w:space="0" w:color="auto"/>
        <w:left w:val="none" w:sz="0" w:space="0" w:color="auto"/>
        <w:bottom w:val="none" w:sz="0" w:space="0" w:color="auto"/>
        <w:right w:val="none" w:sz="0" w:space="0" w:color="auto"/>
      </w:divBdr>
    </w:div>
    <w:div w:id="283001864">
      <w:bodyDiv w:val="1"/>
      <w:marLeft w:val="0"/>
      <w:marRight w:val="0"/>
      <w:marTop w:val="0"/>
      <w:marBottom w:val="0"/>
      <w:divBdr>
        <w:top w:val="none" w:sz="0" w:space="0" w:color="auto"/>
        <w:left w:val="none" w:sz="0" w:space="0" w:color="auto"/>
        <w:bottom w:val="none" w:sz="0" w:space="0" w:color="auto"/>
        <w:right w:val="none" w:sz="0" w:space="0" w:color="auto"/>
      </w:divBdr>
    </w:div>
    <w:div w:id="317000760">
      <w:bodyDiv w:val="1"/>
      <w:marLeft w:val="0"/>
      <w:marRight w:val="0"/>
      <w:marTop w:val="0"/>
      <w:marBottom w:val="0"/>
      <w:divBdr>
        <w:top w:val="none" w:sz="0" w:space="0" w:color="auto"/>
        <w:left w:val="none" w:sz="0" w:space="0" w:color="auto"/>
        <w:bottom w:val="none" w:sz="0" w:space="0" w:color="auto"/>
        <w:right w:val="none" w:sz="0" w:space="0" w:color="auto"/>
      </w:divBdr>
    </w:div>
    <w:div w:id="336738366">
      <w:bodyDiv w:val="1"/>
      <w:marLeft w:val="0"/>
      <w:marRight w:val="0"/>
      <w:marTop w:val="0"/>
      <w:marBottom w:val="0"/>
      <w:divBdr>
        <w:top w:val="none" w:sz="0" w:space="0" w:color="auto"/>
        <w:left w:val="none" w:sz="0" w:space="0" w:color="auto"/>
        <w:bottom w:val="none" w:sz="0" w:space="0" w:color="auto"/>
        <w:right w:val="none" w:sz="0" w:space="0" w:color="auto"/>
      </w:divBdr>
    </w:div>
    <w:div w:id="677345773">
      <w:bodyDiv w:val="1"/>
      <w:marLeft w:val="0"/>
      <w:marRight w:val="0"/>
      <w:marTop w:val="0"/>
      <w:marBottom w:val="0"/>
      <w:divBdr>
        <w:top w:val="none" w:sz="0" w:space="0" w:color="auto"/>
        <w:left w:val="none" w:sz="0" w:space="0" w:color="auto"/>
        <w:bottom w:val="none" w:sz="0" w:space="0" w:color="auto"/>
        <w:right w:val="none" w:sz="0" w:space="0" w:color="auto"/>
      </w:divBdr>
    </w:div>
    <w:div w:id="691108587">
      <w:bodyDiv w:val="1"/>
      <w:marLeft w:val="0"/>
      <w:marRight w:val="0"/>
      <w:marTop w:val="0"/>
      <w:marBottom w:val="0"/>
      <w:divBdr>
        <w:top w:val="none" w:sz="0" w:space="0" w:color="auto"/>
        <w:left w:val="none" w:sz="0" w:space="0" w:color="auto"/>
        <w:bottom w:val="none" w:sz="0" w:space="0" w:color="auto"/>
        <w:right w:val="none" w:sz="0" w:space="0" w:color="auto"/>
      </w:divBdr>
    </w:div>
    <w:div w:id="693113533">
      <w:bodyDiv w:val="1"/>
      <w:marLeft w:val="0"/>
      <w:marRight w:val="0"/>
      <w:marTop w:val="0"/>
      <w:marBottom w:val="0"/>
      <w:divBdr>
        <w:top w:val="none" w:sz="0" w:space="0" w:color="auto"/>
        <w:left w:val="none" w:sz="0" w:space="0" w:color="auto"/>
        <w:bottom w:val="none" w:sz="0" w:space="0" w:color="auto"/>
        <w:right w:val="none" w:sz="0" w:space="0" w:color="auto"/>
      </w:divBdr>
    </w:div>
    <w:div w:id="695546060">
      <w:bodyDiv w:val="1"/>
      <w:marLeft w:val="0"/>
      <w:marRight w:val="0"/>
      <w:marTop w:val="0"/>
      <w:marBottom w:val="0"/>
      <w:divBdr>
        <w:top w:val="none" w:sz="0" w:space="0" w:color="auto"/>
        <w:left w:val="none" w:sz="0" w:space="0" w:color="auto"/>
        <w:bottom w:val="none" w:sz="0" w:space="0" w:color="auto"/>
        <w:right w:val="none" w:sz="0" w:space="0" w:color="auto"/>
      </w:divBdr>
    </w:div>
    <w:div w:id="802695167">
      <w:bodyDiv w:val="1"/>
      <w:marLeft w:val="0"/>
      <w:marRight w:val="0"/>
      <w:marTop w:val="0"/>
      <w:marBottom w:val="0"/>
      <w:divBdr>
        <w:top w:val="none" w:sz="0" w:space="0" w:color="auto"/>
        <w:left w:val="none" w:sz="0" w:space="0" w:color="auto"/>
        <w:bottom w:val="none" w:sz="0" w:space="0" w:color="auto"/>
        <w:right w:val="none" w:sz="0" w:space="0" w:color="auto"/>
      </w:divBdr>
    </w:div>
    <w:div w:id="813765817">
      <w:bodyDiv w:val="1"/>
      <w:marLeft w:val="0"/>
      <w:marRight w:val="0"/>
      <w:marTop w:val="0"/>
      <w:marBottom w:val="0"/>
      <w:divBdr>
        <w:top w:val="none" w:sz="0" w:space="0" w:color="auto"/>
        <w:left w:val="none" w:sz="0" w:space="0" w:color="auto"/>
        <w:bottom w:val="none" w:sz="0" w:space="0" w:color="auto"/>
        <w:right w:val="none" w:sz="0" w:space="0" w:color="auto"/>
      </w:divBdr>
    </w:div>
    <w:div w:id="860322128">
      <w:bodyDiv w:val="1"/>
      <w:marLeft w:val="0"/>
      <w:marRight w:val="0"/>
      <w:marTop w:val="0"/>
      <w:marBottom w:val="0"/>
      <w:divBdr>
        <w:top w:val="none" w:sz="0" w:space="0" w:color="auto"/>
        <w:left w:val="none" w:sz="0" w:space="0" w:color="auto"/>
        <w:bottom w:val="none" w:sz="0" w:space="0" w:color="auto"/>
        <w:right w:val="none" w:sz="0" w:space="0" w:color="auto"/>
      </w:divBdr>
    </w:div>
    <w:div w:id="1372918266">
      <w:bodyDiv w:val="1"/>
      <w:marLeft w:val="0"/>
      <w:marRight w:val="0"/>
      <w:marTop w:val="0"/>
      <w:marBottom w:val="0"/>
      <w:divBdr>
        <w:top w:val="none" w:sz="0" w:space="0" w:color="auto"/>
        <w:left w:val="none" w:sz="0" w:space="0" w:color="auto"/>
        <w:bottom w:val="none" w:sz="0" w:space="0" w:color="auto"/>
        <w:right w:val="none" w:sz="0" w:space="0" w:color="auto"/>
      </w:divBdr>
    </w:div>
    <w:div w:id="1469125432">
      <w:bodyDiv w:val="1"/>
      <w:marLeft w:val="0"/>
      <w:marRight w:val="0"/>
      <w:marTop w:val="0"/>
      <w:marBottom w:val="0"/>
      <w:divBdr>
        <w:top w:val="none" w:sz="0" w:space="0" w:color="auto"/>
        <w:left w:val="none" w:sz="0" w:space="0" w:color="auto"/>
        <w:bottom w:val="none" w:sz="0" w:space="0" w:color="auto"/>
        <w:right w:val="none" w:sz="0" w:space="0" w:color="auto"/>
      </w:divBdr>
    </w:div>
    <w:div w:id="1515027312">
      <w:bodyDiv w:val="1"/>
      <w:marLeft w:val="0"/>
      <w:marRight w:val="0"/>
      <w:marTop w:val="0"/>
      <w:marBottom w:val="0"/>
      <w:divBdr>
        <w:top w:val="none" w:sz="0" w:space="0" w:color="auto"/>
        <w:left w:val="none" w:sz="0" w:space="0" w:color="auto"/>
        <w:bottom w:val="none" w:sz="0" w:space="0" w:color="auto"/>
        <w:right w:val="none" w:sz="0" w:space="0" w:color="auto"/>
      </w:divBdr>
    </w:div>
    <w:div w:id="1591622154">
      <w:bodyDiv w:val="1"/>
      <w:marLeft w:val="0"/>
      <w:marRight w:val="0"/>
      <w:marTop w:val="0"/>
      <w:marBottom w:val="0"/>
      <w:divBdr>
        <w:top w:val="none" w:sz="0" w:space="0" w:color="auto"/>
        <w:left w:val="none" w:sz="0" w:space="0" w:color="auto"/>
        <w:bottom w:val="none" w:sz="0" w:space="0" w:color="auto"/>
        <w:right w:val="none" w:sz="0" w:space="0" w:color="auto"/>
      </w:divBdr>
    </w:div>
    <w:div w:id="1654916939">
      <w:bodyDiv w:val="1"/>
      <w:marLeft w:val="0"/>
      <w:marRight w:val="0"/>
      <w:marTop w:val="0"/>
      <w:marBottom w:val="0"/>
      <w:divBdr>
        <w:top w:val="none" w:sz="0" w:space="0" w:color="auto"/>
        <w:left w:val="none" w:sz="0" w:space="0" w:color="auto"/>
        <w:bottom w:val="none" w:sz="0" w:space="0" w:color="auto"/>
        <w:right w:val="none" w:sz="0" w:space="0" w:color="auto"/>
      </w:divBdr>
    </w:div>
    <w:div w:id="1874539999">
      <w:bodyDiv w:val="1"/>
      <w:marLeft w:val="0"/>
      <w:marRight w:val="0"/>
      <w:marTop w:val="0"/>
      <w:marBottom w:val="0"/>
      <w:divBdr>
        <w:top w:val="none" w:sz="0" w:space="0" w:color="auto"/>
        <w:left w:val="none" w:sz="0" w:space="0" w:color="auto"/>
        <w:bottom w:val="none" w:sz="0" w:space="0" w:color="auto"/>
        <w:right w:val="none" w:sz="0" w:space="0" w:color="auto"/>
      </w:divBdr>
    </w:div>
    <w:div w:id="1931771704">
      <w:bodyDiv w:val="1"/>
      <w:marLeft w:val="0"/>
      <w:marRight w:val="0"/>
      <w:marTop w:val="0"/>
      <w:marBottom w:val="0"/>
      <w:divBdr>
        <w:top w:val="none" w:sz="0" w:space="0" w:color="auto"/>
        <w:left w:val="none" w:sz="0" w:space="0" w:color="auto"/>
        <w:bottom w:val="none" w:sz="0" w:space="0" w:color="auto"/>
        <w:right w:val="none" w:sz="0" w:space="0" w:color="auto"/>
      </w:divBdr>
    </w:div>
    <w:div w:id="1972781455">
      <w:bodyDiv w:val="1"/>
      <w:marLeft w:val="0"/>
      <w:marRight w:val="0"/>
      <w:marTop w:val="0"/>
      <w:marBottom w:val="0"/>
      <w:divBdr>
        <w:top w:val="none" w:sz="0" w:space="0" w:color="auto"/>
        <w:left w:val="none" w:sz="0" w:space="0" w:color="auto"/>
        <w:bottom w:val="none" w:sz="0" w:space="0" w:color="auto"/>
        <w:right w:val="none" w:sz="0" w:space="0" w:color="auto"/>
      </w:divBdr>
    </w:div>
    <w:div w:id="1985429387">
      <w:bodyDiv w:val="1"/>
      <w:marLeft w:val="0"/>
      <w:marRight w:val="0"/>
      <w:marTop w:val="0"/>
      <w:marBottom w:val="0"/>
      <w:divBdr>
        <w:top w:val="none" w:sz="0" w:space="0" w:color="auto"/>
        <w:left w:val="none" w:sz="0" w:space="0" w:color="auto"/>
        <w:bottom w:val="none" w:sz="0" w:space="0" w:color="auto"/>
        <w:right w:val="none" w:sz="0" w:space="0" w:color="auto"/>
      </w:divBdr>
    </w:div>
    <w:div w:id="2065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5284</Words>
  <Characters>29064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cp:lastPrinted>2026-01-23T15:48:00Z</cp:lastPrinted>
  <dcterms:created xsi:type="dcterms:W3CDTF">2026-03-13T15:44:00Z</dcterms:created>
  <dcterms:modified xsi:type="dcterms:W3CDTF">2026-03-13T15:44:00Z</dcterms:modified>
</cp:coreProperties>
</file>