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C16E" w14:textId="77777777" w:rsidR="00F2609F" w:rsidRDefault="00F2609F" w:rsidP="007424A2">
      <w:pPr>
        <w:widowControl w:val="0"/>
        <w:pBdr>
          <w:top w:val="nil"/>
          <w:left w:val="nil"/>
          <w:bottom w:val="nil"/>
          <w:right w:val="nil"/>
          <w:between w:val="nil"/>
        </w:pBdr>
        <w:spacing w:after="0" w:line="360" w:lineRule="auto"/>
        <w:jc w:val="left"/>
      </w:pPr>
    </w:p>
    <w:p w14:paraId="259B8143" w14:textId="3BC202CF" w:rsidR="00F2609F" w:rsidRPr="00AA0E54" w:rsidRDefault="00DA42FC" w:rsidP="007424A2">
      <w:pPr>
        <w:keepNext/>
        <w:keepLines/>
        <w:pBdr>
          <w:top w:val="nil"/>
          <w:left w:val="nil"/>
          <w:bottom w:val="nil"/>
          <w:right w:val="nil"/>
          <w:between w:val="nil"/>
        </w:pBdr>
        <w:spacing w:after="0" w:line="360" w:lineRule="auto"/>
        <w:jc w:val="center"/>
        <w:rPr>
          <w:bCs/>
          <w:color w:val="000000"/>
          <w:sz w:val="24"/>
          <w:szCs w:val="24"/>
        </w:rPr>
      </w:pPr>
      <w:r w:rsidRPr="00AA0E54">
        <w:rPr>
          <w:bCs/>
          <w:color w:val="000000"/>
          <w:sz w:val="24"/>
          <w:szCs w:val="24"/>
        </w:rPr>
        <w:t>Resolu</w:t>
      </w:r>
      <w:r w:rsidR="003715D8" w:rsidRPr="00AA0E54">
        <w:rPr>
          <w:bCs/>
          <w:color w:val="000000"/>
          <w:sz w:val="24"/>
          <w:szCs w:val="24"/>
        </w:rPr>
        <w:t xml:space="preserve">ción del Recurso de Revisión </w:t>
      </w:r>
      <w:r w:rsidR="00BD0EF1" w:rsidRPr="00AA0E54">
        <w:rPr>
          <w:bCs/>
          <w:color w:val="000000"/>
          <w:sz w:val="24"/>
          <w:szCs w:val="24"/>
        </w:rPr>
        <w:t>00566/INFOEM/IP/RR/2026</w:t>
      </w:r>
    </w:p>
    <w:p w14:paraId="59BABB2F" w14:textId="77777777" w:rsidR="00F2609F" w:rsidRDefault="00F2609F" w:rsidP="007424A2">
      <w:pPr>
        <w:spacing w:after="0" w:line="360" w:lineRule="auto"/>
      </w:pPr>
    </w:p>
    <w:sdt>
      <w:sdtPr>
        <w:rPr>
          <w:rFonts w:ascii="Palatino Linotype" w:eastAsia="Palatino Linotype" w:hAnsi="Palatino Linotype" w:cs="Palatino Linotype"/>
          <w:color w:val="000000" w:themeColor="text1"/>
          <w:sz w:val="22"/>
          <w:szCs w:val="22"/>
          <w:lang w:val="es-ES"/>
        </w:rPr>
        <w:id w:val="-1188449761"/>
        <w:docPartObj>
          <w:docPartGallery w:val="Table of Contents"/>
          <w:docPartUnique/>
        </w:docPartObj>
      </w:sdtPr>
      <w:sdtEndPr>
        <w:rPr>
          <w:b/>
          <w:bCs/>
        </w:rPr>
      </w:sdtEndPr>
      <w:sdtContent>
        <w:p w14:paraId="774D300C" w14:textId="532BBBDE" w:rsidR="00625663" w:rsidRDefault="00625663" w:rsidP="007424A2">
          <w:pPr>
            <w:pStyle w:val="TtuloTDC"/>
            <w:spacing w:before="0" w:line="360" w:lineRule="auto"/>
          </w:pPr>
        </w:p>
        <w:p w14:paraId="7324E05F" w14:textId="7FE742C3" w:rsidR="00787A6B" w:rsidRDefault="00625663">
          <w:pPr>
            <w:pStyle w:val="TDC1"/>
            <w:tabs>
              <w:tab w:val="right" w:leader="dot" w:pos="9204"/>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23020967" w:history="1">
            <w:r w:rsidR="00787A6B" w:rsidRPr="00E91EC9">
              <w:rPr>
                <w:rStyle w:val="Hipervnculo"/>
                <w:noProof/>
              </w:rPr>
              <w:t>A N T E C E D E N T E S</w:t>
            </w:r>
            <w:r w:rsidR="00787A6B">
              <w:rPr>
                <w:noProof/>
                <w:webHidden/>
              </w:rPr>
              <w:tab/>
            </w:r>
            <w:r w:rsidR="00787A6B">
              <w:rPr>
                <w:noProof/>
                <w:webHidden/>
              </w:rPr>
              <w:fldChar w:fldCharType="begin"/>
            </w:r>
            <w:r w:rsidR="00787A6B">
              <w:rPr>
                <w:noProof/>
                <w:webHidden/>
              </w:rPr>
              <w:instrText xml:space="preserve"> PAGEREF _Toc223020967 \h </w:instrText>
            </w:r>
            <w:r w:rsidR="00787A6B">
              <w:rPr>
                <w:noProof/>
                <w:webHidden/>
              </w:rPr>
            </w:r>
            <w:r w:rsidR="00787A6B">
              <w:rPr>
                <w:noProof/>
                <w:webHidden/>
              </w:rPr>
              <w:fldChar w:fldCharType="separate"/>
            </w:r>
            <w:r w:rsidR="00787A6B">
              <w:rPr>
                <w:noProof/>
                <w:webHidden/>
              </w:rPr>
              <w:t>2</w:t>
            </w:r>
            <w:r w:rsidR="00787A6B">
              <w:rPr>
                <w:noProof/>
                <w:webHidden/>
              </w:rPr>
              <w:fldChar w:fldCharType="end"/>
            </w:r>
          </w:hyperlink>
        </w:p>
        <w:p w14:paraId="68C0802A" w14:textId="4D483DAF"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68" w:history="1">
            <w:r w:rsidRPr="00E91EC9">
              <w:rPr>
                <w:rStyle w:val="Hipervnculo"/>
                <w:noProof/>
              </w:rPr>
              <w:t>I. Presentación de la solicitud de información</w:t>
            </w:r>
            <w:r>
              <w:rPr>
                <w:noProof/>
                <w:webHidden/>
              </w:rPr>
              <w:tab/>
            </w:r>
            <w:r>
              <w:rPr>
                <w:noProof/>
                <w:webHidden/>
              </w:rPr>
              <w:fldChar w:fldCharType="begin"/>
            </w:r>
            <w:r>
              <w:rPr>
                <w:noProof/>
                <w:webHidden/>
              </w:rPr>
              <w:instrText xml:space="preserve"> PAGEREF _Toc223020968 \h </w:instrText>
            </w:r>
            <w:r>
              <w:rPr>
                <w:noProof/>
                <w:webHidden/>
              </w:rPr>
            </w:r>
            <w:r>
              <w:rPr>
                <w:noProof/>
                <w:webHidden/>
              </w:rPr>
              <w:fldChar w:fldCharType="separate"/>
            </w:r>
            <w:r>
              <w:rPr>
                <w:noProof/>
                <w:webHidden/>
              </w:rPr>
              <w:t>2</w:t>
            </w:r>
            <w:r>
              <w:rPr>
                <w:noProof/>
                <w:webHidden/>
              </w:rPr>
              <w:fldChar w:fldCharType="end"/>
            </w:r>
          </w:hyperlink>
        </w:p>
        <w:p w14:paraId="3C01BB93" w14:textId="1829D0A5"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69" w:history="1">
            <w:r w:rsidRPr="00E91EC9">
              <w:rPr>
                <w:rStyle w:val="Hipervnculo"/>
                <w:noProof/>
              </w:rPr>
              <w:t>II. Respuesta del Sujeto Obligado</w:t>
            </w:r>
            <w:r>
              <w:rPr>
                <w:noProof/>
                <w:webHidden/>
              </w:rPr>
              <w:tab/>
            </w:r>
            <w:r>
              <w:rPr>
                <w:noProof/>
                <w:webHidden/>
              </w:rPr>
              <w:fldChar w:fldCharType="begin"/>
            </w:r>
            <w:r>
              <w:rPr>
                <w:noProof/>
                <w:webHidden/>
              </w:rPr>
              <w:instrText xml:space="preserve"> PAGEREF _Toc223020969 \h </w:instrText>
            </w:r>
            <w:r>
              <w:rPr>
                <w:noProof/>
                <w:webHidden/>
              </w:rPr>
            </w:r>
            <w:r>
              <w:rPr>
                <w:noProof/>
                <w:webHidden/>
              </w:rPr>
              <w:fldChar w:fldCharType="separate"/>
            </w:r>
            <w:r>
              <w:rPr>
                <w:noProof/>
                <w:webHidden/>
              </w:rPr>
              <w:t>2</w:t>
            </w:r>
            <w:r>
              <w:rPr>
                <w:noProof/>
                <w:webHidden/>
              </w:rPr>
              <w:fldChar w:fldCharType="end"/>
            </w:r>
          </w:hyperlink>
        </w:p>
        <w:p w14:paraId="2985DAF5" w14:textId="47B0B482"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0" w:history="1">
            <w:r w:rsidRPr="00E91EC9">
              <w:rPr>
                <w:rStyle w:val="Hipervnculo"/>
                <w:noProof/>
              </w:rPr>
              <w:t>III. Interposición del Recurso de Revisión</w:t>
            </w:r>
            <w:r>
              <w:rPr>
                <w:noProof/>
                <w:webHidden/>
              </w:rPr>
              <w:tab/>
            </w:r>
            <w:r>
              <w:rPr>
                <w:noProof/>
                <w:webHidden/>
              </w:rPr>
              <w:fldChar w:fldCharType="begin"/>
            </w:r>
            <w:r>
              <w:rPr>
                <w:noProof/>
                <w:webHidden/>
              </w:rPr>
              <w:instrText xml:space="preserve"> PAGEREF _Toc223020970 \h </w:instrText>
            </w:r>
            <w:r>
              <w:rPr>
                <w:noProof/>
                <w:webHidden/>
              </w:rPr>
            </w:r>
            <w:r>
              <w:rPr>
                <w:noProof/>
                <w:webHidden/>
              </w:rPr>
              <w:fldChar w:fldCharType="separate"/>
            </w:r>
            <w:r>
              <w:rPr>
                <w:noProof/>
                <w:webHidden/>
              </w:rPr>
              <w:t>4</w:t>
            </w:r>
            <w:r>
              <w:rPr>
                <w:noProof/>
                <w:webHidden/>
              </w:rPr>
              <w:fldChar w:fldCharType="end"/>
            </w:r>
          </w:hyperlink>
        </w:p>
        <w:p w14:paraId="0F2DB9B4" w14:textId="2E61E13A"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1" w:history="1">
            <w:r w:rsidRPr="00E91EC9">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_Toc223020971 \h </w:instrText>
            </w:r>
            <w:r>
              <w:rPr>
                <w:noProof/>
                <w:webHidden/>
              </w:rPr>
            </w:r>
            <w:r>
              <w:rPr>
                <w:noProof/>
                <w:webHidden/>
              </w:rPr>
              <w:fldChar w:fldCharType="separate"/>
            </w:r>
            <w:r>
              <w:rPr>
                <w:noProof/>
                <w:webHidden/>
              </w:rPr>
              <w:t>5</w:t>
            </w:r>
            <w:r>
              <w:rPr>
                <w:noProof/>
                <w:webHidden/>
              </w:rPr>
              <w:fldChar w:fldCharType="end"/>
            </w:r>
          </w:hyperlink>
        </w:p>
        <w:p w14:paraId="6839F9EB" w14:textId="0B637FD5" w:rsidR="00787A6B" w:rsidRDefault="00787A6B">
          <w:pPr>
            <w:pStyle w:val="TDC1"/>
            <w:tabs>
              <w:tab w:val="right" w:leader="dot" w:pos="9204"/>
            </w:tabs>
            <w:rPr>
              <w:rFonts w:asciiTheme="minorHAnsi" w:eastAsiaTheme="minorEastAsia" w:hAnsiTheme="minorHAnsi" w:cstheme="minorBidi"/>
              <w:noProof/>
              <w:color w:val="auto"/>
              <w:kern w:val="2"/>
              <w14:ligatures w14:val="standardContextual"/>
            </w:rPr>
          </w:pPr>
          <w:hyperlink w:anchor="_Toc223020972" w:history="1">
            <w:r w:rsidRPr="00E91EC9">
              <w:rPr>
                <w:rStyle w:val="Hipervnculo"/>
                <w:noProof/>
              </w:rPr>
              <w:t>C O N S I D E R A N D O S</w:t>
            </w:r>
            <w:r>
              <w:rPr>
                <w:noProof/>
                <w:webHidden/>
              </w:rPr>
              <w:tab/>
            </w:r>
            <w:r>
              <w:rPr>
                <w:noProof/>
                <w:webHidden/>
              </w:rPr>
              <w:fldChar w:fldCharType="begin"/>
            </w:r>
            <w:r>
              <w:rPr>
                <w:noProof/>
                <w:webHidden/>
              </w:rPr>
              <w:instrText xml:space="preserve"> PAGEREF _Toc223020972 \h </w:instrText>
            </w:r>
            <w:r>
              <w:rPr>
                <w:noProof/>
                <w:webHidden/>
              </w:rPr>
            </w:r>
            <w:r>
              <w:rPr>
                <w:noProof/>
                <w:webHidden/>
              </w:rPr>
              <w:fldChar w:fldCharType="separate"/>
            </w:r>
            <w:r>
              <w:rPr>
                <w:noProof/>
                <w:webHidden/>
              </w:rPr>
              <w:t>6</w:t>
            </w:r>
            <w:r>
              <w:rPr>
                <w:noProof/>
                <w:webHidden/>
              </w:rPr>
              <w:fldChar w:fldCharType="end"/>
            </w:r>
          </w:hyperlink>
        </w:p>
        <w:p w14:paraId="133589CF" w14:textId="29BD4362"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3" w:history="1">
            <w:r w:rsidRPr="00E91EC9">
              <w:rPr>
                <w:rStyle w:val="Hipervnculo"/>
                <w:noProof/>
              </w:rPr>
              <w:t>PRIMERO. Competencia</w:t>
            </w:r>
            <w:r>
              <w:rPr>
                <w:noProof/>
                <w:webHidden/>
              </w:rPr>
              <w:tab/>
            </w:r>
            <w:r>
              <w:rPr>
                <w:noProof/>
                <w:webHidden/>
              </w:rPr>
              <w:fldChar w:fldCharType="begin"/>
            </w:r>
            <w:r>
              <w:rPr>
                <w:noProof/>
                <w:webHidden/>
              </w:rPr>
              <w:instrText xml:space="preserve"> PAGEREF _Toc223020973 \h </w:instrText>
            </w:r>
            <w:r>
              <w:rPr>
                <w:noProof/>
                <w:webHidden/>
              </w:rPr>
            </w:r>
            <w:r>
              <w:rPr>
                <w:noProof/>
                <w:webHidden/>
              </w:rPr>
              <w:fldChar w:fldCharType="separate"/>
            </w:r>
            <w:r>
              <w:rPr>
                <w:noProof/>
                <w:webHidden/>
              </w:rPr>
              <w:t>6</w:t>
            </w:r>
            <w:r>
              <w:rPr>
                <w:noProof/>
                <w:webHidden/>
              </w:rPr>
              <w:fldChar w:fldCharType="end"/>
            </w:r>
          </w:hyperlink>
        </w:p>
        <w:p w14:paraId="07F49116" w14:textId="07C9D6B4"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4" w:history="1">
            <w:r w:rsidRPr="00E91EC9">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_Toc223020974 \h </w:instrText>
            </w:r>
            <w:r>
              <w:rPr>
                <w:noProof/>
                <w:webHidden/>
              </w:rPr>
            </w:r>
            <w:r>
              <w:rPr>
                <w:noProof/>
                <w:webHidden/>
              </w:rPr>
              <w:fldChar w:fldCharType="separate"/>
            </w:r>
            <w:r>
              <w:rPr>
                <w:noProof/>
                <w:webHidden/>
              </w:rPr>
              <w:t>7</w:t>
            </w:r>
            <w:r>
              <w:rPr>
                <w:noProof/>
                <w:webHidden/>
              </w:rPr>
              <w:fldChar w:fldCharType="end"/>
            </w:r>
          </w:hyperlink>
        </w:p>
        <w:p w14:paraId="4C6EA606" w14:textId="77FB02AF"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5" w:history="1">
            <w:r w:rsidRPr="00E91EC9">
              <w:rPr>
                <w:rStyle w:val="Hipervnculo"/>
                <w:noProof/>
              </w:rPr>
              <w:t>TERCERO. Determinación de la Controversia</w:t>
            </w:r>
            <w:r>
              <w:rPr>
                <w:noProof/>
                <w:webHidden/>
              </w:rPr>
              <w:tab/>
            </w:r>
            <w:r>
              <w:rPr>
                <w:noProof/>
                <w:webHidden/>
              </w:rPr>
              <w:fldChar w:fldCharType="begin"/>
            </w:r>
            <w:r>
              <w:rPr>
                <w:noProof/>
                <w:webHidden/>
              </w:rPr>
              <w:instrText xml:space="preserve"> PAGEREF _Toc223020975 \h </w:instrText>
            </w:r>
            <w:r>
              <w:rPr>
                <w:noProof/>
                <w:webHidden/>
              </w:rPr>
            </w:r>
            <w:r>
              <w:rPr>
                <w:noProof/>
                <w:webHidden/>
              </w:rPr>
              <w:fldChar w:fldCharType="separate"/>
            </w:r>
            <w:r>
              <w:rPr>
                <w:noProof/>
                <w:webHidden/>
              </w:rPr>
              <w:t>8</w:t>
            </w:r>
            <w:r>
              <w:rPr>
                <w:noProof/>
                <w:webHidden/>
              </w:rPr>
              <w:fldChar w:fldCharType="end"/>
            </w:r>
          </w:hyperlink>
        </w:p>
        <w:p w14:paraId="4BE41463" w14:textId="48FE77A5"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6" w:history="1">
            <w:r w:rsidRPr="00E91EC9">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_Toc223020976 \h </w:instrText>
            </w:r>
            <w:r>
              <w:rPr>
                <w:noProof/>
                <w:webHidden/>
              </w:rPr>
            </w:r>
            <w:r>
              <w:rPr>
                <w:noProof/>
                <w:webHidden/>
              </w:rPr>
              <w:fldChar w:fldCharType="separate"/>
            </w:r>
            <w:r>
              <w:rPr>
                <w:noProof/>
                <w:webHidden/>
              </w:rPr>
              <w:t>9</w:t>
            </w:r>
            <w:r>
              <w:rPr>
                <w:noProof/>
                <w:webHidden/>
              </w:rPr>
              <w:fldChar w:fldCharType="end"/>
            </w:r>
          </w:hyperlink>
        </w:p>
        <w:p w14:paraId="07EEFC80" w14:textId="223AACF6"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7" w:history="1">
            <w:r w:rsidRPr="00E91EC9">
              <w:rPr>
                <w:rStyle w:val="Hipervnculo"/>
                <w:smallCaps/>
                <w:noProof/>
              </w:rPr>
              <w:t>QUINTO.</w:t>
            </w:r>
            <w:r w:rsidRPr="00E91EC9">
              <w:rPr>
                <w:rStyle w:val="Hipervnculo"/>
                <w:noProof/>
              </w:rPr>
              <w:t xml:space="preserve"> Estudio de Fondo</w:t>
            </w:r>
            <w:r>
              <w:rPr>
                <w:noProof/>
                <w:webHidden/>
              </w:rPr>
              <w:tab/>
            </w:r>
            <w:r>
              <w:rPr>
                <w:noProof/>
                <w:webHidden/>
              </w:rPr>
              <w:fldChar w:fldCharType="begin"/>
            </w:r>
            <w:r>
              <w:rPr>
                <w:noProof/>
                <w:webHidden/>
              </w:rPr>
              <w:instrText xml:space="preserve"> PAGEREF _Toc223020977 \h </w:instrText>
            </w:r>
            <w:r>
              <w:rPr>
                <w:noProof/>
                <w:webHidden/>
              </w:rPr>
            </w:r>
            <w:r>
              <w:rPr>
                <w:noProof/>
                <w:webHidden/>
              </w:rPr>
              <w:fldChar w:fldCharType="separate"/>
            </w:r>
            <w:r>
              <w:rPr>
                <w:noProof/>
                <w:webHidden/>
              </w:rPr>
              <w:t>10</w:t>
            </w:r>
            <w:r>
              <w:rPr>
                <w:noProof/>
                <w:webHidden/>
              </w:rPr>
              <w:fldChar w:fldCharType="end"/>
            </w:r>
          </w:hyperlink>
        </w:p>
        <w:p w14:paraId="76596881" w14:textId="5C10C6A8" w:rsidR="00787A6B" w:rsidRDefault="00787A6B">
          <w:pPr>
            <w:pStyle w:val="TDC2"/>
            <w:tabs>
              <w:tab w:val="right" w:leader="dot" w:pos="9204"/>
            </w:tabs>
            <w:rPr>
              <w:rFonts w:asciiTheme="minorHAnsi" w:eastAsiaTheme="minorEastAsia" w:hAnsiTheme="minorHAnsi" w:cstheme="minorBidi"/>
              <w:noProof/>
              <w:color w:val="auto"/>
              <w:kern w:val="2"/>
              <w14:ligatures w14:val="standardContextual"/>
            </w:rPr>
          </w:pPr>
          <w:hyperlink w:anchor="_Toc223020978" w:history="1">
            <w:r w:rsidRPr="00E91EC9">
              <w:rPr>
                <w:rStyle w:val="Hipervnculo"/>
                <w:noProof/>
              </w:rPr>
              <w:t>SEXTO. Decisión</w:t>
            </w:r>
            <w:r>
              <w:rPr>
                <w:noProof/>
                <w:webHidden/>
              </w:rPr>
              <w:tab/>
            </w:r>
            <w:r>
              <w:rPr>
                <w:noProof/>
                <w:webHidden/>
              </w:rPr>
              <w:fldChar w:fldCharType="begin"/>
            </w:r>
            <w:r>
              <w:rPr>
                <w:noProof/>
                <w:webHidden/>
              </w:rPr>
              <w:instrText xml:space="preserve"> PAGEREF _Toc223020978 \h </w:instrText>
            </w:r>
            <w:r>
              <w:rPr>
                <w:noProof/>
                <w:webHidden/>
              </w:rPr>
            </w:r>
            <w:r>
              <w:rPr>
                <w:noProof/>
                <w:webHidden/>
              </w:rPr>
              <w:fldChar w:fldCharType="separate"/>
            </w:r>
            <w:r>
              <w:rPr>
                <w:noProof/>
                <w:webHidden/>
              </w:rPr>
              <w:t>30</w:t>
            </w:r>
            <w:r>
              <w:rPr>
                <w:noProof/>
                <w:webHidden/>
              </w:rPr>
              <w:fldChar w:fldCharType="end"/>
            </w:r>
          </w:hyperlink>
        </w:p>
        <w:p w14:paraId="5F0B0AEE" w14:textId="260CB2DF" w:rsidR="00787A6B" w:rsidRDefault="00787A6B">
          <w:pPr>
            <w:pStyle w:val="TDC1"/>
            <w:tabs>
              <w:tab w:val="right" w:leader="dot" w:pos="9204"/>
            </w:tabs>
            <w:rPr>
              <w:rFonts w:asciiTheme="minorHAnsi" w:eastAsiaTheme="minorEastAsia" w:hAnsiTheme="minorHAnsi" w:cstheme="minorBidi"/>
              <w:noProof/>
              <w:color w:val="auto"/>
              <w:kern w:val="2"/>
              <w14:ligatures w14:val="standardContextual"/>
            </w:rPr>
          </w:pPr>
          <w:hyperlink w:anchor="_Toc223020979" w:history="1">
            <w:r w:rsidRPr="00E91EC9">
              <w:rPr>
                <w:rStyle w:val="Hipervnculo"/>
                <w:noProof/>
              </w:rPr>
              <w:t>R E S U E L V E</w:t>
            </w:r>
            <w:r>
              <w:rPr>
                <w:noProof/>
                <w:webHidden/>
              </w:rPr>
              <w:tab/>
            </w:r>
            <w:r>
              <w:rPr>
                <w:noProof/>
                <w:webHidden/>
              </w:rPr>
              <w:fldChar w:fldCharType="begin"/>
            </w:r>
            <w:r>
              <w:rPr>
                <w:noProof/>
                <w:webHidden/>
              </w:rPr>
              <w:instrText xml:space="preserve"> PAGEREF _Toc223020979 \h </w:instrText>
            </w:r>
            <w:r>
              <w:rPr>
                <w:noProof/>
                <w:webHidden/>
              </w:rPr>
            </w:r>
            <w:r>
              <w:rPr>
                <w:noProof/>
                <w:webHidden/>
              </w:rPr>
              <w:fldChar w:fldCharType="separate"/>
            </w:r>
            <w:r>
              <w:rPr>
                <w:noProof/>
                <w:webHidden/>
              </w:rPr>
              <w:t>31</w:t>
            </w:r>
            <w:r>
              <w:rPr>
                <w:noProof/>
                <w:webHidden/>
              </w:rPr>
              <w:fldChar w:fldCharType="end"/>
            </w:r>
          </w:hyperlink>
        </w:p>
        <w:p w14:paraId="67392EFF" w14:textId="45AF4638" w:rsidR="00625663" w:rsidRDefault="00625663" w:rsidP="007424A2">
          <w:pPr>
            <w:spacing w:after="0" w:line="360" w:lineRule="auto"/>
          </w:pPr>
          <w:r>
            <w:rPr>
              <w:b/>
              <w:bCs/>
              <w:lang w:val="es-ES"/>
            </w:rPr>
            <w:fldChar w:fldCharType="end"/>
          </w:r>
        </w:p>
      </w:sdtContent>
    </w:sdt>
    <w:p w14:paraId="3E88ECEE" w14:textId="27EFAB8E" w:rsidR="00F2609F" w:rsidRDefault="00F2609F" w:rsidP="007424A2">
      <w:pPr>
        <w:spacing w:after="0" w:line="360" w:lineRule="auto"/>
      </w:pPr>
    </w:p>
    <w:p w14:paraId="25F6392F" w14:textId="77777777" w:rsidR="00F2609F" w:rsidRDefault="00F2609F" w:rsidP="007424A2">
      <w:pPr>
        <w:spacing w:after="0" w:line="360" w:lineRule="auto"/>
      </w:pPr>
    </w:p>
    <w:p w14:paraId="71FC87ED" w14:textId="77777777" w:rsidR="00F2609F" w:rsidRDefault="00F2609F" w:rsidP="007424A2">
      <w:pPr>
        <w:spacing w:after="0" w:line="360" w:lineRule="auto"/>
      </w:pPr>
    </w:p>
    <w:p w14:paraId="7FF796B7" w14:textId="77777777" w:rsidR="00F2609F" w:rsidRDefault="00DA42FC" w:rsidP="007424A2">
      <w:pPr>
        <w:spacing w:after="0" w:line="360" w:lineRule="auto"/>
      </w:pPr>
      <w:r>
        <w:br w:type="page"/>
      </w:r>
    </w:p>
    <w:p w14:paraId="585DE1FD" w14:textId="173D56C1" w:rsidR="00F2609F" w:rsidRDefault="00DA42FC" w:rsidP="007424A2">
      <w:pPr>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w:t>
      </w:r>
      <w:r w:rsidR="00BD0EF1">
        <w:t>veinticinco de febrero de dos mil veintiséis</w:t>
      </w:r>
      <w:r>
        <w:t>.</w:t>
      </w:r>
    </w:p>
    <w:p w14:paraId="24B39C53" w14:textId="77777777" w:rsidR="00F2609F" w:rsidRDefault="00F2609F" w:rsidP="007424A2">
      <w:pPr>
        <w:spacing w:after="0" w:line="360" w:lineRule="auto"/>
        <w:rPr>
          <w:b/>
        </w:rPr>
      </w:pPr>
    </w:p>
    <w:p w14:paraId="1980E7D5" w14:textId="424DA6F1" w:rsidR="00F2609F" w:rsidRDefault="00DA42FC" w:rsidP="007424A2">
      <w:pPr>
        <w:spacing w:after="0" w:line="360" w:lineRule="auto"/>
        <w:rPr>
          <w:color w:val="000000"/>
        </w:rPr>
      </w:pPr>
      <w:r>
        <w:rPr>
          <w:b/>
        </w:rPr>
        <w:t>VISTO</w:t>
      </w:r>
      <w:r>
        <w:t xml:space="preserve"> el expediente conformado con mo</w:t>
      </w:r>
      <w:r w:rsidR="003715D8">
        <w:t xml:space="preserve">tivo del Recurso de Revisión </w:t>
      </w:r>
      <w:r w:rsidR="00BD0EF1" w:rsidRPr="00E53534">
        <w:rPr>
          <w:b/>
          <w:bCs/>
        </w:rPr>
        <w:t>00566/INFOEM/IP/RR/2026</w:t>
      </w:r>
      <w:r w:rsidR="003715D8">
        <w:t xml:space="preserve">, interpuesto </w:t>
      </w:r>
      <w:r w:rsidR="00BD0EF1">
        <w:t>por</w:t>
      </w:r>
      <w:r>
        <w:t xml:space="preserve"> la persona Recurrente o Particular, en contra de la respuesta del Sujeto Obligado, </w:t>
      </w:r>
      <w:r w:rsidR="00BD0EF1" w:rsidRPr="00E53534">
        <w:rPr>
          <w:b/>
          <w:bCs/>
        </w:rPr>
        <w:t>Ayuntamiento de Metepec</w:t>
      </w:r>
      <w:r>
        <w:t xml:space="preserve">, </w:t>
      </w:r>
      <w:r>
        <w:rPr>
          <w:color w:val="000000"/>
        </w:rPr>
        <w:t xml:space="preserve">a la solicitud de acceso a la información pública </w:t>
      </w:r>
      <w:r w:rsidR="00BD0EF1">
        <w:rPr>
          <w:color w:val="000000"/>
        </w:rPr>
        <w:t>00415/METEPEC/IP/2025</w:t>
      </w:r>
      <w:r>
        <w:rPr>
          <w:color w:val="000000"/>
        </w:rPr>
        <w:t>, se emite la presente Resolución, con base en los Antecedentes y Considerandos que se exponen a continuación:</w:t>
      </w:r>
    </w:p>
    <w:p w14:paraId="014A9B64" w14:textId="77777777" w:rsidR="00F2609F" w:rsidRDefault="00F2609F" w:rsidP="007424A2">
      <w:pPr>
        <w:spacing w:after="0" w:line="360" w:lineRule="auto"/>
      </w:pPr>
    </w:p>
    <w:p w14:paraId="263809F8" w14:textId="77777777" w:rsidR="00F2609F" w:rsidRDefault="00DA42FC" w:rsidP="007424A2">
      <w:pPr>
        <w:pStyle w:val="Ttulo1"/>
        <w:spacing w:before="0" w:after="0"/>
      </w:pPr>
      <w:bookmarkStart w:id="0" w:name="_heading=h.qqe5hh78mlt8" w:colFirst="0" w:colLast="0"/>
      <w:bookmarkStart w:id="1" w:name="_Toc223020967"/>
      <w:bookmarkEnd w:id="0"/>
      <w:r>
        <w:t>A N T E C E D E N T E S</w:t>
      </w:r>
      <w:bookmarkEnd w:id="1"/>
    </w:p>
    <w:p w14:paraId="4EE3433D" w14:textId="77777777" w:rsidR="00F2609F" w:rsidRDefault="00F2609F" w:rsidP="007424A2">
      <w:pPr>
        <w:spacing w:after="0" w:line="360" w:lineRule="auto"/>
      </w:pPr>
      <w:bookmarkStart w:id="2" w:name="_heading=h.gjdgxs" w:colFirst="0" w:colLast="0"/>
      <w:bookmarkEnd w:id="2"/>
    </w:p>
    <w:p w14:paraId="7F975FD3" w14:textId="77777777" w:rsidR="00F2609F" w:rsidRDefault="00DA42FC" w:rsidP="007424A2">
      <w:pPr>
        <w:pStyle w:val="Ttulo2"/>
        <w:spacing w:before="0" w:after="0"/>
      </w:pPr>
      <w:bookmarkStart w:id="3" w:name="_heading=h.6mmjh4dz4fwx" w:colFirst="0" w:colLast="0"/>
      <w:bookmarkStart w:id="4" w:name="_Toc223020968"/>
      <w:bookmarkEnd w:id="3"/>
      <w:r>
        <w:t>I. Presentación de la solicitud de información</w:t>
      </w:r>
      <w:bookmarkEnd w:id="4"/>
    </w:p>
    <w:p w14:paraId="6D440FF2" w14:textId="77777777" w:rsidR="00F2609F" w:rsidRDefault="00F2609F" w:rsidP="007424A2">
      <w:pPr>
        <w:tabs>
          <w:tab w:val="left" w:pos="567"/>
        </w:tabs>
        <w:spacing w:after="0" w:line="360" w:lineRule="auto"/>
      </w:pPr>
    </w:p>
    <w:p w14:paraId="67249F23" w14:textId="03FD1790" w:rsidR="00F2609F" w:rsidRDefault="003715D8" w:rsidP="007424A2">
      <w:pPr>
        <w:spacing w:after="0" w:line="360" w:lineRule="auto"/>
        <w:rPr>
          <w:color w:val="000000"/>
        </w:rPr>
      </w:pPr>
      <w:r>
        <w:t xml:space="preserve">Con fecha </w:t>
      </w:r>
      <w:r w:rsidR="00BD0EF1">
        <w:t>cuatro de diciembre</w:t>
      </w:r>
      <w:r w:rsidR="00DA42FC">
        <w:t xml:space="preserve"> de dos mil veinticinco, </w:t>
      </w:r>
      <w:r w:rsidR="00DA42FC">
        <w:rPr>
          <w:color w:val="000000"/>
        </w:rPr>
        <w:t>la parte Solicitante presentó una solicitud de acceso a la información pública,</w:t>
      </w:r>
      <w:r w:rsidR="00DA42FC">
        <w:t xml:space="preserve"> a través del</w:t>
      </w:r>
      <w:r w:rsidR="00DA42FC">
        <w:rPr>
          <w:color w:val="000000"/>
        </w:rPr>
        <w:t xml:space="preserve"> Sistema de Acceso a la Información Mexiquense (SAIMEX), ante el </w:t>
      </w:r>
      <w:r w:rsidR="00BD0EF1">
        <w:t>Ayuntamiento de Metepec</w:t>
      </w:r>
      <w:r w:rsidR="00DA42FC">
        <w:rPr>
          <w:color w:val="000000"/>
        </w:rPr>
        <w:t>, en la que requirió lo siguiente:</w:t>
      </w:r>
    </w:p>
    <w:p w14:paraId="02F9F509" w14:textId="77777777" w:rsidR="00F2609F" w:rsidRDefault="00F2609F" w:rsidP="007424A2">
      <w:pPr>
        <w:spacing w:after="0" w:line="360" w:lineRule="auto"/>
        <w:rPr>
          <w:color w:val="000000"/>
        </w:rPr>
      </w:pPr>
    </w:p>
    <w:p w14:paraId="4A39FC49" w14:textId="77777777" w:rsidR="00F2609F" w:rsidRDefault="00DA42FC" w:rsidP="007424A2">
      <w:pPr>
        <w:tabs>
          <w:tab w:val="left" w:pos="567"/>
        </w:tabs>
        <w:spacing w:after="0" w:line="360" w:lineRule="auto"/>
        <w:ind w:left="567" w:right="709"/>
        <w:rPr>
          <w:b/>
          <w:i/>
          <w:sz w:val="20"/>
          <w:szCs w:val="20"/>
        </w:rPr>
      </w:pPr>
      <w:r>
        <w:rPr>
          <w:b/>
          <w:i/>
          <w:sz w:val="20"/>
          <w:szCs w:val="20"/>
        </w:rPr>
        <w:t>“DESCRIPCIÓN CLARA Y PRECISA DE LA INFORMACIÓN SOLICITADA</w:t>
      </w:r>
    </w:p>
    <w:p w14:paraId="2D906832" w14:textId="6060CCE2" w:rsidR="00F2609F" w:rsidRDefault="00BD0EF1" w:rsidP="007424A2">
      <w:pPr>
        <w:tabs>
          <w:tab w:val="left" w:pos="4667"/>
        </w:tabs>
        <w:spacing w:after="0" w:line="360" w:lineRule="auto"/>
        <w:ind w:left="567" w:right="709"/>
        <w:rPr>
          <w:i/>
          <w:sz w:val="20"/>
          <w:szCs w:val="20"/>
        </w:rPr>
      </w:pPr>
      <w:r w:rsidRPr="00BD0EF1">
        <w:rPr>
          <w:i/>
          <w:sz w:val="20"/>
          <w:szCs w:val="20"/>
        </w:rPr>
        <w:t>Recibos de nómina de la 1a y 2a quincena 2025 del Síndico Municipal de Metepec</w:t>
      </w:r>
      <w:r w:rsidR="00DA42FC">
        <w:rPr>
          <w:i/>
          <w:sz w:val="20"/>
          <w:szCs w:val="20"/>
        </w:rPr>
        <w:t>’’ (Sic.)</w:t>
      </w:r>
    </w:p>
    <w:p w14:paraId="30853A6D" w14:textId="77777777" w:rsidR="00653AEF" w:rsidRDefault="00653AEF" w:rsidP="007424A2">
      <w:pPr>
        <w:tabs>
          <w:tab w:val="left" w:pos="4667"/>
        </w:tabs>
        <w:spacing w:after="0" w:line="360" w:lineRule="auto"/>
        <w:ind w:left="567" w:right="709"/>
        <w:rPr>
          <w:b/>
          <w:sz w:val="20"/>
          <w:szCs w:val="20"/>
        </w:rPr>
      </w:pPr>
    </w:p>
    <w:p w14:paraId="6F773161" w14:textId="77777777" w:rsidR="00F2609F" w:rsidRPr="00A138C8" w:rsidRDefault="00DA42FC" w:rsidP="007424A2">
      <w:pPr>
        <w:tabs>
          <w:tab w:val="left" w:pos="4667"/>
        </w:tabs>
        <w:spacing w:after="0" w:line="360" w:lineRule="auto"/>
        <w:ind w:left="567" w:right="709"/>
        <w:rPr>
          <w:b/>
          <w:i/>
          <w:iCs/>
          <w:sz w:val="20"/>
          <w:szCs w:val="20"/>
        </w:rPr>
      </w:pPr>
      <w:r w:rsidRPr="00A138C8">
        <w:rPr>
          <w:b/>
          <w:i/>
          <w:iCs/>
          <w:sz w:val="20"/>
          <w:szCs w:val="20"/>
        </w:rPr>
        <w:t xml:space="preserve">“MODALIDAD DE ENTREGA </w:t>
      </w:r>
    </w:p>
    <w:p w14:paraId="6DF90FA8" w14:textId="5A2BE4E1" w:rsidR="00F2609F" w:rsidRDefault="00DA42FC" w:rsidP="007424A2">
      <w:pPr>
        <w:tabs>
          <w:tab w:val="left" w:pos="4667"/>
        </w:tabs>
        <w:spacing w:after="0" w:line="360" w:lineRule="auto"/>
        <w:ind w:left="567" w:right="709"/>
        <w:rPr>
          <w:i/>
          <w:sz w:val="20"/>
          <w:szCs w:val="20"/>
        </w:rPr>
      </w:pPr>
      <w:r>
        <w:rPr>
          <w:i/>
          <w:sz w:val="20"/>
          <w:szCs w:val="20"/>
        </w:rPr>
        <w:t>A través del SAIMEX.”</w:t>
      </w:r>
    </w:p>
    <w:p w14:paraId="60F87815" w14:textId="77777777" w:rsidR="005014E0" w:rsidRDefault="005014E0" w:rsidP="007424A2">
      <w:pPr>
        <w:tabs>
          <w:tab w:val="left" w:pos="4667"/>
        </w:tabs>
        <w:spacing w:after="0" w:line="360" w:lineRule="auto"/>
        <w:ind w:left="567" w:right="709"/>
        <w:rPr>
          <w:i/>
          <w:sz w:val="20"/>
          <w:szCs w:val="20"/>
        </w:rPr>
      </w:pPr>
    </w:p>
    <w:p w14:paraId="06DAA003" w14:textId="0D5A3EE7" w:rsidR="00F2609F" w:rsidRDefault="00DA42FC" w:rsidP="007424A2">
      <w:pPr>
        <w:pStyle w:val="Ttulo2"/>
        <w:spacing w:before="0" w:after="0"/>
      </w:pPr>
      <w:bookmarkStart w:id="5" w:name="_heading=h.pkxf11ry4t8k" w:colFirst="0" w:colLast="0"/>
      <w:bookmarkStart w:id="6" w:name="_Toc223020969"/>
      <w:bookmarkEnd w:id="5"/>
      <w:r>
        <w:t>II. Respuesta del Sujeto Obligado</w:t>
      </w:r>
      <w:bookmarkEnd w:id="6"/>
    </w:p>
    <w:p w14:paraId="0C394FDC" w14:textId="77777777" w:rsidR="00F2609F" w:rsidRDefault="00F2609F" w:rsidP="007424A2">
      <w:pPr>
        <w:spacing w:after="0" w:line="360" w:lineRule="auto"/>
      </w:pPr>
    </w:p>
    <w:p w14:paraId="0DB96A51" w14:textId="02D20855" w:rsidR="00F2609F" w:rsidRDefault="00DA42FC" w:rsidP="007424A2">
      <w:pPr>
        <w:spacing w:after="0" w:line="360" w:lineRule="auto"/>
      </w:pPr>
      <w:r>
        <w:lastRenderedPageBreak/>
        <w:t xml:space="preserve">El </w:t>
      </w:r>
      <w:r w:rsidR="00BD0EF1">
        <w:t>quince de enero de dos mil veintiséis</w:t>
      </w:r>
      <w:r>
        <w:t>, el Sujeto Obligado otorgó respuesta a través del a través del</w:t>
      </w:r>
      <w:r>
        <w:rPr>
          <w:color w:val="000000"/>
        </w:rPr>
        <w:t xml:space="preserve"> Sistema de Acceso a la Información Mexiquense (SAIMEX)</w:t>
      </w:r>
      <w:r>
        <w:t xml:space="preserve">, </w:t>
      </w:r>
      <w:r w:rsidR="00A138C8">
        <w:t xml:space="preserve">a través de la digitalización </w:t>
      </w:r>
      <w:r w:rsidR="00BD0EF1">
        <w:t xml:space="preserve">del oficio </w:t>
      </w:r>
      <w:r w:rsidR="00BD0EF1" w:rsidRPr="00BD0EF1">
        <w:t>DA/0086/2026</w:t>
      </w:r>
      <w:r w:rsidR="00BD0EF1">
        <w:t xml:space="preserve">, del nueve de dicho mes y año, suscrito por la </w:t>
      </w:r>
      <w:proofErr w:type="gramStart"/>
      <w:r w:rsidR="00BD0EF1">
        <w:t>Directora</w:t>
      </w:r>
      <w:proofErr w:type="gramEnd"/>
      <w:r w:rsidR="00BD0EF1">
        <w:t xml:space="preserve"> de Administración y dirigido al </w:t>
      </w:r>
      <w:proofErr w:type="gramStart"/>
      <w:r w:rsidR="00BD0EF1">
        <w:t>Director</w:t>
      </w:r>
      <w:proofErr w:type="gramEnd"/>
      <w:r w:rsidR="00BD0EF1">
        <w:t xml:space="preserve"> de Transparencia y Gobierno Abierto, por medio del cual menciona lo siguiente:</w:t>
      </w:r>
    </w:p>
    <w:p w14:paraId="1D304C2B" w14:textId="77777777" w:rsidR="00F2609F" w:rsidRDefault="00F2609F" w:rsidP="007424A2">
      <w:pPr>
        <w:spacing w:after="0" w:line="360" w:lineRule="auto"/>
      </w:pPr>
    </w:p>
    <w:p w14:paraId="31FFC214" w14:textId="77777777" w:rsidR="00BD0EF1" w:rsidRDefault="00151D52" w:rsidP="007424A2">
      <w:pPr>
        <w:spacing w:after="0" w:line="360" w:lineRule="auto"/>
        <w:ind w:left="567" w:right="567"/>
        <w:rPr>
          <w:i/>
          <w:sz w:val="20"/>
          <w:szCs w:val="20"/>
        </w:rPr>
      </w:pPr>
      <w:r w:rsidRPr="00F33659">
        <w:rPr>
          <w:sz w:val="20"/>
          <w:szCs w:val="20"/>
        </w:rPr>
        <w:t>“</w:t>
      </w:r>
      <w:r w:rsidR="00BD0EF1">
        <w:rPr>
          <w:i/>
          <w:sz w:val="20"/>
          <w:szCs w:val="20"/>
        </w:rPr>
        <w:t>…</w:t>
      </w:r>
    </w:p>
    <w:p w14:paraId="4AF8FFA4" w14:textId="5DDFBC27" w:rsidR="00BD0EF1" w:rsidRDefault="00BD0EF1" w:rsidP="007424A2">
      <w:pPr>
        <w:spacing w:after="0" w:line="360" w:lineRule="auto"/>
        <w:ind w:left="567" w:right="567"/>
        <w:rPr>
          <w:i/>
          <w:sz w:val="20"/>
          <w:szCs w:val="20"/>
        </w:rPr>
      </w:pPr>
      <w:r w:rsidRPr="00BD0EF1">
        <w:rPr>
          <w:i/>
          <w:sz w:val="20"/>
          <w:szCs w:val="20"/>
        </w:rPr>
        <w:t xml:space="preserve">Al respecto, la Subdirección de Recursos Humanos declara que, realizo la búsqueda minuciosa y exhaustiva en sus archivos físicos y electrónicos, acto seguido procede a notificar lo siguiente: La información contenida en los recibos de nómina constituye una obligación de transparencia común, publicada en el portal IPOMEX, fracción </w:t>
      </w:r>
      <w:r>
        <w:rPr>
          <w:i/>
          <w:sz w:val="20"/>
          <w:szCs w:val="20"/>
        </w:rPr>
        <w:t>VIII</w:t>
      </w:r>
      <w:r w:rsidRPr="00BD0EF1">
        <w:rPr>
          <w:i/>
          <w:sz w:val="20"/>
          <w:szCs w:val="20"/>
        </w:rPr>
        <w:t xml:space="preserve"> A denominada: "Remuneraciones", disponible para consulta en el siguiente link:</w:t>
      </w:r>
    </w:p>
    <w:p w14:paraId="78648D84" w14:textId="77777777" w:rsidR="00BD0EF1" w:rsidRDefault="00BD0EF1" w:rsidP="007424A2">
      <w:pPr>
        <w:spacing w:after="0" w:line="360" w:lineRule="auto"/>
        <w:ind w:left="567" w:right="567"/>
        <w:rPr>
          <w:i/>
          <w:sz w:val="20"/>
          <w:szCs w:val="20"/>
        </w:rPr>
      </w:pPr>
    </w:p>
    <w:p w14:paraId="5E166042" w14:textId="5F96E7D0" w:rsidR="00BD0EF1" w:rsidRDefault="00BD0EF1" w:rsidP="007424A2">
      <w:pPr>
        <w:spacing w:after="0" w:line="360" w:lineRule="auto"/>
        <w:ind w:left="567" w:right="567"/>
        <w:rPr>
          <w:i/>
          <w:sz w:val="20"/>
          <w:szCs w:val="20"/>
        </w:rPr>
      </w:pPr>
      <w:hyperlink r:id="rId9" w:anchor="/info-fraccion/11/146/28" w:history="1">
        <w:r w:rsidRPr="00245EB7">
          <w:rPr>
            <w:rStyle w:val="Hipervnculo"/>
            <w:i/>
            <w:sz w:val="20"/>
            <w:szCs w:val="20"/>
          </w:rPr>
          <w:t>https://ipomex.org.mx/ipomex/#/info-fraccion/11/146/28</w:t>
        </w:r>
      </w:hyperlink>
    </w:p>
    <w:p w14:paraId="428A2A1F" w14:textId="77777777" w:rsidR="00BD0EF1" w:rsidRDefault="00BD0EF1" w:rsidP="007424A2">
      <w:pPr>
        <w:spacing w:after="0" w:line="360" w:lineRule="auto"/>
        <w:ind w:left="567" w:right="567"/>
        <w:rPr>
          <w:i/>
          <w:sz w:val="20"/>
          <w:szCs w:val="20"/>
        </w:rPr>
      </w:pPr>
    </w:p>
    <w:p w14:paraId="1DC51DDA" w14:textId="05C8D963" w:rsidR="00BD0EF1" w:rsidRDefault="00BD0EF1" w:rsidP="007424A2">
      <w:pPr>
        <w:spacing w:after="0" w:line="360" w:lineRule="auto"/>
        <w:ind w:left="567" w:right="567"/>
        <w:rPr>
          <w:i/>
          <w:sz w:val="20"/>
          <w:szCs w:val="20"/>
        </w:rPr>
      </w:pPr>
      <w:r w:rsidRPr="00BD0EF1">
        <w:rPr>
          <w:i/>
          <w:sz w:val="20"/>
          <w:szCs w:val="20"/>
        </w:rPr>
        <w:t xml:space="preserve">Hago de su conocimiento que el Portal de Información Pública de Oficio Mexiquense 4.0, el cual es administrado por el INFOEM, despliega información por trimestres, por lo que se orienta al (la) particular </w:t>
      </w:r>
      <w:proofErr w:type="gramStart"/>
      <w:r w:rsidRPr="00BD0EF1">
        <w:rPr>
          <w:i/>
          <w:sz w:val="20"/>
          <w:szCs w:val="20"/>
        </w:rPr>
        <w:t>que</w:t>
      </w:r>
      <w:proofErr w:type="gramEnd"/>
      <w:r w:rsidRPr="00BD0EF1">
        <w:rPr>
          <w:i/>
          <w:sz w:val="20"/>
          <w:szCs w:val="20"/>
        </w:rPr>
        <w:t xml:space="preserve"> para acceder a otros periodos, deberá dar </w:t>
      </w:r>
      <w:proofErr w:type="spellStart"/>
      <w:r w:rsidRPr="00BD0EF1">
        <w:rPr>
          <w:i/>
          <w:sz w:val="20"/>
          <w:szCs w:val="20"/>
        </w:rPr>
        <w:t>clik</w:t>
      </w:r>
      <w:proofErr w:type="spellEnd"/>
      <w:r w:rsidRPr="00BD0EF1">
        <w:rPr>
          <w:i/>
          <w:sz w:val="20"/>
          <w:szCs w:val="20"/>
        </w:rPr>
        <w:t xml:space="preserve"> en el botón "consulta de periodos anteriores" y escribir la información que se indica en los campos, como se advierte en la imagen:</w:t>
      </w:r>
    </w:p>
    <w:p w14:paraId="39E415EC" w14:textId="40442EEF" w:rsidR="00BD0EF1" w:rsidRDefault="00BD0EF1" w:rsidP="007424A2">
      <w:pPr>
        <w:spacing w:after="0" w:line="360" w:lineRule="auto"/>
        <w:ind w:left="567" w:right="567"/>
        <w:rPr>
          <w:i/>
          <w:sz w:val="20"/>
          <w:szCs w:val="20"/>
        </w:rPr>
      </w:pPr>
      <w:r>
        <w:rPr>
          <w:i/>
          <w:sz w:val="20"/>
          <w:szCs w:val="20"/>
        </w:rPr>
        <w:t>…</w:t>
      </w:r>
    </w:p>
    <w:p w14:paraId="1CAF3C58" w14:textId="77777777" w:rsidR="00BD0EF1" w:rsidRDefault="00BD0EF1" w:rsidP="007424A2">
      <w:pPr>
        <w:spacing w:after="0" w:line="360" w:lineRule="auto"/>
        <w:ind w:left="567" w:right="567"/>
        <w:rPr>
          <w:i/>
          <w:sz w:val="20"/>
          <w:szCs w:val="20"/>
        </w:rPr>
      </w:pPr>
      <w:r w:rsidRPr="00BD0EF1">
        <w:rPr>
          <w:i/>
          <w:sz w:val="20"/>
          <w:szCs w:val="20"/>
        </w:rPr>
        <w:t xml:space="preserve">Bajo el principio de simplicidad y para que el ciudadano(a) no se vea en la necesidad de escribir todo los símbolos, números y letras se enlistan los pasos a seguir: </w:t>
      </w:r>
    </w:p>
    <w:p w14:paraId="77C28FEC" w14:textId="77777777" w:rsidR="00BD0EF1" w:rsidRDefault="00BD0EF1" w:rsidP="007424A2">
      <w:pPr>
        <w:spacing w:after="0" w:line="360" w:lineRule="auto"/>
        <w:ind w:left="567" w:right="567"/>
        <w:rPr>
          <w:i/>
          <w:sz w:val="20"/>
          <w:szCs w:val="20"/>
        </w:rPr>
      </w:pPr>
    </w:p>
    <w:p w14:paraId="05B7DB02" w14:textId="77777777" w:rsidR="00BD0EF1" w:rsidRDefault="00BD0EF1" w:rsidP="007424A2">
      <w:pPr>
        <w:spacing w:after="0" w:line="360" w:lineRule="auto"/>
        <w:ind w:left="567" w:right="567"/>
        <w:rPr>
          <w:i/>
          <w:sz w:val="20"/>
          <w:szCs w:val="20"/>
        </w:rPr>
      </w:pPr>
      <w:r w:rsidRPr="00BD0EF1">
        <w:rPr>
          <w:i/>
          <w:sz w:val="20"/>
          <w:szCs w:val="20"/>
        </w:rPr>
        <w:t xml:space="preserve">Paso 1: Ingresar a la página https://metepec.gob.mx/pagina/ oficial del Ayuntamiento de Metepec </w:t>
      </w:r>
    </w:p>
    <w:p w14:paraId="7B3696CD" w14:textId="77777777" w:rsidR="00BD0EF1" w:rsidRDefault="00BD0EF1" w:rsidP="007424A2">
      <w:pPr>
        <w:spacing w:after="0" w:line="360" w:lineRule="auto"/>
        <w:ind w:left="567" w:right="567"/>
        <w:rPr>
          <w:i/>
          <w:sz w:val="20"/>
          <w:szCs w:val="20"/>
        </w:rPr>
      </w:pPr>
    </w:p>
    <w:p w14:paraId="500D2845" w14:textId="79598B01" w:rsidR="00BD0EF1" w:rsidRDefault="00BD0EF1" w:rsidP="007424A2">
      <w:pPr>
        <w:spacing w:after="0" w:line="360" w:lineRule="auto"/>
        <w:ind w:left="567" w:right="567"/>
        <w:rPr>
          <w:i/>
          <w:sz w:val="20"/>
          <w:szCs w:val="20"/>
        </w:rPr>
      </w:pPr>
      <w:r w:rsidRPr="00BD0EF1">
        <w:rPr>
          <w:i/>
          <w:sz w:val="20"/>
          <w:szCs w:val="20"/>
        </w:rPr>
        <w:t>Paso 2: Ir al final de la página web y dar clic en el botón denominado "INFOEM" para tener acceso a la información de los años 2024 y posteriores. Se inserta imagen para pronta referencia:</w:t>
      </w:r>
    </w:p>
    <w:p w14:paraId="6BFDDC13" w14:textId="59705A3C" w:rsidR="00BD0EF1" w:rsidRDefault="00BD0EF1" w:rsidP="007424A2">
      <w:pPr>
        <w:spacing w:after="0" w:line="360" w:lineRule="auto"/>
        <w:ind w:left="567" w:right="567"/>
        <w:rPr>
          <w:i/>
          <w:sz w:val="20"/>
          <w:szCs w:val="20"/>
        </w:rPr>
      </w:pPr>
      <w:r>
        <w:rPr>
          <w:i/>
          <w:sz w:val="20"/>
          <w:szCs w:val="20"/>
        </w:rPr>
        <w:t>…</w:t>
      </w:r>
    </w:p>
    <w:p w14:paraId="6B9067D0" w14:textId="77777777" w:rsidR="00BD0EF1" w:rsidRDefault="00BD0EF1" w:rsidP="007424A2">
      <w:pPr>
        <w:spacing w:after="0" w:line="360" w:lineRule="auto"/>
        <w:ind w:left="567" w:right="567"/>
        <w:rPr>
          <w:i/>
          <w:sz w:val="20"/>
          <w:szCs w:val="20"/>
        </w:rPr>
      </w:pPr>
      <w:r w:rsidRPr="00BD0EF1">
        <w:rPr>
          <w:i/>
          <w:sz w:val="20"/>
          <w:szCs w:val="20"/>
        </w:rPr>
        <w:t xml:space="preserve">Paso 3: Localizar la Fracción arriba citada </w:t>
      </w:r>
    </w:p>
    <w:p w14:paraId="727C6984" w14:textId="77777777" w:rsidR="00BD0EF1" w:rsidRDefault="00BD0EF1" w:rsidP="007424A2">
      <w:pPr>
        <w:spacing w:after="0" w:line="360" w:lineRule="auto"/>
        <w:ind w:left="567" w:right="567"/>
        <w:rPr>
          <w:i/>
          <w:sz w:val="20"/>
          <w:szCs w:val="20"/>
        </w:rPr>
      </w:pPr>
      <w:r w:rsidRPr="00BD0EF1">
        <w:rPr>
          <w:i/>
          <w:sz w:val="20"/>
          <w:szCs w:val="20"/>
        </w:rPr>
        <w:lastRenderedPageBreak/>
        <w:t xml:space="preserve">Paso 4: Elegir el año de Ejercicio y el periodo de su interés. </w:t>
      </w:r>
    </w:p>
    <w:p w14:paraId="65E7DFD5" w14:textId="77777777" w:rsidR="00BD0EF1" w:rsidRDefault="00BD0EF1" w:rsidP="007424A2">
      <w:pPr>
        <w:spacing w:after="0" w:line="360" w:lineRule="auto"/>
        <w:ind w:left="567" w:right="567"/>
        <w:rPr>
          <w:i/>
          <w:sz w:val="20"/>
          <w:szCs w:val="20"/>
        </w:rPr>
      </w:pPr>
    </w:p>
    <w:p w14:paraId="04366668" w14:textId="29E8E00B" w:rsidR="00BD0EF1" w:rsidRDefault="00BD0EF1" w:rsidP="007424A2">
      <w:pPr>
        <w:spacing w:after="0" w:line="360" w:lineRule="auto"/>
        <w:ind w:left="567" w:right="567"/>
        <w:rPr>
          <w:i/>
          <w:sz w:val="20"/>
          <w:szCs w:val="20"/>
        </w:rPr>
      </w:pPr>
      <w:r w:rsidRPr="00BD0EF1">
        <w:rPr>
          <w:i/>
          <w:sz w:val="20"/>
          <w:szCs w:val="20"/>
        </w:rPr>
        <w:t>Lo anterior con fundamento en los artículos 12 y 161 y de la Ley de Transparencia y Acceso a la Información Pública del Estado de México y Municipios:</w:t>
      </w:r>
    </w:p>
    <w:p w14:paraId="0D0E1F09" w14:textId="0F43DF9C" w:rsidR="00151D52" w:rsidRPr="00F33659" w:rsidRDefault="00BD0EF1" w:rsidP="007424A2">
      <w:pPr>
        <w:spacing w:after="0" w:line="360" w:lineRule="auto"/>
        <w:ind w:left="567" w:right="567"/>
        <w:rPr>
          <w:i/>
          <w:sz w:val="20"/>
          <w:szCs w:val="20"/>
        </w:rPr>
      </w:pPr>
      <w:r>
        <w:rPr>
          <w:i/>
          <w:sz w:val="20"/>
          <w:szCs w:val="20"/>
        </w:rPr>
        <w:t>…</w:t>
      </w:r>
      <w:r w:rsidR="00CF6923" w:rsidRPr="00F33659">
        <w:rPr>
          <w:i/>
          <w:sz w:val="20"/>
          <w:szCs w:val="20"/>
        </w:rPr>
        <w:t>”</w:t>
      </w:r>
    </w:p>
    <w:p w14:paraId="109168C4" w14:textId="77777777" w:rsidR="005014E0" w:rsidRPr="00F33659" w:rsidRDefault="005014E0" w:rsidP="007424A2">
      <w:pPr>
        <w:spacing w:after="0" w:line="360" w:lineRule="auto"/>
        <w:rPr>
          <w:i/>
          <w:sz w:val="24"/>
          <w:szCs w:val="24"/>
        </w:rPr>
      </w:pPr>
    </w:p>
    <w:p w14:paraId="1BE9EB8B" w14:textId="2B4AB8B0" w:rsidR="00F2609F" w:rsidRDefault="00DA42FC" w:rsidP="007424A2">
      <w:pPr>
        <w:pStyle w:val="Ttulo2"/>
        <w:spacing w:before="0" w:after="0"/>
      </w:pPr>
      <w:bookmarkStart w:id="7" w:name="_heading=h.4oq1qfqvac9" w:colFirst="0" w:colLast="0"/>
      <w:bookmarkStart w:id="8" w:name="_Toc223020970"/>
      <w:bookmarkEnd w:id="7"/>
      <w:r>
        <w:t>I</w:t>
      </w:r>
      <w:r w:rsidR="005014E0">
        <w:t>II</w:t>
      </w:r>
      <w:r>
        <w:t>. Interposición del Recurso de Revisión</w:t>
      </w:r>
      <w:bookmarkEnd w:id="8"/>
    </w:p>
    <w:p w14:paraId="77FDE1CC" w14:textId="77777777" w:rsidR="00F2609F" w:rsidRDefault="00F2609F" w:rsidP="007424A2">
      <w:pPr>
        <w:spacing w:after="0" w:line="360" w:lineRule="auto"/>
        <w:rPr>
          <w:b/>
        </w:rPr>
      </w:pPr>
    </w:p>
    <w:p w14:paraId="61CC590D" w14:textId="328E4FF1" w:rsidR="00F2609F" w:rsidRDefault="00DA42FC" w:rsidP="007424A2">
      <w:pPr>
        <w:spacing w:after="0" w:line="360" w:lineRule="auto"/>
      </w:pPr>
      <w:bookmarkStart w:id="9" w:name="_heading=h.2et92p0" w:colFirst="0" w:colLast="0"/>
      <w:bookmarkEnd w:id="9"/>
      <w:r>
        <w:t xml:space="preserve">Con fecha </w:t>
      </w:r>
      <w:r w:rsidR="00BD0EF1">
        <w:t>dieciséis de enero de dos mil veinticinco</w:t>
      </w:r>
      <w:r>
        <w:t>, se recibió en este Instituto, a través del</w:t>
      </w:r>
      <w:r>
        <w:rPr>
          <w:color w:val="000000"/>
        </w:rPr>
        <w:t xml:space="preserve"> Sistema de Acceso a la Información Mexiquense (SAIMEX)</w:t>
      </w:r>
      <w:r>
        <w:t>, el Recurso de Revisión interpuesto por la persona Recurrente, en los siguientes términos:</w:t>
      </w:r>
    </w:p>
    <w:p w14:paraId="37CE49E6" w14:textId="77777777" w:rsidR="00BD0EF1" w:rsidRDefault="00BD0EF1" w:rsidP="007424A2">
      <w:pPr>
        <w:spacing w:after="0" w:line="360" w:lineRule="auto"/>
      </w:pPr>
    </w:p>
    <w:p w14:paraId="32418858" w14:textId="77777777" w:rsidR="00F2609F" w:rsidRDefault="00DA42FC" w:rsidP="007424A2">
      <w:pPr>
        <w:spacing w:after="0" w:line="360" w:lineRule="auto"/>
        <w:ind w:left="567" w:right="709"/>
        <w:rPr>
          <w:b/>
          <w:i/>
          <w:sz w:val="20"/>
          <w:szCs w:val="20"/>
        </w:rPr>
      </w:pPr>
      <w:r>
        <w:rPr>
          <w:b/>
          <w:i/>
          <w:sz w:val="20"/>
          <w:szCs w:val="20"/>
        </w:rPr>
        <w:t>“ACTO IMPUGNADO</w:t>
      </w:r>
      <w:r>
        <w:rPr>
          <w:b/>
          <w:i/>
          <w:sz w:val="20"/>
          <w:szCs w:val="20"/>
        </w:rPr>
        <w:tab/>
      </w:r>
    </w:p>
    <w:p w14:paraId="17186C6A" w14:textId="47680B2A" w:rsidR="00F2609F" w:rsidRDefault="00BD0EF1" w:rsidP="007424A2">
      <w:pPr>
        <w:spacing w:after="0" w:line="360" w:lineRule="auto"/>
        <w:ind w:left="567" w:right="709"/>
        <w:rPr>
          <w:i/>
          <w:sz w:val="20"/>
          <w:szCs w:val="20"/>
        </w:rPr>
      </w:pPr>
      <w:r w:rsidRPr="00BD0EF1">
        <w:rPr>
          <w:i/>
          <w:sz w:val="20"/>
          <w:szCs w:val="20"/>
        </w:rPr>
        <w:t>Indebida y errónea respuesta, ya que solicité como fuente documental "recibos" no que me remitieran a la fracción VII correspondiente a Remuneraciones.</w:t>
      </w:r>
      <w:r w:rsidR="00DA42FC">
        <w:rPr>
          <w:i/>
          <w:sz w:val="20"/>
          <w:szCs w:val="20"/>
        </w:rPr>
        <w:t>” (Sic.)</w:t>
      </w:r>
    </w:p>
    <w:p w14:paraId="1F03ED2F" w14:textId="77777777" w:rsidR="00F2609F" w:rsidRDefault="00F2609F" w:rsidP="007424A2">
      <w:pPr>
        <w:spacing w:after="0" w:line="360" w:lineRule="auto"/>
        <w:ind w:left="567" w:right="709"/>
        <w:rPr>
          <w:sz w:val="20"/>
          <w:szCs w:val="20"/>
        </w:rPr>
      </w:pPr>
    </w:p>
    <w:p w14:paraId="74AEF345" w14:textId="77777777" w:rsidR="00F2609F" w:rsidRDefault="00DA42FC" w:rsidP="007424A2">
      <w:pPr>
        <w:spacing w:after="0" w:line="360" w:lineRule="auto"/>
        <w:ind w:left="567" w:right="709"/>
        <w:rPr>
          <w:b/>
          <w:i/>
          <w:sz w:val="20"/>
          <w:szCs w:val="20"/>
        </w:rPr>
      </w:pPr>
      <w:r>
        <w:rPr>
          <w:b/>
          <w:i/>
          <w:sz w:val="20"/>
          <w:szCs w:val="20"/>
        </w:rPr>
        <w:t>“RAZONES O MOTIVOS DE LA INCONFORMIDAD</w:t>
      </w:r>
      <w:r>
        <w:rPr>
          <w:b/>
          <w:i/>
          <w:sz w:val="20"/>
          <w:szCs w:val="20"/>
        </w:rPr>
        <w:tab/>
      </w:r>
    </w:p>
    <w:p w14:paraId="76B79E0A" w14:textId="7E2BFC1E" w:rsidR="00F2609F" w:rsidRDefault="00BD0EF1" w:rsidP="007424A2">
      <w:pPr>
        <w:tabs>
          <w:tab w:val="left" w:pos="4667"/>
        </w:tabs>
        <w:spacing w:after="0" w:line="360" w:lineRule="auto"/>
        <w:ind w:left="567" w:right="709"/>
        <w:rPr>
          <w:i/>
          <w:sz w:val="20"/>
          <w:szCs w:val="20"/>
        </w:rPr>
      </w:pPr>
      <w:r w:rsidRPr="00BD0EF1">
        <w:rPr>
          <w:i/>
          <w:sz w:val="20"/>
          <w:szCs w:val="20"/>
        </w:rPr>
        <w:t xml:space="preserve">El Sujeto Obligado a través de la Unidad de Transparencia remite una indebida respuesta, ya que si yo hubiera querido reviso el portal IPOMEX para obtener las "supuestas" remuneraciones; sin embargo, yo solicité como fuente documental los recibos, razón por la cual, solicitó al aún con vida INFOEM haga valer el presente medio de impugnación y obligue a través de la resolución la entrega de la información solicitada. No se omite mencionar, que el Sujeto Obligado, remitió la respuesta en el último día de su plazo, </w:t>
      </w:r>
      <w:proofErr w:type="gramStart"/>
      <w:r w:rsidRPr="00BD0EF1">
        <w:rPr>
          <w:i/>
          <w:sz w:val="20"/>
          <w:szCs w:val="20"/>
        </w:rPr>
        <w:t>que</w:t>
      </w:r>
      <w:proofErr w:type="gramEnd"/>
      <w:r w:rsidRPr="00BD0EF1">
        <w:rPr>
          <w:i/>
          <w:sz w:val="20"/>
          <w:szCs w:val="20"/>
        </w:rPr>
        <w:t xml:space="preserve"> si bien legalmente se encuentra dentro del término, lo cierto es que, la misma es con alevosía, pues tuvieron que transcurrir todos los días del plazo para que otorgara una respuesta totalmente errónea, lo cual concebiría si fueran nuevos, pero la Unidad de Transparencia de Metepec ya lleva una administración completa y sus respuestas siguen siendo con las mismas características. Solicito se de vista al Órgano Interno de Control y se inicie la investigación por una </w:t>
      </w:r>
      <w:r w:rsidRPr="00BD0EF1">
        <w:rPr>
          <w:i/>
          <w:sz w:val="20"/>
          <w:szCs w:val="20"/>
        </w:rPr>
        <w:lastRenderedPageBreak/>
        <w:t>posible falta administrativa (no grave) al dilatar y no hacer accesible el acceso a la información.</w:t>
      </w:r>
      <w:r w:rsidR="00DA42FC">
        <w:rPr>
          <w:i/>
          <w:sz w:val="20"/>
          <w:szCs w:val="20"/>
        </w:rPr>
        <w:t>” (Sic).</w:t>
      </w:r>
    </w:p>
    <w:p w14:paraId="7D36EF1F" w14:textId="77777777" w:rsidR="00F2609F" w:rsidRDefault="00F2609F" w:rsidP="007424A2">
      <w:pPr>
        <w:tabs>
          <w:tab w:val="left" w:pos="4667"/>
        </w:tabs>
        <w:spacing w:after="0" w:line="360" w:lineRule="auto"/>
        <w:ind w:left="567" w:right="709"/>
        <w:rPr>
          <w:i/>
        </w:rPr>
      </w:pPr>
    </w:p>
    <w:p w14:paraId="3F808474" w14:textId="6C9BF8C0" w:rsidR="00F2609F" w:rsidRDefault="005014E0" w:rsidP="007424A2">
      <w:pPr>
        <w:pStyle w:val="Ttulo2"/>
        <w:spacing w:before="0" w:after="0"/>
      </w:pPr>
      <w:bookmarkStart w:id="10" w:name="_heading=h.lk3cw9z7yoax" w:colFirst="0" w:colLast="0"/>
      <w:bookmarkStart w:id="11" w:name="_Toc223020971"/>
      <w:bookmarkEnd w:id="10"/>
      <w:r>
        <w:t>I</w:t>
      </w:r>
      <w:r w:rsidR="00DA42FC">
        <w:t>V. Trámite del Recurso de Revisión ante este Instituto</w:t>
      </w:r>
      <w:bookmarkEnd w:id="11"/>
    </w:p>
    <w:p w14:paraId="40662A49" w14:textId="77777777" w:rsidR="00F2609F" w:rsidRDefault="00F2609F" w:rsidP="007424A2">
      <w:pPr>
        <w:spacing w:after="0" w:line="360" w:lineRule="auto"/>
        <w:rPr>
          <w:b/>
        </w:rPr>
      </w:pPr>
    </w:p>
    <w:p w14:paraId="2A710BB0" w14:textId="145844A3" w:rsidR="00F2609F" w:rsidRDefault="00DA42FC" w:rsidP="007424A2">
      <w:pPr>
        <w:spacing w:after="0" w:line="360" w:lineRule="auto"/>
        <w:rPr>
          <w:color w:val="000000"/>
        </w:rPr>
      </w:pPr>
      <w:r>
        <w:rPr>
          <w:b/>
        </w:rPr>
        <w:t>a) Turno del Medio de Impugnación.</w:t>
      </w:r>
      <w:r>
        <w:t xml:space="preserve"> </w:t>
      </w:r>
      <w:r>
        <w:rPr>
          <w:color w:val="000000"/>
        </w:rPr>
        <w:t xml:space="preserve">El </w:t>
      </w:r>
      <w:r w:rsidR="00BD0EF1">
        <w:rPr>
          <w:color w:val="000000"/>
        </w:rPr>
        <w:t>dieciséis de enero</w:t>
      </w:r>
      <w:r>
        <w:rPr>
          <w:color w:val="000000"/>
        </w:rPr>
        <w:t xml:space="preserve"> de dos mil v</w:t>
      </w:r>
      <w:r w:rsidR="00BD0EF1">
        <w:rPr>
          <w:color w:val="000000"/>
        </w:rPr>
        <w:t>eintiséis</w:t>
      </w:r>
      <w:r>
        <w:rPr>
          <w:color w:val="000000"/>
        </w:rPr>
        <w:t>, el SAIMEX, asignó el número de expediente</w:t>
      </w:r>
      <w:r w:rsidR="00090A45">
        <w:rPr>
          <w:b/>
          <w:color w:val="000000"/>
        </w:rPr>
        <w:t xml:space="preserve"> </w:t>
      </w:r>
      <w:r w:rsidR="00BD0EF1">
        <w:rPr>
          <w:b/>
          <w:color w:val="000000"/>
        </w:rPr>
        <w:t>00566/INFOEM/IP/RR/2026</w:t>
      </w:r>
      <w:r>
        <w:rPr>
          <w:b/>
          <w:color w:val="000000"/>
        </w:rPr>
        <w:t xml:space="preserve">, </w:t>
      </w:r>
      <w:r>
        <w:rPr>
          <w:color w:val="000000"/>
        </w:rP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4DDA1842" w14:textId="77777777" w:rsidR="00F2609F" w:rsidRDefault="00F2609F" w:rsidP="007424A2">
      <w:pPr>
        <w:spacing w:after="0" w:line="360" w:lineRule="auto"/>
      </w:pPr>
    </w:p>
    <w:p w14:paraId="42E17418" w14:textId="1C02D199" w:rsidR="00F2609F" w:rsidRDefault="00DA42FC" w:rsidP="007424A2">
      <w:pPr>
        <w:spacing w:after="0" w:line="360" w:lineRule="auto"/>
        <w:rPr>
          <w:color w:val="000000"/>
        </w:rPr>
      </w:pPr>
      <w:r>
        <w:rPr>
          <w:b/>
        </w:rPr>
        <w:t>b) Admisión del Recurso de Revisión.</w:t>
      </w:r>
      <w:r>
        <w:t xml:space="preserve"> </w:t>
      </w:r>
      <w:r>
        <w:rPr>
          <w:color w:val="000000"/>
        </w:rPr>
        <w:t xml:space="preserve">El </w:t>
      </w:r>
      <w:r w:rsidR="00BD0EF1">
        <w:t>veintiuno de enero de dos mil veintiséis</w:t>
      </w:r>
      <w:r>
        <w:rPr>
          <w:color w:val="000000"/>
        </w:rPr>
        <w:t xml:space="preserve">,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notificada a las partes en la misma fecha, a través del SAIMEX, en el que se les otorgó un plazo de siete días hábiles posteriores a la misma, para que </w:t>
      </w:r>
      <w:r>
        <w:t>manifestara</w:t>
      </w:r>
      <w:r>
        <w:rPr>
          <w:color w:val="000000"/>
        </w:rPr>
        <w:t xml:space="preserve"> lo que a su derecho conviniera y formularan alegatos.</w:t>
      </w:r>
    </w:p>
    <w:p w14:paraId="5E2F8792" w14:textId="77777777" w:rsidR="00F2609F" w:rsidRDefault="00F2609F" w:rsidP="007424A2">
      <w:pPr>
        <w:spacing w:after="0" w:line="360" w:lineRule="auto"/>
      </w:pPr>
    </w:p>
    <w:p w14:paraId="77189231" w14:textId="7C6151E0" w:rsidR="00FF4DCD" w:rsidRDefault="00DA42FC" w:rsidP="007424A2">
      <w:pPr>
        <w:spacing w:after="0" w:line="360" w:lineRule="auto"/>
        <w:rPr>
          <w:color w:val="000000"/>
        </w:rPr>
      </w:pPr>
      <w:r>
        <w:rPr>
          <w:b/>
          <w:color w:val="000000"/>
        </w:rPr>
        <w:t xml:space="preserve">c) Informe Justificado. </w:t>
      </w:r>
      <w:r>
        <w:rPr>
          <w:color w:val="000000"/>
        </w:rPr>
        <w:t xml:space="preserve">El </w:t>
      </w:r>
      <w:r w:rsidR="00BD0EF1">
        <w:rPr>
          <w:color w:val="000000"/>
        </w:rPr>
        <w:t>veintinueve de enero de dos mil veintiséis</w:t>
      </w:r>
      <w:r>
        <w:rPr>
          <w:color w:val="000000"/>
        </w:rPr>
        <w:t xml:space="preserve">, a través del Sistema de Acceso a la Información Mexiquense (SAIMEX), se recibió en este Instituto el </w:t>
      </w:r>
      <w:r w:rsidR="00F33659">
        <w:rPr>
          <w:color w:val="000000"/>
        </w:rPr>
        <w:t>I</w:t>
      </w:r>
      <w:r>
        <w:rPr>
          <w:color w:val="000000"/>
        </w:rPr>
        <w:t xml:space="preserve">nforme </w:t>
      </w:r>
      <w:r w:rsidR="00F33659">
        <w:rPr>
          <w:color w:val="000000"/>
        </w:rPr>
        <w:t>J</w:t>
      </w:r>
      <w:r>
        <w:rPr>
          <w:color w:val="000000"/>
        </w:rPr>
        <w:t>ustificado por parte del Sujeto Obligado,</w:t>
      </w:r>
      <w:r w:rsidR="00C93775">
        <w:rPr>
          <w:color w:val="000000"/>
        </w:rPr>
        <w:t xml:space="preserve"> </w:t>
      </w:r>
      <w:r w:rsidR="00F33659">
        <w:rPr>
          <w:color w:val="000000"/>
        </w:rPr>
        <w:t xml:space="preserve">por medio </w:t>
      </w:r>
      <w:r w:rsidR="00FF4DCD">
        <w:rPr>
          <w:color w:val="000000"/>
        </w:rPr>
        <w:t xml:space="preserve">de la digitalización </w:t>
      </w:r>
      <w:r w:rsidR="00BD0EF1">
        <w:rPr>
          <w:color w:val="000000"/>
        </w:rPr>
        <w:t xml:space="preserve">de </w:t>
      </w:r>
      <w:r w:rsidR="00BD0EF1">
        <w:t xml:space="preserve">oficio </w:t>
      </w:r>
      <w:r w:rsidR="00BD0EF1" w:rsidRPr="00BD0EF1">
        <w:t>DA/0</w:t>
      </w:r>
      <w:r w:rsidR="00BD0EF1">
        <w:t>359</w:t>
      </w:r>
      <w:r w:rsidR="00BD0EF1" w:rsidRPr="00BD0EF1">
        <w:t>/2026</w:t>
      </w:r>
      <w:r w:rsidR="00BD0EF1">
        <w:t xml:space="preserve">, del veintisiete de dicho mes y año, suscrito por la </w:t>
      </w:r>
      <w:proofErr w:type="gramStart"/>
      <w:r w:rsidR="00BD0EF1">
        <w:t>Directora</w:t>
      </w:r>
      <w:proofErr w:type="gramEnd"/>
      <w:r w:rsidR="00BD0EF1">
        <w:t xml:space="preserve"> de Administración y dirigido al </w:t>
      </w:r>
      <w:proofErr w:type="gramStart"/>
      <w:r w:rsidR="00BD0EF1">
        <w:t>Director</w:t>
      </w:r>
      <w:proofErr w:type="gramEnd"/>
      <w:r w:rsidR="00BD0EF1">
        <w:t xml:space="preserve"> de Transparencia y Gobierno Abierto, por medio del cual confirma la respuesta entregada.</w:t>
      </w:r>
    </w:p>
    <w:p w14:paraId="3418F5BD" w14:textId="77777777" w:rsidR="00F2609F" w:rsidRDefault="00F2609F" w:rsidP="007424A2">
      <w:pPr>
        <w:spacing w:after="0" w:line="360" w:lineRule="auto"/>
        <w:rPr>
          <w:color w:val="000000"/>
        </w:rPr>
      </w:pPr>
    </w:p>
    <w:p w14:paraId="1C12A003" w14:textId="68EBD738" w:rsidR="00F2609F" w:rsidRDefault="00DA42FC" w:rsidP="007424A2">
      <w:pPr>
        <w:spacing w:after="0" w:line="360" w:lineRule="auto"/>
        <w:rPr>
          <w:b/>
          <w:color w:val="000000"/>
        </w:rPr>
      </w:pPr>
      <w:r>
        <w:rPr>
          <w:b/>
          <w:color w:val="000000"/>
        </w:rPr>
        <w:lastRenderedPageBreak/>
        <w:t xml:space="preserve">d) Vista del Informe Justificado. </w:t>
      </w:r>
      <w:r>
        <w:rPr>
          <w:color w:val="000000"/>
        </w:rPr>
        <w:t xml:space="preserve">El </w:t>
      </w:r>
      <w:r w:rsidR="00BD0EF1">
        <w:rPr>
          <w:color w:val="000000"/>
        </w:rPr>
        <w:t>dieciséis de febrero de dos mil veintiséis</w:t>
      </w:r>
      <w:r>
        <w:rPr>
          <w:color w:val="000000"/>
        </w:rPr>
        <w:t>, se dictó acuerdo por medio del cual se puso a la vista de la persona Recurrente el Informe Justificado entregado por el Sujeto Obligado, el cual fue notificado a las partes, el mismo día, a través del Sistema de Acceso a la Información Mexiquense (SAIMEX). Cabe señalar que el Particular fue omiso en realizar manifestación alguna.</w:t>
      </w:r>
    </w:p>
    <w:p w14:paraId="1191521C" w14:textId="77777777" w:rsidR="00F2609F" w:rsidRDefault="00F2609F" w:rsidP="007424A2">
      <w:pPr>
        <w:spacing w:after="0" w:line="360" w:lineRule="auto"/>
        <w:rPr>
          <w:b/>
          <w:color w:val="000000"/>
        </w:rPr>
      </w:pPr>
    </w:p>
    <w:p w14:paraId="0F07A66F" w14:textId="7C774067" w:rsidR="00F2609F" w:rsidRDefault="00BD0EF1" w:rsidP="007424A2">
      <w:pPr>
        <w:spacing w:after="0" w:line="360" w:lineRule="auto"/>
        <w:rPr>
          <w:b/>
        </w:rPr>
      </w:pPr>
      <w:r>
        <w:rPr>
          <w:b/>
        </w:rPr>
        <w:t>e</w:t>
      </w:r>
      <w:r w:rsidR="00DA42FC">
        <w:rPr>
          <w:b/>
        </w:rPr>
        <w:t>) Cierre de instrucción.</w:t>
      </w:r>
      <w:r w:rsidR="00DA42FC">
        <w:t xml:space="preserve"> El </w:t>
      </w:r>
      <w:r w:rsidR="00AA0E54">
        <w:t>veinticuatro</w:t>
      </w:r>
      <w:r>
        <w:t xml:space="preserve"> de febrero de dos mil veintiséis</w:t>
      </w:r>
      <w:r w:rsidR="00DA42F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Sistema de Acceso a la Información Mexiquense (SAIMEX).</w:t>
      </w:r>
    </w:p>
    <w:p w14:paraId="3388B4E2" w14:textId="77777777" w:rsidR="00F2609F" w:rsidRDefault="00F2609F" w:rsidP="007424A2">
      <w:pPr>
        <w:spacing w:after="0" w:line="360" w:lineRule="auto"/>
      </w:pPr>
    </w:p>
    <w:p w14:paraId="44A7CC29" w14:textId="77777777" w:rsidR="00AA0E54" w:rsidRPr="00AA0E54" w:rsidRDefault="00AA0E54" w:rsidP="00AA0E54">
      <w:pPr>
        <w:spacing w:after="0" w:line="360" w:lineRule="auto"/>
        <w:rPr>
          <w:rFonts w:eastAsia="Times New Roman" w:cs="Tahoma"/>
          <w:color w:val="000000"/>
          <w:lang w:eastAsia="es-ES"/>
        </w:rPr>
      </w:pPr>
      <w:r w:rsidRPr="00AA0E54">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134668FD" w14:textId="77777777" w:rsidR="00AA0E54" w:rsidRDefault="00AA0E54" w:rsidP="007424A2">
      <w:pPr>
        <w:spacing w:after="0" w:line="360" w:lineRule="auto"/>
      </w:pPr>
    </w:p>
    <w:p w14:paraId="1E9023A9" w14:textId="77777777" w:rsidR="00F2609F" w:rsidRDefault="00DA42FC" w:rsidP="007424A2">
      <w:pPr>
        <w:pStyle w:val="Ttulo1"/>
        <w:spacing w:before="0" w:after="0"/>
        <w:rPr>
          <w:sz w:val="22"/>
          <w:szCs w:val="22"/>
        </w:rPr>
      </w:pPr>
      <w:bookmarkStart w:id="12" w:name="_heading=h.7tej3vbpoiq1" w:colFirst="0" w:colLast="0"/>
      <w:bookmarkStart w:id="13" w:name="_Toc223020972"/>
      <w:bookmarkEnd w:id="12"/>
      <w:r>
        <w:rPr>
          <w:sz w:val="22"/>
          <w:szCs w:val="22"/>
        </w:rPr>
        <w:t>C O N S I D E R A N D O S</w:t>
      </w:r>
      <w:bookmarkEnd w:id="13"/>
    </w:p>
    <w:p w14:paraId="1AB4D0E8" w14:textId="77777777" w:rsidR="00F2609F" w:rsidRDefault="00F2609F" w:rsidP="007424A2">
      <w:pPr>
        <w:spacing w:after="0" w:line="360" w:lineRule="auto"/>
        <w:rPr>
          <w:b/>
        </w:rPr>
      </w:pPr>
    </w:p>
    <w:p w14:paraId="25BF04D6" w14:textId="77777777" w:rsidR="00F2609F" w:rsidRDefault="00DA42FC" w:rsidP="007424A2">
      <w:pPr>
        <w:pStyle w:val="Ttulo2"/>
        <w:spacing w:before="0" w:after="0"/>
      </w:pPr>
      <w:bookmarkStart w:id="14" w:name="_heading=h.hmu8efeu8xub" w:colFirst="0" w:colLast="0"/>
      <w:bookmarkStart w:id="15" w:name="_Toc223020973"/>
      <w:bookmarkEnd w:id="14"/>
      <w:r>
        <w:t>PRIMERO. Competencia</w:t>
      </w:r>
      <w:bookmarkEnd w:id="15"/>
    </w:p>
    <w:p w14:paraId="2C295432" w14:textId="77777777" w:rsidR="00F2609F" w:rsidRDefault="00F2609F" w:rsidP="007424A2">
      <w:pPr>
        <w:spacing w:after="0" w:line="360" w:lineRule="auto"/>
        <w:rPr>
          <w:b/>
        </w:rPr>
      </w:pPr>
    </w:p>
    <w:p w14:paraId="1CEA9264" w14:textId="77777777" w:rsidR="004E7F2F" w:rsidRDefault="004E7F2F" w:rsidP="007424A2">
      <w:pPr>
        <w:spacing w:after="0" w:line="360" w:lineRule="auto"/>
      </w:pPr>
      <w: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w:t>
      </w:r>
      <w:r>
        <w:lastRenderedPageBreak/>
        <w:t>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78CA0DB" w14:textId="77777777" w:rsidR="00AA0E54" w:rsidRDefault="00AA0E54" w:rsidP="007424A2">
      <w:pPr>
        <w:spacing w:after="0" w:line="360" w:lineRule="auto"/>
        <w:rPr>
          <w:color w:val="auto"/>
        </w:rPr>
      </w:pPr>
    </w:p>
    <w:p w14:paraId="5427E2B0" w14:textId="77777777" w:rsidR="00F2609F" w:rsidRDefault="00DA42FC" w:rsidP="007424A2">
      <w:pPr>
        <w:pStyle w:val="Ttulo2"/>
        <w:spacing w:before="0" w:after="0"/>
      </w:pPr>
      <w:bookmarkStart w:id="16" w:name="_heading=h.jl77bz7h67m2" w:colFirst="0" w:colLast="0"/>
      <w:bookmarkStart w:id="17" w:name="_Toc223020974"/>
      <w:bookmarkEnd w:id="16"/>
      <w:r>
        <w:t>SEGUNDO. Causales de improcedencia y sobreseimiento</w:t>
      </w:r>
      <w:bookmarkEnd w:id="17"/>
    </w:p>
    <w:p w14:paraId="19306A42" w14:textId="77777777" w:rsidR="00F2609F" w:rsidRDefault="00F2609F" w:rsidP="007424A2">
      <w:pPr>
        <w:spacing w:after="0" w:line="360" w:lineRule="auto"/>
      </w:pPr>
    </w:p>
    <w:p w14:paraId="7169242A" w14:textId="77777777" w:rsidR="00F2609F" w:rsidRDefault="00DA42FC" w:rsidP="007424A2">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699D5651" w14:textId="77777777" w:rsidR="00F2609F" w:rsidRDefault="00F2609F" w:rsidP="007424A2">
      <w:pPr>
        <w:spacing w:after="0" w:line="360" w:lineRule="auto"/>
      </w:pPr>
    </w:p>
    <w:p w14:paraId="54055364" w14:textId="77777777" w:rsidR="00F2609F" w:rsidRDefault="00DA42FC" w:rsidP="007424A2">
      <w:pPr>
        <w:spacing w:after="0" w:line="360" w:lineRule="auto"/>
        <w:rPr>
          <w:b/>
        </w:rPr>
      </w:pPr>
      <w:r>
        <w:rPr>
          <w:b/>
        </w:rPr>
        <w:t>Causales de improcedencia</w:t>
      </w:r>
    </w:p>
    <w:p w14:paraId="6B5D07BB" w14:textId="77777777" w:rsidR="00F2609F" w:rsidRDefault="00F2609F" w:rsidP="007424A2">
      <w:pPr>
        <w:spacing w:after="0" w:line="360" w:lineRule="auto"/>
      </w:pPr>
    </w:p>
    <w:p w14:paraId="6AFE7A0E" w14:textId="77777777" w:rsidR="00F2609F" w:rsidRDefault="00DA42FC" w:rsidP="007424A2">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w:t>
      </w:r>
    </w:p>
    <w:p w14:paraId="3F9D654B" w14:textId="77777777" w:rsidR="00F2609F" w:rsidRDefault="00F2609F" w:rsidP="007424A2">
      <w:pPr>
        <w:spacing w:after="0" w:line="360" w:lineRule="auto"/>
      </w:pPr>
    </w:p>
    <w:p w14:paraId="1443D1FB" w14:textId="77777777" w:rsidR="00F2609F" w:rsidRDefault="00DA42FC" w:rsidP="007424A2">
      <w:pPr>
        <w:spacing w:after="0" w:line="360" w:lineRule="auto"/>
        <w:rPr>
          <w:color w:val="000000"/>
        </w:rPr>
      </w:pPr>
      <w:r>
        <w:rPr>
          <w:color w:val="000000"/>
        </w:rPr>
        <w:t>En el presente caso, </w:t>
      </w:r>
      <w:r>
        <w:rPr>
          <w:b/>
          <w:color w:val="000000"/>
        </w:rPr>
        <w:t>no se actualiza ninguna de las causales de improcedencia</w:t>
      </w:r>
      <w:r>
        <w:rPr>
          <w:color w:val="000000"/>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w:t>
      </w:r>
      <w:r>
        <w:rPr>
          <w:color w:val="000000"/>
        </w:rPr>
        <w:lastRenderedPageBreak/>
        <w:t>formó parte del agravio; ni se realizó una consulta o ampliación a los alcances del requerimiento informativo.</w:t>
      </w:r>
    </w:p>
    <w:p w14:paraId="08DB3499" w14:textId="77777777" w:rsidR="00F2609F" w:rsidRDefault="00F2609F" w:rsidP="007424A2">
      <w:pPr>
        <w:spacing w:after="0" w:line="360" w:lineRule="auto"/>
        <w:rPr>
          <w:color w:val="000000"/>
        </w:rPr>
      </w:pPr>
    </w:p>
    <w:p w14:paraId="5C7D7DB7" w14:textId="3F4E81E5" w:rsidR="00F2609F" w:rsidRDefault="00DA42FC" w:rsidP="007424A2">
      <w:pPr>
        <w:spacing w:after="0" w:line="360" w:lineRule="auto"/>
      </w:pPr>
      <w:r>
        <w:t>Por lo cual, se actualiza las causales de procedencia del Recurso de Revisión señaladas</w:t>
      </w:r>
      <w:r w:rsidR="00C93775">
        <w:t xml:space="preserve"> en el artículo 179, fracción </w:t>
      </w:r>
      <w:r w:rsidR="004E7F2F">
        <w:t>V</w:t>
      </w:r>
      <w:r w:rsidR="00C93775">
        <w:t>I</w:t>
      </w:r>
      <w:r>
        <w:t xml:space="preserve">, de la Ley en cita, pues la persona Recurrente se inconformó de </w:t>
      </w:r>
      <w:r w:rsidR="004E7F2F">
        <w:t>la entrega de información que no corresponde con lo solicitado</w:t>
      </w:r>
      <w:r w:rsidR="00C93775">
        <w:t>.</w:t>
      </w:r>
    </w:p>
    <w:p w14:paraId="1187DAC4" w14:textId="77777777" w:rsidR="00AA0E54" w:rsidRDefault="00AA0E54" w:rsidP="007424A2">
      <w:pPr>
        <w:spacing w:after="0" w:line="360" w:lineRule="auto"/>
      </w:pPr>
    </w:p>
    <w:p w14:paraId="79DA8F5D" w14:textId="77777777" w:rsidR="00F2609F" w:rsidRDefault="00DA42FC" w:rsidP="007424A2">
      <w:pPr>
        <w:spacing w:after="0" w:line="360" w:lineRule="auto"/>
        <w:ind w:right="-28"/>
        <w:rPr>
          <w:b/>
          <w:color w:val="000000"/>
        </w:rPr>
      </w:pPr>
      <w:r>
        <w:rPr>
          <w:b/>
          <w:color w:val="000000"/>
        </w:rPr>
        <w:t>Causales de sobreseimiento</w:t>
      </w:r>
    </w:p>
    <w:p w14:paraId="50BAD905" w14:textId="77777777" w:rsidR="00F2609F" w:rsidRDefault="00F2609F" w:rsidP="007424A2">
      <w:pPr>
        <w:spacing w:after="0" w:line="360" w:lineRule="auto"/>
        <w:ind w:right="-28"/>
        <w:rPr>
          <w:color w:val="000000"/>
        </w:rPr>
      </w:pPr>
    </w:p>
    <w:p w14:paraId="2B2486EF" w14:textId="77777777" w:rsidR="00F2609F" w:rsidRDefault="00DA42FC" w:rsidP="007424A2">
      <w:pPr>
        <w:spacing w:after="0" w:line="360" w:lineRule="auto"/>
        <w:rPr>
          <w:color w:val="0D0D0D"/>
        </w:rPr>
      </w:pPr>
      <w:r>
        <w:rPr>
          <w:color w:val="0D0D0D"/>
        </w:rPr>
        <w:t>Por ser de previo y especial pronunciamiento, este Instituto analiza si se actualiza alguna causal de sobreseimiento.</w:t>
      </w:r>
    </w:p>
    <w:p w14:paraId="33594ACD" w14:textId="77777777" w:rsidR="00F2609F" w:rsidRDefault="00F2609F" w:rsidP="007424A2">
      <w:pPr>
        <w:spacing w:after="0" w:line="360" w:lineRule="auto"/>
        <w:ind w:right="-28"/>
        <w:rPr>
          <w:color w:val="000000"/>
        </w:rPr>
      </w:pPr>
    </w:p>
    <w:p w14:paraId="03977B5C" w14:textId="77777777" w:rsidR="00F2609F" w:rsidRDefault="00DA42FC" w:rsidP="007424A2">
      <w:pPr>
        <w:spacing w:after="0" w:line="360" w:lineRule="auto"/>
        <w:rPr>
          <w:color w:val="000000"/>
        </w:rPr>
      </w:pPr>
      <w:r>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color w:val="0D0D0D"/>
        </w:rPr>
        <w:t xml:space="preserve"> </w:t>
      </w:r>
      <w:r>
        <w:rPr>
          <w:color w:val="0D0D0D"/>
        </w:rPr>
        <w:t>toda vez que no hay constancias en el expediente en que se actúa, de que la persona Recurrente se haya desistido, fallecido, que el Sujeto Obligado hubiese modificado o revocado el acto impugnado o bien,</w:t>
      </w:r>
      <w:r>
        <w:t xml:space="preserve"> </w:t>
      </w:r>
      <w:r>
        <w:rPr>
          <w:color w:val="0D0D0D"/>
        </w:rPr>
        <w:t>que admitido una vez admitido el Recurso de Revisión, aparezca alguna causal de improcedencia o haya quedado sin materia.</w:t>
      </w:r>
    </w:p>
    <w:p w14:paraId="65642693" w14:textId="77777777" w:rsidR="00F2609F" w:rsidRDefault="00F2609F" w:rsidP="007424A2">
      <w:pPr>
        <w:tabs>
          <w:tab w:val="left" w:pos="1155"/>
        </w:tabs>
        <w:spacing w:after="0" w:line="360" w:lineRule="auto"/>
        <w:rPr>
          <w:color w:val="000000"/>
        </w:rPr>
      </w:pPr>
    </w:p>
    <w:p w14:paraId="4E28D168" w14:textId="77777777" w:rsidR="00F2609F" w:rsidRDefault="00DA42FC" w:rsidP="007424A2">
      <w:pPr>
        <w:spacing w:after="0" w:line="360" w:lineRule="auto"/>
        <w:rPr>
          <w:color w:val="0D0D0D"/>
        </w:rPr>
      </w:pPr>
      <w:r>
        <w:rPr>
          <w:color w:val="0D0D0D"/>
        </w:rPr>
        <w:t xml:space="preserve">Por tales motivos, se considera procedente entrar al fondo del presente asunto. </w:t>
      </w:r>
    </w:p>
    <w:p w14:paraId="0EF6743A" w14:textId="77777777" w:rsidR="00F2609F" w:rsidRDefault="00F2609F" w:rsidP="007424A2">
      <w:pPr>
        <w:tabs>
          <w:tab w:val="left" w:pos="1155"/>
        </w:tabs>
        <w:spacing w:after="0" w:line="360" w:lineRule="auto"/>
        <w:rPr>
          <w:color w:val="000000"/>
        </w:rPr>
      </w:pPr>
    </w:p>
    <w:p w14:paraId="1FD588B3" w14:textId="77777777" w:rsidR="00F2609F" w:rsidRDefault="00DA42FC" w:rsidP="007424A2">
      <w:pPr>
        <w:pStyle w:val="Ttulo2"/>
        <w:spacing w:before="0" w:after="0"/>
      </w:pPr>
      <w:bookmarkStart w:id="18" w:name="_heading=h.rwn25kpb5kk4" w:colFirst="0" w:colLast="0"/>
      <w:bookmarkStart w:id="19" w:name="_Toc223020975"/>
      <w:bookmarkEnd w:id="18"/>
      <w:r>
        <w:t>TERCERO. Determinación de la Controversia</w:t>
      </w:r>
      <w:bookmarkEnd w:id="19"/>
    </w:p>
    <w:p w14:paraId="5DE9F445" w14:textId="77777777" w:rsidR="00F2609F" w:rsidRDefault="00F2609F" w:rsidP="007424A2">
      <w:pPr>
        <w:tabs>
          <w:tab w:val="left" w:pos="4962"/>
        </w:tabs>
        <w:spacing w:after="0" w:line="360" w:lineRule="auto"/>
      </w:pPr>
    </w:p>
    <w:p w14:paraId="42B07FD9" w14:textId="6B9D72B9" w:rsidR="00D87083" w:rsidRDefault="00DA42FC" w:rsidP="007424A2">
      <w:pPr>
        <w:tabs>
          <w:tab w:val="left" w:pos="4962"/>
        </w:tabs>
        <w:spacing w:after="0" w:line="360" w:lineRule="auto"/>
      </w:pPr>
      <w:r>
        <w:t xml:space="preserve">Con el objetivo de ilustrar la controversia planteada, resulta conveniente precisar, que una vez realizado el estudio de las constancias que integran el expediente en el que se actúa, se </w:t>
      </w:r>
      <w:r>
        <w:lastRenderedPageBreak/>
        <w:t xml:space="preserve">desprende que el Particular requirió </w:t>
      </w:r>
      <w:r w:rsidR="004E7F2F">
        <w:t>los recibos de nómina de las primeras dos quincenas de dos mil veinticinco.</w:t>
      </w:r>
    </w:p>
    <w:p w14:paraId="6BFFDB43" w14:textId="77777777" w:rsidR="007B34AB" w:rsidRDefault="007B34AB" w:rsidP="007424A2">
      <w:pPr>
        <w:tabs>
          <w:tab w:val="left" w:pos="4962"/>
        </w:tabs>
        <w:spacing w:after="0" w:line="360" w:lineRule="auto"/>
      </w:pPr>
    </w:p>
    <w:p w14:paraId="586A6BDE" w14:textId="483426B9" w:rsidR="00372F37" w:rsidRPr="00CF4304" w:rsidRDefault="00DA42FC" w:rsidP="007424A2">
      <w:pPr>
        <w:tabs>
          <w:tab w:val="left" w:pos="4962"/>
        </w:tabs>
        <w:spacing w:after="0" w:line="360" w:lineRule="auto"/>
        <w:rPr>
          <w:rFonts w:eastAsia="Calibri" w:cs="Tahoma"/>
          <w:iCs/>
          <w:color w:val="auto"/>
          <w:szCs w:val="24"/>
          <w:lang w:val="es-ES" w:eastAsia="es-ES_tradnl"/>
        </w:rPr>
      </w:pPr>
      <w:r>
        <w:t>En respuesta, el Sujeto Obligado</w:t>
      </w:r>
      <w:r w:rsidR="00927CF4">
        <w:t xml:space="preserve">, por medio </w:t>
      </w:r>
      <w:r w:rsidR="004E7F2F">
        <w:t xml:space="preserve">de la Subdirección de Recursos Humanos de la Dirección de Administración </w:t>
      </w:r>
      <w:r w:rsidR="00927CF4">
        <w:t xml:space="preserve"> señaló </w:t>
      </w:r>
      <w:r w:rsidR="007B34AB">
        <w:t xml:space="preserve">que la información </w:t>
      </w:r>
      <w:r w:rsidR="004E7F2F">
        <w:t>se localizaba en el Portal de Información Pública de Oficio Mexiquense, en la fracción VIII A “Remuneraciones” e indicó el procedimiento para acceder a la información</w:t>
      </w:r>
      <w:r>
        <w:t xml:space="preserve">; ante dicha circunstancia, el Particular se inconformó </w:t>
      </w:r>
      <w:r w:rsidR="004E7F2F">
        <w:t>de la entrega de información que no corresponde con lo solicitado</w:t>
      </w:r>
      <w:r w:rsidR="00927CF4">
        <w:t xml:space="preserve">, al señalar que </w:t>
      </w:r>
      <w:r w:rsidR="004E7F2F">
        <w:t>requería el documento fuente y no solamente acceder a las remuneraciones en general</w:t>
      </w:r>
      <w:r>
        <w:t>, lo cual actualiza la causal de procedencia establecida</w:t>
      </w:r>
      <w:r w:rsidR="007B34AB">
        <w:t xml:space="preserve"> en el artículo 179, fracción </w:t>
      </w:r>
      <w:r w:rsidR="004E7F2F">
        <w:t>V</w:t>
      </w:r>
      <w:r w:rsidR="007B34AB">
        <w:t>I</w:t>
      </w:r>
      <w:r>
        <w:t xml:space="preserve">, de la Ley de Transparencia y Acceso a la Información Pública del Estado de México y Municipios. </w:t>
      </w:r>
      <w:r w:rsidR="00372F37" w:rsidRPr="00CF4304">
        <w:rPr>
          <w:rFonts w:eastAsia="Calibri" w:cs="Tahoma"/>
          <w:iCs/>
          <w:color w:val="auto"/>
          <w:szCs w:val="24"/>
          <w:lang w:val="es-ES" w:eastAsia="es-ES_tradnl"/>
        </w:rPr>
        <w:t xml:space="preserve">Así las cosas, una vez admitido y notificado el Recurso de Revisión a las partes, </w:t>
      </w:r>
      <w:r w:rsidR="00927CF4">
        <w:rPr>
          <w:rFonts w:eastAsia="Calibri" w:cs="Tahoma"/>
          <w:iCs/>
          <w:color w:val="auto"/>
          <w:szCs w:val="24"/>
          <w:lang w:val="es-ES" w:eastAsia="es-ES_tradnl"/>
        </w:rPr>
        <w:t xml:space="preserve">el Sujeto Obligado </w:t>
      </w:r>
      <w:r w:rsidR="004E7F2F">
        <w:rPr>
          <w:rFonts w:eastAsia="Calibri" w:cs="Tahoma"/>
          <w:iCs/>
          <w:color w:val="auto"/>
          <w:szCs w:val="24"/>
          <w:lang w:val="es-ES" w:eastAsia="es-ES_tradnl"/>
        </w:rPr>
        <w:t>ratificó su respuesta inicial.</w:t>
      </w:r>
    </w:p>
    <w:p w14:paraId="638AC613" w14:textId="77777777" w:rsidR="00B142A4" w:rsidRPr="00A9220E" w:rsidRDefault="00B142A4" w:rsidP="007424A2">
      <w:pPr>
        <w:spacing w:after="0" w:line="360" w:lineRule="auto"/>
        <w:rPr>
          <w:color w:val="000000"/>
        </w:rPr>
      </w:pPr>
    </w:p>
    <w:p w14:paraId="4F69F2C3" w14:textId="77777777" w:rsidR="00F2609F" w:rsidRDefault="00DA42FC" w:rsidP="007424A2">
      <w:pPr>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la respuesta entregada y 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577BB650" w14:textId="448064EF" w:rsidR="00F2609F" w:rsidRDefault="00DA42FC" w:rsidP="007424A2">
      <w:pPr>
        <w:tabs>
          <w:tab w:val="left" w:pos="4962"/>
        </w:tabs>
        <w:spacing w:after="0" w:line="360" w:lineRule="auto"/>
      </w:pPr>
      <w:r>
        <w:t xml:space="preserve"> </w:t>
      </w:r>
    </w:p>
    <w:p w14:paraId="400E0815" w14:textId="77777777" w:rsidR="00F2609F" w:rsidRDefault="00DA42FC" w:rsidP="007424A2">
      <w:pPr>
        <w:pStyle w:val="Ttulo2"/>
        <w:spacing w:before="0" w:after="0"/>
      </w:pPr>
      <w:bookmarkStart w:id="20" w:name="_heading=h.69cxovp9rsjv" w:colFirst="0" w:colLast="0"/>
      <w:bookmarkStart w:id="21" w:name="_Toc223020976"/>
      <w:bookmarkEnd w:id="20"/>
      <w:r>
        <w:t>CUARTO. Marco normativo aplicable en materia de transparencia y acceso a la información pública</w:t>
      </w:r>
      <w:bookmarkEnd w:id="21"/>
    </w:p>
    <w:p w14:paraId="7558F27B" w14:textId="77777777" w:rsidR="00F2609F" w:rsidRDefault="00F2609F" w:rsidP="007424A2">
      <w:pPr>
        <w:spacing w:after="0" w:line="360" w:lineRule="auto"/>
        <w:rPr>
          <w:color w:val="000000"/>
        </w:rPr>
      </w:pPr>
    </w:p>
    <w:p w14:paraId="705B4541" w14:textId="77777777" w:rsidR="00F2609F" w:rsidRDefault="00DA42FC" w:rsidP="007424A2">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87CB018" w14:textId="77777777" w:rsidR="00F2609F" w:rsidRDefault="00F2609F" w:rsidP="007424A2">
      <w:pPr>
        <w:spacing w:after="0" w:line="360" w:lineRule="auto"/>
        <w:rPr>
          <w:color w:val="000000"/>
        </w:rPr>
      </w:pPr>
    </w:p>
    <w:p w14:paraId="5DCFA3D7" w14:textId="77777777" w:rsidR="00AA0E54" w:rsidRDefault="00AA0E54" w:rsidP="007424A2">
      <w:pPr>
        <w:spacing w:after="0" w:line="360" w:lineRule="auto"/>
        <w:rPr>
          <w:color w:val="000000"/>
        </w:rPr>
      </w:pPr>
    </w:p>
    <w:p w14:paraId="627C6EB2" w14:textId="77777777" w:rsidR="00F2609F" w:rsidRDefault="00DA42FC" w:rsidP="007424A2">
      <w:pPr>
        <w:spacing w:after="0" w:line="360" w:lineRule="auto"/>
        <w:rPr>
          <w:color w:val="000000"/>
        </w:rPr>
      </w:pPr>
      <w:r>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AF84BE" w14:textId="77777777" w:rsidR="00F2609F" w:rsidRDefault="00F2609F" w:rsidP="007424A2">
      <w:pPr>
        <w:spacing w:after="0" w:line="360" w:lineRule="auto"/>
        <w:rPr>
          <w:color w:val="000000"/>
        </w:rPr>
      </w:pPr>
    </w:p>
    <w:p w14:paraId="1A846450" w14:textId="77777777" w:rsidR="00F2609F" w:rsidRDefault="00DA42FC" w:rsidP="007424A2">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64090B21" w14:textId="77777777" w:rsidR="00F2609F" w:rsidRDefault="00F2609F" w:rsidP="007424A2">
      <w:pPr>
        <w:spacing w:after="0" w:line="360" w:lineRule="auto"/>
        <w:rPr>
          <w:color w:val="000000"/>
        </w:rPr>
      </w:pPr>
    </w:p>
    <w:p w14:paraId="49FCE86C" w14:textId="77777777" w:rsidR="00F2609F" w:rsidRDefault="00DA42FC" w:rsidP="007424A2">
      <w:pPr>
        <w:spacing w:after="0" w:line="360" w:lineRule="auto"/>
        <w:rPr>
          <w:color w:val="000000"/>
        </w:rPr>
      </w:pPr>
      <w:r>
        <w:rPr>
          <w:color w:val="000000"/>
        </w:rPr>
        <w:t xml:space="preserve">El artículo </w:t>
      </w:r>
      <w:r>
        <w:t>12 dice que</w:t>
      </w:r>
      <w:r>
        <w:rPr>
          <w:color w:val="000000"/>
        </w:rPr>
        <w:t>, quienes generen, recopilen, administren, manejen, procesen, archiven o conserven información pública serán responsables de la misma.</w:t>
      </w:r>
    </w:p>
    <w:p w14:paraId="2DDFB424" w14:textId="77777777" w:rsidR="00F2609F" w:rsidRDefault="00DA42FC" w:rsidP="007424A2">
      <w:pPr>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A0E91D5" w14:textId="77777777" w:rsidR="00F2609F" w:rsidRDefault="00F2609F" w:rsidP="007424A2">
      <w:pPr>
        <w:spacing w:after="0" w:line="360" w:lineRule="auto"/>
        <w:rPr>
          <w:color w:val="000000"/>
        </w:rPr>
      </w:pPr>
    </w:p>
    <w:p w14:paraId="1BFD8088" w14:textId="776C3498" w:rsidR="00F2609F" w:rsidRDefault="00DA42FC" w:rsidP="007424A2">
      <w:pPr>
        <w:spacing w:after="0" w:line="360" w:lineRule="auto"/>
        <w:rPr>
          <w:color w:val="000000"/>
        </w:rPr>
      </w:pPr>
      <w:r>
        <w:rPr>
          <w:color w:val="000000"/>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w:t>
      </w:r>
      <w:r w:rsidR="00A9220E">
        <w:rPr>
          <w:color w:val="000000"/>
        </w:rPr>
        <w:t>que motivaron tal circunstancia.</w:t>
      </w:r>
    </w:p>
    <w:p w14:paraId="326A09D1" w14:textId="77777777" w:rsidR="00A9220E" w:rsidRDefault="00A9220E" w:rsidP="007424A2">
      <w:pPr>
        <w:spacing w:after="0" w:line="360" w:lineRule="auto"/>
        <w:rPr>
          <w:color w:val="000000"/>
        </w:rPr>
      </w:pPr>
    </w:p>
    <w:p w14:paraId="6738A776" w14:textId="77777777" w:rsidR="00F2609F" w:rsidRDefault="00DA42FC" w:rsidP="007424A2">
      <w:pPr>
        <w:pStyle w:val="Ttulo2"/>
        <w:spacing w:before="0" w:after="0"/>
      </w:pPr>
      <w:bookmarkStart w:id="22" w:name="_heading=h.kjgrcnpzyeg7" w:colFirst="0" w:colLast="0"/>
      <w:bookmarkStart w:id="23" w:name="_Toc223020977"/>
      <w:bookmarkEnd w:id="22"/>
      <w:r>
        <w:rPr>
          <w:smallCaps/>
        </w:rPr>
        <w:t>QUINTO.</w:t>
      </w:r>
      <w:r>
        <w:t xml:space="preserve"> Estudio de Fondo</w:t>
      </w:r>
      <w:bookmarkEnd w:id="23"/>
    </w:p>
    <w:p w14:paraId="037D53B4" w14:textId="77777777" w:rsidR="00F2609F" w:rsidRDefault="00F2609F" w:rsidP="007424A2">
      <w:pPr>
        <w:spacing w:after="0" w:line="360" w:lineRule="auto"/>
      </w:pPr>
    </w:p>
    <w:p w14:paraId="2D644CD7" w14:textId="77D6E7E0" w:rsidR="00927CF4" w:rsidRDefault="00DA42FC" w:rsidP="007424A2">
      <w:pPr>
        <w:spacing w:after="0" w:line="360" w:lineRule="auto"/>
        <w:rPr>
          <w:rFonts w:eastAsia="Calibri" w:cs="Tahoma"/>
          <w:b/>
        </w:rPr>
      </w:pPr>
      <w:r>
        <w:rPr>
          <w:color w:val="0D0D0D"/>
        </w:rPr>
        <w:t>Una vez establecido lo anterior, se procede analizar los agravios hecho valer por el ahora Recurrente, para lo cual, es necesario contextuali</w:t>
      </w:r>
      <w:r w:rsidR="00A9220E">
        <w:rPr>
          <w:color w:val="0D0D0D"/>
        </w:rPr>
        <w:t>zar la solicitud de información</w:t>
      </w:r>
      <w:r w:rsidR="00927CF4">
        <w:rPr>
          <w:color w:val="0D0D0D"/>
        </w:rPr>
        <w:t xml:space="preserve">; sobre el tema, </w:t>
      </w:r>
      <w:r w:rsidR="00927CF4">
        <w:rPr>
          <w:rFonts w:eastAsia="Calibri" w:cs="Tahoma"/>
          <w:bCs/>
        </w:rPr>
        <w:t xml:space="preserve"> la Guía Técnica 9 “La Administración del Personal Municipal”, define como servidores públicos, a todas aquellas personas que prestan su trabajo al servicio del municipio, conformado </w:t>
      </w:r>
      <w:r w:rsidR="00927CF4">
        <w:rPr>
          <w:rFonts w:eastAsia="Calibri" w:cs="Tahoma"/>
          <w:bCs/>
        </w:rPr>
        <w:lastRenderedPageBreak/>
        <w:t>por las autoridades (Presidente Municipal, Síndico, Regidores, Comisarios, Delegados y Agentes Municipales), funcionarios (Secretario del Ayuntamiento, Directores, Tesoreros, Contralores y Jefes de Departamento) y empleados (puestos administrativos y técnicos).</w:t>
      </w:r>
    </w:p>
    <w:p w14:paraId="7BE4A5A0" w14:textId="77777777" w:rsidR="00927CF4" w:rsidRDefault="00927CF4" w:rsidP="007424A2">
      <w:pPr>
        <w:tabs>
          <w:tab w:val="left" w:pos="4962"/>
        </w:tabs>
        <w:spacing w:after="0" w:line="360" w:lineRule="auto"/>
        <w:rPr>
          <w:rFonts w:eastAsia="Calibri" w:cs="Tahoma"/>
          <w:iCs/>
          <w:color w:val="auto"/>
          <w:szCs w:val="24"/>
          <w:lang w:eastAsia="es-ES_tradnl"/>
        </w:rPr>
      </w:pPr>
    </w:p>
    <w:p w14:paraId="0DB2DCF2" w14:textId="77777777" w:rsidR="00927CF4" w:rsidRDefault="00927CF4" w:rsidP="007424A2">
      <w:pPr>
        <w:tabs>
          <w:tab w:val="left" w:pos="4962"/>
        </w:tabs>
        <w:spacing w:after="0" w:line="360" w:lineRule="auto"/>
        <w:rPr>
          <w:rFonts w:eastAsia="Calibri" w:cs="Tahoma"/>
          <w:bCs/>
          <w:lang w:eastAsia="en-US"/>
        </w:rPr>
      </w:pPr>
      <w:r>
        <w:rPr>
          <w:rFonts w:eastAsia="Calibri" w:cs="Tahoma"/>
          <w:bCs/>
        </w:rPr>
        <w:t>En ese contexto, en e</w:t>
      </w:r>
      <w:r>
        <w:rPr>
          <w:rFonts w:cs="Tahoma"/>
          <w:bCs/>
          <w:iCs/>
        </w:rPr>
        <w:t>l primer párrafo, del artículo 108 de la Constitución Política de los Estados Unidos Mexicanos, establece que, en materia de responsabilidades, serán servidores públicos, los representantes de elección popular, l</w:t>
      </w:r>
      <w:r>
        <w:t>os funcionarios y empleados y, en general, a toda persona que desempeñe un empleo, cargo o comisión de cualquier naturaleza dentro de la Administración Pública</w:t>
      </w:r>
      <w:r>
        <w:rPr>
          <w:rFonts w:cs="Tahoma"/>
          <w:bCs/>
          <w:iCs/>
        </w:rPr>
        <w:t>. De la misma manera, el artículo 130 de la Constitución Política del Estado Libre y Soberano de México, precisa que son servidores públicos a todas las personas que desempeñen un empleo, cargo o comisión en los Municipios.</w:t>
      </w:r>
    </w:p>
    <w:p w14:paraId="21D2E018" w14:textId="77777777" w:rsidR="00927CF4" w:rsidRDefault="00927CF4" w:rsidP="007424A2">
      <w:pPr>
        <w:widowControl w:val="0"/>
        <w:autoSpaceDE w:val="0"/>
        <w:autoSpaceDN w:val="0"/>
        <w:adjustRightInd w:val="0"/>
        <w:spacing w:after="0" w:line="360" w:lineRule="auto"/>
        <w:contextualSpacing/>
        <w:rPr>
          <w:rFonts w:eastAsia="Times New Roman" w:cs="Times New Roman"/>
          <w:color w:val="auto"/>
          <w:lang w:eastAsia="es-ES"/>
        </w:rPr>
      </w:pPr>
    </w:p>
    <w:p w14:paraId="6CD4A6B2" w14:textId="4609FDA5" w:rsidR="00927CF4" w:rsidRDefault="00927CF4" w:rsidP="007424A2">
      <w:pPr>
        <w:spacing w:after="0" w:line="360" w:lineRule="auto"/>
        <w:rPr>
          <w:rFonts w:eastAsia="Calibri" w:cs="Tahoma"/>
          <w:bCs/>
          <w:color w:val="000000"/>
          <w:lang w:val="es-ES"/>
        </w:rPr>
      </w:pPr>
      <w:r>
        <w:rPr>
          <w:rFonts w:eastAsia="Calibri" w:cs="Tahoma"/>
          <w:bCs/>
          <w:color w:val="000000"/>
          <w:lang w:val="es-ES"/>
        </w:rPr>
        <w:t xml:space="preserve">Además, el artículo 4°, fracción VI, de la Ley del Trabajo de los servidores públicos del Estado y Municipios, precisa que son </w:t>
      </w:r>
      <w:r>
        <w:rPr>
          <w:rFonts w:eastAsia="Calibri" w:cs="Tahoma"/>
          <w:b/>
          <w:bCs/>
          <w:color w:val="000000"/>
          <w:lang w:val="es-ES"/>
        </w:rPr>
        <w:t>servidores públicos</w:t>
      </w:r>
      <w:r>
        <w:rPr>
          <w:rFonts w:eastAsia="Calibri" w:cs="Tahoma"/>
          <w:bCs/>
          <w:color w:val="000000"/>
          <w:lang w:val="es-ES"/>
        </w:rPr>
        <w:t>, todas las personas físicas que presten a una institución pública un trabajo personal subordinado, mediante el pago de remuneraciones.</w:t>
      </w:r>
    </w:p>
    <w:p w14:paraId="2E773CFB" w14:textId="77777777" w:rsidR="00927CF4" w:rsidRDefault="00927CF4" w:rsidP="007424A2">
      <w:pPr>
        <w:spacing w:after="0" w:line="360" w:lineRule="auto"/>
        <w:rPr>
          <w:rFonts w:eastAsia="Calibri" w:cs="Tahoma"/>
          <w:bCs/>
          <w:color w:val="000000"/>
          <w:lang w:val="es-ES"/>
        </w:rPr>
      </w:pPr>
    </w:p>
    <w:p w14:paraId="56191B0E" w14:textId="5CA2038D" w:rsidR="00F2609F" w:rsidRDefault="004E7F2F" w:rsidP="007424A2">
      <w:pPr>
        <w:spacing w:after="0" w:line="360" w:lineRule="auto"/>
      </w:pPr>
      <w:r>
        <w:rPr>
          <w:rFonts w:eastAsia="Calibri" w:cs="Tahoma"/>
          <w:bCs/>
          <w:color w:val="000000"/>
          <w:lang w:val="es-ES"/>
        </w:rPr>
        <w:t>En ese sentido</w:t>
      </w:r>
      <w:r w:rsidR="001F79D6">
        <w:rPr>
          <w:rFonts w:eastAsia="Calibri" w:cs="Tahoma"/>
          <w:bCs/>
          <w:color w:val="000000"/>
          <w:lang w:val="es-ES"/>
        </w:rPr>
        <w:t xml:space="preserve">, </w:t>
      </w:r>
      <w:r w:rsidR="00DA42FC">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C2FC4B3" w14:textId="77777777" w:rsidR="00F2609F" w:rsidRDefault="00F2609F" w:rsidP="007424A2">
      <w:pPr>
        <w:spacing w:after="0" w:line="360" w:lineRule="auto"/>
      </w:pPr>
    </w:p>
    <w:p w14:paraId="6F99CDFB" w14:textId="77777777" w:rsidR="00F2609F" w:rsidRDefault="00DA42FC" w:rsidP="007424A2">
      <w:pPr>
        <w:spacing w:after="0" w:line="360" w:lineRule="auto"/>
      </w:pPr>
      <w: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7A8016E8" w14:textId="77777777" w:rsidR="00F2609F" w:rsidRDefault="00F2609F" w:rsidP="007424A2">
      <w:pPr>
        <w:spacing w:after="0" w:line="360" w:lineRule="auto"/>
      </w:pPr>
    </w:p>
    <w:p w14:paraId="1EFBC4E2" w14:textId="58030797" w:rsidR="00F2609F" w:rsidRDefault="00DA42FC" w:rsidP="007424A2">
      <w:pPr>
        <w:spacing w:after="0" w:line="360" w:lineRule="auto"/>
        <w:rPr>
          <w:color w:val="000000"/>
        </w:rPr>
      </w:pPr>
      <w:r>
        <w:rPr>
          <w:color w:val="000000"/>
        </w:rPr>
        <w:lastRenderedPageBreak/>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BBCDCA8" w14:textId="77777777" w:rsidR="00F2609F" w:rsidRDefault="00F2609F" w:rsidP="007424A2">
      <w:pPr>
        <w:widowControl w:val="0"/>
        <w:spacing w:after="0" w:line="360" w:lineRule="auto"/>
        <w:rPr>
          <w:color w:val="000000"/>
        </w:rPr>
      </w:pPr>
    </w:p>
    <w:p w14:paraId="5769E89B" w14:textId="1A00E2CD" w:rsidR="00F2609F" w:rsidRDefault="00DA42FC" w:rsidP="007424A2">
      <w:pPr>
        <w:spacing w:after="0" w:line="360" w:lineRule="auto"/>
        <w:rPr>
          <w:b/>
        </w:rPr>
      </w:pPr>
      <w:r>
        <w:t>Además, el Anexo IV.2 Clasificación por objeto del gasto, del Manual para la Planeación, Programación y Presupuesto de Egresos Municipal para el</w:t>
      </w:r>
      <w:r w:rsidR="00665E90">
        <w:t xml:space="preserve"> ejercicio fiscal dos mil veinticinco</w:t>
      </w:r>
      <w:r>
        <w:t xml:space="preserve">, establece que los Presupuestos de Egresos Municipales, se tendrán que generar, conforme al “Clasificador por Objeto del Gasto”, el cual se conforma de diversos capítulos, entre los cuales, se encuentra el </w:t>
      </w:r>
      <w:r>
        <w:rPr>
          <w:b/>
        </w:rPr>
        <w:t>1000 Servicios Personales</w:t>
      </w:r>
      <w:r>
        <w:t>,</w:t>
      </w:r>
      <w:r>
        <w:rPr>
          <w:b/>
        </w:rPr>
        <w:t xml:space="preserve"> que agrupa las remuneraciones del personal al servicio de los entes públicos, tales como el sueldo, salarios, dietas, honorarios, prestaciones, aguinaldo, obligaciones laborales, entre otras.</w:t>
      </w:r>
    </w:p>
    <w:p w14:paraId="150D5867" w14:textId="77777777" w:rsidR="00F2609F" w:rsidRDefault="00F2609F" w:rsidP="007424A2">
      <w:pPr>
        <w:spacing w:after="0" w:line="360" w:lineRule="auto"/>
        <w:rPr>
          <w:b/>
        </w:rPr>
      </w:pPr>
    </w:p>
    <w:p w14:paraId="3C0535F2" w14:textId="77777777" w:rsidR="00F2609F" w:rsidRDefault="00DA42FC" w:rsidP="007424A2">
      <w:pPr>
        <w:spacing w:after="0" w:line="360" w:lineRule="auto"/>
        <w:rPr>
          <w:color w:val="000000"/>
        </w:rPr>
      </w:pPr>
      <w:r>
        <w:rPr>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2EF3462E" w14:textId="77777777" w:rsidR="00F2609F" w:rsidRDefault="00F2609F" w:rsidP="007424A2">
      <w:pPr>
        <w:spacing w:after="0" w:line="360" w:lineRule="auto"/>
        <w:rPr>
          <w:color w:val="000000"/>
        </w:rPr>
      </w:pPr>
    </w:p>
    <w:p w14:paraId="45D80E34" w14:textId="77777777" w:rsidR="00F2609F" w:rsidRDefault="00DA42FC" w:rsidP="007424A2">
      <w:pPr>
        <w:spacing w:after="0" w:line="360" w:lineRule="auto"/>
        <w:ind w:left="567" w:right="567"/>
        <w:rPr>
          <w:i/>
          <w:color w:val="000000"/>
          <w:sz w:val="20"/>
          <w:szCs w:val="20"/>
        </w:rPr>
      </w:pPr>
      <w:r>
        <w:rPr>
          <w:b/>
          <w:i/>
          <w:color w:val="000000"/>
          <w:sz w:val="20"/>
          <w:szCs w:val="20"/>
        </w:rPr>
        <w:t>“RECIBOS DE PAGO</w:t>
      </w:r>
      <w:r>
        <w:rPr>
          <w:i/>
          <w:color w:val="000000"/>
          <w:sz w:val="20"/>
          <w:szCs w:val="20"/>
        </w:rPr>
        <w:t xml:space="preserve"> </w:t>
      </w:r>
      <w:r>
        <w:rPr>
          <w:b/>
          <w:i/>
          <w:color w:val="000000"/>
          <w:sz w:val="20"/>
          <w:szCs w:val="20"/>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Pr>
          <w:i/>
          <w:color w:val="000000"/>
          <w:sz w:val="20"/>
          <w:szCs w:val="20"/>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w:t>
      </w:r>
      <w:r>
        <w:rPr>
          <w:i/>
          <w:color w:val="000000"/>
          <w:sz w:val="20"/>
          <w:szCs w:val="20"/>
        </w:rPr>
        <w:lastRenderedPageBreak/>
        <w:t>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CA5C346" w14:textId="77777777" w:rsidR="00F2609F" w:rsidRDefault="00F2609F" w:rsidP="007424A2">
      <w:pPr>
        <w:spacing w:after="0" w:line="360" w:lineRule="auto"/>
        <w:rPr>
          <w:b/>
          <w:i/>
          <w:color w:val="000000"/>
        </w:rPr>
      </w:pPr>
    </w:p>
    <w:p w14:paraId="4E411ADD" w14:textId="77777777" w:rsidR="00F2609F" w:rsidRDefault="00DA42FC" w:rsidP="007424A2">
      <w:pPr>
        <w:spacing w:after="0" w:line="360" w:lineRule="auto"/>
        <w:rPr>
          <w:color w:val="000000"/>
        </w:rPr>
      </w:pPr>
      <w:r>
        <w:rPr>
          <w:color w:val="000000"/>
        </w:rPr>
        <w:t xml:space="preserve">De la tesis transcrita, se desprende que </w:t>
      </w:r>
      <w:r>
        <w:rPr>
          <w:b/>
          <w:color w:val="000000"/>
        </w:rPr>
        <w:t>en materia burocrática</w:t>
      </w:r>
      <w:r>
        <w:rPr>
          <w:color w:val="000000"/>
        </w:rPr>
        <w:t xml:space="preserve"> </w:t>
      </w:r>
      <w:r>
        <w:rPr>
          <w:b/>
          <w:color w:val="000000"/>
        </w:rPr>
        <w:t>los recibos de pago acreditan los conceptos y montos que en ellos se insertan</w:t>
      </w:r>
      <w:r>
        <w:rPr>
          <w:color w:val="000000"/>
        </w:rPr>
        <w:t xml:space="preserve"> y constituyen prueba para demostrar las percepciones y montos que reciben los servidores públicos. </w:t>
      </w:r>
    </w:p>
    <w:p w14:paraId="32B0603C" w14:textId="77777777" w:rsidR="00F2609F" w:rsidRDefault="00F2609F" w:rsidP="007424A2">
      <w:pPr>
        <w:spacing w:after="0" w:line="360" w:lineRule="auto"/>
        <w:rPr>
          <w:color w:val="000000"/>
        </w:rPr>
      </w:pPr>
    </w:p>
    <w:p w14:paraId="3368B05E" w14:textId="77777777" w:rsidR="00F2609F" w:rsidRDefault="00DA42FC" w:rsidP="007424A2">
      <w:pPr>
        <w:spacing w:after="0" w:line="360" w:lineRule="auto"/>
      </w:pPr>
      <w:r>
        <w:t>En ese orden de ideas, los Lineamientos para la integración y presentación de los Informes Trimestrales Municipales del Ejercicio Fiscal 2025, establecen que el Sujeto Obligado deberá entregar al Órgano Superior de Fiscalización, los Comprobantes Fiscales Digitales por Internet (recibos de nómina), los cuales deberán ser generados de manera quincenal.</w:t>
      </w:r>
    </w:p>
    <w:p w14:paraId="196D5AF3" w14:textId="77777777" w:rsidR="004E7F2F" w:rsidRDefault="004E7F2F" w:rsidP="007424A2">
      <w:pPr>
        <w:spacing w:after="0" w:line="360" w:lineRule="auto"/>
      </w:pPr>
    </w:p>
    <w:p w14:paraId="1E295303" w14:textId="5013678B" w:rsidR="00DE0CD6" w:rsidRDefault="00DE0CD6" w:rsidP="007424A2">
      <w:pPr>
        <w:spacing w:after="0" w:line="360" w:lineRule="auto"/>
      </w:pPr>
      <w:r>
        <w:t>Ahora bien, respecto de la persona solicitada, este Instituto revisó el apartado de Archivo Municipal de la página oficial del Ayuntamiento de Metepec, el cual contiene las Gacetas Municipales publicadas y de la cual se logra vislumbrar que desde el primero de enero de dos mil veinticinco a la fecha, la Síndica Municipal es Alva Ibarra Torres, tal como se muestra en el siguiente ejemplo:</w:t>
      </w:r>
    </w:p>
    <w:p w14:paraId="00377804" w14:textId="77777777" w:rsidR="00DE0CD6" w:rsidRDefault="00DE0CD6" w:rsidP="007424A2">
      <w:pPr>
        <w:spacing w:after="0" w:line="360" w:lineRule="auto"/>
      </w:pPr>
    </w:p>
    <w:p w14:paraId="0DB4C42F" w14:textId="131AC546" w:rsidR="00DE0CD6" w:rsidRDefault="00DE0CD6" w:rsidP="007424A2">
      <w:pPr>
        <w:spacing w:after="0" w:line="360" w:lineRule="auto"/>
        <w:jc w:val="center"/>
      </w:pPr>
      <w:r w:rsidRPr="00DE0CD6">
        <w:rPr>
          <w:noProof/>
        </w:rPr>
        <w:drawing>
          <wp:inline distT="0" distB="0" distL="0" distR="0" wp14:anchorId="050ED7DD" wp14:editId="257BED10">
            <wp:extent cx="2438740" cy="1181265"/>
            <wp:effectExtent l="0" t="0" r="0" b="0"/>
            <wp:docPr id="236139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39071" name=""/>
                    <pic:cNvPicPr/>
                  </pic:nvPicPr>
                  <pic:blipFill>
                    <a:blip r:embed="rId10"/>
                    <a:stretch>
                      <a:fillRect/>
                    </a:stretch>
                  </pic:blipFill>
                  <pic:spPr>
                    <a:xfrm>
                      <a:off x="0" y="0"/>
                      <a:ext cx="2438740" cy="1181265"/>
                    </a:xfrm>
                    <a:prstGeom prst="rect">
                      <a:avLst/>
                    </a:prstGeom>
                  </pic:spPr>
                </pic:pic>
              </a:graphicData>
            </a:graphic>
          </wp:inline>
        </w:drawing>
      </w:r>
    </w:p>
    <w:p w14:paraId="5CD61C89" w14:textId="77777777" w:rsidR="004E7F2F" w:rsidRDefault="004E7F2F" w:rsidP="007424A2">
      <w:pPr>
        <w:spacing w:after="0" w:line="360" w:lineRule="auto"/>
      </w:pPr>
    </w:p>
    <w:p w14:paraId="56ED980E" w14:textId="1AF529A4" w:rsidR="00DE0CD6" w:rsidRDefault="00DE0CD6" w:rsidP="007424A2">
      <w:pPr>
        <w:spacing w:after="0" w:line="360" w:lineRule="auto"/>
        <w:rPr>
          <w:rFonts w:eastAsia="Times New Roman" w:cs="Tahoma"/>
          <w:iCs/>
          <w:color w:val="auto"/>
          <w:lang w:eastAsia="es-ES"/>
        </w:rPr>
      </w:pPr>
      <w:r>
        <w:t>Conforme a lo anterior, se logra vislumbrar que la pretensión de la persona Recurrente es obtener los recibos de nómina de la Síndica Municipal Alva Ibarra Torres; sobre la temporalidad solicitada es necesario precisar que por una parte la persona Recurrente señaló que la información la requería de la primera y segunda quincena y por otra parte, del ejercicio fiscal dos mil veinticinco, sin señalar un mes específico; por lo que, a interpretación de este Instituto y al considerar que el año cuenta con veintiséis pagos quincenales, se colige que la pretensión de la persona Recurrente es obtener la información de la primera y segunda quincena de enero de dos mil veinticinco.</w:t>
      </w:r>
    </w:p>
    <w:p w14:paraId="6F84108A" w14:textId="77777777" w:rsidR="00DE0CD6" w:rsidRDefault="00DE0CD6" w:rsidP="007424A2">
      <w:pPr>
        <w:spacing w:after="0" w:line="360" w:lineRule="auto"/>
        <w:rPr>
          <w:rFonts w:eastAsia="Times New Roman" w:cs="Tahoma"/>
          <w:iCs/>
          <w:color w:val="auto"/>
          <w:lang w:eastAsia="es-ES"/>
        </w:rPr>
      </w:pPr>
    </w:p>
    <w:p w14:paraId="5D5A0212" w14:textId="0C34C6BE" w:rsidR="00F2609F" w:rsidRDefault="00DA42FC" w:rsidP="007424A2">
      <w:pPr>
        <w:spacing w:after="0" w:line="360" w:lineRule="auto"/>
        <w:rPr>
          <w:color w:val="0D0D0D"/>
        </w:rPr>
      </w:pPr>
      <w:r>
        <w:rPr>
          <w:color w:val="000000"/>
        </w:rPr>
        <w:t>Establecida dicha circunstancia, de las constancias que obran en el expediente electrónico, se advierte que el Sujeto Obligado</w:t>
      </w:r>
      <w:r>
        <w:rPr>
          <w:color w:val="0D0D0D"/>
        </w:rPr>
        <w:t xml:space="preserve"> turnó la solicitud de información a la </w:t>
      </w:r>
      <w:r w:rsidR="00DE0CD6">
        <w:rPr>
          <w:color w:val="0D0D0D"/>
        </w:rPr>
        <w:t>Subdirección de Recursos Humanos de la Dirección de Administración</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10E5570" w14:textId="77777777" w:rsidR="00F2609F" w:rsidRDefault="00F2609F" w:rsidP="007424A2">
      <w:pPr>
        <w:spacing w:after="0" w:line="360" w:lineRule="auto"/>
      </w:pPr>
    </w:p>
    <w:p w14:paraId="7DF08EEA" w14:textId="1232ABC5" w:rsidR="00F2609F" w:rsidRDefault="00DA42FC" w:rsidP="007424A2">
      <w:pPr>
        <w:spacing w:after="0" w:line="360" w:lineRule="auto"/>
      </w:pPr>
      <w:r>
        <w:t xml:space="preserve">En ese sentido, cabe traer a colación, </w:t>
      </w:r>
      <w:r w:rsidR="00A215E8">
        <w:t>los</w:t>
      </w:r>
      <w:r w:rsidR="00540958">
        <w:t xml:space="preserve"> artículo</w:t>
      </w:r>
      <w:r w:rsidR="00A215E8">
        <w:t>s</w:t>
      </w:r>
      <w:r w:rsidR="00540958">
        <w:t xml:space="preserve"> </w:t>
      </w:r>
      <w:r w:rsidR="00A215E8">
        <w:t>3.97, 3.98, 3.99 y 3.100</w:t>
      </w:r>
      <w:r>
        <w:t xml:space="preserve"> del </w:t>
      </w:r>
      <w:r w:rsidR="00A215E8">
        <w:t>Código de Reglamentación Municipal de Metepec</w:t>
      </w:r>
      <w:r>
        <w:t xml:space="preserve">, el cual establece que el Sujeto Obligado para el cumplimiento de sus funciones, contará </w:t>
      </w:r>
      <w:r w:rsidR="00A215E8">
        <w:t xml:space="preserve">con la Dirección de Administración encargada de coordinar, dirigir, evaluar y autorizar los programas, procesos y procedimientos para la elaboración y distribución oportuna de la nómina para el pago del personal que labora en el gobierno y la administración municipal; para lograr lo anterior, dicha área contará con la </w:t>
      </w:r>
      <w:r w:rsidR="00A215E8">
        <w:lastRenderedPageBreak/>
        <w:t>Subdirección de Recursos Humanos encargada de verificar la correcta aplicación de los pagos que se generen por concepto de sueldos y prestaciones, tanto en la elaboración de la nómina como pagos mediante recibo.</w:t>
      </w:r>
    </w:p>
    <w:p w14:paraId="2154C075" w14:textId="77777777" w:rsidR="00404815" w:rsidRDefault="00404815" w:rsidP="007424A2">
      <w:pPr>
        <w:spacing w:after="0" w:line="360" w:lineRule="auto"/>
      </w:pPr>
    </w:p>
    <w:p w14:paraId="5F07B4C8" w14:textId="70A5CB69" w:rsidR="00F2609F" w:rsidRDefault="00DA42FC" w:rsidP="007424A2">
      <w:pPr>
        <w:spacing w:after="0" w:line="360" w:lineRule="auto"/>
        <w:rPr>
          <w:color w:val="000000"/>
        </w:rPr>
      </w:pPr>
      <w:r>
        <w:rPr>
          <w:color w:val="000000"/>
        </w:rPr>
        <w:t xml:space="preserve">Así </w:t>
      </w:r>
      <w:r>
        <w:t xml:space="preserve">se logra colegir que, el Sujeto Obligado cumplió con el procedimiento de búsqueda </w:t>
      </w:r>
      <w:r>
        <w:rPr>
          <w:color w:val="000000"/>
        </w:rPr>
        <w:t>establecido en el artículo 162 de la Ley de Transparencia y Acceso a la Información Pública del Estado de México y Municipios, toda vez, que</w:t>
      </w:r>
      <w:r w:rsidR="00404815">
        <w:rPr>
          <w:color w:val="000000"/>
        </w:rPr>
        <w:t xml:space="preserve"> </w:t>
      </w:r>
      <w:r>
        <w:rPr>
          <w:color w:val="000000"/>
        </w:rPr>
        <w:t xml:space="preserve">gestionó el requerimiento de información </w:t>
      </w:r>
      <w:r w:rsidR="00A215E8">
        <w:rPr>
          <w:color w:val="000000"/>
        </w:rPr>
        <w:t>al</w:t>
      </w:r>
      <w:r>
        <w:rPr>
          <w:color w:val="000000"/>
        </w:rPr>
        <w:t xml:space="preserve"> área competente para conocer de la información solicitada</w:t>
      </w:r>
      <w:r w:rsidR="00A215E8">
        <w:rPr>
          <w:color w:val="000000"/>
        </w:rPr>
        <w:t>.</w:t>
      </w:r>
    </w:p>
    <w:p w14:paraId="45AF372B" w14:textId="77777777" w:rsidR="00F2609F" w:rsidRDefault="00F2609F" w:rsidP="007424A2">
      <w:pPr>
        <w:spacing w:after="0" w:line="360" w:lineRule="auto"/>
        <w:rPr>
          <w:color w:val="000000"/>
        </w:rPr>
      </w:pPr>
    </w:p>
    <w:p w14:paraId="6B8C033E" w14:textId="6CA1C168" w:rsidR="001D5451" w:rsidRDefault="001D5451" w:rsidP="007424A2">
      <w:pPr>
        <w:spacing w:after="0" w:line="360" w:lineRule="auto"/>
        <w:rPr>
          <w:color w:val="000000"/>
        </w:rPr>
      </w:pPr>
      <w:r>
        <w:rPr>
          <w:color w:val="000000"/>
        </w:rPr>
        <w:t xml:space="preserve">Ahora bien, es necesario señalar que en respuesta el área referida señaló que la información se localizaba en el Portal de Información Pública de Oficio Mexiquense, para lo cual indicó varios procedimientos para acceder; </w:t>
      </w:r>
      <w:r w:rsidR="001953F7">
        <w:rPr>
          <w:color w:val="000000"/>
        </w:rPr>
        <w:t>de cuya revisión se logra vislumbrar que remiten al apartado de Remuneraciones de servidores públicos, los cuales contiene diversos registros, entre los cuales se encuentra el de la Síndica Municipal, tal como se muestra en el siguiente ejemplo:</w:t>
      </w:r>
    </w:p>
    <w:p w14:paraId="667B52F3" w14:textId="77777777" w:rsidR="001953F7" w:rsidRDefault="001953F7" w:rsidP="007424A2">
      <w:pPr>
        <w:spacing w:after="0" w:line="360" w:lineRule="auto"/>
        <w:rPr>
          <w:color w:val="000000"/>
        </w:rPr>
      </w:pPr>
    </w:p>
    <w:p w14:paraId="7F496597" w14:textId="66C3B6B4" w:rsidR="001953F7" w:rsidRDefault="001953F7" w:rsidP="007424A2">
      <w:pPr>
        <w:spacing w:after="0" w:line="360" w:lineRule="auto"/>
        <w:jc w:val="center"/>
        <w:rPr>
          <w:color w:val="000000"/>
        </w:rPr>
      </w:pPr>
      <w:r w:rsidRPr="001953F7">
        <w:rPr>
          <w:noProof/>
          <w:color w:val="000000"/>
        </w:rPr>
        <w:drawing>
          <wp:inline distT="0" distB="0" distL="0" distR="0" wp14:anchorId="7D44F785" wp14:editId="659D63E6">
            <wp:extent cx="3152775" cy="3211971"/>
            <wp:effectExtent l="0" t="0" r="0" b="7620"/>
            <wp:docPr id="346298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98461" name=""/>
                    <pic:cNvPicPr/>
                  </pic:nvPicPr>
                  <pic:blipFill>
                    <a:blip r:embed="rId11"/>
                    <a:stretch>
                      <a:fillRect/>
                    </a:stretch>
                  </pic:blipFill>
                  <pic:spPr>
                    <a:xfrm>
                      <a:off x="0" y="0"/>
                      <a:ext cx="3162832" cy="3222216"/>
                    </a:xfrm>
                    <a:prstGeom prst="rect">
                      <a:avLst/>
                    </a:prstGeom>
                  </pic:spPr>
                </pic:pic>
              </a:graphicData>
            </a:graphic>
          </wp:inline>
        </w:drawing>
      </w:r>
    </w:p>
    <w:p w14:paraId="5D434B17" w14:textId="77777777" w:rsidR="00AA0E54" w:rsidRDefault="00AA0E54" w:rsidP="007424A2">
      <w:pPr>
        <w:spacing w:after="0" w:line="360" w:lineRule="auto"/>
        <w:jc w:val="center"/>
        <w:rPr>
          <w:color w:val="000000"/>
        </w:rPr>
      </w:pPr>
    </w:p>
    <w:p w14:paraId="55A85D0D" w14:textId="368006CF" w:rsidR="001953F7" w:rsidRDefault="001953F7" w:rsidP="007424A2">
      <w:pPr>
        <w:spacing w:after="0" w:line="360" w:lineRule="auto"/>
        <w:rPr>
          <w:color w:val="000000"/>
        </w:rPr>
      </w:pPr>
      <w:r>
        <w:rPr>
          <w:color w:val="000000"/>
        </w:rPr>
        <w:t xml:space="preserve">Conforme a lo anterior, este Instituto considera que si bien el Sujeto Obligado señaló la forma de acceder a información general de las remuneraciones de la </w:t>
      </w:r>
      <w:proofErr w:type="spellStart"/>
      <w:r>
        <w:rPr>
          <w:color w:val="000000"/>
        </w:rPr>
        <w:t>Sindico</w:t>
      </w:r>
      <w:proofErr w:type="spellEnd"/>
      <w:r>
        <w:rPr>
          <w:color w:val="000000"/>
        </w:rPr>
        <w:t xml:space="preserve"> Municipal, lo cierto es que no corresponde con lo solicitado, pues la pretensión de la persona Recurrente, es obtener el documento fuente comprobatorio del pago de sueldos, lo cual se traduce al recibo de nómina.</w:t>
      </w:r>
    </w:p>
    <w:p w14:paraId="43DA8386" w14:textId="77777777" w:rsidR="001953F7" w:rsidRDefault="001953F7" w:rsidP="007424A2">
      <w:pPr>
        <w:spacing w:after="0" w:line="360" w:lineRule="auto"/>
        <w:rPr>
          <w:color w:val="000000"/>
        </w:rPr>
      </w:pPr>
    </w:p>
    <w:p w14:paraId="023A2332" w14:textId="63851C90" w:rsidR="001D5451" w:rsidRDefault="001953F7" w:rsidP="007424A2">
      <w:pPr>
        <w:spacing w:after="0" w:line="360" w:lineRule="auto"/>
        <w:rPr>
          <w:color w:val="000000"/>
        </w:rPr>
      </w:pPr>
      <w:r>
        <w:rPr>
          <w:color w:val="000000"/>
        </w:rPr>
        <w:t>En otras palabras, si bien la información proporcionada guarda cierta relación con las remuneraciones, no corresponde con lo peticionado inicialmente, por lo cual, la respuesta de la Dirección de Administración</w:t>
      </w:r>
      <w:r w:rsidR="007424A2">
        <w:rPr>
          <w:color w:val="000000"/>
        </w:rPr>
        <w:t xml:space="preserve"> resulta incongruente;</w:t>
      </w:r>
      <w:r w:rsidR="001D5451">
        <w:rPr>
          <w:color w:val="000000"/>
        </w:rPr>
        <w:t xml:space="preserve"> </w:t>
      </w:r>
      <w:r w:rsidR="001D5451">
        <w:rPr>
          <w:rFonts w:cs="Tahoma"/>
          <w:bCs/>
          <w:iCs/>
          <w:color w:val="000000"/>
          <w:lang w:val="es-ES"/>
        </w:rPr>
        <w:t>s</w:t>
      </w:r>
      <w:r w:rsidR="001D5451">
        <w:rPr>
          <w:rFonts w:eastAsia="Calibri" w:cs="Tahoma"/>
          <w:color w:val="000000"/>
          <w:lang w:val="es-ES"/>
        </w:rPr>
        <w:t xml:space="preserve">obre el tema </w:t>
      </w:r>
      <w:r w:rsidR="001D5451">
        <w:rPr>
          <w:rFonts w:eastAsia="Calibri"/>
          <w:color w:val="000000"/>
        </w:rPr>
        <w:t xml:space="preserve">el </w:t>
      </w:r>
      <w:r w:rsidR="001D5451">
        <w:rPr>
          <w:rFonts w:cs="Tahoma"/>
          <w:color w:val="000000"/>
          <w:lang w:val="es-ES"/>
        </w:rPr>
        <w:t>artículo 1.8, fracción IX, del Código Administrativo del Estado de México, establece que para que un acto administrativo tenga validez, deberá guardar congruencia con lo solicitado.</w:t>
      </w:r>
    </w:p>
    <w:p w14:paraId="0B64DA8F" w14:textId="77777777" w:rsidR="001D5451" w:rsidRDefault="001D5451" w:rsidP="007424A2">
      <w:pPr>
        <w:spacing w:after="0" w:line="360" w:lineRule="auto"/>
        <w:rPr>
          <w:rFonts w:eastAsia="Times New Roman" w:cs="Tahoma"/>
          <w:color w:val="000000"/>
          <w:lang w:val="es-ES" w:eastAsia="es-ES"/>
        </w:rPr>
      </w:pPr>
    </w:p>
    <w:p w14:paraId="37214591" w14:textId="77777777" w:rsidR="001D5451" w:rsidRDefault="001D5451" w:rsidP="007424A2">
      <w:pPr>
        <w:tabs>
          <w:tab w:val="center" w:pos="4522"/>
        </w:tabs>
        <w:spacing w:after="0" w:line="360" w:lineRule="auto"/>
        <w:rPr>
          <w:rFonts w:eastAsia="Calibri" w:cs="Times New Roman"/>
          <w:color w:val="000000"/>
        </w:rPr>
      </w:pPr>
      <w:r>
        <w:rPr>
          <w:rFonts w:eastAsia="Calibri"/>
          <w:color w:val="000000"/>
        </w:rPr>
        <w:t xml:space="preserve">Situación que se robustece, con </w:t>
      </w:r>
      <w:r>
        <w:rPr>
          <w:rFonts w:eastAsia="Calibri" w:cs="Tahoma"/>
          <w:bCs/>
          <w:color w:val="000000"/>
          <w:lang w:val="es-ES"/>
        </w:rPr>
        <w:t>el Criterio Orientador</w:t>
      </w:r>
      <w:r>
        <w:rPr>
          <w:rFonts w:eastAsia="Calibri" w:cs="Tahoma"/>
          <w:bCs/>
          <w:color w:val="000000"/>
          <w:lang w:val="x-none"/>
        </w:rPr>
        <w:t xml:space="preserve">, con clave de control </w:t>
      </w:r>
      <w:r>
        <w:rPr>
          <w:rFonts w:eastAsia="Calibri" w:cs="Tahoma"/>
          <w:bCs/>
          <w:color w:val="000000"/>
          <w:lang w:val="es-ES"/>
        </w:rPr>
        <w:t xml:space="preserve">SO/002/2017, de la Segunda Época, emitido por el entonces Instituto Nacional de Transparencia, Acceso a la Información y Protección de Datos Personales vigente a la fecha de la solicitud, que </w:t>
      </w:r>
      <w:r>
        <w:rPr>
          <w:rFonts w:eastAsia="Calibri"/>
          <w:color w:val="000000"/>
        </w:rPr>
        <w:t xml:space="preserve">establece que todo acto administrativo debe apegarse al </w:t>
      </w:r>
      <w:r>
        <w:rPr>
          <w:rFonts w:eastAsia="Calibri"/>
          <w:b/>
          <w:bCs/>
          <w:color w:val="000000"/>
        </w:rPr>
        <w:t>principio de congruencia</w:t>
      </w:r>
      <w:r>
        <w:rPr>
          <w:rFonts w:eastAsia="Calibri"/>
          <w:color w:val="000000"/>
        </w:rPr>
        <w:t xml:space="preserve">, entendiendo por éste que </w:t>
      </w:r>
      <w:r>
        <w:rPr>
          <w:rFonts w:eastAsia="Calibri" w:cs="Tahoma"/>
          <w:bCs/>
          <w:iCs/>
          <w:color w:val="000000"/>
        </w:rPr>
        <w:t>exista concordancia entre el requerimiento formulado por el particular y la respuesta proporcionada por el sujeto obligado</w:t>
      </w:r>
      <w:r>
        <w:rPr>
          <w:rFonts w:eastAsia="Calibri"/>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2769D31" w14:textId="77777777" w:rsidR="001D5451" w:rsidRDefault="001D5451" w:rsidP="007424A2">
      <w:pPr>
        <w:tabs>
          <w:tab w:val="center" w:pos="4522"/>
        </w:tabs>
        <w:spacing w:after="0" w:line="360" w:lineRule="auto"/>
        <w:rPr>
          <w:rFonts w:eastAsia="Calibri"/>
          <w:color w:val="000000"/>
        </w:rPr>
      </w:pPr>
    </w:p>
    <w:p w14:paraId="6B791CF7" w14:textId="44614A53" w:rsidR="001D5451" w:rsidRDefault="001D5451" w:rsidP="007424A2">
      <w:pPr>
        <w:spacing w:after="0" w:line="360" w:lineRule="auto"/>
        <w:rPr>
          <w:rFonts w:eastAsia="Calibri"/>
          <w:color w:val="000000"/>
        </w:rPr>
      </w:pPr>
      <w:r>
        <w:rPr>
          <w:rFonts w:eastAsia="Calibri"/>
          <w:color w:val="000000"/>
        </w:rPr>
        <w:t xml:space="preserve">Derivado de lo anterior, se logra vislumbrar que el Sujeto Obligado no atendió de manera correcta la solicitud de información, </w:t>
      </w:r>
      <w:r w:rsidR="007424A2">
        <w:rPr>
          <w:rFonts w:eastAsia="Calibri"/>
          <w:color w:val="000000"/>
        </w:rPr>
        <w:t xml:space="preserve">pues proporcionó información que no corresponde con lo solicitado, </w:t>
      </w:r>
      <w:r>
        <w:rPr>
          <w:rFonts w:eastAsia="Calibri"/>
          <w:color w:val="000000"/>
        </w:rPr>
        <w:t xml:space="preserve">lo cual da como resultado que el agravio sea </w:t>
      </w:r>
      <w:r>
        <w:rPr>
          <w:rFonts w:eastAsia="Calibri"/>
          <w:b/>
          <w:bCs/>
          <w:color w:val="000000"/>
        </w:rPr>
        <w:t>FUNDADO.</w:t>
      </w:r>
    </w:p>
    <w:p w14:paraId="499D19C5" w14:textId="77777777" w:rsidR="001D5451" w:rsidRDefault="001D5451" w:rsidP="007424A2">
      <w:pPr>
        <w:spacing w:after="0" w:line="360" w:lineRule="auto"/>
        <w:rPr>
          <w:color w:val="000000"/>
        </w:rPr>
      </w:pPr>
    </w:p>
    <w:p w14:paraId="38D5EAD4" w14:textId="77777777" w:rsidR="00AA0E54" w:rsidRDefault="00AA0E54" w:rsidP="007424A2">
      <w:pPr>
        <w:spacing w:after="0" w:line="360" w:lineRule="auto"/>
        <w:rPr>
          <w:color w:val="000000"/>
        </w:rPr>
      </w:pPr>
    </w:p>
    <w:p w14:paraId="0B9FE700" w14:textId="376AE122" w:rsidR="007424A2" w:rsidRPr="007424A2" w:rsidRDefault="007424A2" w:rsidP="007424A2">
      <w:pPr>
        <w:widowControl w:val="0"/>
        <w:spacing w:after="0" w:line="360" w:lineRule="auto"/>
        <w:rPr>
          <w:color w:val="auto"/>
          <w:lang w:eastAsia="es-ES"/>
        </w:rPr>
      </w:pPr>
      <w:r w:rsidRPr="007424A2">
        <w:rPr>
          <w:color w:val="auto"/>
          <w:lang w:eastAsia="es-ES"/>
        </w:rPr>
        <w:lastRenderedPageBreak/>
        <w:t xml:space="preserve">Así, este Instituto considera que, para atender el requerimiento de información, el Sujeto Obligado deberá realizar una búsqueda exhaustiva y razonable en todas las áreas competentes, entre las cuales no podrá omitir </w:t>
      </w:r>
      <w:r>
        <w:rPr>
          <w:color w:val="auto"/>
          <w:lang w:eastAsia="es-ES"/>
        </w:rPr>
        <w:t>a la Dirección de Administración</w:t>
      </w:r>
      <w:r w:rsidRPr="007424A2">
        <w:rPr>
          <w:color w:val="auto"/>
          <w:lang w:eastAsia="es-ES"/>
        </w:rPr>
        <w:t xml:space="preserve">, en términos del artículo 162 de la Ley de Transparencia y Acceso a la Información Pública del Estado de México y Municipios, a efecto de que proporcione </w:t>
      </w:r>
      <w:r>
        <w:rPr>
          <w:color w:val="auto"/>
          <w:lang w:eastAsia="es-ES"/>
        </w:rPr>
        <w:t>los recibos de nómina solicitados.</w:t>
      </w:r>
    </w:p>
    <w:p w14:paraId="106D9EC7" w14:textId="77777777" w:rsidR="007424A2" w:rsidRPr="007424A2" w:rsidRDefault="007424A2" w:rsidP="007424A2">
      <w:pPr>
        <w:widowControl w:val="0"/>
        <w:spacing w:after="0" w:line="360" w:lineRule="auto"/>
        <w:rPr>
          <w:color w:val="auto"/>
          <w:lang w:eastAsia="es-ES"/>
        </w:rPr>
      </w:pPr>
    </w:p>
    <w:p w14:paraId="5870FF79" w14:textId="77777777" w:rsidR="007424A2" w:rsidRPr="007424A2" w:rsidRDefault="007424A2" w:rsidP="007424A2">
      <w:pPr>
        <w:widowControl w:val="0"/>
        <w:spacing w:after="0" w:line="360" w:lineRule="auto"/>
        <w:rPr>
          <w:color w:val="auto"/>
          <w:lang w:eastAsia="es-ES"/>
        </w:rPr>
      </w:pPr>
      <w:r w:rsidRPr="007424A2">
        <w:rPr>
          <w:color w:val="auto"/>
          <w:lang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205B43B" w14:textId="77777777" w:rsidR="007424A2" w:rsidRPr="007424A2" w:rsidRDefault="007424A2" w:rsidP="007424A2">
      <w:pPr>
        <w:widowControl w:val="0"/>
        <w:spacing w:after="0" w:line="360" w:lineRule="auto"/>
        <w:rPr>
          <w:color w:val="auto"/>
          <w:lang w:eastAsia="es-ES"/>
        </w:rPr>
      </w:pPr>
    </w:p>
    <w:p w14:paraId="2FDFE4CC" w14:textId="77777777" w:rsidR="007424A2" w:rsidRPr="007424A2" w:rsidRDefault="007424A2" w:rsidP="007424A2">
      <w:pPr>
        <w:widowControl w:val="0"/>
        <w:spacing w:after="0" w:line="360" w:lineRule="auto"/>
        <w:rPr>
          <w:color w:val="auto"/>
          <w:lang w:eastAsia="es-ES"/>
        </w:rPr>
      </w:pPr>
      <w:r w:rsidRPr="007424A2">
        <w:rPr>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7424A2">
        <w:rPr>
          <w:i/>
          <w:color w:val="auto"/>
          <w:lang w:eastAsia="es-ES"/>
        </w:rPr>
        <w:t>ad hoc</w:t>
      </w:r>
      <w:r w:rsidRPr="007424A2">
        <w:rPr>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B5923C7" w14:textId="77777777" w:rsidR="007424A2" w:rsidRPr="007424A2" w:rsidRDefault="007424A2" w:rsidP="007424A2">
      <w:pPr>
        <w:widowControl w:val="0"/>
        <w:spacing w:after="0" w:line="360" w:lineRule="auto"/>
        <w:rPr>
          <w:color w:val="auto"/>
          <w:lang w:eastAsia="es-ES"/>
        </w:rPr>
      </w:pPr>
    </w:p>
    <w:p w14:paraId="65BE6694" w14:textId="1D454879" w:rsidR="007424A2" w:rsidRPr="007424A2" w:rsidRDefault="007424A2" w:rsidP="007424A2">
      <w:pPr>
        <w:widowControl w:val="0"/>
        <w:spacing w:after="0" w:line="360" w:lineRule="auto"/>
        <w:rPr>
          <w:color w:val="auto"/>
          <w:lang w:eastAsia="es-ES"/>
        </w:rPr>
      </w:pPr>
      <w:r w:rsidRPr="007424A2">
        <w:rPr>
          <w:color w:val="auto"/>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Pr>
          <w:color w:val="auto"/>
          <w:lang w:eastAsia="es-ES"/>
        </w:rPr>
        <w:t>la información de la Síndica Municipal de las primeras dos quincenas pagadas durante el dos mil veinticinco.</w:t>
      </w:r>
    </w:p>
    <w:p w14:paraId="54721B13" w14:textId="77777777" w:rsidR="007424A2" w:rsidRPr="007424A2" w:rsidRDefault="007424A2" w:rsidP="007424A2">
      <w:pPr>
        <w:widowControl w:val="0"/>
        <w:spacing w:after="0" w:line="360" w:lineRule="auto"/>
        <w:rPr>
          <w:b/>
          <w:color w:val="FF0000"/>
          <w:lang w:eastAsia="es-ES"/>
        </w:rPr>
      </w:pPr>
    </w:p>
    <w:p w14:paraId="3885838A" w14:textId="13752014" w:rsidR="007424A2" w:rsidRPr="007424A2" w:rsidRDefault="007424A2" w:rsidP="007424A2">
      <w:pPr>
        <w:spacing w:after="0" w:line="360" w:lineRule="auto"/>
        <w:rPr>
          <w:rFonts w:eastAsia="Times New Roman" w:cs="Tahoma"/>
          <w:bCs/>
          <w:iCs/>
          <w:color w:val="auto"/>
        </w:rPr>
      </w:pPr>
      <w:r w:rsidRPr="007424A2">
        <w:rPr>
          <w:rFonts w:eastAsia="Times New Roman" w:cs="Times New Roman"/>
          <w:color w:val="auto"/>
          <w:lang w:eastAsia="es-ES"/>
        </w:rPr>
        <w:lastRenderedPageBreak/>
        <w:t xml:space="preserve">Ahora bien, dentro de la información que se ordena entregar, la misma pudiera contener </w:t>
      </w:r>
      <w:r>
        <w:rPr>
          <w:rFonts w:eastAsia="Times New Roman" w:cs="Times New Roman"/>
          <w:color w:val="auto"/>
          <w:lang w:eastAsia="es-ES"/>
        </w:rPr>
        <w:t>datos o información confidencial</w:t>
      </w:r>
      <w:r w:rsidRPr="007424A2">
        <w:rPr>
          <w:rFonts w:eastAsia="Times New Roman" w:cs="Times New Roman"/>
          <w:color w:val="auto"/>
          <w:lang w:eastAsia="es-ES"/>
        </w:rPr>
        <w:t xml:space="preserve">, por lo que de manera oficiosa, se procede a analizar de forma enunciativa, diversos datos que pudieran contener los recibos de nómina; sobre el tema, </w:t>
      </w:r>
      <w:r w:rsidRPr="007424A2">
        <w:rPr>
          <w:rFonts w:eastAsia="Times New Roman" w:cs="Tahoma"/>
          <w:bCs/>
          <w:iCs/>
          <w:color w:val="auto"/>
        </w:rPr>
        <w:t>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75142497" w14:textId="77777777" w:rsidR="007424A2" w:rsidRPr="007424A2" w:rsidRDefault="007424A2" w:rsidP="007424A2">
      <w:pPr>
        <w:spacing w:after="0" w:line="360" w:lineRule="auto"/>
        <w:contextualSpacing/>
        <w:rPr>
          <w:rFonts w:eastAsia="Times New Roman" w:cs="Tahoma"/>
          <w:bCs/>
          <w:iCs/>
          <w:color w:val="auto"/>
        </w:rPr>
      </w:pPr>
    </w:p>
    <w:p w14:paraId="20CC9E6F" w14:textId="77777777" w:rsidR="007424A2" w:rsidRPr="007424A2" w:rsidRDefault="007424A2" w:rsidP="007424A2">
      <w:pPr>
        <w:spacing w:after="0" w:line="360" w:lineRule="auto"/>
        <w:contextualSpacing/>
        <w:rPr>
          <w:rFonts w:eastAsia="Times New Roman" w:cs="Tahoma"/>
          <w:bCs/>
          <w:iCs/>
          <w:color w:val="auto"/>
        </w:rPr>
      </w:pPr>
      <w:r w:rsidRPr="007424A2">
        <w:rPr>
          <w:rFonts w:eastAsia="Times New Roman" w:cs="Tahoma"/>
          <w:bCs/>
          <w:iCs/>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7424A2">
        <w:rPr>
          <w:rFonts w:eastAsia="Times New Roman" w:cs="Tahoma"/>
          <w:bCs/>
          <w:iCs/>
          <w:color w:val="auto"/>
        </w:rPr>
        <w:t>ii</w:t>
      </w:r>
      <w:proofErr w:type="spellEnd"/>
      <w:r w:rsidRPr="007424A2">
        <w:rPr>
          <w:rFonts w:eastAsia="Times New Roman" w:cs="Tahoma"/>
          <w:bCs/>
          <w:iCs/>
          <w:color w:val="auto"/>
        </w:rPr>
        <w:t xml:space="preserve">) por ley tenga el carácter de pública, </w:t>
      </w:r>
      <w:proofErr w:type="spellStart"/>
      <w:r w:rsidRPr="007424A2">
        <w:rPr>
          <w:rFonts w:eastAsia="Times New Roman" w:cs="Tahoma"/>
          <w:bCs/>
          <w:iCs/>
          <w:color w:val="auto"/>
        </w:rPr>
        <w:t>iii</w:t>
      </w:r>
      <w:proofErr w:type="spellEnd"/>
      <w:r w:rsidRPr="007424A2">
        <w:rPr>
          <w:rFonts w:eastAsia="Times New Roman" w:cs="Tahoma"/>
          <w:bCs/>
          <w:iCs/>
          <w:color w:val="auto"/>
        </w:rPr>
        <w:t xml:space="preserve">) exista una orden judicial, </w:t>
      </w:r>
      <w:proofErr w:type="spellStart"/>
      <w:r w:rsidRPr="007424A2">
        <w:rPr>
          <w:rFonts w:eastAsia="Times New Roman" w:cs="Tahoma"/>
          <w:bCs/>
          <w:iCs/>
          <w:color w:val="auto"/>
        </w:rPr>
        <w:t>iv</w:t>
      </w:r>
      <w:proofErr w:type="spellEnd"/>
      <w:r w:rsidRPr="007424A2">
        <w:rPr>
          <w:rFonts w:eastAsia="Times New Roman" w:cs="Tahoma"/>
          <w:bCs/>
          <w:iCs/>
          <w:color w:val="auto"/>
        </w:rPr>
        <w:t>) por razones de seguridad nacional y salubridad general o v) para proteger los derechos de terceros o cuando se transmita entre sujetos obligados en términos de los tratados y los acuerdos interinstitucionales.</w:t>
      </w:r>
    </w:p>
    <w:p w14:paraId="64E6B940" w14:textId="77777777" w:rsidR="007424A2" w:rsidRPr="007424A2" w:rsidRDefault="007424A2" w:rsidP="007424A2">
      <w:pPr>
        <w:spacing w:after="0" w:line="360" w:lineRule="auto"/>
        <w:contextualSpacing/>
        <w:rPr>
          <w:rFonts w:eastAsia="Times New Roman" w:cs="Tahoma"/>
          <w:bCs/>
          <w:iCs/>
          <w:color w:val="auto"/>
        </w:rPr>
      </w:pPr>
    </w:p>
    <w:p w14:paraId="025DBD8C" w14:textId="77777777" w:rsidR="007424A2" w:rsidRPr="007424A2" w:rsidRDefault="007424A2" w:rsidP="007424A2">
      <w:pPr>
        <w:spacing w:after="0" w:line="360" w:lineRule="auto"/>
        <w:contextualSpacing/>
        <w:rPr>
          <w:rFonts w:eastAsia="Times New Roman" w:cs="Tahoma"/>
          <w:bCs/>
          <w:iCs/>
          <w:color w:val="auto"/>
        </w:rPr>
      </w:pPr>
      <w:r w:rsidRPr="007424A2">
        <w:rPr>
          <w:rFonts w:eastAsia="Times New Roman" w:cs="Tahoma"/>
          <w:bCs/>
          <w:iCs/>
          <w:color w:val="auto"/>
        </w:rPr>
        <w:t>En términos de lo expuesto, la documentación y aquellos datos que se consideren confidenciales, serán una limitante del derecho de acceso a la información, siempre y cuando:</w:t>
      </w:r>
    </w:p>
    <w:p w14:paraId="613D498C" w14:textId="77777777" w:rsidR="007424A2" w:rsidRPr="007424A2" w:rsidRDefault="007424A2" w:rsidP="007424A2">
      <w:pPr>
        <w:spacing w:after="0" w:line="360" w:lineRule="auto"/>
        <w:contextualSpacing/>
        <w:rPr>
          <w:rFonts w:eastAsia="Times New Roman" w:cs="Tahoma"/>
          <w:bCs/>
          <w:iCs/>
          <w:color w:val="auto"/>
        </w:rPr>
      </w:pPr>
    </w:p>
    <w:p w14:paraId="073B67B7" w14:textId="77777777" w:rsidR="007424A2" w:rsidRPr="007424A2" w:rsidRDefault="007424A2" w:rsidP="007424A2">
      <w:pPr>
        <w:numPr>
          <w:ilvl w:val="0"/>
          <w:numId w:val="23"/>
        </w:numPr>
        <w:spacing w:after="0" w:line="360" w:lineRule="auto"/>
        <w:contextualSpacing/>
        <w:jc w:val="left"/>
        <w:rPr>
          <w:rFonts w:eastAsia="Times New Roman" w:cs="Tahoma"/>
          <w:bCs/>
          <w:iCs/>
          <w:color w:val="auto"/>
        </w:rPr>
      </w:pPr>
      <w:r w:rsidRPr="007424A2">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0D069886" w14:textId="77777777" w:rsidR="007424A2" w:rsidRPr="007424A2" w:rsidRDefault="007424A2" w:rsidP="007424A2">
      <w:pPr>
        <w:numPr>
          <w:ilvl w:val="0"/>
          <w:numId w:val="23"/>
        </w:numPr>
        <w:spacing w:after="0" w:line="360" w:lineRule="auto"/>
        <w:contextualSpacing/>
        <w:jc w:val="left"/>
        <w:rPr>
          <w:rFonts w:eastAsia="Times New Roman" w:cs="Tahoma"/>
          <w:bCs/>
          <w:iCs/>
          <w:color w:val="auto"/>
        </w:rPr>
      </w:pPr>
      <w:r w:rsidRPr="007424A2">
        <w:rPr>
          <w:rFonts w:eastAsia="Times New Roman" w:cs="Tahoma"/>
          <w:bCs/>
          <w:iCs/>
          <w:color w:val="auto"/>
        </w:rPr>
        <w:t xml:space="preserve">Para la difusión de los datos, se requiera el consentimiento del titular. </w:t>
      </w:r>
    </w:p>
    <w:p w14:paraId="5115F344" w14:textId="77777777" w:rsidR="007424A2" w:rsidRPr="007424A2" w:rsidRDefault="007424A2" w:rsidP="007424A2">
      <w:pPr>
        <w:spacing w:after="0" w:line="360" w:lineRule="auto"/>
        <w:contextualSpacing/>
        <w:rPr>
          <w:rFonts w:eastAsia="Times New Roman" w:cs="Tahoma"/>
          <w:bCs/>
          <w:iCs/>
          <w:color w:val="auto"/>
        </w:rPr>
      </w:pPr>
    </w:p>
    <w:p w14:paraId="1D222E3E" w14:textId="256A4014" w:rsidR="007424A2" w:rsidRPr="007424A2" w:rsidRDefault="007424A2" w:rsidP="007424A2">
      <w:pPr>
        <w:spacing w:after="0" w:line="360" w:lineRule="auto"/>
        <w:contextualSpacing/>
        <w:rPr>
          <w:rFonts w:eastAsia="Times New Roman" w:cs="Tahoma"/>
          <w:bCs/>
          <w:iCs/>
          <w:color w:val="auto"/>
        </w:rPr>
      </w:pPr>
      <w:r w:rsidRPr="007424A2">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7424A2">
        <w:rPr>
          <w:rFonts w:eastAsia="Times New Roman" w:cs="Tahoma"/>
          <w:bCs/>
          <w:iCs/>
          <w:color w:val="auto"/>
        </w:rPr>
        <w:lastRenderedPageBreak/>
        <w:t xml:space="preserve">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r>
        <w:rPr>
          <w:rFonts w:eastAsia="Times New Roman" w:cs="Tahoma"/>
          <w:bCs/>
          <w:iCs/>
          <w:color w:val="auto"/>
        </w:rPr>
        <w:t>Bajo esos parámetros se procede analizar los siguientes datos:</w:t>
      </w:r>
    </w:p>
    <w:p w14:paraId="0CC10F17" w14:textId="77777777" w:rsidR="007424A2" w:rsidRPr="007424A2" w:rsidRDefault="007424A2" w:rsidP="007424A2">
      <w:pPr>
        <w:spacing w:after="0" w:line="360" w:lineRule="auto"/>
        <w:rPr>
          <w:rFonts w:eastAsia="Calibri" w:cs="Tahoma"/>
          <w:color w:val="auto"/>
          <w:szCs w:val="20"/>
          <w:lang w:eastAsia="es-ES"/>
        </w:rPr>
      </w:pPr>
    </w:p>
    <w:p w14:paraId="1872C78A" w14:textId="77777777" w:rsidR="007424A2" w:rsidRPr="007424A2" w:rsidRDefault="007424A2" w:rsidP="007424A2">
      <w:pPr>
        <w:numPr>
          <w:ilvl w:val="0"/>
          <w:numId w:val="21"/>
        </w:numPr>
        <w:spacing w:after="0" w:line="360" w:lineRule="auto"/>
        <w:contextualSpacing/>
        <w:jc w:val="left"/>
        <w:rPr>
          <w:rFonts w:eastAsia="Times New Roman" w:cs="Tahoma"/>
          <w:b/>
          <w:bCs/>
          <w:iCs/>
          <w:color w:val="auto"/>
          <w:lang w:val="es-ES_tradnl"/>
        </w:rPr>
      </w:pPr>
      <w:r w:rsidRPr="007424A2">
        <w:rPr>
          <w:rFonts w:eastAsia="Calibri" w:cs="Tahoma"/>
          <w:b/>
          <w:bCs/>
          <w:iCs/>
          <w:color w:val="auto"/>
        </w:rPr>
        <w:t>C</w:t>
      </w:r>
      <w:r w:rsidRPr="007424A2">
        <w:rPr>
          <w:rFonts w:eastAsia="Calibri" w:cs="Tahoma"/>
          <w:b/>
          <w:bCs/>
          <w:iCs/>
          <w:color w:val="auto"/>
          <w:lang w:val="es-ES_tradnl"/>
        </w:rPr>
        <w:t>lave Única de Registro de Población (CURP)</w:t>
      </w:r>
    </w:p>
    <w:p w14:paraId="065DAC3D" w14:textId="77777777" w:rsidR="007424A2" w:rsidRPr="007424A2" w:rsidRDefault="007424A2" w:rsidP="007424A2">
      <w:pPr>
        <w:spacing w:after="0" w:line="360" w:lineRule="auto"/>
        <w:rPr>
          <w:rFonts w:eastAsia="Calibri" w:cs="Tahoma"/>
          <w:bCs/>
          <w:iCs/>
          <w:color w:val="auto"/>
        </w:rPr>
      </w:pPr>
    </w:p>
    <w:p w14:paraId="52A54EFD"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AD42DE8" w14:textId="77777777" w:rsidR="007424A2" w:rsidRPr="007424A2" w:rsidRDefault="007424A2" w:rsidP="007424A2">
      <w:pPr>
        <w:spacing w:after="0" w:line="360" w:lineRule="auto"/>
        <w:rPr>
          <w:rFonts w:eastAsia="Calibri" w:cs="Tahoma"/>
          <w:bCs/>
          <w:iCs/>
          <w:color w:val="auto"/>
        </w:rPr>
      </w:pPr>
    </w:p>
    <w:p w14:paraId="28F1E9A3"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39CC936" w14:textId="77777777" w:rsidR="007424A2" w:rsidRPr="007424A2" w:rsidRDefault="007424A2" w:rsidP="007424A2">
      <w:pPr>
        <w:spacing w:after="0" w:line="360" w:lineRule="auto"/>
        <w:rPr>
          <w:rFonts w:eastAsia="Calibri" w:cs="Tahoma"/>
          <w:bCs/>
          <w:iCs/>
          <w:color w:val="auto"/>
        </w:rPr>
      </w:pPr>
    </w:p>
    <w:p w14:paraId="10E002E6"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424A2">
        <w:rPr>
          <w:rFonts w:eastAsia="Calibri" w:cs="Tahoma"/>
          <w:b/>
          <w:bCs/>
          <w:iCs/>
          <w:color w:val="auto"/>
        </w:rPr>
        <w:t>se generan a partir de los datos contenidos en el documento probatorio de la identidad</w:t>
      </w:r>
      <w:r w:rsidRPr="007424A2">
        <w:rPr>
          <w:rFonts w:eastAsia="Calibri" w:cs="Tahoma"/>
          <w:bCs/>
          <w:iCs/>
          <w:color w:val="auto"/>
        </w:rPr>
        <w:t xml:space="preserve"> </w:t>
      </w:r>
      <w:r w:rsidRPr="007424A2">
        <w:rPr>
          <w:rFonts w:eastAsia="Calibri" w:cs="Tahoma"/>
          <w:b/>
          <w:bCs/>
          <w:iCs/>
          <w:color w:val="auto"/>
        </w:rPr>
        <w:t xml:space="preserve">del interesado </w:t>
      </w:r>
      <w:r w:rsidRPr="007424A2">
        <w:rPr>
          <w:rFonts w:eastAsia="Calibri" w:cs="Tahoma"/>
          <w:bCs/>
          <w:iCs/>
          <w:color w:val="auto"/>
        </w:rPr>
        <w:t>(acta de nacimiento, carta de naturalización o documento migratorio) de la siguiente forma:</w:t>
      </w:r>
    </w:p>
    <w:p w14:paraId="7CDBE2B4" w14:textId="77777777" w:rsidR="007424A2" w:rsidRPr="007424A2" w:rsidRDefault="007424A2" w:rsidP="007424A2">
      <w:pPr>
        <w:spacing w:after="0" w:line="360" w:lineRule="auto"/>
        <w:rPr>
          <w:rFonts w:eastAsia="Calibri" w:cs="Tahoma"/>
          <w:bCs/>
          <w:iCs/>
          <w:color w:val="auto"/>
        </w:rPr>
      </w:pPr>
    </w:p>
    <w:p w14:paraId="1A951997" w14:textId="77777777" w:rsidR="007424A2" w:rsidRPr="007424A2" w:rsidRDefault="007424A2" w:rsidP="007424A2">
      <w:pPr>
        <w:numPr>
          <w:ilvl w:val="0"/>
          <w:numId w:val="25"/>
        </w:numPr>
        <w:spacing w:after="0" w:line="360" w:lineRule="auto"/>
        <w:jc w:val="left"/>
        <w:rPr>
          <w:rFonts w:eastAsia="Calibri" w:cs="Tahoma"/>
          <w:bCs/>
          <w:iCs/>
          <w:color w:val="auto"/>
        </w:rPr>
      </w:pPr>
      <w:r w:rsidRPr="007424A2">
        <w:rPr>
          <w:rFonts w:eastAsia="Calibri" w:cs="Tahoma"/>
          <w:bCs/>
          <w:iCs/>
          <w:color w:val="auto"/>
        </w:rPr>
        <w:lastRenderedPageBreak/>
        <w:t>El primero y segundo apellidos, así como al nombre de pila;</w:t>
      </w:r>
    </w:p>
    <w:p w14:paraId="6503759E" w14:textId="77777777" w:rsidR="007424A2" w:rsidRDefault="007424A2" w:rsidP="007424A2">
      <w:pPr>
        <w:numPr>
          <w:ilvl w:val="0"/>
          <w:numId w:val="25"/>
        </w:numPr>
        <w:spacing w:after="0" w:line="360" w:lineRule="auto"/>
        <w:jc w:val="left"/>
        <w:rPr>
          <w:rFonts w:eastAsia="Calibri" w:cs="Tahoma"/>
          <w:bCs/>
          <w:iCs/>
          <w:color w:val="auto"/>
        </w:rPr>
      </w:pPr>
      <w:r w:rsidRPr="007424A2">
        <w:rPr>
          <w:rFonts w:eastAsia="Calibri" w:cs="Tahoma"/>
          <w:bCs/>
          <w:iCs/>
          <w:color w:val="auto"/>
        </w:rPr>
        <w:t>La fecha de nacimiento;</w:t>
      </w:r>
    </w:p>
    <w:p w14:paraId="50C41E57" w14:textId="77777777" w:rsidR="007424A2" w:rsidRPr="007424A2" w:rsidRDefault="007424A2" w:rsidP="007424A2">
      <w:pPr>
        <w:numPr>
          <w:ilvl w:val="0"/>
          <w:numId w:val="25"/>
        </w:numPr>
        <w:spacing w:after="0" w:line="360" w:lineRule="auto"/>
        <w:jc w:val="left"/>
        <w:rPr>
          <w:rFonts w:eastAsia="Calibri" w:cs="Tahoma"/>
          <w:bCs/>
          <w:iCs/>
          <w:color w:val="auto"/>
        </w:rPr>
      </w:pPr>
      <w:r w:rsidRPr="007424A2">
        <w:rPr>
          <w:rFonts w:eastAsia="Calibri" w:cs="Tahoma"/>
          <w:bCs/>
          <w:iCs/>
          <w:color w:val="auto"/>
        </w:rPr>
        <w:t>El sexo, y</w:t>
      </w:r>
    </w:p>
    <w:p w14:paraId="0ECCD7AF" w14:textId="77777777" w:rsidR="007424A2" w:rsidRPr="007424A2" w:rsidRDefault="007424A2" w:rsidP="007424A2">
      <w:pPr>
        <w:numPr>
          <w:ilvl w:val="0"/>
          <w:numId w:val="25"/>
        </w:numPr>
        <w:spacing w:after="0" w:line="360" w:lineRule="auto"/>
        <w:jc w:val="left"/>
        <w:rPr>
          <w:rFonts w:eastAsia="Calibri" w:cs="Tahoma"/>
          <w:bCs/>
          <w:iCs/>
          <w:color w:val="auto"/>
        </w:rPr>
      </w:pPr>
      <w:r w:rsidRPr="007424A2">
        <w:rPr>
          <w:rFonts w:eastAsia="Calibri" w:cs="Tahoma"/>
          <w:bCs/>
          <w:iCs/>
          <w:color w:val="auto"/>
        </w:rPr>
        <w:t>La entidad federativa de nacimiento.</w:t>
      </w:r>
    </w:p>
    <w:p w14:paraId="637B1383" w14:textId="77777777" w:rsidR="007424A2" w:rsidRPr="007424A2" w:rsidRDefault="007424A2" w:rsidP="007424A2">
      <w:pPr>
        <w:spacing w:after="0" w:line="360" w:lineRule="auto"/>
        <w:rPr>
          <w:rFonts w:eastAsia="Calibri" w:cs="Tahoma"/>
          <w:bCs/>
          <w:iCs/>
          <w:color w:val="auto"/>
        </w:rPr>
      </w:pPr>
    </w:p>
    <w:p w14:paraId="03A8789D"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Los dos últimos elementos de la Clave Única de Registro de Población evitan la duplicidad de la Clave y garantizan su correcta integración.</w:t>
      </w:r>
    </w:p>
    <w:p w14:paraId="7127C15A" w14:textId="77777777" w:rsidR="007424A2" w:rsidRPr="007424A2" w:rsidRDefault="007424A2" w:rsidP="007424A2">
      <w:pPr>
        <w:spacing w:after="0" w:line="360" w:lineRule="auto"/>
        <w:rPr>
          <w:rFonts w:eastAsia="Calibri" w:cs="Tahoma"/>
          <w:bCs/>
          <w:iCs/>
          <w:color w:val="auto"/>
        </w:rPr>
      </w:pPr>
    </w:p>
    <w:p w14:paraId="1D317AE1"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E43D3D9" w14:textId="77777777" w:rsidR="007424A2" w:rsidRPr="007424A2" w:rsidRDefault="007424A2" w:rsidP="007424A2">
      <w:pPr>
        <w:spacing w:after="0" w:line="360" w:lineRule="auto"/>
        <w:rPr>
          <w:rFonts w:eastAsia="Calibri" w:cs="Tahoma"/>
          <w:bCs/>
          <w:iCs/>
          <w:color w:val="auto"/>
        </w:rPr>
      </w:pPr>
    </w:p>
    <w:p w14:paraId="5B22D198"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Situación que se robustece, con el </w:t>
      </w:r>
      <w:r w:rsidRPr="007424A2">
        <w:rPr>
          <w:rFonts w:eastAsia="Calibri" w:cs="Tahoma"/>
          <w:bCs/>
          <w:iCs/>
          <w:color w:val="auto"/>
          <w:lang w:val="es-ES" w:eastAsia="en-US"/>
        </w:rPr>
        <w:t xml:space="preserve">Criterio Orientador, de la Segunda Época, con número de registro </w:t>
      </w:r>
      <w:r w:rsidRPr="007424A2">
        <w:rPr>
          <w:rFonts w:eastAsia="Calibri" w:cs="Tahoma"/>
          <w:bCs/>
          <w:iCs/>
          <w:color w:val="auto"/>
          <w:lang w:eastAsia="en-US"/>
        </w:rPr>
        <w:t>SO/018/2017</w:t>
      </w:r>
      <w:r w:rsidRPr="007424A2">
        <w:rPr>
          <w:rFonts w:eastAsia="Calibri" w:cs="Tahoma"/>
          <w:bCs/>
          <w:iCs/>
          <w:color w:val="auto"/>
        </w:rPr>
        <w:t>, emitido por el entonces Instituto Nacional de Transparencia, Acceso a la Información y Protección de Datos Personales, que establece lo siguiente:</w:t>
      </w:r>
    </w:p>
    <w:p w14:paraId="61CFA309" w14:textId="77777777" w:rsidR="007424A2" w:rsidRPr="007424A2" w:rsidRDefault="007424A2" w:rsidP="007424A2">
      <w:pPr>
        <w:spacing w:after="0" w:line="360" w:lineRule="auto"/>
        <w:rPr>
          <w:rFonts w:eastAsia="Calibri" w:cs="Tahoma"/>
          <w:bCs/>
          <w:iCs/>
          <w:color w:val="auto"/>
        </w:rPr>
      </w:pPr>
    </w:p>
    <w:p w14:paraId="75AE82E8" w14:textId="77777777" w:rsidR="007424A2" w:rsidRPr="007424A2" w:rsidRDefault="007424A2" w:rsidP="007424A2">
      <w:pPr>
        <w:spacing w:after="0" w:line="360" w:lineRule="auto"/>
        <w:ind w:left="567" w:right="567"/>
        <w:contextualSpacing/>
        <w:rPr>
          <w:rFonts w:eastAsia="Calibri" w:cs="Tahoma"/>
          <w:bCs/>
          <w:i/>
          <w:iCs/>
          <w:color w:val="auto"/>
          <w:sz w:val="18"/>
          <w:szCs w:val="18"/>
        </w:rPr>
      </w:pPr>
      <w:r w:rsidRPr="007424A2">
        <w:rPr>
          <w:rFonts w:eastAsia="Calibri" w:cs="Tahoma"/>
          <w:b/>
          <w:bCs/>
          <w:i/>
          <w:iCs/>
          <w:color w:val="auto"/>
          <w:sz w:val="20"/>
          <w:szCs w:val="20"/>
        </w:rPr>
        <w:t xml:space="preserve">“Clave Única de Registro de Población (CURP). </w:t>
      </w:r>
      <w:r w:rsidRPr="007424A2">
        <w:rPr>
          <w:rFonts w:eastAsia="Calibri"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E0FB09" w14:textId="77777777" w:rsidR="007424A2" w:rsidRPr="007424A2" w:rsidRDefault="007424A2" w:rsidP="007424A2">
      <w:pPr>
        <w:spacing w:after="0" w:line="360" w:lineRule="auto"/>
        <w:rPr>
          <w:rFonts w:eastAsia="Calibri" w:cs="Tahoma"/>
          <w:bCs/>
          <w:i/>
          <w:iCs/>
          <w:color w:val="auto"/>
        </w:rPr>
      </w:pPr>
    </w:p>
    <w:p w14:paraId="4C0B72BE"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De acuerdo con lo anterior, resulta procedente la clasificación de </w:t>
      </w:r>
      <w:r w:rsidRPr="007424A2">
        <w:rPr>
          <w:rFonts w:eastAsia="Calibri" w:cs="Tahoma"/>
          <w:b/>
          <w:bCs/>
          <w:iCs/>
          <w:color w:val="auto"/>
        </w:rPr>
        <w:t>la Clave Única de Registro de Población</w:t>
      </w:r>
      <w:r w:rsidRPr="007424A2">
        <w:rPr>
          <w:rFonts w:eastAsia="Calibri" w:cs="Tahoma"/>
          <w:bCs/>
          <w:iCs/>
          <w:color w:val="auto"/>
        </w:rPr>
        <w:t xml:space="preserve">, por tratarse de un dato personal confidencial, en términos del artículo 143, fracción </w:t>
      </w:r>
      <w:r w:rsidRPr="007424A2">
        <w:rPr>
          <w:rFonts w:eastAsia="Calibri" w:cs="Tahoma"/>
          <w:bCs/>
          <w:iCs/>
          <w:color w:val="auto"/>
        </w:rPr>
        <w:lastRenderedPageBreak/>
        <w:t xml:space="preserve">I, de la Ley de Transparencia y Acceso a la Información Pública del Estado de México y Municipios. </w:t>
      </w:r>
    </w:p>
    <w:p w14:paraId="6E3DC122" w14:textId="77777777" w:rsidR="007424A2" w:rsidRPr="007424A2" w:rsidRDefault="007424A2" w:rsidP="007424A2">
      <w:pPr>
        <w:spacing w:after="0" w:line="360" w:lineRule="auto"/>
        <w:rPr>
          <w:rFonts w:eastAsia="Calibri" w:cs="Tahoma"/>
          <w:bCs/>
          <w:iCs/>
          <w:color w:val="auto"/>
        </w:rPr>
      </w:pPr>
    </w:p>
    <w:p w14:paraId="52271496" w14:textId="77777777" w:rsidR="007424A2" w:rsidRPr="007424A2" w:rsidRDefault="007424A2" w:rsidP="007424A2">
      <w:pPr>
        <w:numPr>
          <w:ilvl w:val="0"/>
          <w:numId w:val="21"/>
        </w:numPr>
        <w:spacing w:after="0" w:line="360" w:lineRule="auto"/>
        <w:contextualSpacing/>
        <w:jc w:val="left"/>
        <w:rPr>
          <w:rFonts w:eastAsia="Calibri" w:cs="Tahoma"/>
          <w:b/>
          <w:bCs/>
          <w:iCs/>
          <w:color w:val="auto"/>
          <w:lang w:val="es-ES_tradnl"/>
        </w:rPr>
      </w:pPr>
      <w:r w:rsidRPr="007424A2">
        <w:rPr>
          <w:rFonts w:eastAsia="Calibri" w:cs="Tahoma"/>
          <w:b/>
          <w:bCs/>
          <w:iCs/>
          <w:color w:val="auto"/>
          <w:lang w:val="es-ES_tradnl"/>
        </w:rPr>
        <w:t>Registro Federal de Contribuyentes (RFC)</w:t>
      </w:r>
    </w:p>
    <w:p w14:paraId="404D933D" w14:textId="77777777" w:rsidR="007424A2" w:rsidRPr="007424A2" w:rsidRDefault="007424A2" w:rsidP="007424A2">
      <w:pPr>
        <w:spacing w:after="0" w:line="360" w:lineRule="auto"/>
        <w:rPr>
          <w:rFonts w:eastAsia="Calibri" w:cs="Tahoma"/>
          <w:bCs/>
          <w:iCs/>
          <w:color w:val="auto"/>
        </w:rPr>
      </w:pPr>
    </w:p>
    <w:p w14:paraId="7B164F57"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1EEC80D" w14:textId="77777777" w:rsidR="007424A2" w:rsidRPr="007424A2" w:rsidRDefault="007424A2" w:rsidP="007424A2">
      <w:pPr>
        <w:spacing w:after="0" w:line="360" w:lineRule="auto"/>
        <w:rPr>
          <w:rFonts w:eastAsia="Calibri" w:cs="Tahoma"/>
          <w:bCs/>
          <w:iCs/>
          <w:color w:val="auto"/>
        </w:rPr>
      </w:pPr>
    </w:p>
    <w:p w14:paraId="607D4F8C"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De acuerdo a lo establecido en el artículo en comento, esta clave se compone de trece caracteres alfanuméricos, con datos obtenidos de los apellidos, nombre(s), fecha de nacimiento del titular, más una </w:t>
      </w:r>
      <w:proofErr w:type="spellStart"/>
      <w:r w:rsidRPr="007424A2">
        <w:rPr>
          <w:rFonts w:eastAsia="Calibri" w:cs="Tahoma"/>
          <w:bCs/>
          <w:iCs/>
          <w:color w:val="auto"/>
        </w:rPr>
        <w:t>homoclave</w:t>
      </w:r>
      <w:proofErr w:type="spellEnd"/>
      <w:r w:rsidRPr="007424A2">
        <w:rPr>
          <w:rFonts w:eastAsia="Calibri" w:cs="Tahoma"/>
          <w:bCs/>
          <w:iCs/>
          <w:color w:val="auto"/>
        </w:rPr>
        <w:t xml:space="preserve"> que establece el sistema automático del Servicio de Administración Tributaria.</w:t>
      </w:r>
    </w:p>
    <w:p w14:paraId="426189DF" w14:textId="77777777" w:rsidR="007424A2" w:rsidRPr="007424A2" w:rsidRDefault="007424A2" w:rsidP="007424A2">
      <w:pPr>
        <w:spacing w:after="0" w:line="360" w:lineRule="auto"/>
        <w:rPr>
          <w:rFonts w:eastAsia="Calibri" w:cs="Tahoma"/>
          <w:bCs/>
          <w:iCs/>
          <w:color w:val="auto"/>
        </w:rPr>
      </w:pPr>
    </w:p>
    <w:p w14:paraId="32F30BF3"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11E3E3F" w14:textId="77777777" w:rsidR="007424A2" w:rsidRPr="007424A2" w:rsidRDefault="007424A2" w:rsidP="007424A2">
      <w:pPr>
        <w:spacing w:after="0" w:line="360" w:lineRule="auto"/>
        <w:rPr>
          <w:rFonts w:eastAsia="Calibri" w:cs="Tahoma"/>
          <w:bCs/>
          <w:iCs/>
          <w:color w:val="auto"/>
        </w:rPr>
      </w:pPr>
    </w:p>
    <w:p w14:paraId="7046CFF9"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7424A2">
        <w:rPr>
          <w:rFonts w:eastAsia="Calibri" w:cs="Tahoma"/>
          <w:bCs/>
          <w:iCs/>
          <w:color w:val="auto"/>
        </w:rPr>
        <w:lastRenderedPageBreak/>
        <w:t xml:space="preserve">involucrada, en el pago de estos, en el presente caso, del pago del Impuesto Sobre el Producto del Trabajo. </w:t>
      </w:r>
    </w:p>
    <w:p w14:paraId="67A58289" w14:textId="77777777" w:rsidR="007424A2" w:rsidRPr="007424A2" w:rsidRDefault="007424A2" w:rsidP="007424A2">
      <w:pPr>
        <w:spacing w:after="0" w:line="360" w:lineRule="auto"/>
        <w:rPr>
          <w:rFonts w:eastAsia="Calibri" w:cs="Tahoma"/>
          <w:bCs/>
          <w:iCs/>
          <w:color w:val="auto"/>
        </w:rPr>
      </w:pPr>
    </w:p>
    <w:p w14:paraId="538D9E01"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Lo anterior, resulta congruente con el </w:t>
      </w:r>
      <w:r w:rsidRPr="007424A2">
        <w:rPr>
          <w:rFonts w:eastAsia="Calibri" w:cs="Tahoma"/>
          <w:bCs/>
          <w:iCs/>
          <w:color w:val="auto"/>
          <w:lang w:val="es-ES" w:eastAsia="en-US"/>
        </w:rPr>
        <w:t xml:space="preserve">Criterio Orientador, de la Segunda Época, con número de registro </w:t>
      </w:r>
      <w:r w:rsidRPr="007424A2">
        <w:rPr>
          <w:rFonts w:eastAsia="Calibri" w:cs="Tahoma"/>
          <w:bCs/>
          <w:iCs/>
          <w:color w:val="auto"/>
          <w:lang w:eastAsia="en-US"/>
        </w:rPr>
        <w:t xml:space="preserve">SO/019/2017, </w:t>
      </w:r>
      <w:r w:rsidRPr="007424A2">
        <w:rPr>
          <w:rFonts w:eastAsia="Calibri" w:cs="Tahoma"/>
          <w:bCs/>
          <w:iCs/>
          <w:color w:val="auto"/>
        </w:rPr>
        <w:t>emitido por el entonces Instituto Nacional de Transparencia, Acceso a la Información y Protección de Datos Personales, en el cual se señala lo siguiente:</w:t>
      </w:r>
    </w:p>
    <w:p w14:paraId="7AF37D34" w14:textId="77777777" w:rsidR="007424A2" w:rsidRPr="007424A2" w:rsidRDefault="007424A2" w:rsidP="007424A2">
      <w:pPr>
        <w:spacing w:after="0" w:line="360" w:lineRule="auto"/>
        <w:rPr>
          <w:rFonts w:eastAsia="Calibri" w:cs="Tahoma"/>
          <w:bCs/>
          <w:iCs/>
          <w:color w:val="auto"/>
        </w:rPr>
      </w:pPr>
    </w:p>
    <w:p w14:paraId="6A1722DB" w14:textId="77777777" w:rsidR="007424A2" w:rsidRPr="007424A2" w:rsidRDefault="007424A2" w:rsidP="007424A2">
      <w:pPr>
        <w:spacing w:after="0" w:line="360" w:lineRule="auto"/>
        <w:ind w:left="567" w:right="567"/>
        <w:contextualSpacing/>
        <w:rPr>
          <w:rFonts w:eastAsia="Calibri" w:cs="Tahoma"/>
          <w:bCs/>
          <w:i/>
          <w:iCs/>
          <w:color w:val="auto"/>
          <w:sz w:val="18"/>
          <w:szCs w:val="18"/>
        </w:rPr>
      </w:pPr>
      <w:r w:rsidRPr="007424A2">
        <w:rPr>
          <w:rFonts w:eastAsia="Calibri" w:cs="Tahoma"/>
          <w:b/>
          <w:bCs/>
          <w:i/>
          <w:iCs/>
          <w:color w:val="auto"/>
          <w:sz w:val="20"/>
          <w:szCs w:val="20"/>
        </w:rPr>
        <w:t>“Registro Federal de Contribuyentes (RFC) de personas físicas.</w:t>
      </w:r>
      <w:r w:rsidRPr="007424A2">
        <w:rPr>
          <w:rFonts w:eastAsia="Calibr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14A12C37" w14:textId="77777777" w:rsidR="007424A2" w:rsidRPr="007424A2" w:rsidRDefault="007424A2" w:rsidP="007424A2">
      <w:pPr>
        <w:spacing w:after="0" w:line="360" w:lineRule="auto"/>
        <w:rPr>
          <w:rFonts w:eastAsia="Calibri" w:cs="Tahoma"/>
          <w:bCs/>
          <w:iCs/>
          <w:color w:val="auto"/>
        </w:rPr>
      </w:pPr>
    </w:p>
    <w:p w14:paraId="0629E8BD"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0D25B54" w14:textId="77777777" w:rsidR="007424A2" w:rsidRPr="007424A2" w:rsidRDefault="007424A2" w:rsidP="007424A2">
      <w:pPr>
        <w:spacing w:after="0" w:line="360" w:lineRule="auto"/>
        <w:rPr>
          <w:rFonts w:eastAsia="Calibri" w:cs="Tahoma"/>
          <w:bCs/>
          <w:iCs/>
          <w:color w:val="FF0000"/>
        </w:rPr>
      </w:pPr>
    </w:p>
    <w:p w14:paraId="71064F9F" w14:textId="77777777" w:rsidR="007424A2" w:rsidRPr="007424A2" w:rsidRDefault="007424A2" w:rsidP="007424A2">
      <w:pPr>
        <w:numPr>
          <w:ilvl w:val="0"/>
          <w:numId w:val="21"/>
        </w:numPr>
        <w:spacing w:after="0" w:line="360" w:lineRule="auto"/>
        <w:contextualSpacing/>
        <w:jc w:val="left"/>
        <w:rPr>
          <w:rFonts w:eastAsia="Calibri" w:cs="Tahoma"/>
          <w:b/>
          <w:bCs/>
          <w:iCs/>
          <w:color w:val="auto"/>
          <w:lang w:eastAsia="en-US"/>
        </w:rPr>
      </w:pPr>
      <w:r w:rsidRPr="007424A2">
        <w:rPr>
          <w:rFonts w:eastAsia="Calibri" w:cs="Tahoma"/>
          <w:b/>
          <w:bCs/>
          <w:iCs/>
          <w:color w:val="auto"/>
          <w:lang w:eastAsia="en-US"/>
        </w:rPr>
        <w:t xml:space="preserve">Código bidimensional o </w:t>
      </w:r>
      <w:proofErr w:type="spellStart"/>
      <w:r w:rsidRPr="007424A2">
        <w:rPr>
          <w:rFonts w:eastAsia="Calibri" w:cs="Tahoma"/>
          <w:b/>
          <w:bCs/>
          <w:iCs/>
          <w:color w:val="auto"/>
          <w:lang w:eastAsia="en-US"/>
        </w:rPr>
        <w:t>Qr</w:t>
      </w:r>
      <w:proofErr w:type="spellEnd"/>
    </w:p>
    <w:p w14:paraId="1A298A1D" w14:textId="77777777" w:rsidR="007424A2" w:rsidRPr="007424A2" w:rsidRDefault="007424A2" w:rsidP="007424A2">
      <w:pPr>
        <w:spacing w:after="0" w:line="360" w:lineRule="auto"/>
        <w:rPr>
          <w:rFonts w:eastAsia="Calibri" w:cs="Tahoma"/>
          <w:b/>
          <w:bCs/>
          <w:iCs/>
          <w:color w:val="auto"/>
          <w:lang w:eastAsia="en-US"/>
        </w:rPr>
      </w:pPr>
    </w:p>
    <w:p w14:paraId="46A43E0C" w14:textId="284EE8F6" w:rsidR="007424A2" w:rsidRPr="007424A2" w:rsidRDefault="007424A2" w:rsidP="007424A2">
      <w:pPr>
        <w:spacing w:after="0" w:line="360" w:lineRule="auto"/>
        <w:rPr>
          <w:rFonts w:eastAsia="Calibri" w:cs="Tahoma"/>
          <w:bCs/>
          <w:color w:val="auto"/>
          <w:lang w:eastAsia="en-US"/>
        </w:rPr>
      </w:pPr>
      <w:r w:rsidRPr="007424A2">
        <w:rPr>
          <w:rFonts w:eastAsia="Calibri" w:cs="Tahoma"/>
          <w:bCs/>
          <w:color w:val="auto"/>
          <w:lang w:eastAsia="en-US"/>
        </w:rPr>
        <w:t xml:space="preserve">En principio, resulta necesario señalar que los comprobantes fiscales digitales por Internet, deben de incluir un código bidimensional conforme al formato </w:t>
      </w:r>
      <w:r w:rsidRPr="007424A2">
        <w:rPr>
          <w:rFonts w:eastAsia="Calibri" w:cs="Tahoma"/>
          <w:bCs/>
          <w:i/>
          <w:color w:val="auto"/>
          <w:lang w:eastAsia="en-US"/>
        </w:rPr>
        <w:t>QR Code (Quick Response Code)</w:t>
      </w:r>
      <w:r w:rsidRPr="007424A2">
        <w:rPr>
          <w:rFonts w:eastAsia="Calibri" w:cs="Tahoma"/>
          <w:bCs/>
          <w:color w:val="auto"/>
          <w:lang w:eastAsia="en-US"/>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25ED1F16" w14:textId="77777777" w:rsidR="007424A2" w:rsidRPr="007424A2" w:rsidRDefault="007424A2" w:rsidP="007424A2">
      <w:pPr>
        <w:spacing w:after="0" w:line="360" w:lineRule="auto"/>
        <w:rPr>
          <w:rFonts w:eastAsia="Calibri" w:cs="Tahoma"/>
          <w:bCs/>
          <w:color w:val="auto"/>
          <w:lang w:eastAsia="en-US"/>
        </w:rPr>
      </w:pPr>
    </w:p>
    <w:p w14:paraId="14CE68D6" w14:textId="77777777" w:rsidR="007424A2" w:rsidRPr="007424A2" w:rsidRDefault="007424A2" w:rsidP="007424A2">
      <w:pPr>
        <w:spacing w:after="0" w:line="360" w:lineRule="auto"/>
        <w:rPr>
          <w:rFonts w:eastAsia="Calibri" w:cs="Tahoma"/>
          <w:bCs/>
          <w:color w:val="auto"/>
          <w:lang w:eastAsia="en-US"/>
        </w:rPr>
      </w:pPr>
      <w:r w:rsidRPr="007424A2">
        <w:rPr>
          <w:rFonts w:eastAsia="Calibri" w:cs="Tahoma"/>
          <w:bCs/>
          <w:color w:val="auto"/>
          <w:lang w:eastAsia="en-US"/>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D98850D" w14:textId="77777777" w:rsidR="007424A2" w:rsidRPr="007424A2" w:rsidRDefault="007424A2" w:rsidP="007424A2">
      <w:pPr>
        <w:spacing w:after="0" w:line="360" w:lineRule="auto"/>
        <w:rPr>
          <w:rFonts w:eastAsia="Calibri" w:cs="Tahoma"/>
          <w:bCs/>
          <w:color w:val="FF0000"/>
          <w:lang w:eastAsia="en-US"/>
        </w:rPr>
      </w:pPr>
    </w:p>
    <w:p w14:paraId="6F351D1C" w14:textId="77777777" w:rsidR="007424A2" w:rsidRPr="007424A2" w:rsidRDefault="007424A2" w:rsidP="007424A2">
      <w:pPr>
        <w:numPr>
          <w:ilvl w:val="0"/>
          <w:numId w:val="21"/>
        </w:numPr>
        <w:spacing w:after="0" w:line="360" w:lineRule="auto"/>
        <w:contextualSpacing/>
        <w:jc w:val="left"/>
        <w:rPr>
          <w:rFonts w:eastAsia="Times New Roman" w:cs="Tahoma"/>
          <w:b/>
          <w:bCs/>
          <w:iCs/>
          <w:color w:val="auto"/>
        </w:rPr>
      </w:pPr>
      <w:r w:rsidRPr="007424A2">
        <w:rPr>
          <w:rFonts w:eastAsia="Calibri" w:cs="Tahoma"/>
          <w:b/>
          <w:bCs/>
          <w:iCs/>
          <w:color w:val="auto"/>
        </w:rPr>
        <w:t>Número de seguridad social del Instituto de Seguridad Social del Estado de México y Municipios.</w:t>
      </w:r>
    </w:p>
    <w:p w14:paraId="63AAAFC2" w14:textId="77777777" w:rsidR="007424A2" w:rsidRPr="007424A2" w:rsidRDefault="007424A2" w:rsidP="007424A2">
      <w:pPr>
        <w:spacing w:after="0" w:line="360" w:lineRule="auto"/>
        <w:rPr>
          <w:rFonts w:eastAsia="Calibri" w:cs="Tahoma"/>
          <w:b/>
          <w:bCs/>
          <w:iCs/>
          <w:color w:val="auto"/>
        </w:rPr>
      </w:pPr>
    </w:p>
    <w:p w14:paraId="26259798"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B356E33" w14:textId="77777777" w:rsidR="007424A2" w:rsidRPr="007424A2" w:rsidRDefault="007424A2" w:rsidP="007424A2">
      <w:pPr>
        <w:spacing w:after="0" w:line="360" w:lineRule="auto"/>
        <w:rPr>
          <w:rFonts w:eastAsia="Calibri" w:cs="Tahoma"/>
          <w:bCs/>
          <w:iCs/>
          <w:color w:val="auto"/>
        </w:rPr>
      </w:pPr>
    </w:p>
    <w:p w14:paraId="1BD1550D"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7424A2">
        <w:rPr>
          <w:rFonts w:eastAsia="Calibri" w:cs="Tahoma"/>
          <w:b/>
          <w:bCs/>
          <w:iCs/>
          <w:color w:val="auto"/>
        </w:rPr>
        <w:t>y se le asigna una clave para hacer identificable al trabajador con el objetivo de poder proporcionar los servicios que brinda el Instituto de Seguridad Social del Estado de México y Municipios.</w:t>
      </w:r>
    </w:p>
    <w:p w14:paraId="48B881E1" w14:textId="77777777" w:rsidR="007424A2" w:rsidRPr="007424A2" w:rsidRDefault="007424A2" w:rsidP="007424A2">
      <w:pPr>
        <w:spacing w:after="0" w:line="360" w:lineRule="auto"/>
        <w:rPr>
          <w:rFonts w:eastAsia="Calibri" w:cs="Tahoma"/>
          <w:bCs/>
          <w:iCs/>
          <w:color w:val="auto"/>
        </w:rPr>
      </w:pPr>
    </w:p>
    <w:p w14:paraId="695B6A61"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w:t>
      </w:r>
      <w:r w:rsidRPr="007424A2">
        <w:rPr>
          <w:rFonts w:eastAsia="Calibri" w:cs="Tahoma"/>
          <w:bCs/>
          <w:iCs/>
          <w:color w:val="auto"/>
        </w:rPr>
        <w:lastRenderedPageBreak/>
        <w:t>esta prestación de seguridad social; además, es de destacar que dicho dato no cambia, aunque el trabajador se dé de baja y alta en diversas ocasiones, con motivo de haber trabajado en diferentes instituciones gubernamentales de la Entidad.</w:t>
      </w:r>
    </w:p>
    <w:p w14:paraId="730CFCAD" w14:textId="77777777" w:rsidR="007424A2" w:rsidRPr="007424A2" w:rsidRDefault="007424A2" w:rsidP="007424A2">
      <w:pPr>
        <w:spacing w:after="0" w:line="360" w:lineRule="auto"/>
        <w:rPr>
          <w:rFonts w:eastAsia="Calibri" w:cs="Tahoma"/>
          <w:bCs/>
          <w:iCs/>
          <w:color w:val="auto"/>
        </w:rPr>
      </w:pPr>
    </w:p>
    <w:p w14:paraId="54467933" w14:textId="77777777" w:rsidR="007424A2" w:rsidRPr="007424A2" w:rsidRDefault="007424A2" w:rsidP="007424A2">
      <w:pPr>
        <w:spacing w:after="0" w:line="360" w:lineRule="auto"/>
        <w:rPr>
          <w:rFonts w:eastAsia="Calibri" w:cs="Tahoma"/>
          <w:bCs/>
          <w:iCs/>
          <w:color w:val="auto"/>
        </w:rPr>
      </w:pPr>
      <w:r w:rsidRPr="007424A2">
        <w:rPr>
          <w:rFonts w:eastAsia="Calibri" w:cs="Tahoma"/>
          <w:bCs/>
          <w:iCs/>
          <w:color w:val="auto"/>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EA47936" w14:textId="77777777" w:rsidR="007424A2" w:rsidRPr="007424A2" w:rsidRDefault="007424A2" w:rsidP="007424A2">
      <w:pPr>
        <w:spacing w:after="0" w:line="360" w:lineRule="auto"/>
        <w:rPr>
          <w:rFonts w:cs="Tahoma"/>
          <w:b/>
          <w:color w:val="000000"/>
        </w:rPr>
      </w:pPr>
    </w:p>
    <w:p w14:paraId="76CAE4BB" w14:textId="77777777" w:rsidR="007424A2" w:rsidRPr="007424A2" w:rsidRDefault="007424A2" w:rsidP="007424A2">
      <w:pPr>
        <w:numPr>
          <w:ilvl w:val="0"/>
          <w:numId w:val="26"/>
        </w:numPr>
        <w:spacing w:after="0" w:line="360" w:lineRule="auto"/>
        <w:jc w:val="left"/>
        <w:rPr>
          <w:rFonts w:eastAsia="Calibri" w:cs="Times New Roman"/>
          <w:b/>
          <w:color w:val="000000"/>
          <w:lang w:eastAsia="en-US"/>
        </w:rPr>
      </w:pPr>
      <w:r w:rsidRPr="007424A2">
        <w:rPr>
          <w:rFonts w:eastAsia="Calibri" w:cs="Times New Roman"/>
          <w:b/>
          <w:color w:val="000000"/>
          <w:lang w:eastAsia="en-US"/>
        </w:rPr>
        <w:t>Deducciones personales</w:t>
      </w:r>
    </w:p>
    <w:p w14:paraId="60B5CB26" w14:textId="77777777" w:rsidR="007424A2" w:rsidRPr="007424A2" w:rsidRDefault="007424A2" w:rsidP="007424A2">
      <w:pPr>
        <w:spacing w:after="0" w:line="360" w:lineRule="auto"/>
        <w:ind w:left="720"/>
        <w:rPr>
          <w:rFonts w:eastAsia="Calibri" w:cs="Times New Roman"/>
          <w:b/>
          <w:color w:val="000000"/>
          <w:lang w:eastAsia="en-US"/>
        </w:rPr>
      </w:pPr>
    </w:p>
    <w:p w14:paraId="393F5C54" w14:textId="77777777" w:rsidR="007424A2" w:rsidRPr="007424A2" w:rsidRDefault="007424A2" w:rsidP="007424A2">
      <w:pPr>
        <w:spacing w:after="0" w:line="360" w:lineRule="auto"/>
        <w:rPr>
          <w:rFonts w:eastAsia="Calibri" w:cs="Times New Roman"/>
          <w:color w:val="000000"/>
          <w:lang w:eastAsia="en-US"/>
        </w:rPr>
      </w:pPr>
      <w:r w:rsidRPr="007424A2">
        <w:rPr>
          <w:rFonts w:eastAsia="Calibri" w:cs="Times New Roman"/>
          <w:color w:val="000000"/>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4EC5CF17" w14:textId="77777777" w:rsidR="007424A2" w:rsidRPr="007424A2" w:rsidRDefault="007424A2" w:rsidP="007424A2">
      <w:pPr>
        <w:spacing w:after="0" w:line="360" w:lineRule="auto"/>
        <w:rPr>
          <w:rFonts w:eastAsia="Calibri" w:cs="Times New Roman"/>
          <w:color w:val="000000"/>
          <w:lang w:eastAsia="en-US"/>
        </w:rPr>
      </w:pPr>
    </w:p>
    <w:p w14:paraId="15A697A0" w14:textId="77777777" w:rsidR="007424A2" w:rsidRPr="007424A2" w:rsidRDefault="007424A2" w:rsidP="007424A2">
      <w:pPr>
        <w:spacing w:after="0" w:line="360" w:lineRule="auto"/>
        <w:rPr>
          <w:rFonts w:eastAsia="Calibri" w:cs="Times New Roman"/>
          <w:color w:val="000000"/>
          <w:lang w:eastAsia="en-US"/>
        </w:rPr>
      </w:pPr>
      <w:r w:rsidRPr="007424A2">
        <w:rPr>
          <w:rFonts w:eastAsia="Calibri" w:cs="Times New Roman"/>
          <w:color w:val="000000"/>
          <w:lang w:eastAsia="en-US"/>
        </w:rPr>
        <w:t xml:space="preserve">Asimismo, hay otras que se generan con motivo de una sentencia judicial, como es la pensión alimenticia que periódicamente se retira de la cuenta de un empleado, a efecto de que sea entregado a un tercero.  </w:t>
      </w:r>
    </w:p>
    <w:p w14:paraId="331388AD" w14:textId="77777777" w:rsidR="007424A2" w:rsidRPr="007424A2" w:rsidRDefault="007424A2" w:rsidP="007424A2">
      <w:pPr>
        <w:spacing w:after="0" w:line="360" w:lineRule="auto"/>
        <w:rPr>
          <w:rFonts w:eastAsia="Calibri" w:cs="Times New Roman"/>
          <w:color w:val="000000"/>
          <w:lang w:eastAsia="en-US"/>
        </w:rPr>
      </w:pPr>
    </w:p>
    <w:p w14:paraId="0F6F2D7E" w14:textId="77777777" w:rsidR="007424A2" w:rsidRPr="007424A2" w:rsidRDefault="007424A2" w:rsidP="007424A2">
      <w:pPr>
        <w:spacing w:after="0" w:line="360" w:lineRule="auto"/>
        <w:rPr>
          <w:rFonts w:eastAsia="Calibri" w:cs="Times New Roman"/>
          <w:color w:val="000000"/>
          <w:lang w:eastAsia="en-US"/>
        </w:rPr>
      </w:pPr>
      <w:r w:rsidRPr="007424A2">
        <w:rPr>
          <w:rFonts w:eastAsia="Calibri" w:cs="Times New Roman"/>
          <w:color w:val="000000"/>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A8186CF" w14:textId="77777777" w:rsidR="007424A2" w:rsidRPr="007424A2" w:rsidRDefault="007424A2" w:rsidP="007424A2">
      <w:pPr>
        <w:spacing w:after="0" w:line="360" w:lineRule="auto"/>
        <w:rPr>
          <w:rFonts w:eastAsia="Calibri" w:cs="Times New Roman"/>
          <w:b/>
          <w:bCs/>
          <w:color w:val="000000"/>
          <w:lang w:eastAsia="en-US"/>
        </w:rPr>
      </w:pPr>
      <w:r w:rsidRPr="007424A2">
        <w:rPr>
          <w:rFonts w:eastAsia="Calibri" w:cs="Times New Roman"/>
          <w:color w:val="000000"/>
          <w:lang w:eastAsia="en-US"/>
        </w:rPr>
        <w:lastRenderedPageBreak/>
        <w:t>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w:t>
      </w:r>
    </w:p>
    <w:p w14:paraId="061DA1CC" w14:textId="77777777" w:rsidR="007424A2" w:rsidRPr="007424A2" w:rsidRDefault="007424A2" w:rsidP="007424A2">
      <w:pPr>
        <w:spacing w:after="0" w:line="360" w:lineRule="auto"/>
        <w:rPr>
          <w:rFonts w:cs="Tahoma"/>
          <w:b/>
          <w:color w:val="000000"/>
        </w:rPr>
      </w:pPr>
    </w:p>
    <w:p w14:paraId="39D4C67B" w14:textId="77777777" w:rsidR="007424A2" w:rsidRPr="007424A2" w:rsidRDefault="007424A2" w:rsidP="007424A2">
      <w:pPr>
        <w:numPr>
          <w:ilvl w:val="0"/>
          <w:numId w:val="22"/>
        </w:numPr>
        <w:spacing w:after="0" w:line="360" w:lineRule="auto"/>
        <w:contextualSpacing/>
        <w:jc w:val="left"/>
        <w:rPr>
          <w:rFonts w:eastAsia="Times New Roman" w:cs="Tahoma"/>
          <w:b/>
          <w:color w:val="000000"/>
          <w:lang w:eastAsia="es-ES"/>
        </w:rPr>
      </w:pPr>
      <w:r w:rsidRPr="007424A2">
        <w:rPr>
          <w:rFonts w:eastAsia="Times New Roman" w:cs="Tahoma"/>
          <w:b/>
          <w:bCs/>
          <w:color w:val="000000"/>
          <w:lang w:eastAsia="es-ES"/>
        </w:rPr>
        <w:t>Sellos digitales del emisor y del Servicio de Administración Tributaria y cadena original del complemento de certificación digital del órgano previamente señalado; así como sus respectivos números de serie de los certificados de sellos digitales y folio fiscal.</w:t>
      </w:r>
    </w:p>
    <w:p w14:paraId="32CF3F71" w14:textId="77777777" w:rsidR="007424A2" w:rsidRPr="007424A2" w:rsidRDefault="007424A2" w:rsidP="007424A2">
      <w:pPr>
        <w:spacing w:after="0" w:line="360" w:lineRule="auto"/>
        <w:ind w:right="-93"/>
        <w:rPr>
          <w:rFonts w:cs="Tahoma"/>
          <w:b/>
          <w:color w:val="000000"/>
        </w:rPr>
      </w:pPr>
    </w:p>
    <w:p w14:paraId="53C194F6" w14:textId="77777777" w:rsidR="007424A2" w:rsidRPr="007424A2" w:rsidRDefault="007424A2" w:rsidP="007424A2">
      <w:pPr>
        <w:spacing w:after="0" w:line="360" w:lineRule="auto"/>
        <w:ind w:right="-91"/>
        <w:rPr>
          <w:rFonts w:eastAsia="Calibri" w:cs="Tahoma"/>
          <w:bCs/>
          <w:color w:val="000000"/>
          <w:lang w:val="es-ES" w:eastAsia="en-US"/>
        </w:rPr>
      </w:pPr>
      <w:r w:rsidRPr="007424A2">
        <w:rPr>
          <w:rFonts w:eastAsia="Calibri" w:cs="Tahoma"/>
          <w:bCs/>
          <w:color w:val="000000"/>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47C8313" w14:textId="77777777" w:rsidR="007424A2" w:rsidRPr="007424A2" w:rsidRDefault="007424A2" w:rsidP="007424A2">
      <w:pPr>
        <w:spacing w:after="0" w:line="360" w:lineRule="auto"/>
        <w:ind w:right="-91"/>
        <w:rPr>
          <w:rFonts w:eastAsia="Calibri" w:cs="Tahoma"/>
          <w:bCs/>
          <w:color w:val="000000"/>
          <w:lang w:val="es-ES" w:eastAsia="en-US"/>
        </w:rPr>
      </w:pPr>
    </w:p>
    <w:p w14:paraId="77BD4458" w14:textId="764BDC5D" w:rsidR="007424A2" w:rsidRPr="007424A2" w:rsidRDefault="007424A2" w:rsidP="007424A2">
      <w:pPr>
        <w:spacing w:after="0" w:line="360" w:lineRule="auto"/>
        <w:ind w:right="-91"/>
        <w:rPr>
          <w:rFonts w:eastAsia="Calibri" w:cs="Tahoma"/>
          <w:bCs/>
          <w:color w:val="000000"/>
          <w:lang w:val="es-ES" w:eastAsia="en-US"/>
        </w:rPr>
      </w:pPr>
      <w:r w:rsidRPr="007424A2">
        <w:rPr>
          <w:rFonts w:eastAsia="Calibri" w:cs="Tahoma"/>
          <w:bCs/>
          <w:color w:val="000000"/>
          <w:lang w:val="es-ES" w:eastAsia="en-US"/>
        </w:rPr>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2F3D902" w14:textId="77777777" w:rsidR="007424A2" w:rsidRPr="007424A2" w:rsidRDefault="007424A2" w:rsidP="007424A2">
      <w:pPr>
        <w:spacing w:after="0" w:line="360" w:lineRule="auto"/>
        <w:ind w:right="-91"/>
        <w:rPr>
          <w:rFonts w:eastAsia="Calibri" w:cs="Tahoma"/>
          <w:bCs/>
          <w:color w:val="000000"/>
          <w:lang w:val="es-ES" w:eastAsia="en-US"/>
        </w:rPr>
      </w:pPr>
    </w:p>
    <w:p w14:paraId="4FD8F113" w14:textId="77777777" w:rsid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lastRenderedPageBreak/>
        <w:t>“Elementos utilizados en la generación de Sellos Digitales:</w:t>
      </w:r>
    </w:p>
    <w:p w14:paraId="4FF5654D" w14:textId="77777777" w:rsidR="00AA0E54" w:rsidRPr="007424A2" w:rsidRDefault="00AA0E54" w:rsidP="007424A2">
      <w:pPr>
        <w:spacing w:after="0" w:line="360" w:lineRule="auto"/>
        <w:ind w:left="567" w:right="539"/>
        <w:rPr>
          <w:rFonts w:eastAsia="Calibri" w:cs="Tahoma"/>
          <w:bCs/>
          <w:i/>
          <w:color w:val="000000"/>
          <w:sz w:val="20"/>
          <w:szCs w:val="20"/>
          <w:lang w:val="es-ES" w:eastAsia="en-US"/>
        </w:rPr>
      </w:pPr>
    </w:p>
    <w:p w14:paraId="50A54D74"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w:t>
      </w:r>
      <w:r w:rsidRPr="007424A2">
        <w:rPr>
          <w:rFonts w:eastAsia="Calibri" w:cs="Tahoma"/>
          <w:bCs/>
          <w:i/>
          <w:color w:val="000000"/>
          <w:sz w:val="20"/>
          <w:szCs w:val="20"/>
          <w:lang w:val="es-ES" w:eastAsia="en-US"/>
        </w:rPr>
        <w:tab/>
        <w:t>Cadena Original, el elemento a sellar, en este caso de un comprobante fiscal digital a través de Internet.</w:t>
      </w:r>
    </w:p>
    <w:p w14:paraId="70993607"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w:t>
      </w:r>
      <w:r w:rsidRPr="007424A2">
        <w:rPr>
          <w:rFonts w:eastAsia="Calibri" w:cs="Tahoma"/>
          <w:bCs/>
          <w:i/>
          <w:color w:val="000000"/>
          <w:sz w:val="20"/>
          <w:szCs w:val="20"/>
          <w:lang w:val="es-ES" w:eastAsia="en-US"/>
        </w:rPr>
        <w:tab/>
        <w:t>Certificado de Sello Digital y su correspondiente clave privada.</w:t>
      </w:r>
    </w:p>
    <w:p w14:paraId="40BA910C"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w:t>
      </w:r>
      <w:r w:rsidRPr="007424A2">
        <w:rPr>
          <w:rFonts w:eastAsia="Calibri" w:cs="Tahoma"/>
          <w:bCs/>
          <w:i/>
          <w:color w:val="000000"/>
          <w:sz w:val="20"/>
          <w:szCs w:val="20"/>
          <w:lang w:val="es-ES" w:eastAsia="en-US"/>
        </w:rPr>
        <w:tab/>
        <w:t>Algoritmos de criptografía de clave pública para firma electrónica avanzada.</w:t>
      </w:r>
    </w:p>
    <w:p w14:paraId="505B3F6B"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w:t>
      </w:r>
      <w:r w:rsidRPr="007424A2">
        <w:rPr>
          <w:rFonts w:eastAsia="Calibri" w:cs="Tahoma"/>
          <w:bCs/>
          <w:i/>
          <w:color w:val="000000"/>
          <w:sz w:val="20"/>
          <w:szCs w:val="20"/>
          <w:lang w:val="es-ES" w:eastAsia="en-US"/>
        </w:rPr>
        <w:tab/>
        <w:t>Especificaciones de conversión de la firma electrónica avanzada a Base 64.</w:t>
      </w:r>
    </w:p>
    <w:p w14:paraId="579CBF57"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Para la generación de sellos digitales se utiliza criptografía de clave pública aplicada a una cadena original.</w:t>
      </w:r>
    </w:p>
    <w:p w14:paraId="336553C8"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p>
    <w:p w14:paraId="514BFE11"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Criptografía de la Clave Pública</w:t>
      </w:r>
    </w:p>
    <w:p w14:paraId="6B5EA6EB" w14:textId="77777777" w:rsidR="007424A2" w:rsidRPr="007424A2" w:rsidRDefault="007424A2" w:rsidP="007424A2">
      <w:pPr>
        <w:spacing w:after="0" w:line="360" w:lineRule="auto"/>
        <w:ind w:left="567" w:right="539"/>
        <w:rPr>
          <w:rFonts w:eastAsia="Calibri" w:cs="Tahoma"/>
          <w:bCs/>
          <w:i/>
          <w:color w:val="000000"/>
          <w:sz w:val="20"/>
          <w:szCs w:val="20"/>
          <w:lang w:val="es-ES" w:eastAsia="en-US"/>
        </w:rPr>
      </w:pPr>
      <w:r w:rsidRPr="007424A2">
        <w:rPr>
          <w:rFonts w:eastAsia="Calibri" w:cs="Tahoma"/>
          <w:bCs/>
          <w:i/>
          <w:color w:val="000000"/>
          <w:sz w:val="20"/>
          <w:szCs w:val="20"/>
          <w:lang w:val="es-ES" w:eastAsia="en-US"/>
        </w:rPr>
        <w:t xml:space="preserve">La criptografía de Clave Pública se basa en la generación de una pareja de números muy grandes relacionados íntimamente entre sí, de tal manera que una operación de </w:t>
      </w:r>
      <w:proofErr w:type="spellStart"/>
      <w:r w:rsidRPr="007424A2">
        <w:rPr>
          <w:rFonts w:eastAsia="Calibri" w:cs="Tahoma"/>
          <w:bCs/>
          <w:i/>
          <w:color w:val="000000"/>
          <w:sz w:val="20"/>
          <w:szCs w:val="20"/>
          <w:lang w:val="es-ES" w:eastAsia="en-US"/>
        </w:rPr>
        <w:t>encripción</w:t>
      </w:r>
      <w:proofErr w:type="spellEnd"/>
      <w:r w:rsidRPr="007424A2">
        <w:rPr>
          <w:rFonts w:eastAsia="Calibri" w:cs="Tahoma"/>
          <w:bCs/>
          <w:i/>
          <w:color w:val="000000"/>
          <w:sz w:val="20"/>
          <w:szCs w:val="20"/>
          <w:lang w:val="es-ES" w:eastAsia="en-US"/>
        </w:rPr>
        <w:t xml:space="preserve"> sobre un mensaje tomando como clave de </w:t>
      </w:r>
      <w:proofErr w:type="spellStart"/>
      <w:r w:rsidRPr="007424A2">
        <w:rPr>
          <w:rFonts w:eastAsia="Calibri" w:cs="Tahoma"/>
          <w:bCs/>
          <w:i/>
          <w:color w:val="000000"/>
          <w:sz w:val="20"/>
          <w:szCs w:val="20"/>
          <w:lang w:val="es-ES" w:eastAsia="en-US"/>
        </w:rPr>
        <w:t>encripción</w:t>
      </w:r>
      <w:proofErr w:type="spellEnd"/>
      <w:r w:rsidRPr="007424A2">
        <w:rPr>
          <w:rFonts w:eastAsia="Calibri" w:cs="Tahoma"/>
          <w:bCs/>
          <w:i/>
          <w:color w:val="000000"/>
          <w:sz w:val="20"/>
          <w:szCs w:val="20"/>
          <w:lang w:val="es-ES" w:eastAsia="en-U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29366FEC" w14:textId="77777777" w:rsidR="007424A2" w:rsidRPr="007424A2" w:rsidRDefault="007424A2" w:rsidP="007424A2">
      <w:pPr>
        <w:spacing w:after="0" w:line="360" w:lineRule="auto"/>
        <w:ind w:right="-91"/>
        <w:rPr>
          <w:rFonts w:eastAsia="Calibri" w:cs="Tahoma"/>
          <w:bCs/>
          <w:color w:val="000000"/>
          <w:lang w:val="es-ES" w:eastAsia="en-US"/>
        </w:rPr>
      </w:pPr>
    </w:p>
    <w:p w14:paraId="28706F9A" w14:textId="77777777" w:rsidR="007424A2" w:rsidRPr="007424A2" w:rsidRDefault="007424A2" w:rsidP="007424A2">
      <w:pPr>
        <w:spacing w:after="0" w:line="360" w:lineRule="auto"/>
        <w:rPr>
          <w:rFonts w:eastAsia="Calibri" w:cs="Tahoma"/>
          <w:bCs/>
          <w:color w:val="000000"/>
          <w:lang w:val="es-ES" w:eastAsia="en-US"/>
        </w:rPr>
      </w:pPr>
      <w:r w:rsidRPr="007424A2">
        <w:rPr>
          <w:rFonts w:eastAsia="Calibri" w:cs="Tahoma"/>
          <w:bCs/>
          <w:color w:val="000000"/>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C7629A1" w14:textId="77777777" w:rsidR="007424A2" w:rsidRPr="007424A2" w:rsidRDefault="007424A2" w:rsidP="007424A2">
      <w:pPr>
        <w:spacing w:after="0" w:line="360" w:lineRule="auto"/>
        <w:rPr>
          <w:rFonts w:eastAsia="Calibri" w:cs="Tahoma"/>
          <w:bCs/>
          <w:color w:val="000000"/>
          <w:lang w:val="es-ES" w:eastAsia="en-US"/>
        </w:rPr>
      </w:pPr>
    </w:p>
    <w:p w14:paraId="5C27F8A7" w14:textId="77777777" w:rsidR="007424A2" w:rsidRPr="007424A2" w:rsidRDefault="007424A2" w:rsidP="007424A2">
      <w:pPr>
        <w:spacing w:after="0" w:line="360" w:lineRule="auto"/>
        <w:rPr>
          <w:color w:val="000000"/>
        </w:rPr>
      </w:pPr>
      <w:r w:rsidRPr="007424A2">
        <w:rPr>
          <w:color w:val="000000"/>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actualizarían actualiza la clasificación, en términos del artículo 143, fracción I, de la Ley de la materia.</w:t>
      </w:r>
    </w:p>
    <w:p w14:paraId="047AFF8E" w14:textId="77777777" w:rsidR="007424A2" w:rsidRDefault="007424A2" w:rsidP="007424A2">
      <w:pPr>
        <w:spacing w:after="0" w:line="360" w:lineRule="auto"/>
        <w:rPr>
          <w:rFonts w:eastAsia="Calibri" w:cs="Tahoma"/>
          <w:bCs/>
          <w:color w:val="000000"/>
          <w:lang w:val="es-ES" w:eastAsia="en-US"/>
        </w:rPr>
      </w:pPr>
    </w:p>
    <w:p w14:paraId="0516DED9" w14:textId="77777777" w:rsidR="00866DFD" w:rsidRDefault="00866DFD" w:rsidP="007424A2">
      <w:pPr>
        <w:spacing w:after="0" w:line="360" w:lineRule="auto"/>
        <w:rPr>
          <w:rFonts w:eastAsia="Calibri" w:cs="Tahoma"/>
          <w:bCs/>
          <w:color w:val="000000"/>
          <w:lang w:val="es-ES" w:eastAsia="en-US"/>
        </w:rPr>
      </w:pPr>
    </w:p>
    <w:p w14:paraId="7DAA98BD" w14:textId="5751C210" w:rsidR="007424A2" w:rsidRPr="007424A2" w:rsidRDefault="007424A2" w:rsidP="007424A2">
      <w:pPr>
        <w:spacing w:after="0" w:line="360" w:lineRule="auto"/>
        <w:rPr>
          <w:rFonts w:eastAsia="Calibri" w:cs="Tahoma"/>
          <w:bCs/>
          <w:color w:val="000000"/>
          <w:lang w:val="es-ES" w:eastAsia="en-US"/>
        </w:rPr>
      </w:pPr>
      <w:r w:rsidRPr="007424A2">
        <w:rPr>
          <w:rFonts w:eastAsia="Calibri" w:cs="Tahoma"/>
          <w:bCs/>
          <w:color w:val="000000"/>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entonces Instituto Nacional electoral (página electrónica </w:t>
      </w:r>
      <w:hyperlink r:id="rId12" w:history="1">
        <w:r w:rsidRPr="007424A2">
          <w:rPr>
            <w:rFonts w:eastAsia="Calibri" w:cs="Tahoma"/>
            <w:bCs/>
            <w:color w:val="0563C1"/>
            <w:u w:val="single"/>
            <w:lang w:eastAsia="en-US"/>
          </w:rPr>
          <w:t>https://portalanterior.ine.mx/archivos2/tutoriales/sistemas/ApoyoInstitucional/SIF/docs/candidatos/folioFiscalFactura.pdf</w:t>
        </w:r>
      </w:hyperlink>
      <w:r w:rsidRPr="007424A2">
        <w:rPr>
          <w:rFonts w:eastAsia="Calibri" w:cs="Tahoma"/>
          <w:bCs/>
          <w:color w:val="000000"/>
          <w:lang w:val="es-ES" w:eastAsia="en-US"/>
        </w:rPr>
        <w:t>), en la cual se advierte que únicamente se encuentra conformado por números, se muestra a continuación:</w:t>
      </w:r>
    </w:p>
    <w:p w14:paraId="14B286AB" w14:textId="77777777" w:rsidR="007424A2" w:rsidRPr="007424A2" w:rsidRDefault="007424A2" w:rsidP="007424A2">
      <w:pPr>
        <w:spacing w:after="0" w:line="360" w:lineRule="auto"/>
        <w:rPr>
          <w:rFonts w:eastAsia="Calibri" w:cs="Tahoma"/>
          <w:bCs/>
          <w:color w:val="000000"/>
          <w:lang w:val="es-ES" w:eastAsia="en-US"/>
        </w:rPr>
      </w:pPr>
    </w:p>
    <w:p w14:paraId="1FE51947" w14:textId="77777777" w:rsidR="007424A2" w:rsidRPr="007424A2" w:rsidRDefault="007424A2" w:rsidP="007424A2">
      <w:pPr>
        <w:spacing w:after="0" w:line="360" w:lineRule="auto"/>
        <w:jc w:val="center"/>
        <w:rPr>
          <w:rFonts w:eastAsia="Calibri" w:cs="Tahoma"/>
          <w:bCs/>
          <w:color w:val="000000"/>
          <w:lang w:val="es-ES" w:eastAsia="en-US"/>
        </w:rPr>
      </w:pPr>
      <w:r w:rsidRPr="007424A2">
        <w:rPr>
          <w:noProof/>
          <w:color w:val="000000"/>
        </w:rPr>
        <mc:AlternateContent>
          <mc:Choice Requires="wps">
            <w:drawing>
              <wp:anchor distT="0" distB="0" distL="114300" distR="114300" simplePos="0" relativeHeight="251659264" behindDoc="0" locked="0" layoutInCell="1" allowOverlap="1" wp14:anchorId="253DCBE7" wp14:editId="0294886E">
                <wp:simplePos x="0" y="0"/>
                <wp:positionH relativeFrom="column">
                  <wp:posOffset>305435</wp:posOffset>
                </wp:positionH>
                <wp:positionV relativeFrom="paragraph">
                  <wp:posOffset>1113790</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586B6" id="Rectángulo 19" o:spid="_x0000_s1026" style="position:absolute;margin-left:24.05pt;margin-top:87.7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" filled="f" strokecolor="windowText" strokeweight="2.25pt"/>
            </w:pict>
          </mc:Fallback>
        </mc:AlternateContent>
      </w:r>
      <w:r w:rsidRPr="007424A2">
        <w:rPr>
          <w:noProof/>
          <w:color w:val="000000"/>
        </w:rPr>
        <w:drawing>
          <wp:inline distT="0" distB="0" distL="0" distR="0" wp14:anchorId="57BD8A6D" wp14:editId="0166F04F">
            <wp:extent cx="5436870" cy="13906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56971" cy="1395791"/>
                    </a:xfrm>
                    <a:prstGeom prst="rect">
                      <a:avLst/>
                    </a:prstGeom>
                  </pic:spPr>
                </pic:pic>
              </a:graphicData>
            </a:graphic>
          </wp:inline>
        </w:drawing>
      </w:r>
    </w:p>
    <w:p w14:paraId="33077363" w14:textId="77777777" w:rsidR="007424A2" w:rsidRPr="007424A2" w:rsidRDefault="007424A2" w:rsidP="007424A2">
      <w:pPr>
        <w:spacing w:after="0" w:line="360" w:lineRule="auto"/>
        <w:rPr>
          <w:rFonts w:eastAsia="Calibri" w:cs="Tahoma"/>
          <w:bCs/>
          <w:color w:val="000000"/>
          <w:lang w:val="es-ES" w:eastAsia="en-US"/>
        </w:rPr>
      </w:pPr>
    </w:p>
    <w:p w14:paraId="3FE27874" w14:textId="77777777" w:rsidR="007424A2" w:rsidRPr="007424A2" w:rsidRDefault="007424A2" w:rsidP="007424A2">
      <w:pPr>
        <w:spacing w:after="0" w:line="360" w:lineRule="auto"/>
        <w:rPr>
          <w:rFonts w:eastAsia="Calibri" w:cs="Tahoma"/>
          <w:bCs/>
          <w:color w:val="000000"/>
          <w:lang w:val="es-ES" w:eastAsia="en-US"/>
        </w:rPr>
      </w:pPr>
      <w:r w:rsidRPr="007424A2">
        <w:rPr>
          <w:rFonts w:eastAsia="Calibri" w:cs="Tahoma"/>
          <w:bCs/>
          <w:color w:val="000000"/>
          <w:lang w:val="es-ES"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7424A2">
        <w:rPr>
          <w:rFonts w:eastAsia="Calibri" w:cs="Tahoma"/>
          <w:b/>
          <w:bCs/>
          <w:color w:val="000000"/>
          <w:lang w:val="es-ES" w:eastAsia="en-US"/>
        </w:rPr>
        <w:t>Máxime que permite corroborar la legitimidad a la factura, pues amparan la utilización de los certificados de sellos digitales válidos.</w:t>
      </w:r>
    </w:p>
    <w:p w14:paraId="6E33CBA9" w14:textId="77777777" w:rsidR="007424A2" w:rsidRPr="007424A2" w:rsidRDefault="007424A2" w:rsidP="007424A2">
      <w:pPr>
        <w:spacing w:after="0" w:line="360" w:lineRule="auto"/>
        <w:rPr>
          <w:rFonts w:eastAsia="Calibri" w:cs="Tahoma"/>
          <w:bCs/>
          <w:color w:val="000000"/>
          <w:lang w:val="es-ES" w:eastAsia="en-US"/>
        </w:rPr>
      </w:pPr>
    </w:p>
    <w:p w14:paraId="54190436" w14:textId="768EB767" w:rsidR="007424A2" w:rsidRPr="007424A2" w:rsidRDefault="007424A2" w:rsidP="007424A2">
      <w:pPr>
        <w:spacing w:after="0" w:line="360" w:lineRule="auto"/>
        <w:rPr>
          <w:rFonts w:eastAsia="Calibri" w:cs="Tahoma"/>
          <w:bCs/>
          <w:color w:val="000000"/>
          <w:lang w:val="es-ES" w:eastAsia="en-US"/>
        </w:rPr>
      </w:pPr>
      <w:r w:rsidRPr="007424A2">
        <w:rPr>
          <w:rFonts w:eastAsia="Calibri" w:cs="Tahoma"/>
          <w:bCs/>
          <w:color w:val="000000"/>
          <w:lang w:val="es-ES" w:eastAsia="en-US"/>
        </w:rPr>
        <w:t xml:space="preserve">Ahora bien, por lo que hace Folio Fiscal, cabe precisar que conforme al ANEXO 20 de la Segunda Resolución de modificaciones a la Resolución Miscelánea Fiscal, el folio fiscal se conforma de </w:t>
      </w:r>
      <w:r w:rsidRPr="007424A2">
        <w:rPr>
          <w:rFonts w:eastAsia="Calibri" w:cs="Tahoma"/>
          <w:bCs/>
          <w:color w:val="000000"/>
          <w:lang w:val="es-ES" w:eastAsia="en-US"/>
        </w:rPr>
        <w:lastRenderedPageBreak/>
        <w:t>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EC36228" w14:textId="77777777" w:rsidR="007424A2" w:rsidRPr="007424A2" w:rsidRDefault="007424A2" w:rsidP="007424A2">
      <w:pPr>
        <w:spacing w:after="0" w:line="360" w:lineRule="auto"/>
        <w:rPr>
          <w:rFonts w:eastAsia="Calibri" w:cs="Tahoma"/>
          <w:bCs/>
          <w:color w:val="000000"/>
          <w:lang w:val="es-ES" w:eastAsia="en-US"/>
        </w:rPr>
      </w:pPr>
    </w:p>
    <w:p w14:paraId="089990DF" w14:textId="77777777" w:rsidR="007424A2" w:rsidRPr="007424A2" w:rsidRDefault="007424A2" w:rsidP="007424A2">
      <w:pPr>
        <w:spacing w:after="0" w:line="360" w:lineRule="auto"/>
        <w:jc w:val="center"/>
        <w:rPr>
          <w:rFonts w:eastAsia="Calibri" w:cs="Tahoma"/>
          <w:bCs/>
          <w:color w:val="000000"/>
          <w:lang w:val="es-ES" w:eastAsia="en-US"/>
        </w:rPr>
      </w:pPr>
      <w:r w:rsidRPr="007424A2">
        <w:rPr>
          <w:noProof/>
          <w:color w:val="000000"/>
        </w:rPr>
        <w:drawing>
          <wp:inline distT="0" distB="0" distL="0" distR="0" wp14:anchorId="119BD06A" wp14:editId="65603A72">
            <wp:extent cx="4925526" cy="1676400"/>
            <wp:effectExtent l="0" t="0" r="889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5906" b="32787"/>
                    <a:stretch/>
                  </pic:blipFill>
                  <pic:spPr bwMode="auto">
                    <a:xfrm>
                      <a:off x="0" y="0"/>
                      <a:ext cx="4951529" cy="1685250"/>
                    </a:xfrm>
                    <a:prstGeom prst="rect">
                      <a:avLst/>
                    </a:prstGeom>
                    <a:ln>
                      <a:noFill/>
                    </a:ln>
                    <a:extLst>
                      <a:ext uri="{53640926-AAD7-44D8-BBD7-CCE9431645EC}">
                        <a14:shadowObscured xmlns:a14="http://schemas.microsoft.com/office/drawing/2010/main"/>
                      </a:ext>
                    </a:extLst>
                  </pic:spPr>
                </pic:pic>
              </a:graphicData>
            </a:graphic>
          </wp:inline>
        </w:drawing>
      </w:r>
    </w:p>
    <w:p w14:paraId="0657638D" w14:textId="77777777" w:rsidR="007424A2" w:rsidRPr="007424A2" w:rsidRDefault="007424A2" w:rsidP="007424A2">
      <w:pPr>
        <w:spacing w:after="0" w:line="360" w:lineRule="auto"/>
        <w:rPr>
          <w:b/>
          <w:color w:val="000000"/>
          <w:u w:val="single"/>
          <w:lang w:val="es-ES"/>
        </w:rPr>
      </w:pPr>
    </w:p>
    <w:p w14:paraId="6192D5F6" w14:textId="77777777" w:rsidR="007424A2" w:rsidRPr="007424A2" w:rsidRDefault="007424A2" w:rsidP="007424A2">
      <w:pPr>
        <w:spacing w:after="0" w:line="360" w:lineRule="auto"/>
        <w:rPr>
          <w:color w:val="000000"/>
          <w:lang w:val="es-ES"/>
        </w:rPr>
      </w:pPr>
      <w:r w:rsidRPr="007424A2">
        <w:rPr>
          <w:color w:val="000000"/>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92731FB" w14:textId="77777777" w:rsidR="007424A2" w:rsidRPr="007424A2" w:rsidRDefault="007424A2" w:rsidP="007424A2">
      <w:pPr>
        <w:spacing w:after="0" w:line="360" w:lineRule="auto"/>
        <w:contextualSpacing/>
        <w:rPr>
          <w:rFonts w:cs="Tahoma"/>
          <w:bCs/>
          <w:iCs/>
          <w:color w:val="000000"/>
          <w:lang w:val="es-ES_tradnl"/>
        </w:rPr>
      </w:pPr>
    </w:p>
    <w:p w14:paraId="4FB54E70" w14:textId="77777777" w:rsidR="007424A2" w:rsidRDefault="007424A2" w:rsidP="007424A2">
      <w:pPr>
        <w:spacing w:after="0" w:line="360" w:lineRule="auto"/>
        <w:contextualSpacing/>
        <w:rPr>
          <w:rFonts w:cs="Tahoma"/>
          <w:bCs/>
          <w:iCs/>
          <w:color w:val="000000"/>
          <w:lang w:val="es-ES"/>
        </w:rPr>
      </w:pPr>
      <w:r w:rsidRPr="007424A2">
        <w:rPr>
          <w:rFonts w:cs="Tahoma"/>
          <w:bCs/>
          <w:iCs/>
          <w:color w:val="000000"/>
          <w:lang w:val="es-ES_tradnl"/>
        </w:rPr>
        <w:t>Conforme a lo anterior, deberá entregar los documentos en versión pública, tomando en consideración el análisis realizado en párrafos anteriores; a</w:t>
      </w:r>
      <w:r w:rsidRPr="007424A2">
        <w:rPr>
          <w:rFonts w:cs="Tahoma"/>
          <w:bCs/>
          <w:iCs/>
          <w:color w:val="000000"/>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7424A2">
        <w:rPr>
          <w:rFonts w:cs="Tahoma"/>
          <w:bCs/>
          <w:iCs/>
          <w:color w:val="000000"/>
          <w:lang w:val="es-ES"/>
        </w:rPr>
        <w:lastRenderedPageBreak/>
        <w:t xml:space="preserve">las partes o secciones clasificadas, indicando su contenido de manera genérica y fundando y motivando su clasificación. </w:t>
      </w:r>
    </w:p>
    <w:p w14:paraId="590D425A" w14:textId="77777777" w:rsidR="00AA0E54" w:rsidRPr="007424A2" w:rsidRDefault="00AA0E54" w:rsidP="007424A2">
      <w:pPr>
        <w:spacing w:after="0" w:line="360" w:lineRule="auto"/>
        <w:contextualSpacing/>
        <w:rPr>
          <w:rFonts w:cs="Tahoma"/>
          <w:bCs/>
          <w:iCs/>
          <w:color w:val="000000"/>
          <w:lang w:val="es-ES"/>
        </w:rPr>
      </w:pPr>
    </w:p>
    <w:p w14:paraId="7D14E262" w14:textId="77777777" w:rsidR="007424A2" w:rsidRPr="007424A2" w:rsidRDefault="007424A2" w:rsidP="007424A2">
      <w:pPr>
        <w:spacing w:after="0" w:line="360" w:lineRule="auto"/>
        <w:contextualSpacing/>
        <w:rPr>
          <w:rFonts w:eastAsia="Calibri"/>
          <w:color w:val="000000"/>
        </w:rPr>
      </w:pPr>
      <w:r w:rsidRPr="007424A2">
        <w:rPr>
          <w:rFonts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AED1205" w14:textId="77777777" w:rsidR="00F2609F" w:rsidRDefault="00F2609F" w:rsidP="007424A2">
      <w:pPr>
        <w:spacing w:after="0" w:line="360" w:lineRule="auto"/>
      </w:pPr>
    </w:p>
    <w:p w14:paraId="5EB2B0B8" w14:textId="77777777" w:rsidR="00866DFD" w:rsidRPr="00866DFD" w:rsidRDefault="00866DFD" w:rsidP="00866DFD">
      <w:pPr>
        <w:spacing w:after="0" w:line="360" w:lineRule="auto"/>
        <w:rPr>
          <w:rFonts w:eastAsia="Times New Roman" w:cs="Tahoma"/>
          <w:bCs/>
          <w:iCs/>
          <w:color w:val="auto"/>
          <w:lang w:eastAsia="es-ES"/>
        </w:rPr>
      </w:pPr>
      <w:r w:rsidRPr="00866DFD">
        <w:rPr>
          <w:rFonts w:eastAsia="Times New Roman" w:cs="Tahoma"/>
          <w:bCs/>
          <w:iCs/>
          <w:color w:val="auto"/>
          <w:lang w:val="es-ES" w:eastAsia="es-ES"/>
        </w:rPr>
        <w:t xml:space="preserve">Finalmente, no pasa desapercibido, que el ahora Recurrente, requirió que se diera vista a la autoridad correspondiente, a efecto de que se iniciara un procedimiento de responsabilidades en contra de los servidores públicos. </w:t>
      </w:r>
      <w:r w:rsidRPr="00866DFD">
        <w:rPr>
          <w:rFonts w:eastAsia="Times New Roman" w:cs="Tahoma"/>
          <w:bCs/>
          <w:iCs/>
          <w:color w:val="auto"/>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08327C75" w14:textId="77777777" w:rsidR="00866DFD" w:rsidRPr="00866DFD" w:rsidRDefault="00866DFD" w:rsidP="00866DFD">
      <w:pPr>
        <w:spacing w:after="0" w:line="360" w:lineRule="auto"/>
        <w:rPr>
          <w:rFonts w:eastAsia="Times New Roman" w:cs="Tahoma"/>
          <w:bCs/>
          <w:iCs/>
          <w:color w:val="auto"/>
          <w:lang w:eastAsia="es-ES"/>
        </w:rPr>
      </w:pPr>
    </w:p>
    <w:p w14:paraId="13DD406A" w14:textId="77777777" w:rsidR="00866DFD" w:rsidRPr="00866DFD" w:rsidRDefault="00866DFD" w:rsidP="00866DFD">
      <w:pPr>
        <w:spacing w:after="0" w:line="360" w:lineRule="auto"/>
        <w:rPr>
          <w:rFonts w:eastAsia="Times New Roman" w:cs="Tahoma"/>
          <w:bCs/>
          <w:iCs/>
          <w:color w:val="auto"/>
          <w:lang w:eastAsia="es-ES"/>
        </w:rPr>
      </w:pPr>
      <w:r w:rsidRPr="00866DFD">
        <w:rPr>
          <w:rFonts w:eastAsia="Times New Roman" w:cs="Tahoma"/>
          <w:bCs/>
          <w:iCs/>
          <w:color w:val="auto"/>
          <w:lang w:eastAsia="es-E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29FCE6EB" w14:textId="77777777" w:rsidR="00866DFD" w:rsidRPr="00866DFD" w:rsidRDefault="00866DFD" w:rsidP="00866DFD">
      <w:pPr>
        <w:spacing w:after="0" w:line="360" w:lineRule="auto"/>
        <w:rPr>
          <w:rFonts w:eastAsia="Times New Roman" w:cs="Tahoma"/>
          <w:bCs/>
          <w:iCs/>
          <w:color w:val="auto"/>
          <w:lang w:eastAsia="es-ES"/>
        </w:rPr>
      </w:pPr>
    </w:p>
    <w:p w14:paraId="663398FD" w14:textId="77777777" w:rsidR="00866DFD" w:rsidRPr="00866DFD" w:rsidRDefault="00866DFD" w:rsidP="00866DFD">
      <w:pPr>
        <w:spacing w:after="0" w:line="360" w:lineRule="auto"/>
        <w:rPr>
          <w:rFonts w:eastAsia="Times New Roman" w:cs="Tahoma"/>
          <w:bCs/>
          <w:iCs/>
          <w:color w:val="auto"/>
          <w:lang w:eastAsia="es-ES"/>
        </w:rPr>
      </w:pPr>
      <w:r w:rsidRPr="00866DFD">
        <w:rPr>
          <w:rFonts w:eastAsia="Times New Roman" w:cs="Tahoma"/>
          <w:bCs/>
          <w:i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4811705" w14:textId="77777777" w:rsidR="00866DFD" w:rsidRPr="00866DFD" w:rsidRDefault="00866DFD" w:rsidP="00866DFD">
      <w:pPr>
        <w:spacing w:after="0" w:line="360" w:lineRule="auto"/>
        <w:rPr>
          <w:rFonts w:eastAsia="Times New Roman" w:cs="Tahoma"/>
          <w:bCs/>
          <w:iCs/>
          <w:color w:val="auto"/>
          <w:lang w:val="es-ES" w:eastAsia="es-ES"/>
        </w:rPr>
      </w:pPr>
    </w:p>
    <w:p w14:paraId="60EFB44B" w14:textId="77777777" w:rsidR="00866DFD" w:rsidRDefault="00866DFD" w:rsidP="00866DFD">
      <w:pPr>
        <w:spacing w:after="0" w:line="360" w:lineRule="auto"/>
        <w:rPr>
          <w:rFonts w:eastAsia="Times New Roman" w:cs="Tahoma"/>
          <w:bCs/>
          <w:iCs/>
          <w:color w:val="auto"/>
          <w:lang w:val="es-ES" w:eastAsia="es-ES"/>
        </w:rPr>
      </w:pPr>
      <w:r w:rsidRPr="00866DFD">
        <w:rPr>
          <w:rFonts w:eastAsia="Times New Roman" w:cs="Tahoma"/>
          <w:bCs/>
          <w:iCs/>
          <w:color w:val="auto"/>
          <w:lang w:val="es-ES" w:eastAsia="es-ES"/>
        </w:rPr>
        <w:t>En el presente caso, este Instituto no cuenta con elementos necesarios para indicar que el actuar del Sujeto Obligado actuó con negligencia, dolo o mala fe al atender la solicitud de información</w:t>
      </w:r>
      <w:r>
        <w:rPr>
          <w:rFonts w:eastAsia="Times New Roman" w:cs="Tahoma"/>
          <w:bCs/>
          <w:iCs/>
          <w:color w:val="auto"/>
          <w:lang w:val="es-ES" w:eastAsia="es-ES"/>
        </w:rPr>
        <w:t xml:space="preserve">, </w:t>
      </w:r>
      <w:r>
        <w:rPr>
          <w:rFonts w:eastAsia="Times New Roman" w:cs="Tahoma"/>
          <w:bCs/>
          <w:iCs/>
          <w:color w:val="auto"/>
          <w:lang w:val="es-ES" w:eastAsia="es-ES"/>
        </w:rPr>
        <w:lastRenderedPageBreak/>
        <w:t>tan es así que proporcionó información relacionada con lo peticionado</w:t>
      </w:r>
      <w:r w:rsidRPr="00866DFD">
        <w:rPr>
          <w:rFonts w:eastAsia="Times New Roman" w:cs="Tahoma"/>
          <w:bCs/>
          <w:iCs/>
          <w:color w:val="auto"/>
          <w:lang w:val="es-ES" w:eastAsia="es-ES"/>
        </w:rPr>
        <w:t xml:space="preserve">; por lo que, no resulta procedente dar vista en el presente asunto. </w:t>
      </w:r>
    </w:p>
    <w:p w14:paraId="551F8F1D" w14:textId="77777777" w:rsidR="00866DFD" w:rsidRDefault="00866DFD" w:rsidP="00866DFD">
      <w:pPr>
        <w:spacing w:after="0" w:line="360" w:lineRule="auto"/>
        <w:rPr>
          <w:rFonts w:eastAsia="Times New Roman" w:cs="Tahoma"/>
          <w:bCs/>
          <w:iCs/>
          <w:color w:val="auto"/>
          <w:lang w:val="es-ES" w:eastAsia="es-ES"/>
        </w:rPr>
      </w:pPr>
    </w:p>
    <w:p w14:paraId="475D1759" w14:textId="2B327A53" w:rsidR="00866DFD" w:rsidRPr="00866DFD" w:rsidRDefault="00866DFD" w:rsidP="00866DFD">
      <w:pPr>
        <w:spacing w:after="0" w:line="360" w:lineRule="auto"/>
        <w:rPr>
          <w:rFonts w:eastAsia="Times New Roman" w:cs="Tahoma"/>
          <w:bCs/>
          <w:iCs/>
          <w:color w:val="auto"/>
          <w:lang w:eastAsia="es-ES"/>
        </w:rPr>
      </w:pPr>
      <w:r w:rsidRPr="00866DFD">
        <w:rPr>
          <w:rFonts w:eastAsia="Times New Roman" w:cs="Tahoma"/>
          <w:bCs/>
          <w:iCs/>
          <w:color w:val="auto"/>
          <w:lang w:val="es-ES" w:eastAsia="es-ES"/>
        </w:rPr>
        <w:t xml:space="preserve">Sin embargo, se dejan a salvo los derechos del Particular, para que dé así requerirlo, presente la queja o denuncia, ante el Órgano Interno de Control </w:t>
      </w:r>
      <w:proofErr w:type="spellStart"/>
      <w:r>
        <w:rPr>
          <w:rFonts w:eastAsia="Times New Roman" w:cs="Tahoma"/>
          <w:bCs/>
          <w:iCs/>
          <w:color w:val="auto"/>
          <w:lang w:val="es-ES" w:eastAsia="es-ES"/>
        </w:rPr>
        <w:t>u</w:t>
      </w:r>
      <w:proofErr w:type="spellEnd"/>
      <w:r>
        <w:rPr>
          <w:rFonts w:eastAsia="Times New Roman" w:cs="Tahoma"/>
          <w:bCs/>
          <w:iCs/>
          <w:color w:val="auto"/>
          <w:lang w:val="es-ES" w:eastAsia="es-ES"/>
        </w:rPr>
        <w:t xml:space="preserve"> homólogo </w:t>
      </w:r>
      <w:r w:rsidRPr="00866DFD">
        <w:rPr>
          <w:rFonts w:eastAsia="Times New Roman" w:cs="Tahoma"/>
          <w:bCs/>
          <w:iCs/>
          <w:color w:val="auto"/>
          <w:lang w:val="es-ES" w:eastAsia="es-ES"/>
        </w:rPr>
        <w:t xml:space="preserve">del </w:t>
      </w:r>
      <w:r w:rsidRPr="00866DFD">
        <w:rPr>
          <w:rFonts w:eastAsia="Times New Roman" w:cs="Tahoma"/>
          <w:iCs/>
          <w:color w:val="auto"/>
          <w:lang w:eastAsia="es-ES"/>
        </w:rPr>
        <w:t>Sujeto Obligado</w:t>
      </w:r>
      <w:r>
        <w:rPr>
          <w:rFonts w:eastAsia="Times New Roman" w:cs="Tahoma"/>
          <w:iCs/>
          <w:color w:val="auto"/>
          <w:lang w:eastAsia="es-ES"/>
        </w:rPr>
        <w:t>.</w:t>
      </w:r>
    </w:p>
    <w:p w14:paraId="61EF428C" w14:textId="77777777" w:rsidR="00866DFD" w:rsidRDefault="00866DFD" w:rsidP="007424A2">
      <w:pPr>
        <w:spacing w:after="0" w:line="360" w:lineRule="auto"/>
      </w:pPr>
    </w:p>
    <w:p w14:paraId="73D939D5" w14:textId="77777777" w:rsidR="00F2609F" w:rsidRDefault="00DA42FC" w:rsidP="007424A2">
      <w:pPr>
        <w:pStyle w:val="Ttulo2"/>
        <w:spacing w:before="0" w:after="0"/>
        <w:rPr>
          <w:b w:val="0"/>
        </w:rPr>
      </w:pPr>
      <w:bookmarkStart w:id="24" w:name="_heading=h.sl0lftrrskr0" w:colFirst="0" w:colLast="0"/>
      <w:bookmarkStart w:id="25" w:name="_Toc223020978"/>
      <w:bookmarkEnd w:id="24"/>
      <w:r>
        <w:t>SEXTO. Decisión</w:t>
      </w:r>
      <w:bookmarkEnd w:id="25"/>
    </w:p>
    <w:p w14:paraId="6F8C8F7F" w14:textId="77777777" w:rsidR="00F2609F" w:rsidRDefault="00F2609F" w:rsidP="007424A2">
      <w:pPr>
        <w:spacing w:after="0" w:line="360" w:lineRule="auto"/>
        <w:rPr>
          <w:b/>
        </w:rPr>
      </w:pPr>
    </w:p>
    <w:p w14:paraId="27215FF6" w14:textId="24A34C38" w:rsidR="002659FC" w:rsidRDefault="002659FC" w:rsidP="007424A2">
      <w:pPr>
        <w:spacing w:after="0" w:line="360" w:lineRule="auto"/>
      </w:pPr>
      <w:r>
        <w:t xml:space="preserve">De acuerdo con lo expuesto y, con fundamento en el artículo 186, fracción III, de la Ley de Transparencia y Acceso a la Información Pública del Estado de México y Municipios, este Instituto considera </w:t>
      </w:r>
      <w:r w:rsidRPr="007424A2">
        <w:t xml:space="preserve">procedente </w:t>
      </w:r>
      <w:r w:rsidR="00C46528" w:rsidRPr="007424A2">
        <w:rPr>
          <w:b/>
        </w:rPr>
        <w:t>REVO</w:t>
      </w:r>
      <w:r w:rsidR="006C7E9A" w:rsidRPr="007424A2">
        <w:rPr>
          <w:b/>
        </w:rPr>
        <w:t>CAR</w:t>
      </w:r>
      <w:r w:rsidRPr="007424A2">
        <w:rPr>
          <w:b/>
        </w:rPr>
        <w:t xml:space="preserve"> </w:t>
      </w:r>
      <w:r w:rsidRPr="007424A2">
        <w:t>la respuesta</w:t>
      </w:r>
      <w:r>
        <w:t xml:space="preserve"> del </w:t>
      </w:r>
      <w:r w:rsidR="00BD0EF1">
        <w:t>Ayuntamiento de Metepec</w:t>
      </w:r>
      <w:r>
        <w:rPr>
          <w:b/>
        </w:rPr>
        <w:t xml:space="preserve">, </w:t>
      </w:r>
      <w:r>
        <w:t xml:space="preserve">a efecto de que previa búsqueda exhaustiva y razonable entregue, en su caso en versión pública, la información </w:t>
      </w:r>
      <w:r w:rsidR="008707FD">
        <w:t>faltante.</w:t>
      </w:r>
    </w:p>
    <w:p w14:paraId="099CE3F1" w14:textId="77777777" w:rsidR="00011F1F" w:rsidRDefault="00011F1F" w:rsidP="007424A2">
      <w:pPr>
        <w:spacing w:after="0" w:line="360" w:lineRule="auto"/>
      </w:pPr>
    </w:p>
    <w:p w14:paraId="3681A21E" w14:textId="77777777" w:rsidR="00F2609F" w:rsidRDefault="00DA42FC" w:rsidP="007424A2">
      <w:pPr>
        <w:spacing w:after="0" w:line="360" w:lineRule="auto"/>
        <w:rPr>
          <w:b/>
        </w:rPr>
      </w:pPr>
      <w:r>
        <w:rPr>
          <w:b/>
        </w:rPr>
        <w:t>Términos de la Resolución para la parte Recurrente:</w:t>
      </w:r>
    </w:p>
    <w:p w14:paraId="2635252D" w14:textId="77777777" w:rsidR="00F2609F" w:rsidRDefault="00F2609F" w:rsidP="007424A2">
      <w:pPr>
        <w:spacing w:after="0" w:line="360" w:lineRule="auto"/>
      </w:pPr>
    </w:p>
    <w:p w14:paraId="6728E53F" w14:textId="77777777" w:rsidR="00866DFD" w:rsidRDefault="00DA42FC" w:rsidP="00866DFD">
      <w:pPr>
        <w:spacing w:after="0" w:line="360" w:lineRule="auto"/>
      </w:pPr>
      <w:r>
        <w:t>Se hace del conocimiento de la parte Recurrente que este Organismo Garante determinó concederle la razón, puesto que el Sujeto Obligado no entregó la información solicitada</w:t>
      </w:r>
      <w:r w:rsidR="007424A2">
        <w:t>,</w:t>
      </w:r>
      <w:r>
        <w:t xml:space="preserve"> por lo que, deberá proporcionar </w:t>
      </w:r>
      <w:r w:rsidR="007424A2">
        <w:t>los recibos de nómina solicitado.</w:t>
      </w:r>
      <w:r w:rsidR="00866DFD">
        <w:t xml:space="preserve"> </w:t>
      </w:r>
    </w:p>
    <w:p w14:paraId="515287BA" w14:textId="77777777" w:rsidR="00866DFD" w:rsidRDefault="00866DFD" w:rsidP="00866DFD">
      <w:pPr>
        <w:spacing w:after="0" w:line="360" w:lineRule="auto"/>
      </w:pPr>
    </w:p>
    <w:p w14:paraId="09114FDB" w14:textId="26EF9C79" w:rsidR="00C46528" w:rsidRPr="00C46528" w:rsidRDefault="00C46528" w:rsidP="00866DFD">
      <w:pPr>
        <w:spacing w:after="0" w:line="360" w:lineRule="auto"/>
        <w:rPr>
          <w:rFonts w:eastAsia="Calibri" w:cs="Tahoma"/>
          <w:lang w:eastAsia="en-US"/>
        </w:rPr>
      </w:pPr>
      <w:r w:rsidRPr="00C46528">
        <w:rPr>
          <w:rFonts w:eastAsia="Calibri" w:cs="Tahoma"/>
          <w:bCs/>
          <w:iCs/>
          <w:color w:val="auto"/>
          <w:lang w:eastAsia="en-US"/>
        </w:rPr>
        <w:t>Finalmente, se le informa que la labor de este Instituto de Transparencia, Acceso a la Información Pública y Protección de Datos Personales del Estado de México y Municipios, es apoyar a la población</w:t>
      </w:r>
      <w:r>
        <w:rPr>
          <w:rFonts w:eastAsia="Calibri" w:cs="Tahoma"/>
          <w:bCs/>
          <w:iCs/>
          <w:color w:val="auto"/>
          <w:lang w:eastAsia="en-US"/>
        </w:rPr>
        <w:t>, por una parte,</w:t>
      </w:r>
      <w:r w:rsidRPr="00C46528">
        <w:rPr>
          <w:rFonts w:eastAsia="Calibri" w:cs="Tahoma"/>
          <w:bCs/>
          <w:iCs/>
          <w:color w:val="auto"/>
          <w:lang w:eastAsia="en-US"/>
        </w:rPr>
        <w:t xml:space="preserve"> a acceder a la información pública y</w:t>
      </w:r>
      <w:r>
        <w:rPr>
          <w:rFonts w:eastAsia="Calibri" w:cs="Tahoma"/>
          <w:bCs/>
          <w:iCs/>
          <w:color w:val="auto"/>
          <w:lang w:eastAsia="en-US"/>
        </w:rPr>
        <w:t>, por otra, a g</w:t>
      </w:r>
      <w:r w:rsidRPr="00C46528">
        <w:rPr>
          <w:rFonts w:eastAsia="Calibri" w:cs="Tahoma"/>
          <w:bCs/>
          <w:iCs/>
          <w:color w:val="auto"/>
          <w:lang w:eastAsia="en-US"/>
        </w:rPr>
        <w:t>arantizar la protección de los datos personales.</w:t>
      </w:r>
    </w:p>
    <w:p w14:paraId="30490E0F" w14:textId="77777777" w:rsidR="00F2609F" w:rsidRDefault="00F2609F" w:rsidP="007424A2">
      <w:pPr>
        <w:spacing w:after="0" w:line="360" w:lineRule="auto"/>
      </w:pPr>
    </w:p>
    <w:p w14:paraId="7DAD2C96" w14:textId="77777777" w:rsidR="00F2609F" w:rsidRDefault="00DA42FC" w:rsidP="007424A2">
      <w:pPr>
        <w:spacing w:after="0" w:line="360" w:lineRule="auto"/>
      </w:pPr>
      <w:r>
        <w:t>Por lo expuesto y fundado, este Pleno:</w:t>
      </w:r>
    </w:p>
    <w:p w14:paraId="25613372" w14:textId="77777777" w:rsidR="00AF75AF" w:rsidRDefault="00AF75AF" w:rsidP="007424A2">
      <w:pPr>
        <w:spacing w:after="0" w:line="360" w:lineRule="auto"/>
        <w:rPr>
          <w:u w:val="single"/>
        </w:rPr>
      </w:pPr>
    </w:p>
    <w:p w14:paraId="17076C10" w14:textId="77777777" w:rsidR="00F2609F" w:rsidRDefault="00DA42FC" w:rsidP="007424A2">
      <w:pPr>
        <w:pStyle w:val="Ttulo1"/>
        <w:spacing w:before="0" w:after="0"/>
        <w:rPr>
          <w:b w:val="0"/>
          <w:sz w:val="22"/>
          <w:szCs w:val="22"/>
        </w:rPr>
      </w:pPr>
      <w:bookmarkStart w:id="26" w:name="_heading=h.7a7cnmr0rjdt" w:colFirst="0" w:colLast="0"/>
      <w:bookmarkStart w:id="27" w:name="_Toc223020979"/>
      <w:bookmarkEnd w:id="26"/>
      <w:r>
        <w:rPr>
          <w:sz w:val="22"/>
          <w:szCs w:val="22"/>
        </w:rPr>
        <w:lastRenderedPageBreak/>
        <w:t>R E S U E L V E</w:t>
      </w:r>
      <w:bookmarkEnd w:id="27"/>
    </w:p>
    <w:p w14:paraId="0F6B78EE" w14:textId="77777777" w:rsidR="00866DFD" w:rsidRDefault="00866DFD" w:rsidP="007424A2">
      <w:pPr>
        <w:spacing w:after="0" w:line="360" w:lineRule="auto"/>
        <w:rPr>
          <w:b/>
        </w:rPr>
      </w:pPr>
    </w:p>
    <w:p w14:paraId="54F01A7B" w14:textId="5B2894B0" w:rsidR="00F2609F" w:rsidRDefault="00DA42FC" w:rsidP="007424A2">
      <w:pPr>
        <w:spacing w:after="0" w:line="360" w:lineRule="auto"/>
      </w:pPr>
      <w:r>
        <w:rPr>
          <w:b/>
        </w:rPr>
        <w:t xml:space="preserve">PRIMERO. </w:t>
      </w:r>
      <w:r>
        <w:t xml:space="preserve">Se </w:t>
      </w:r>
      <w:r w:rsidR="00C46528" w:rsidRPr="007424A2">
        <w:rPr>
          <w:b/>
        </w:rPr>
        <w:t>REVO</w:t>
      </w:r>
      <w:r w:rsidR="006C7E9A" w:rsidRPr="007424A2">
        <w:rPr>
          <w:b/>
        </w:rPr>
        <w:t>CA</w:t>
      </w:r>
      <w:r>
        <w:t xml:space="preserve"> la respuesta en</w:t>
      </w:r>
      <w:r w:rsidR="00011F1F">
        <w:t xml:space="preserve">tregada por el </w:t>
      </w:r>
      <w:r w:rsidR="00BD0EF1">
        <w:t>Ayuntamiento de Metepec</w:t>
      </w:r>
      <w:r>
        <w:t xml:space="preserve"> a la solicitud de información </w:t>
      </w:r>
      <w:r w:rsidR="00BD0EF1">
        <w:t>00415/METEPEC/IP/2025</w:t>
      </w:r>
      <w:r w:rsidRPr="008707FD">
        <w:t>,</w:t>
      </w:r>
      <w:r>
        <w:t xml:space="preserve"> por resultar </w:t>
      </w:r>
      <w:r>
        <w:rPr>
          <w:b/>
        </w:rPr>
        <w:t>FUNDADAS</w:t>
      </w:r>
      <w:r>
        <w:t xml:space="preserve"> las razones o motivos de inconformidad hechos valer por la Recurrente, en términos de los considerandos QUINTO y SEXTO de la presente Resolución.</w:t>
      </w:r>
    </w:p>
    <w:p w14:paraId="1A34B62E" w14:textId="77777777" w:rsidR="00F2609F" w:rsidRDefault="00DA42FC" w:rsidP="007424A2">
      <w:pPr>
        <w:spacing w:after="0" w:line="360" w:lineRule="auto"/>
      </w:pPr>
      <w:r>
        <w:t xml:space="preserve"> </w:t>
      </w:r>
    </w:p>
    <w:p w14:paraId="733DBFDA" w14:textId="6F7C4396" w:rsidR="00F2609F" w:rsidRDefault="00DA42FC" w:rsidP="007424A2">
      <w:pPr>
        <w:spacing w:after="0" w:line="360" w:lineRule="auto"/>
        <w:ind w:right="-28"/>
      </w:pPr>
      <w:r>
        <w:rPr>
          <w:b/>
        </w:rPr>
        <w:t xml:space="preserve">SEGUNDO. </w:t>
      </w:r>
      <w:r>
        <w:t xml:space="preserve">Se </w:t>
      </w:r>
      <w:r>
        <w:rPr>
          <w:b/>
        </w:rPr>
        <w:t xml:space="preserve">ORDENA </w:t>
      </w:r>
      <w:r>
        <w:t xml:space="preserve">al </w:t>
      </w:r>
      <w:r>
        <w:rPr>
          <w:color w:val="0D0D0D"/>
        </w:rPr>
        <w:t>Sujeto Obligado</w:t>
      </w:r>
      <w:r>
        <w:t xml:space="preserve">, a efecto de que previa búsqueda exhaustiva y razonable en los archivos de las unidades administrativas competentes, entregue, a través del Sistema de Acceso a la Información Mexiquense (SAIMEX), </w:t>
      </w:r>
      <w:r w:rsidR="008707FD">
        <w:t xml:space="preserve">en </w:t>
      </w:r>
      <w:r w:rsidR="006C7E9A">
        <w:t>versión pública</w:t>
      </w:r>
      <w:r w:rsidR="008707FD">
        <w:t xml:space="preserve">, lo </w:t>
      </w:r>
      <w:r>
        <w:t>siguiente:</w:t>
      </w:r>
    </w:p>
    <w:p w14:paraId="22F5F06E" w14:textId="77777777" w:rsidR="00F2609F" w:rsidRDefault="00F2609F" w:rsidP="007424A2">
      <w:pPr>
        <w:spacing w:after="0" w:line="360" w:lineRule="auto"/>
        <w:ind w:right="-28"/>
      </w:pPr>
    </w:p>
    <w:p w14:paraId="5FBE9490" w14:textId="2D0181F9" w:rsidR="00F2609F" w:rsidRDefault="008707FD" w:rsidP="007424A2">
      <w:pPr>
        <w:numPr>
          <w:ilvl w:val="0"/>
          <w:numId w:val="4"/>
        </w:numPr>
        <w:pBdr>
          <w:top w:val="nil"/>
          <w:left w:val="nil"/>
          <w:bottom w:val="nil"/>
          <w:right w:val="nil"/>
          <w:between w:val="nil"/>
        </w:pBdr>
        <w:spacing w:after="0" w:line="360" w:lineRule="auto"/>
        <w:ind w:right="-28"/>
      </w:pPr>
      <w:r>
        <w:t>El recibo de nómina de la primera</w:t>
      </w:r>
      <w:r w:rsidR="007424A2">
        <w:t xml:space="preserve"> y segunda</w:t>
      </w:r>
      <w:r>
        <w:t xml:space="preserve"> quincena de enero de dos mil veinticinco, </w:t>
      </w:r>
      <w:r w:rsidR="007424A2">
        <w:t>de la Síndica Municipal, referida en el Considerando QUINTO</w:t>
      </w:r>
      <w:r w:rsidR="006C7E9A" w:rsidRPr="006C7E9A">
        <w:t>.</w:t>
      </w:r>
    </w:p>
    <w:p w14:paraId="3FD9FE7E" w14:textId="77777777" w:rsidR="008707FD" w:rsidRDefault="008707FD" w:rsidP="007424A2">
      <w:pPr>
        <w:pStyle w:val="Prrafodelista"/>
        <w:spacing w:line="360" w:lineRule="auto"/>
      </w:pPr>
    </w:p>
    <w:p w14:paraId="2D564C61" w14:textId="77777777" w:rsidR="00F2609F" w:rsidRDefault="00DA42FC" w:rsidP="007424A2">
      <w:pPr>
        <w:spacing w:after="0" w:line="360" w:lineRule="auto"/>
      </w:pPr>
      <w:r>
        <w:rPr>
          <w:color w:val="000000"/>
        </w:rPr>
        <w:t xml:space="preserve">Además, </w:t>
      </w:r>
      <w:r>
        <w:t>deberá proporcionar el Acuerdo de Clasificación donde el Comité de Transparencia, confirme la eliminación de los datos o información en la versión pública, en términos del Considerando QUINTO, de conformidad con los artículos 49, fracciones II y VIII y 132, fracción II de la Ley de Transparencia y Acceso a la Información Pública del Estado de México y Municipios.</w:t>
      </w:r>
    </w:p>
    <w:p w14:paraId="62BCE693" w14:textId="77777777" w:rsidR="00F2609F" w:rsidRDefault="00F2609F" w:rsidP="007424A2">
      <w:pPr>
        <w:spacing w:after="0" w:line="360" w:lineRule="auto"/>
      </w:pPr>
    </w:p>
    <w:p w14:paraId="03E67E3B" w14:textId="77777777" w:rsidR="00F2609F" w:rsidRDefault="00DA42FC" w:rsidP="007424A2">
      <w:pPr>
        <w:spacing w:after="0" w:line="360" w:lineRule="auto"/>
        <w:ind w:right="-28"/>
        <w:rPr>
          <w:color w:val="000000"/>
        </w:rPr>
      </w:pPr>
      <w:r>
        <w:rPr>
          <w:b/>
          <w:color w:val="000000"/>
        </w:rPr>
        <w:t>TERCERO.</w:t>
      </w:r>
      <w:r>
        <w:rPr>
          <w:color w:val="000000"/>
        </w:rPr>
        <w:t xml:space="preserve"> 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p>
    <w:p w14:paraId="3C855555" w14:textId="77777777" w:rsidR="00F2609F" w:rsidRDefault="00F2609F" w:rsidP="007424A2">
      <w:pPr>
        <w:spacing w:after="0" w:line="360" w:lineRule="auto"/>
      </w:pPr>
    </w:p>
    <w:p w14:paraId="1C4E805E" w14:textId="7B17688F" w:rsidR="00F2609F" w:rsidRDefault="00DA42FC" w:rsidP="007424A2">
      <w:pPr>
        <w:spacing w:after="0" w:line="360" w:lineRule="auto"/>
        <w:rPr>
          <w:color w:val="000000"/>
        </w:rPr>
      </w:pPr>
      <w:r>
        <w:rPr>
          <w:b/>
          <w:color w:val="000000"/>
        </w:rPr>
        <w:t xml:space="preserve">CUARTO. NOTIFÍQUESE POR SAIMEX </w:t>
      </w:r>
      <w:r>
        <w:rPr>
          <w:color w:val="000000"/>
        </w:rPr>
        <w:t>la presente resolución al Titular de la Unidad de</w:t>
      </w:r>
      <w:r w:rsidR="00AA0E54">
        <w:rPr>
          <w:color w:val="000000"/>
        </w:rPr>
        <w:t xml:space="preserve"> </w:t>
      </w:r>
      <w:r>
        <w:rPr>
          <w:color w:val="000000"/>
        </w:rPr>
        <w:t xml:space="preserve">Transparencia del Sujeto Obligado, para que conforme al artículo 186, último párrafo, 189, </w:t>
      </w:r>
      <w:r>
        <w:rPr>
          <w:color w:val="000000"/>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A9F541E" w14:textId="77777777" w:rsidR="00F2609F" w:rsidRDefault="00F2609F" w:rsidP="007424A2">
      <w:pPr>
        <w:spacing w:after="0" w:line="360" w:lineRule="auto"/>
      </w:pPr>
    </w:p>
    <w:p w14:paraId="1D6ABEB2" w14:textId="77777777" w:rsidR="00F2609F" w:rsidRDefault="00DA42FC" w:rsidP="007424A2">
      <w:pPr>
        <w:spacing w:after="0" w:line="360" w:lineRule="auto"/>
      </w:pPr>
      <w:r>
        <w:t>De conformidad con el artículo 198 de la Ley de la materia, de considerarlo procedente, el Sujeto Obligado de manera fundada y motivada, podrá solicitar una ampliación de plazo para el cumplimiento de la presente resolución.</w:t>
      </w:r>
    </w:p>
    <w:p w14:paraId="23226432" w14:textId="77777777" w:rsidR="00F2609F" w:rsidRDefault="00F2609F" w:rsidP="007424A2">
      <w:pPr>
        <w:spacing w:after="0" w:line="360" w:lineRule="auto"/>
        <w:rPr>
          <w:color w:val="000000"/>
        </w:rPr>
      </w:pPr>
    </w:p>
    <w:p w14:paraId="796A881C" w14:textId="77777777" w:rsidR="00F2609F" w:rsidRDefault="00DA42FC" w:rsidP="007424A2">
      <w:pPr>
        <w:spacing w:after="0" w:line="360" w:lineRule="auto"/>
      </w:pPr>
      <w:bookmarkStart w:id="28" w:name="_heading=h.bjb1c5qyw8l8" w:colFirst="0" w:colLast="0"/>
      <w:bookmarkEnd w:id="28"/>
      <w:r>
        <w:rPr>
          <w:b/>
        </w:rPr>
        <w:t>QUINTO. NOTIFÍQUESE</w:t>
      </w:r>
      <w:r>
        <w:t xml:space="preserve"> </w:t>
      </w:r>
      <w:r>
        <w:rPr>
          <w:b/>
        </w:rPr>
        <w:t xml:space="preserve">POR SAIMEX, </w:t>
      </w:r>
      <w: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6F491FC" w14:textId="77777777" w:rsidR="00F2609F" w:rsidRDefault="00F2609F" w:rsidP="007424A2">
      <w:pPr>
        <w:spacing w:after="0" w:line="360" w:lineRule="auto"/>
      </w:pPr>
    </w:p>
    <w:p w14:paraId="6F91351B" w14:textId="5EFA3FB8" w:rsidR="00F2609F" w:rsidRDefault="00DA42FC" w:rsidP="007424A2">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53534">
        <w:t xml:space="preserve"> </w:t>
      </w:r>
      <w:r>
        <w:t xml:space="preserve">Y GUADALUPE RAMÍREZ PEÑA, EN LA </w:t>
      </w:r>
      <w:r w:rsidR="007424A2">
        <w:t>SÉPTIMA</w:t>
      </w:r>
      <w:r>
        <w:t xml:space="preserve"> SESIÓN ORDINARIA, CELEBRADA EL </w:t>
      </w:r>
      <w:r w:rsidR="007424A2">
        <w:t>VEINTICINCO DE FEBRERO DE DOS MIL VEINTISÉIS</w:t>
      </w:r>
      <w:r>
        <w:t>, ANTE EL SECRETARIO TÉCNICO DEL PLENO, ALEXIS TAPIA RAMÍREZ.</w:t>
      </w:r>
    </w:p>
    <w:p w14:paraId="30AF2E5E" w14:textId="77777777" w:rsidR="00F2609F" w:rsidRDefault="00F2609F" w:rsidP="007424A2">
      <w:pPr>
        <w:pStyle w:val="Ttulo2"/>
        <w:spacing w:before="0" w:after="0"/>
        <w:rPr>
          <w:b w:val="0"/>
        </w:rPr>
      </w:pPr>
    </w:p>
    <w:p w14:paraId="4B9292CE" w14:textId="77777777" w:rsidR="00F2609F" w:rsidRDefault="00F2609F" w:rsidP="007424A2">
      <w:pPr>
        <w:spacing w:after="0" w:line="360" w:lineRule="auto"/>
      </w:pPr>
    </w:p>
    <w:p w14:paraId="5116CDB0" w14:textId="77777777" w:rsidR="00F2609F" w:rsidRDefault="00F2609F" w:rsidP="007424A2">
      <w:pPr>
        <w:spacing w:after="0" w:line="360" w:lineRule="auto"/>
      </w:pPr>
    </w:p>
    <w:p w14:paraId="72DDC581" w14:textId="77777777" w:rsidR="00F2609F" w:rsidRDefault="00F2609F" w:rsidP="007424A2">
      <w:pPr>
        <w:spacing w:after="0" w:line="360" w:lineRule="auto"/>
      </w:pPr>
    </w:p>
    <w:p w14:paraId="40EEEDA2" w14:textId="77777777" w:rsidR="00F2609F" w:rsidRDefault="00F2609F" w:rsidP="007424A2">
      <w:pPr>
        <w:spacing w:after="0" w:line="360" w:lineRule="auto"/>
      </w:pPr>
    </w:p>
    <w:p w14:paraId="291F3ECA" w14:textId="77777777" w:rsidR="00F2609F" w:rsidRDefault="00F2609F" w:rsidP="007424A2">
      <w:pPr>
        <w:spacing w:after="0" w:line="360" w:lineRule="auto"/>
      </w:pPr>
    </w:p>
    <w:p w14:paraId="2EB8842E" w14:textId="77777777" w:rsidR="00F2609F" w:rsidRDefault="00F2609F" w:rsidP="007424A2">
      <w:pPr>
        <w:spacing w:after="0" w:line="360" w:lineRule="auto"/>
      </w:pPr>
    </w:p>
    <w:p w14:paraId="77B3A669" w14:textId="77777777" w:rsidR="00F2609F" w:rsidRDefault="00F2609F" w:rsidP="007424A2">
      <w:pPr>
        <w:spacing w:after="0" w:line="360" w:lineRule="auto"/>
      </w:pPr>
    </w:p>
    <w:p w14:paraId="4203F1D8" w14:textId="77777777" w:rsidR="00F2609F" w:rsidRDefault="00F2609F" w:rsidP="007424A2">
      <w:pPr>
        <w:spacing w:after="0" w:line="360" w:lineRule="auto"/>
      </w:pPr>
    </w:p>
    <w:p w14:paraId="2C61D44C" w14:textId="77777777" w:rsidR="00F2609F" w:rsidRDefault="00F2609F" w:rsidP="007424A2">
      <w:pPr>
        <w:spacing w:after="0" w:line="360" w:lineRule="auto"/>
      </w:pPr>
    </w:p>
    <w:p w14:paraId="401A1F82" w14:textId="77777777" w:rsidR="00F2609F" w:rsidRDefault="00F2609F" w:rsidP="007424A2">
      <w:pPr>
        <w:spacing w:after="0" w:line="360" w:lineRule="auto"/>
      </w:pPr>
    </w:p>
    <w:p w14:paraId="45378509" w14:textId="77777777" w:rsidR="00F2609F" w:rsidRDefault="00F2609F" w:rsidP="007424A2">
      <w:pPr>
        <w:spacing w:after="0" w:line="360" w:lineRule="auto"/>
      </w:pPr>
    </w:p>
    <w:p w14:paraId="7DF776B1" w14:textId="77777777" w:rsidR="00F2609F" w:rsidRDefault="00F2609F" w:rsidP="007424A2">
      <w:pPr>
        <w:spacing w:after="0" w:line="360" w:lineRule="auto"/>
      </w:pPr>
    </w:p>
    <w:p w14:paraId="19916EFF" w14:textId="77777777" w:rsidR="00F2609F" w:rsidRDefault="00F2609F" w:rsidP="007424A2">
      <w:pPr>
        <w:spacing w:after="0" w:line="360" w:lineRule="auto"/>
      </w:pPr>
    </w:p>
    <w:p w14:paraId="7B5BE880" w14:textId="77777777" w:rsidR="00F2609F" w:rsidRDefault="00F2609F" w:rsidP="007424A2">
      <w:pPr>
        <w:spacing w:after="0" w:line="360" w:lineRule="auto"/>
      </w:pPr>
    </w:p>
    <w:p w14:paraId="0FF37BBA" w14:textId="77777777" w:rsidR="00F2609F" w:rsidRDefault="00F2609F" w:rsidP="007424A2">
      <w:pPr>
        <w:spacing w:after="0" w:line="360" w:lineRule="auto"/>
      </w:pPr>
    </w:p>
    <w:p w14:paraId="0ADE408D" w14:textId="77777777" w:rsidR="00F2609F" w:rsidRDefault="00F2609F" w:rsidP="007424A2">
      <w:pPr>
        <w:spacing w:after="0" w:line="360" w:lineRule="auto"/>
      </w:pPr>
    </w:p>
    <w:p w14:paraId="0B5F1A9F" w14:textId="77777777" w:rsidR="00F2609F" w:rsidRDefault="00F2609F" w:rsidP="007424A2">
      <w:pPr>
        <w:spacing w:after="0" w:line="360" w:lineRule="auto"/>
      </w:pPr>
    </w:p>
    <w:p w14:paraId="5A8CFE7B" w14:textId="4FD30A31" w:rsidR="00F2609F" w:rsidRDefault="00F2609F" w:rsidP="007424A2">
      <w:pPr>
        <w:spacing w:after="0" w:line="360" w:lineRule="auto"/>
      </w:pPr>
    </w:p>
    <w:p w14:paraId="6E3ACBC5" w14:textId="60A839D4" w:rsidR="00625663" w:rsidRDefault="00625663" w:rsidP="007424A2">
      <w:pPr>
        <w:spacing w:after="0" w:line="360" w:lineRule="auto"/>
      </w:pPr>
    </w:p>
    <w:p w14:paraId="30BF5E32" w14:textId="388D7862" w:rsidR="00625663" w:rsidRDefault="00625663" w:rsidP="007424A2">
      <w:pPr>
        <w:spacing w:after="0" w:line="360" w:lineRule="auto"/>
      </w:pPr>
    </w:p>
    <w:p w14:paraId="265027BD" w14:textId="6C1132DB" w:rsidR="00625663" w:rsidRDefault="00625663" w:rsidP="007424A2">
      <w:pPr>
        <w:spacing w:after="0" w:line="360" w:lineRule="auto"/>
      </w:pPr>
    </w:p>
    <w:p w14:paraId="6AD8FA69" w14:textId="210B7BEB" w:rsidR="00625663" w:rsidRDefault="00625663" w:rsidP="007424A2">
      <w:pPr>
        <w:spacing w:after="0" w:line="360" w:lineRule="auto"/>
      </w:pPr>
    </w:p>
    <w:p w14:paraId="509D9DE4" w14:textId="49BF2485" w:rsidR="00625663" w:rsidRDefault="00625663" w:rsidP="007424A2">
      <w:pPr>
        <w:spacing w:after="0" w:line="360" w:lineRule="auto"/>
      </w:pPr>
    </w:p>
    <w:p w14:paraId="44E8E359" w14:textId="3566AFCA" w:rsidR="00625663" w:rsidRDefault="00625663" w:rsidP="007424A2">
      <w:pPr>
        <w:spacing w:after="0" w:line="360" w:lineRule="auto"/>
      </w:pPr>
    </w:p>
    <w:p w14:paraId="3F72A5C9" w14:textId="77777777" w:rsidR="00625663" w:rsidRDefault="00625663" w:rsidP="007424A2">
      <w:pPr>
        <w:spacing w:after="0" w:line="360" w:lineRule="auto"/>
      </w:pPr>
    </w:p>
    <w:sectPr w:rsidR="00625663">
      <w:headerReference w:type="even" r:id="rId15"/>
      <w:headerReference w:type="default" r:id="rId16"/>
      <w:footerReference w:type="even" r:id="rId17"/>
      <w:footerReference w:type="default" r:id="rId18"/>
      <w:headerReference w:type="first" r:id="rId19"/>
      <w:footerReference w:type="first" r:id="rId20"/>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9A9B" w14:textId="77777777" w:rsidR="00DD0E03" w:rsidRDefault="00DD0E03">
      <w:pPr>
        <w:spacing w:after="0" w:line="240" w:lineRule="auto"/>
      </w:pPr>
      <w:r>
        <w:separator/>
      </w:r>
    </w:p>
  </w:endnote>
  <w:endnote w:type="continuationSeparator" w:id="0">
    <w:p w14:paraId="380EC428" w14:textId="77777777" w:rsidR="00DD0E03" w:rsidRDefault="00DD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95CB" w14:textId="77777777" w:rsidR="00B142A4" w:rsidRDefault="00B142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626F416B" w14:textId="77777777" w:rsidR="00B142A4" w:rsidRDefault="00B142A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ACE1" w14:textId="77777777" w:rsidR="00B142A4" w:rsidRDefault="00B142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7E9A">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7E9A">
      <w:rPr>
        <w:b/>
        <w:noProof/>
        <w:color w:val="000000"/>
        <w:sz w:val="24"/>
        <w:szCs w:val="24"/>
      </w:rPr>
      <w:t>38</w:t>
    </w:r>
    <w:r>
      <w:rPr>
        <w:b/>
        <w:color w:val="000000"/>
        <w:sz w:val="24"/>
        <w:szCs w:val="24"/>
      </w:rPr>
      <w:fldChar w:fldCharType="end"/>
    </w:r>
  </w:p>
  <w:p w14:paraId="7C4607F4" w14:textId="77777777" w:rsidR="00B142A4" w:rsidRDefault="00B142A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F54B" w14:textId="77777777" w:rsidR="00B142A4" w:rsidRDefault="00B142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7E9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7E9A">
      <w:rPr>
        <w:b/>
        <w:noProof/>
        <w:color w:val="000000"/>
        <w:sz w:val="24"/>
        <w:szCs w:val="24"/>
      </w:rPr>
      <w:t>38</w:t>
    </w:r>
    <w:r>
      <w:rPr>
        <w:b/>
        <w:color w:val="000000"/>
        <w:sz w:val="24"/>
        <w:szCs w:val="24"/>
      </w:rPr>
      <w:fldChar w:fldCharType="end"/>
    </w:r>
  </w:p>
  <w:p w14:paraId="77D51456" w14:textId="77777777" w:rsidR="00B142A4" w:rsidRDefault="00B142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CD13" w14:textId="77777777" w:rsidR="00DD0E03" w:rsidRDefault="00DD0E03">
      <w:pPr>
        <w:spacing w:after="0" w:line="240" w:lineRule="auto"/>
      </w:pPr>
      <w:r>
        <w:separator/>
      </w:r>
    </w:p>
  </w:footnote>
  <w:footnote w:type="continuationSeparator" w:id="0">
    <w:p w14:paraId="4083728C" w14:textId="77777777" w:rsidR="00DD0E03" w:rsidRDefault="00DD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27B" w14:textId="77777777" w:rsidR="00B142A4" w:rsidRDefault="00B142A4">
    <w:pPr>
      <w:widowControl w:val="0"/>
      <w:pBdr>
        <w:top w:val="nil"/>
        <w:left w:val="nil"/>
        <w:bottom w:val="nil"/>
        <w:right w:val="nil"/>
        <w:between w:val="nil"/>
      </w:pBdr>
      <w:spacing w:after="0" w:line="276" w:lineRule="auto"/>
      <w:jc w:val="left"/>
      <w:rPr>
        <w:color w:val="000000"/>
      </w:rPr>
    </w:pPr>
  </w:p>
  <w:tbl>
    <w:tblPr>
      <w:tblStyle w:val="afff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B142A4" w14:paraId="02098B42" w14:textId="77777777">
      <w:trPr>
        <w:trHeight w:val="141"/>
      </w:trPr>
      <w:tc>
        <w:tcPr>
          <w:tcW w:w="2404" w:type="dxa"/>
        </w:tcPr>
        <w:p w14:paraId="7B6807A6" w14:textId="77777777" w:rsidR="00B142A4" w:rsidRDefault="00B142A4">
          <w:pPr>
            <w:tabs>
              <w:tab w:val="right" w:pos="8838"/>
            </w:tabs>
            <w:ind w:right="-105"/>
            <w:rPr>
              <w:b/>
            </w:rPr>
          </w:pPr>
          <w:r>
            <w:rPr>
              <w:b/>
            </w:rPr>
            <w:t>Recurso de Revisión:</w:t>
          </w:r>
        </w:p>
      </w:tc>
      <w:tc>
        <w:tcPr>
          <w:tcW w:w="3587" w:type="dxa"/>
        </w:tcPr>
        <w:p w14:paraId="60FA6BE1" w14:textId="77777777" w:rsidR="00B142A4" w:rsidRDefault="00B142A4">
          <w:pPr>
            <w:tabs>
              <w:tab w:val="right" w:pos="8838"/>
            </w:tabs>
            <w:ind w:left="-28" w:right="683"/>
          </w:pPr>
          <w:r>
            <w:t>04196/INFOEM/IP/RR/2020</w:t>
          </w:r>
        </w:p>
      </w:tc>
    </w:tr>
    <w:tr w:rsidR="00B142A4" w14:paraId="106BADAF" w14:textId="77777777">
      <w:trPr>
        <w:trHeight w:val="276"/>
      </w:trPr>
      <w:tc>
        <w:tcPr>
          <w:tcW w:w="2404" w:type="dxa"/>
        </w:tcPr>
        <w:p w14:paraId="43300166" w14:textId="77777777" w:rsidR="00B142A4" w:rsidRDefault="00B142A4">
          <w:pPr>
            <w:tabs>
              <w:tab w:val="right" w:pos="8838"/>
            </w:tabs>
            <w:ind w:right="-105"/>
            <w:rPr>
              <w:b/>
            </w:rPr>
          </w:pPr>
          <w:r>
            <w:rPr>
              <w:b/>
            </w:rPr>
            <w:t>Sujeto Obligado:</w:t>
          </w:r>
        </w:p>
      </w:tc>
      <w:tc>
        <w:tcPr>
          <w:tcW w:w="3587" w:type="dxa"/>
        </w:tcPr>
        <w:p w14:paraId="23B27628" w14:textId="77777777" w:rsidR="00B142A4" w:rsidRDefault="00B142A4">
          <w:pPr>
            <w:tabs>
              <w:tab w:val="right" w:pos="8838"/>
            </w:tabs>
            <w:ind w:right="116"/>
          </w:pPr>
          <w:r>
            <w:t>Ayuntamiento de Chapultepec</w:t>
          </w:r>
        </w:p>
      </w:tc>
    </w:tr>
    <w:tr w:rsidR="00B142A4" w14:paraId="147AABF0" w14:textId="77777777">
      <w:trPr>
        <w:trHeight w:val="276"/>
      </w:trPr>
      <w:tc>
        <w:tcPr>
          <w:tcW w:w="2404" w:type="dxa"/>
        </w:tcPr>
        <w:p w14:paraId="0DF2BB30" w14:textId="77777777" w:rsidR="00B142A4" w:rsidRDefault="00B142A4">
          <w:pPr>
            <w:tabs>
              <w:tab w:val="right" w:pos="8838"/>
            </w:tabs>
            <w:ind w:right="-105"/>
            <w:rPr>
              <w:b/>
            </w:rPr>
          </w:pPr>
          <w:r>
            <w:rPr>
              <w:b/>
            </w:rPr>
            <w:t>Comisionado Ponente:</w:t>
          </w:r>
        </w:p>
      </w:tc>
      <w:tc>
        <w:tcPr>
          <w:tcW w:w="3587" w:type="dxa"/>
        </w:tcPr>
        <w:p w14:paraId="3403E526" w14:textId="77777777" w:rsidR="00B142A4" w:rsidRDefault="00B142A4">
          <w:pPr>
            <w:tabs>
              <w:tab w:val="right" w:pos="8838"/>
            </w:tabs>
            <w:ind w:right="-32"/>
          </w:pPr>
          <w:r>
            <w:t>Luis Gustavo Parra Noriega</w:t>
          </w:r>
        </w:p>
      </w:tc>
    </w:tr>
  </w:tbl>
  <w:p w14:paraId="4122D474" w14:textId="77777777" w:rsidR="00B142A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5623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F59A" w14:textId="77777777" w:rsidR="00B142A4" w:rsidRDefault="00B142A4">
    <w:pPr>
      <w:rPr>
        <w:sz w:val="16"/>
        <w:szCs w:val="16"/>
      </w:rPr>
    </w:pPr>
  </w:p>
  <w:tbl>
    <w:tblPr>
      <w:tblStyle w:val="afff1"/>
      <w:tblW w:w="6095"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B142A4" w14:paraId="1A046BAE" w14:textId="77777777">
      <w:trPr>
        <w:trHeight w:val="141"/>
      </w:trPr>
      <w:tc>
        <w:tcPr>
          <w:tcW w:w="2409" w:type="dxa"/>
        </w:tcPr>
        <w:p w14:paraId="53731931" w14:textId="77777777" w:rsidR="00B142A4" w:rsidRDefault="00B142A4">
          <w:pPr>
            <w:tabs>
              <w:tab w:val="right" w:pos="8838"/>
            </w:tabs>
            <w:ind w:left="-395" w:right="-105" w:firstLine="395"/>
            <w:rPr>
              <w:b/>
            </w:rPr>
          </w:pPr>
          <w:r>
            <w:rPr>
              <w:b/>
            </w:rPr>
            <w:t>Recurso de Revisión:</w:t>
          </w:r>
        </w:p>
      </w:tc>
      <w:tc>
        <w:tcPr>
          <w:tcW w:w="3686" w:type="dxa"/>
        </w:tcPr>
        <w:p w14:paraId="019A5D92" w14:textId="79A275F9" w:rsidR="00B142A4" w:rsidRDefault="00BD0EF1">
          <w:pPr>
            <w:tabs>
              <w:tab w:val="right" w:pos="8838"/>
            </w:tabs>
            <w:ind w:right="176"/>
          </w:pPr>
          <w:r>
            <w:t>00566/INFOEM/IP/RR/2026</w:t>
          </w:r>
        </w:p>
      </w:tc>
    </w:tr>
    <w:tr w:rsidR="00B142A4" w14:paraId="762EA19C" w14:textId="77777777">
      <w:trPr>
        <w:trHeight w:val="276"/>
      </w:trPr>
      <w:tc>
        <w:tcPr>
          <w:tcW w:w="2409" w:type="dxa"/>
        </w:tcPr>
        <w:p w14:paraId="36A3AA2F" w14:textId="77777777" w:rsidR="00B142A4" w:rsidRDefault="00B142A4">
          <w:pPr>
            <w:tabs>
              <w:tab w:val="right" w:pos="8838"/>
            </w:tabs>
            <w:ind w:right="-105"/>
            <w:rPr>
              <w:b/>
            </w:rPr>
          </w:pPr>
          <w:r>
            <w:rPr>
              <w:b/>
            </w:rPr>
            <w:t>Sujeto Obligado:</w:t>
          </w:r>
        </w:p>
      </w:tc>
      <w:tc>
        <w:tcPr>
          <w:tcW w:w="3686" w:type="dxa"/>
        </w:tcPr>
        <w:p w14:paraId="3FC4A65A" w14:textId="697F2CC8" w:rsidR="00B142A4" w:rsidRDefault="00BD0EF1">
          <w:pPr>
            <w:tabs>
              <w:tab w:val="left" w:pos="3158"/>
              <w:tab w:val="left" w:pos="4292"/>
              <w:tab w:val="right" w:pos="8838"/>
            </w:tabs>
            <w:ind w:right="176"/>
          </w:pPr>
          <w:r>
            <w:t>Ayuntamiento de Metepec</w:t>
          </w:r>
        </w:p>
      </w:tc>
    </w:tr>
    <w:tr w:rsidR="00B142A4" w14:paraId="7A043BEA" w14:textId="77777777">
      <w:trPr>
        <w:trHeight w:val="276"/>
      </w:trPr>
      <w:tc>
        <w:tcPr>
          <w:tcW w:w="2409" w:type="dxa"/>
        </w:tcPr>
        <w:p w14:paraId="75FAD27B" w14:textId="77777777" w:rsidR="00B142A4" w:rsidRDefault="00B142A4">
          <w:pPr>
            <w:tabs>
              <w:tab w:val="right" w:pos="8838"/>
            </w:tabs>
            <w:ind w:right="-105"/>
            <w:rPr>
              <w:b/>
            </w:rPr>
          </w:pPr>
          <w:r>
            <w:rPr>
              <w:b/>
            </w:rPr>
            <w:t>Comisionado Ponente:</w:t>
          </w:r>
        </w:p>
      </w:tc>
      <w:tc>
        <w:tcPr>
          <w:tcW w:w="3686" w:type="dxa"/>
        </w:tcPr>
        <w:p w14:paraId="3269BFC8" w14:textId="77777777" w:rsidR="00B142A4" w:rsidRDefault="00B142A4">
          <w:pPr>
            <w:tabs>
              <w:tab w:val="right" w:pos="8838"/>
            </w:tabs>
            <w:ind w:right="176"/>
          </w:pPr>
          <w:r>
            <w:t>Luis Gustavo Parra Noriega</w:t>
          </w:r>
        </w:p>
        <w:p w14:paraId="1DEF2251" w14:textId="77777777" w:rsidR="00B142A4" w:rsidRDefault="00B142A4">
          <w:pPr>
            <w:tabs>
              <w:tab w:val="right" w:pos="8838"/>
            </w:tabs>
            <w:ind w:right="176"/>
          </w:pPr>
        </w:p>
      </w:tc>
    </w:tr>
  </w:tbl>
  <w:p w14:paraId="0F7B6C95" w14:textId="77777777" w:rsidR="00B142A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453C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745A" w14:textId="3A3372D4" w:rsidR="00B142A4" w:rsidRDefault="00000000">
    <w:pPr>
      <w:widowControl w:val="0"/>
      <w:pBdr>
        <w:top w:val="nil"/>
        <w:left w:val="nil"/>
        <w:bottom w:val="nil"/>
        <w:right w:val="nil"/>
        <w:between w:val="nil"/>
      </w:pBdr>
      <w:spacing w:after="0" w:line="276" w:lineRule="auto"/>
      <w:jc w:val="left"/>
      <w:rPr>
        <w:color w:val="000000"/>
      </w:rPr>
    </w:pPr>
    <w:r>
      <w:rPr>
        <w:color w:val="000000"/>
      </w:rPr>
      <w:pict w14:anchorId="1C4E5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79.8pt;margin-top:-129.65pt;width:663.5pt;height:12in;z-index:-251658752;mso-position-horizontal-relative:margin;mso-position-vertical-relative:margin">
          <v:imagedata r:id="rId1" o:title="image2"/>
          <w10:wrap anchorx="margin" anchory="margin"/>
        </v:shape>
      </w:pict>
    </w:r>
  </w:p>
  <w:tbl>
    <w:tblPr>
      <w:tblStyle w:val="afff2"/>
      <w:tblW w:w="9214" w:type="dxa"/>
      <w:tblInd w:w="0" w:type="dxa"/>
      <w:tblLayout w:type="fixed"/>
      <w:tblLook w:val="0400" w:firstRow="0" w:lastRow="0" w:firstColumn="0" w:lastColumn="0" w:noHBand="0" w:noVBand="1"/>
    </w:tblPr>
    <w:tblGrid>
      <w:gridCol w:w="2127"/>
      <w:gridCol w:w="7087"/>
    </w:tblGrid>
    <w:tr w:rsidR="00B142A4" w14:paraId="5C2BF0C8" w14:textId="77777777">
      <w:trPr>
        <w:trHeight w:val="1546"/>
      </w:trPr>
      <w:tc>
        <w:tcPr>
          <w:tcW w:w="2127" w:type="dxa"/>
        </w:tcPr>
        <w:p w14:paraId="27CA8028" w14:textId="77777777" w:rsidR="00B142A4" w:rsidRDefault="00B142A4">
          <w:pPr>
            <w:tabs>
              <w:tab w:val="right" w:pos="4273"/>
            </w:tabs>
            <w:rPr>
              <w:rFonts w:ascii="Garamond" w:eastAsia="Garamond" w:hAnsi="Garamond" w:cs="Garamond"/>
              <w:sz w:val="16"/>
              <w:szCs w:val="16"/>
            </w:rPr>
          </w:pPr>
        </w:p>
      </w:tc>
      <w:tc>
        <w:tcPr>
          <w:tcW w:w="7087" w:type="dxa"/>
        </w:tcPr>
        <w:p w14:paraId="1EA341BF" w14:textId="77777777" w:rsidR="00B142A4" w:rsidRDefault="00B142A4">
          <w:pPr>
            <w:widowControl w:val="0"/>
            <w:pBdr>
              <w:top w:val="nil"/>
              <w:left w:val="nil"/>
              <w:bottom w:val="nil"/>
              <w:right w:val="nil"/>
              <w:between w:val="nil"/>
            </w:pBdr>
            <w:spacing w:line="276" w:lineRule="auto"/>
            <w:jc w:val="left"/>
            <w:rPr>
              <w:rFonts w:ascii="Garamond" w:eastAsia="Garamond" w:hAnsi="Garamond" w:cs="Garamond"/>
              <w:sz w:val="16"/>
              <w:szCs w:val="16"/>
            </w:rPr>
          </w:pPr>
        </w:p>
        <w:tbl>
          <w:tblPr>
            <w:tblStyle w:val="afff3"/>
            <w:tblW w:w="5812" w:type="dxa"/>
            <w:tblInd w:w="1593" w:type="dxa"/>
            <w:tblLayout w:type="fixed"/>
            <w:tblLook w:val="0400" w:firstRow="0" w:lastRow="0" w:firstColumn="0" w:lastColumn="0" w:noHBand="0" w:noVBand="1"/>
          </w:tblPr>
          <w:tblGrid>
            <w:gridCol w:w="2410"/>
            <w:gridCol w:w="3402"/>
          </w:tblGrid>
          <w:tr w:rsidR="00B142A4" w14:paraId="72AE904B" w14:textId="77777777" w:rsidTr="00A138C8">
            <w:trPr>
              <w:trHeight w:val="80"/>
            </w:trPr>
            <w:tc>
              <w:tcPr>
                <w:tcW w:w="2410" w:type="dxa"/>
                <w:vAlign w:val="bottom"/>
              </w:tcPr>
              <w:p w14:paraId="781DED3D" w14:textId="77777777" w:rsidR="00B142A4" w:rsidRDefault="00B142A4">
                <w:pPr>
                  <w:tabs>
                    <w:tab w:val="right" w:pos="8838"/>
                  </w:tabs>
                  <w:ind w:right="-105"/>
                  <w:rPr>
                    <w:b/>
                  </w:rPr>
                </w:pPr>
                <w:r>
                  <w:rPr>
                    <w:b/>
                  </w:rPr>
                  <w:t>Recurso de Revisión:</w:t>
                </w:r>
              </w:p>
            </w:tc>
            <w:tc>
              <w:tcPr>
                <w:tcW w:w="3402" w:type="dxa"/>
              </w:tcPr>
              <w:p w14:paraId="2F23277C" w14:textId="305BB0CC" w:rsidR="00B142A4" w:rsidRDefault="00B142A4">
                <w:pPr>
                  <w:tabs>
                    <w:tab w:val="right" w:pos="8838"/>
                  </w:tabs>
                  <w:ind w:left="-28" w:right="-107"/>
                </w:pPr>
                <w:r>
                  <w:rPr>
                    <w:b/>
                  </w:rPr>
                  <w:t xml:space="preserve"> </w:t>
                </w:r>
                <w:r w:rsidR="00BD0EF1">
                  <w:t>00566/INFOEM/IP/RR/2026</w:t>
                </w:r>
              </w:p>
            </w:tc>
          </w:tr>
          <w:tr w:rsidR="00B142A4" w14:paraId="4FC63AD2" w14:textId="77777777" w:rsidTr="00A138C8">
            <w:trPr>
              <w:trHeight w:val="141"/>
            </w:trPr>
            <w:tc>
              <w:tcPr>
                <w:tcW w:w="2410" w:type="dxa"/>
              </w:tcPr>
              <w:p w14:paraId="2DE27BB1" w14:textId="77777777" w:rsidR="00B142A4" w:rsidRDefault="00B142A4">
                <w:pPr>
                  <w:tabs>
                    <w:tab w:val="right" w:pos="8838"/>
                  </w:tabs>
                  <w:ind w:right="-105"/>
                  <w:rPr>
                    <w:b/>
                  </w:rPr>
                </w:pPr>
                <w:r>
                  <w:rPr>
                    <w:b/>
                  </w:rPr>
                  <w:t>Recurrente:</w:t>
                </w:r>
              </w:p>
            </w:tc>
            <w:tc>
              <w:tcPr>
                <w:tcW w:w="3402" w:type="dxa"/>
              </w:tcPr>
              <w:p w14:paraId="64B0053F" w14:textId="73552895" w:rsidR="00B142A4" w:rsidRDefault="00B142A4">
                <w:pPr>
                  <w:tabs>
                    <w:tab w:val="right" w:pos="8838"/>
                  </w:tabs>
                  <w:ind w:right="-107"/>
                </w:pPr>
              </w:p>
            </w:tc>
          </w:tr>
          <w:tr w:rsidR="00B142A4" w14:paraId="15B91A63" w14:textId="77777777" w:rsidTr="00A138C8">
            <w:trPr>
              <w:trHeight w:val="276"/>
            </w:trPr>
            <w:tc>
              <w:tcPr>
                <w:tcW w:w="2410" w:type="dxa"/>
              </w:tcPr>
              <w:p w14:paraId="02CB6A93" w14:textId="77777777" w:rsidR="00B142A4" w:rsidRDefault="00B142A4">
                <w:pPr>
                  <w:tabs>
                    <w:tab w:val="right" w:pos="8838"/>
                  </w:tabs>
                  <w:ind w:right="-105"/>
                  <w:rPr>
                    <w:b/>
                  </w:rPr>
                </w:pPr>
                <w:r>
                  <w:rPr>
                    <w:b/>
                  </w:rPr>
                  <w:t>Sujeto Obligado:</w:t>
                </w:r>
              </w:p>
            </w:tc>
            <w:tc>
              <w:tcPr>
                <w:tcW w:w="3402" w:type="dxa"/>
              </w:tcPr>
              <w:p w14:paraId="50C44C8A" w14:textId="6728EB01" w:rsidR="00B142A4" w:rsidRDefault="00BD0EF1">
                <w:pPr>
                  <w:tabs>
                    <w:tab w:val="right" w:pos="8838"/>
                  </w:tabs>
                  <w:ind w:right="33"/>
                </w:pPr>
                <w:r>
                  <w:t>Ayuntamiento de Metepec</w:t>
                </w:r>
              </w:p>
            </w:tc>
          </w:tr>
          <w:tr w:rsidR="00B142A4" w14:paraId="516959F1" w14:textId="77777777" w:rsidTr="00A138C8">
            <w:trPr>
              <w:trHeight w:val="276"/>
            </w:trPr>
            <w:tc>
              <w:tcPr>
                <w:tcW w:w="2410" w:type="dxa"/>
              </w:tcPr>
              <w:p w14:paraId="793600AF" w14:textId="77777777" w:rsidR="00B142A4" w:rsidRDefault="00B142A4">
                <w:pPr>
                  <w:tabs>
                    <w:tab w:val="right" w:pos="8838"/>
                  </w:tabs>
                  <w:ind w:right="-105"/>
                  <w:rPr>
                    <w:b/>
                  </w:rPr>
                </w:pPr>
                <w:r>
                  <w:rPr>
                    <w:b/>
                  </w:rPr>
                  <w:t>Comisionado Ponente:</w:t>
                </w:r>
              </w:p>
            </w:tc>
            <w:tc>
              <w:tcPr>
                <w:tcW w:w="3402" w:type="dxa"/>
              </w:tcPr>
              <w:p w14:paraId="27C526AC" w14:textId="77777777" w:rsidR="00B142A4" w:rsidRDefault="00B142A4">
                <w:pPr>
                  <w:tabs>
                    <w:tab w:val="right" w:pos="8838"/>
                  </w:tabs>
                  <w:ind w:right="-107"/>
                </w:pPr>
                <w:r>
                  <w:t>Luis Gustavo Parra Noriega</w:t>
                </w:r>
              </w:p>
            </w:tc>
          </w:tr>
        </w:tbl>
        <w:p w14:paraId="51AC5B00" w14:textId="77777777" w:rsidR="00B142A4" w:rsidRDefault="00B142A4">
          <w:pPr>
            <w:tabs>
              <w:tab w:val="right" w:pos="8838"/>
            </w:tabs>
            <w:ind w:left="-28"/>
            <w:rPr>
              <w:rFonts w:ascii="Arial" w:eastAsia="Arial" w:hAnsi="Arial" w:cs="Arial"/>
              <w:b/>
            </w:rPr>
          </w:pPr>
        </w:p>
      </w:tc>
    </w:tr>
  </w:tbl>
  <w:p w14:paraId="1CC10412" w14:textId="359BEF2D" w:rsidR="00B142A4" w:rsidRDefault="00B142A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B313AE"/>
    <w:multiLevelType w:val="hybridMultilevel"/>
    <w:tmpl w:val="41F498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B3AD0"/>
    <w:multiLevelType w:val="multilevel"/>
    <w:tmpl w:val="1E54FB6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CC5DC1"/>
    <w:multiLevelType w:val="multilevel"/>
    <w:tmpl w:val="E9307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386F6A"/>
    <w:multiLevelType w:val="hybridMultilevel"/>
    <w:tmpl w:val="0F465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6B48AF"/>
    <w:multiLevelType w:val="hybridMultilevel"/>
    <w:tmpl w:val="39B674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5F10D2"/>
    <w:multiLevelType w:val="hybridMultilevel"/>
    <w:tmpl w:val="04103B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25352505"/>
    <w:multiLevelType w:val="multilevel"/>
    <w:tmpl w:val="F13659BA"/>
    <w:lvl w:ilvl="0">
      <w:start w:val="1"/>
      <w:numFmt w:val="bullet"/>
      <w:lvlText w:val="●"/>
      <w:lvlJc w:val="left"/>
      <w:pPr>
        <w:ind w:left="78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28295989"/>
    <w:multiLevelType w:val="multilevel"/>
    <w:tmpl w:val="6FF0BF2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C51D83"/>
    <w:multiLevelType w:val="multilevel"/>
    <w:tmpl w:val="C896BD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4446B34"/>
    <w:multiLevelType w:val="multilevel"/>
    <w:tmpl w:val="F8E05FB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C93B06"/>
    <w:multiLevelType w:val="hybridMultilevel"/>
    <w:tmpl w:val="2F844F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4A1D37"/>
    <w:multiLevelType w:val="multilevel"/>
    <w:tmpl w:val="E020D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BF4D1A"/>
    <w:multiLevelType w:val="multilevel"/>
    <w:tmpl w:val="229042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EF3AA3"/>
    <w:multiLevelType w:val="hybridMultilevel"/>
    <w:tmpl w:val="740C9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E33295"/>
    <w:multiLevelType w:val="multilevel"/>
    <w:tmpl w:val="7980A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7861D6"/>
    <w:multiLevelType w:val="hybridMultilevel"/>
    <w:tmpl w:val="3E5EF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FE837AF"/>
    <w:multiLevelType w:val="hybridMultilevel"/>
    <w:tmpl w:val="093C8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3023095">
    <w:abstractNumId w:val="18"/>
  </w:num>
  <w:num w:numId="2" w16cid:durableId="1428573742">
    <w:abstractNumId w:val="12"/>
  </w:num>
  <w:num w:numId="3" w16cid:durableId="1337999565">
    <w:abstractNumId w:val="3"/>
  </w:num>
  <w:num w:numId="4" w16cid:durableId="819462455">
    <w:abstractNumId w:val="22"/>
  </w:num>
  <w:num w:numId="5" w16cid:durableId="1784690404">
    <w:abstractNumId w:val="2"/>
  </w:num>
  <w:num w:numId="6" w16cid:durableId="1818255811">
    <w:abstractNumId w:val="11"/>
  </w:num>
  <w:num w:numId="7" w16cid:durableId="118956367">
    <w:abstractNumId w:val="20"/>
  </w:num>
  <w:num w:numId="8" w16cid:durableId="797450612">
    <w:abstractNumId w:val="10"/>
  </w:num>
  <w:num w:numId="9" w16cid:durableId="487403117">
    <w:abstractNumId w:val="14"/>
  </w:num>
  <w:num w:numId="10" w16cid:durableId="1537234610">
    <w:abstractNumId w:val="25"/>
  </w:num>
  <w:num w:numId="11" w16cid:durableId="583993509">
    <w:abstractNumId w:val="8"/>
  </w:num>
  <w:num w:numId="12" w16cid:durableId="115637827">
    <w:abstractNumId w:val="1"/>
  </w:num>
  <w:num w:numId="13" w16cid:durableId="1056120832">
    <w:abstractNumId w:val="9"/>
  </w:num>
  <w:num w:numId="14" w16cid:durableId="1674648310">
    <w:abstractNumId w:val="23"/>
  </w:num>
  <w:num w:numId="15" w16cid:durableId="977563893">
    <w:abstractNumId w:val="4"/>
  </w:num>
  <w:num w:numId="16" w16cid:durableId="1375108825">
    <w:abstractNumId w:val="5"/>
  </w:num>
  <w:num w:numId="17" w16cid:durableId="691296562">
    <w:abstractNumId w:val="24"/>
  </w:num>
  <w:num w:numId="18" w16cid:durableId="292179848">
    <w:abstractNumId w:val="6"/>
  </w:num>
  <w:num w:numId="19" w16cid:durableId="1635020278">
    <w:abstractNumId w:val="21"/>
  </w:num>
  <w:num w:numId="20" w16cid:durableId="1728725410">
    <w:abstractNumId w:val="17"/>
  </w:num>
  <w:num w:numId="21" w16cid:durableId="654534459">
    <w:abstractNumId w:val="7"/>
  </w:num>
  <w:num w:numId="22" w16cid:durableId="1626887440">
    <w:abstractNumId w:val="19"/>
  </w:num>
  <w:num w:numId="23" w16cid:durableId="1195192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305628">
    <w:abstractNumId w:val="13"/>
  </w:num>
  <w:num w:numId="25" w16cid:durableId="371349901">
    <w:abstractNumId w:val="0"/>
  </w:num>
  <w:num w:numId="26" w16cid:durableId="1259094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9F"/>
    <w:rsid w:val="00011F1F"/>
    <w:rsid w:val="00056EB2"/>
    <w:rsid w:val="00065333"/>
    <w:rsid w:val="00090A45"/>
    <w:rsid w:val="000B4EA5"/>
    <w:rsid w:val="000C5916"/>
    <w:rsid w:val="000D205A"/>
    <w:rsid w:val="00151D52"/>
    <w:rsid w:val="001953F7"/>
    <w:rsid w:val="001D5451"/>
    <w:rsid w:val="001F79D6"/>
    <w:rsid w:val="002659FC"/>
    <w:rsid w:val="003715D8"/>
    <w:rsid w:val="00372F37"/>
    <w:rsid w:val="003B3046"/>
    <w:rsid w:val="00404815"/>
    <w:rsid w:val="00462935"/>
    <w:rsid w:val="004B50D7"/>
    <w:rsid w:val="004E7F2F"/>
    <w:rsid w:val="004F317A"/>
    <w:rsid w:val="005014E0"/>
    <w:rsid w:val="00524B88"/>
    <w:rsid w:val="00540958"/>
    <w:rsid w:val="00605342"/>
    <w:rsid w:val="00625663"/>
    <w:rsid w:val="00653AEF"/>
    <w:rsid w:val="00665E90"/>
    <w:rsid w:val="00697F04"/>
    <w:rsid w:val="006C7E9A"/>
    <w:rsid w:val="007424A2"/>
    <w:rsid w:val="00787A6B"/>
    <w:rsid w:val="00796F2D"/>
    <w:rsid w:val="007B34AB"/>
    <w:rsid w:val="00805C02"/>
    <w:rsid w:val="00811143"/>
    <w:rsid w:val="00866DFD"/>
    <w:rsid w:val="008707FD"/>
    <w:rsid w:val="008B248E"/>
    <w:rsid w:val="00927CF4"/>
    <w:rsid w:val="0099763C"/>
    <w:rsid w:val="009D0584"/>
    <w:rsid w:val="00A138C8"/>
    <w:rsid w:val="00A215E8"/>
    <w:rsid w:val="00A374E4"/>
    <w:rsid w:val="00A8530F"/>
    <w:rsid w:val="00A9220E"/>
    <w:rsid w:val="00AA0E54"/>
    <w:rsid w:val="00AD625E"/>
    <w:rsid w:val="00AE2249"/>
    <w:rsid w:val="00AF75AF"/>
    <w:rsid w:val="00B13083"/>
    <w:rsid w:val="00B142A4"/>
    <w:rsid w:val="00BC6680"/>
    <w:rsid w:val="00BD0EF1"/>
    <w:rsid w:val="00C46528"/>
    <w:rsid w:val="00C77304"/>
    <w:rsid w:val="00C93775"/>
    <w:rsid w:val="00CA0CF2"/>
    <w:rsid w:val="00CF6923"/>
    <w:rsid w:val="00D02CF1"/>
    <w:rsid w:val="00D47BBE"/>
    <w:rsid w:val="00D87083"/>
    <w:rsid w:val="00DA42FC"/>
    <w:rsid w:val="00DA4E09"/>
    <w:rsid w:val="00DD0E03"/>
    <w:rsid w:val="00DD61F0"/>
    <w:rsid w:val="00DE0CD6"/>
    <w:rsid w:val="00DE6836"/>
    <w:rsid w:val="00DF280B"/>
    <w:rsid w:val="00DF58D8"/>
    <w:rsid w:val="00E028CF"/>
    <w:rsid w:val="00E057AF"/>
    <w:rsid w:val="00E53534"/>
    <w:rsid w:val="00F1115C"/>
    <w:rsid w:val="00F2609F"/>
    <w:rsid w:val="00F33659"/>
    <w:rsid w:val="00FD01B0"/>
    <w:rsid w:val="00FF4C51"/>
    <w:rsid w:val="00FF4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2B0E"/>
  <w15:docId w15:val="{5902A587-65B0-4996-BBEA-A67FDFA8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b"/>
    <w:pPr>
      <w:spacing w:after="0" w:line="240" w:lineRule="auto"/>
    </w:pPr>
    <w:tblPr>
      <w:tblStyleRowBandSize w:val="1"/>
      <w:tblStyleColBandSize w:val="1"/>
      <w:tblCellMar>
        <w:left w:w="108" w:type="dxa"/>
        <w:right w:w="108" w:type="dxa"/>
      </w:tblCellMar>
    </w:tblPr>
  </w:style>
  <w:style w:type="table" w:customStyle="1" w:styleId="a0">
    <w:basedOn w:val="TableNormalb"/>
    <w:pPr>
      <w:spacing w:after="0" w:line="240" w:lineRule="auto"/>
    </w:pPr>
    <w:tblPr>
      <w:tblStyleRowBandSize w:val="1"/>
      <w:tblStyleColBandSize w:val="1"/>
      <w:tblCellMar>
        <w:left w:w="108" w:type="dxa"/>
        <w:right w:w="108" w:type="dxa"/>
      </w:tblCellMar>
    </w:tblPr>
  </w:style>
  <w:style w:type="table" w:customStyle="1" w:styleId="a1">
    <w:basedOn w:val="TableNormalb"/>
    <w:tblPr>
      <w:tblStyleRowBandSize w:val="1"/>
      <w:tblStyleColBandSize w:val="1"/>
      <w:tblCellMar>
        <w:left w:w="115" w:type="dxa"/>
        <w:right w:w="115" w:type="dxa"/>
      </w:tblCellMar>
    </w:tblPr>
  </w:style>
  <w:style w:type="table" w:customStyle="1" w:styleId="a2">
    <w:basedOn w:val="TableNormalb"/>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b"/>
    <w:pPr>
      <w:spacing w:after="0" w:line="240" w:lineRule="auto"/>
    </w:pPr>
    <w:tblPr>
      <w:tblStyleRowBandSize w:val="1"/>
      <w:tblStyleColBandSize w:val="1"/>
      <w:tblCellMar>
        <w:left w:w="108" w:type="dxa"/>
        <w:right w:w="108" w:type="dxa"/>
      </w:tblCellMar>
    </w:tblPr>
  </w:style>
  <w:style w:type="table" w:customStyle="1" w:styleId="a4">
    <w:basedOn w:val="TableNormalb"/>
    <w:pPr>
      <w:spacing w:after="0" w:line="240" w:lineRule="auto"/>
    </w:pPr>
    <w:tblPr>
      <w:tblStyleRowBandSize w:val="1"/>
      <w:tblStyleColBandSize w:val="1"/>
      <w:tblCellMar>
        <w:left w:w="108" w:type="dxa"/>
        <w:right w:w="108" w:type="dxa"/>
      </w:tblCellMar>
    </w:tblPr>
  </w:style>
  <w:style w:type="table" w:customStyle="1" w:styleId="a5">
    <w:basedOn w:val="TableNormalb"/>
    <w:pPr>
      <w:spacing w:after="0" w:line="240" w:lineRule="auto"/>
    </w:pPr>
    <w:tblPr>
      <w:tblStyleRowBandSize w:val="1"/>
      <w:tblStyleColBandSize w:val="1"/>
      <w:tblCellMar>
        <w:left w:w="108" w:type="dxa"/>
        <w:right w:w="108" w:type="dxa"/>
      </w:tblCellMar>
    </w:tblPr>
  </w:style>
  <w:style w:type="table" w:customStyle="1" w:styleId="a6">
    <w:basedOn w:val="TableNormalb"/>
    <w:pPr>
      <w:spacing w:after="0" w:line="240" w:lineRule="auto"/>
    </w:pPr>
    <w:tblPr>
      <w:tblStyleRowBandSize w:val="1"/>
      <w:tblStyleColBandSize w:val="1"/>
      <w:tblCellMar>
        <w:left w:w="108" w:type="dxa"/>
        <w:right w:w="108" w:type="dxa"/>
      </w:tblCellMar>
    </w:tblPr>
  </w:style>
  <w:style w:type="table" w:customStyle="1" w:styleId="a7">
    <w:basedOn w:val="TableNormala"/>
    <w:pPr>
      <w:spacing w:after="0" w:line="240" w:lineRule="auto"/>
    </w:pPr>
    <w:tblPr>
      <w:tblStyleRowBandSize w:val="1"/>
      <w:tblStyleColBandSize w:val="1"/>
      <w:tblCellMar>
        <w:left w:w="108" w:type="dxa"/>
        <w:right w:w="108" w:type="dxa"/>
      </w:tblCellMar>
    </w:tblPr>
  </w:style>
  <w:style w:type="table" w:customStyle="1" w:styleId="a8">
    <w:basedOn w:val="TableNormala"/>
    <w:pPr>
      <w:spacing w:after="0" w:line="240" w:lineRule="auto"/>
    </w:pPr>
    <w:tblPr>
      <w:tblStyleRowBandSize w:val="1"/>
      <w:tblStyleColBandSize w:val="1"/>
      <w:tblCellMar>
        <w:left w:w="108" w:type="dxa"/>
        <w:right w:w="108" w:type="dxa"/>
      </w:tblCellMar>
    </w:tblPr>
  </w:style>
  <w:style w:type="table" w:customStyle="1" w:styleId="a9">
    <w:basedOn w:val="TableNormala"/>
    <w:pPr>
      <w:spacing w:after="0" w:line="240" w:lineRule="auto"/>
    </w:pPr>
    <w:tblPr>
      <w:tblStyleRowBandSize w:val="1"/>
      <w:tblStyleColBandSize w:val="1"/>
      <w:tblCellMar>
        <w:left w:w="108" w:type="dxa"/>
        <w:right w:w="108" w:type="dxa"/>
      </w:tblCellMar>
    </w:tblPr>
  </w:style>
  <w:style w:type="table" w:customStyle="1" w:styleId="aa">
    <w:basedOn w:val="TableNormala"/>
    <w:pPr>
      <w:spacing w:after="0" w:line="240" w:lineRule="auto"/>
    </w:pPr>
    <w:tblPr>
      <w:tblStyleRowBandSize w:val="1"/>
      <w:tblStyleColBandSize w:val="1"/>
      <w:tblCellMar>
        <w:left w:w="108" w:type="dxa"/>
        <w:right w:w="108" w:type="dxa"/>
      </w:tblCellMar>
    </w:tblPr>
  </w:style>
  <w:style w:type="table" w:customStyle="1" w:styleId="ab">
    <w:basedOn w:val="TableNormal9"/>
    <w:pPr>
      <w:spacing w:after="0" w:line="240" w:lineRule="auto"/>
    </w:pPr>
    <w:tblPr>
      <w:tblStyleRowBandSize w:val="1"/>
      <w:tblStyleColBandSize w:val="1"/>
      <w:tblCellMar>
        <w:left w:w="108" w:type="dxa"/>
        <w:right w:w="108" w:type="dxa"/>
      </w:tblCellMar>
    </w:tblPr>
  </w:style>
  <w:style w:type="table" w:customStyle="1" w:styleId="ac">
    <w:basedOn w:val="TableNormal9"/>
    <w:pPr>
      <w:spacing w:after="0" w:line="240" w:lineRule="auto"/>
    </w:pPr>
    <w:tblPr>
      <w:tblStyleRowBandSize w:val="1"/>
      <w:tblStyleColBandSize w:val="1"/>
      <w:tblCellMar>
        <w:left w:w="108" w:type="dxa"/>
        <w:right w:w="108" w:type="dxa"/>
      </w:tblCellMar>
    </w:tblPr>
  </w:style>
  <w:style w:type="table" w:customStyle="1" w:styleId="ad">
    <w:basedOn w:val="TableNormal9"/>
    <w:pPr>
      <w:spacing w:after="0" w:line="240" w:lineRule="auto"/>
    </w:pPr>
    <w:tblPr>
      <w:tblStyleRowBandSize w:val="1"/>
      <w:tblStyleColBandSize w:val="1"/>
      <w:tblCellMar>
        <w:left w:w="108" w:type="dxa"/>
        <w:right w:w="108" w:type="dxa"/>
      </w:tblCellMar>
    </w:tblPr>
  </w:style>
  <w:style w:type="table" w:customStyle="1" w:styleId="ae">
    <w:basedOn w:val="TableNormal9"/>
    <w:pPr>
      <w:spacing w:after="0" w:line="240" w:lineRule="auto"/>
    </w:pPr>
    <w:tblPr>
      <w:tblStyleRowBandSize w:val="1"/>
      <w:tblStyleColBandSize w:val="1"/>
      <w:tblCellMar>
        <w:left w:w="108" w:type="dxa"/>
        <w:right w:w="108" w:type="dxa"/>
      </w:tblCellMar>
    </w:tblPr>
  </w:style>
  <w:style w:type="table" w:customStyle="1" w:styleId="af">
    <w:basedOn w:val="TableNormal8"/>
    <w:pPr>
      <w:spacing w:after="0" w:line="240" w:lineRule="auto"/>
    </w:pPr>
    <w:tblPr>
      <w:tblStyleRowBandSize w:val="1"/>
      <w:tblStyleColBandSize w:val="1"/>
      <w:tblCellMar>
        <w:left w:w="108" w:type="dxa"/>
        <w:right w:w="108" w:type="dxa"/>
      </w:tblCellMar>
    </w:tblPr>
  </w:style>
  <w:style w:type="table" w:customStyle="1" w:styleId="af0">
    <w:basedOn w:val="TableNormal8"/>
    <w:pPr>
      <w:spacing w:after="0" w:line="240" w:lineRule="auto"/>
    </w:pPr>
    <w:tblPr>
      <w:tblStyleRowBandSize w:val="1"/>
      <w:tblStyleColBandSize w:val="1"/>
      <w:tblCellMar>
        <w:left w:w="108" w:type="dxa"/>
        <w:right w:w="108" w:type="dxa"/>
      </w:tblCellMar>
    </w:tblPr>
  </w:style>
  <w:style w:type="table" w:customStyle="1" w:styleId="af1">
    <w:basedOn w:val="TableNormal8"/>
    <w:pPr>
      <w:spacing w:after="0" w:line="240" w:lineRule="auto"/>
    </w:pPr>
    <w:tblPr>
      <w:tblStyleRowBandSize w:val="1"/>
      <w:tblStyleColBandSize w:val="1"/>
      <w:tblCellMar>
        <w:left w:w="108" w:type="dxa"/>
        <w:right w:w="108" w:type="dxa"/>
      </w:tblCellMar>
    </w:tblPr>
  </w:style>
  <w:style w:type="table" w:customStyle="1" w:styleId="af2">
    <w:basedOn w:val="TableNormal8"/>
    <w:pPr>
      <w:spacing w:after="0" w:line="240" w:lineRule="auto"/>
    </w:pPr>
    <w:tblPr>
      <w:tblStyleRowBandSize w:val="1"/>
      <w:tblStyleColBandSize w:val="1"/>
      <w:tblCellMar>
        <w:left w:w="108" w:type="dxa"/>
        <w:right w:w="108" w:type="dxa"/>
      </w:tblCellMar>
    </w:tblPr>
  </w:style>
  <w:style w:type="table" w:customStyle="1" w:styleId="af3">
    <w:basedOn w:val="TableNormal7"/>
    <w:pPr>
      <w:spacing w:after="0" w:line="240" w:lineRule="auto"/>
    </w:pPr>
    <w:tblPr>
      <w:tblStyleRowBandSize w:val="1"/>
      <w:tblStyleColBandSize w:val="1"/>
      <w:tblCellMar>
        <w:left w:w="108" w:type="dxa"/>
        <w:right w:w="108" w:type="dxa"/>
      </w:tblCellMar>
    </w:tblPr>
  </w:style>
  <w:style w:type="table" w:customStyle="1" w:styleId="af4">
    <w:basedOn w:val="TableNormal7"/>
    <w:pPr>
      <w:spacing w:after="0" w:line="240" w:lineRule="auto"/>
    </w:pPr>
    <w:tblPr>
      <w:tblStyleRowBandSize w:val="1"/>
      <w:tblStyleColBandSize w:val="1"/>
      <w:tblCellMar>
        <w:left w:w="108" w:type="dxa"/>
        <w:right w:w="108" w:type="dxa"/>
      </w:tblCellMar>
    </w:tblPr>
  </w:style>
  <w:style w:type="table" w:customStyle="1" w:styleId="af5">
    <w:basedOn w:val="TableNormal7"/>
    <w:pPr>
      <w:spacing w:after="0" w:line="240" w:lineRule="auto"/>
    </w:pPr>
    <w:tblPr>
      <w:tblStyleRowBandSize w:val="1"/>
      <w:tblStyleColBandSize w:val="1"/>
      <w:tblCellMar>
        <w:left w:w="108" w:type="dxa"/>
        <w:right w:w="108" w:type="dxa"/>
      </w:tblCellMar>
    </w:tblPr>
  </w:style>
  <w:style w:type="table" w:customStyle="1" w:styleId="af6">
    <w:basedOn w:val="TableNormal7"/>
    <w:pPr>
      <w:spacing w:after="0" w:line="240" w:lineRule="auto"/>
    </w:pPr>
    <w:tblPr>
      <w:tblStyleRowBandSize w:val="1"/>
      <w:tblStyleColBandSize w:val="1"/>
      <w:tblCellMar>
        <w:left w:w="108" w:type="dxa"/>
        <w:right w:w="108" w:type="dxa"/>
      </w:tblCellMar>
    </w:tblPr>
  </w:style>
  <w:style w:type="table" w:customStyle="1" w:styleId="af7">
    <w:basedOn w:val="TableNormal6"/>
    <w:pPr>
      <w:spacing w:after="0" w:line="240" w:lineRule="auto"/>
    </w:pPr>
    <w:tblPr>
      <w:tblStyleRowBandSize w:val="1"/>
      <w:tblStyleColBandSize w:val="1"/>
      <w:tblCellMar>
        <w:left w:w="108" w:type="dxa"/>
        <w:right w:w="108" w:type="dxa"/>
      </w:tblCellMar>
    </w:tblPr>
  </w:style>
  <w:style w:type="table" w:customStyle="1" w:styleId="af8">
    <w:basedOn w:val="TableNormal6"/>
    <w:pPr>
      <w:spacing w:after="0" w:line="240" w:lineRule="auto"/>
    </w:pPr>
    <w:tblPr>
      <w:tblStyleRowBandSize w:val="1"/>
      <w:tblStyleColBandSize w:val="1"/>
      <w:tblCellMar>
        <w:left w:w="108" w:type="dxa"/>
        <w:right w:w="108" w:type="dxa"/>
      </w:tblCellMar>
    </w:tblPr>
  </w:style>
  <w:style w:type="table" w:customStyle="1" w:styleId="af9">
    <w:basedOn w:val="TableNormal6"/>
    <w:pPr>
      <w:spacing w:after="0" w:line="240" w:lineRule="auto"/>
    </w:pPr>
    <w:tblPr>
      <w:tblStyleRowBandSize w:val="1"/>
      <w:tblStyleColBandSize w:val="1"/>
      <w:tblCellMar>
        <w:left w:w="108" w:type="dxa"/>
        <w:right w:w="108" w:type="dxa"/>
      </w:tblCellMar>
    </w:tblPr>
  </w:style>
  <w:style w:type="table" w:customStyle="1" w:styleId="afa">
    <w:basedOn w:val="TableNormal6"/>
    <w:pPr>
      <w:spacing w:after="0" w:line="240" w:lineRule="auto"/>
    </w:pPr>
    <w:tblPr>
      <w:tblStyleRowBandSize w:val="1"/>
      <w:tblStyleColBandSize w:val="1"/>
      <w:tblCellMar>
        <w:left w:w="108" w:type="dxa"/>
        <w:right w:w="108" w:type="dxa"/>
      </w:tblCellMar>
    </w:tblPr>
  </w:style>
  <w:style w:type="table" w:customStyle="1" w:styleId="afb">
    <w:basedOn w:val="TableNormal5"/>
    <w:pPr>
      <w:spacing w:after="0" w:line="240" w:lineRule="auto"/>
    </w:pPr>
    <w:tblPr>
      <w:tblStyleRowBandSize w:val="1"/>
      <w:tblStyleColBandSize w:val="1"/>
      <w:tblCellMar>
        <w:left w:w="108" w:type="dxa"/>
        <w:right w:w="108" w:type="dxa"/>
      </w:tblCellMar>
    </w:tblPr>
  </w:style>
  <w:style w:type="table" w:customStyle="1" w:styleId="afc">
    <w:basedOn w:val="TableNormal5"/>
    <w:pPr>
      <w:spacing w:after="0" w:line="240" w:lineRule="auto"/>
    </w:pPr>
    <w:tblPr>
      <w:tblStyleRowBandSize w:val="1"/>
      <w:tblStyleColBandSize w:val="1"/>
      <w:tblCellMar>
        <w:left w:w="108" w:type="dxa"/>
        <w:right w:w="108" w:type="dxa"/>
      </w:tblCellMar>
    </w:tblPr>
  </w:style>
  <w:style w:type="table" w:customStyle="1" w:styleId="afd">
    <w:basedOn w:val="TableNormal5"/>
    <w:pPr>
      <w:spacing w:after="0" w:line="240" w:lineRule="auto"/>
    </w:pPr>
    <w:tblPr>
      <w:tblStyleRowBandSize w:val="1"/>
      <w:tblStyleColBandSize w:val="1"/>
      <w:tblCellMar>
        <w:left w:w="108" w:type="dxa"/>
        <w:right w:w="108" w:type="dxa"/>
      </w:tblCellMar>
    </w:tblPr>
  </w:style>
  <w:style w:type="table" w:customStyle="1" w:styleId="afe">
    <w:basedOn w:val="TableNormal5"/>
    <w:pPr>
      <w:spacing w:after="0" w:line="240" w:lineRule="auto"/>
    </w:pPr>
    <w:tblPr>
      <w:tblStyleRowBandSize w:val="1"/>
      <w:tblStyleColBandSize w:val="1"/>
      <w:tblCellMar>
        <w:left w:w="108" w:type="dxa"/>
        <w:right w:w="108" w:type="dxa"/>
      </w:tblCellMar>
    </w:tblPr>
  </w:style>
  <w:style w:type="table" w:customStyle="1" w:styleId="aff">
    <w:basedOn w:val="TableNormal4"/>
    <w:pPr>
      <w:spacing w:after="0" w:line="240" w:lineRule="auto"/>
    </w:pPr>
    <w:tblPr>
      <w:tblStyleRowBandSize w:val="1"/>
      <w:tblStyleColBandSize w:val="1"/>
      <w:tblCellMar>
        <w:left w:w="108" w:type="dxa"/>
        <w:right w:w="108" w:type="dxa"/>
      </w:tblCellMar>
    </w:tblPr>
  </w:style>
  <w:style w:type="table" w:customStyle="1" w:styleId="aff0">
    <w:basedOn w:val="TableNormal4"/>
    <w:pPr>
      <w:spacing w:after="0" w:line="240" w:lineRule="auto"/>
    </w:pPr>
    <w:tblPr>
      <w:tblStyleRowBandSize w:val="1"/>
      <w:tblStyleColBandSize w:val="1"/>
      <w:tblCellMar>
        <w:left w:w="108" w:type="dxa"/>
        <w:right w:w="108" w:type="dxa"/>
      </w:tblCellMar>
    </w:tblPr>
  </w:style>
  <w:style w:type="table" w:customStyle="1" w:styleId="aff1">
    <w:basedOn w:val="TableNormal4"/>
    <w:pPr>
      <w:spacing w:after="0" w:line="240" w:lineRule="auto"/>
    </w:pPr>
    <w:tblPr>
      <w:tblStyleRowBandSize w:val="1"/>
      <w:tblStyleColBandSize w:val="1"/>
      <w:tblCellMar>
        <w:left w:w="108" w:type="dxa"/>
        <w:right w:w="108" w:type="dxa"/>
      </w:tblCellMar>
    </w:tblPr>
  </w:style>
  <w:style w:type="table" w:customStyle="1" w:styleId="aff2">
    <w:basedOn w:val="TableNormal4"/>
    <w:pPr>
      <w:spacing w:after="0" w:line="240" w:lineRule="auto"/>
    </w:pPr>
    <w:tblPr>
      <w:tblStyleRowBandSize w:val="1"/>
      <w:tblStyleColBandSize w:val="1"/>
      <w:tblCellMar>
        <w:left w:w="108" w:type="dxa"/>
        <w:right w:w="108" w:type="dxa"/>
      </w:tblCellMar>
    </w:tblPr>
  </w:style>
  <w:style w:type="table" w:customStyle="1" w:styleId="aff3">
    <w:basedOn w:val="TableNormal3"/>
    <w:pPr>
      <w:spacing w:after="0" w:line="240" w:lineRule="auto"/>
    </w:pPr>
    <w:tblPr>
      <w:tblStyleRowBandSize w:val="1"/>
      <w:tblStyleColBandSize w:val="1"/>
      <w:tblCellMar>
        <w:left w:w="108" w:type="dxa"/>
        <w:right w:w="108" w:type="dxa"/>
      </w:tblCellMar>
    </w:tblPr>
  </w:style>
  <w:style w:type="table" w:customStyle="1" w:styleId="aff4">
    <w:basedOn w:val="TableNormal3"/>
    <w:pPr>
      <w:spacing w:after="0" w:line="240" w:lineRule="auto"/>
    </w:pPr>
    <w:tblPr>
      <w:tblStyleRowBandSize w:val="1"/>
      <w:tblStyleColBandSize w:val="1"/>
      <w:tblCellMar>
        <w:left w:w="108" w:type="dxa"/>
        <w:right w:w="108" w:type="dxa"/>
      </w:tblCellMar>
    </w:tblPr>
  </w:style>
  <w:style w:type="table" w:customStyle="1" w:styleId="aff5">
    <w:basedOn w:val="TableNormal3"/>
    <w:pPr>
      <w:spacing w:after="0" w:line="240" w:lineRule="auto"/>
    </w:pPr>
    <w:tblPr>
      <w:tblStyleRowBandSize w:val="1"/>
      <w:tblStyleColBandSize w:val="1"/>
      <w:tblCellMar>
        <w:left w:w="108" w:type="dxa"/>
        <w:right w:w="108" w:type="dxa"/>
      </w:tblCellMar>
    </w:tblPr>
  </w:style>
  <w:style w:type="table" w:customStyle="1" w:styleId="aff6">
    <w:basedOn w:val="TableNormal3"/>
    <w:pPr>
      <w:spacing w:after="0" w:line="240" w:lineRule="auto"/>
    </w:pPr>
    <w:tblPr>
      <w:tblStyleRowBandSize w:val="1"/>
      <w:tblStyleColBandSize w:val="1"/>
      <w:tblCellMar>
        <w:left w:w="108" w:type="dxa"/>
        <w:right w:w="108" w:type="dxa"/>
      </w:tblCellMar>
    </w:tblPr>
  </w:style>
  <w:style w:type="table" w:customStyle="1" w:styleId="aff7">
    <w:basedOn w:val="TableNormal2"/>
    <w:pPr>
      <w:spacing w:after="0" w:line="240" w:lineRule="auto"/>
    </w:pPr>
    <w:tblPr>
      <w:tblStyleRowBandSize w:val="1"/>
      <w:tblStyleColBandSize w:val="1"/>
      <w:tblCellMar>
        <w:left w:w="108" w:type="dxa"/>
        <w:right w:w="108" w:type="dxa"/>
      </w:tblCellMar>
    </w:tblPr>
  </w:style>
  <w:style w:type="table" w:customStyle="1" w:styleId="aff8">
    <w:basedOn w:val="TableNormal2"/>
    <w:pPr>
      <w:spacing w:after="0" w:line="240" w:lineRule="auto"/>
    </w:pPr>
    <w:tblPr>
      <w:tblStyleRowBandSize w:val="1"/>
      <w:tblStyleColBandSize w:val="1"/>
      <w:tblCellMar>
        <w:left w:w="108" w:type="dxa"/>
        <w:right w:w="108" w:type="dxa"/>
      </w:tblCellMar>
    </w:tblPr>
  </w:style>
  <w:style w:type="table" w:customStyle="1" w:styleId="aff9">
    <w:basedOn w:val="TableNormal2"/>
    <w:pPr>
      <w:spacing w:after="0" w:line="240" w:lineRule="auto"/>
    </w:pPr>
    <w:tblPr>
      <w:tblStyleRowBandSize w:val="1"/>
      <w:tblStyleColBandSize w:val="1"/>
      <w:tblCellMar>
        <w:left w:w="108" w:type="dxa"/>
        <w:right w:w="108" w:type="dxa"/>
      </w:tblCellMar>
    </w:tblPr>
  </w:style>
  <w:style w:type="table" w:customStyle="1" w:styleId="affa">
    <w:basedOn w:val="TableNormal2"/>
    <w:pPr>
      <w:spacing w:after="0" w:line="240" w:lineRule="auto"/>
    </w:pPr>
    <w:tblPr>
      <w:tblStyleRowBandSize w:val="1"/>
      <w:tblStyleColBandSize w:val="1"/>
      <w:tblCellMar>
        <w:left w:w="108" w:type="dxa"/>
        <w:right w:w="108" w:type="dxa"/>
      </w:tblCellMar>
    </w:tblPr>
  </w:style>
  <w:style w:type="table" w:customStyle="1" w:styleId="affb">
    <w:basedOn w:val="TableNormal2"/>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0"/>
    <w:pPr>
      <w:spacing w:after="0" w:line="240" w:lineRule="auto"/>
    </w:pPr>
    <w:tblPr>
      <w:tblStyleRowBandSize w:val="1"/>
      <w:tblStyleColBandSize w:val="1"/>
      <w:tblCellMar>
        <w:left w:w="108" w:type="dxa"/>
        <w:right w:w="108" w:type="dxa"/>
      </w:tblCellMar>
    </w:tblPr>
  </w:style>
  <w:style w:type="table" w:customStyle="1" w:styleId="afff1">
    <w:basedOn w:val="TableNormal0"/>
    <w:pPr>
      <w:spacing w:after="0" w:line="240" w:lineRule="auto"/>
    </w:pPr>
    <w:tblPr>
      <w:tblStyleRowBandSize w:val="1"/>
      <w:tblStyleColBandSize w:val="1"/>
      <w:tblCellMar>
        <w:left w:w="108" w:type="dxa"/>
        <w:right w:w="108" w:type="dxa"/>
      </w:tblCellMar>
    </w:tblPr>
  </w:style>
  <w:style w:type="table" w:customStyle="1" w:styleId="afff2">
    <w:basedOn w:val="TableNormal0"/>
    <w:pPr>
      <w:spacing w:after="0" w:line="240" w:lineRule="auto"/>
    </w:pPr>
    <w:tblPr>
      <w:tblStyleRowBandSize w:val="1"/>
      <w:tblStyleColBandSize w:val="1"/>
      <w:tblCellMar>
        <w:left w:w="108" w:type="dxa"/>
        <w:right w:w="108" w:type="dxa"/>
      </w:tblCellMar>
    </w:tblPr>
  </w:style>
  <w:style w:type="table" w:customStyle="1" w:styleId="afff3">
    <w:basedOn w:val="TableNormal0"/>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D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5701">
      <w:bodyDiv w:val="1"/>
      <w:marLeft w:val="0"/>
      <w:marRight w:val="0"/>
      <w:marTop w:val="0"/>
      <w:marBottom w:val="0"/>
      <w:divBdr>
        <w:top w:val="none" w:sz="0" w:space="0" w:color="auto"/>
        <w:left w:val="none" w:sz="0" w:space="0" w:color="auto"/>
        <w:bottom w:val="none" w:sz="0" w:space="0" w:color="auto"/>
        <w:right w:val="none" w:sz="0" w:space="0" w:color="auto"/>
      </w:divBdr>
    </w:div>
    <w:div w:id="896013354">
      <w:bodyDiv w:val="1"/>
      <w:marLeft w:val="0"/>
      <w:marRight w:val="0"/>
      <w:marTop w:val="0"/>
      <w:marBottom w:val="0"/>
      <w:divBdr>
        <w:top w:val="none" w:sz="0" w:space="0" w:color="auto"/>
        <w:left w:val="none" w:sz="0" w:space="0" w:color="auto"/>
        <w:bottom w:val="none" w:sz="0" w:space="0" w:color="auto"/>
        <w:right w:val="none" w:sz="0" w:space="0" w:color="auto"/>
      </w:divBdr>
    </w:div>
    <w:div w:id="929699764">
      <w:bodyDiv w:val="1"/>
      <w:marLeft w:val="0"/>
      <w:marRight w:val="0"/>
      <w:marTop w:val="0"/>
      <w:marBottom w:val="0"/>
      <w:divBdr>
        <w:top w:val="none" w:sz="0" w:space="0" w:color="auto"/>
        <w:left w:val="none" w:sz="0" w:space="0" w:color="auto"/>
        <w:bottom w:val="none" w:sz="0" w:space="0" w:color="auto"/>
        <w:right w:val="none" w:sz="0" w:space="0" w:color="auto"/>
      </w:divBdr>
    </w:div>
    <w:div w:id="1007486663">
      <w:bodyDiv w:val="1"/>
      <w:marLeft w:val="0"/>
      <w:marRight w:val="0"/>
      <w:marTop w:val="0"/>
      <w:marBottom w:val="0"/>
      <w:divBdr>
        <w:top w:val="none" w:sz="0" w:space="0" w:color="auto"/>
        <w:left w:val="none" w:sz="0" w:space="0" w:color="auto"/>
        <w:bottom w:val="none" w:sz="0" w:space="0" w:color="auto"/>
        <w:right w:val="none" w:sz="0" w:space="0" w:color="auto"/>
      </w:divBdr>
    </w:div>
    <w:div w:id="1042174356">
      <w:bodyDiv w:val="1"/>
      <w:marLeft w:val="0"/>
      <w:marRight w:val="0"/>
      <w:marTop w:val="0"/>
      <w:marBottom w:val="0"/>
      <w:divBdr>
        <w:top w:val="none" w:sz="0" w:space="0" w:color="auto"/>
        <w:left w:val="none" w:sz="0" w:space="0" w:color="auto"/>
        <w:bottom w:val="none" w:sz="0" w:space="0" w:color="auto"/>
        <w:right w:val="none" w:sz="0" w:space="0" w:color="auto"/>
      </w:divBdr>
    </w:div>
    <w:div w:id="1134638381">
      <w:bodyDiv w:val="1"/>
      <w:marLeft w:val="0"/>
      <w:marRight w:val="0"/>
      <w:marTop w:val="0"/>
      <w:marBottom w:val="0"/>
      <w:divBdr>
        <w:top w:val="none" w:sz="0" w:space="0" w:color="auto"/>
        <w:left w:val="none" w:sz="0" w:space="0" w:color="auto"/>
        <w:bottom w:val="none" w:sz="0" w:space="0" w:color="auto"/>
        <w:right w:val="none" w:sz="0" w:space="0" w:color="auto"/>
      </w:divBdr>
    </w:div>
    <w:div w:id="1259295289">
      <w:bodyDiv w:val="1"/>
      <w:marLeft w:val="0"/>
      <w:marRight w:val="0"/>
      <w:marTop w:val="0"/>
      <w:marBottom w:val="0"/>
      <w:divBdr>
        <w:top w:val="none" w:sz="0" w:space="0" w:color="auto"/>
        <w:left w:val="none" w:sz="0" w:space="0" w:color="auto"/>
        <w:bottom w:val="none" w:sz="0" w:space="0" w:color="auto"/>
        <w:right w:val="none" w:sz="0" w:space="0" w:color="auto"/>
      </w:divBdr>
    </w:div>
    <w:div w:id="1307975019">
      <w:bodyDiv w:val="1"/>
      <w:marLeft w:val="0"/>
      <w:marRight w:val="0"/>
      <w:marTop w:val="0"/>
      <w:marBottom w:val="0"/>
      <w:divBdr>
        <w:top w:val="none" w:sz="0" w:space="0" w:color="auto"/>
        <w:left w:val="none" w:sz="0" w:space="0" w:color="auto"/>
        <w:bottom w:val="none" w:sz="0" w:space="0" w:color="auto"/>
        <w:right w:val="none" w:sz="0" w:space="0" w:color="auto"/>
      </w:divBdr>
    </w:div>
    <w:div w:id="1780567157">
      <w:bodyDiv w:val="1"/>
      <w:marLeft w:val="0"/>
      <w:marRight w:val="0"/>
      <w:marTop w:val="0"/>
      <w:marBottom w:val="0"/>
      <w:divBdr>
        <w:top w:val="none" w:sz="0" w:space="0" w:color="auto"/>
        <w:left w:val="none" w:sz="0" w:space="0" w:color="auto"/>
        <w:bottom w:val="none" w:sz="0" w:space="0" w:color="auto"/>
        <w:right w:val="none" w:sz="0" w:space="0" w:color="auto"/>
      </w:divBdr>
    </w:div>
    <w:div w:id="1834829916">
      <w:bodyDiv w:val="1"/>
      <w:marLeft w:val="0"/>
      <w:marRight w:val="0"/>
      <w:marTop w:val="0"/>
      <w:marBottom w:val="0"/>
      <w:divBdr>
        <w:top w:val="none" w:sz="0" w:space="0" w:color="auto"/>
        <w:left w:val="none" w:sz="0" w:space="0" w:color="auto"/>
        <w:bottom w:val="none" w:sz="0" w:space="0" w:color="auto"/>
        <w:right w:val="none" w:sz="0" w:space="0" w:color="auto"/>
      </w:divBdr>
    </w:div>
    <w:div w:id="1850411422">
      <w:bodyDiv w:val="1"/>
      <w:marLeft w:val="0"/>
      <w:marRight w:val="0"/>
      <w:marTop w:val="0"/>
      <w:marBottom w:val="0"/>
      <w:divBdr>
        <w:top w:val="none" w:sz="0" w:space="0" w:color="auto"/>
        <w:left w:val="none" w:sz="0" w:space="0" w:color="auto"/>
        <w:bottom w:val="none" w:sz="0" w:space="0" w:color="auto"/>
        <w:right w:val="none" w:sz="0" w:space="0" w:color="auto"/>
      </w:divBdr>
    </w:div>
    <w:div w:id="185179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9dFPMBIpVzJlIEKKUBDQrzCGg==">CgMxLjAyDmgucXFlNWhoNzhtbHQ4MghoLmdqZGd4czIOaC42bW1qaDRkejRmd3gyDmgucGt4ZjExcnk0dDhrMg1oLjRvcTFxZnF2YWM5MgloLjJldDkycDAyDmgubGszY3c5ejd5b2F4Mg5oLjd0ZWozdmJwb2lxMTIOaC5obXU4ZWZldTh4dWIyDmguamw3N2J6N2g2N20yMg5oLnJ3bjI1a3BiNWtrNDIOaC42OWN4b3ZwOXJzanYyDmgua2pncmNucHp5ZWc3Mg5oLnNsMGxmdHJyc2tyMDIOaC43YTdjbm1yMHJqZHQyDmguYmpiMWM1cXl3OGw4OAByITFDM3gtQWRpVUQyYzhkYkw4dzZsOS0wUDFqTkxFcE1ZMg==</go:docsCustomData>
</go:gDocsCustomXmlDataStorage>
</file>

<file path=customXml/itemProps1.xml><?xml version="1.0" encoding="utf-8"?>
<ds:datastoreItem xmlns:ds="http://schemas.openxmlformats.org/officeDocument/2006/customXml" ds:itemID="{3BFA08CB-7062-42CF-AE5D-96490150F9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8719</Words>
  <Characters>46301</Characters>
  <Application>Microsoft Office Word</Application>
  <DocSecurity>0</DocSecurity>
  <Lines>890</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Office</cp:lastModifiedBy>
  <cp:revision>2</cp:revision>
  <dcterms:created xsi:type="dcterms:W3CDTF">2026-02-27T05:04:00Z</dcterms:created>
  <dcterms:modified xsi:type="dcterms:W3CDTF">2026-02-27T05:04:00Z</dcterms:modified>
</cp:coreProperties>
</file>