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F68A" w14:textId="4565486C" w:rsidR="00A25DE6" w:rsidRPr="0007190E" w:rsidRDefault="0029535C" w:rsidP="00A25DE6">
      <w:pPr>
        <w:spacing w:line="360" w:lineRule="auto"/>
        <w:ind w:left="-142"/>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BC75D7" w:rsidRPr="0007190E">
        <w:rPr>
          <w:rFonts w:ascii="Palatino Linotype" w:eastAsia="Palatino Linotype" w:hAnsi="Palatino Linotype" w:cs="Palatino Linotype"/>
          <w:sz w:val="22"/>
          <w:szCs w:val="22"/>
        </w:rPr>
        <w:t xml:space="preserve">cinco de marzo </w:t>
      </w:r>
      <w:r w:rsidR="00A25DE6" w:rsidRPr="0007190E">
        <w:rPr>
          <w:rFonts w:ascii="Palatino Linotype" w:eastAsia="Palatino Linotype" w:hAnsi="Palatino Linotype" w:cs="Palatino Linotype"/>
          <w:sz w:val="22"/>
          <w:szCs w:val="22"/>
        </w:rPr>
        <w:t xml:space="preserve">de dos mil veintiséis. </w:t>
      </w:r>
      <w:bookmarkStart w:id="0" w:name="_heading=h.daj3j2xo6q66" w:colFirst="0" w:colLast="0"/>
      <w:bookmarkEnd w:id="0"/>
    </w:p>
    <w:p w14:paraId="32BDB393" w14:textId="77777777" w:rsidR="00A25DE6" w:rsidRPr="0007190E" w:rsidRDefault="00A25DE6" w:rsidP="00A25DE6">
      <w:pPr>
        <w:spacing w:line="360" w:lineRule="auto"/>
        <w:ind w:left="-142"/>
        <w:jc w:val="both"/>
        <w:rPr>
          <w:rFonts w:ascii="Palatino Linotype" w:eastAsia="Palatino Linotype" w:hAnsi="Palatino Linotype" w:cs="Palatino Linotype"/>
          <w:sz w:val="22"/>
          <w:szCs w:val="22"/>
        </w:rPr>
      </w:pPr>
    </w:p>
    <w:p w14:paraId="5E09E9ED" w14:textId="0D57A08B" w:rsidR="000710B6" w:rsidRPr="0007190E" w:rsidRDefault="0029535C" w:rsidP="00A25DE6">
      <w:pPr>
        <w:spacing w:line="360" w:lineRule="auto"/>
        <w:ind w:left="-142"/>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VISTO</w:t>
      </w:r>
      <w:r w:rsidRPr="0007190E">
        <w:rPr>
          <w:rFonts w:ascii="Palatino Linotype" w:eastAsia="Palatino Linotype" w:hAnsi="Palatino Linotype" w:cs="Palatino Linotype"/>
          <w:sz w:val="22"/>
          <w:szCs w:val="22"/>
        </w:rPr>
        <w:t xml:space="preserve"> el expediente formado con motivo del recurso de revisión </w:t>
      </w:r>
      <w:r w:rsidR="00E34ADB" w:rsidRPr="0007190E">
        <w:rPr>
          <w:rFonts w:ascii="Palatino Linotype" w:eastAsia="Palatino Linotype" w:hAnsi="Palatino Linotype" w:cs="Palatino Linotype"/>
          <w:b/>
          <w:sz w:val="22"/>
          <w:szCs w:val="22"/>
        </w:rPr>
        <w:t>14434</w:t>
      </w:r>
      <w:r w:rsidRPr="0007190E">
        <w:rPr>
          <w:rFonts w:ascii="Palatino Linotype" w:eastAsia="Palatino Linotype" w:hAnsi="Palatino Linotype" w:cs="Palatino Linotype"/>
          <w:b/>
          <w:sz w:val="22"/>
          <w:szCs w:val="22"/>
        </w:rPr>
        <w:t>/INFOEM/IP/RR/2025</w:t>
      </w:r>
      <w:r w:rsidRPr="0007190E">
        <w:rPr>
          <w:rFonts w:ascii="Palatino Linotype" w:eastAsia="Palatino Linotype" w:hAnsi="Palatino Linotype" w:cs="Palatino Linotype"/>
          <w:sz w:val="22"/>
          <w:szCs w:val="22"/>
        </w:rPr>
        <w:t>, interpuesto por</w:t>
      </w:r>
      <w:r w:rsidR="004561BF" w:rsidRPr="004561BF">
        <w:rPr>
          <w:rFonts w:ascii="Palatino Linotype" w:eastAsia="Palatino Linotype" w:hAnsi="Palatino Linotype" w:cs="Palatino Linotype"/>
          <w:b/>
          <w:sz w:val="21"/>
          <w:szCs w:val="21"/>
          <w:lang w:val="es-ES"/>
        </w:rPr>
        <w:t xml:space="preserve"> </w:t>
      </w:r>
      <w:r w:rsidR="004561BF">
        <w:rPr>
          <w:rFonts w:ascii="Palatino Linotype" w:eastAsia="Palatino Linotype" w:hAnsi="Palatino Linotype" w:cs="Palatino Linotype"/>
          <w:b/>
          <w:sz w:val="21"/>
          <w:szCs w:val="21"/>
          <w:lang w:val="es-ES"/>
        </w:rPr>
        <w:t>XXXXX XXXXXXX XXXXX</w:t>
      </w:r>
      <w:r w:rsidRPr="0007190E">
        <w:rPr>
          <w:rFonts w:ascii="Palatino Linotype" w:eastAsia="Palatino Linotype" w:hAnsi="Palatino Linotype" w:cs="Palatino Linotype"/>
          <w:b/>
          <w:sz w:val="22"/>
          <w:szCs w:val="22"/>
        </w:rPr>
        <w:t>,</w:t>
      </w:r>
      <w:r w:rsidRPr="0007190E">
        <w:rPr>
          <w:rFonts w:ascii="Palatino Linotype" w:eastAsia="Palatino Linotype" w:hAnsi="Palatino Linotype" w:cs="Palatino Linotype"/>
          <w:sz w:val="22"/>
          <w:szCs w:val="22"/>
        </w:rPr>
        <w:t xml:space="preserve"> en lo sucesivo</w:t>
      </w:r>
      <w:r w:rsidRPr="0007190E">
        <w:rPr>
          <w:rFonts w:ascii="Palatino Linotype" w:eastAsia="Palatino Linotype" w:hAnsi="Palatino Linotype" w:cs="Palatino Linotype"/>
          <w:b/>
          <w:sz w:val="22"/>
          <w:szCs w:val="22"/>
        </w:rPr>
        <w:t xml:space="preserve"> </w:t>
      </w:r>
      <w:r w:rsidRPr="0007190E">
        <w:rPr>
          <w:rFonts w:ascii="Palatino Linotype" w:eastAsia="Palatino Linotype" w:hAnsi="Palatino Linotype" w:cs="Palatino Linotype"/>
          <w:sz w:val="22"/>
          <w:szCs w:val="22"/>
        </w:rPr>
        <w:t xml:space="preserve">la parte </w:t>
      </w:r>
      <w:r w:rsidRPr="0007190E">
        <w:rPr>
          <w:rFonts w:ascii="Palatino Linotype" w:eastAsia="Palatino Linotype" w:hAnsi="Palatino Linotype" w:cs="Palatino Linotype"/>
          <w:b/>
          <w:sz w:val="22"/>
          <w:szCs w:val="22"/>
        </w:rPr>
        <w:t>Recurrente,</w:t>
      </w:r>
      <w:r w:rsidRPr="0007190E">
        <w:rPr>
          <w:rFonts w:ascii="Palatino Linotype" w:eastAsia="Palatino Linotype" w:hAnsi="Palatino Linotype" w:cs="Palatino Linotype"/>
          <w:sz w:val="22"/>
          <w:szCs w:val="22"/>
        </w:rPr>
        <w:t xml:space="preserve"> en contra de la respuesta a la solicitud de información con número de folio</w:t>
      </w:r>
      <w:r w:rsidRPr="0007190E">
        <w:rPr>
          <w:rFonts w:ascii="Palatino Linotype" w:eastAsia="Palatino Linotype" w:hAnsi="Palatino Linotype" w:cs="Palatino Linotype"/>
          <w:b/>
          <w:sz w:val="22"/>
          <w:szCs w:val="22"/>
        </w:rPr>
        <w:t xml:space="preserve"> </w:t>
      </w:r>
      <w:r w:rsidR="00E34ADB" w:rsidRPr="0007190E">
        <w:rPr>
          <w:rFonts w:ascii="Palatino Linotype" w:eastAsia="Palatino Linotype" w:hAnsi="Palatino Linotype" w:cs="Palatino Linotype"/>
          <w:b/>
          <w:sz w:val="22"/>
          <w:szCs w:val="22"/>
        </w:rPr>
        <w:t>01372</w:t>
      </w:r>
      <w:r w:rsidR="00466710" w:rsidRPr="0007190E">
        <w:rPr>
          <w:rFonts w:ascii="Palatino Linotype" w:eastAsia="Palatino Linotype" w:hAnsi="Palatino Linotype" w:cs="Palatino Linotype"/>
          <w:b/>
          <w:sz w:val="22"/>
          <w:szCs w:val="22"/>
        </w:rPr>
        <w:t>/</w:t>
      </w:r>
      <w:r w:rsidR="00E34ADB" w:rsidRPr="0007190E">
        <w:rPr>
          <w:rFonts w:ascii="Palatino Linotype" w:eastAsia="Palatino Linotype" w:hAnsi="Palatino Linotype" w:cs="Palatino Linotype"/>
          <w:b/>
          <w:sz w:val="22"/>
          <w:szCs w:val="22"/>
        </w:rPr>
        <w:t>TEPOTZO</w:t>
      </w:r>
      <w:r w:rsidR="00466710" w:rsidRPr="0007190E">
        <w:rPr>
          <w:rFonts w:ascii="Palatino Linotype" w:eastAsia="Palatino Linotype" w:hAnsi="Palatino Linotype" w:cs="Palatino Linotype"/>
          <w:b/>
          <w:sz w:val="22"/>
          <w:szCs w:val="22"/>
        </w:rPr>
        <w:t>T/IP/2025</w:t>
      </w:r>
      <w:r w:rsidRPr="0007190E">
        <w:rPr>
          <w:rFonts w:ascii="Palatino Linotype" w:eastAsia="Palatino Linotype" w:hAnsi="Palatino Linotype" w:cs="Palatino Linotype"/>
          <w:b/>
          <w:sz w:val="22"/>
          <w:szCs w:val="22"/>
        </w:rPr>
        <w:t xml:space="preserve">, </w:t>
      </w:r>
      <w:r w:rsidRPr="0007190E">
        <w:rPr>
          <w:rFonts w:ascii="Palatino Linotype" w:eastAsia="Palatino Linotype" w:hAnsi="Palatino Linotype" w:cs="Palatino Linotype"/>
          <w:sz w:val="22"/>
          <w:szCs w:val="22"/>
        </w:rPr>
        <w:t xml:space="preserve">por parte del </w:t>
      </w:r>
      <w:r w:rsidRPr="0007190E">
        <w:rPr>
          <w:rFonts w:ascii="Palatino Linotype" w:eastAsia="Palatino Linotype" w:hAnsi="Palatino Linotype" w:cs="Palatino Linotype"/>
          <w:b/>
          <w:sz w:val="22"/>
          <w:szCs w:val="22"/>
        </w:rPr>
        <w:t xml:space="preserve">Ayuntamiento de </w:t>
      </w:r>
      <w:r w:rsidR="00E34ADB" w:rsidRPr="0007190E">
        <w:rPr>
          <w:rFonts w:ascii="Palatino Linotype" w:eastAsia="Palatino Linotype" w:hAnsi="Palatino Linotype" w:cs="Palatino Linotype"/>
          <w:b/>
          <w:sz w:val="22"/>
          <w:szCs w:val="22"/>
        </w:rPr>
        <w:t>Tepotzotlán</w:t>
      </w:r>
      <w:r w:rsidRPr="0007190E">
        <w:rPr>
          <w:rFonts w:ascii="Palatino Linotype" w:eastAsia="Palatino Linotype" w:hAnsi="Palatino Linotype" w:cs="Palatino Linotype"/>
          <w:b/>
          <w:sz w:val="22"/>
          <w:szCs w:val="22"/>
        </w:rPr>
        <w:t xml:space="preserve">, </w:t>
      </w:r>
      <w:r w:rsidRPr="0007190E">
        <w:rPr>
          <w:rFonts w:ascii="Palatino Linotype" w:eastAsia="Palatino Linotype" w:hAnsi="Palatino Linotype" w:cs="Palatino Linotype"/>
          <w:sz w:val="22"/>
          <w:szCs w:val="22"/>
        </w:rPr>
        <w:t xml:space="preserve">en lo sucesivo el </w:t>
      </w:r>
      <w:r w:rsidRPr="0007190E">
        <w:rPr>
          <w:rFonts w:ascii="Palatino Linotype" w:eastAsia="Palatino Linotype" w:hAnsi="Palatino Linotype" w:cs="Palatino Linotype"/>
          <w:b/>
          <w:sz w:val="22"/>
          <w:szCs w:val="22"/>
        </w:rPr>
        <w:t xml:space="preserve">Sujeto Obligado, </w:t>
      </w:r>
      <w:r w:rsidRPr="0007190E">
        <w:rPr>
          <w:rFonts w:ascii="Palatino Linotype" w:eastAsia="Palatino Linotype" w:hAnsi="Palatino Linotype" w:cs="Palatino Linotype"/>
          <w:sz w:val="22"/>
          <w:szCs w:val="22"/>
        </w:rPr>
        <w:t xml:space="preserve">se procede a dictar la presente resolución con base en los siguientes: </w:t>
      </w:r>
    </w:p>
    <w:p w14:paraId="3D60008A" w14:textId="77777777" w:rsidR="000710B6" w:rsidRPr="0007190E" w:rsidRDefault="0029535C">
      <w:pPr>
        <w:spacing w:before="240" w:after="240" w:line="360" w:lineRule="auto"/>
        <w:jc w:val="center"/>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I. A N T E C E D E N T E S</w:t>
      </w:r>
    </w:p>
    <w:p w14:paraId="27018700" w14:textId="32EF722B" w:rsidR="000710B6" w:rsidRPr="0007190E" w:rsidRDefault="0029535C">
      <w:pPr>
        <w:spacing w:before="240" w:after="240" w:line="360" w:lineRule="auto"/>
        <w:jc w:val="both"/>
        <w:rPr>
          <w:rFonts w:ascii="Palatino Linotype" w:eastAsia="Palatino Linotype" w:hAnsi="Palatino Linotype" w:cs="Palatino Linotype"/>
          <w:sz w:val="22"/>
          <w:szCs w:val="22"/>
        </w:rPr>
      </w:pPr>
      <w:bookmarkStart w:id="1" w:name="_heading=h.gjdgxs" w:colFirst="0" w:colLast="0"/>
      <w:bookmarkEnd w:id="1"/>
      <w:r w:rsidRPr="0007190E">
        <w:rPr>
          <w:rFonts w:ascii="Palatino Linotype" w:eastAsia="Palatino Linotype" w:hAnsi="Palatino Linotype" w:cs="Palatino Linotype"/>
          <w:b/>
          <w:sz w:val="22"/>
          <w:szCs w:val="22"/>
        </w:rPr>
        <w:t>1. Solicitud de acceso a la información.</w:t>
      </w:r>
      <w:r w:rsidRPr="0007190E">
        <w:rPr>
          <w:rFonts w:ascii="Palatino Linotype" w:eastAsia="Palatino Linotype" w:hAnsi="Palatino Linotype" w:cs="Palatino Linotype"/>
          <w:sz w:val="22"/>
          <w:szCs w:val="22"/>
        </w:rPr>
        <w:t xml:space="preserve"> El </w:t>
      </w:r>
      <w:r w:rsidR="00E34ADB" w:rsidRPr="0007190E">
        <w:rPr>
          <w:rFonts w:ascii="Palatino Linotype" w:eastAsia="Palatino Linotype" w:hAnsi="Palatino Linotype" w:cs="Palatino Linotype"/>
          <w:b/>
          <w:sz w:val="22"/>
          <w:szCs w:val="22"/>
        </w:rPr>
        <w:t>veinticuatro</w:t>
      </w:r>
      <w:r w:rsidR="00466710" w:rsidRPr="0007190E">
        <w:rPr>
          <w:rFonts w:ascii="Palatino Linotype" w:eastAsia="Palatino Linotype" w:hAnsi="Palatino Linotype" w:cs="Palatino Linotype"/>
          <w:b/>
          <w:sz w:val="22"/>
          <w:szCs w:val="22"/>
        </w:rPr>
        <w:t xml:space="preserve"> de </w:t>
      </w:r>
      <w:r w:rsidR="00E34ADB" w:rsidRPr="0007190E">
        <w:rPr>
          <w:rFonts w:ascii="Palatino Linotype" w:eastAsia="Palatino Linotype" w:hAnsi="Palatino Linotype" w:cs="Palatino Linotype"/>
          <w:b/>
          <w:sz w:val="22"/>
          <w:szCs w:val="22"/>
        </w:rPr>
        <w:t>n</w:t>
      </w:r>
      <w:r w:rsidR="00466710" w:rsidRPr="0007190E">
        <w:rPr>
          <w:rFonts w:ascii="Palatino Linotype" w:eastAsia="Palatino Linotype" w:hAnsi="Palatino Linotype" w:cs="Palatino Linotype"/>
          <w:b/>
          <w:sz w:val="22"/>
          <w:szCs w:val="22"/>
        </w:rPr>
        <w:t>o</w:t>
      </w:r>
      <w:r w:rsidR="00E34ADB" w:rsidRPr="0007190E">
        <w:rPr>
          <w:rFonts w:ascii="Palatino Linotype" w:eastAsia="Palatino Linotype" w:hAnsi="Palatino Linotype" w:cs="Palatino Linotype"/>
          <w:b/>
          <w:sz w:val="22"/>
          <w:szCs w:val="22"/>
        </w:rPr>
        <w:t>viembre</w:t>
      </w:r>
      <w:r w:rsidRPr="0007190E">
        <w:rPr>
          <w:rFonts w:ascii="Palatino Linotype" w:eastAsia="Palatino Linotype" w:hAnsi="Palatino Linotype" w:cs="Palatino Linotype"/>
          <w:b/>
          <w:sz w:val="22"/>
          <w:szCs w:val="22"/>
        </w:rPr>
        <w:t xml:space="preserve"> de dos mil veinticinco,</w:t>
      </w:r>
      <w:r w:rsidRPr="0007190E">
        <w:rPr>
          <w:rFonts w:ascii="Palatino Linotype" w:eastAsia="Palatino Linotype" w:hAnsi="Palatino Linotype" w:cs="Palatino Linotype"/>
          <w:sz w:val="22"/>
          <w:szCs w:val="22"/>
        </w:rPr>
        <w:t xml:space="preserve"> la parte </w:t>
      </w:r>
      <w:r w:rsidRPr="0007190E">
        <w:rPr>
          <w:rFonts w:ascii="Palatino Linotype" w:eastAsia="Palatino Linotype" w:hAnsi="Palatino Linotype" w:cs="Palatino Linotype"/>
          <w:b/>
          <w:sz w:val="22"/>
          <w:szCs w:val="22"/>
        </w:rPr>
        <w:t xml:space="preserve">Recurrente </w:t>
      </w:r>
      <w:r w:rsidRPr="0007190E">
        <w:rPr>
          <w:rFonts w:ascii="Palatino Linotype" w:eastAsia="Palatino Linotype" w:hAnsi="Palatino Linotype" w:cs="Palatino Linotype"/>
          <w:sz w:val="22"/>
          <w:szCs w:val="22"/>
        </w:rPr>
        <w:t xml:space="preserve">presentó la solicitud de acceso a la información pública ante 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a través del Sistema de Acceso a la Información Mexiquense, en lo subsecuente el </w:t>
      </w:r>
      <w:r w:rsidRPr="0007190E">
        <w:rPr>
          <w:rFonts w:ascii="Palatino Linotype" w:eastAsia="Palatino Linotype" w:hAnsi="Palatino Linotype" w:cs="Palatino Linotype"/>
          <w:b/>
          <w:sz w:val="22"/>
          <w:szCs w:val="22"/>
        </w:rPr>
        <w:t>SAIMEX,</w:t>
      </w:r>
      <w:r w:rsidRPr="0007190E">
        <w:rPr>
          <w:rFonts w:ascii="Palatino Linotype" w:eastAsia="Palatino Linotype" w:hAnsi="Palatino Linotype" w:cs="Palatino Linotype"/>
          <w:sz w:val="22"/>
          <w:szCs w:val="22"/>
        </w:rPr>
        <w:t xml:space="preserve"> mediante la cual requirió lo siguiente:</w:t>
      </w:r>
    </w:p>
    <w:p w14:paraId="00A4CED0" w14:textId="0D5D3C8C" w:rsidR="000710B6" w:rsidRPr="0007190E" w:rsidRDefault="0029535C">
      <w:pPr>
        <w:spacing w:before="120" w:after="120"/>
        <w:ind w:left="851" w:right="902"/>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w:t>
      </w:r>
      <w:r w:rsidR="00E34ADB" w:rsidRPr="0007190E">
        <w:rPr>
          <w:rFonts w:ascii="Palatino Linotype" w:eastAsia="Palatino Linotype" w:hAnsi="Palatino Linotype" w:cs="Palatino Linotype"/>
          <w:i/>
          <w:sz w:val="22"/>
          <w:szCs w:val="22"/>
        </w:rPr>
        <w:t>Con fundamento en el artículo 147 de la Ley Orgánica Municipal del Estado de México, solicito el padrón catastral actualizado del municipio, indicando clave catastral, valor catastral, uso, superficie y zona de ubicación</w:t>
      </w:r>
      <w:r w:rsidRPr="0007190E">
        <w:rPr>
          <w:rFonts w:ascii="Palatino Linotype" w:eastAsia="Palatino Linotype" w:hAnsi="Palatino Linotype" w:cs="Palatino Linotype"/>
          <w:b/>
          <w:i/>
          <w:sz w:val="22"/>
          <w:szCs w:val="22"/>
        </w:rPr>
        <w:t>.”</w:t>
      </w:r>
      <w:r w:rsidRPr="0007190E">
        <w:rPr>
          <w:rFonts w:ascii="Palatino Linotype" w:eastAsia="Palatino Linotype" w:hAnsi="Palatino Linotype" w:cs="Palatino Linotype"/>
          <w:i/>
          <w:sz w:val="22"/>
          <w:szCs w:val="22"/>
        </w:rPr>
        <w:t xml:space="preserve"> (sic) </w:t>
      </w:r>
    </w:p>
    <w:p w14:paraId="4D9EC3CC" w14:textId="77777777" w:rsidR="000710B6" w:rsidRPr="0007190E" w:rsidRDefault="0029535C">
      <w:pPr>
        <w:spacing w:before="240" w:after="240" w:line="360" w:lineRule="auto"/>
        <w:jc w:val="both"/>
        <w:rPr>
          <w:rFonts w:ascii="Palatino Linotype" w:eastAsia="Palatino Linotype" w:hAnsi="Palatino Linotype" w:cs="Palatino Linotype"/>
          <w:b/>
          <w:sz w:val="22"/>
          <w:szCs w:val="22"/>
        </w:rPr>
      </w:pPr>
      <w:bookmarkStart w:id="2" w:name="_heading=h.3dy6vkm" w:colFirst="0" w:colLast="0"/>
      <w:bookmarkEnd w:id="2"/>
      <w:r w:rsidRPr="0007190E">
        <w:rPr>
          <w:rFonts w:ascii="Palatino Linotype" w:eastAsia="Palatino Linotype" w:hAnsi="Palatino Linotype" w:cs="Palatino Linotype"/>
          <w:b/>
          <w:sz w:val="22"/>
          <w:szCs w:val="22"/>
        </w:rPr>
        <w:t>Modalidad de Entrega:</w:t>
      </w:r>
      <w:r w:rsidRPr="0007190E">
        <w:rPr>
          <w:rFonts w:ascii="Palatino Linotype" w:eastAsia="Palatino Linotype" w:hAnsi="Palatino Linotype" w:cs="Palatino Linotype"/>
          <w:sz w:val="22"/>
          <w:szCs w:val="22"/>
        </w:rPr>
        <w:t xml:space="preserve"> a través del</w:t>
      </w:r>
      <w:r w:rsidRPr="0007190E">
        <w:rPr>
          <w:rFonts w:ascii="Palatino Linotype" w:eastAsia="Palatino Linotype" w:hAnsi="Palatino Linotype" w:cs="Palatino Linotype"/>
          <w:b/>
          <w:sz w:val="22"/>
          <w:szCs w:val="22"/>
        </w:rPr>
        <w:t xml:space="preserve"> SAIMEX.</w:t>
      </w:r>
    </w:p>
    <w:p w14:paraId="64BCB49B" w14:textId="0F8CE6A3" w:rsidR="00C35887" w:rsidRPr="0007190E" w:rsidRDefault="0029535C" w:rsidP="00C35887">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2. Respuesta.</w:t>
      </w:r>
      <w:r w:rsidR="00C35887" w:rsidRPr="0007190E">
        <w:rPr>
          <w:rFonts w:ascii="Palatino Linotype" w:eastAsia="Palatino Linotype" w:hAnsi="Palatino Linotype" w:cs="Palatino Linotype"/>
          <w:b/>
          <w:sz w:val="22"/>
          <w:szCs w:val="22"/>
        </w:rPr>
        <w:t xml:space="preserve"> </w:t>
      </w:r>
      <w:r w:rsidR="00BC75D7" w:rsidRPr="0007190E">
        <w:rPr>
          <w:rFonts w:ascii="Palatino Linotype" w:eastAsia="Palatino Linotype" w:hAnsi="Palatino Linotype" w:cs="Palatino Linotype"/>
          <w:sz w:val="22"/>
          <w:szCs w:val="22"/>
        </w:rPr>
        <w:t>El Sujeto Obligado f</w:t>
      </w:r>
      <w:r w:rsidR="00C35887" w:rsidRPr="0007190E">
        <w:rPr>
          <w:rFonts w:ascii="Palatino Linotype" w:eastAsia="Palatino Linotype" w:hAnsi="Palatino Linotype" w:cs="Palatino Linotype"/>
          <w:sz w:val="22"/>
          <w:szCs w:val="22"/>
        </w:rPr>
        <w:t xml:space="preserve">ue omiso en proporcionar respuesta. </w:t>
      </w:r>
    </w:p>
    <w:p w14:paraId="66B56C1B" w14:textId="020AF08D" w:rsidR="000710B6" w:rsidRPr="0007190E" w:rsidRDefault="0029535C" w:rsidP="00C35887">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 xml:space="preserve">3. Interposición del recurso de revisión. </w:t>
      </w:r>
      <w:r w:rsidRPr="0007190E">
        <w:rPr>
          <w:rFonts w:ascii="Palatino Linotype" w:eastAsia="Palatino Linotype" w:hAnsi="Palatino Linotype" w:cs="Palatino Linotype"/>
          <w:sz w:val="22"/>
          <w:szCs w:val="22"/>
        </w:rPr>
        <w:t xml:space="preserve">Inconforme con los términos de la respuesta emitida por parte del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el </w:t>
      </w:r>
      <w:r w:rsidR="00C35887" w:rsidRPr="0007190E">
        <w:rPr>
          <w:rFonts w:ascii="Palatino Linotype" w:eastAsia="Palatino Linotype" w:hAnsi="Palatino Linotype" w:cs="Palatino Linotype"/>
          <w:b/>
          <w:sz w:val="22"/>
          <w:szCs w:val="22"/>
        </w:rPr>
        <w:t>dieciséis</w:t>
      </w:r>
      <w:r w:rsidR="00466710" w:rsidRPr="0007190E">
        <w:rPr>
          <w:rFonts w:ascii="Palatino Linotype" w:eastAsia="Palatino Linotype" w:hAnsi="Palatino Linotype" w:cs="Palatino Linotype"/>
          <w:b/>
          <w:sz w:val="22"/>
          <w:szCs w:val="22"/>
        </w:rPr>
        <w:t xml:space="preserve"> de </w:t>
      </w:r>
      <w:r w:rsidR="00C35887" w:rsidRPr="0007190E">
        <w:rPr>
          <w:rFonts w:ascii="Palatino Linotype" w:eastAsia="Palatino Linotype" w:hAnsi="Palatino Linotype" w:cs="Palatino Linotype"/>
          <w:b/>
          <w:sz w:val="22"/>
          <w:szCs w:val="22"/>
        </w:rPr>
        <w:t>diciembre</w:t>
      </w:r>
      <w:r w:rsidRPr="0007190E">
        <w:rPr>
          <w:rFonts w:ascii="Palatino Linotype" w:eastAsia="Palatino Linotype" w:hAnsi="Palatino Linotype" w:cs="Palatino Linotype"/>
          <w:b/>
          <w:sz w:val="22"/>
          <w:szCs w:val="22"/>
        </w:rPr>
        <w:t xml:space="preserve"> de dos mil veinticinco,</w:t>
      </w:r>
      <w:r w:rsidRPr="0007190E">
        <w:rPr>
          <w:rFonts w:ascii="Palatino Linotype" w:eastAsia="Palatino Linotype" w:hAnsi="Palatino Linotype" w:cs="Palatino Linotype"/>
          <w:sz w:val="22"/>
          <w:szCs w:val="22"/>
        </w:rPr>
        <w:t xml:space="preserve"> la parte </w:t>
      </w:r>
      <w:r w:rsidRPr="0007190E">
        <w:rPr>
          <w:rFonts w:ascii="Palatino Linotype" w:eastAsia="Palatino Linotype" w:hAnsi="Palatino Linotype" w:cs="Palatino Linotype"/>
          <w:b/>
          <w:sz w:val="22"/>
          <w:szCs w:val="22"/>
        </w:rPr>
        <w:t>Recurrente</w:t>
      </w:r>
      <w:r w:rsidRPr="0007190E">
        <w:rPr>
          <w:rFonts w:ascii="Palatino Linotype" w:eastAsia="Palatino Linotype" w:hAnsi="Palatino Linotype" w:cs="Palatino Linotype"/>
          <w:sz w:val="22"/>
          <w:szCs w:val="22"/>
        </w:rPr>
        <w:t xml:space="preserve"> interpuso el recurso de revisión a través de </w:t>
      </w:r>
      <w:r w:rsidRPr="0007190E">
        <w:rPr>
          <w:rFonts w:ascii="Palatino Linotype" w:eastAsia="Palatino Linotype" w:hAnsi="Palatino Linotype" w:cs="Palatino Linotype"/>
          <w:b/>
          <w:sz w:val="22"/>
          <w:szCs w:val="22"/>
        </w:rPr>
        <w:t xml:space="preserve">SAIMEX, </w:t>
      </w:r>
      <w:r w:rsidRPr="0007190E">
        <w:rPr>
          <w:rFonts w:ascii="Palatino Linotype" w:eastAsia="Palatino Linotype" w:hAnsi="Palatino Linotype" w:cs="Palatino Linotype"/>
          <w:sz w:val="22"/>
          <w:szCs w:val="22"/>
        </w:rPr>
        <w:t>en donde se manifestó de la siguiente manera:</w:t>
      </w:r>
    </w:p>
    <w:p w14:paraId="59012BC3" w14:textId="77777777" w:rsidR="000710B6" w:rsidRPr="0007190E" w:rsidRDefault="0029535C">
      <w:pPr>
        <w:spacing w:before="240" w:after="240" w:line="360" w:lineRule="auto"/>
        <w:ind w:right="49"/>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lastRenderedPageBreak/>
        <w:t xml:space="preserve">Acto impugnado: </w:t>
      </w:r>
    </w:p>
    <w:p w14:paraId="1CF8BD85" w14:textId="5F2F0342" w:rsidR="000710B6" w:rsidRPr="0007190E" w:rsidRDefault="0029535C" w:rsidP="00466710">
      <w:pPr>
        <w:tabs>
          <w:tab w:val="left" w:pos="2745"/>
        </w:tabs>
        <w:spacing w:before="240" w:after="240"/>
        <w:ind w:left="851"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r w:rsidR="00C35887" w:rsidRPr="0007190E">
        <w:rPr>
          <w:rFonts w:ascii="Palatino Linotype" w:eastAsia="Palatino Linotype" w:hAnsi="Palatino Linotype" w:cs="Palatino Linotype"/>
          <w:i/>
          <w:sz w:val="22"/>
          <w:szCs w:val="22"/>
        </w:rPr>
        <w:t>Con fundamento en el artículo 147 de la Ley Orgánica Municipal del Estado de México, solicito el padrón catastral actualizado del municipio, indicando clave catastral, valor catastral, uso, superficie y zona de ubicación.</w:t>
      </w:r>
      <w:r w:rsidRPr="0007190E">
        <w:rPr>
          <w:rFonts w:ascii="Palatino Linotype" w:eastAsia="Palatino Linotype" w:hAnsi="Palatino Linotype" w:cs="Palatino Linotype"/>
          <w:i/>
          <w:sz w:val="22"/>
          <w:szCs w:val="22"/>
        </w:rPr>
        <w:t>” (sic)</w:t>
      </w:r>
      <w:bookmarkStart w:id="3" w:name="_heading=h.30j0zll" w:colFirst="0" w:colLast="0"/>
      <w:bookmarkEnd w:id="3"/>
    </w:p>
    <w:p w14:paraId="0D8B5D74" w14:textId="77777777" w:rsidR="000710B6" w:rsidRPr="0007190E" w:rsidRDefault="0029535C">
      <w:pPr>
        <w:spacing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Y, Razones o motivos de inconformidad</w:t>
      </w:r>
      <w:r w:rsidRPr="0007190E">
        <w:rPr>
          <w:rFonts w:ascii="Palatino Linotype" w:eastAsia="Palatino Linotype" w:hAnsi="Palatino Linotype" w:cs="Palatino Linotype"/>
          <w:sz w:val="22"/>
          <w:szCs w:val="22"/>
        </w:rPr>
        <w:t>:</w:t>
      </w:r>
    </w:p>
    <w:p w14:paraId="368CDF37" w14:textId="4CD9D362" w:rsidR="000710B6" w:rsidRPr="0007190E" w:rsidRDefault="0029535C">
      <w:pPr>
        <w:tabs>
          <w:tab w:val="left" w:pos="2745"/>
        </w:tabs>
        <w:spacing w:before="240" w:after="240"/>
        <w:ind w:left="851"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r w:rsidR="00C35887" w:rsidRPr="0007190E">
        <w:rPr>
          <w:rFonts w:ascii="Palatino Linotype" w:eastAsia="Palatino Linotype" w:hAnsi="Palatino Linotype" w:cs="Palatino Linotype"/>
          <w:i/>
          <w:sz w:val="22"/>
          <w:szCs w:val="22"/>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w:t>
      </w:r>
      <w:r w:rsidR="00C35887" w:rsidRPr="0007190E">
        <w:rPr>
          <w:rFonts w:ascii="Palatino Linotype" w:eastAsia="Palatino Linotype" w:hAnsi="Palatino Linotype" w:cs="Palatino Linotype"/>
          <w:i/>
          <w:sz w:val="22"/>
          <w:szCs w:val="22"/>
        </w:rPr>
        <w:lastRenderedPageBreak/>
        <w:t>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07190E">
        <w:rPr>
          <w:rFonts w:ascii="Palatino Linotype" w:eastAsia="Palatino Linotype" w:hAnsi="Palatino Linotype" w:cs="Palatino Linotype"/>
          <w:i/>
          <w:sz w:val="22"/>
          <w:szCs w:val="22"/>
        </w:rPr>
        <w:t>” (sic)</w:t>
      </w:r>
    </w:p>
    <w:p w14:paraId="555C2409" w14:textId="77777777" w:rsidR="000710B6" w:rsidRPr="0007190E" w:rsidRDefault="0029535C">
      <w:pPr>
        <w:spacing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 xml:space="preserve">4. Turno. </w:t>
      </w:r>
      <w:r w:rsidRPr="0007190E">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07190E">
        <w:rPr>
          <w:rFonts w:ascii="Palatino Linotype" w:eastAsia="Palatino Linotype" w:hAnsi="Palatino Linotype" w:cs="Palatino Linotype"/>
          <w:b/>
          <w:sz w:val="22"/>
          <w:szCs w:val="22"/>
        </w:rPr>
        <w:t xml:space="preserve">Guadalupe Ramírez Peña, </w:t>
      </w:r>
      <w:r w:rsidRPr="0007190E">
        <w:rPr>
          <w:rFonts w:ascii="Palatino Linotype" w:eastAsia="Palatino Linotype" w:hAnsi="Palatino Linotype" w:cs="Palatino Linotype"/>
          <w:sz w:val="22"/>
          <w:szCs w:val="22"/>
        </w:rPr>
        <w:t>a efecto de que analizara sobre su admisión o su desechamiento.</w:t>
      </w:r>
    </w:p>
    <w:p w14:paraId="4ADF4C0E" w14:textId="69186F7B" w:rsidR="000710B6" w:rsidRPr="0007190E" w:rsidRDefault="0029535C">
      <w:pPr>
        <w:spacing w:before="240" w:after="240" w:line="360" w:lineRule="auto"/>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5. Admisión del Recurso de revisión.</w:t>
      </w:r>
      <w:r w:rsidRPr="0007190E">
        <w:rPr>
          <w:rFonts w:ascii="Palatino Linotype" w:eastAsia="Palatino Linotype" w:hAnsi="Palatino Linotype" w:cs="Palatino Linotype"/>
          <w:sz w:val="22"/>
          <w:szCs w:val="22"/>
        </w:rPr>
        <w:t xml:space="preserve"> El</w:t>
      </w:r>
      <w:r w:rsidRPr="0007190E">
        <w:rPr>
          <w:rFonts w:ascii="Palatino Linotype" w:eastAsia="Palatino Linotype" w:hAnsi="Palatino Linotype" w:cs="Palatino Linotype"/>
          <w:b/>
          <w:sz w:val="22"/>
          <w:szCs w:val="22"/>
        </w:rPr>
        <w:t xml:space="preserve"> </w:t>
      </w:r>
      <w:r w:rsidR="00913E54" w:rsidRPr="0007190E">
        <w:rPr>
          <w:rFonts w:ascii="Palatino Linotype" w:eastAsia="Palatino Linotype" w:hAnsi="Palatino Linotype" w:cs="Palatino Linotype"/>
          <w:b/>
          <w:sz w:val="22"/>
          <w:szCs w:val="22"/>
        </w:rPr>
        <w:t>dieciocho de diciembre de dos mil veinticinco</w:t>
      </w:r>
      <w:r w:rsidRPr="0007190E">
        <w:rPr>
          <w:rFonts w:ascii="Palatino Linotype" w:eastAsia="Palatino Linotype" w:hAnsi="Palatino Linotype" w:cs="Palatino Linotype"/>
          <w:b/>
          <w:sz w:val="22"/>
          <w:szCs w:val="22"/>
        </w:rPr>
        <w:t xml:space="preserve">, </w:t>
      </w:r>
      <w:r w:rsidRPr="0007190E">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07190E">
        <w:rPr>
          <w:rFonts w:ascii="Palatino Linotype" w:eastAsia="Palatino Linotype" w:hAnsi="Palatino Linotype" w:cs="Palatino Linotype"/>
          <w:b/>
          <w:sz w:val="22"/>
          <w:szCs w:val="22"/>
        </w:rPr>
        <w:t xml:space="preserve">Sujeto Obligado </w:t>
      </w:r>
      <w:r w:rsidRPr="0007190E">
        <w:rPr>
          <w:rFonts w:ascii="Palatino Linotype" w:eastAsia="Palatino Linotype" w:hAnsi="Palatino Linotype" w:cs="Palatino Linotype"/>
          <w:sz w:val="22"/>
          <w:szCs w:val="22"/>
        </w:rPr>
        <w:t>presentara su informe justificado.</w:t>
      </w:r>
    </w:p>
    <w:p w14:paraId="7375864E" w14:textId="489E4B1E" w:rsidR="000710B6" w:rsidRPr="0007190E" w:rsidRDefault="0029535C">
      <w:pPr>
        <w:spacing w:before="240" w:after="240" w:line="360" w:lineRule="auto"/>
        <w:jc w:val="both"/>
        <w:rPr>
          <w:rFonts w:ascii="Palatino Linotype" w:eastAsia="Palatino Linotype" w:hAnsi="Palatino Linotype" w:cs="Palatino Linotype"/>
          <w:sz w:val="22"/>
          <w:szCs w:val="22"/>
        </w:rPr>
      </w:pPr>
      <w:bookmarkStart w:id="4" w:name="_heading=h.2s8eyo1" w:colFirst="0" w:colLast="0"/>
      <w:bookmarkEnd w:id="4"/>
      <w:r w:rsidRPr="0007190E">
        <w:rPr>
          <w:rFonts w:ascii="Palatino Linotype" w:eastAsia="Palatino Linotype" w:hAnsi="Palatino Linotype" w:cs="Palatino Linotype"/>
          <w:b/>
          <w:sz w:val="22"/>
          <w:szCs w:val="22"/>
        </w:rPr>
        <w:t>6. Manifestaciones</w:t>
      </w:r>
      <w:r w:rsidR="00C35887" w:rsidRPr="0007190E">
        <w:rPr>
          <w:rFonts w:ascii="Palatino Linotype" w:eastAsia="Palatino Linotype" w:hAnsi="Palatino Linotype" w:cs="Palatino Linotype"/>
          <w:sz w:val="22"/>
          <w:szCs w:val="22"/>
        </w:rPr>
        <w:t xml:space="preserve">. El </w:t>
      </w:r>
      <w:r w:rsidR="00C35887" w:rsidRPr="0007190E">
        <w:rPr>
          <w:rFonts w:ascii="Palatino Linotype" w:eastAsia="Palatino Linotype" w:hAnsi="Palatino Linotype" w:cs="Palatino Linotype"/>
          <w:b/>
          <w:sz w:val="22"/>
          <w:szCs w:val="22"/>
        </w:rPr>
        <w:t>ci</w:t>
      </w:r>
      <w:r w:rsidR="00913E54" w:rsidRPr="0007190E">
        <w:rPr>
          <w:rFonts w:ascii="Palatino Linotype" w:eastAsia="Palatino Linotype" w:hAnsi="Palatino Linotype" w:cs="Palatino Linotype"/>
          <w:b/>
          <w:sz w:val="22"/>
          <w:szCs w:val="22"/>
        </w:rPr>
        <w:t>n</w:t>
      </w:r>
      <w:r w:rsidR="00C35887" w:rsidRPr="0007190E">
        <w:rPr>
          <w:rFonts w:ascii="Palatino Linotype" w:eastAsia="Palatino Linotype" w:hAnsi="Palatino Linotype" w:cs="Palatino Linotype"/>
          <w:b/>
          <w:sz w:val="22"/>
          <w:szCs w:val="22"/>
        </w:rPr>
        <w:t>co de e</w:t>
      </w:r>
      <w:r w:rsidR="00913E54" w:rsidRPr="0007190E">
        <w:rPr>
          <w:rFonts w:ascii="Palatino Linotype" w:eastAsia="Palatino Linotype" w:hAnsi="Palatino Linotype" w:cs="Palatino Linotype"/>
          <w:b/>
          <w:sz w:val="22"/>
          <w:szCs w:val="22"/>
        </w:rPr>
        <w:t>n</w:t>
      </w:r>
      <w:r w:rsidR="00C35887" w:rsidRPr="0007190E">
        <w:rPr>
          <w:rFonts w:ascii="Palatino Linotype" w:eastAsia="Palatino Linotype" w:hAnsi="Palatino Linotype" w:cs="Palatino Linotype"/>
          <w:b/>
          <w:sz w:val="22"/>
          <w:szCs w:val="22"/>
        </w:rPr>
        <w:t>e</w:t>
      </w:r>
      <w:r w:rsidR="00913E54" w:rsidRPr="0007190E">
        <w:rPr>
          <w:rFonts w:ascii="Palatino Linotype" w:eastAsia="Palatino Linotype" w:hAnsi="Palatino Linotype" w:cs="Palatino Linotype"/>
          <w:b/>
          <w:sz w:val="22"/>
          <w:szCs w:val="22"/>
        </w:rPr>
        <w:t>ro</w:t>
      </w:r>
      <w:r w:rsidR="00C35887" w:rsidRPr="0007190E">
        <w:rPr>
          <w:rFonts w:ascii="Palatino Linotype" w:eastAsia="Palatino Linotype" w:hAnsi="Palatino Linotype" w:cs="Palatino Linotype"/>
          <w:b/>
          <w:sz w:val="22"/>
          <w:szCs w:val="22"/>
        </w:rPr>
        <w:t xml:space="preserve"> de dos mil </w:t>
      </w:r>
      <w:r w:rsidR="00993EB8" w:rsidRPr="0007190E">
        <w:rPr>
          <w:rFonts w:ascii="Palatino Linotype" w:eastAsia="Palatino Linotype" w:hAnsi="Palatino Linotype" w:cs="Palatino Linotype"/>
          <w:b/>
          <w:sz w:val="22"/>
          <w:szCs w:val="22"/>
        </w:rPr>
        <w:t>veintiséis</w:t>
      </w:r>
      <w:r w:rsidR="00C35887" w:rsidRPr="0007190E">
        <w:rPr>
          <w:rFonts w:ascii="Palatino Linotype" w:eastAsia="Palatino Linotype" w:hAnsi="Palatino Linotype" w:cs="Palatino Linotype"/>
          <w:b/>
          <w:sz w:val="22"/>
          <w:szCs w:val="22"/>
        </w:rPr>
        <w:t>,</w:t>
      </w:r>
      <w:r w:rsidRPr="0007190E">
        <w:rPr>
          <w:rFonts w:ascii="Palatino Linotype" w:eastAsia="Palatino Linotype" w:hAnsi="Palatino Linotype" w:cs="Palatino Linotype"/>
          <w:b/>
          <w:sz w:val="22"/>
          <w:szCs w:val="22"/>
        </w:rPr>
        <w:t xml:space="preserve"> </w:t>
      </w:r>
      <w:r w:rsidRPr="0007190E">
        <w:rPr>
          <w:rFonts w:ascii="Palatino Linotype" w:eastAsia="Palatino Linotype" w:hAnsi="Palatino Linotype" w:cs="Palatino Linotype"/>
          <w:sz w:val="22"/>
          <w:szCs w:val="22"/>
        </w:rPr>
        <w:t xml:space="preserve">el </w:t>
      </w:r>
      <w:r w:rsidRPr="0007190E">
        <w:rPr>
          <w:rFonts w:ascii="Palatino Linotype" w:eastAsia="Palatino Linotype" w:hAnsi="Palatino Linotype" w:cs="Palatino Linotype"/>
          <w:b/>
          <w:sz w:val="22"/>
          <w:szCs w:val="22"/>
        </w:rPr>
        <w:t xml:space="preserve">Sujeto Obligado </w:t>
      </w:r>
      <w:r w:rsidRPr="0007190E">
        <w:rPr>
          <w:rFonts w:ascii="Palatino Linotype" w:eastAsia="Palatino Linotype" w:hAnsi="Palatino Linotype" w:cs="Palatino Linotype"/>
          <w:sz w:val="22"/>
          <w:szCs w:val="22"/>
        </w:rPr>
        <w:t>remitió lo siguiente:</w:t>
      </w:r>
    </w:p>
    <w:p w14:paraId="48799A5C" w14:textId="77777777" w:rsidR="00D93204"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w:t>
      </w:r>
      <w:r w:rsidR="00BC2D77" w:rsidRPr="0007190E">
        <w:rPr>
          <w:rFonts w:ascii="Palatino Linotype" w:eastAsia="Palatino Linotype" w:hAnsi="Palatino Linotype" w:cs="Palatino Linotype"/>
          <w:sz w:val="22"/>
          <w:szCs w:val="22"/>
        </w:rPr>
        <w:t xml:space="preserve"> </w:t>
      </w:r>
      <w:r w:rsidR="00913E54" w:rsidRPr="0007190E">
        <w:rPr>
          <w:rFonts w:ascii="Palatino Linotype" w:eastAsia="Palatino Linotype" w:hAnsi="Palatino Linotype" w:cs="Palatino Linotype"/>
          <w:sz w:val="22"/>
          <w:szCs w:val="22"/>
        </w:rPr>
        <w:t xml:space="preserve">Oficio </w:t>
      </w:r>
      <w:r w:rsidR="00881AC5" w:rsidRPr="0007190E">
        <w:rPr>
          <w:rFonts w:ascii="Palatino Linotype" w:eastAsia="Palatino Linotype" w:hAnsi="Palatino Linotype" w:cs="Palatino Linotype"/>
          <w:sz w:val="22"/>
          <w:szCs w:val="22"/>
        </w:rPr>
        <w:t>número</w:t>
      </w:r>
      <w:r w:rsidR="00913E54" w:rsidRPr="0007190E">
        <w:rPr>
          <w:rFonts w:ascii="Palatino Linotype" w:eastAsia="Palatino Linotype" w:hAnsi="Palatino Linotype" w:cs="Palatino Linotype"/>
          <w:sz w:val="22"/>
          <w:szCs w:val="22"/>
        </w:rPr>
        <w:t xml:space="preserve"> JCM/319/2025, </w:t>
      </w:r>
      <w:r w:rsidR="00881AC5" w:rsidRPr="0007190E">
        <w:rPr>
          <w:rFonts w:ascii="Palatino Linotype" w:eastAsia="Palatino Linotype" w:hAnsi="Palatino Linotype" w:cs="Palatino Linotype"/>
          <w:sz w:val="22"/>
          <w:szCs w:val="22"/>
        </w:rPr>
        <w:t>e</w:t>
      </w:r>
      <w:r w:rsidRPr="0007190E">
        <w:rPr>
          <w:rFonts w:ascii="Palatino Linotype" w:eastAsia="Palatino Linotype" w:hAnsi="Palatino Linotype" w:cs="Palatino Linotype"/>
          <w:sz w:val="22"/>
          <w:szCs w:val="22"/>
        </w:rPr>
        <w:t xml:space="preserve">scrito mediante el cual </w:t>
      </w:r>
      <w:r w:rsidR="00E4525A" w:rsidRPr="0007190E">
        <w:rPr>
          <w:rFonts w:ascii="Palatino Linotype" w:eastAsia="Palatino Linotype" w:hAnsi="Palatino Linotype" w:cs="Palatino Linotype"/>
          <w:sz w:val="22"/>
          <w:szCs w:val="22"/>
        </w:rPr>
        <w:t>la Jefatura de Catastro Municipal,</w:t>
      </w:r>
      <w:r w:rsidR="00D93204" w:rsidRPr="0007190E">
        <w:rPr>
          <w:rFonts w:ascii="Palatino Linotype" w:eastAsia="Palatino Linotype" w:hAnsi="Palatino Linotype" w:cs="Palatino Linotype"/>
          <w:sz w:val="22"/>
          <w:szCs w:val="22"/>
        </w:rPr>
        <w:t xml:space="preserve"> hace del conocimiento lo siguiente:</w:t>
      </w:r>
    </w:p>
    <w:p w14:paraId="7EAE5AA3" w14:textId="2A855F55" w:rsidR="000710B6" w:rsidRPr="0007190E" w:rsidRDefault="00D93204"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1. con fundamento en lo establecido en los artículos 1 y 140 fracción V, inciso 2, 140. Inciso 2, 143 fracción I y 147 de la Ley de Transparencia y Acceso a la Información Publica del Estado de México y Municipios; informo que esta Jefatura de catastro Municipal, se apega a la normatividad aplicable que Tutela la Protección de Datos Personales.</w:t>
      </w:r>
      <w:r w:rsidR="00E4525A" w:rsidRPr="0007190E">
        <w:rPr>
          <w:rFonts w:ascii="Palatino Linotype" w:eastAsia="Palatino Linotype" w:hAnsi="Palatino Linotype" w:cs="Palatino Linotype"/>
          <w:sz w:val="22"/>
          <w:szCs w:val="22"/>
        </w:rPr>
        <w:t xml:space="preserve">  </w:t>
      </w:r>
    </w:p>
    <w:p w14:paraId="2D804C5B" w14:textId="2F258AFB" w:rsidR="00D93204" w:rsidRPr="0007190E" w:rsidRDefault="005E4425"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2. P</w:t>
      </w:r>
      <w:r w:rsidR="00D93204" w:rsidRPr="0007190E">
        <w:rPr>
          <w:rFonts w:ascii="Palatino Linotype" w:eastAsia="Palatino Linotype" w:hAnsi="Palatino Linotype" w:cs="Palatino Linotype"/>
          <w:sz w:val="22"/>
          <w:szCs w:val="22"/>
        </w:rPr>
        <w:t xml:space="preserve">ara efectos de </w:t>
      </w:r>
      <w:r w:rsidRPr="0007190E">
        <w:rPr>
          <w:rFonts w:ascii="Palatino Linotype" w:eastAsia="Palatino Linotype" w:hAnsi="Palatino Linotype" w:cs="Palatino Linotype"/>
          <w:sz w:val="22"/>
          <w:szCs w:val="22"/>
        </w:rPr>
        <w:t>realizará</w:t>
      </w:r>
      <w:r w:rsidR="00D93204" w:rsidRPr="0007190E">
        <w:rPr>
          <w:rFonts w:ascii="Palatino Linotype" w:eastAsia="Palatino Linotype" w:hAnsi="Palatino Linotype" w:cs="Palatino Linotype"/>
          <w:sz w:val="22"/>
          <w:szCs w:val="22"/>
        </w:rPr>
        <w:t xml:space="preserve"> algún trámite o servicio catastral, deberá cumplir con todos y cada uno de los requisitos exigidos por la normatividad aplicable, tal y como lo establece el artículo 171 fracción XIII. Del Código Financiero del Estado de México y Municipios, que como breviario cultural a la letra se transcribe:</w:t>
      </w:r>
    </w:p>
    <w:p w14:paraId="70D15A62" w14:textId="61123983" w:rsidR="00D93204" w:rsidRPr="0007190E" w:rsidRDefault="00D93204" w:rsidP="00805CB6">
      <w:pPr>
        <w:spacing w:before="240" w:after="240" w:line="360" w:lineRule="auto"/>
        <w:ind w:left="144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Articulo 171.- Los Ayuntamientos, además de las atribuciones que este código y otros ordenamientos les confieran en materia catastral</w:t>
      </w:r>
      <w:r w:rsidR="005E4425" w:rsidRPr="0007190E">
        <w:rPr>
          <w:rFonts w:ascii="Palatino Linotype" w:eastAsia="Palatino Linotype" w:hAnsi="Palatino Linotype" w:cs="Palatino Linotype"/>
          <w:i/>
          <w:sz w:val="22"/>
          <w:szCs w:val="22"/>
        </w:rPr>
        <w:t xml:space="preserve"> tendrán las facultades y obligaciones siguientes:</w:t>
      </w:r>
      <w:r w:rsidRPr="0007190E">
        <w:rPr>
          <w:rFonts w:ascii="Palatino Linotype" w:eastAsia="Palatino Linotype" w:hAnsi="Palatino Linotype" w:cs="Palatino Linotype"/>
          <w:i/>
          <w:sz w:val="22"/>
          <w:szCs w:val="22"/>
        </w:rPr>
        <w:t xml:space="preserve"> </w:t>
      </w:r>
    </w:p>
    <w:p w14:paraId="13354350" w14:textId="49BC1B77" w:rsidR="005E4425" w:rsidRPr="0007190E" w:rsidRDefault="005E4425" w:rsidP="00805CB6">
      <w:pPr>
        <w:spacing w:before="240" w:after="240" w:line="360" w:lineRule="auto"/>
        <w:ind w:left="144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XIII. Cumplir con la normatividad y los procedimientos técnicos y administrativos establecidos en el LIGECEM, este Título, su reglamento, el Manual Catastral y demás disposiciones aplicables en la materia.</w:t>
      </w:r>
    </w:p>
    <w:p w14:paraId="0097D18D" w14:textId="2EC4FD35" w:rsidR="000B38A7" w:rsidRPr="0007190E" w:rsidRDefault="005E4425"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3. Esta autoridad administrativa </w:t>
      </w:r>
      <w:r w:rsidR="00805CB6" w:rsidRPr="0007190E">
        <w:rPr>
          <w:rFonts w:ascii="Palatino Linotype" w:eastAsia="Palatino Linotype" w:hAnsi="Palatino Linotype" w:cs="Palatino Linotype"/>
          <w:sz w:val="22"/>
          <w:szCs w:val="22"/>
        </w:rPr>
        <w:t>está</w:t>
      </w:r>
      <w:r w:rsidRPr="0007190E">
        <w:rPr>
          <w:rFonts w:ascii="Palatino Linotype" w:eastAsia="Palatino Linotype" w:hAnsi="Palatino Linotype" w:cs="Palatino Linotype"/>
          <w:sz w:val="22"/>
          <w:szCs w:val="22"/>
        </w:rPr>
        <w:t xml:space="preserve"> impedida a proporcionar información de predios y claves catastrales a aquellos que no acrediten su interés jurídico y legitimo sobre los bienes de los que pretenden obtener datos, es por ello que me permito invocarlo que establece el artículo 6 apartado A, Inciso II de la Constitución Política de los Estados Unidos Mexicanos y el artículos 140 de la Ley de </w:t>
      </w:r>
      <w:r w:rsidR="00805CB6" w:rsidRPr="0007190E">
        <w:rPr>
          <w:rFonts w:ascii="Palatino Linotype" w:eastAsia="Palatino Linotype" w:hAnsi="Palatino Linotype" w:cs="Palatino Linotype"/>
          <w:sz w:val="22"/>
          <w:szCs w:val="22"/>
        </w:rPr>
        <w:t>Transparencia</w:t>
      </w:r>
      <w:r w:rsidR="000B38A7" w:rsidRPr="0007190E">
        <w:rPr>
          <w:rFonts w:ascii="Palatino Linotype" w:eastAsia="Palatino Linotype" w:hAnsi="Palatino Linotype" w:cs="Palatino Linotype"/>
          <w:sz w:val="22"/>
          <w:szCs w:val="22"/>
        </w:rPr>
        <w:t xml:space="preserve"> y Acceso a la Información Pública del Estado de México y Municipios y respectivamente.</w:t>
      </w:r>
    </w:p>
    <w:p w14:paraId="7A9CA5AE" w14:textId="659152CA" w:rsidR="000B38A7" w:rsidRPr="0007190E" w:rsidRDefault="000B38A7"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4. Toda transmisión de información confidencial o clasificada debe estar debidamente sustentada y solamente procederá en los casos que la ley de la materia establece el artículo </w:t>
      </w:r>
      <w:r w:rsidR="00805CB6" w:rsidRPr="0007190E">
        <w:rPr>
          <w:rFonts w:ascii="Palatino Linotype" w:eastAsia="Palatino Linotype" w:hAnsi="Palatino Linotype" w:cs="Palatino Linotype"/>
          <w:sz w:val="22"/>
          <w:szCs w:val="22"/>
        </w:rPr>
        <w:t>66, fracción III, de la Ley de Protección de Datos Personales en Posesión de Sujetos Obligados del Estado de México y Municipios.</w:t>
      </w:r>
    </w:p>
    <w:p w14:paraId="13220506" w14:textId="583D332D" w:rsidR="00805CB6" w:rsidRPr="0007190E" w:rsidRDefault="00805CB6"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5. Por lo que respecta a su solicitud de información y a efecto de que este enterado de los lineamientos que tutelan la Protección de Datos Personales y a la responsabilidad de los sujetos obligados, para el caso de proporcionar información, </w:t>
      </w:r>
      <w:r w:rsidRPr="0007190E">
        <w:rPr>
          <w:rFonts w:ascii="Palatino Linotype" w:eastAsia="Palatino Linotype" w:hAnsi="Palatino Linotype" w:cs="Palatino Linotype"/>
          <w:sz w:val="22"/>
          <w:szCs w:val="22"/>
        </w:rPr>
        <w:lastRenderedPageBreak/>
        <w:t>de acuerdo al artículo</w:t>
      </w:r>
      <w:r w:rsidR="00773A9E" w:rsidRPr="0007190E">
        <w:rPr>
          <w:rFonts w:ascii="Palatino Linotype" w:eastAsia="Palatino Linotype" w:hAnsi="Palatino Linotype" w:cs="Palatino Linotype"/>
          <w:sz w:val="22"/>
          <w:szCs w:val="22"/>
        </w:rPr>
        <w:t xml:space="preserve"> 86 y 143, fracción I de la Ley de Transparencia y Acceso a la Información Pública del Estado de México y Municipios.</w:t>
      </w:r>
    </w:p>
    <w:p w14:paraId="3EE12CF9" w14:textId="3204C07F"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6. Derivado de lo anterior informo a Usted que, “El Padrón Fiscal y el Padrón Catastral están clasificados como información confidencial, por contener datos personales”.</w:t>
      </w:r>
    </w:p>
    <w:p w14:paraId="7B5987BF" w14:textId="12251A49"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No omito hacerle saber que habiendo motivado y fundado lo anteriormente expuesto, es pertinente invocar la tesis siguiente como se ilustra:</w:t>
      </w:r>
    </w:p>
    <w:p w14:paraId="2B78BB35" w14:textId="346E18B2" w:rsidR="00BC75D7" w:rsidRPr="0007190E" w:rsidRDefault="00BC75D7"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noProof/>
          <w:sz w:val="22"/>
          <w:szCs w:val="22"/>
        </w:rPr>
        <w:drawing>
          <wp:anchor distT="0" distB="0" distL="114300" distR="114300" simplePos="0" relativeHeight="251663360" behindDoc="0" locked="0" layoutInCell="1" allowOverlap="1" wp14:anchorId="7EB624A6" wp14:editId="2CA8F927">
            <wp:simplePos x="0" y="0"/>
            <wp:positionH relativeFrom="column">
              <wp:posOffset>0</wp:posOffset>
            </wp:positionH>
            <wp:positionV relativeFrom="paragraph">
              <wp:posOffset>0</wp:posOffset>
            </wp:positionV>
            <wp:extent cx="4390592" cy="480838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5952" cy="4814258"/>
                    </a:xfrm>
                    <a:prstGeom prst="rect">
                      <a:avLst/>
                    </a:prstGeom>
                  </pic:spPr>
                </pic:pic>
              </a:graphicData>
            </a:graphic>
            <wp14:sizeRelH relativeFrom="margin">
              <wp14:pctWidth>0</wp14:pctWidth>
            </wp14:sizeRelH>
            <wp14:sizeRelV relativeFrom="margin">
              <wp14:pctHeight>0</wp14:pctHeight>
            </wp14:sizeRelV>
          </wp:anchor>
        </w:drawing>
      </w:r>
    </w:p>
    <w:p w14:paraId="3CF36A88" w14:textId="364A7492"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7C27EFEE" w14:textId="4C87C559"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29B6DD40" w14:textId="77777777"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6752BB36" w14:textId="77777777"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6BE4F416" w14:textId="77777777"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4974D84B" w14:textId="77777777"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229A8918" w14:textId="77777777"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1D8A1B03" w14:textId="77777777"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563B0BE5" w14:textId="77777777"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324426CF" w14:textId="77777777"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p>
    <w:p w14:paraId="091ED531" w14:textId="2BC7714E" w:rsidR="00773A9E" w:rsidRPr="0007190E" w:rsidRDefault="00773A9E" w:rsidP="00805CB6">
      <w:pPr>
        <w:spacing w:before="240" w:after="240"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Por lo antes expuesto y fundado, informo a usted;</w:t>
      </w:r>
    </w:p>
    <w:p w14:paraId="1D528BA3" w14:textId="1CB80AFC" w:rsidR="00773A9E" w:rsidRPr="0007190E" w:rsidRDefault="00773A9E" w:rsidP="00805CB6">
      <w:pPr>
        <w:spacing w:before="240" w:after="240" w:line="360" w:lineRule="auto"/>
        <w:ind w:left="720"/>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sz w:val="22"/>
          <w:szCs w:val="22"/>
        </w:rPr>
        <w:lastRenderedPageBreak/>
        <w:t xml:space="preserve">ÚNICO.- Con la argumentación vertida en el cuerpo del presente documento, debidamente fundada y motivada; </w:t>
      </w:r>
      <w:r w:rsidRPr="0007190E">
        <w:rPr>
          <w:rFonts w:ascii="Palatino Linotype" w:eastAsia="Palatino Linotype" w:hAnsi="Palatino Linotype" w:cs="Palatino Linotype"/>
          <w:b/>
          <w:sz w:val="22"/>
          <w:szCs w:val="22"/>
        </w:rPr>
        <w:t>no es posible proporcionar la información requerida, al amparo de contener esta, datos personales y considerables sensibles por la Legislación de la materia y estar bajo la Tutela de la normatividad</w:t>
      </w:r>
      <w:r w:rsidR="003B2A35" w:rsidRPr="0007190E">
        <w:rPr>
          <w:rFonts w:ascii="Palatino Linotype" w:eastAsia="Palatino Linotype" w:hAnsi="Palatino Linotype" w:cs="Palatino Linotype"/>
          <w:b/>
          <w:sz w:val="22"/>
          <w:szCs w:val="22"/>
        </w:rPr>
        <w:t xml:space="preserve"> que protege la información y transmisión de Datos Personales.</w:t>
      </w:r>
    </w:p>
    <w:p w14:paraId="696B28F4" w14:textId="409ABFE7" w:rsidR="00BC75D7" w:rsidRPr="0007190E" w:rsidRDefault="00BC75D7" w:rsidP="00805CB6">
      <w:pPr>
        <w:spacing w:before="240" w:after="240" w:line="360" w:lineRule="auto"/>
        <w:ind w:left="720"/>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sz w:val="22"/>
          <w:szCs w:val="22"/>
        </w:rPr>
        <w:t>Dicha información fue puesta a la vista del particular a efecto de que emitiera sus manifestaciones, sin embargo este fue omiso en ejercer dicha prerrogativa.</w:t>
      </w:r>
      <w:r w:rsidRPr="0007190E">
        <w:rPr>
          <w:rFonts w:ascii="Palatino Linotype" w:eastAsia="Palatino Linotype" w:hAnsi="Palatino Linotype" w:cs="Palatino Linotype"/>
          <w:b/>
          <w:sz w:val="22"/>
          <w:szCs w:val="22"/>
        </w:rPr>
        <w:t xml:space="preserve"> </w:t>
      </w:r>
    </w:p>
    <w:p w14:paraId="4F3A0857" w14:textId="4DA02173" w:rsidR="009A3291" w:rsidRPr="0007190E" w:rsidRDefault="009A3291" w:rsidP="009A3291">
      <w:pPr>
        <w:spacing w:before="240" w:after="240" w:line="360" w:lineRule="auto"/>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7. Ampliación del término para resolver</w:t>
      </w:r>
      <w:r w:rsidRPr="0007190E">
        <w:rPr>
          <w:rFonts w:ascii="Palatino Linotype" w:eastAsia="Palatino Linotype" w:hAnsi="Palatino Linotype" w:cs="Palatino Linotype"/>
          <w:sz w:val="22"/>
          <w:szCs w:val="22"/>
        </w:rPr>
        <w:t xml:space="preserve">. El </w:t>
      </w:r>
      <w:r w:rsidR="004063CC" w:rsidRPr="0007190E">
        <w:rPr>
          <w:rFonts w:ascii="Palatino Linotype" w:eastAsia="Palatino Linotype" w:hAnsi="Palatino Linotype" w:cs="Palatino Linotype"/>
          <w:b/>
          <w:sz w:val="22"/>
          <w:szCs w:val="22"/>
        </w:rPr>
        <w:t>veinticuatro</w:t>
      </w:r>
      <w:r w:rsidRPr="0007190E">
        <w:rPr>
          <w:rFonts w:ascii="Palatino Linotype" w:eastAsia="Palatino Linotype" w:hAnsi="Palatino Linotype" w:cs="Palatino Linotype"/>
          <w:b/>
          <w:sz w:val="22"/>
          <w:szCs w:val="22"/>
        </w:rPr>
        <w:t xml:space="preserve"> de febrero de dos mil veintiséis</w:t>
      </w:r>
      <w:r w:rsidRPr="0007190E">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569CDB7F" w14:textId="6FF76A3E" w:rsidR="000710B6" w:rsidRPr="0007190E" w:rsidRDefault="009A3291">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 xml:space="preserve">8. </w:t>
      </w:r>
      <w:r w:rsidR="0029535C" w:rsidRPr="0007190E">
        <w:rPr>
          <w:rFonts w:ascii="Palatino Linotype" w:eastAsia="Palatino Linotype" w:hAnsi="Palatino Linotype" w:cs="Palatino Linotype"/>
          <w:b/>
          <w:sz w:val="22"/>
          <w:szCs w:val="22"/>
        </w:rPr>
        <w:t xml:space="preserve">Cierre de instrucción. </w:t>
      </w:r>
      <w:r w:rsidR="0029535C" w:rsidRPr="0007190E">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BC75D7" w:rsidRPr="0007190E">
        <w:rPr>
          <w:rFonts w:ascii="Palatino Linotype" w:eastAsia="Palatino Linotype" w:hAnsi="Palatino Linotype" w:cs="Palatino Linotype"/>
          <w:b/>
          <w:sz w:val="22"/>
          <w:szCs w:val="22"/>
        </w:rPr>
        <w:t>tres de marzo</w:t>
      </w:r>
      <w:r w:rsidR="00A25DE6" w:rsidRPr="0007190E">
        <w:rPr>
          <w:rFonts w:ascii="Palatino Linotype" w:eastAsia="Palatino Linotype" w:hAnsi="Palatino Linotype" w:cs="Palatino Linotype"/>
          <w:b/>
          <w:sz w:val="22"/>
          <w:szCs w:val="22"/>
        </w:rPr>
        <w:t xml:space="preserve"> de dos mil </w:t>
      </w:r>
      <w:r w:rsidR="003B2A35" w:rsidRPr="0007190E">
        <w:rPr>
          <w:rFonts w:ascii="Palatino Linotype" w:eastAsia="Palatino Linotype" w:hAnsi="Palatino Linotype" w:cs="Palatino Linotype"/>
          <w:b/>
          <w:sz w:val="22"/>
          <w:szCs w:val="22"/>
        </w:rPr>
        <w:t>veintiséis</w:t>
      </w:r>
      <w:r w:rsidR="0029535C" w:rsidRPr="0007190E">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7FD897A" w14:textId="3F543FA1"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8</w:t>
      </w:r>
      <w:r w:rsidRPr="0007190E">
        <w:rPr>
          <w:rFonts w:ascii="Palatino Linotype" w:eastAsia="Palatino Linotype" w:hAnsi="Palatino Linotype" w:cs="Palatino Linotype"/>
          <w:sz w:val="22"/>
          <w:szCs w:val="22"/>
        </w:rPr>
        <w:t>.</w:t>
      </w:r>
      <w:r w:rsidR="00F36A7F" w:rsidRPr="0007190E">
        <w:rPr>
          <w:rFonts w:ascii="Palatino Linotype" w:eastAsia="Palatino Linotype" w:hAnsi="Palatino Linotype" w:cs="Palatino Linotype"/>
          <w:sz w:val="22"/>
          <w:szCs w:val="22"/>
        </w:rPr>
        <w:t xml:space="preserve"> </w:t>
      </w:r>
      <w:r w:rsidRPr="0007190E">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348FEEF4" w14:textId="77777777" w:rsidR="000710B6" w:rsidRPr="0007190E" w:rsidRDefault="0029535C">
      <w:pPr>
        <w:widowControl w:val="0"/>
        <w:spacing w:before="240" w:after="240" w:line="360" w:lineRule="auto"/>
        <w:jc w:val="center"/>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II. C O N S I D E R A N D O S</w:t>
      </w:r>
    </w:p>
    <w:p w14:paraId="10CED41F" w14:textId="1EDBF45E"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Primero. Competencia.</w:t>
      </w:r>
      <w:r w:rsidRPr="0007190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w:t>
      </w:r>
      <w:r w:rsidRPr="0007190E">
        <w:rPr>
          <w:rFonts w:ascii="Palatino Linotype" w:eastAsia="Palatino Linotype" w:hAnsi="Palatino Linotype" w:cs="Palatino Linotype"/>
          <w:sz w:val="22"/>
          <w:szCs w:val="22"/>
        </w:rPr>
        <w:lastRenderedPageBreak/>
        <w:t>Estados Unidos Mexicanos; 5</w:t>
      </w:r>
      <w:r w:rsidR="00F36A7F" w:rsidRPr="0007190E">
        <w:rPr>
          <w:rFonts w:ascii="Palatino Linotype" w:eastAsia="Palatino Linotype" w:hAnsi="Palatino Linotype" w:cs="Palatino Linotype"/>
          <w:sz w:val="22"/>
          <w:szCs w:val="22"/>
        </w:rPr>
        <w:t xml:space="preserve"> párrafos</w:t>
      </w:r>
      <w:r w:rsidRPr="0007190E">
        <w:rPr>
          <w:rFonts w:ascii="Palatino Linotype" w:eastAsia="Palatino Linotype" w:hAnsi="Palatino Linotype" w:cs="Palatino Linotype"/>
          <w:sz w:val="22"/>
          <w:szCs w:val="22"/>
        </w:rPr>
        <w:t xml:space="preserve"> </w:t>
      </w:r>
      <w:r w:rsidR="00F36A7F" w:rsidRPr="0007190E">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del Decreto número 198 de la “LXII” Legislatura del Estado de México</w:t>
      </w:r>
      <w:r w:rsidRPr="0007190E">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608940C2" w14:textId="6A1D4781" w:rsidR="005D24D3" w:rsidRPr="0007190E" w:rsidRDefault="0029535C" w:rsidP="005D24D3">
      <w:pPr>
        <w:spacing w:line="360" w:lineRule="auto"/>
        <w:jc w:val="both"/>
        <w:rPr>
          <w:rFonts w:ascii="Palatino Linotype" w:eastAsia="Palatino Linotype" w:hAnsi="Palatino Linotype" w:cs="Palatino Linotype"/>
          <w:sz w:val="22"/>
          <w:szCs w:val="22"/>
        </w:rPr>
      </w:pPr>
      <w:bookmarkStart w:id="5" w:name="_heading=h.tyjcwt" w:colFirst="0" w:colLast="0"/>
      <w:bookmarkEnd w:id="5"/>
      <w:r w:rsidRPr="0007190E">
        <w:rPr>
          <w:rFonts w:ascii="Palatino Linotype" w:eastAsia="Palatino Linotype" w:hAnsi="Palatino Linotype" w:cs="Palatino Linotype"/>
          <w:b/>
          <w:sz w:val="22"/>
          <w:szCs w:val="22"/>
        </w:rPr>
        <w:t>Segundo. Oportunidad y Procedibilidad del Recurso de Revisión</w:t>
      </w:r>
      <w:r w:rsidRPr="0007190E">
        <w:rPr>
          <w:rFonts w:ascii="Palatino Linotype" w:eastAsia="Palatino Linotype" w:hAnsi="Palatino Linotype" w:cs="Palatino Linotype"/>
          <w:sz w:val="22"/>
          <w:szCs w:val="22"/>
        </w:rPr>
        <w:t xml:space="preserve">. </w:t>
      </w:r>
      <w:bookmarkStart w:id="6" w:name="_heading=h.3znysh7" w:colFirst="0" w:colLast="0"/>
      <w:bookmarkEnd w:id="6"/>
      <w:r w:rsidR="005D24D3" w:rsidRPr="0007190E">
        <w:rPr>
          <w:rFonts w:ascii="Palatino Linotype" w:eastAsia="Palatino Linotype" w:hAnsi="Palatino Linotype" w:cs="Palatino Linotype"/>
          <w:sz w:val="22"/>
          <w:szCs w:val="22"/>
        </w:rPr>
        <w:t>Por cuanto hace a la oportunidad del recurso de revisión</w:t>
      </w:r>
      <w:r w:rsidR="005D24D3" w:rsidRPr="0007190E">
        <w:rPr>
          <w:rFonts w:ascii="Palatino Linotype" w:eastAsia="Palatino Linotype" w:hAnsi="Palatino Linotype" w:cs="Palatino Linotype"/>
          <w:b/>
          <w:sz w:val="22"/>
          <w:szCs w:val="22"/>
        </w:rPr>
        <w:t xml:space="preserve"> </w:t>
      </w:r>
      <w:r w:rsidR="005D24D3" w:rsidRPr="0007190E">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0C8636E2"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p>
    <w:p w14:paraId="13F43EDE"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Derivado de lo anterior, se constituye la figura jurídica de la </w:t>
      </w:r>
      <w:r w:rsidRPr="0007190E">
        <w:rPr>
          <w:rFonts w:ascii="Palatino Linotype" w:eastAsia="Palatino Linotype" w:hAnsi="Palatino Linotype" w:cs="Palatino Linotype"/>
          <w:b/>
          <w:sz w:val="22"/>
          <w:szCs w:val="22"/>
        </w:rPr>
        <w:t>NEGATIVA FICTA</w:t>
      </w:r>
      <w:r w:rsidRPr="0007190E">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3BC4B745"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p>
    <w:p w14:paraId="11E69C03"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 tal manera, en el presente recurso de revisión se actualizó la negativa ficta por parte del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al no haber respondido a la parte </w:t>
      </w:r>
      <w:r w:rsidRPr="0007190E">
        <w:rPr>
          <w:rFonts w:ascii="Palatino Linotype" w:eastAsia="Palatino Linotype" w:hAnsi="Palatino Linotype" w:cs="Palatino Linotype"/>
          <w:b/>
          <w:sz w:val="22"/>
          <w:szCs w:val="22"/>
        </w:rPr>
        <w:t>RECURRENTE</w:t>
      </w:r>
      <w:r w:rsidRPr="0007190E">
        <w:rPr>
          <w:rFonts w:ascii="Palatino Linotype" w:eastAsia="Palatino Linotype" w:hAnsi="Palatino Linotype" w:cs="Palatino Linotype"/>
          <w:sz w:val="22"/>
          <w:szCs w:val="22"/>
        </w:rPr>
        <w:t xml:space="preserve"> en tiempo y forma en el plazo legal previsto para ello, en este sentido la falta de respuesta implica </w:t>
      </w:r>
      <w:r w:rsidRPr="0007190E">
        <w:rPr>
          <w:rFonts w:ascii="Palatino Linotype" w:eastAsia="Palatino Linotype" w:hAnsi="Palatino Linotype" w:cs="Palatino Linotype"/>
          <w:sz w:val="22"/>
          <w:szCs w:val="22"/>
        </w:rPr>
        <w:lastRenderedPageBreak/>
        <w:t>necesariamente que de modo fáctico se ha negado la información por razones desconocidas, pero que el hecho simple de no responder apareja una forma por omisión de negar el acceso a la información.</w:t>
      </w:r>
    </w:p>
    <w:p w14:paraId="56FBE30C"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p>
    <w:p w14:paraId="184239E6"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Si a ello se le suma lo previsto en el párrafo segundo del artículo 178, párrafo segundo</w:t>
      </w:r>
      <w:r w:rsidRPr="0007190E">
        <w:rPr>
          <w:rFonts w:ascii="Palatino Linotype" w:eastAsia="Palatino Linotype" w:hAnsi="Palatino Linotype" w:cs="Palatino Linotype"/>
          <w:sz w:val="22"/>
          <w:szCs w:val="22"/>
          <w:vertAlign w:val="superscript"/>
        </w:rPr>
        <w:footnoteReference w:id="1"/>
      </w:r>
      <w:r w:rsidRPr="0007190E">
        <w:rPr>
          <w:rFonts w:ascii="Palatino Linotype" w:eastAsia="Palatino Linotype" w:hAnsi="Palatino Linotype" w:cs="Palatino Linotype"/>
          <w:sz w:val="22"/>
          <w:szCs w:val="22"/>
        </w:rPr>
        <w:t xml:space="preserve"> de la Ley de Transparencia y Acceso a la Información Pública vigente en la entidad.</w:t>
      </w:r>
    </w:p>
    <w:p w14:paraId="3FB3EDAB"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p>
    <w:p w14:paraId="74B18D0A"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5A7CA341" w14:textId="77777777" w:rsidR="005D24D3" w:rsidRPr="0007190E" w:rsidRDefault="005D24D3" w:rsidP="005D24D3">
      <w:pPr>
        <w:spacing w:line="360" w:lineRule="auto"/>
        <w:jc w:val="both"/>
        <w:rPr>
          <w:rFonts w:ascii="Palatino Linotype" w:hAnsi="Palatino Linotype"/>
          <w:i/>
          <w:sz w:val="22"/>
          <w:szCs w:val="22"/>
        </w:rPr>
      </w:pPr>
    </w:p>
    <w:p w14:paraId="04B79548" w14:textId="38D01757" w:rsidR="005D24D3" w:rsidRPr="0007190E" w:rsidRDefault="005D24D3" w:rsidP="005D24D3">
      <w:pPr>
        <w:spacing w:line="360" w:lineRule="auto"/>
        <w:ind w:left="72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i/>
          <w:sz w:val="22"/>
          <w:szCs w:val="22"/>
        </w:rPr>
        <w:t>CRITERIO 0001-15 NEGATIVA FICTA. PLAZO PARA INTERPONER EL RECURSO DE REVISIÓN TRATÁNDOSE DE</w:t>
      </w:r>
      <w:r w:rsidRPr="0007190E">
        <w:rPr>
          <w:rFonts w:ascii="Palatino Linotype" w:eastAsia="Palatino Linotype" w:hAnsi="Palatino Linotype" w:cs="Palatino Linotype"/>
          <w:i/>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w:t>
      </w:r>
      <w:r w:rsidRPr="0007190E">
        <w:rPr>
          <w:rFonts w:ascii="Palatino Linotype" w:eastAsia="Palatino Linotype" w:hAnsi="Palatino Linotype" w:cs="Palatino Linotype"/>
          <w:i/>
          <w:sz w:val="22"/>
          <w:szCs w:val="22"/>
        </w:rPr>
        <w:lastRenderedPageBreak/>
        <w:t>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25C9B8A2" w14:textId="77777777" w:rsidR="00282D88" w:rsidRPr="0007190E" w:rsidRDefault="00282D88" w:rsidP="005D24D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761849F" w14:textId="77777777" w:rsidR="005D24D3" w:rsidRPr="0007190E" w:rsidRDefault="005D24D3" w:rsidP="005D24D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07190E">
        <w:rPr>
          <w:rFonts w:ascii="Palatino Linotype" w:eastAsia="Palatino Linotype" w:hAnsi="Palatino Linotype" w:cs="Palatino Linotype"/>
          <w:b/>
          <w:sz w:val="22"/>
          <w:szCs w:val="22"/>
        </w:rPr>
        <w:t>EL</w:t>
      </w:r>
      <w:r w:rsidRPr="0007190E">
        <w:rPr>
          <w:rFonts w:ascii="Palatino Linotype" w:eastAsia="Palatino Linotype" w:hAnsi="Palatino Linotype" w:cs="Palatino Linotype"/>
          <w:sz w:val="22"/>
          <w:szCs w:val="22"/>
        </w:rPr>
        <w:t xml:space="preserve"> </w:t>
      </w:r>
      <w:r w:rsidRPr="0007190E">
        <w:rPr>
          <w:rFonts w:ascii="Palatino Linotype" w:eastAsia="Palatino Linotype" w:hAnsi="Palatino Linotype" w:cs="Palatino Linotype"/>
          <w:b/>
          <w:sz w:val="22"/>
          <w:szCs w:val="22"/>
        </w:rPr>
        <w:t>SAIMEX</w:t>
      </w:r>
      <w:r w:rsidRPr="0007190E">
        <w:rPr>
          <w:rFonts w:ascii="Palatino Linotype" w:eastAsia="Palatino Linotype" w:hAnsi="Palatino Linotype" w:cs="Palatino Linotype"/>
          <w:sz w:val="22"/>
          <w:szCs w:val="22"/>
        </w:rPr>
        <w:t>.</w:t>
      </w:r>
    </w:p>
    <w:p w14:paraId="2329A832" w14:textId="77777777" w:rsidR="005D24D3" w:rsidRPr="0007190E" w:rsidRDefault="005D24D3" w:rsidP="005D24D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1026573D"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07190E">
        <w:rPr>
          <w:rFonts w:ascii="Palatino Linotype" w:eastAsia="Palatino Linotype" w:hAnsi="Palatino Linotype" w:cs="Palatino Linotype"/>
          <w:b/>
          <w:sz w:val="22"/>
          <w:szCs w:val="22"/>
        </w:rPr>
        <w:t>RECURRENTE</w:t>
      </w:r>
      <w:r w:rsidRPr="0007190E">
        <w:rPr>
          <w:rFonts w:ascii="Palatino Linotype" w:eastAsia="Palatino Linotype" w:hAnsi="Palatino Linotype" w:cs="Palatino Linotype"/>
          <w:sz w:val="22"/>
          <w:szCs w:val="22"/>
        </w:rPr>
        <w:t>, en términos del artículo 179, fracción VII del ordenamiento legal de la materia, que a la letra dice:</w:t>
      </w:r>
    </w:p>
    <w:p w14:paraId="29ED872B" w14:textId="77777777" w:rsidR="005D24D3" w:rsidRPr="0007190E" w:rsidRDefault="005D24D3" w:rsidP="005D24D3">
      <w:pPr>
        <w:spacing w:line="360" w:lineRule="auto"/>
        <w:jc w:val="both"/>
        <w:rPr>
          <w:rFonts w:ascii="Palatino Linotype" w:eastAsia="Palatino Linotype" w:hAnsi="Palatino Linotype" w:cs="Palatino Linotype"/>
          <w:sz w:val="22"/>
          <w:szCs w:val="22"/>
        </w:rPr>
      </w:pPr>
    </w:p>
    <w:p w14:paraId="18674574" w14:textId="77777777" w:rsidR="005D24D3" w:rsidRPr="0007190E" w:rsidRDefault="005D24D3" w:rsidP="005D24D3">
      <w:pPr>
        <w:ind w:left="567" w:right="616"/>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sz w:val="22"/>
          <w:szCs w:val="22"/>
        </w:rPr>
        <w:t>Artículo 179.</w:t>
      </w:r>
      <w:r w:rsidRPr="0007190E">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07190E">
        <w:rPr>
          <w:rFonts w:ascii="Palatino Linotype" w:eastAsia="Palatino Linotype" w:hAnsi="Palatino Linotype" w:cs="Palatino Linotype"/>
          <w:sz w:val="22"/>
          <w:szCs w:val="22"/>
        </w:rPr>
        <w:t> </w:t>
      </w:r>
    </w:p>
    <w:p w14:paraId="4CE03BE5" w14:textId="77777777" w:rsidR="005D24D3" w:rsidRPr="0007190E" w:rsidRDefault="005D24D3" w:rsidP="005D24D3">
      <w:pPr>
        <w:ind w:left="567" w:right="616"/>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w:t>
      </w:r>
    </w:p>
    <w:p w14:paraId="5166A857" w14:textId="77777777" w:rsidR="005D24D3" w:rsidRPr="0007190E" w:rsidRDefault="005D24D3" w:rsidP="005D24D3">
      <w:pPr>
        <w:numPr>
          <w:ilvl w:val="0"/>
          <w:numId w:val="3"/>
        </w:numPr>
        <w:ind w:left="567" w:right="616" w:firstLine="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La falta de respuesta a una solicitud de acceso a la información…</w:t>
      </w:r>
    </w:p>
    <w:p w14:paraId="2584814F" w14:textId="77777777" w:rsidR="005D24D3" w:rsidRPr="0007190E" w:rsidRDefault="005D24D3" w:rsidP="005D24D3">
      <w:pPr>
        <w:tabs>
          <w:tab w:val="left" w:pos="7938"/>
        </w:tabs>
        <w:spacing w:before="120" w:after="120"/>
        <w:ind w:right="900"/>
        <w:jc w:val="both"/>
        <w:rPr>
          <w:rFonts w:ascii="Palatino Linotype" w:eastAsia="Palatino Linotype" w:hAnsi="Palatino Linotype" w:cs="Palatino Linotype"/>
          <w:sz w:val="22"/>
          <w:szCs w:val="22"/>
        </w:rPr>
      </w:pPr>
    </w:p>
    <w:p w14:paraId="29ECA63C" w14:textId="6DA41DD8" w:rsidR="000710B6" w:rsidRPr="0007190E" w:rsidRDefault="0029535C">
      <w:pPr>
        <w:spacing w:before="240" w:after="240" w:line="360" w:lineRule="auto"/>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 xml:space="preserve">Tercero. Materia de la revisión. </w:t>
      </w:r>
      <w:r w:rsidRPr="0007190E">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07190E">
        <w:rPr>
          <w:rFonts w:ascii="Palatino Linotype" w:eastAsia="Palatino Linotype" w:hAnsi="Palatino Linotype" w:cs="Palatino Linotype"/>
          <w:b/>
          <w:sz w:val="22"/>
          <w:szCs w:val="22"/>
        </w:rPr>
        <w:t xml:space="preserve">verificar si la información proporcionada </w:t>
      </w:r>
      <w:r w:rsidR="00BC75D7" w:rsidRPr="0007190E">
        <w:rPr>
          <w:rFonts w:ascii="Palatino Linotype" w:eastAsia="Palatino Linotype" w:hAnsi="Palatino Linotype" w:cs="Palatino Linotype"/>
          <w:b/>
          <w:sz w:val="22"/>
          <w:szCs w:val="22"/>
        </w:rPr>
        <w:t xml:space="preserve">mediante informe justificado </w:t>
      </w:r>
      <w:r w:rsidRPr="0007190E">
        <w:rPr>
          <w:rFonts w:ascii="Palatino Linotype" w:eastAsia="Palatino Linotype" w:hAnsi="Palatino Linotype" w:cs="Palatino Linotype"/>
          <w:b/>
          <w:sz w:val="22"/>
          <w:szCs w:val="22"/>
        </w:rPr>
        <w:t xml:space="preserve">por el Sujeto Obligado es adecuada y suficiente para satisfacer el derecho de acceso a la información pública </w:t>
      </w:r>
      <w:r w:rsidRPr="0007190E">
        <w:rPr>
          <w:rFonts w:ascii="Palatino Linotype" w:eastAsia="Palatino Linotype" w:hAnsi="Palatino Linotype" w:cs="Palatino Linotype"/>
          <w:sz w:val="22"/>
          <w:szCs w:val="22"/>
        </w:rPr>
        <w:t xml:space="preserve">de la parte </w:t>
      </w:r>
      <w:r w:rsidRPr="0007190E">
        <w:rPr>
          <w:rFonts w:ascii="Palatino Linotype" w:eastAsia="Palatino Linotype" w:hAnsi="Palatino Linotype" w:cs="Palatino Linotype"/>
          <w:b/>
          <w:sz w:val="22"/>
          <w:szCs w:val="22"/>
        </w:rPr>
        <w:t>Recurrente</w:t>
      </w:r>
      <w:r w:rsidRPr="0007190E">
        <w:rPr>
          <w:rFonts w:ascii="Palatino Linotype" w:eastAsia="Palatino Linotype" w:hAnsi="Palatino Linotype" w:cs="Palatino Linotype"/>
          <w:sz w:val="22"/>
          <w:szCs w:val="22"/>
        </w:rPr>
        <w:t>, o en su defecto, en caso de ser procedente, ordenar la entrega de información.</w:t>
      </w:r>
    </w:p>
    <w:p w14:paraId="76B20F9B"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bookmarkStart w:id="7" w:name="_heading=h.2et92p0" w:colFirst="0" w:colLast="0"/>
      <w:bookmarkEnd w:id="7"/>
      <w:r w:rsidRPr="0007190E">
        <w:rPr>
          <w:rFonts w:ascii="Palatino Linotype" w:eastAsia="Palatino Linotype" w:hAnsi="Palatino Linotype" w:cs="Palatino Linotype"/>
          <w:b/>
          <w:sz w:val="22"/>
          <w:szCs w:val="22"/>
        </w:rPr>
        <w:lastRenderedPageBreak/>
        <w:t xml:space="preserve">Cuarto. Estudio del asunto. </w:t>
      </w:r>
      <w:r w:rsidRPr="0007190E">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80D95E9"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i/>
          <w:sz w:val="22"/>
          <w:szCs w:val="22"/>
        </w:rPr>
        <w:t>Artículo 4</w:t>
      </w:r>
      <w:r w:rsidRPr="0007190E">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C3CD500"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07190E">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34C4342C"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07190E">
        <w:rPr>
          <w:rFonts w:ascii="Palatino Linotype" w:eastAsia="Palatino Linotype" w:hAnsi="Palatino Linotype" w:cs="Palatino Linotype"/>
          <w:i/>
          <w:sz w:val="22"/>
          <w:szCs w:val="22"/>
        </w:rPr>
        <w:t>.”</w:t>
      </w:r>
    </w:p>
    <w:p w14:paraId="66124749"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645AA69"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lastRenderedPageBreak/>
        <w:t>“Artículo 12.-</w:t>
      </w:r>
      <w:r w:rsidRPr="0007190E">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19A777C1"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07190E">
        <w:rPr>
          <w:rFonts w:ascii="Palatino Linotype" w:eastAsia="Palatino Linotype" w:hAnsi="Palatino Linotype" w:cs="Palatino Linotype"/>
          <w:i/>
          <w:sz w:val="22"/>
          <w:szCs w:val="22"/>
        </w:rPr>
        <w:t xml:space="preserve">. </w:t>
      </w:r>
      <w:r w:rsidRPr="0007190E">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48A9F962" w14:textId="77777777" w:rsidR="000710B6" w:rsidRPr="0007190E" w:rsidRDefault="0029535C">
      <w:pPr>
        <w:spacing w:before="240" w:after="240" w:line="360" w:lineRule="auto"/>
        <w:ind w:right="-93"/>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3BD10F60" w14:textId="77777777" w:rsidR="000710B6" w:rsidRPr="0007190E" w:rsidRDefault="0029535C">
      <w:pPr>
        <w:spacing w:before="240" w:after="240" w:line="360" w:lineRule="auto"/>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07190E">
        <w:rPr>
          <w:rFonts w:ascii="Palatino Linotype" w:eastAsia="Palatino Linotype" w:hAnsi="Palatino Linotype" w:cs="Palatino Linotype"/>
          <w:b/>
          <w:sz w:val="22"/>
          <w:szCs w:val="22"/>
        </w:rPr>
        <w:t xml:space="preserve"> </w:t>
      </w:r>
    </w:p>
    <w:p w14:paraId="5E47A97E"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 “</w:t>
      </w:r>
      <w:r w:rsidRPr="0007190E">
        <w:rPr>
          <w:rFonts w:ascii="Palatino Linotype" w:eastAsia="Palatino Linotype" w:hAnsi="Palatino Linotype" w:cs="Palatino Linotype"/>
          <w:b/>
          <w:i/>
          <w:sz w:val="22"/>
          <w:szCs w:val="22"/>
        </w:rPr>
        <w:t>No existe obligación de elaborar documentos ad hoc para atender las solicitudes de acceso a la información.</w:t>
      </w:r>
      <w:r w:rsidRPr="0007190E">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7E3E3BE2" w14:textId="77777777" w:rsidR="000710B6" w:rsidRPr="0007190E" w:rsidRDefault="0029535C">
      <w:pPr>
        <w:spacing w:before="120" w:after="12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48C49A2" w14:textId="77777777" w:rsidR="000710B6" w:rsidRPr="0007190E" w:rsidRDefault="0029535C">
      <w:pPr>
        <w:spacing w:before="120" w:after="12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4F1A180"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i/>
          <w:sz w:val="22"/>
          <w:szCs w:val="22"/>
        </w:rPr>
        <w:t xml:space="preserve">Artículo 3. </w:t>
      </w:r>
      <w:r w:rsidRPr="0007190E">
        <w:rPr>
          <w:rFonts w:ascii="Palatino Linotype" w:eastAsia="Palatino Linotype" w:hAnsi="Palatino Linotype" w:cs="Palatino Linotype"/>
          <w:i/>
          <w:sz w:val="22"/>
          <w:szCs w:val="22"/>
        </w:rPr>
        <w:t>Para los efectos de la presente Ley se entenderá por:</w:t>
      </w:r>
    </w:p>
    <w:p w14:paraId="44CD5037"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p>
    <w:p w14:paraId="138B27F9"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XI. Documento:</w:t>
      </w:r>
      <w:r w:rsidRPr="0007190E">
        <w:rPr>
          <w:rFonts w:ascii="Palatino Linotype" w:eastAsia="Palatino Linotype" w:hAnsi="Palatino Linotype" w:cs="Palatino Linotype"/>
          <w:i/>
          <w:sz w:val="22"/>
          <w:szCs w:val="22"/>
        </w:rPr>
        <w:t xml:space="preserve"> Los expedientes, reportes, estudios, actas</w:t>
      </w:r>
      <w:r w:rsidRPr="0007190E">
        <w:rPr>
          <w:rFonts w:ascii="Palatino Linotype" w:eastAsia="Palatino Linotype" w:hAnsi="Palatino Linotype" w:cs="Palatino Linotype"/>
          <w:b/>
          <w:i/>
          <w:sz w:val="22"/>
          <w:szCs w:val="22"/>
        </w:rPr>
        <w:t>,</w:t>
      </w:r>
      <w:r w:rsidRPr="0007190E">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5C8934B3"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16B7AE8A"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sz w:val="22"/>
          <w:szCs w:val="22"/>
        </w:rPr>
        <w:lastRenderedPageBreak/>
        <w:t>“</w:t>
      </w:r>
      <w:r w:rsidRPr="0007190E">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07190E">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FAFB31C"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3276FDE2"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19F6903C"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23080C10"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14:paraId="06C3997B" w14:textId="77777777" w:rsidR="000710B6" w:rsidRPr="0007190E" w:rsidRDefault="0029535C">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8E3CB18"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w:t>
      </w:r>
      <w:r w:rsidRPr="0007190E">
        <w:rPr>
          <w:rFonts w:ascii="Palatino Linotype" w:eastAsia="Palatino Linotype" w:hAnsi="Palatino Linotype" w:cs="Palatino Linotype"/>
          <w:sz w:val="22"/>
          <w:szCs w:val="22"/>
        </w:rPr>
        <w:lastRenderedPageBreak/>
        <w:t>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75F30F2A" w14:textId="77777777" w:rsidR="000710B6" w:rsidRPr="0007190E" w:rsidRDefault="0029535C">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07190E">
        <w:rPr>
          <w:rFonts w:ascii="Palatino Linotype" w:eastAsia="Palatino Linotype" w:hAnsi="Palatino Linotype" w:cs="Palatino Linotype"/>
          <w:b/>
          <w:sz w:val="22"/>
          <w:szCs w:val="22"/>
        </w:rPr>
        <w:t>Recurrente</w:t>
      </w:r>
      <w:r w:rsidRPr="0007190E">
        <w:rPr>
          <w:rFonts w:ascii="Palatino Linotype" w:eastAsia="Palatino Linotype" w:hAnsi="Palatino Linotype" w:cs="Palatino Linotype"/>
          <w:sz w:val="22"/>
          <w:szCs w:val="22"/>
        </w:rPr>
        <w:t xml:space="preserve"> requirió al </w:t>
      </w:r>
      <w:r w:rsidRPr="0007190E">
        <w:rPr>
          <w:rFonts w:ascii="Palatino Linotype" w:eastAsia="Palatino Linotype" w:hAnsi="Palatino Linotype" w:cs="Palatino Linotype"/>
          <w:b/>
          <w:sz w:val="22"/>
          <w:szCs w:val="22"/>
        </w:rPr>
        <w:t xml:space="preserve">Sujeto Obligado </w:t>
      </w:r>
      <w:r w:rsidRPr="0007190E">
        <w:rPr>
          <w:rFonts w:ascii="Palatino Linotype" w:eastAsia="Palatino Linotype" w:hAnsi="Palatino Linotype" w:cs="Palatino Linotype"/>
          <w:sz w:val="22"/>
          <w:szCs w:val="22"/>
        </w:rPr>
        <w:t>le proporcione, información consistente en lo siguiente:</w:t>
      </w:r>
    </w:p>
    <w:p w14:paraId="0899A7FC" w14:textId="5B5CC05D" w:rsidR="000710B6" w:rsidRPr="0007190E" w:rsidRDefault="0029535C">
      <w:pPr>
        <w:spacing w:before="240" w:after="240" w:line="360" w:lineRule="auto"/>
        <w:ind w:left="284"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1</w:t>
      </w:r>
      <w:r w:rsidRPr="0007190E">
        <w:rPr>
          <w:rFonts w:ascii="Palatino Linotype" w:eastAsia="Palatino Linotype" w:hAnsi="Palatino Linotype" w:cs="Palatino Linotype"/>
          <w:b/>
          <w:sz w:val="22"/>
          <w:szCs w:val="22"/>
          <w:u w:val="single"/>
        </w:rPr>
        <w:t xml:space="preserve">. </w:t>
      </w:r>
      <w:r w:rsidR="009A3291" w:rsidRPr="0007190E">
        <w:rPr>
          <w:rFonts w:ascii="Palatino Linotype" w:eastAsia="Palatino Linotype" w:hAnsi="Palatino Linotype" w:cs="Palatino Linotype"/>
          <w:b/>
          <w:sz w:val="22"/>
          <w:szCs w:val="22"/>
          <w:u w:val="single"/>
        </w:rPr>
        <w:t>E</w:t>
      </w:r>
      <w:r w:rsidR="005D24D3" w:rsidRPr="0007190E">
        <w:rPr>
          <w:rFonts w:ascii="Palatino Linotype" w:eastAsia="Palatino Linotype" w:hAnsi="Palatino Linotype" w:cs="Palatino Linotype"/>
          <w:b/>
          <w:sz w:val="22"/>
          <w:szCs w:val="22"/>
          <w:u w:val="single"/>
        </w:rPr>
        <w:t>l padrón catastral actualizado del municipio, indicando clave catastral, valor catastral, uso, superficie y zona de ubicación.</w:t>
      </w:r>
    </w:p>
    <w:p w14:paraId="4B614D0A" w14:textId="494E29FF" w:rsidR="00C612CF" w:rsidRPr="0007190E" w:rsidRDefault="00C612CF">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Solicitud a la que el Sujeto Obligado fue omiso en proporcionar respuesta, motivo por el cual se interpuso el presente recurso de revisión. </w:t>
      </w:r>
    </w:p>
    <w:p w14:paraId="3CF346A5" w14:textId="39D6A6EC" w:rsidR="00C612CF" w:rsidRPr="0007190E" w:rsidRDefault="00C612CF" w:rsidP="00C612CF">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No obstante con posterioridad,  en la etapa de manifestaciones 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a través del servid</w:t>
      </w:r>
      <w:r w:rsidR="00371925" w:rsidRPr="0007190E">
        <w:rPr>
          <w:rFonts w:ascii="Palatino Linotype" w:eastAsia="Palatino Linotype" w:hAnsi="Palatino Linotype" w:cs="Palatino Linotype"/>
          <w:sz w:val="22"/>
          <w:szCs w:val="22"/>
        </w:rPr>
        <w:t xml:space="preserve">or público habilitado manifestó, </w:t>
      </w:r>
      <w:r w:rsidRPr="0007190E">
        <w:rPr>
          <w:rFonts w:ascii="Palatino Linotype" w:eastAsia="Palatino Linotype" w:hAnsi="Palatino Linotype" w:cs="Palatino Linotype"/>
          <w:sz w:val="22"/>
          <w:szCs w:val="22"/>
        </w:rPr>
        <w:t>en términos generales</w:t>
      </w:r>
      <w:r w:rsidR="00371925" w:rsidRPr="0007190E">
        <w:rPr>
          <w:rFonts w:ascii="Palatino Linotype" w:eastAsia="Palatino Linotype" w:hAnsi="Palatino Linotype" w:cs="Palatino Linotype"/>
          <w:sz w:val="22"/>
          <w:szCs w:val="22"/>
        </w:rPr>
        <w:t>, que la información requerida</w:t>
      </w:r>
      <w:r w:rsidRPr="0007190E">
        <w:rPr>
          <w:rFonts w:ascii="Palatino Linotype" w:eastAsia="Palatino Linotype" w:hAnsi="Palatino Linotype" w:cs="Palatino Linotype"/>
          <w:sz w:val="22"/>
          <w:szCs w:val="22"/>
        </w:rPr>
        <w:t xml:space="preserve"> tenía el carácter de confidencial en su totalidad</w:t>
      </w:r>
      <w:r w:rsidR="00371925" w:rsidRPr="0007190E">
        <w:rPr>
          <w:rFonts w:ascii="Palatino Linotype" w:eastAsia="Palatino Linotype" w:hAnsi="Palatino Linotype" w:cs="Palatino Linotype"/>
          <w:sz w:val="22"/>
          <w:szCs w:val="22"/>
        </w:rPr>
        <w:t>,</w:t>
      </w:r>
      <w:r w:rsidRPr="0007190E">
        <w:rPr>
          <w:rFonts w:ascii="Palatino Linotype" w:eastAsia="Palatino Linotype" w:hAnsi="Palatino Linotype" w:cs="Palatino Linotype"/>
          <w:sz w:val="22"/>
          <w:szCs w:val="22"/>
        </w:rPr>
        <w:t xml:space="preserve"> con fundamento en los artículos 86 y 143 fracciones I de la Ley de Transparencia y Acceso a la Información Pública del Estado de México y Municipios, y que no era posible proporcionar la información requerida, al amparo de contener esta, datos personales y considerables sensibles por la Legislación de la materia y estar bajo la Tutela de la normatividad que protege la información y transmisión de Datos Personales.</w:t>
      </w:r>
    </w:p>
    <w:p w14:paraId="5BE9F019" w14:textId="64A9B3D8" w:rsidR="00C612CF" w:rsidRPr="0007190E" w:rsidRDefault="00C612CF" w:rsidP="00C612CF">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Una vez establecidas las posturas de las partes, se procede al análisis del requerimiento de información, así como la información proporcionada por el </w:t>
      </w:r>
      <w:r w:rsidRPr="0007190E">
        <w:rPr>
          <w:rFonts w:ascii="Palatino Linotype" w:eastAsia="Palatino Linotype" w:hAnsi="Palatino Linotype" w:cs="Palatino Linotype"/>
          <w:b/>
          <w:sz w:val="22"/>
          <w:szCs w:val="22"/>
        </w:rPr>
        <w:t xml:space="preserve">Sujeto Obligado, mediante informe justificado, </w:t>
      </w:r>
      <w:r w:rsidRPr="0007190E">
        <w:rPr>
          <w:rFonts w:ascii="Palatino Linotype" w:eastAsia="Palatino Linotype" w:hAnsi="Palatino Linotype" w:cs="Palatino Linotype"/>
          <w:sz w:val="22"/>
          <w:szCs w:val="22"/>
        </w:rPr>
        <w:t xml:space="preserve">con la finalidad de determinar si el Derecho de acceso de esta se </w:t>
      </w:r>
      <w:r w:rsidRPr="0007190E">
        <w:rPr>
          <w:rFonts w:ascii="Palatino Linotype" w:eastAsia="Palatino Linotype" w:hAnsi="Palatino Linotype" w:cs="Palatino Linotype"/>
          <w:sz w:val="22"/>
          <w:szCs w:val="22"/>
        </w:rPr>
        <w:lastRenderedPageBreak/>
        <w:t>satisfizo, o, en su defecto, ordenar el soporte documental correspondiente, en caso de ser procedente.</w:t>
      </w:r>
    </w:p>
    <w:p w14:paraId="09CE2D6A" w14:textId="4A83BC98" w:rsidR="000710B6" w:rsidRPr="0007190E" w:rsidRDefault="00C612CF">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Por lo que en primer lugar c</w:t>
      </w:r>
      <w:r w:rsidR="0029535C" w:rsidRPr="0007190E">
        <w:rPr>
          <w:rFonts w:ascii="Palatino Linotype" w:eastAsia="Palatino Linotype" w:hAnsi="Palatino Linotype" w:cs="Palatino Linotype"/>
          <w:sz w:val="22"/>
          <w:szCs w:val="22"/>
        </w:rPr>
        <w:t>abe mencionar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w:t>
      </w:r>
    </w:p>
    <w:p w14:paraId="45B0FE32"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al servidor público habilitado que tiene bajo su resguardo la misma, de conformidad con los artículos 53, fracciones II y IV y 162 de la Ley de Transparencia y Acceso a la Información Pública del Estado de México y Municipios.</w:t>
      </w:r>
    </w:p>
    <w:p w14:paraId="321490F7" w14:textId="77777777" w:rsidR="000710B6" w:rsidRPr="0007190E" w:rsidRDefault="0029535C">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w:t>
      </w:r>
      <w:r w:rsidRPr="0007190E">
        <w:rPr>
          <w:rFonts w:ascii="Palatino Linotype" w:eastAsia="Palatino Linotype" w:hAnsi="Palatino Linotype" w:cs="Palatino Linotype"/>
          <w:sz w:val="22"/>
          <w:szCs w:val="22"/>
        </w:rPr>
        <w:lastRenderedPageBreak/>
        <w:t>supuestos de información clasificada, de conformidad con los artículos 3, fracción XXXIX, 58 y 59, de la Ley de la Ley de Transparencia y Acceso a la Información Pública del Estado de México y Municipios.</w:t>
      </w:r>
    </w:p>
    <w:p w14:paraId="5A0A3489"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548E5FAF" w14:textId="0CE8F7BC" w:rsidR="000710B6" w:rsidRPr="0007190E" w:rsidRDefault="00C612CF" w:rsidP="00C612CF">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w:t>
      </w:r>
      <w:r w:rsidR="0029535C" w:rsidRPr="0007190E">
        <w:rPr>
          <w:rFonts w:ascii="Palatino Linotype" w:eastAsia="Palatino Linotype" w:hAnsi="Palatino Linotype" w:cs="Palatino Linotype"/>
          <w:sz w:val="22"/>
          <w:szCs w:val="22"/>
        </w:rPr>
        <w:t xml:space="preserve">n el caso particular, es de recordar que la Unidad de Transparencia turnó la solicitud a la </w:t>
      </w:r>
      <w:r w:rsidR="004648ED" w:rsidRPr="0007190E">
        <w:rPr>
          <w:rFonts w:ascii="Palatino Linotype" w:eastAsia="Palatino Linotype" w:hAnsi="Palatino Linotype" w:cs="Palatino Linotype"/>
          <w:sz w:val="22"/>
          <w:szCs w:val="22"/>
        </w:rPr>
        <w:t>Jefatura de Catastro</w:t>
      </w:r>
      <w:r w:rsidR="00E6620C" w:rsidRPr="0007190E">
        <w:rPr>
          <w:rFonts w:ascii="Palatino Linotype" w:eastAsia="Palatino Linotype" w:hAnsi="Palatino Linotype" w:cs="Palatino Linotype"/>
          <w:sz w:val="22"/>
          <w:szCs w:val="22"/>
        </w:rPr>
        <w:t>, como</w:t>
      </w:r>
      <w:r w:rsidR="0029535C" w:rsidRPr="0007190E">
        <w:rPr>
          <w:rFonts w:ascii="Palatino Linotype" w:eastAsia="Palatino Linotype" w:hAnsi="Palatino Linotype" w:cs="Palatino Linotype"/>
          <w:sz w:val="22"/>
          <w:szCs w:val="22"/>
        </w:rPr>
        <w:t xml:space="preserve"> dependencia que </w:t>
      </w:r>
      <w:r w:rsidR="004648ED" w:rsidRPr="0007190E">
        <w:rPr>
          <w:rFonts w:ascii="Palatino Linotype" w:eastAsia="Palatino Linotype" w:hAnsi="Palatino Linotype" w:cs="Palatino Linotype"/>
          <w:sz w:val="22"/>
          <w:szCs w:val="22"/>
        </w:rPr>
        <w:t>est</w:t>
      </w:r>
      <w:r w:rsidR="00E6620C" w:rsidRPr="0007190E">
        <w:rPr>
          <w:rFonts w:ascii="Palatino Linotype" w:eastAsia="Palatino Linotype" w:hAnsi="Palatino Linotype" w:cs="Palatino Linotype"/>
          <w:sz w:val="22"/>
          <w:szCs w:val="22"/>
        </w:rPr>
        <w:t>á</w:t>
      </w:r>
      <w:r w:rsidR="0029535C" w:rsidRPr="0007190E">
        <w:rPr>
          <w:rFonts w:ascii="Palatino Linotype" w:eastAsia="Palatino Linotype" w:hAnsi="Palatino Linotype" w:cs="Palatino Linotype"/>
          <w:sz w:val="22"/>
          <w:szCs w:val="22"/>
        </w:rPr>
        <w:t xml:space="preserve"> adscri</w:t>
      </w:r>
      <w:r w:rsidR="00E6620C" w:rsidRPr="0007190E">
        <w:rPr>
          <w:rFonts w:ascii="Palatino Linotype" w:eastAsia="Palatino Linotype" w:hAnsi="Palatino Linotype" w:cs="Palatino Linotype"/>
          <w:sz w:val="22"/>
          <w:szCs w:val="22"/>
        </w:rPr>
        <w:t>ta</w:t>
      </w:r>
      <w:r w:rsidR="0029535C" w:rsidRPr="0007190E">
        <w:rPr>
          <w:rFonts w:ascii="Palatino Linotype" w:eastAsia="Palatino Linotype" w:hAnsi="Palatino Linotype" w:cs="Palatino Linotype"/>
          <w:sz w:val="22"/>
          <w:szCs w:val="22"/>
        </w:rPr>
        <w:t xml:space="preserve"> a la </w:t>
      </w:r>
      <w:r w:rsidR="00E6620C" w:rsidRPr="0007190E">
        <w:rPr>
          <w:rFonts w:ascii="Palatino Linotype" w:eastAsia="Palatino Linotype" w:hAnsi="Palatino Linotype" w:cs="Palatino Linotype"/>
          <w:sz w:val="22"/>
          <w:szCs w:val="22"/>
        </w:rPr>
        <w:t>Dirección de Administración y Finanzas</w:t>
      </w:r>
      <w:r w:rsidR="0029535C" w:rsidRPr="0007190E">
        <w:rPr>
          <w:rFonts w:ascii="Palatino Linotype" w:eastAsia="Palatino Linotype" w:hAnsi="Palatino Linotype" w:cs="Palatino Linotype"/>
          <w:sz w:val="22"/>
          <w:szCs w:val="22"/>
        </w:rPr>
        <w:t xml:space="preserve">, </w:t>
      </w:r>
      <w:r w:rsidR="00E6620C" w:rsidRPr="0007190E">
        <w:rPr>
          <w:rFonts w:ascii="Palatino Linotype" w:eastAsia="Palatino Linotype" w:hAnsi="Palatino Linotype" w:cs="Palatino Linotype"/>
          <w:sz w:val="22"/>
          <w:szCs w:val="22"/>
        </w:rPr>
        <w:t>y según el Manual de Organización de la Dirección de Administración y Finanzas, en su numeral 1.2,</w:t>
      </w:r>
      <w:r w:rsidR="0029535C" w:rsidRPr="0007190E">
        <w:rPr>
          <w:rFonts w:ascii="Palatino Linotype" w:eastAsia="Palatino Linotype" w:hAnsi="Palatino Linotype" w:cs="Palatino Linotype"/>
          <w:sz w:val="22"/>
          <w:szCs w:val="22"/>
        </w:rPr>
        <w:t xml:space="preserve"> es responsable de:</w:t>
      </w:r>
    </w:p>
    <w:p w14:paraId="525887B0" w14:textId="77777777" w:rsidR="00A90D78" w:rsidRPr="0007190E" w:rsidRDefault="00E6620C"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Llevar a cabo la inscripción y control de los inmuebles localizados dentro del territorio municipal. </w:t>
      </w:r>
    </w:p>
    <w:p w14:paraId="05E82529" w14:textId="77777777" w:rsidR="00A90D78" w:rsidRPr="0007190E" w:rsidRDefault="00E6620C"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Identificar en forma precisa los inmuebles ubicados dentro del territorio municipal, mediante la localización geográfica y asignación de la clave catastral que le corresponda. </w:t>
      </w:r>
    </w:p>
    <w:p w14:paraId="5E4916CE" w14:textId="77777777" w:rsidR="00A90D78" w:rsidRPr="0007190E" w:rsidRDefault="00E6620C"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Recibir las manifestaciones catastrales de los propietarios o poseedores de inmuebles, para efectos de su inscripción o actualización en el padrón catastral municipal. </w:t>
      </w:r>
    </w:p>
    <w:p w14:paraId="5DF31CC7" w14:textId="77777777" w:rsidR="00A90D78" w:rsidRPr="0007190E" w:rsidRDefault="00E6620C"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Realizar acciones en coordinación con el IGECEM para la consolidación, conservación y buen funcionamiento del catastro municipal. </w:t>
      </w:r>
    </w:p>
    <w:p w14:paraId="73D25492" w14:textId="77777777" w:rsidR="00A90D78" w:rsidRPr="0007190E" w:rsidRDefault="00E6620C"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 xml:space="preserve">Proporcionar al IGECEM dentro de los plazos que señale el LIGECEM, las propuestas, reportes, informes y documentos, para integrar, conservar y mantener actualizada la información catastral del Estado. </w:t>
      </w:r>
    </w:p>
    <w:p w14:paraId="0741996E" w14:textId="77777777" w:rsidR="00A90D78" w:rsidRPr="0007190E" w:rsidRDefault="00E6620C"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Integrar, conservar y mantener actualizados los registros gráfico y alfanumérico de los inmuebles ubicados en el territorio del municipio. </w:t>
      </w:r>
    </w:p>
    <w:p w14:paraId="27742826" w14:textId="7AA7CEB3" w:rsidR="00E6620C" w:rsidRPr="0007190E" w:rsidRDefault="00E6620C"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Practicar levantamientos topográficos catastrales y verificación de linderos, en los términos de los ordenamientos correspondientes. </w:t>
      </w:r>
    </w:p>
    <w:p w14:paraId="68BD2D37" w14:textId="5AC3F84E" w:rsidR="00A90D78" w:rsidRPr="0007190E" w:rsidRDefault="00A90D78"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Proporcionar la información que soliciten por escrito otras dependencias oficiales.</w:t>
      </w:r>
    </w:p>
    <w:p w14:paraId="22EE7F31" w14:textId="54DA92A6" w:rsidR="00A90D78" w:rsidRPr="0007190E" w:rsidRDefault="00A90D78"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Solicitar la opinión técnica al IGECEM sobre la modificación y actualización de áreas homogéneas, bandas de valor, manzanas catastrales, códigos de clave de calle, nomenclatura y valores unitarios de suelo y construcciones, que conformará el proyecto de Tablas de Valores Unitarios de Suelo y Construcciones que proponga a la Legislatura.</w:t>
      </w:r>
    </w:p>
    <w:p w14:paraId="57063228" w14:textId="77777777" w:rsidR="00FB5F00" w:rsidRPr="0007190E" w:rsidRDefault="00FB5F00" w:rsidP="00FB5F00">
      <w:pPr>
        <w:pStyle w:val="Prrafodelista"/>
        <w:numPr>
          <w:ilvl w:val="0"/>
          <w:numId w:val="7"/>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Difundir dentro de su territorio las Tablas de Valores Unitarios de Suelo y Construcción aprobados por la Legislatura.</w:t>
      </w:r>
    </w:p>
    <w:p w14:paraId="7613ECC5" w14:textId="2B5DBB79" w:rsidR="00A90D78" w:rsidRPr="0007190E" w:rsidRDefault="00A90D78" w:rsidP="00FB5F00">
      <w:pPr>
        <w:pStyle w:val="Prrafodelista"/>
        <w:numPr>
          <w:ilvl w:val="0"/>
          <w:numId w:val="8"/>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Aplicar las Tablas de Valores Unitarios de Suelo y Construcciones aprobadas por la Legislatura, en la determinación del valor catastral de los inmuebles.</w:t>
      </w:r>
    </w:p>
    <w:p w14:paraId="25D06473" w14:textId="573756D3" w:rsidR="00E6620C" w:rsidRPr="0007190E" w:rsidRDefault="00A90D78" w:rsidP="00FB5F00">
      <w:pPr>
        <w:pStyle w:val="Prrafodelista"/>
        <w:numPr>
          <w:ilvl w:val="0"/>
          <w:numId w:val="8"/>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Obtener de las autoridades, dependencias o instituciones de carácter federal y estatal, de las personas físicas o jurídicas colectivas, los documentos, datos o informes que sean necesarios para la integración y actualización del padrón catastral municipal.</w:t>
      </w:r>
    </w:p>
    <w:p w14:paraId="4E815D64" w14:textId="559FDD84" w:rsidR="00A90D78" w:rsidRPr="0007190E" w:rsidRDefault="00A90D78" w:rsidP="00FB5F00">
      <w:pPr>
        <w:pStyle w:val="Prrafodelista"/>
        <w:numPr>
          <w:ilvl w:val="0"/>
          <w:numId w:val="8"/>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Cumplir con la normatividad y los procedimientos técnicos y administrativos establecidos en el LIGECEM, este Título, su reglamento, el Manual Catastral y demás disposiciones aplicables en la materia.</w:t>
      </w:r>
    </w:p>
    <w:p w14:paraId="74D23A4C" w14:textId="37A85A9E" w:rsidR="00A90D78" w:rsidRPr="0007190E" w:rsidRDefault="00A90D78" w:rsidP="00FB5F00">
      <w:pPr>
        <w:pStyle w:val="Prrafodelista"/>
        <w:numPr>
          <w:ilvl w:val="0"/>
          <w:numId w:val="8"/>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Proponer al IGECEM la realización de estudios tendientes a lograr la actualización del catastro municipal y, en su caso, aplicarlos en lo conducente sin contravenir lo dispuesto por el LIGECEM.</w:t>
      </w:r>
    </w:p>
    <w:p w14:paraId="22EAB2FD" w14:textId="56AE362E" w:rsidR="00A90D78" w:rsidRPr="0007190E" w:rsidRDefault="00A90D78" w:rsidP="00FB5F00">
      <w:pPr>
        <w:pStyle w:val="Prrafodelista"/>
        <w:numPr>
          <w:ilvl w:val="0"/>
          <w:numId w:val="9"/>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Solicitar los documentos con los que se acredite la propiedad o posesión de los inmuebles y demás documentación requerida para integrar los expedientes que soportan la inscripción o actualización en el padrón catastral municipal.</w:t>
      </w:r>
    </w:p>
    <w:p w14:paraId="72DF52D0" w14:textId="28ECF87A" w:rsidR="00A90D78" w:rsidRPr="0007190E" w:rsidRDefault="00A90D78" w:rsidP="00FB5F00">
      <w:pPr>
        <w:pStyle w:val="Prrafodelista"/>
        <w:numPr>
          <w:ilvl w:val="0"/>
          <w:numId w:val="10"/>
        </w:num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Verificar y registrar oportunamente los cambios técnicos o administrativos de los inmuebles, que por cualquier concepto alteren los datos contenidos en el Padrón Catastral Municipal.</w:t>
      </w:r>
    </w:p>
    <w:p w14:paraId="14F8C6CF" w14:textId="2C89A433" w:rsidR="00FB5F00" w:rsidRPr="0007190E" w:rsidRDefault="009A3291">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En este sentido, se colige que en el presente asunto se atendió el procedimiento de búsqueda, el cual se constituye como la garantía primaria del derecho humano de acceso a la información pública, el cual se rige por los principios de simplicidad, rapidez, gratuidad del procedimiento, auxilio y orientación a las personas solicitantes con el fin de otorgar la protección más amplia de este derecho.</w:t>
      </w:r>
    </w:p>
    <w:p w14:paraId="289CEDBF" w14:textId="0490CD22" w:rsidR="000710B6" w:rsidRPr="0007190E" w:rsidRDefault="00C612CF" w:rsidP="00C612CF">
      <w:pPr>
        <w:spacing w:before="240" w:after="240" w:line="360" w:lineRule="auto"/>
        <w:jc w:val="both"/>
        <w:rPr>
          <w:rFonts w:ascii="Palatino Linotype" w:eastAsia="Palatino Linotype" w:hAnsi="Palatino Linotype" w:cs="Palatino Linotype"/>
          <w:sz w:val="22"/>
          <w:szCs w:val="22"/>
        </w:rPr>
      </w:pPr>
      <w:r w:rsidRPr="0007190E">
        <w:rPr>
          <w:rFonts w:ascii="Palatino Linotype" w:hAnsi="Palatino Linotype"/>
          <w:sz w:val="22"/>
          <w:szCs w:val="22"/>
        </w:rPr>
        <w:t>Ahora bien, el Sujeto Obligado a través de su informe justificado asumió generar, administrar y poseer la información requerida por el particular; sin embargo, manifestó la imposibilidad a proporcionar la misma por encuadrar</w:t>
      </w:r>
      <w:r w:rsidRPr="0007190E">
        <w:rPr>
          <w:rFonts w:ascii="Palatino Linotype" w:eastAsia="Palatino Linotype" w:hAnsi="Palatino Linotype" w:cs="Palatino Linotype"/>
          <w:sz w:val="22"/>
          <w:szCs w:val="22"/>
        </w:rPr>
        <w:t xml:space="preserve"> en el supuesto de información confidencial, </w:t>
      </w:r>
      <w:r w:rsidR="00371925" w:rsidRPr="0007190E">
        <w:rPr>
          <w:rFonts w:ascii="Palatino Linotype" w:eastAsia="Palatino Linotype" w:hAnsi="Palatino Linotype" w:cs="Palatino Linotype"/>
          <w:sz w:val="22"/>
          <w:szCs w:val="22"/>
        </w:rPr>
        <w:t xml:space="preserve">al respecto </w:t>
      </w:r>
      <w:r w:rsidRPr="0007190E">
        <w:rPr>
          <w:rFonts w:ascii="Palatino Linotype" w:eastAsia="Palatino Linotype" w:hAnsi="Palatino Linotype" w:cs="Palatino Linotype"/>
          <w:sz w:val="22"/>
          <w:szCs w:val="22"/>
        </w:rPr>
        <w:t>debe decirse en primer lugar que</w:t>
      </w:r>
      <w:r w:rsidR="00371925" w:rsidRPr="0007190E">
        <w:rPr>
          <w:rFonts w:ascii="Palatino Linotype" w:eastAsia="Palatino Linotype" w:hAnsi="Palatino Linotype" w:cs="Palatino Linotype"/>
          <w:sz w:val="22"/>
          <w:szCs w:val="22"/>
        </w:rPr>
        <w:t>,</w:t>
      </w:r>
      <w:r w:rsidRPr="0007190E">
        <w:rPr>
          <w:rFonts w:ascii="Palatino Linotype" w:eastAsia="Palatino Linotype" w:hAnsi="Palatino Linotype" w:cs="Palatino Linotype"/>
          <w:sz w:val="22"/>
          <w:szCs w:val="22"/>
        </w:rPr>
        <w:t xml:space="preserve"> </w:t>
      </w:r>
      <w:r w:rsidR="0029535C" w:rsidRPr="0007190E">
        <w:rPr>
          <w:rFonts w:ascii="Palatino Linotype" w:eastAsia="Palatino Linotype" w:hAnsi="Palatino Linotype" w:cs="Palatino Linotype"/>
          <w:sz w:val="22"/>
          <w:szCs w:val="22"/>
        </w:rPr>
        <w:t>por regla general, toda la información que generen, administren y/o posean los Sujetos Obligados, es considerada información pública, pues al ser entes que ejercen recursos públicos tienen la obligación de rendir cuentas y asumir responsabilidades ante los ciudadanos derivado del ejercicio de sus atribuciones, garantizando así el Derecho humano de acceso a la información pública, sin embargo, dicho derecho puede ser restringido de manera excepcional por razones de interés público, en los términos de las causas legítimas y estrictamente necesarias previstas por la Ley, como se desprende del artículo 91 de la Ley de la Materia que es del tenor literal siguiente:</w:t>
      </w:r>
    </w:p>
    <w:p w14:paraId="2759893C" w14:textId="77777777" w:rsidR="000710B6" w:rsidRPr="0007190E" w:rsidRDefault="0029535C">
      <w:pPr>
        <w:ind w:left="851"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lastRenderedPageBreak/>
        <w:t xml:space="preserve">“Artículo 91. </w:t>
      </w:r>
      <w:r w:rsidRPr="0007190E">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30F29C43"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Sin embargo, es importante mencionar que la restricción al derecho de acceso a la información implica necesariamente una clasificación la cual debe entenderse como el proceso mediante el cual el Sujeto Obligado determina que la información en su poder, actualiza alguno de los supuestos de reserva o confidencialidad, de conformidad con las normas aplicables.</w:t>
      </w:r>
    </w:p>
    <w:p w14:paraId="66618B88"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Debe decirse que la Ley de Transparencia y Acceso a la Información Pública del Estado de México y Municipios, define como </w:t>
      </w:r>
      <w:r w:rsidRPr="0007190E">
        <w:rPr>
          <w:rFonts w:ascii="Palatino Linotype" w:eastAsia="Palatino Linotype" w:hAnsi="Palatino Linotype" w:cs="Palatino Linotype"/>
          <w:b/>
          <w:sz w:val="22"/>
          <w:szCs w:val="22"/>
        </w:rPr>
        <w:t xml:space="preserve">información reservada </w:t>
      </w:r>
      <w:r w:rsidRPr="0007190E">
        <w:rPr>
          <w:rFonts w:ascii="Palatino Linotype" w:eastAsia="Palatino Linotype" w:hAnsi="Palatino Linotype" w:cs="Palatino Linotype"/>
          <w:sz w:val="22"/>
          <w:szCs w:val="22"/>
        </w:rPr>
        <w:t xml:space="preserve">a la información pública clasificada con este carácter de manera temporal por las disposiciones de la Ley de la Materia, cuya divulgación puede causar daños a las  seguridad pública, y como </w:t>
      </w:r>
      <w:r w:rsidRPr="0007190E">
        <w:rPr>
          <w:rFonts w:ascii="Palatino Linotype" w:eastAsia="Palatino Linotype" w:hAnsi="Palatino Linotype" w:cs="Palatino Linotype"/>
          <w:b/>
          <w:sz w:val="22"/>
          <w:szCs w:val="22"/>
        </w:rPr>
        <w:t>información confidencial</w:t>
      </w:r>
      <w:r w:rsidRPr="0007190E">
        <w:rPr>
          <w:rFonts w:ascii="Palatino Linotype" w:eastAsia="Palatino Linotype" w:hAnsi="Palatino Linotype" w:cs="Palatino Linotype"/>
          <w:sz w:val="22"/>
          <w:szCs w:val="22"/>
        </w:rPr>
        <w:t xml:space="preserve">, la relacionada con los secretos bancario, fiduciario, industrial, comercial, fiscal, bursátil y postal, cuya titularidad corresponda a particulares, sujetos de derecho internacional o sujetos obligados cuando no involucren el ejercicio de recursos públicos, así como la información privada contenida en documentos públicos o privados que refiera a la vida privada y/o los datos personales, que no son de acceso público. </w:t>
      </w:r>
    </w:p>
    <w:p w14:paraId="6B50B50C" w14:textId="77777777" w:rsidR="00C612CF" w:rsidRPr="0007190E" w:rsidRDefault="00C612CF" w:rsidP="00C612CF">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Por lo que se refiere a la información clasificada como reservada, para que el acceso a la información pública pueda ser restringido, se deben actualizar los supuestos establecidos en el artículo 140 de la Ley de Transparencia y Acceso a la Información Pública del Estado de México y Municipios, que a la letra señala lo siguiente:</w:t>
      </w:r>
    </w:p>
    <w:p w14:paraId="123E6EC5"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“Artículo 140</w:t>
      </w:r>
      <w:r w:rsidRPr="0007190E">
        <w:rPr>
          <w:rFonts w:ascii="Palatino Linotype" w:eastAsia="Palatino Linotype" w:hAnsi="Palatino Linotype" w:cs="Palatino Linotype"/>
          <w:i/>
          <w:sz w:val="22"/>
          <w:szCs w:val="22"/>
        </w:rPr>
        <w:t xml:space="preserve">. El acceso a la información pública será restringido excepcionalmente, cuando por razones de interés público, ésta sea clasificada como reservada, conforme a los criterios siguientes: </w:t>
      </w:r>
    </w:p>
    <w:p w14:paraId="002C3424"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w:t>
      </w:r>
      <w:r w:rsidRPr="0007190E">
        <w:rPr>
          <w:rFonts w:ascii="Palatino Linotype" w:eastAsia="Palatino Linotype" w:hAnsi="Palatino Linotype" w:cs="Palatino Linotype"/>
          <w:i/>
          <w:sz w:val="22"/>
          <w:szCs w:val="22"/>
        </w:rPr>
        <w:t xml:space="preserve">. Comprometa la seguridad pública y cuente con un propósito genuino y un efecto demostrable; </w:t>
      </w:r>
    </w:p>
    <w:p w14:paraId="3AD901E0"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w:t>
      </w:r>
      <w:r w:rsidRPr="0007190E">
        <w:rPr>
          <w:rFonts w:ascii="Palatino Linotype" w:eastAsia="Palatino Linotype" w:hAnsi="Palatino Linotype" w:cs="Palatino Linotype"/>
          <w:i/>
          <w:sz w:val="22"/>
          <w:szCs w:val="22"/>
        </w:rPr>
        <w:t xml:space="preserve"> Pueda menoscabar la conducción de las negociaciones y relaciones internacionales; </w:t>
      </w:r>
    </w:p>
    <w:p w14:paraId="3229BC14"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lastRenderedPageBreak/>
        <w:t>III.</w:t>
      </w:r>
      <w:r w:rsidRPr="0007190E">
        <w:rPr>
          <w:rFonts w:ascii="Palatino Linotype" w:eastAsia="Palatino Linotype" w:hAnsi="Palatino Linotype" w:cs="Palatino Linotype"/>
          <w:i/>
          <w:sz w:val="22"/>
          <w:szCs w:val="22"/>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06211AFE"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IV.</w:t>
      </w:r>
      <w:r w:rsidRPr="0007190E">
        <w:rPr>
          <w:rFonts w:ascii="Palatino Linotype" w:eastAsia="Palatino Linotype" w:hAnsi="Palatino Linotype" w:cs="Palatino Linotype"/>
          <w:i/>
          <w:sz w:val="22"/>
          <w:szCs w:val="22"/>
        </w:rPr>
        <w:t xml:space="preserve"> Ponga en riesgo la vida, la seguridad o la salud de una persona física; </w:t>
      </w:r>
    </w:p>
    <w:p w14:paraId="3F153FF1"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V</w:t>
      </w:r>
      <w:r w:rsidRPr="0007190E">
        <w:rPr>
          <w:rFonts w:ascii="Palatino Linotype" w:eastAsia="Palatino Linotype" w:hAnsi="Palatino Linotype" w:cs="Palatino Linotype"/>
          <w:i/>
          <w:sz w:val="22"/>
          <w:szCs w:val="22"/>
        </w:rPr>
        <w:t xml:space="preserve">. Aquella cuya divulgación obstruya o pueda causar un serio perjuicio a: </w:t>
      </w:r>
    </w:p>
    <w:p w14:paraId="2D42C6D6"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1. Las actividades de fiscalización, verificación, inspección, comprobación y auditoría sobre el cumplimiento de las Leyes; o </w:t>
      </w:r>
    </w:p>
    <w:p w14:paraId="75D2C1C0"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2. La recaudación de las contribuciones. </w:t>
      </w:r>
    </w:p>
    <w:p w14:paraId="315FE3ED"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VI</w:t>
      </w:r>
      <w:r w:rsidRPr="0007190E">
        <w:rPr>
          <w:rFonts w:ascii="Palatino Linotype" w:eastAsia="Palatino Linotype" w:hAnsi="Palatino Linotype" w:cs="Palatino Linotype"/>
          <w:i/>
          <w:sz w:val="22"/>
          <w:szCs w:val="22"/>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46B7DAA2"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VII.</w:t>
      </w:r>
      <w:r w:rsidRPr="0007190E">
        <w:rPr>
          <w:rFonts w:ascii="Palatino Linotype" w:eastAsia="Palatino Linotype" w:hAnsi="Palatino Linotype" w:cs="Palatino Linotype"/>
          <w:i/>
          <w:sz w:val="22"/>
          <w:szCs w:val="22"/>
        </w:rPr>
        <w:t xml:space="preserve"> La que contengan las opiniones, recomendaciones o puntos de vista que formen parte del proceso deliberativo de los servidores públicos, hasta en tanto sea adoptada la decisión definitiva, la cual deberá estar documentada; </w:t>
      </w:r>
    </w:p>
    <w:p w14:paraId="164B4309"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VIII.</w:t>
      </w:r>
      <w:r w:rsidRPr="0007190E">
        <w:rPr>
          <w:rFonts w:ascii="Palatino Linotype" w:eastAsia="Palatino Linotype" w:hAnsi="Palatino Linotype" w:cs="Palatino Linotype"/>
          <w:i/>
          <w:sz w:val="22"/>
          <w:szCs w:val="22"/>
        </w:rPr>
        <w:t xml:space="preserve"> Vulnere la conducción de los expedientes judiciales o de los procedimientos administrativos seguidos en forma de juicio, en tanto no hayan quedado firmes; </w:t>
      </w:r>
    </w:p>
    <w:p w14:paraId="60575D00"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IX</w:t>
      </w:r>
      <w:r w:rsidRPr="0007190E">
        <w:rPr>
          <w:rFonts w:ascii="Palatino Linotype" w:eastAsia="Palatino Linotype" w:hAnsi="Palatino Linotype" w:cs="Palatino Linotype"/>
          <w:i/>
          <w:sz w:val="22"/>
          <w:szCs w:val="22"/>
        </w:rPr>
        <w:t xml:space="preserve">. Se encuentre contenida dentro de las investigaciones de hechos que la Ley señale como delitos y se tramiten ante el Ministerio Público; </w:t>
      </w:r>
    </w:p>
    <w:p w14:paraId="1297B3B3"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X.</w:t>
      </w:r>
      <w:r w:rsidRPr="0007190E">
        <w:rPr>
          <w:rFonts w:ascii="Palatino Linotype" w:eastAsia="Palatino Linotype" w:hAnsi="Palatino Linotype" w:cs="Palatino Linotype"/>
          <w:i/>
          <w:sz w:val="22"/>
          <w:szCs w:val="22"/>
        </w:rPr>
        <w:t xml:space="preserve"> 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14:paraId="60D5A6AD"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7F683414"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XI.</w:t>
      </w:r>
      <w:r w:rsidRPr="0007190E">
        <w:rPr>
          <w:rFonts w:ascii="Palatino Linotype" w:eastAsia="Palatino Linotype" w:hAnsi="Palatino Linotype" w:cs="Palatino Linotype"/>
          <w:i/>
          <w:sz w:val="22"/>
          <w:szCs w:val="22"/>
        </w:rPr>
        <w:t xml:space="preserve"> Las que por disposición expresa de una ley tengan tal carácter, siempre que sean acordes con las bases, principios y disposiciones establecidos en esta Ley y no la contravengan; así como las previstas en tratados internacionales.”</w:t>
      </w:r>
    </w:p>
    <w:p w14:paraId="5BA2DF6C" w14:textId="77777777" w:rsidR="00C612CF" w:rsidRPr="0007190E" w:rsidRDefault="00C612CF" w:rsidP="00C612CF">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Y, en lo que concierne a la información clasificada como confidencial, para que el acceso a la información pública pueda ser restringido, se deben actualizar los supuestos establecidos en el artículo143 de la Ley de Transparencia y Acceso a la Información Pública del Estado de México y Municipios, que a la letra señala lo siguiente:</w:t>
      </w:r>
    </w:p>
    <w:p w14:paraId="12620B54" w14:textId="77777777" w:rsidR="00C612CF" w:rsidRPr="0007190E" w:rsidRDefault="00C612CF" w:rsidP="00C612CF">
      <w:pPr>
        <w:spacing w:before="120" w:after="120"/>
        <w:ind w:left="851" w:right="902"/>
        <w:jc w:val="both"/>
        <w:rPr>
          <w:rFonts w:ascii="Palatino Linotype" w:hAnsi="Palatino Linotype"/>
          <w:i/>
          <w:sz w:val="22"/>
          <w:szCs w:val="22"/>
        </w:rPr>
      </w:pPr>
      <w:r w:rsidRPr="0007190E">
        <w:rPr>
          <w:rFonts w:ascii="Palatino Linotype" w:hAnsi="Palatino Linotype"/>
          <w:i/>
          <w:sz w:val="22"/>
          <w:szCs w:val="22"/>
        </w:rPr>
        <w:t>“</w:t>
      </w:r>
      <w:r w:rsidRPr="0007190E">
        <w:rPr>
          <w:rFonts w:ascii="Palatino Linotype" w:hAnsi="Palatino Linotype"/>
          <w:b/>
          <w:i/>
          <w:sz w:val="22"/>
          <w:szCs w:val="22"/>
        </w:rPr>
        <w:t>Artículo 143.</w:t>
      </w:r>
      <w:r w:rsidRPr="0007190E">
        <w:rPr>
          <w:rFonts w:ascii="Palatino Linotype" w:hAnsi="Palatino Linotype"/>
          <w:i/>
          <w:sz w:val="22"/>
          <w:szCs w:val="22"/>
        </w:rPr>
        <w:t xml:space="preserve"> Para los efectos de esta Ley se considera información confidencial, la clasificada como tal, de manera permanente, por su naturaleza, cuando: </w:t>
      </w:r>
    </w:p>
    <w:p w14:paraId="565947DE" w14:textId="77777777" w:rsidR="00C612CF" w:rsidRPr="0007190E" w:rsidRDefault="00C612CF" w:rsidP="00C612CF">
      <w:pPr>
        <w:spacing w:before="120" w:after="120"/>
        <w:ind w:left="851" w:right="902"/>
        <w:jc w:val="both"/>
        <w:rPr>
          <w:rFonts w:ascii="Palatino Linotype" w:hAnsi="Palatino Linotype"/>
          <w:i/>
          <w:sz w:val="22"/>
          <w:szCs w:val="22"/>
        </w:rPr>
      </w:pPr>
      <w:r w:rsidRPr="0007190E">
        <w:rPr>
          <w:rFonts w:ascii="Palatino Linotype" w:hAnsi="Palatino Linotype"/>
          <w:b/>
          <w:i/>
          <w:sz w:val="22"/>
          <w:szCs w:val="22"/>
        </w:rPr>
        <w:t>I</w:t>
      </w:r>
      <w:r w:rsidRPr="0007190E">
        <w:rPr>
          <w:rFonts w:ascii="Palatino Linotype" w:hAnsi="Palatino Linotype"/>
          <w:i/>
          <w:sz w:val="22"/>
          <w:szCs w:val="22"/>
        </w:rPr>
        <w:t xml:space="preserve">. Se refiera a la información privada y los datos personales concernientes a una persona física o jurídico colectiva identificada o identificable; </w:t>
      </w:r>
    </w:p>
    <w:p w14:paraId="3A26EBE3" w14:textId="77777777" w:rsidR="00C612CF" w:rsidRPr="0007190E" w:rsidRDefault="00C612CF" w:rsidP="00C612CF">
      <w:pPr>
        <w:spacing w:before="120" w:after="120"/>
        <w:ind w:left="851" w:right="902"/>
        <w:jc w:val="both"/>
        <w:rPr>
          <w:rFonts w:ascii="Palatino Linotype" w:hAnsi="Palatino Linotype"/>
          <w:i/>
          <w:sz w:val="22"/>
          <w:szCs w:val="22"/>
        </w:rPr>
      </w:pPr>
      <w:r w:rsidRPr="0007190E">
        <w:rPr>
          <w:rFonts w:ascii="Palatino Linotype" w:hAnsi="Palatino Linotype"/>
          <w:b/>
          <w:i/>
          <w:sz w:val="22"/>
          <w:szCs w:val="22"/>
        </w:rPr>
        <w:t>II.</w:t>
      </w:r>
      <w:r w:rsidRPr="0007190E">
        <w:rPr>
          <w:rFonts w:ascii="Palatino Linotype" w:hAnsi="Palatino Linotype"/>
          <w:i/>
          <w:sz w:val="22"/>
          <w:szCs w:val="22"/>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02342DF3" w14:textId="77777777" w:rsidR="00C612CF" w:rsidRPr="0007190E" w:rsidRDefault="00C612CF" w:rsidP="00C612CF">
      <w:pPr>
        <w:spacing w:before="120" w:after="120"/>
        <w:ind w:left="851" w:right="902"/>
        <w:jc w:val="both"/>
        <w:rPr>
          <w:rFonts w:ascii="Palatino Linotype" w:hAnsi="Palatino Linotype"/>
          <w:i/>
          <w:sz w:val="22"/>
          <w:szCs w:val="22"/>
        </w:rPr>
      </w:pPr>
      <w:r w:rsidRPr="0007190E">
        <w:rPr>
          <w:rFonts w:ascii="Palatino Linotype" w:hAnsi="Palatino Linotype"/>
          <w:b/>
          <w:i/>
          <w:sz w:val="22"/>
          <w:szCs w:val="22"/>
        </w:rPr>
        <w:t>III.</w:t>
      </w:r>
      <w:r w:rsidRPr="0007190E">
        <w:rPr>
          <w:rFonts w:ascii="Palatino Linotype" w:hAnsi="Palatino Linotype"/>
          <w:i/>
          <w:sz w:val="22"/>
          <w:szCs w:val="22"/>
        </w:rPr>
        <w:t xml:space="preserve"> La que presenten los particulares a los sujetos obligados, de conformidad con lo dispuesto por las leyes o los tratados internacionales. </w:t>
      </w:r>
    </w:p>
    <w:p w14:paraId="26D36585" w14:textId="77777777" w:rsidR="00C612CF" w:rsidRPr="0007190E" w:rsidRDefault="00C612CF" w:rsidP="00C612CF">
      <w:pPr>
        <w:spacing w:before="120" w:after="120"/>
        <w:ind w:left="851" w:right="902"/>
        <w:jc w:val="both"/>
        <w:rPr>
          <w:rFonts w:ascii="Palatino Linotype" w:hAnsi="Palatino Linotype"/>
          <w:i/>
          <w:sz w:val="22"/>
          <w:szCs w:val="22"/>
        </w:rPr>
      </w:pPr>
      <w:r w:rsidRPr="0007190E">
        <w:rPr>
          <w:rFonts w:ascii="Palatino Linotype" w:hAnsi="Palatino Linotype"/>
          <w:i/>
          <w:sz w:val="22"/>
          <w:szCs w:val="22"/>
        </w:rPr>
        <w:t xml:space="preserve">La información confidencial no estará sujeta a temporalidad alguna y sólo podrán tener acceso a ella los titulares de la misma, sus representantes y los servidores públicos facultados para ello. </w:t>
      </w:r>
    </w:p>
    <w:p w14:paraId="16EA7989" w14:textId="77777777" w:rsidR="00C612CF" w:rsidRPr="0007190E" w:rsidRDefault="00C612CF" w:rsidP="00C612CF">
      <w:pPr>
        <w:spacing w:before="120" w:after="120"/>
        <w:ind w:left="851" w:right="902"/>
        <w:jc w:val="both"/>
        <w:rPr>
          <w:rFonts w:ascii="Palatino Linotype" w:eastAsia="Palatino Linotype" w:hAnsi="Palatino Linotype" w:cs="Palatino Linotype"/>
          <w:i/>
          <w:sz w:val="22"/>
          <w:szCs w:val="22"/>
        </w:rPr>
      </w:pPr>
      <w:r w:rsidRPr="0007190E">
        <w:rPr>
          <w:rFonts w:ascii="Palatino Linotype" w:hAnsi="Palatino Linotype"/>
          <w:i/>
          <w:sz w:val="22"/>
          <w:szCs w:val="22"/>
        </w:rPr>
        <w:t>No se considerará confidencial la información que se encuentre en los registros públicos o en fuentes de acceso público, ni tampoco la que sea considerada por la presente ley como información pública.”</w:t>
      </w:r>
    </w:p>
    <w:p w14:paraId="3C453B8F" w14:textId="77777777" w:rsidR="00C612CF" w:rsidRPr="0007190E" w:rsidRDefault="00C612CF" w:rsidP="00C612CF">
      <w:pPr>
        <w:spacing w:before="280" w:after="28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70ABF08" w14:textId="77777777" w:rsidR="00C612CF" w:rsidRPr="0007190E" w:rsidRDefault="00C612CF" w:rsidP="00C612CF">
      <w:pPr>
        <w:numPr>
          <w:ilvl w:val="0"/>
          <w:numId w:val="11"/>
        </w:numPr>
        <w:tabs>
          <w:tab w:val="left" w:pos="851"/>
        </w:tabs>
        <w:spacing w:before="280" w:line="360" w:lineRule="auto"/>
        <w:ind w:left="567" w:firstLine="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Se reciba una solicitud de acceso a la información;</w:t>
      </w:r>
    </w:p>
    <w:p w14:paraId="024F66D5" w14:textId="77777777" w:rsidR="00C612CF" w:rsidRPr="0007190E" w:rsidRDefault="00C612CF" w:rsidP="00C612CF">
      <w:pPr>
        <w:numPr>
          <w:ilvl w:val="0"/>
          <w:numId w:val="11"/>
        </w:numPr>
        <w:tabs>
          <w:tab w:val="left" w:pos="851"/>
        </w:tabs>
        <w:spacing w:line="360" w:lineRule="auto"/>
        <w:ind w:left="567" w:firstLine="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Se determine mediante resolución de autoridad competente; y/o</w:t>
      </w:r>
    </w:p>
    <w:p w14:paraId="3B28B373" w14:textId="77777777" w:rsidR="00C612CF" w:rsidRPr="0007190E" w:rsidRDefault="00C612CF" w:rsidP="00C612CF">
      <w:pPr>
        <w:numPr>
          <w:ilvl w:val="0"/>
          <w:numId w:val="11"/>
        </w:numPr>
        <w:tabs>
          <w:tab w:val="left" w:pos="851"/>
        </w:tabs>
        <w:spacing w:after="280" w:line="360" w:lineRule="auto"/>
        <w:ind w:left="567" w:firstLine="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Se generen versiones públicas para dar cumplimiento a las obligaciones de transparencia previstas en la Ley.</w:t>
      </w:r>
    </w:p>
    <w:p w14:paraId="237913DB" w14:textId="77777777" w:rsidR="00C612CF" w:rsidRPr="0007190E" w:rsidRDefault="00C612CF" w:rsidP="00C612CF">
      <w:pPr>
        <w:spacing w:before="240" w:after="240" w:line="360" w:lineRule="auto"/>
        <w:ind w:right="13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Asimismo, los Sujetos Obligados deben observar, además, lo dispuesto en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que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6FB7134" w14:textId="77777777" w:rsidR="00C612CF" w:rsidRPr="0007190E" w:rsidRDefault="00C612CF" w:rsidP="00C612CF">
      <w:pPr>
        <w:spacing w:before="240" w:after="240" w:line="360" w:lineRule="auto"/>
        <w:ind w:right="13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En relación con las implicaciones anteriores, es de precisar que la clasificación de la información no se da por el simple mandato de la Ley, sino que es necesario que los Sujetos Obligados, cuando clasifiquen algún documento o información, ya sea todo o en parte, atiendan lo dispuesto por la Ley de la materia, siendo los titulares de las áreas los responsables de clasificar la información mediante el Comité de Transparencia por ser la autoridad máxima al interior de los Sujetos Obligados, al ser éste un Cuerpo Colegiado que se integra para resolver sobre la información que debe clasificarse, así como para atender y resolver los requerimientos de las Unidades de Transparencia y del Instituto.</w:t>
      </w:r>
    </w:p>
    <w:p w14:paraId="2732BE05" w14:textId="77777777" w:rsidR="00C612CF" w:rsidRPr="0007190E" w:rsidRDefault="00C612CF" w:rsidP="00C612CF">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En otras palabras, la clasificación es un trabajo en conjunto tanto de los Servidores Públicos Habilitados, de las Unidades de Transparencia y del Comité de Transparencia de los Sujetos Obligados, teniendo el deber los primeros de ellos de presentar ante la Unidad de Transparencia la propuesta de la clasificación de la información, para que luego, de así resultar procedente el proyecto de clasificación de la información se presente ante al Comité de Transparencia, y que finalmente, sea este último quien apruebe, modifique o revoque la misma, como se desprende de los artículos 49 fracciones II y VIII, 53 fracción X, y 59 fracción V, de la Ley de Transparencia y Acceso a la Información Pública del Estado de México y Municipios.</w:t>
      </w:r>
    </w:p>
    <w:p w14:paraId="60B08F78" w14:textId="77777777" w:rsidR="00C612CF" w:rsidRPr="0007190E" w:rsidRDefault="00C612CF" w:rsidP="00C612CF">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07190E">
        <w:rPr>
          <w:rFonts w:ascii="Palatino Linotype" w:hAnsi="Palatino Linotype"/>
          <w:sz w:val="22"/>
          <w:szCs w:val="22"/>
        </w:rPr>
        <w:lastRenderedPageBreak/>
        <w:t xml:space="preserve">Por lo tanto, </w:t>
      </w:r>
      <w:r w:rsidRPr="0007190E">
        <w:rPr>
          <w:rFonts w:ascii="Palatino Linotype" w:hAnsi="Palatino Linotype"/>
          <w:b/>
          <w:sz w:val="22"/>
          <w:szCs w:val="22"/>
        </w:rPr>
        <w:t>la restricción al Derecho de acceso a la información debe sustentarse</w:t>
      </w:r>
      <w:r w:rsidRPr="0007190E">
        <w:rPr>
          <w:rFonts w:ascii="Palatino Linotype" w:hAnsi="Palatino Linotype"/>
          <w:sz w:val="22"/>
          <w:szCs w:val="22"/>
        </w:rPr>
        <w:t xml:space="preserve"> </w:t>
      </w:r>
      <w:r w:rsidRPr="0007190E">
        <w:rPr>
          <w:rFonts w:ascii="Palatino Linotype" w:eastAsia="Palatino Linotype" w:hAnsi="Palatino Linotype" w:cs="Palatino Linotype"/>
          <w:b/>
          <w:sz w:val="22"/>
          <w:szCs w:val="22"/>
          <w:u w:val="single"/>
        </w:rPr>
        <w:t>necesariamente del Acuerdo del Comité de Transparencia</w:t>
      </w:r>
      <w:r w:rsidRPr="0007190E">
        <w:rPr>
          <w:rFonts w:ascii="Palatino Linotype" w:eastAsia="Palatino Linotype" w:hAnsi="Palatino Linotype" w:cs="Palatino Linotype"/>
          <w:b/>
          <w:sz w:val="22"/>
          <w:szCs w:val="22"/>
        </w:rPr>
        <w:t xml:space="preserve"> </w:t>
      </w:r>
      <w:r w:rsidRPr="0007190E">
        <w:rPr>
          <w:rFonts w:ascii="Palatino Linotype" w:eastAsia="Palatino Linotype" w:hAnsi="Palatino Linotype" w:cs="Palatino Linotype"/>
          <w:sz w:val="22"/>
          <w:szCs w:val="22"/>
        </w:rPr>
        <w:t xml:space="preserve">mediante el cual </w:t>
      </w:r>
      <w:r w:rsidRPr="0007190E">
        <w:rPr>
          <w:rFonts w:ascii="Palatino Linotype" w:eastAsia="Palatino Linotype" w:hAnsi="Palatino Linotype" w:cs="Palatino Linotype"/>
          <w:b/>
          <w:sz w:val="22"/>
          <w:szCs w:val="22"/>
        </w:rPr>
        <w:t xml:space="preserve">se expongan  </w:t>
      </w:r>
      <w:r w:rsidRPr="0007190E">
        <w:rPr>
          <w:rFonts w:ascii="Palatino Linotype" w:eastAsia="Palatino Linotype" w:hAnsi="Palatino Linotype" w:cs="Palatino Linotype"/>
          <w:b/>
          <w:sz w:val="22"/>
          <w:szCs w:val="22"/>
          <w:u w:val="single"/>
        </w:rPr>
        <w:t>de manera fundada y motivada, los fundamentos y razonamientos que llevaron al Sujeto Obligado a restringir el acceso a la información</w:t>
      </w:r>
      <w:r w:rsidRPr="0007190E">
        <w:rPr>
          <w:rFonts w:ascii="Palatino Linotype" w:eastAsia="Palatino Linotype" w:hAnsi="Palatino Linotype" w:cs="Palatino Linotype"/>
          <w:b/>
          <w:sz w:val="22"/>
          <w:szCs w:val="22"/>
        </w:rPr>
        <w:t>, ya sea en su totalidad o de forma parcial</w:t>
      </w:r>
      <w:r w:rsidRPr="0007190E">
        <w:rPr>
          <w:rFonts w:ascii="Palatino Linotype" w:eastAsia="Palatino Linotype" w:hAnsi="Palatino Linotype" w:cs="Palatino Linotype"/>
          <w:sz w:val="22"/>
          <w:szCs w:val="22"/>
        </w:rPr>
        <w:t>, ya que de no hacerlo, se deja a la persona solicitante en estado de incertidumbre al no conocer o comprender la razón por la cual no se le permitió el acceso a la información, o por qué no se aprecian determinados datos en la documentación respectiva.</w:t>
      </w:r>
    </w:p>
    <w:p w14:paraId="707CDDA3" w14:textId="77777777" w:rsidR="00C612CF" w:rsidRPr="0007190E" w:rsidRDefault="00C612CF" w:rsidP="00C612CF">
      <w:pPr>
        <w:pBdr>
          <w:top w:val="nil"/>
          <w:left w:val="nil"/>
          <w:bottom w:val="nil"/>
          <w:right w:val="nil"/>
          <w:between w:val="nil"/>
        </w:pBdr>
        <w:spacing w:before="240" w:after="240" w:line="360" w:lineRule="auto"/>
        <w:jc w:val="both"/>
        <w:rPr>
          <w:rFonts w:ascii="Palatino Linotype" w:hAnsi="Palatino Linotype"/>
          <w:sz w:val="22"/>
          <w:szCs w:val="22"/>
        </w:rPr>
      </w:pPr>
      <w:r w:rsidRPr="0007190E">
        <w:rPr>
          <w:rFonts w:ascii="Palatino Linotype" w:hAnsi="Palatino Linotype"/>
          <w:sz w:val="22"/>
          <w:szCs w:val="22"/>
        </w:rPr>
        <w:t xml:space="preserve">En el caso que se analiza, es de señalar que el </w:t>
      </w:r>
      <w:r w:rsidRPr="0007190E">
        <w:rPr>
          <w:rFonts w:ascii="Palatino Linotype" w:hAnsi="Palatino Linotype"/>
          <w:b/>
          <w:sz w:val="22"/>
          <w:szCs w:val="22"/>
        </w:rPr>
        <w:t xml:space="preserve">Sujeto Obligado, </w:t>
      </w:r>
      <w:r w:rsidRPr="0007190E">
        <w:rPr>
          <w:rFonts w:ascii="Palatino Linotype" w:hAnsi="Palatino Linotype"/>
          <w:sz w:val="22"/>
          <w:szCs w:val="22"/>
        </w:rPr>
        <w:t>no hizo entrega del acta del Comité de Trasparencia mediante la cual, de manera fundada y motivada, restringiera el acceso a la información requerida por la persona solicitante, por lo tanto es evidente que se vulneró su Derecho de acceso.</w:t>
      </w:r>
    </w:p>
    <w:p w14:paraId="656FEE28" w14:textId="77777777" w:rsidR="00C612CF" w:rsidRPr="0007190E" w:rsidRDefault="0029535C" w:rsidP="00C612CF">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En tal contexto, para determinar la procedencia de la clasificación del padrón catastral, es oportuno analizar la naturaleza del mismo, para lo cual es imprescindible partir de lo establecido en el artículo 168 del Código Financiero del Estado de México, donde se precisa que el Catastro es el sistema de información territorial, cuyo propósito es integrar, conservar y mantener actualizados el padrón catastral estatal y los padrones municipales de la Entidad; además, el artículo en cita define el padrón catastral es el inventario analítico que contiene los datos técnicos y administrativos de los inmuebles y está conformado por el conjunto de registros geográficos, gráficos, estadísticos, alfanuméricos y elementos y características resultantes de las actividades catastrales.</w:t>
      </w:r>
    </w:p>
    <w:p w14:paraId="432B6BA1" w14:textId="77777777" w:rsidR="00C612CF" w:rsidRPr="0007190E" w:rsidRDefault="00C612CF" w:rsidP="00C612CF">
      <w:pPr>
        <w:spacing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En correlación con la disposición insertada previamente, el artículo 180 del multicitado Código, detalla la composición del padrón catastral, mismo que se inserta a continuación para mejor proveer del presente estudio: </w:t>
      </w:r>
    </w:p>
    <w:p w14:paraId="421A4E1E" w14:textId="77777777" w:rsidR="00371925" w:rsidRPr="0007190E" w:rsidRDefault="00371925" w:rsidP="00C612CF">
      <w:pPr>
        <w:spacing w:line="360" w:lineRule="auto"/>
        <w:ind w:right="49"/>
        <w:jc w:val="both"/>
        <w:rPr>
          <w:rFonts w:ascii="Palatino Linotype" w:eastAsia="Palatino Linotype" w:hAnsi="Palatino Linotype" w:cs="Palatino Linotype"/>
          <w:sz w:val="22"/>
          <w:szCs w:val="22"/>
        </w:rPr>
      </w:pPr>
    </w:p>
    <w:p w14:paraId="73CCC88A" w14:textId="77777777" w:rsidR="00C612CF" w:rsidRPr="0007190E" w:rsidRDefault="00C612CF" w:rsidP="00C612CF">
      <w:pPr>
        <w:spacing w:line="276" w:lineRule="auto"/>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lastRenderedPageBreak/>
        <w:t xml:space="preserve">“Artículo 180.- El padrón catastral </w:t>
      </w:r>
      <w:r w:rsidRPr="0007190E">
        <w:rPr>
          <w:rFonts w:ascii="Palatino Linotype" w:eastAsia="Palatino Linotype" w:hAnsi="Palatino Linotype" w:cs="Palatino Linotype"/>
          <w:b/>
          <w:i/>
          <w:sz w:val="22"/>
          <w:szCs w:val="22"/>
          <w:u w:val="single"/>
        </w:rPr>
        <w:t>se integra por un registro alfanumérico y un registro gráfico y deberán contener los datos, catálogos y especificaciones establecidos en el reglamento de este Título</w:t>
      </w:r>
      <w:r w:rsidRPr="0007190E">
        <w:rPr>
          <w:rFonts w:ascii="Palatino Linotype" w:eastAsia="Palatino Linotype" w:hAnsi="Palatino Linotype" w:cs="Palatino Linotype"/>
          <w:b/>
          <w:i/>
          <w:sz w:val="22"/>
          <w:szCs w:val="22"/>
        </w:rPr>
        <w:t>, el Manual Catastral y demás disposiciones aplicables a la materia.”</w:t>
      </w:r>
    </w:p>
    <w:p w14:paraId="12365A29" w14:textId="77777777" w:rsidR="00C612CF" w:rsidRPr="0007190E" w:rsidRDefault="00C612CF" w:rsidP="00C612CF">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 manera que como se visualiza con la cita insertada a previamente, el padrón catastral se compone de dos registros respectivamente: uno que es alfanumérico y otro que es el registro gráfico, por lo que bajo esta línea de pensamiento conviene desglosar los elementos que contienen tanto el registro alfanumérico como el gráfico, para lo cual, es necesario traer a colación lo referido por el artículo 29 del Reglamento del Título Quinto del Código Financiero del Estado de México y Municipios, Denominado “Del Catastro”: </w:t>
      </w:r>
    </w:p>
    <w:p w14:paraId="4A2D8C78"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i/>
          <w:sz w:val="22"/>
          <w:szCs w:val="22"/>
        </w:rPr>
        <w:t>Artículo 29.- Los datos, catálogos y especificaciones a que se refiere el artículo 180 del Código, serán como mínimo los siguientes:</w:t>
      </w:r>
    </w:p>
    <w:p w14:paraId="5072AC90"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u w:val="single"/>
        </w:rPr>
      </w:pPr>
      <w:r w:rsidRPr="0007190E">
        <w:rPr>
          <w:rFonts w:ascii="Palatino Linotype" w:eastAsia="Palatino Linotype" w:hAnsi="Palatino Linotype" w:cs="Palatino Linotype"/>
          <w:b/>
          <w:i/>
          <w:sz w:val="22"/>
          <w:szCs w:val="22"/>
          <w:u w:val="single"/>
        </w:rPr>
        <w:t>I. El registro alfanumérico deberá contener:</w:t>
      </w:r>
    </w:p>
    <w:p w14:paraId="5A52E967"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A. Datos del inmueble:</w:t>
      </w:r>
    </w:p>
    <w:p w14:paraId="39D0ED22"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1. Clave catastral.</w:t>
      </w:r>
    </w:p>
    <w:p w14:paraId="1F260D97"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2. </w:t>
      </w:r>
      <w:r w:rsidRPr="0007190E">
        <w:rPr>
          <w:rFonts w:ascii="Palatino Linotype" w:eastAsia="Palatino Linotype" w:hAnsi="Palatino Linotype" w:cs="Palatino Linotype"/>
          <w:b/>
          <w:i/>
          <w:sz w:val="22"/>
          <w:szCs w:val="22"/>
        </w:rPr>
        <w:t>Nombre del propietario o poseedor.</w:t>
      </w:r>
    </w:p>
    <w:p w14:paraId="11E42456"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3. Clave Única de Registro de Población (CURP).</w:t>
      </w:r>
    </w:p>
    <w:p w14:paraId="7852BFD8"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4. Ubicación del predio.</w:t>
      </w:r>
    </w:p>
    <w:p w14:paraId="1996C20C"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5. Domicilio para recibir notificaciones.</w:t>
      </w:r>
    </w:p>
    <w:p w14:paraId="479F1482"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6. Superficie total del terreno.</w:t>
      </w:r>
    </w:p>
    <w:p w14:paraId="3CE2AA60"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7. Superficie privativa del terreno en condominio.</w:t>
      </w:r>
    </w:p>
    <w:p w14:paraId="5EAEF4F9"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8. Superficie común del terreno en condominio</w:t>
      </w:r>
    </w:p>
    <w:p w14:paraId="78F8D4F6"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9. Características del terreno.</w:t>
      </w:r>
    </w:p>
    <w:p w14:paraId="7D0EDFC5"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10.Superficie total de construcción.</w:t>
      </w:r>
    </w:p>
    <w:p w14:paraId="3EAB72E4"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11.Superficie privativa de la construcción en condominio.</w:t>
      </w:r>
    </w:p>
    <w:p w14:paraId="52636513"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12.Superficie común de la construcción en condominio.</w:t>
      </w:r>
    </w:p>
    <w:p w14:paraId="4A297859"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13.Características de la construcción.</w:t>
      </w:r>
    </w:p>
    <w:p w14:paraId="33FABE22"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14.Uso del Suelo.</w:t>
      </w:r>
    </w:p>
    <w:p w14:paraId="355CE2FD"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lastRenderedPageBreak/>
        <w:t>15.Uso específico del predio.</w:t>
      </w:r>
    </w:p>
    <w:p w14:paraId="477CC612"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16.Régimen jurídico de la propiedad.</w:t>
      </w:r>
    </w:p>
    <w:p w14:paraId="18C7894B"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17. Valor catastral total.</w:t>
      </w:r>
    </w:p>
    <w:p w14:paraId="39EAB32D"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18. Valor catastral del terreno.</w:t>
      </w:r>
    </w:p>
    <w:p w14:paraId="7BE89046"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u w:val="single"/>
        </w:rPr>
      </w:pPr>
      <w:r w:rsidRPr="0007190E">
        <w:rPr>
          <w:rFonts w:ascii="Palatino Linotype" w:eastAsia="Palatino Linotype" w:hAnsi="Palatino Linotype" w:cs="Palatino Linotype"/>
          <w:b/>
          <w:i/>
          <w:sz w:val="22"/>
          <w:szCs w:val="22"/>
        </w:rPr>
        <w:t>19. Valor catastral de la construcción</w:t>
      </w:r>
      <w:r w:rsidRPr="0007190E">
        <w:rPr>
          <w:rFonts w:ascii="Palatino Linotype" w:eastAsia="Palatino Linotype" w:hAnsi="Palatino Linotype" w:cs="Palatino Linotype"/>
          <w:b/>
          <w:i/>
          <w:sz w:val="22"/>
          <w:szCs w:val="22"/>
          <w:u w:val="single"/>
        </w:rPr>
        <w:t>.</w:t>
      </w:r>
    </w:p>
    <w:p w14:paraId="23F3BFD9"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u w:val="single"/>
        </w:rPr>
      </w:pPr>
      <w:r w:rsidRPr="0007190E">
        <w:rPr>
          <w:rFonts w:ascii="Palatino Linotype" w:eastAsia="Palatino Linotype" w:hAnsi="Palatino Linotype" w:cs="Palatino Linotype"/>
          <w:b/>
          <w:i/>
          <w:sz w:val="22"/>
          <w:szCs w:val="22"/>
          <w:u w:val="single"/>
        </w:rPr>
        <w:t>B. Catálogos operativos:</w:t>
      </w:r>
    </w:p>
    <w:p w14:paraId="5913A965"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 Localidades.</w:t>
      </w:r>
    </w:p>
    <w:p w14:paraId="62565F0E"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2. Colonias.</w:t>
      </w:r>
    </w:p>
    <w:p w14:paraId="26899459"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3. Áreas Homogéneas.</w:t>
      </w:r>
    </w:p>
    <w:p w14:paraId="070CE244"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4. Tipologías de construcción.</w:t>
      </w:r>
    </w:p>
    <w:p w14:paraId="14510C91"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5. Bandas de valor.</w:t>
      </w:r>
    </w:p>
    <w:p w14:paraId="045BE38E"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6. Manzanas.</w:t>
      </w:r>
    </w:p>
    <w:p w14:paraId="54357FFF"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7. Calles.</w:t>
      </w:r>
    </w:p>
    <w:p w14:paraId="237C496F"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p>
    <w:p w14:paraId="7219DB19"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u w:val="single"/>
        </w:rPr>
      </w:pPr>
      <w:r w:rsidRPr="0007190E">
        <w:rPr>
          <w:rFonts w:ascii="Palatino Linotype" w:eastAsia="Palatino Linotype" w:hAnsi="Palatino Linotype" w:cs="Palatino Linotype"/>
          <w:b/>
          <w:i/>
          <w:sz w:val="22"/>
          <w:szCs w:val="22"/>
          <w:u w:val="single"/>
        </w:rPr>
        <w:t>C. Catálogos normativos:</w:t>
      </w:r>
    </w:p>
    <w:p w14:paraId="64F73BA0"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 Delegaciones regionales.</w:t>
      </w:r>
    </w:p>
    <w:p w14:paraId="7BB7588A"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2. Municipios.</w:t>
      </w:r>
    </w:p>
    <w:p w14:paraId="43CCAA28"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3. Tipos de vialidad</w:t>
      </w:r>
    </w:p>
    <w:p w14:paraId="1DA89C78"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4. Régimen de propiedad.</w:t>
      </w:r>
    </w:p>
    <w:p w14:paraId="68877C8F"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5. Uso del suelo.</w:t>
      </w:r>
    </w:p>
    <w:p w14:paraId="30C27967"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6. Usos específicos de los predios.</w:t>
      </w:r>
    </w:p>
    <w:p w14:paraId="2FB83D22"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7. Tipos de mérito / demérito.</w:t>
      </w:r>
    </w:p>
    <w:p w14:paraId="4A0E1D97"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8. Factores de mérito / demérito.</w:t>
      </w:r>
    </w:p>
    <w:p w14:paraId="1A91F456"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p>
    <w:p w14:paraId="6C574FD8"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II. El registro gráfico deberá contener:</w:t>
      </w:r>
    </w:p>
    <w:p w14:paraId="6C9F120B"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u w:val="single"/>
        </w:rPr>
      </w:pPr>
      <w:r w:rsidRPr="0007190E">
        <w:rPr>
          <w:rFonts w:ascii="Palatino Linotype" w:eastAsia="Palatino Linotype" w:hAnsi="Palatino Linotype" w:cs="Palatino Linotype"/>
          <w:b/>
          <w:i/>
          <w:sz w:val="22"/>
          <w:szCs w:val="22"/>
          <w:u w:val="single"/>
        </w:rPr>
        <w:t>A. Tratándose de la cartografía vectorial catastral a nivel de manzana:</w:t>
      </w:r>
    </w:p>
    <w:p w14:paraId="2D842483"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 Delimitación municipal.</w:t>
      </w:r>
    </w:p>
    <w:p w14:paraId="41797A73"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2. Delimitación de zonas catastrales.</w:t>
      </w:r>
    </w:p>
    <w:p w14:paraId="6C5B64D7"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3. Delimitación de áreas homogéneas.</w:t>
      </w:r>
    </w:p>
    <w:p w14:paraId="09388EDC"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lastRenderedPageBreak/>
        <w:t>4. Delimitación de bandas de valor.</w:t>
      </w:r>
    </w:p>
    <w:p w14:paraId="59CD400C"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5. Delimitación y código de manzanas.</w:t>
      </w:r>
    </w:p>
    <w:p w14:paraId="321EFA0E"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6. Código de clave de calle.</w:t>
      </w:r>
    </w:p>
    <w:p w14:paraId="696BC1ED"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7. Nombre de la calle.</w:t>
      </w:r>
    </w:p>
    <w:p w14:paraId="65FB8EF1" w14:textId="77777777" w:rsidR="00C612CF" w:rsidRPr="0007190E" w:rsidRDefault="00C612CF" w:rsidP="00C612CF">
      <w:pPr>
        <w:spacing w:before="120" w:after="120"/>
        <w:ind w:left="851" w:right="851"/>
        <w:jc w:val="both"/>
        <w:rPr>
          <w:rFonts w:ascii="Palatino Linotype" w:eastAsia="Palatino Linotype" w:hAnsi="Palatino Linotype" w:cs="Palatino Linotype"/>
          <w:b/>
          <w:i/>
          <w:sz w:val="22"/>
          <w:szCs w:val="22"/>
          <w:u w:val="single"/>
        </w:rPr>
      </w:pPr>
      <w:r w:rsidRPr="0007190E">
        <w:rPr>
          <w:rFonts w:ascii="Palatino Linotype" w:eastAsia="Palatino Linotype" w:hAnsi="Palatino Linotype" w:cs="Palatino Linotype"/>
          <w:b/>
          <w:i/>
          <w:sz w:val="22"/>
          <w:szCs w:val="22"/>
          <w:u w:val="single"/>
        </w:rPr>
        <w:t>B. En el caso de la cartografía vectorial catastral a nivel de predio, además de lo anterior:</w:t>
      </w:r>
    </w:p>
    <w:p w14:paraId="7EA79853"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1. Clave catastral.</w:t>
      </w:r>
    </w:p>
    <w:p w14:paraId="7E8BB41D"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2. Delimitación del predio.</w:t>
      </w:r>
    </w:p>
    <w:p w14:paraId="5089C86D"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3. Superficie total de terreno.</w:t>
      </w:r>
    </w:p>
    <w:p w14:paraId="50DADC3B"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4. Perímetro y superficie de las construcciones.</w:t>
      </w:r>
    </w:p>
    <w:p w14:paraId="773FAD14"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5. Representación del número de niveles de las construcciones.</w:t>
      </w:r>
    </w:p>
    <w:p w14:paraId="60DFDCD0"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6. Número oficial.”</w:t>
      </w:r>
    </w:p>
    <w:p w14:paraId="0726FDD8" w14:textId="77777777" w:rsidR="00C612CF" w:rsidRPr="0007190E" w:rsidRDefault="00C612CF" w:rsidP="00C612CF">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Delimitado lo anterior, se advierte que existen dos elementos que componen al padrón catastral: </w:t>
      </w:r>
      <w:r w:rsidRPr="0007190E">
        <w:rPr>
          <w:rFonts w:ascii="Palatino Linotype" w:eastAsia="Palatino Linotype" w:hAnsi="Palatino Linotype" w:cs="Palatino Linotype"/>
          <w:b/>
          <w:sz w:val="22"/>
          <w:szCs w:val="22"/>
          <w:u w:val="single"/>
        </w:rPr>
        <w:t>el registro alfanumérico y el registro gráfico</w:t>
      </w:r>
      <w:r w:rsidRPr="0007190E">
        <w:rPr>
          <w:rFonts w:ascii="Palatino Linotype" w:eastAsia="Palatino Linotype" w:hAnsi="Palatino Linotype" w:cs="Palatino Linotype"/>
          <w:sz w:val="22"/>
          <w:szCs w:val="22"/>
        </w:rPr>
        <w:t>.</w:t>
      </w:r>
    </w:p>
    <w:p w14:paraId="5422CB98" w14:textId="77777777" w:rsidR="00C612CF" w:rsidRPr="0007190E" w:rsidRDefault="00C612CF" w:rsidP="00C612CF">
      <w:pPr>
        <w:numPr>
          <w:ilvl w:val="0"/>
          <w:numId w:val="2"/>
        </w:numPr>
        <w:pBdr>
          <w:top w:val="nil"/>
          <w:left w:val="nil"/>
          <w:bottom w:val="nil"/>
          <w:right w:val="nil"/>
          <w:between w:val="nil"/>
        </w:pBdr>
        <w:spacing w:before="240" w:after="240" w:line="360" w:lineRule="auto"/>
        <w:ind w:left="567" w:right="51" w:hanging="141"/>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Del registro alfanumérico</w:t>
      </w:r>
    </w:p>
    <w:p w14:paraId="55E96C58" w14:textId="77777777" w:rsidR="00C612CF" w:rsidRPr="0007190E" w:rsidRDefault="00C612CF" w:rsidP="00C612CF">
      <w:pPr>
        <w:spacing w:before="240" w:after="240" w:line="360" w:lineRule="auto"/>
        <w:ind w:right="51"/>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sz w:val="22"/>
          <w:szCs w:val="22"/>
        </w:rPr>
        <w:t xml:space="preserve">Previo análisis de este registro, resulta importante señalar que se compone de tres elementos: </w:t>
      </w:r>
      <w:r w:rsidRPr="0007190E">
        <w:rPr>
          <w:rFonts w:ascii="Palatino Linotype" w:eastAsia="Palatino Linotype" w:hAnsi="Palatino Linotype" w:cs="Palatino Linotype"/>
          <w:b/>
          <w:sz w:val="22"/>
          <w:szCs w:val="22"/>
        </w:rPr>
        <w:t>datos del inmueble, catálogos operativos y catálogos normativos.</w:t>
      </w:r>
    </w:p>
    <w:p w14:paraId="76EE5BE9" w14:textId="77777777" w:rsidR="00C612CF" w:rsidRPr="0007190E" w:rsidRDefault="00C612CF" w:rsidP="00C612CF">
      <w:pPr>
        <w:spacing w:before="240" w:after="240" w:line="360" w:lineRule="auto"/>
        <w:ind w:right="51"/>
        <w:jc w:val="both"/>
        <w:rPr>
          <w:rFonts w:ascii="Palatino Linotype" w:eastAsia="Palatino Linotype" w:hAnsi="Palatino Linotype" w:cs="Palatino Linotype"/>
          <w:b/>
          <w:sz w:val="22"/>
          <w:szCs w:val="22"/>
          <w:u w:val="single"/>
        </w:rPr>
      </w:pPr>
      <w:r w:rsidRPr="0007190E">
        <w:rPr>
          <w:rFonts w:ascii="Palatino Linotype" w:eastAsia="Palatino Linotype" w:hAnsi="Palatino Linotype" w:cs="Palatino Linotype"/>
          <w:sz w:val="22"/>
          <w:szCs w:val="22"/>
        </w:rPr>
        <w:t xml:space="preserve">En este sentido, se entienden </w:t>
      </w:r>
      <w:r w:rsidRPr="0007190E">
        <w:rPr>
          <w:rFonts w:ascii="Palatino Linotype" w:eastAsia="Palatino Linotype" w:hAnsi="Palatino Linotype" w:cs="Palatino Linotype"/>
          <w:b/>
          <w:sz w:val="22"/>
          <w:szCs w:val="22"/>
          <w:u w:val="single"/>
        </w:rPr>
        <w:t>los datos del inmueble</w:t>
      </w:r>
      <w:r w:rsidRPr="0007190E">
        <w:rPr>
          <w:rFonts w:ascii="Palatino Linotype" w:eastAsia="Palatino Linotype" w:hAnsi="Palatino Linotype" w:cs="Palatino Linotype"/>
          <w:sz w:val="22"/>
          <w:szCs w:val="22"/>
        </w:rPr>
        <w:t xml:space="preserve"> como aquellos que dan cuenta de la propiedad de una persona sobre el bien, como por ejemplo: la clave catastral, nombre del propietario, ubicación del predio, uso del suelo, régimen jurídico de la propiedad, valor del terreno, valor de la construcción, etc, por lo tanto, se determina que estos datos conducen a la identificación de predios que son propiedad de los particulares, en consecuencia, </w:t>
      </w:r>
      <w:r w:rsidRPr="0007190E">
        <w:rPr>
          <w:rFonts w:ascii="Palatino Linotype" w:eastAsia="Palatino Linotype" w:hAnsi="Palatino Linotype" w:cs="Palatino Linotype"/>
          <w:b/>
          <w:szCs w:val="22"/>
          <w:u w:val="single"/>
        </w:rPr>
        <w:t>no es susceptible de entrega esta información y, por el contrario, procede su clasificación como confidencial</w:t>
      </w:r>
      <w:r w:rsidRPr="0007190E">
        <w:rPr>
          <w:rFonts w:ascii="Palatino Linotype" w:eastAsia="Palatino Linotype" w:hAnsi="Palatino Linotype" w:cs="Palatino Linotype"/>
          <w:szCs w:val="22"/>
          <w:u w:val="single"/>
        </w:rPr>
        <w:t>,</w:t>
      </w:r>
      <w:r w:rsidRPr="0007190E">
        <w:rPr>
          <w:rFonts w:ascii="Palatino Linotype" w:eastAsia="Palatino Linotype" w:hAnsi="Palatino Linotype" w:cs="Palatino Linotype"/>
          <w:sz w:val="22"/>
          <w:szCs w:val="22"/>
        </w:rPr>
        <w:t xml:space="preserve"> de conformidad con lo dispuesto en los artículos 3, fracciones IX, XX y XXI, 91, y 143 fracción I de la Ley de Transparencia y Acceso a la </w:t>
      </w:r>
      <w:r w:rsidRPr="0007190E">
        <w:rPr>
          <w:rFonts w:ascii="Palatino Linotype" w:eastAsia="Palatino Linotype" w:hAnsi="Palatino Linotype" w:cs="Palatino Linotype"/>
          <w:sz w:val="22"/>
          <w:szCs w:val="22"/>
        </w:rPr>
        <w:lastRenderedPageBreak/>
        <w:t xml:space="preserve">Información Pública del Estado de México y Municipios </w:t>
      </w:r>
      <w:r w:rsidRPr="0007190E">
        <w:rPr>
          <w:rFonts w:ascii="Palatino Linotype" w:eastAsia="Palatino Linotype" w:hAnsi="Palatino Linotype" w:cs="Palatino Linotype"/>
          <w:b/>
          <w:sz w:val="22"/>
          <w:szCs w:val="22"/>
          <w:u w:val="single"/>
        </w:rPr>
        <w:t>porque se trata de información de carácter patrimonial que puede vincularse a particulares.</w:t>
      </w:r>
    </w:p>
    <w:p w14:paraId="3148E1B9" w14:textId="77777777" w:rsidR="00C612CF" w:rsidRPr="0007190E" w:rsidRDefault="00C612CF" w:rsidP="00C612CF">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Asimismo, atendiendo a la naturaleza de la información que se solicita, no obsta mencionar que </w:t>
      </w:r>
      <w:r w:rsidRPr="0007190E">
        <w:rPr>
          <w:rFonts w:ascii="Palatino Linotype" w:eastAsia="Palatino Linotype" w:hAnsi="Palatino Linotype" w:cs="Palatino Linotype"/>
          <w:b/>
          <w:sz w:val="22"/>
          <w:szCs w:val="22"/>
          <w:u w:val="single"/>
        </w:rPr>
        <w:t>la información relativa a los bienes inmuebles propiedad de instituciones públicas o bienes de dominio público que se encuentre contenida en el padrón catastral, no actualiza la causal de clasificación establecida en el artículo 143, fracción I, de la Ley de Transparencia y Acceso a la Información Pública del Estado de México y Municipios, pues se trata del patrimonio con el que cuentan, el cual es administrado y utilizado por las entidades gubernamentales para cumplir con sus funciones,</w:t>
      </w:r>
      <w:r w:rsidRPr="0007190E">
        <w:rPr>
          <w:rFonts w:ascii="Palatino Linotype" w:eastAsia="Palatino Linotype" w:hAnsi="Palatino Linotype" w:cs="Palatino Linotype"/>
          <w:sz w:val="22"/>
          <w:szCs w:val="22"/>
        </w:rPr>
        <w:t xml:space="preserve"> razón por la cual </w:t>
      </w:r>
      <w:r w:rsidRPr="0007190E">
        <w:rPr>
          <w:rFonts w:ascii="Palatino Linotype" w:eastAsia="Palatino Linotype" w:hAnsi="Palatino Linotype" w:cs="Palatino Linotype"/>
          <w:b/>
          <w:sz w:val="22"/>
          <w:szCs w:val="22"/>
          <w:u w:val="single"/>
        </w:rPr>
        <w:t>únicamente es susceptible de clasificación bajo dicho supuesto la información relativa a los predios propiedad de particulares</w:t>
      </w:r>
      <w:r w:rsidRPr="0007190E">
        <w:rPr>
          <w:rFonts w:ascii="Palatino Linotype" w:eastAsia="Palatino Linotype" w:hAnsi="Palatino Linotype" w:cs="Palatino Linotype"/>
          <w:sz w:val="22"/>
          <w:szCs w:val="22"/>
        </w:rPr>
        <w:t>.</w:t>
      </w:r>
    </w:p>
    <w:p w14:paraId="54083539" w14:textId="098C65C6" w:rsidR="00C612CF" w:rsidRPr="0007190E" w:rsidRDefault="00C612CF" w:rsidP="00C612CF">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Por cuanto hace a </w:t>
      </w:r>
      <w:r w:rsidRPr="0007190E">
        <w:rPr>
          <w:rFonts w:ascii="Palatino Linotype" w:eastAsia="Palatino Linotype" w:hAnsi="Palatino Linotype" w:cs="Palatino Linotype"/>
          <w:b/>
          <w:sz w:val="22"/>
          <w:szCs w:val="22"/>
          <w:u w:val="single"/>
        </w:rPr>
        <w:t>los catálogos operativos</w:t>
      </w:r>
      <w:r w:rsidRPr="0007190E">
        <w:rPr>
          <w:rFonts w:ascii="Palatino Linotype" w:eastAsia="Palatino Linotype" w:hAnsi="Palatino Linotype" w:cs="Palatino Linotype"/>
          <w:sz w:val="22"/>
          <w:szCs w:val="22"/>
        </w:rPr>
        <w:t>, se tiene que este rubro se compone por información de las localidades, colonias, áreas homogéneas, tipologías de construcción, banda</w:t>
      </w:r>
      <w:r w:rsidR="00371925" w:rsidRPr="0007190E">
        <w:rPr>
          <w:rFonts w:ascii="Palatino Linotype" w:eastAsia="Palatino Linotype" w:hAnsi="Palatino Linotype" w:cs="Palatino Linotype"/>
          <w:sz w:val="22"/>
          <w:szCs w:val="22"/>
        </w:rPr>
        <w:t xml:space="preserve">s de valor, manzanas y calles. </w:t>
      </w:r>
      <w:r w:rsidRPr="0007190E">
        <w:rPr>
          <w:rFonts w:ascii="Palatino Linotype" w:eastAsia="Palatino Linotype" w:hAnsi="Palatino Linotype" w:cs="Palatino Linotype"/>
          <w:sz w:val="22"/>
          <w:szCs w:val="22"/>
        </w:rPr>
        <w:t xml:space="preserve">Resulta importante destacar que conforme a lo dispuesto por el Manual Catastral del Estado de México, estos elementos a su vez se remiten al Instituto de Información e Investigación Geográfica, Estadística y Catastral del Estado de México (IGECEM) para permitir la aplicación del modelo de valuación catastral. Dicha valuación, en términos del Reglamento del Título Quinto del Código Financiero del Estado de México y Municipios, Denominado “Del Catastro”, se define como la actividad que determina el valor catastral de los inmuebles, aplicando estrictamente las Tablas de Valores Unitarios de Suelo y Construcciones aprobadas por la Legislatura y las normas, lineamientos y procedimientos establecidos en este Reglamento y el Manual Catastral. No podemos perder de vista que su utilidad se encuentra cuando la persona física o jurídica colectiva, la dependencia o entidad pública estatal o municipal requiere conocer el valor catastral de un inmueble, </w:t>
      </w:r>
      <w:r w:rsidRPr="0007190E">
        <w:rPr>
          <w:rFonts w:ascii="Palatino Linotype" w:eastAsia="Palatino Linotype" w:hAnsi="Palatino Linotype" w:cs="Palatino Linotype"/>
          <w:b/>
          <w:sz w:val="22"/>
          <w:szCs w:val="22"/>
          <w:u w:val="single"/>
        </w:rPr>
        <w:t xml:space="preserve">principalmente para efecto de la determinación correcta de la base gravable para calcular el monto de pago de impuestos y derechos sobre el bien de </w:t>
      </w:r>
      <w:r w:rsidRPr="0007190E">
        <w:rPr>
          <w:rFonts w:ascii="Palatino Linotype" w:eastAsia="Palatino Linotype" w:hAnsi="Palatino Linotype" w:cs="Palatino Linotype"/>
          <w:b/>
          <w:sz w:val="22"/>
          <w:szCs w:val="22"/>
          <w:u w:val="single"/>
        </w:rPr>
        <w:lastRenderedPageBreak/>
        <w:t>que se trate, como puede ser el cálculo del impuesto predial</w:t>
      </w:r>
      <w:r w:rsidRPr="0007190E">
        <w:rPr>
          <w:rFonts w:ascii="Palatino Linotype" w:eastAsia="Palatino Linotype" w:hAnsi="Palatino Linotype" w:cs="Palatino Linotype"/>
          <w:b/>
          <w:sz w:val="22"/>
          <w:szCs w:val="22"/>
        </w:rPr>
        <w:t xml:space="preserve">, </w:t>
      </w:r>
      <w:r w:rsidRPr="0007190E">
        <w:rPr>
          <w:rFonts w:ascii="Palatino Linotype" w:eastAsia="Palatino Linotype" w:hAnsi="Palatino Linotype" w:cs="Palatino Linotype"/>
          <w:sz w:val="22"/>
          <w:szCs w:val="22"/>
        </w:rPr>
        <w:t xml:space="preserve">por lo tanto, </w:t>
      </w:r>
      <w:r w:rsidRPr="0007190E">
        <w:rPr>
          <w:rFonts w:ascii="Palatino Linotype" w:eastAsia="Palatino Linotype" w:hAnsi="Palatino Linotype" w:cs="Palatino Linotype"/>
          <w:b/>
          <w:sz w:val="22"/>
          <w:szCs w:val="22"/>
        </w:rPr>
        <w:t>se considera que esta información es susceptible de darse a conocer al público, pues reviste un interés a la colectividad al formar parte de los elementos que permiten la implementación de la valuación catastral</w:t>
      </w:r>
      <w:r w:rsidRPr="0007190E">
        <w:rPr>
          <w:rFonts w:ascii="Palatino Linotype" w:eastAsia="Palatino Linotype" w:hAnsi="Palatino Linotype" w:cs="Palatino Linotype"/>
          <w:sz w:val="22"/>
          <w:szCs w:val="22"/>
        </w:rPr>
        <w:t xml:space="preserve"> que a su vez sirve para el cálculo de impuestos o derechos.</w:t>
      </w:r>
    </w:p>
    <w:p w14:paraId="59EE9C54" w14:textId="77777777" w:rsidR="00C612CF" w:rsidRPr="0007190E" w:rsidRDefault="00C612CF" w:rsidP="00C612CF">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Finalmente, sobre este apartado tenemos a los </w:t>
      </w:r>
      <w:r w:rsidRPr="0007190E">
        <w:rPr>
          <w:rFonts w:ascii="Palatino Linotype" w:eastAsia="Palatino Linotype" w:hAnsi="Palatino Linotype" w:cs="Palatino Linotype"/>
          <w:b/>
          <w:sz w:val="22"/>
          <w:szCs w:val="22"/>
          <w:u w:val="single"/>
        </w:rPr>
        <w:t>catálogos normativos</w:t>
      </w:r>
      <w:r w:rsidRPr="0007190E">
        <w:rPr>
          <w:rFonts w:ascii="Palatino Linotype" w:eastAsia="Palatino Linotype" w:hAnsi="Palatino Linotype" w:cs="Palatino Linotype"/>
          <w:sz w:val="22"/>
          <w:szCs w:val="22"/>
        </w:rPr>
        <w:t xml:space="preserve">, se advierte que contienen los siguientes elementos: delegaciones regionales, municipios, tipos de vialidad, régimen de propiedad, </w:t>
      </w:r>
      <w:r w:rsidRPr="0007190E">
        <w:rPr>
          <w:rFonts w:ascii="Palatino Linotype" w:eastAsia="Palatino Linotype" w:hAnsi="Palatino Linotype" w:cs="Palatino Linotype"/>
          <w:b/>
          <w:sz w:val="22"/>
          <w:szCs w:val="22"/>
          <w:u w:val="single"/>
        </w:rPr>
        <w:t>uso del suelo</w:t>
      </w:r>
      <w:r w:rsidRPr="0007190E">
        <w:rPr>
          <w:rFonts w:ascii="Palatino Linotype" w:eastAsia="Palatino Linotype" w:hAnsi="Palatino Linotype" w:cs="Palatino Linotype"/>
          <w:sz w:val="22"/>
          <w:szCs w:val="22"/>
        </w:rPr>
        <w:t xml:space="preserve">, usos específicos de los predios, tipos de mérito / demérito y factores de mérito / demérito, por lo que dentro de dicha información pudiera encontrarse tanto información de acceso público, como confidencial en términos de lo dispuesto por la fracción I del artículo 143 de la Ley de Transparencia y Acceso a la Información Pública del Estado de México y Municipios, pues como se detalló en líneas anteriores, cierta información pudiera vincularse con información de carácter patrimonial de particulares, no obstante, respecto de los otros elementos que conforman estos catálogos como delegaciones regionales, municipios, tipos de vialidad y los tipos de mérito / demérito y factores de mérito / demérito 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deberá analizar la información para efecto de determinar si le reviste acceso público.</w:t>
      </w:r>
    </w:p>
    <w:p w14:paraId="31F02D71" w14:textId="77777777" w:rsidR="00C612CF" w:rsidRPr="0007190E" w:rsidRDefault="00C612CF" w:rsidP="00C612CF">
      <w:pPr>
        <w:spacing w:before="240" w:after="240" w:line="360" w:lineRule="auto"/>
        <w:ind w:right="51"/>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 xml:space="preserve">Del registro gráfico </w:t>
      </w:r>
    </w:p>
    <w:p w14:paraId="660C033E" w14:textId="77777777" w:rsidR="00C612CF" w:rsidRPr="0007190E" w:rsidRDefault="00C612CF" w:rsidP="00C612CF">
      <w:pPr>
        <w:spacing w:after="160"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 conformidad con el Manual Catastral del Estado de México, el propósito de la actualización del registro gráfico es el siguiente: </w:t>
      </w:r>
    </w:p>
    <w:p w14:paraId="75E54E64" w14:textId="77777777" w:rsidR="00C612CF" w:rsidRPr="0007190E" w:rsidRDefault="00C612CF" w:rsidP="00C612CF">
      <w:pPr>
        <w:spacing w:after="160" w:line="259" w:lineRule="auto"/>
        <w:ind w:left="567"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“VI. Actualización Del Registro Gráfico </w:t>
      </w:r>
    </w:p>
    <w:p w14:paraId="78FD4F9B" w14:textId="77777777" w:rsidR="00C612CF" w:rsidRPr="0007190E" w:rsidRDefault="00C612CF" w:rsidP="00C612CF">
      <w:pPr>
        <w:spacing w:after="160" w:line="259" w:lineRule="auto"/>
        <w:ind w:left="567"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VI.I. OBJETIVO </w:t>
      </w:r>
    </w:p>
    <w:p w14:paraId="28E3E220" w14:textId="77777777" w:rsidR="00C612CF" w:rsidRPr="0007190E" w:rsidRDefault="00C612CF" w:rsidP="00C612CF">
      <w:pPr>
        <w:spacing w:after="160" w:line="259" w:lineRule="auto"/>
        <w:ind w:left="567"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Dar a conocer las políticas, lineamientos y procedimientos para la representación y actualización del registro gráfico del padrón catastral, al personal responsable de </w:t>
      </w:r>
      <w:r w:rsidRPr="0007190E">
        <w:rPr>
          <w:rFonts w:ascii="Palatino Linotype" w:eastAsia="Palatino Linotype" w:hAnsi="Palatino Linotype" w:cs="Palatino Linotype"/>
          <w:b/>
          <w:i/>
          <w:sz w:val="22"/>
          <w:szCs w:val="22"/>
        </w:rPr>
        <w:t>llevar a cabo la actualización de la cartografía lineal catastral respecto de los inmuebles y las manzanas ubicadas en los territorios municipales correspondientes</w:t>
      </w:r>
      <w:r w:rsidRPr="0007190E">
        <w:rPr>
          <w:rFonts w:ascii="Palatino Linotype" w:eastAsia="Palatino Linotype" w:hAnsi="Palatino Linotype" w:cs="Palatino Linotype"/>
          <w:i/>
          <w:sz w:val="22"/>
          <w:szCs w:val="22"/>
        </w:rPr>
        <w:t>.”</w:t>
      </w:r>
    </w:p>
    <w:p w14:paraId="49669FFE" w14:textId="77777777" w:rsidR="00C612CF" w:rsidRPr="0007190E" w:rsidRDefault="00C612CF" w:rsidP="00C612CF">
      <w:pPr>
        <w:spacing w:after="160" w:line="259"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 xml:space="preserve">Para ello, se divide en dos, a saber: </w:t>
      </w:r>
    </w:p>
    <w:p w14:paraId="0114C039" w14:textId="77777777" w:rsidR="00C612CF" w:rsidRPr="0007190E" w:rsidRDefault="00C612CF" w:rsidP="00C612CF">
      <w:pPr>
        <w:spacing w:after="160" w:line="259" w:lineRule="auto"/>
        <w:ind w:right="49"/>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A. De la cartografía vectorial catastral a nivel de manzana:</w:t>
      </w:r>
    </w:p>
    <w:p w14:paraId="141F023B" w14:textId="77777777" w:rsidR="00C612CF" w:rsidRPr="0007190E" w:rsidRDefault="00C612CF" w:rsidP="00C612CF">
      <w:pPr>
        <w:spacing w:after="160"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La cual contiene: </w:t>
      </w:r>
      <w:r w:rsidRPr="0007190E">
        <w:rPr>
          <w:rFonts w:ascii="Palatino Linotype" w:eastAsia="Palatino Linotype" w:hAnsi="Palatino Linotype" w:cs="Palatino Linotype"/>
          <w:b/>
          <w:sz w:val="22"/>
          <w:szCs w:val="22"/>
        </w:rPr>
        <w:t xml:space="preserve">Delimitación municipal, delimitación de zonas catastrales, delimitación de áreas homogéneas, delimitación de bandas de valor, delimitación y código de manzanas, código de clave de calle y nombre de la calle, </w:t>
      </w:r>
      <w:r w:rsidRPr="0007190E">
        <w:rPr>
          <w:rFonts w:ascii="Palatino Linotype" w:eastAsia="Palatino Linotype" w:hAnsi="Palatino Linotype" w:cs="Palatino Linotype"/>
          <w:sz w:val="22"/>
          <w:szCs w:val="22"/>
        </w:rPr>
        <w:t xml:space="preserve">es de vital importancia señalar que de estos elementos se advierte que la cartografía hace referencia a una generalidad, es decir, a las manzanas dentro de los territorios municipales, no así a predios en específico, por lo tanto, con su entrega, no se estarían identificando inmuebles o información de carácter patrimonial concerniente a particulares, tal como se desprende de la siguiente imagen: </w:t>
      </w:r>
    </w:p>
    <w:p w14:paraId="04A55BC5" w14:textId="77777777" w:rsidR="00C612CF" w:rsidRPr="0007190E" w:rsidRDefault="00C612CF" w:rsidP="00C612CF">
      <w:pPr>
        <w:spacing w:after="160"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noProof/>
          <w:sz w:val="22"/>
          <w:szCs w:val="22"/>
        </w:rPr>
        <w:drawing>
          <wp:inline distT="0" distB="0" distL="0" distR="0" wp14:anchorId="003C24F2" wp14:editId="1E621309">
            <wp:extent cx="5581015" cy="2352675"/>
            <wp:effectExtent l="9525" t="9525" r="9525" b="9525"/>
            <wp:docPr id="21401318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b="29023"/>
                    <a:stretch>
                      <a:fillRect/>
                    </a:stretch>
                  </pic:blipFill>
                  <pic:spPr>
                    <a:xfrm>
                      <a:off x="0" y="0"/>
                      <a:ext cx="5581015" cy="2352675"/>
                    </a:xfrm>
                    <a:prstGeom prst="rect">
                      <a:avLst/>
                    </a:prstGeom>
                    <a:ln w="9525">
                      <a:solidFill>
                        <a:srgbClr val="000000"/>
                      </a:solidFill>
                      <a:prstDash val="solid"/>
                    </a:ln>
                  </pic:spPr>
                </pic:pic>
              </a:graphicData>
            </a:graphic>
          </wp:inline>
        </w:drawing>
      </w:r>
    </w:p>
    <w:p w14:paraId="56BE345F" w14:textId="77777777" w:rsidR="00C612CF" w:rsidRPr="0007190E" w:rsidRDefault="00C612CF" w:rsidP="00C612CF">
      <w:pPr>
        <w:spacing w:after="160"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Aunado a lo anterior, el portal del Instituto de Información e Investigación Geográfica, Estadística y Catastral del Estado de México (IGECEM), dentro de sus servicios catastrales publica la cartografía a nivel manzana aplicable a los ejercicios fiscales, de manera ilustrativa se inserta la cartografía correspondiente al año 2019:</w:t>
      </w:r>
    </w:p>
    <w:p w14:paraId="59EC119D" w14:textId="77777777" w:rsidR="00C612CF" w:rsidRPr="0007190E" w:rsidRDefault="00C612CF" w:rsidP="00C612CF">
      <w:pPr>
        <w:spacing w:after="160"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noProof/>
          <w:sz w:val="22"/>
          <w:szCs w:val="22"/>
        </w:rPr>
        <w:lastRenderedPageBreak/>
        <w:drawing>
          <wp:inline distT="0" distB="0" distL="0" distR="0" wp14:anchorId="3380FFD0" wp14:editId="76E2919F">
            <wp:extent cx="5581015" cy="3594100"/>
            <wp:effectExtent l="0" t="0" r="0" b="0"/>
            <wp:docPr id="21401318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581015" cy="3594100"/>
                    </a:xfrm>
                    <a:prstGeom prst="rect">
                      <a:avLst/>
                    </a:prstGeom>
                    <a:ln/>
                  </pic:spPr>
                </pic:pic>
              </a:graphicData>
            </a:graphic>
          </wp:inline>
        </w:drawing>
      </w:r>
    </w:p>
    <w:p w14:paraId="506CA82C" w14:textId="77777777" w:rsidR="00C612CF" w:rsidRPr="0007190E" w:rsidRDefault="00C612CF" w:rsidP="00C612CF">
      <w:pPr>
        <w:spacing w:after="160" w:line="259" w:lineRule="auto"/>
        <w:ind w:right="49"/>
        <w:jc w:val="both"/>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B. De la cartografía vectorial catastral a nivel de predio:</w:t>
      </w:r>
    </w:p>
    <w:p w14:paraId="737C8EA7" w14:textId="77777777" w:rsidR="00C612CF" w:rsidRPr="0007190E" w:rsidRDefault="00C612CF" w:rsidP="00C612CF">
      <w:pPr>
        <w:spacing w:before="160"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Esta cartografía contiene la Clave catastral, delimitación del predio, superficie total de terreno, perímetro y superficie de las construcciones, representación del número de niveles de las construcciones y número oficial del predio, datos que como se ha reiterado a lo largo de la resolución, con su divulgación se puede conducir a una vulneración a la esfera privada de los particulares propietarios o poseedores de los inmuebles, </w:t>
      </w:r>
      <w:r w:rsidRPr="0007190E">
        <w:rPr>
          <w:rFonts w:ascii="Palatino Linotype" w:eastAsia="Palatino Linotype" w:hAnsi="Palatino Linotype" w:cs="Palatino Linotype"/>
          <w:b/>
          <w:sz w:val="22"/>
          <w:szCs w:val="22"/>
        </w:rPr>
        <w:t>por lo tanto deberá ser analizado por el sujeto obligado si procede su clasificación como confidencial</w:t>
      </w:r>
      <w:r w:rsidRPr="0007190E">
        <w:rPr>
          <w:rFonts w:ascii="Palatino Linotype" w:eastAsia="Palatino Linotype" w:hAnsi="Palatino Linotype" w:cs="Palatino Linotype"/>
          <w:sz w:val="22"/>
          <w:szCs w:val="22"/>
        </w:rPr>
        <w:t>, de conformidad con lo dispuesto en los artículos 3, fracciones IX, XX y XXI, 91 y 143 fracción I de la Ley de Transparencia y Acceso a la Información Pública del Estado de México y Municipios porque se trata de información de carácter patrimonial que puede vincularse a particulares.</w:t>
      </w:r>
    </w:p>
    <w:p w14:paraId="76903FC6" w14:textId="77777777" w:rsidR="007D4B6A" w:rsidRPr="0007190E" w:rsidRDefault="007D4B6A" w:rsidP="00C612CF">
      <w:pPr>
        <w:spacing w:before="160" w:line="360" w:lineRule="auto"/>
        <w:ind w:right="49"/>
        <w:jc w:val="both"/>
        <w:rPr>
          <w:rFonts w:ascii="Palatino Linotype" w:eastAsia="Palatino Linotype" w:hAnsi="Palatino Linotype" w:cs="Palatino Linotype"/>
          <w:sz w:val="22"/>
          <w:szCs w:val="22"/>
        </w:rPr>
      </w:pPr>
    </w:p>
    <w:p w14:paraId="0C798160" w14:textId="77777777" w:rsidR="00C612CF" w:rsidRPr="0007190E" w:rsidRDefault="00C612CF" w:rsidP="00C612CF">
      <w:pPr>
        <w:spacing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 xml:space="preserve">Como se puede advertir de lo analizado a lo largo de las líneas argumentativas, existen elementos dentro del padrón catastral que efectivamente pudieran hacerse del conocimiento del público en general, ello en razón de que abordan una generalidad y no un predio en particular. Asimismo, para robustecer esta argumentación, sirve de interés lo dispuesto por el Instituto de Información e Investigación Geográfica, Estadística y Catastral del Estado de México (IGECEM) en su portal electrónico: </w:t>
      </w:r>
      <w:hyperlink r:id="rId11">
        <w:r w:rsidRPr="0007190E">
          <w:rPr>
            <w:rFonts w:ascii="Palatino Linotype" w:eastAsia="Palatino Linotype" w:hAnsi="Palatino Linotype" w:cs="Palatino Linotype"/>
            <w:sz w:val="22"/>
            <w:szCs w:val="22"/>
            <w:u w:val="single"/>
          </w:rPr>
          <w:t>https://igecem.edomex.gob.mx/padron-catastral</w:t>
        </w:r>
      </w:hyperlink>
      <w:r w:rsidRPr="0007190E">
        <w:rPr>
          <w:rFonts w:ascii="Palatino Linotype" w:eastAsia="Palatino Linotype" w:hAnsi="Palatino Linotype" w:cs="Palatino Linotype"/>
          <w:sz w:val="22"/>
          <w:szCs w:val="22"/>
        </w:rPr>
        <w:t xml:space="preserve">. </w:t>
      </w:r>
    </w:p>
    <w:p w14:paraId="2C64F826"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“El Padrón Catastral es el conjunto de datos integrados por un registro alfanumérico y un registro gráfico que contienen los catálogos operativos, tales como zonas, manzanas, calles, áreas homogéneas, bandas de valor, además de la descripción técnica y administrativa de los predios, propiedades y construcciones de los inmuebles localizados en territorio Estatal. </w:t>
      </w:r>
    </w:p>
    <w:p w14:paraId="38908D17"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Los dos objetivos primordiales de las Unidades Administrativas de Catastro Municipal son: </w:t>
      </w:r>
    </w:p>
    <w:p w14:paraId="1C81898B"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La asignación de la clave catastral (ubicación geográfica de los inmuebles)</w:t>
      </w:r>
    </w:p>
    <w:p w14:paraId="30865956"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La obtención del valor catastral (base gravable del cálculo del monto del impuesto predial)</w:t>
      </w:r>
    </w:p>
    <w:p w14:paraId="2D1E08CB" w14:textId="77777777" w:rsidR="00C612CF" w:rsidRPr="0007190E" w:rsidRDefault="00C612CF" w:rsidP="00C612CF">
      <w:pPr>
        <w:spacing w:before="120" w:after="120"/>
        <w:ind w:left="851" w:right="8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 xml:space="preserve">El Padrón Catastral se considera, en parte, información clasificada como reservada debido al contenido de datos personales de los propietarios o poseedores de los inmuebles, y para acceder a dicha información es necesario acreditar la personalidad jurídica y legítima; </w:t>
      </w:r>
      <w:r w:rsidRPr="0007190E">
        <w:rPr>
          <w:rFonts w:ascii="Palatino Linotype" w:eastAsia="Palatino Linotype" w:hAnsi="Palatino Linotype" w:cs="Palatino Linotype"/>
          <w:b/>
          <w:i/>
          <w:sz w:val="22"/>
          <w:szCs w:val="22"/>
          <w:u w:val="single"/>
        </w:rPr>
        <w:t>sin embargo, existe información dentro del padrón catastral que no está clasificada como reservada, sino que es de índole pública, tal es el caso de los catálogos operativos</w:t>
      </w:r>
      <w:r w:rsidRPr="0007190E">
        <w:rPr>
          <w:rFonts w:ascii="Palatino Linotype" w:eastAsia="Palatino Linotype" w:hAnsi="Palatino Linotype" w:cs="Palatino Linotype"/>
          <w:b/>
          <w:i/>
          <w:sz w:val="22"/>
          <w:szCs w:val="22"/>
        </w:rPr>
        <w:t xml:space="preserve"> arriba descritos, y el público en general (entidades públicas incluidas), puede acceder a ellos, </w:t>
      </w:r>
      <w:r w:rsidRPr="0007190E">
        <w:rPr>
          <w:rFonts w:ascii="Palatino Linotype" w:eastAsia="Palatino Linotype" w:hAnsi="Palatino Linotype" w:cs="Palatino Linotype"/>
          <w:b/>
          <w:i/>
          <w:sz w:val="22"/>
          <w:szCs w:val="22"/>
          <w:u w:val="single"/>
        </w:rPr>
        <w:t>a través de la página de internet del IGECEM o de la publicación en Gaceta del Gobierno, de las Tablas de Valores Unitarios de Suelo y Construcciones</w:t>
      </w:r>
      <w:r w:rsidRPr="0007190E">
        <w:rPr>
          <w:rFonts w:ascii="Palatino Linotype" w:eastAsia="Palatino Linotype" w:hAnsi="Palatino Linotype" w:cs="Palatino Linotype"/>
          <w:i/>
          <w:sz w:val="22"/>
          <w:szCs w:val="22"/>
        </w:rPr>
        <w:t>.” (Sic)</w:t>
      </w:r>
    </w:p>
    <w:p w14:paraId="74441156" w14:textId="77777777" w:rsidR="00C612CF" w:rsidRPr="0007190E" w:rsidRDefault="00C612CF" w:rsidP="00C612CF">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Como puede observarse, es el propio Instituto de Información e Investigación Geográfica, Estadística y Catastral del Estado de México (IGECEM) quien reconoce que </w:t>
      </w:r>
      <w:r w:rsidRPr="0007190E">
        <w:rPr>
          <w:rFonts w:ascii="Palatino Linotype" w:eastAsia="Palatino Linotype" w:hAnsi="Palatino Linotype" w:cs="Palatino Linotype"/>
          <w:b/>
          <w:sz w:val="22"/>
          <w:szCs w:val="22"/>
        </w:rPr>
        <w:t>la clasificación al padrón catastral no debe ser absoluta</w:t>
      </w:r>
      <w:r w:rsidRPr="0007190E">
        <w:rPr>
          <w:rFonts w:ascii="Palatino Linotype" w:eastAsia="Palatino Linotype" w:hAnsi="Palatino Linotype" w:cs="Palatino Linotype"/>
          <w:sz w:val="22"/>
          <w:szCs w:val="22"/>
        </w:rPr>
        <w:t xml:space="preserve">, pues contiene información susceptible de darse a conocer al público, como son los catálogos operativos y los registros gráficos que dan cuenta de las localidades, colonias, áreas homogéneas, tipologías de construcción, bandas de valor, </w:t>
      </w:r>
      <w:r w:rsidRPr="0007190E">
        <w:rPr>
          <w:rFonts w:ascii="Palatino Linotype" w:eastAsia="Palatino Linotype" w:hAnsi="Palatino Linotype" w:cs="Palatino Linotype"/>
          <w:sz w:val="22"/>
          <w:szCs w:val="22"/>
        </w:rPr>
        <w:lastRenderedPageBreak/>
        <w:t>manzanas y calles, mismas a las que le reviste interés público por formar parte de los elementos que permiten la implementación de la valuación catastral que a su vez sirve para el cálculo de impuestos o derechos, por lo que, se insiste que dentro del padrón catastral, existen elementos que efectivamente pudieran hacerse del conocimiento del público en general, por lo tanto, no se puede hablar de una clasificación absoluta de la información y, por el contrario, se estima pertinente su entrega en versión pública.</w:t>
      </w:r>
    </w:p>
    <w:p w14:paraId="7259F5EB" w14:textId="413B01EE" w:rsidR="00C612CF" w:rsidRPr="0007190E" w:rsidRDefault="00C612CF" w:rsidP="00C612CF">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Ahora bien, en el caso particular, el </w:t>
      </w:r>
      <w:r w:rsidRPr="0007190E">
        <w:rPr>
          <w:rFonts w:ascii="Palatino Linotype" w:eastAsia="Palatino Linotype" w:hAnsi="Palatino Linotype" w:cs="Palatino Linotype"/>
          <w:b/>
          <w:sz w:val="22"/>
          <w:szCs w:val="22"/>
        </w:rPr>
        <w:t xml:space="preserve">Sujeto Obligado, </w:t>
      </w:r>
      <w:r w:rsidR="00F83859" w:rsidRPr="0007190E">
        <w:rPr>
          <w:rFonts w:ascii="Palatino Linotype" w:eastAsia="Palatino Linotype" w:hAnsi="Palatino Linotype" w:cs="Palatino Linotype"/>
          <w:sz w:val="22"/>
          <w:szCs w:val="22"/>
        </w:rPr>
        <w:t>negó el acceso a</w:t>
      </w:r>
      <w:r w:rsidRPr="0007190E">
        <w:rPr>
          <w:rFonts w:ascii="Palatino Linotype" w:eastAsia="Palatino Linotype" w:hAnsi="Palatino Linotype" w:cs="Palatino Linotype"/>
          <w:sz w:val="22"/>
          <w:szCs w:val="22"/>
        </w:rPr>
        <w:t xml:space="preserve"> la totalidad de los documentos  referentes al padrón catastral Municipal, sin embargo, como ya ha sido puntualizado la clasificación del padrón c</w:t>
      </w:r>
      <w:r w:rsidR="00F83859" w:rsidRPr="0007190E">
        <w:rPr>
          <w:rFonts w:ascii="Palatino Linotype" w:eastAsia="Palatino Linotype" w:hAnsi="Palatino Linotype" w:cs="Palatino Linotype"/>
          <w:sz w:val="22"/>
          <w:szCs w:val="22"/>
        </w:rPr>
        <w:t xml:space="preserve">atastral no puede ser absoluta. </w:t>
      </w:r>
    </w:p>
    <w:p w14:paraId="7E910C4F" w14:textId="4BD537FA" w:rsidR="00F83859" w:rsidRPr="0007190E" w:rsidRDefault="00F83859" w:rsidP="00F83859">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Además, se reitera que, del registro alfanumérico del padrón catastral, los datos del inmueble</w:t>
      </w:r>
      <w:r w:rsidR="007D4B6A" w:rsidRPr="0007190E">
        <w:rPr>
          <w:rFonts w:ascii="Palatino Linotype" w:eastAsia="Palatino Linotype" w:hAnsi="Palatino Linotype" w:cs="Palatino Linotype"/>
          <w:sz w:val="22"/>
          <w:szCs w:val="22"/>
        </w:rPr>
        <w:t xml:space="preserve"> de particulares</w:t>
      </w:r>
      <w:r w:rsidRPr="0007190E">
        <w:rPr>
          <w:rFonts w:ascii="Palatino Linotype" w:eastAsia="Palatino Linotype" w:hAnsi="Palatino Linotype" w:cs="Palatino Linotype"/>
          <w:sz w:val="22"/>
          <w:szCs w:val="22"/>
        </w:rPr>
        <w:t xml:space="preserve"> son considerados datos susceptibles de ser clasificada como información confidencial, mientras que </w:t>
      </w:r>
      <w:r w:rsidR="007D4B6A" w:rsidRPr="0007190E">
        <w:rPr>
          <w:rFonts w:ascii="Palatino Linotype" w:eastAsia="Palatino Linotype" w:hAnsi="Palatino Linotype" w:cs="Palatino Linotype"/>
          <w:sz w:val="22"/>
          <w:szCs w:val="22"/>
        </w:rPr>
        <w:t xml:space="preserve">respecto a los datos de los inmuebles del ayuntamiento son públicos, y </w:t>
      </w:r>
      <w:r w:rsidRPr="0007190E">
        <w:rPr>
          <w:rFonts w:ascii="Palatino Linotype" w:eastAsia="Palatino Linotype" w:hAnsi="Palatino Linotype" w:cs="Palatino Linotype"/>
          <w:sz w:val="22"/>
          <w:szCs w:val="22"/>
        </w:rPr>
        <w:t>en el caso de los catálogos normativos</w:t>
      </w:r>
      <w:r w:rsidR="007D4B6A" w:rsidRPr="0007190E">
        <w:rPr>
          <w:rFonts w:ascii="Palatino Linotype" w:eastAsia="Palatino Linotype" w:hAnsi="Palatino Linotype" w:cs="Palatino Linotype"/>
          <w:sz w:val="22"/>
          <w:szCs w:val="22"/>
        </w:rPr>
        <w:t xml:space="preserve"> </w:t>
      </w:r>
      <w:r w:rsidRPr="0007190E">
        <w:rPr>
          <w:rFonts w:ascii="Palatino Linotype" w:eastAsia="Palatino Linotype" w:hAnsi="Palatino Linotype" w:cs="Palatino Linotype"/>
          <w:sz w:val="22"/>
          <w:szCs w:val="22"/>
        </w:rPr>
        <w:t>corresponde a las autoridades catastrales analizar la información para efecto de determinar si la totalidad de esta reviste el carácter de pública.</w:t>
      </w:r>
    </w:p>
    <w:p w14:paraId="1D924184" w14:textId="77777777" w:rsidR="00F83859" w:rsidRPr="0007190E" w:rsidRDefault="00F83859" w:rsidP="00F83859">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Respecto del registro gráfico, la cartografía vectorial a nivel de manzana es considerada información pública, mientras que la cartografía vectorial catastral a nivel de predio debe analizarse con la finalidad de determinar si procede su clasificación como confidencial o es susceptible de entrega en versión pública.</w:t>
      </w:r>
    </w:p>
    <w:p w14:paraId="7A3477AA" w14:textId="086103EC" w:rsidR="00F83859" w:rsidRPr="0007190E" w:rsidRDefault="00F83859" w:rsidP="00F83859">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Derivado de los argumentos expuestos, se estima que no puede tenerse por satisfecha la solicitud de información, en virtud de que la clasificación pretendida por el Sujeto Obligado no se encuentra debidamente fundada y motivada, no haber enviado el acuerdo de comité correspondiente y al haber pretendido clasificar la totalidad de los documentos referentes al padrón catastral. </w:t>
      </w:r>
    </w:p>
    <w:p w14:paraId="241078ED" w14:textId="43C12143" w:rsidR="000710B6" w:rsidRPr="0007190E" w:rsidRDefault="0029535C">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Por consiguiente, se estima dable ordenar la entrega del padr</w:t>
      </w:r>
      <w:r w:rsidR="00F83859" w:rsidRPr="0007190E">
        <w:rPr>
          <w:rFonts w:ascii="Palatino Linotype" w:eastAsia="Palatino Linotype" w:hAnsi="Palatino Linotype" w:cs="Palatino Linotype"/>
          <w:sz w:val="22"/>
          <w:szCs w:val="22"/>
        </w:rPr>
        <w:t xml:space="preserve">ón catastral en versión pública. </w:t>
      </w:r>
    </w:p>
    <w:p w14:paraId="26FBD592" w14:textId="50A9C76C" w:rsidR="000710B6" w:rsidRPr="0007190E" w:rsidRDefault="0029535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 lo hasta aquí expuesto, se concluye que los motivos de inconformidad de la parte </w:t>
      </w:r>
      <w:r w:rsidRPr="0007190E">
        <w:rPr>
          <w:rFonts w:ascii="Palatino Linotype" w:eastAsia="Palatino Linotype" w:hAnsi="Palatino Linotype" w:cs="Palatino Linotype"/>
          <w:b/>
          <w:sz w:val="22"/>
          <w:szCs w:val="22"/>
        </w:rPr>
        <w:t xml:space="preserve">Recurrente </w:t>
      </w:r>
      <w:r w:rsidRPr="0007190E">
        <w:rPr>
          <w:rFonts w:ascii="Palatino Linotype" w:eastAsia="Palatino Linotype" w:hAnsi="Palatino Linotype" w:cs="Palatino Linotype"/>
          <w:sz w:val="22"/>
          <w:szCs w:val="22"/>
        </w:rPr>
        <w:t xml:space="preserve">devienen fundados, siendo procedente </w:t>
      </w:r>
      <w:r w:rsidR="00EB017D" w:rsidRPr="0007190E">
        <w:rPr>
          <w:rFonts w:ascii="Palatino Linotype" w:eastAsia="Palatino Linotype" w:hAnsi="Palatino Linotype" w:cs="Palatino Linotype"/>
          <w:i/>
          <w:sz w:val="22"/>
          <w:szCs w:val="22"/>
        </w:rPr>
        <w:t>Orden</w:t>
      </w:r>
      <w:r w:rsidRPr="0007190E">
        <w:rPr>
          <w:rFonts w:ascii="Palatino Linotype" w:eastAsia="Palatino Linotype" w:hAnsi="Palatino Linotype" w:cs="Palatino Linotype"/>
          <w:i/>
          <w:sz w:val="22"/>
          <w:szCs w:val="22"/>
        </w:rPr>
        <w:t xml:space="preserve">ar </w:t>
      </w:r>
      <w:r w:rsidRPr="0007190E">
        <w:rPr>
          <w:rFonts w:ascii="Palatino Linotype" w:eastAsia="Palatino Linotype" w:hAnsi="Palatino Linotype" w:cs="Palatino Linotype"/>
          <w:sz w:val="22"/>
          <w:szCs w:val="22"/>
        </w:rPr>
        <w:t xml:space="preserve">la </w:t>
      </w:r>
      <w:r w:rsidR="00AE2E60" w:rsidRPr="0007190E">
        <w:rPr>
          <w:rFonts w:ascii="Palatino Linotype" w:eastAsia="Palatino Linotype" w:hAnsi="Palatino Linotype" w:cs="Palatino Linotype"/>
          <w:sz w:val="22"/>
          <w:szCs w:val="22"/>
        </w:rPr>
        <w:t>entrega de la información</w:t>
      </w:r>
      <w:r w:rsidRPr="0007190E">
        <w:rPr>
          <w:rFonts w:ascii="Palatino Linotype" w:eastAsia="Palatino Linotype" w:hAnsi="Palatino Linotype" w:cs="Palatino Linotype"/>
          <w:sz w:val="22"/>
          <w:szCs w:val="22"/>
        </w:rPr>
        <w:t xml:space="preserve"> por el </w:t>
      </w:r>
      <w:r w:rsidRPr="0007190E">
        <w:rPr>
          <w:rFonts w:ascii="Palatino Linotype" w:eastAsia="Palatino Linotype" w:hAnsi="Palatino Linotype" w:cs="Palatino Linotype"/>
          <w:b/>
          <w:sz w:val="22"/>
          <w:szCs w:val="22"/>
        </w:rPr>
        <w:t xml:space="preserve">Sujeto Obligado </w:t>
      </w:r>
      <w:r w:rsidRPr="0007190E">
        <w:rPr>
          <w:rFonts w:ascii="Palatino Linotype" w:eastAsia="Palatino Linotype" w:hAnsi="Palatino Linotype" w:cs="Palatino Linotype"/>
          <w:sz w:val="22"/>
          <w:szCs w:val="22"/>
        </w:rPr>
        <w:t>en términos del artículo 186 fracción III de la Ley de Transparencia y Acceso a la Información Pública del Estado de México y Municipios.</w:t>
      </w:r>
    </w:p>
    <w:p w14:paraId="6325E9DE" w14:textId="71DD3343" w:rsidR="00F83859" w:rsidRPr="0007190E" w:rsidRDefault="00F83859" w:rsidP="00F83859">
      <w:pPr>
        <w:pStyle w:val="NormalWeb"/>
        <w:spacing w:before="240" w:beforeAutospacing="0" w:after="240" w:afterAutospacing="0" w:line="360" w:lineRule="auto"/>
        <w:ind w:right="51"/>
        <w:jc w:val="both"/>
        <w:rPr>
          <w:rFonts w:ascii="Palatino Linotype" w:hAnsi="Palatino Linotype"/>
          <w:sz w:val="22"/>
          <w:szCs w:val="22"/>
        </w:rPr>
      </w:pPr>
      <w:r w:rsidRPr="0007190E">
        <w:rPr>
          <w:rFonts w:ascii="Palatino Linotype" w:hAnsi="Palatino Linotype"/>
          <w:sz w:val="22"/>
          <w:szCs w:val="22"/>
        </w:rPr>
        <w:t xml:space="preserve">Finalmente, es de señalar que, como ya se mencionó el </w:t>
      </w:r>
      <w:r w:rsidRPr="0007190E">
        <w:rPr>
          <w:rFonts w:ascii="Palatino Linotype" w:hAnsi="Palatino Linotype"/>
          <w:b/>
          <w:bCs/>
          <w:sz w:val="22"/>
          <w:szCs w:val="22"/>
        </w:rPr>
        <w:t>Sujeto Obligado</w:t>
      </w:r>
      <w:r w:rsidRPr="0007190E">
        <w:rPr>
          <w:rFonts w:ascii="Palatino Linotype" w:hAnsi="Palatino Linotype"/>
          <w:sz w:val="22"/>
          <w:szCs w:val="22"/>
        </w:rPr>
        <w:t xml:space="preserve">, omitió proporcionar respuesta a las solicitudes de acceso a la información pública, en el término contemplado en el ya citado artículo 163 de la Ley de la materia, razón por la que se </w:t>
      </w:r>
      <w:r w:rsidRPr="0007190E">
        <w:rPr>
          <w:rFonts w:ascii="Palatino Linotype" w:hAnsi="Palatino Linotype"/>
          <w:b/>
          <w:bCs/>
          <w:sz w:val="22"/>
          <w:szCs w:val="22"/>
        </w:rPr>
        <w:t>ordena</w:t>
      </w:r>
      <w:r w:rsidRPr="0007190E">
        <w:rPr>
          <w:rFonts w:ascii="Palatino Linotype" w:hAnsi="Palatino Linotype"/>
          <w:sz w:val="22"/>
          <w:szCs w:val="22"/>
        </w:rPr>
        <w:t xml:space="preserve"> dar vista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263D01BB"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Quinto. Versión Pública.</w:t>
      </w:r>
      <w:r w:rsidRPr="0007190E">
        <w:rPr>
          <w:rFonts w:ascii="Palatino Linotype" w:eastAsia="Palatino Linotype" w:hAnsi="Palatino Linotype" w:cs="Palatino Linotype"/>
          <w:sz w:val="22"/>
          <w:szCs w:val="22"/>
        </w:rPr>
        <w:t xml:space="preserve"> Finalmente, debe señalarse que de ser el caso en que los documentos que vayan a ser entregados para dar cumplimiento a la presente resolución, contengan datos que deban ser clasificados, 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deberá hacer la elaboración de la versión pública de tales documentos a fin de satisfacer el derecho de acceso a la información pública de la parte </w:t>
      </w:r>
      <w:r w:rsidRPr="0007190E">
        <w:rPr>
          <w:rFonts w:ascii="Palatino Linotype" w:eastAsia="Palatino Linotype" w:hAnsi="Palatino Linotype" w:cs="Palatino Linotype"/>
          <w:b/>
          <w:sz w:val="22"/>
          <w:szCs w:val="22"/>
        </w:rPr>
        <w:t>Recurrente</w:t>
      </w:r>
      <w:r w:rsidRPr="0007190E">
        <w:rPr>
          <w:rFonts w:ascii="Palatino Linotype" w:eastAsia="Palatino Linotype" w:hAnsi="Palatino Linotype" w:cs="Palatino Linotype"/>
          <w:sz w:val="22"/>
          <w:szCs w:val="22"/>
        </w:rPr>
        <w:t xml:space="preserve"> sin menoscabo al derecho a la protección de los datos personales de terceros.</w:t>
      </w:r>
    </w:p>
    <w:p w14:paraId="0D78258C"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Para efectos de la elaboración de la versión pública se deberá observar lo dispuesto por los artículos 3 fracciones IX, XX, XXI y XLV, 91, 132, 137 y 143, fracción I de la Ley de Transparencia y Acceso a la Información Pública del Estado de México y Municipios, que establecen:</w:t>
      </w:r>
    </w:p>
    <w:p w14:paraId="554531B1"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i/>
          <w:sz w:val="22"/>
          <w:szCs w:val="22"/>
        </w:rPr>
        <w:t>Artículo 3</w:t>
      </w:r>
      <w:r w:rsidRPr="0007190E">
        <w:rPr>
          <w:rFonts w:ascii="Palatino Linotype" w:eastAsia="Palatino Linotype" w:hAnsi="Palatino Linotype" w:cs="Palatino Linotype"/>
          <w:i/>
          <w:sz w:val="22"/>
          <w:szCs w:val="22"/>
        </w:rPr>
        <w:t>. Para los efectos de la presente Ley se entenderá por:</w:t>
      </w:r>
    </w:p>
    <w:p w14:paraId="5A90383A"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p>
    <w:p w14:paraId="69C9FC9C"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lastRenderedPageBreak/>
        <w:t>IX. Datos personales</w:t>
      </w:r>
      <w:r w:rsidRPr="0007190E">
        <w:rPr>
          <w:rFonts w:ascii="Palatino Linotype" w:eastAsia="Palatino Linotype" w:hAnsi="Palatino Linotype" w:cs="Palatino Linotype"/>
          <w:i/>
          <w:sz w:val="22"/>
          <w:szCs w:val="22"/>
        </w:rPr>
        <w:t xml:space="preserve">: La información concerniente a una persona, identificada o identificable según lo dispuesto por la Ley de Protección de Datos Personales del Estado de México; </w:t>
      </w:r>
    </w:p>
    <w:p w14:paraId="04ECC9F6"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XX. Información clasificada</w:t>
      </w:r>
      <w:r w:rsidRPr="0007190E">
        <w:rPr>
          <w:rFonts w:ascii="Palatino Linotype" w:eastAsia="Palatino Linotype" w:hAnsi="Palatino Linotype" w:cs="Palatino Linotype"/>
          <w:i/>
          <w:sz w:val="22"/>
          <w:szCs w:val="22"/>
        </w:rPr>
        <w:t>: Aquella considerada por la presente Ley como reservada o confidencial;</w:t>
      </w:r>
    </w:p>
    <w:p w14:paraId="0B0C9B51"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 xml:space="preserve">XXI. Información confidencial: </w:t>
      </w:r>
      <w:r w:rsidRPr="0007190E">
        <w:rPr>
          <w:rFonts w:ascii="Palatino Linotype" w:eastAsia="Palatino Linotype" w:hAnsi="Palatino Linotype" w:cs="Palatino Linotype"/>
          <w:i/>
          <w:sz w:val="22"/>
          <w:szCs w:val="22"/>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DAF27B2"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XLV. Versión pública:</w:t>
      </w:r>
      <w:r w:rsidRPr="0007190E">
        <w:rPr>
          <w:rFonts w:ascii="Palatino Linotype" w:eastAsia="Palatino Linotype" w:hAnsi="Palatino Linotype" w:cs="Palatino Linotype"/>
          <w:i/>
          <w:sz w:val="22"/>
          <w:szCs w:val="22"/>
        </w:rPr>
        <w:t xml:space="preserve"> Documento en el que se elimine, suprime o borra la información clasificada como reservada o confidencial para permitir su acceso.</w:t>
      </w:r>
    </w:p>
    <w:p w14:paraId="4392DD7C"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p>
    <w:p w14:paraId="7447C7C5"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Artículo 91.</w:t>
      </w:r>
      <w:r w:rsidRPr="0007190E">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p>
    <w:p w14:paraId="00C7B5B9"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Artículo 132.</w:t>
      </w:r>
      <w:r w:rsidRPr="0007190E">
        <w:rPr>
          <w:rFonts w:ascii="Palatino Linotype" w:eastAsia="Palatino Linotype" w:hAnsi="Palatino Linotype" w:cs="Palatino Linotype"/>
          <w:i/>
          <w:sz w:val="22"/>
          <w:szCs w:val="22"/>
        </w:rPr>
        <w:t xml:space="preserve"> La clasificación de la información se llevará a cabo en el momento en que:</w:t>
      </w:r>
    </w:p>
    <w:p w14:paraId="08933614"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w:t>
      </w:r>
      <w:r w:rsidRPr="0007190E">
        <w:rPr>
          <w:rFonts w:ascii="Palatino Linotype" w:eastAsia="Palatino Linotype" w:hAnsi="Palatino Linotype" w:cs="Palatino Linotype"/>
          <w:i/>
          <w:sz w:val="22"/>
          <w:szCs w:val="22"/>
        </w:rPr>
        <w:t>. Se reciba una solicitud de acceso a la información;</w:t>
      </w:r>
    </w:p>
    <w:p w14:paraId="128E55C4"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w:t>
      </w:r>
      <w:r w:rsidRPr="0007190E">
        <w:rPr>
          <w:rFonts w:ascii="Palatino Linotype" w:eastAsia="Palatino Linotype" w:hAnsi="Palatino Linotype" w:cs="Palatino Linotype"/>
          <w:i/>
          <w:sz w:val="22"/>
          <w:szCs w:val="22"/>
        </w:rPr>
        <w:t xml:space="preserve"> Se determine mediante resolución de autoridad competente; o</w:t>
      </w:r>
    </w:p>
    <w:p w14:paraId="797CFD87"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III.</w:t>
      </w:r>
      <w:r w:rsidRPr="0007190E">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4B172AE0"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p>
    <w:p w14:paraId="52D4BB26"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Artículo 137.</w:t>
      </w:r>
      <w:r w:rsidRPr="0007190E">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461C9099" w14:textId="77777777" w:rsidR="000710B6" w:rsidRPr="0007190E" w:rsidRDefault="0029535C">
      <w:pPr>
        <w:spacing w:before="120" w:after="120"/>
        <w:ind w:left="851" w:right="902"/>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w:t>
      </w:r>
    </w:p>
    <w:p w14:paraId="50E417B8"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Artículo 143</w:t>
      </w:r>
      <w:r w:rsidRPr="0007190E">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596EDB63"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w:t>
      </w:r>
      <w:r w:rsidRPr="0007190E">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0CE3543D"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lastRenderedPageBreak/>
        <w:t>Igualmente, lo establecido en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que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8235186" w14:textId="77777777" w:rsidR="000710B6" w:rsidRPr="0007190E" w:rsidRDefault="0029535C">
      <w:pPr>
        <w:spacing w:before="240" w:after="240" w:line="360" w:lineRule="auto"/>
        <w:ind w:right="5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4DFB3F58" w14:textId="77777777" w:rsidR="000710B6" w:rsidRPr="0007190E" w:rsidRDefault="0029535C">
      <w:pPr>
        <w:spacing w:before="240" w:after="240" w:line="360" w:lineRule="auto"/>
        <w:ind w:right="50"/>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3AB9FF9E"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lastRenderedPageBreak/>
        <w:t>“Artículo 49.</w:t>
      </w:r>
      <w:r w:rsidRPr="0007190E">
        <w:rPr>
          <w:rFonts w:ascii="Palatino Linotype" w:eastAsia="Palatino Linotype" w:hAnsi="Palatino Linotype" w:cs="Palatino Linotype"/>
          <w:i/>
          <w:sz w:val="22"/>
          <w:szCs w:val="22"/>
        </w:rPr>
        <w:t xml:space="preserve"> </w:t>
      </w:r>
      <w:r w:rsidRPr="0007190E">
        <w:rPr>
          <w:rFonts w:ascii="Palatino Linotype" w:eastAsia="Palatino Linotype" w:hAnsi="Palatino Linotype" w:cs="Palatino Linotype"/>
          <w:b/>
          <w:i/>
          <w:sz w:val="22"/>
          <w:szCs w:val="22"/>
        </w:rPr>
        <w:t>Los Comités de Transparencia</w:t>
      </w:r>
      <w:r w:rsidRPr="0007190E">
        <w:rPr>
          <w:rFonts w:ascii="Palatino Linotype" w:eastAsia="Palatino Linotype" w:hAnsi="Palatino Linotype" w:cs="Palatino Linotype"/>
          <w:i/>
          <w:sz w:val="22"/>
          <w:szCs w:val="22"/>
        </w:rPr>
        <w:t xml:space="preserve"> tendrán las siguientes atribuciones:</w:t>
      </w:r>
    </w:p>
    <w:p w14:paraId="0C90126A"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VIII. Aprobar, modificar o revocar la clasificación de la información</w:t>
      </w:r>
      <w:r w:rsidRPr="0007190E">
        <w:rPr>
          <w:rFonts w:ascii="Palatino Linotype" w:eastAsia="Palatino Linotype" w:hAnsi="Palatino Linotype" w:cs="Palatino Linotype"/>
          <w:i/>
          <w:sz w:val="22"/>
          <w:szCs w:val="22"/>
        </w:rPr>
        <w:t>…”</w:t>
      </w:r>
    </w:p>
    <w:p w14:paraId="0E1F20F6"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i/>
          <w:sz w:val="22"/>
          <w:szCs w:val="22"/>
        </w:rPr>
        <w:t>Artículo 53.</w:t>
      </w:r>
      <w:r w:rsidRPr="0007190E">
        <w:rPr>
          <w:rFonts w:ascii="Palatino Linotype" w:eastAsia="Palatino Linotype" w:hAnsi="Palatino Linotype" w:cs="Palatino Linotype"/>
          <w:i/>
          <w:sz w:val="22"/>
          <w:szCs w:val="22"/>
        </w:rPr>
        <w:t xml:space="preserve"> Las </w:t>
      </w:r>
      <w:r w:rsidRPr="0007190E">
        <w:rPr>
          <w:rFonts w:ascii="Palatino Linotype" w:eastAsia="Palatino Linotype" w:hAnsi="Palatino Linotype" w:cs="Palatino Linotype"/>
          <w:b/>
          <w:i/>
          <w:sz w:val="22"/>
          <w:szCs w:val="22"/>
        </w:rPr>
        <w:t>Unidades de Transparencia</w:t>
      </w:r>
      <w:r w:rsidRPr="0007190E">
        <w:rPr>
          <w:rFonts w:ascii="Palatino Linotype" w:eastAsia="Palatino Linotype" w:hAnsi="Palatino Linotype" w:cs="Palatino Linotype"/>
          <w:i/>
          <w:sz w:val="22"/>
          <w:szCs w:val="22"/>
        </w:rPr>
        <w:t xml:space="preserve"> tendrán las siguientes </w:t>
      </w:r>
      <w:r w:rsidRPr="0007190E">
        <w:rPr>
          <w:rFonts w:ascii="Palatino Linotype" w:eastAsia="Palatino Linotype" w:hAnsi="Palatino Linotype" w:cs="Palatino Linotype"/>
          <w:b/>
          <w:i/>
          <w:sz w:val="22"/>
          <w:szCs w:val="22"/>
        </w:rPr>
        <w:t>funciones</w:t>
      </w:r>
      <w:r w:rsidRPr="0007190E">
        <w:rPr>
          <w:rFonts w:ascii="Palatino Linotype" w:eastAsia="Palatino Linotype" w:hAnsi="Palatino Linotype" w:cs="Palatino Linotype"/>
          <w:i/>
          <w:sz w:val="22"/>
          <w:szCs w:val="22"/>
        </w:rPr>
        <w:t>:</w:t>
      </w:r>
    </w:p>
    <w:p w14:paraId="5B403689"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X. Presentar ante el Comité, el proyecto de clasificación de información</w:t>
      </w:r>
      <w:r w:rsidRPr="0007190E">
        <w:rPr>
          <w:rFonts w:ascii="Palatino Linotype" w:eastAsia="Palatino Linotype" w:hAnsi="Palatino Linotype" w:cs="Palatino Linotype"/>
          <w:i/>
          <w:sz w:val="22"/>
          <w:szCs w:val="22"/>
        </w:rPr>
        <w:t xml:space="preserve">…” </w:t>
      </w:r>
    </w:p>
    <w:p w14:paraId="49791650"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“Artículo 59.</w:t>
      </w:r>
      <w:r w:rsidRPr="0007190E">
        <w:rPr>
          <w:rFonts w:ascii="Palatino Linotype" w:eastAsia="Palatino Linotype" w:hAnsi="Palatino Linotype" w:cs="Palatino Linotype"/>
          <w:i/>
          <w:sz w:val="22"/>
          <w:szCs w:val="22"/>
        </w:rPr>
        <w:t xml:space="preserve"> Los </w:t>
      </w:r>
      <w:r w:rsidRPr="0007190E">
        <w:rPr>
          <w:rFonts w:ascii="Palatino Linotype" w:eastAsia="Palatino Linotype" w:hAnsi="Palatino Linotype" w:cs="Palatino Linotype"/>
          <w:b/>
          <w:i/>
          <w:sz w:val="22"/>
          <w:szCs w:val="22"/>
        </w:rPr>
        <w:t>servidores públicos habilitados</w:t>
      </w:r>
      <w:r w:rsidRPr="0007190E">
        <w:rPr>
          <w:rFonts w:ascii="Palatino Linotype" w:eastAsia="Palatino Linotype" w:hAnsi="Palatino Linotype" w:cs="Palatino Linotype"/>
          <w:i/>
          <w:sz w:val="22"/>
          <w:szCs w:val="22"/>
        </w:rPr>
        <w:t xml:space="preserve"> tendrán las </w:t>
      </w:r>
      <w:r w:rsidRPr="0007190E">
        <w:rPr>
          <w:rFonts w:ascii="Palatino Linotype" w:eastAsia="Palatino Linotype" w:hAnsi="Palatino Linotype" w:cs="Palatino Linotype"/>
          <w:b/>
          <w:i/>
          <w:sz w:val="22"/>
          <w:szCs w:val="22"/>
        </w:rPr>
        <w:t>funciones</w:t>
      </w:r>
      <w:r w:rsidRPr="0007190E">
        <w:rPr>
          <w:rFonts w:ascii="Palatino Linotype" w:eastAsia="Palatino Linotype" w:hAnsi="Palatino Linotype" w:cs="Palatino Linotype"/>
          <w:i/>
          <w:sz w:val="22"/>
          <w:szCs w:val="22"/>
        </w:rPr>
        <w:t xml:space="preserve"> siguientes:</w:t>
      </w:r>
    </w:p>
    <w:p w14:paraId="4559CE28"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07190E">
        <w:rPr>
          <w:rFonts w:ascii="Palatino Linotype" w:eastAsia="Palatino Linotype" w:hAnsi="Palatino Linotype" w:cs="Palatino Linotype"/>
          <w:i/>
          <w:sz w:val="22"/>
          <w:szCs w:val="22"/>
        </w:rPr>
        <w:t>, la cual tendrá los fundamentos y argumentos en que se basa dicha propuesta…”</w:t>
      </w:r>
    </w:p>
    <w:p w14:paraId="2146BF3B"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32230716"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04D3A9DE"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i/>
          <w:sz w:val="22"/>
          <w:szCs w:val="22"/>
        </w:rPr>
        <w:t>Artículo 149.</w:t>
      </w:r>
      <w:r w:rsidRPr="0007190E">
        <w:rPr>
          <w:rFonts w:ascii="Palatino Linotype" w:eastAsia="Palatino Linotype" w:hAnsi="Palatino Linotype" w:cs="Palatino Linotype"/>
          <w:i/>
          <w:sz w:val="22"/>
          <w:szCs w:val="22"/>
        </w:rPr>
        <w:t xml:space="preserve"> El </w:t>
      </w:r>
      <w:r w:rsidRPr="0007190E">
        <w:rPr>
          <w:rFonts w:ascii="Palatino Linotype" w:eastAsia="Palatino Linotype" w:hAnsi="Palatino Linotype" w:cs="Palatino Linotype"/>
          <w:b/>
          <w:i/>
          <w:sz w:val="22"/>
          <w:szCs w:val="22"/>
        </w:rPr>
        <w:t>acuerdo que clasifique la información como confidencial</w:t>
      </w:r>
      <w:r w:rsidRPr="0007190E">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47285914" w14:textId="77777777" w:rsidR="000710B6" w:rsidRPr="0007190E" w:rsidRDefault="0029535C">
      <w:pP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Es decir, 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w:t>
      </w:r>
      <w:r w:rsidRPr="0007190E">
        <w:rPr>
          <w:rFonts w:ascii="Palatino Linotype" w:eastAsia="Palatino Linotype" w:hAnsi="Palatino Linotype" w:cs="Palatino Linotype"/>
          <w:sz w:val="22"/>
          <w:szCs w:val="22"/>
        </w:rPr>
        <w:lastRenderedPageBreak/>
        <w:t>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1EE2D47" w14:textId="77777777" w:rsidR="000710B6" w:rsidRPr="0007190E" w:rsidRDefault="0029535C">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Respecto a las formalidades que deberá llevar el acuerdo de clasificación que deberá emitir 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a través de su Comité de Transparencia, los Lineamientos Quincuagésimo, Quincuagésimo primero, Quincuagésimo segundo, de los Lineamientos Generales en Materia de Clasificación y Desclasificación de la Información, así como para la Elaboración de Versiones Públicas señalan lo siguiente:</w:t>
      </w:r>
    </w:p>
    <w:p w14:paraId="594BF4E7"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 xml:space="preserve"> “Quincuagésimo. </w:t>
      </w:r>
      <w:r w:rsidRPr="0007190E">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51FF225A" w14:textId="77777777" w:rsidR="000710B6" w:rsidRPr="0007190E" w:rsidRDefault="0029535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 xml:space="preserve">Quincuagésimo primero. </w:t>
      </w:r>
      <w:r w:rsidRPr="0007190E">
        <w:rPr>
          <w:rFonts w:ascii="Palatino Linotype" w:eastAsia="Palatino Linotype" w:hAnsi="Palatino Linotype" w:cs="Palatino Linotype"/>
          <w:i/>
          <w:sz w:val="22"/>
          <w:szCs w:val="22"/>
        </w:rPr>
        <w:t xml:space="preserve">Toda acta del Comité de Transparencia deberá contener: </w:t>
      </w:r>
    </w:p>
    <w:p w14:paraId="43D5A7C5"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w:t>
      </w:r>
      <w:r w:rsidRPr="0007190E">
        <w:rPr>
          <w:rFonts w:ascii="Palatino Linotype" w:eastAsia="Palatino Linotype" w:hAnsi="Palatino Linotype" w:cs="Palatino Linotype"/>
          <w:i/>
          <w:sz w:val="22"/>
          <w:szCs w:val="22"/>
        </w:rPr>
        <w:t xml:space="preserve"> El número de sesión y fecha; </w:t>
      </w:r>
    </w:p>
    <w:p w14:paraId="7691F892"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w:t>
      </w:r>
      <w:r w:rsidRPr="0007190E">
        <w:rPr>
          <w:rFonts w:ascii="Palatino Linotype" w:eastAsia="Palatino Linotype" w:hAnsi="Palatino Linotype" w:cs="Palatino Linotype"/>
          <w:i/>
          <w:sz w:val="22"/>
          <w:szCs w:val="22"/>
        </w:rPr>
        <w:t xml:space="preserve">. El nombre del área que solicitó la clasificación de información; </w:t>
      </w:r>
    </w:p>
    <w:p w14:paraId="58F9E83B"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III</w:t>
      </w:r>
      <w:r w:rsidRPr="0007190E">
        <w:rPr>
          <w:rFonts w:ascii="Palatino Linotype" w:eastAsia="Palatino Linotype" w:hAnsi="Palatino Linotype" w:cs="Palatino Linotype"/>
          <w:i/>
          <w:sz w:val="22"/>
          <w:szCs w:val="22"/>
        </w:rPr>
        <w:t xml:space="preserve">. La fundamentación legal y motivación correspondiente; </w:t>
      </w:r>
    </w:p>
    <w:p w14:paraId="064F0E8E"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IV</w:t>
      </w:r>
      <w:r w:rsidRPr="0007190E">
        <w:rPr>
          <w:rFonts w:ascii="Palatino Linotype" w:eastAsia="Palatino Linotype" w:hAnsi="Palatino Linotype" w:cs="Palatino Linotype"/>
          <w:i/>
          <w:sz w:val="22"/>
          <w:szCs w:val="22"/>
        </w:rPr>
        <w:t xml:space="preserve">. La resolución o resoluciones aprobadas; y </w:t>
      </w:r>
    </w:p>
    <w:p w14:paraId="21EE1F60"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V</w:t>
      </w:r>
      <w:r w:rsidRPr="0007190E">
        <w:rPr>
          <w:rFonts w:ascii="Palatino Linotype" w:eastAsia="Palatino Linotype" w:hAnsi="Palatino Linotype" w:cs="Palatino Linotype"/>
          <w:i/>
          <w:sz w:val="22"/>
          <w:szCs w:val="22"/>
        </w:rPr>
        <w:t xml:space="preserve">. La rúbrica o firma digital de cada integrante del Comité de Transparencia. </w:t>
      </w:r>
    </w:p>
    <w:p w14:paraId="47366BC8" w14:textId="77777777" w:rsidR="000710B6" w:rsidRPr="0007190E" w:rsidRDefault="0029535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0DD1C38E"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w:t>
      </w:r>
      <w:r w:rsidRPr="0007190E">
        <w:rPr>
          <w:rFonts w:ascii="Palatino Linotype" w:eastAsia="Palatino Linotype" w:hAnsi="Palatino Linotype" w:cs="Palatino Linotype"/>
          <w:i/>
          <w:sz w:val="22"/>
          <w:szCs w:val="22"/>
        </w:rPr>
        <w:t xml:space="preserve"> Los motivos y razonamientos que sustenten la confirmación o modificación de la prueba de daño;</w:t>
      </w:r>
    </w:p>
    <w:p w14:paraId="4347E7A4"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II</w:t>
      </w:r>
      <w:r w:rsidRPr="0007190E">
        <w:rPr>
          <w:rFonts w:ascii="Palatino Linotype" w:eastAsia="Palatino Linotype" w:hAnsi="Palatino Linotype" w:cs="Palatino Linotype"/>
          <w:i/>
          <w:sz w:val="22"/>
          <w:szCs w:val="22"/>
        </w:rPr>
        <w:t>. Descripción de las partes o secciones reservadas, en caso de clasificación parcial</w:t>
      </w:r>
      <w:r w:rsidRPr="0007190E">
        <w:rPr>
          <w:rFonts w:ascii="Palatino Linotype" w:eastAsia="Palatino Linotype" w:hAnsi="Palatino Linotype" w:cs="Palatino Linotype"/>
          <w:b/>
          <w:i/>
          <w:sz w:val="22"/>
          <w:szCs w:val="22"/>
        </w:rPr>
        <w:t xml:space="preserve">; </w:t>
      </w:r>
    </w:p>
    <w:p w14:paraId="388E5C3D"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III.</w:t>
      </w:r>
      <w:r w:rsidRPr="0007190E">
        <w:rPr>
          <w:rFonts w:ascii="Palatino Linotype" w:eastAsia="Palatino Linotype" w:hAnsi="Palatino Linotype" w:cs="Palatino Linotype"/>
          <w:i/>
          <w:sz w:val="22"/>
          <w:szCs w:val="22"/>
        </w:rPr>
        <w:t xml:space="preserve"> El periodo por el que mantendrá su clasificación y fecha de expiración; y </w:t>
      </w:r>
    </w:p>
    <w:p w14:paraId="48756BF2" w14:textId="77777777" w:rsidR="000710B6" w:rsidRPr="0007190E" w:rsidRDefault="0029535C">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lastRenderedPageBreak/>
        <w:t>IV.</w:t>
      </w:r>
      <w:r w:rsidRPr="0007190E">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5BBB104F" w14:textId="77777777" w:rsidR="000710B6" w:rsidRPr="0007190E" w:rsidRDefault="0029535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326D8808" w14:textId="77777777" w:rsidR="000710B6" w:rsidRPr="0007190E" w:rsidRDefault="0029535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F0872E0" w14:textId="77777777" w:rsidR="000710B6" w:rsidRPr="0007190E" w:rsidRDefault="0029535C">
      <w:pPr>
        <w:spacing w:before="120" w:after="120"/>
        <w:ind w:left="851"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Quincuagésimo segundo</w:t>
      </w:r>
      <w:r w:rsidRPr="0007190E">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22BB84A" w14:textId="77777777" w:rsidR="000710B6" w:rsidRPr="0007190E" w:rsidRDefault="0029535C">
      <w:pPr>
        <w:spacing w:before="120" w:after="120"/>
        <w:ind w:left="851"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En el caso especifico de la clasificación y elaboración de versiones públicas de documentos que contengan información confidencial, las áreas de los sujetos obligados deberán: </w:t>
      </w:r>
    </w:p>
    <w:p w14:paraId="1249E293" w14:textId="77777777" w:rsidR="000710B6" w:rsidRPr="0007190E" w:rsidRDefault="0029535C">
      <w:pPr>
        <w:spacing w:before="120" w:after="120"/>
        <w:ind w:left="1134"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w:t>
      </w:r>
      <w:r w:rsidRPr="0007190E">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3785E643" w14:textId="77777777" w:rsidR="000710B6" w:rsidRPr="0007190E" w:rsidRDefault="0029535C">
      <w:pPr>
        <w:spacing w:before="120" w:after="120"/>
        <w:ind w:left="1134"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w:t>
      </w:r>
      <w:r w:rsidRPr="0007190E">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26DF6F69" w14:textId="77777777" w:rsidR="000710B6" w:rsidRPr="0007190E" w:rsidRDefault="0029535C">
      <w:pPr>
        <w:spacing w:before="120" w:after="120"/>
        <w:ind w:left="1134"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III.</w:t>
      </w:r>
      <w:r w:rsidRPr="0007190E">
        <w:rPr>
          <w:rFonts w:ascii="Palatino Linotype" w:eastAsia="Palatino Linotype" w:hAnsi="Palatino Linotype" w:cs="Palatino Linotype"/>
          <w:i/>
          <w:sz w:val="22"/>
          <w:szCs w:val="22"/>
        </w:rPr>
        <w:t xml:space="preserve"> Señalar las personas o instancias autorizadas a acceder a la información clasificada.</w:t>
      </w:r>
    </w:p>
    <w:p w14:paraId="64C1C52A" w14:textId="77777777" w:rsidR="000710B6" w:rsidRPr="0007190E" w:rsidRDefault="0029535C">
      <w:pPr>
        <w:spacing w:before="120" w:after="120"/>
        <w:ind w:left="851" w:right="900"/>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78B5DB09"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Asimismo, deberá observar los Lineamientos Quincuagésimo cuarto, Quincuagésimo quinto, Quincuagésimo sexto, Quincuagésimo séptimo y Quincuagésimo octavo, establecen lo siguiente:</w:t>
      </w:r>
    </w:p>
    <w:p w14:paraId="73A0CEFE" w14:textId="77777777" w:rsidR="000710B6" w:rsidRPr="0007190E" w:rsidRDefault="0029535C">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i/>
          <w:sz w:val="22"/>
          <w:szCs w:val="22"/>
        </w:rPr>
        <w:t>“</w:t>
      </w:r>
      <w:r w:rsidRPr="0007190E">
        <w:rPr>
          <w:rFonts w:ascii="Palatino Linotype" w:eastAsia="Palatino Linotype" w:hAnsi="Palatino Linotype" w:cs="Palatino Linotype"/>
          <w:b/>
          <w:i/>
          <w:sz w:val="22"/>
          <w:szCs w:val="22"/>
        </w:rPr>
        <w:t xml:space="preserve">Quincuagésimo cuarto. </w:t>
      </w:r>
      <w:r w:rsidRPr="0007190E">
        <w:rPr>
          <w:rFonts w:ascii="Palatino Linotype" w:eastAsia="Palatino Linotype" w:hAnsi="Palatino Linotype" w:cs="Palatino Linotype"/>
          <w:i/>
          <w:sz w:val="22"/>
          <w:szCs w:val="22"/>
        </w:rPr>
        <w:t xml:space="preserve">Cuando el Comité de Transparencia confirme la clasificación de documentos reservados y/o confidenciales, sea total o parcialmente; se deberá anexar al expediente la resolución que determinó la clasificación o, en su defecto, identificar en la carátula del expediente del cual </w:t>
      </w:r>
      <w:r w:rsidRPr="0007190E">
        <w:rPr>
          <w:rFonts w:ascii="Palatino Linotype" w:eastAsia="Palatino Linotype" w:hAnsi="Palatino Linotype" w:cs="Palatino Linotype"/>
          <w:i/>
          <w:sz w:val="22"/>
          <w:szCs w:val="22"/>
        </w:rPr>
        <w:lastRenderedPageBreak/>
        <w:t>formen parte, la fecha y sesión del Comité de Transparencia en la que se confirmó dicha clasificación.</w:t>
      </w:r>
      <w:r w:rsidRPr="0007190E">
        <w:rPr>
          <w:rFonts w:ascii="Palatino Linotype" w:eastAsia="Palatino Linotype" w:hAnsi="Palatino Linotype" w:cs="Palatino Linotype"/>
          <w:b/>
          <w:i/>
          <w:sz w:val="22"/>
          <w:szCs w:val="22"/>
        </w:rPr>
        <w:t xml:space="preserve"> </w:t>
      </w:r>
    </w:p>
    <w:p w14:paraId="7B31E7AC"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 xml:space="preserve">Quincuagésimo quinto. </w:t>
      </w:r>
      <w:r w:rsidRPr="0007190E">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491A5FF" w14:textId="77777777" w:rsidR="000710B6" w:rsidRPr="0007190E" w:rsidRDefault="0029535C">
      <w:pPr>
        <w:spacing w:before="120" w:after="120"/>
        <w:ind w:left="851" w:right="902"/>
        <w:jc w:val="both"/>
        <w:rPr>
          <w:rFonts w:ascii="Palatino Linotype" w:eastAsia="Palatino Linotype" w:hAnsi="Palatino Linotype" w:cs="Palatino Linotype"/>
          <w:b/>
          <w:i/>
          <w:sz w:val="22"/>
          <w:szCs w:val="22"/>
        </w:rPr>
      </w:pPr>
      <w:r w:rsidRPr="0007190E">
        <w:rPr>
          <w:rFonts w:ascii="Palatino Linotype" w:eastAsia="Palatino Linotype" w:hAnsi="Palatino Linotype" w:cs="Palatino Linotype"/>
          <w:b/>
          <w:i/>
          <w:sz w:val="22"/>
          <w:szCs w:val="22"/>
        </w:rPr>
        <w:t>...</w:t>
      </w:r>
    </w:p>
    <w:p w14:paraId="229A12DC"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Quincuagésimo séptimo</w:t>
      </w:r>
      <w:r w:rsidRPr="0007190E">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0BD258FE"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w:t>
      </w:r>
      <w:r w:rsidRPr="0007190E">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1FACBE4D"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w:t>
      </w:r>
      <w:r w:rsidRPr="0007190E">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410D4206" w14:textId="77777777" w:rsidR="000710B6" w:rsidRPr="0007190E" w:rsidRDefault="0029535C">
      <w:pPr>
        <w:spacing w:before="120" w:after="120"/>
        <w:ind w:left="1134"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III</w:t>
      </w:r>
      <w:r w:rsidRPr="0007190E">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34AAC6E8"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169D8D3F" w14:textId="77777777" w:rsidR="000710B6" w:rsidRPr="0007190E" w:rsidRDefault="0029535C">
      <w:pPr>
        <w:spacing w:before="120" w:after="120"/>
        <w:ind w:left="851" w:right="902"/>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b/>
          <w:i/>
          <w:sz w:val="22"/>
          <w:szCs w:val="22"/>
        </w:rPr>
        <w:t>Quincuagésimo octavo</w:t>
      </w:r>
      <w:r w:rsidRPr="0007190E">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354070FF" w14:textId="563A7F60"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sz w:val="22"/>
          <w:szCs w:val="22"/>
        </w:rPr>
        <w:t xml:space="preserve">Así, con fundamento en lo prescrito en los artículos </w:t>
      </w:r>
      <w:r w:rsidR="00F36A7F" w:rsidRPr="0007190E">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07190E">
        <w:rPr>
          <w:rFonts w:ascii="Palatino Linotype" w:eastAsia="Palatino Linotype" w:hAnsi="Palatino Linotype" w:cs="Palatino Linotype"/>
          <w:sz w:val="22"/>
          <w:szCs w:val="22"/>
        </w:rPr>
        <w:t>; 2, fracción II; 29, 36 fracciones I y II; 176, 178, 181, 185 y 186 fracción II de la Ley de Transparencia y Acceso a la Información Pública del Estado de México y Municipios, este Pleno:</w:t>
      </w:r>
    </w:p>
    <w:p w14:paraId="5CFA909F" w14:textId="77777777" w:rsidR="007D4B6A" w:rsidRPr="0007190E" w:rsidRDefault="007D4B6A" w:rsidP="007D4B6A">
      <w:pPr>
        <w:pStyle w:val="Prrafodelista"/>
        <w:pBdr>
          <w:top w:val="nil"/>
          <w:left w:val="nil"/>
          <w:bottom w:val="nil"/>
          <w:right w:val="nil"/>
          <w:between w:val="nil"/>
        </w:pBdr>
        <w:spacing w:before="240" w:after="240" w:line="360" w:lineRule="auto"/>
        <w:rPr>
          <w:rFonts w:ascii="Palatino Linotype" w:eastAsia="Palatino Linotype" w:hAnsi="Palatino Linotype" w:cs="Palatino Linotype"/>
          <w:b/>
          <w:sz w:val="22"/>
          <w:szCs w:val="22"/>
        </w:rPr>
      </w:pPr>
    </w:p>
    <w:p w14:paraId="043BA894" w14:textId="64527CB7" w:rsidR="000710B6" w:rsidRPr="0007190E" w:rsidRDefault="0029535C" w:rsidP="007D4B6A">
      <w:pPr>
        <w:pStyle w:val="Prrafodelista"/>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07190E">
        <w:rPr>
          <w:rFonts w:ascii="Palatino Linotype" w:eastAsia="Palatino Linotype" w:hAnsi="Palatino Linotype" w:cs="Palatino Linotype"/>
          <w:b/>
          <w:sz w:val="22"/>
          <w:szCs w:val="22"/>
        </w:rPr>
        <w:t>R E S U E L V E</w:t>
      </w:r>
    </w:p>
    <w:p w14:paraId="7FBEE33E" w14:textId="491F3369" w:rsidR="000710B6" w:rsidRPr="0007190E" w:rsidRDefault="0029535C">
      <w:pPr>
        <w:spacing w:before="240" w:after="240" w:line="360" w:lineRule="auto"/>
        <w:jc w:val="both"/>
        <w:rPr>
          <w:rFonts w:ascii="Palatino Linotype" w:eastAsia="Palatino Linotype" w:hAnsi="Palatino Linotype" w:cs="Palatino Linotype"/>
          <w:sz w:val="22"/>
          <w:szCs w:val="22"/>
        </w:rPr>
      </w:pPr>
      <w:bookmarkStart w:id="8" w:name="_heading=h.1t3h5sf" w:colFirst="0" w:colLast="0"/>
      <w:bookmarkEnd w:id="8"/>
      <w:r w:rsidRPr="0007190E">
        <w:rPr>
          <w:rFonts w:ascii="Palatino Linotype" w:eastAsia="Palatino Linotype" w:hAnsi="Palatino Linotype" w:cs="Palatino Linotype"/>
          <w:b/>
          <w:sz w:val="22"/>
          <w:szCs w:val="22"/>
        </w:rPr>
        <w:t xml:space="preserve">Primero. </w:t>
      </w:r>
      <w:r w:rsidRPr="0007190E">
        <w:rPr>
          <w:rFonts w:ascii="Palatino Linotype" w:eastAsia="Palatino Linotype" w:hAnsi="Palatino Linotype" w:cs="Palatino Linotype"/>
          <w:sz w:val="22"/>
          <w:szCs w:val="22"/>
        </w:rPr>
        <w:t>Resultan</w:t>
      </w:r>
      <w:r w:rsidRPr="0007190E">
        <w:rPr>
          <w:rFonts w:ascii="Palatino Linotype" w:eastAsia="Palatino Linotype" w:hAnsi="Palatino Linotype" w:cs="Palatino Linotype"/>
          <w:b/>
          <w:sz w:val="22"/>
          <w:szCs w:val="22"/>
        </w:rPr>
        <w:t xml:space="preserve"> fundadas</w:t>
      </w:r>
      <w:r w:rsidRPr="0007190E">
        <w:rPr>
          <w:rFonts w:ascii="Palatino Linotype" w:eastAsia="Palatino Linotype" w:hAnsi="Palatino Linotype" w:cs="Palatino Linotype"/>
          <w:sz w:val="22"/>
          <w:szCs w:val="22"/>
        </w:rPr>
        <w:t xml:space="preserve"> las razones o motivos de inconformidad hechos valer por la parte</w:t>
      </w:r>
      <w:r w:rsidRPr="0007190E">
        <w:rPr>
          <w:rFonts w:ascii="Palatino Linotype" w:eastAsia="Palatino Linotype" w:hAnsi="Palatino Linotype" w:cs="Palatino Linotype"/>
          <w:b/>
          <w:sz w:val="22"/>
          <w:szCs w:val="22"/>
        </w:rPr>
        <w:t xml:space="preserve"> Recurrente</w:t>
      </w:r>
      <w:r w:rsidRPr="0007190E">
        <w:rPr>
          <w:rFonts w:ascii="Palatino Linotype" w:eastAsia="Palatino Linotype" w:hAnsi="Palatino Linotype" w:cs="Palatino Linotype"/>
          <w:sz w:val="22"/>
          <w:szCs w:val="22"/>
        </w:rPr>
        <w:t xml:space="preserve"> en el recurso de revisión </w:t>
      </w:r>
      <w:r w:rsidR="00EB017D" w:rsidRPr="0007190E">
        <w:rPr>
          <w:rFonts w:ascii="Palatino Linotype" w:eastAsia="Palatino Linotype" w:hAnsi="Palatino Linotype" w:cs="Palatino Linotype"/>
          <w:b/>
          <w:sz w:val="22"/>
          <w:szCs w:val="22"/>
        </w:rPr>
        <w:t>14434</w:t>
      </w:r>
      <w:r w:rsidRPr="0007190E">
        <w:rPr>
          <w:rFonts w:ascii="Palatino Linotype" w:eastAsia="Palatino Linotype" w:hAnsi="Palatino Linotype" w:cs="Palatino Linotype"/>
          <w:b/>
          <w:sz w:val="22"/>
          <w:szCs w:val="22"/>
        </w:rPr>
        <w:t>/INFOEM/IP/RR/2025</w:t>
      </w:r>
      <w:r w:rsidRPr="0007190E">
        <w:rPr>
          <w:rFonts w:ascii="Palatino Linotype" w:eastAsia="Palatino Linotype" w:hAnsi="Palatino Linotype" w:cs="Palatino Linotype"/>
          <w:sz w:val="22"/>
          <w:szCs w:val="22"/>
        </w:rPr>
        <w:t xml:space="preserve">; en términos del </w:t>
      </w:r>
      <w:r w:rsidRPr="0007190E">
        <w:rPr>
          <w:rFonts w:ascii="Palatino Linotype" w:eastAsia="Palatino Linotype" w:hAnsi="Palatino Linotype" w:cs="Palatino Linotype"/>
          <w:b/>
          <w:sz w:val="22"/>
          <w:szCs w:val="22"/>
        </w:rPr>
        <w:t>Considerando</w:t>
      </w:r>
      <w:r w:rsidRPr="0007190E">
        <w:rPr>
          <w:rFonts w:ascii="Palatino Linotype" w:eastAsia="Palatino Linotype" w:hAnsi="Palatino Linotype" w:cs="Palatino Linotype"/>
          <w:sz w:val="22"/>
          <w:szCs w:val="22"/>
        </w:rPr>
        <w:t xml:space="preserve"> </w:t>
      </w:r>
      <w:r w:rsidRPr="0007190E">
        <w:rPr>
          <w:rFonts w:ascii="Palatino Linotype" w:eastAsia="Palatino Linotype" w:hAnsi="Palatino Linotype" w:cs="Palatino Linotype"/>
          <w:b/>
          <w:sz w:val="22"/>
          <w:szCs w:val="22"/>
        </w:rPr>
        <w:t xml:space="preserve">Cuarto </w:t>
      </w:r>
      <w:r w:rsidR="00F83859" w:rsidRPr="0007190E">
        <w:rPr>
          <w:rFonts w:ascii="Palatino Linotype" w:eastAsia="Palatino Linotype" w:hAnsi="Palatino Linotype" w:cs="Palatino Linotype"/>
          <w:sz w:val="22"/>
          <w:szCs w:val="22"/>
        </w:rPr>
        <w:t>de esta resolución. .</w:t>
      </w:r>
    </w:p>
    <w:p w14:paraId="5920CB8A" w14:textId="77777777" w:rsidR="000710B6" w:rsidRPr="0007190E" w:rsidRDefault="0029535C">
      <w:pPr>
        <w:spacing w:before="240" w:after="240" w:line="360" w:lineRule="auto"/>
        <w:ind w:right="49"/>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 xml:space="preserve">Segundo. </w:t>
      </w:r>
      <w:r w:rsidRPr="0007190E">
        <w:rPr>
          <w:rFonts w:ascii="Palatino Linotype" w:eastAsia="Palatino Linotype" w:hAnsi="Palatino Linotype" w:cs="Palatino Linotype"/>
          <w:sz w:val="22"/>
          <w:szCs w:val="22"/>
        </w:rPr>
        <w:t xml:space="preserve">Se </w:t>
      </w:r>
      <w:r w:rsidRPr="0007190E">
        <w:rPr>
          <w:rFonts w:ascii="Palatino Linotype" w:eastAsia="Palatino Linotype" w:hAnsi="Palatino Linotype" w:cs="Palatino Linotype"/>
          <w:b/>
          <w:sz w:val="22"/>
          <w:szCs w:val="22"/>
        </w:rPr>
        <w:t xml:space="preserve">Ordena </w:t>
      </w:r>
      <w:r w:rsidRPr="0007190E">
        <w:rPr>
          <w:rFonts w:ascii="Palatino Linotype" w:eastAsia="Palatino Linotype" w:hAnsi="Palatino Linotype" w:cs="Palatino Linotype"/>
          <w:sz w:val="22"/>
          <w:szCs w:val="22"/>
        </w:rPr>
        <w:t xml:space="preserve">al </w:t>
      </w:r>
      <w:r w:rsidRPr="0007190E">
        <w:rPr>
          <w:rFonts w:ascii="Palatino Linotype" w:eastAsia="Palatino Linotype" w:hAnsi="Palatino Linotype" w:cs="Palatino Linotype"/>
          <w:b/>
          <w:sz w:val="22"/>
          <w:szCs w:val="22"/>
        </w:rPr>
        <w:t xml:space="preserve">Sujeto Obligado, </w:t>
      </w:r>
      <w:r w:rsidRPr="0007190E">
        <w:rPr>
          <w:rFonts w:ascii="Palatino Linotype" w:eastAsia="Palatino Linotype" w:hAnsi="Palatino Linotype" w:cs="Palatino Linotype"/>
          <w:sz w:val="22"/>
          <w:szCs w:val="22"/>
        </w:rPr>
        <w:t xml:space="preserve">en términos de los </w:t>
      </w:r>
      <w:r w:rsidRPr="0007190E">
        <w:rPr>
          <w:rFonts w:ascii="Palatino Linotype" w:eastAsia="Palatino Linotype" w:hAnsi="Palatino Linotype" w:cs="Palatino Linotype"/>
          <w:b/>
          <w:sz w:val="22"/>
          <w:szCs w:val="22"/>
        </w:rPr>
        <w:t>Considerandos</w:t>
      </w:r>
      <w:r w:rsidRPr="0007190E">
        <w:rPr>
          <w:rFonts w:ascii="Palatino Linotype" w:eastAsia="Palatino Linotype" w:hAnsi="Palatino Linotype" w:cs="Palatino Linotype"/>
          <w:sz w:val="22"/>
          <w:szCs w:val="22"/>
        </w:rPr>
        <w:t xml:space="preserve"> </w:t>
      </w:r>
      <w:r w:rsidRPr="0007190E">
        <w:rPr>
          <w:rFonts w:ascii="Palatino Linotype" w:eastAsia="Palatino Linotype" w:hAnsi="Palatino Linotype" w:cs="Palatino Linotype"/>
          <w:b/>
          <w:sz w:val="22"/>
          <w:szCs w:val="22"/>
        </w:rPr>
        <w:t xml:space="preserve">Cuarto </w:t>
      </w:r>
      <w:r w:rsidRPr="0007190E">
        <w:rPr>
          <w:rFonts w:ascii="Palatino Linotype" w:eastAsia="Palatino Linotype" w:hAnsi="Palatino Linotype" w:cs="Palatino Linotype"/>
          <w:sz w:val="22"/>
          <w:szCs w:val="22"/>
        </w:rPr>
        <w:t xml:space="preserve"> y </w:t>
      </w:r>
      <w:r w:rsidRPr="0007190E">
        <w:rPr>
          <w:rFonts w:ascii="Palatino Linotype" w:eastAsia="Palatino Linotype" w:hAnsi="Palatino Linotype" w:cs="Palatino Linotype"/>
          <w:b/>
          <w:sz w:val="22"/>
          <w:szCs w:val="22"/>
        </w:rPr>
        <w:t>Quinto</w:t>
      </w:r>
      <w:r w:rsidRPr="0007190E">
        <w:rPr>
          <w:rFonts w:ascii="Palatino Linotype" w:eastAsia="Palatino Linotype" w:hAnsi="Palatino Linotype" w:cs="Palatino Linotype"/>
          <w:sz w:val="22"/>
          <w:szCs w:val="22"/>
        </w:rPr>
        <w:t xml:space="preserve"> de esta resolución, haga entrega, vía </w:t>
      </w:r>
      <w:r w:rsidRPr="0007190E">
        <w:rPr>
          <w:rFonts w:ascii="Palatino Linotype" w:eastAsia="Palatino Linotype" w:hAnsi="Palatino Linotype" w:cs="Palatino Linotype"/>
          <w:b/>
          <w:sz w:val="22"/>
          <w:szCs w:val="22"/>
        </w:rPr>
        <w:t>SAIMEX</w:t>
      </w:r>
      <w:r w:rsidRPr="0007190E">
        <w:rPr>
          <w:rFonts w:ascii="Palatino Linotype" w:eastAsia="Palatino Linotype" w:hAnsi="Palatino Linotype" w:cs="Palatino Linotype"/>
          <w:sz w:val="22"/>
          <w:szCs w:val="22"/>
        </w:rPr>
        <w:t xml:space="preserve">, </w:t>
      </w:r>
      <w:r w:rsidRPr="0007190E">
        <w:rPr>
          <w:rFonts w:ascii="Palatino Linotype" w:eastAsia="Palatino Linotype" w:hAnsi="Palatino Linotype" w:cs="Palatino Linotype"/>
          <w:b/>
          <w:sz w:val="22"/>
          <w:szCs w:val="22"/>
          <w:u w:val="single"/>
        </w:rPr>
        <w:t>en versión pública</w:t>
      </w:r>
      <w:r w:rsidRPr="0007190E">
        <w:rPr>
          <w:rFonts w:ascii="Palatino Linotype" w:eastAsia="Palatino Linotype" w:hAnsi="Palatino Linotype" w:cs="Palatino Linotype"/>
          <w:sz w:val="22"/>
          <w:szCs w:val="22"/>
        </w:rPr>
        <w:t>, de lo siguiente:</w:t>
      </w:r>
    </w:p>
    <w:p w14:paraId="5A2D5D73" w14:textId="302B1A6F" w:rsidR="000710B6" w:rsidRPr="0007190E" w:rsidRDefault="0029535C">
      <w:pPr>
        <w:spacing w:before="240" w:after="240" w:line="360" w:lineRule="auto"/>
        <w:ind w:left="284"/>
        <w:jc w:val="both"/>
        <w:rPr>
          <w:rFonts w:ascii="Palatino Linotype" w:eastAsia="Palatino Linotype" w:hAnsi="Palatino Linotype" w:cs="Palatino Linotype"/>
          <w:sz w:val="22"/>
          <w:szCs w:val="22"/>
        </w:rPr>
      </w:pPr>
      <w:bookmarkStart w:id="9" w:name="_heading=h.1fob9te" w:colFirst="0" w:colLast="0"/>
      <w:bookmarkEnd w:id="9"/>
      <w:r w:rsidRPr="0007190E">
        <w:rPr>
          <w:rFonts w:ascii="Palatino Linotype" w:eastAsia="Palatino Linotype" w:hAnsi="Palatino Linotype" w:cs="Palatino Linotype"/>
          <w:sz w:val="22"/>
          <w:szCs w:val="22"/>
        </w:rPr>
        <w:t xml:space="preserve">1. </w:t>
      </w:r>
      <w:r w:rsidR="00673E6C" w:rsidRPr="0007190E">
        <w:rPr>
          <w:rFonts w:ascii="Palatino Linotype" w:eastAsia="Palatino Linotype" w:hAnsi="Palatino Linotype" w:cs="Palatino Linotype"/>
          <w:sz w:val="22"/>
          <w:szCs w:val="22"/>
        </w:rPr>
        <w:t>P</w:t>
      </w:r>
      <w:r w:rsidRPr="0007190E">
        <w:rPr>
          <w:rFonts w:ascii="Palatino Linotype" w:eastAsia="Palatino Linotype" w:hAnsi="Palatino Linotype" w:cs="Palatino Linotype"/>
          <w:sz w:val="22"/>
          <w:szCs w:val="22"/>
        </w:rPr>
        <w:t>adrón catastral</w:t>
      </w:r>
      <w:r w:rsidR="007D4B6A" w:rsidRPr="0007190E">
        <w:rPr>
          <w:rFonts w:ascii="Palatino Linotype" w:eastAsia="Palatino Linotype" w:hAnsi="Palatino Linotype" w:cs="Palatino Linotype"/>
          <w:sz w:val="22"/>
          <w:szCs w:val="22"/>
        </w:rPr>
        <w:t xml:space="preserve">, </w:t>
      </w:r>
      <w:r w:rsidR="00E5348C" w:rsidRPr="0007190E">
        <w:rPr>
          <w:rFonts w:ascii="Palatino Linotype" w:eastAsia="Palatino Linotype" w:hAnsi="Palatino Linotype" w:cs="Palatino Linotype"/>
          <w:sz w:val="22"/>
          <w:szCs w:val="22"/>
        </w:rPr>
        <w:t xml:space="preserve">vigente al </w:t>
      </w:r>
      <w:r w:rsidR="00F83859" w:rsidRPr="0007190E">
        <w:rPr>
          <w:rFonts w:ascii="Palatino Linotype" w:eastAsia="Palatino Linotype" w:hAnsi="Palatino Linotype" w:cs="Palatino Linotype"/>
          <w:sz w:val="22"/>
          <w:szCs w:val="22"/>
        </w:rPr>
        <w:t xml:space="preserve">veinticuatro de noviembre de dos mil veinticinco. </w:t>
      </w:r>
    </w:p>
    <w:p w14:paraId="1966E955" w14:textId="77777777" w:rsidR="000710B6" w:rsidRPr="0007190E" w:rsidRDefault="0029535C">
      <w:pPr>
        <w:widowControl w:val="0"/>
        <w:pBdr>
          <w:top w:val="nil"/>
          <w:left w:val="nil"/>
          <w:bottom w:val="nil"/>
          <w:right w:val="nil"/>
          <w:between w:val="nil"/>
        </w:pBdr>
        <w:spacing w:before="240" w:after="240"/>
        <w:ind w:left="284" w:right="51"/>
        <w:jc w:val="both"/>
        <w:rPr>
          <w:rFonts w:ascii="Palatino Linotype" w:eastAsia="Palatino Linotype" w:hAnsi="Palatino Linotype" w:cs="Palatino Linotype"/>
          <w:i/>
          <w:sz w:val="22"/>
          <w:szCs w:val="22"/>
        </w:rPr>
      </w:pPr>
      <w:r w:rsidRPr="0007190E">
        <w:rPr>
          <w:rFonts w:ascii="Palatino Linotype" w:eastAsia="Palatino Linotype" w:hAnsi="Palatino Linotype" w:cs="Palatino Linotype"/>
          <w:i/>
          <w:sz w:val="22"/>
          <w:szCs w:val="22"/>
        </w:rPr>
        <w:t>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mismo que también hará de conocimiento del particular.</w:t>
      </w:r>
    </w:p>
    <w:p w14:paraId="1C123294" w14:textId="77777777" w:rsidR="000710B6" w:rsidRPr="0007190E" w:rsidRDefault="0029535C">
      <w:pPr>
        <w:spacing w:before="240" w:after="240" w:line="360" w:lineRule="auto"/>
        <w:jc w:val="both"/>
        <w:rPr>
          <w:rFonts w:ascii="Palatino Linotype" w:eastAsia="Palatino Linotype" w:hAnsi="Palatino Linotype" w:cs="Palatino Linotype"/>
          <w:sz w:val="22"/>
          <w:szCs w:val="22"/>
        </w:rPr>
      </w:pPr>
      <w:r w:rsidRPr="0007190E">
        <w:rPr>
          <w:rFonts w:ascii="Palatino Linotype" w:eastAsia="Palatino Linotype" w:hAnsi="Palatino Linotype" w:cs="Palatino Linotype"/>
          <w:b/>
          <w:sz w:val="22"/>
          <w:szCs w:val="22"/>
        </w:rPr>
        <w:t xml:space="preserve">Tercero. Notifíquese, </w:t>
      </w:r>
      <w:r w:rsidRPr="0007190E">
        <w:rPr>
          <w:rFonts w:ascii="Palatino Linotype" w:eastAsia="Palatino Linotype" w:hAnsi="Palatino Linotype" w:cs="Palatino Linotype"/>
          <w:sz w:val="22"/>
          <w:szCs w:val="22"/>
        </w:rPr>
        <w:t xml:space="preserve">vía </w:t>
      </w:r>
      <w:r w:rsidRPr="0007190E">
        <w:rPr>
          <w:rFonts w:ascii="Palatino Linotype" w:eastAsia="Palatino Linotype" w:hAnsi="Palatino Linotype" w:cs="Palatino Linotype"/>
          <w:b/>
          <w:sz w:val="22"/>
          <w:szCs w:val="22"/>
        </w:rPr>
        <w:t>SAIMEX</w:t>
      </w:r>
      <w:r w:rsidRPr="0007190E">
        <w:rPr>
          <w:rFonts w:ascii="Palatino Linotype" w:eastAsia="Palatino Linotype" w:hAnsi="Palatino Linotype" w:cs="Palatino Linotype"/>
          <w:sz w:val="22"/>
          <w:szCs w:val="22"/>
        </w:rPr>
        <w:t xml:space="preserve">, al Titular de la Unidad de Transparencia del </w:t>
      </w:r>
      <w:r w:rsidRPr="0007190E">
        <w:rPr>
          <w:rFonts w:ascii="Palatino Linotype" w:eastAsia="Palatino Linotype" w:hAnsi="Palatino Linotype" w:cs="Palatino Linotype"/>
          <w:b/>
          <w:sz w:val="22"/>
          <w:szCs w:val="22"/>
        </w:rPr>
        <w:t>Sujeto Obligado,</w:t>
      </w:r>
      <w:r w:rsidRPr="0007190E">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4044E1" w14:textId="77777777" w:rsidR="004977C5" w:rsidRPr="0007190E" w:rsidRDefault="0029535C" w:rsidP="004977C5">
      <w:pPr>
        <w:spacing w:before="240" w:after="240" w:line="360" w:lineRule="auto"/>
        <w:jc w:val="both"/>
        <w:rPr>
          <w:rFonts w:ascii="Palatino Linotype" w:eastAsia="Palatino Linotype" w:hAnsi="Palatino Linotype" w:cs="Palatino Linotype"/>
          <w:sz w:val="22"/>
          <w:szCs w:val="22"/>
        </w:rPr>
      </w:pPr>
      <w:bookmarkStart w:id="10" w:name="_heading=h.ot3qq6vxa08f" w:colFirst="0" w:colLast="0"/>
      <w:bookmarkEnd w:id="10"/>
      <w:r w:rsidRPr="0007190E">
        <w:rPr>
          <w:rFonts w:ascii="Palatino Linotype" w:eastAsia="Palatino Linotype" w:hAnsi="Palatino Linotype" w:cs="Palatino Linotype"/>
          <w:b/>
          <w:sz w:val="22"/>
          <w:szCs w:val="22"/>
        </w:rPr>
        <w:t xml:space="preserve">Cuarto.  Notifíquese, </w:t>
      </w:r>
      <w:r w:rsidRPr="0007190E">
        <w:rPr>
          <w:rFonts w:ascii="Palatino Linotype" w:eastAsia="Palatino Linotype" w:hAnsi="Palatino Linotype" w:cs="Palatino Linotype"/>
          <w:sz w:val="22"/>
          <w:szCs w:val="22"/>
        </w:rPr>
        <w:t xml:space="preserve">vía </w:t>
      </w:r>
      <w:r w:rsidRPr="0007190E">
        <w:rPr>
          <w:rFonts w:ascii="Palatino Linotype" w:eastAsia="Palatino Linotype" w:hAnsi="Palatino Linotype" w:cs="Palatino Linotype"/>
          <w:b/>
          <w:sz w:val="22"/>
          <w:szCs w:val="22"/>
        </w:rPr>
        <w:t>SAIMEX</w:t>
      </w:r>
      <w:r w:rsidRPr="0007190E">
        <w:rPr>
          <w:rFonts w:ascii="Palatino Linotype" w:eastAsia="Palatino Linotype" w:hAnsi="Palatino Linotype" w:cs="Palatino Linotype"/>
          <w:sz w:val="22"/>
          <w:szCs w:val="22"/>
        </w:rPr>
        <w:t xml:space="preserve"> a la parte </w:t>
      </w:r>
      <w:r w:rsidRPr="0007190E">
        <w:rPr>
          <w:rFonts w:ascii="Palatino Linotype" w:eastAsia="Palatino Linotype" w:hAnsi="Palatino Linotype" w:cs="Palatino Linotype"/>
          <w:b/>
          <w:sz w:val="22"/>
          <w:szCs w:val="22"/>
        </w:rPr>
        <w:t>Recurrente</w:t>
      </w:r>
      <w:r w:rsidRPr="0007190E">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podrá impugnarla vía Juicio de Amparo en los términos de las leyes aplicables.</w:t>
      </w:r>
    </w:p>
    <w:p w14:paraId="64F2765D" w14:textId="73E4F0C9" w:rsidR="00F83859" w:rsidRPr="0007190E" w:rsidRDefault="004977C5" w:rsidP="004977C5">
      <w:pPr>
        <w:spacing w:before="240" w:after="240" w:line="360" w:lineRule="auto"/>
        <w:jc w:val="both"/>
        <w:rPr>
          <w:rFonts w:ascii="Palatino Linotype" w:eastAsia="Palatino Linotype" w:hAnsi="Palatino Linotype" w:cs="Palatino Linotype"/>
          <w:sz w:val="22"/>
          <w:szCs w:val="22"/>
        </w:rPr>
      </w:pPr>
      <w:r w:rsidRPr="0007190E">
        <w:rPr>
          <w:rFonts w:ascii="Palatino Linotype" w:hAnsi="Palatino Linotype"/>
          <w:b/>
          <w:bCs/>
          <w:sz w:val="22"/>
          <w:szCs w:val="22"/>
        </w:rPr>
        <w:lastRenderedPageBreak/>
        <w:t>Quinto</w:t>
      </w:r>
      <w:r w:rsidR="00F83859" w:rsidRPr="0007190E">
        <w:rPr>
          <w:rFonts w:ascii="Palatino Linotype" w:hAnsi="Palatino Linotype"/>
          <w:b/>
          <w:bCs/>
          <w:sz w:val="22"/>
          <w:szCs w:val="22"/>
        </w:rPr>
        <w:t>. Gírese</w:t>
      </w:r>
      <w:r w:rsidR="00F83859" w:rsidRPr="0007190E">
        <w:rPr>
          <w:rFonts w:ascii="Palatino Linotype" w:hAnsi="Palatino Linotype"/>
          <w:sz w:val="22"/>
          <w:szCs w:val="22"/>
        </w:rPr>
        <w:t xml:space="preserve"> oficio a la </w:t>
      </w:r>
      <w:r w:rsidR="00F83859" w:rsidRPr="0007190E">
        <w:rPr>
          <w:rFonts w:ascii="Palatino Linotype" w:hAnsi="Palatino Linotype"/>
          <w:b/>
          <w:bCs/>
          <w:sz w:val="22"/>
          <w:szCs w:val="22"/>
        </w:rPr>
        <w:t>Secretaría Técnica del Pleno de este Instituto</w:t>
      </w:r>
      <w:r w:rsidR="00F83859" w:rsidRPr="0007190E">
        <w:rPr>
          <w:rFonts w:ascii="Palatino Linotype" w:hAnsi="Palatino Linotype"/>
          <w:sz w:val="22"/>
          <w:szCs w:val="22"/>
        </w:rPr>
        <w:t xml:space="preserve"> para hacer de su conocimiento la presente resolución, a fin de que en ejercicio de sus atribuciones y de conformidad con el artículo 190, de la Ley de Transparencia y Acceso a la Información Pública del Estado de México y Municipios, determine lo conducente, en términos de lo señalado en el considerando</w:t>
      </w:r>
      <w:r w:rsidR="00F83859" w:rsidRPr="0007190E">
        <w:rPr>
          <w:rFonts w:ascii="Palatino Linotype" w:hAnsi="Palatino Linotype"/>
          <w:b/>
          <w:bCs/>
          <w:sz w:val="22"/>
          <w:szCs w:val="22"/>
        </w:rPr>
        <w:t xml:space="preserve"> Cuarto </w:t>
      </w:r>
      <w:r w:rsidR="00F83859" w:rsidRPr="0007190E">
        <w:rPr>
          <w:rFonts w:ascii="Palatino Linotype" w:hAnsi="Palatino Linotype"/>
          <w:sz w:val="22"/>
          <w:szCs w:val="22"/>
        </w:rPr>
        <w:t>de la presente resolución.</w:t>
      </w:r>
      <w:r w:rsidR="00F83859" w:rsidRPr="0007190E">
        <w:rPr>
          <w:rFonts w:ascii="Palatino Linotype" w:hAnsi="Palatino Linotype"/>
          <w:b/>
          <w:bCs/>
          <w:sz w:val="22"/>
          <w:szCs w:val="22"/>
        </w:rPr>
        <w:t> </w:t>
      </w:r>
    </w:p>
    <w:p w14:paraId="61C1FA90" w14:textId="665429C2" w:rsidR="00A25DE6" w:rsidRPr="0007190E" w:rsidRDefault="0029535C" w:rsidP="00A25DE6">
      <w:pPr>
        <w:spacing w:line="360" w:lineRule="auto"/>
        <w:ind w:right="49"/>
        <w:jc w:val="both"/>
        <w:rPr>
          <w:rFonts w:ascii="Palatino Linotype" w:eastAsia="Palatino Linotype" w:hAnsi="Palatino Linotype" w:cs="Palatino Linotype"/>
          <w:sz w:val="22"/>
          <w:szCs w:val="22"/>
        </w:rPr>
      </w:pPr>
      <w:bookmarkStart w:id="11" w:name="_heading=h.lnxbz9" w:colFirst="0" w:colLast="0"/>
      <w:bookmarkEnd w:id="11"/>
      <w:r w:rsidRPr="0007190E">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w:t>
      </w:r>
      <w:bookmarkStart w:id="12" w:name="_heading=h.leg78rv93ojj" w:colFirst="0" w:colLast="0"/>
      <w:bookmarkEnd w:id="12"/>
      <w:r w:rsidR="00A25DE6" w:rsidRPr="0007190E">
        <w:rPr>
          <w:rFonts w:ascii="Palatino Linotype" w:eastAsia="Palatino Linotype" w:hAnsi="Palatino Linotype" w:cs="Palatino Linotype"/>
          <w:sz w:val="22"/>
          <w:szCs w:val="22"/>
        </w:rPr>
        <w:t xml:space="preserve">EN LA  </w:t>
      </w:r>
      <w:r w:rsidR="004977C5" w:rsidRPr="0007190E">
        <w:rPr>
          <w:rFonts w:ascii="Palatino Linotype" w:eastAsia="Palatino Linotype" w:hAnsi="Palatino Linotype" w:cs="Palatino Linotype"/>
          <w:sz w:val="22"/>
          <w:szCs w:val="22"/>
        </w:rPr>
        <w:t xml:space="preserve">OCTAVA </w:t>
      </w:r>
      <w:r w:rsidR="00A25DE6" w:rsidRPr="0007190E">
        <w:rPr>
          <w:rFonts w:ascii="Palatino Linotype" w:eastAsia="Palatino Linotype" w:hAnsi="Palatino Linotype" w:cs="Palatino Linotype"/>
          <w:sz w:val="22"/>
          <w:szCs w:val="22"/>
        </w:rPr>
        <w:t xml:space="preserve"> SESIÓN ORDINARIA CELEBRADA EL </w:t>
      </w:r>
      <w:r w:rsidR="004977C5" w:rsidRPr="0007190E">
        <w:rPr>
          <w:rFonts w:ascii="Palatino Linotype" w:eastAsia="Palatino Linotype" w:hAnsi="Palatino Linotype" w:cs="Palatino Linotype"/>
          <w:sz w:val="22"/>
          <w:szCs w:val="22"/>
        </w:rPr>
        <w:t>CINCO DE MARZO</w:t>
      </w:r>
      <w:r w:rsidR="00A25DE6" w:rsidRPr="0007190E">
        <w:rPr>
          <w:rFonts w:ascii="Palatino Linotype" w:eastAsia="Palatino Linotype" w:hAnsi="Palatino Linotype" w:cs="Palatino Linotype"/>
          <w:sz w:val="22"/>
          <w:szCs w:val="22"/>
        </w:rPr>
        <w:t xml:space="preserve"> DE DOS MIL VEINTISÉIS, ANTE EL SECRETARIO TÉCNICO DEL PLENO ALEXIS TAPIA RAMÍREZ. </w:t>
      </w:r>
    </w:p>
    <w:p w14:paraId="69B63F40" w14:textId="77777777" w:rsidR="00A25DE6" w:rsidRPr="0007190E" w:rsidRDefault="00A25DE6" w:rsidP="00A25DE6">
      <w:pPr>
        <w:rPr>
          <w:rFonts w:ascii="Palatino Linotype" w:hAnsi="Palatino Linotype"/>
          <w:sz w:val="22"/>
          <w:szCs w:val="22"/>
        </w:rPr>
      </w:pPr>
    </w:p>
    <w:p w14:paraId="4B978070" w14:textId="0FA56B65" w:rsidR="000710B6" w:rsidRPr="0007190E" w:rsidRDefault="000710B6">
      <w:pPr>
        <w:tabs>
          <w:tab w:val="left" w:pos="8647"/>
        </w:tabs>
        <w:spacing w:before="240" w:after="240" w:line="360" w:lineRule="auto"/>
        <w:ind w:right="51"/>
        <w:jc w:val="both"/>
        <w:rPr>
          <w:rFonts w:ascii="Palatino Linotype" w:eastAsia="Palatino Linotype" w:hAnsi="Palatino Linotype" w:cs="Palatino Linotype"/>
          <w:sz w:val="22"/>
          <w:szCs w:val="22"/>
        </w:rPr>
      </w:pPr>
    </w:p>
    <w:p w14:paraId="0E2727DA"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F307D89" w14:textId="77777777" w:rsidR="000710B6" w:rsidRPr="0007190E" w:rsidRDefault="000710B6">
      <w:pPr>
        <w:spacing w:line="360" w:lineRule="auto"/>
        <w:jc w:val="center"/>
        <w:rPr>
          <w:rFonts w:ascii="Palatino Linotype" w:eastAsia="Palatino Linotype" w:hAnsi="Palatino Linotype" w:cs="Palatino Linotype"/>
          <w:sz w:val="22"/>
          <w:szCs w:val="22"/>
        </w:rPr>
      </w:pPr>
    </w:p>
    <w:p w14:paraId="524CB21B"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63599EA2"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0278B1E"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8109E59"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0976267"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4AA6AF66"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77A3AA28"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5CC3B797"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5B670DD2"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1B8A15B2"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1B6F106D"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ED5F95F"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41CC67D6"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59B84AAB"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E15585E"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63EBC43F"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66D48445"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1E32DAD"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35BFAD3"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7AB2343D"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218AF2DA"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6A9352B6"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30D8EED4"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0D4F0546"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2B8A0222"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68809290"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278391B4"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7D7975BC"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37A6BB36" w14:textId="77777777" w:rsidR="000710B6" w:rsidRPr="0007190E" w:rsidRDefault="000710B6">
      <w:pPr>
        <w:spacing w:line="360" w:lineRule="auto"/>
        <w:jc w:val="both"/>
        <w:rPr>
          <w:rFonts w:ascii="Palatino Linotype" w:eastAsia="Palatino Linotype" w:hAnsi="Palatino Linotype" w:cs="Palatino Linotype"/>
          <w:sz w:val="22"/>
          <w:szCs w:val="22"/>
        </w:rPr>
      </w:pPr>
    </w:p>
    <w:p w14:paraId="1268E1A8" w14:textId="77777777" w:rsidR="000710B6" w:rsidRPr="0007190E" w:rsidRDefault="000710B6">
      <w:pPr>
        <w:spacing w:line="360" w:lineRule="auto"/>
        <w:jc w:val="both"/>
        <w:rPr>
          <w:rFonts w:ascii="Palatino Linotype" w:eastAsia="Palatino Linotype" w:hAnsi="Palatino Linotype" w:cs="Palatino Linotype"/>
          <w:sz w:val="22"/>
          <w:szCs w:val="22"/>
        </w:rPr>
      </w:pPr>
      <w:bookmarkStart w:id="13" w:name="_heading=h.dluxxr715a9d" w:colFirst="0" w:colLast="0"/>
      <w:bookmarkEnd w:id="13"/>
    </w:p>
    <w:sectPr w:rsidR="000710B6" w:rsidRPr="0007190E">
      <w:headerReference w:type="default" r:id="rId12"/>
      <w:footerReference w:type="default" r:id="rId13"/>
      <w:headerReference w:type="first" r:id="rId14"/>
      <w:footerReference w:type="first" r:id="rId15"/>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AEB6" w14:textId="77777777" w:rsidR="00DF7F69" w:rsidRDefault="00DF7F69">
      <w:r>
        <w:separator/>
      </w:r>
    </w:p>
  </w:endnote>
  <w:endnote w:type="continuationSeparator" w:id="0">
    <w:p w14:paraId="2E5565BA" w14:textId="77777777" w:rsidR="00DF7F69" w:rsidRDefault="00DF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6D18B" w14:textId="77777777" w:rsidR="00C612CF" w:rsidRDefault="00C612C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07190E">
      <w:rPr>
        <w:rFonts w:ascii="Palatino Linotype" w:eastAsia="Palatino Linotype" w:hAnsi="Palatino Linotype" w:cs="Palatino Linotype"/>
        <w:b/>
        <w:noProof/>
        <w:color w:val="000000"/>
        <w:sz w:val="20"/>
        <w:szCs w:val="20"/>
      </w:rPr>
      <w:t>42</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07190E">
      <w:rPr>
        <w:rFonts w:ascii="Palatino Linotype" w:eastAsia="Palatino Linotype" w:hAnsi="Palatino Linotype" w:cs="Palatino Linotype"/>
        <w:b/>
        <w:noProof/>
        <w:color w:val="000000"/>
        <w:sz w:val="20"/>
        <w:szCs w:val="20"/>
      </w:rPr>
      <w:t>42</w:t>
    </w:r>
    <w:r>
      <w:rPr>
        <w:rFonts w:ascii="Palatino Linotype" w:eastAsia="Palatino Linotype" w:hAnsi="Palatino Linotype" w:cs="Palatino Linotype"/>
        <w:b/>
        <w:color w:val="000000"/>
        <w:sz w:val="20"/>
        <w:szCs w:val="20"/>
      </w:rPr>
      <w:fldChar w:fldCharType="end"/>
    </w:r>
  </w:p>
  <w:p w14:paraId="09E1BA5C" w14:textId="77777777" w:rsidR="00C612CF" w:rsidRDefault="00C612CF">
    <w:pPr>
      <w:pBdr>
        <w:top w:val="nil"/>
        <w:left w:val="nil"/>
        <w:bottom w:val="nil"/>
        <w:right w:val="nil"/>
        <w:between w:val="nil"/>
      </w:pBdr>
      <w:tabs>
        <w:tab w:val="center" w:pos="4252"/>
        <w:tab w:val="right" w:pos="8504"/>
      </w:tabs>
      <w:ind w:firstLine="708"/>
      <w:rPr>
        <w:rFonts w:ascii="Cambria" w:eastAsia="Cambria" w:hAnsi="Cambria" w:cs="Cambria"/>
        <w:color w:val="000000"/>
      </w:rPr>
    </w:pPr>
    <w:r>
      <w:rPr>
        <w:noProof/>
      </w:rPr>
      <w:drawing>
        <wp:anchor distT="0" distB="0" distL="0" distR="0" simplePos="0" relativeHeight="251659264" behindDoc="1" locked="0" layoutInCell="1" hidden="0" allowOverlap="1" wp14:anchorId="16C4F67E" wp14:editId="1D310BC1">
          <wp:simplePos x="0" y="0"/>
          <wp:positionH relativeFrom="column">
            <wp:posOffset>-1485898</wp:posOffset>
          </wp:positionH>
          <wp:positionV relativeFrom="paragraph">
            <wp:posOffset>59581647</wp:posOffset>
          </wp:positionV>
          <wp:extent cx="7809865" cy="10165715"/>
          <wp:effectExtent l="0" t="0" r="0" b="0"/>
          <wp:wrapNone/>
          <wp:docPr id="21401318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67EB" w14:textId="77777777" w:rsidR="00C612CF" w:rsidRDefault="00C612C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081438">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081438">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p>
  <w:p w14:paraId="42459B3B" w14:textId="77777777" w:rsidR="00C612CF" w:rsidRDefault="00C612CF">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06ED2" w14:textId="77777777" w:rsidR="00DF7F69" w:rsidRDefault="00DF7F69">
      <w:r>
        <w:separator/>
      </w:r>
    </w:p>
  </w:footnote>
  <w:footnote w:type="continuationSeparator" w:id="0">
    <w:p w14:paraId="43AC95AD" w14:textId="77777777" w:rsidR="00DF7F69" w:rsidRDefault="00DF7F69">
      <w:r>
        <w:continuationSeparator/>
      </w:r>
    </w:p>
  </w:footnote>
  <w:footnote w:id="1">
    <w:p w14:paraId="7CAD6A41" w14:textId="77777777" w:rsidR="00C612CF" w:rsidRDefault="00C612CF" w:rsidP="005D24D3">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23D2376D" w14:textId="77777777" w:rsidR="00C612CF" w:rsidRDefault="00C612CF" w:rsidP="005D24D3">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52A51528" w14:textId="77777777" w:rsidR="00C612CF" w:rsidRDefault="00C612CF" w:rsidP="005D24D3">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2C62" w14:textId="482704AC" w:rsidR="00C612CF" w:rsidRDefault="00C612CF">
    <w:pPr>
      <w:rPr>
        <w:rFonts w:ascii="Cambria" w:eastAsia="Cambria" w:hAnsi="Cambria" w:cs="Cambria"/>
        <w:color w:val="000000"/>
      </w:rPr>
    </w:pPr>
    <w:r>
      <w:rPr>
        <w:noProof/>
      </w:rPr>
      <w:drawing>
        <wp:anchor distT="0" distB="0" distL="0" distR="0" simplePos="0" relativeHeight="251661312" behindDoc="1" locked="0" layoutInCell="1" hidden="0" allowOverlap="1" wp14:anchorId="1BEB16F3" wp14:editId="74EF357F">
          <wp:simplePos x="0" y="0"/>
          <wp:positionH relativeFrom="page">
            <wp:align>left</wp:align>
          </wp:positionH>
          <wp:positionV relativeFrom="paragraph">
            <wp:posOffset>-591185</wp:posOffset>
          </wp:positionV>
          <wp:extent cx="7635875" cy="9943465"/>
          <wp:effectExtent l="0" t="0" r="3175" b="635"/>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fff2"/>
      <w:tblW w:w="6095" w:type="dxa"/>
      <w:tblInd w:w="3261" w:type="dxa"/>
      <w:tblLayout w:type="fixed"/>
      <w:tblLook w:val="0400" w:firstRow="0" w:lastRow="0" w:firstColumn="0" w:lastColumn="0" w:noHBand="0" w:noVBand="1"/>
    </w:tblPr>
    <w:tblGrid>
      <w:gridCol w:w="2489"/>
      <w:gridCol w:w="3606"/>
    </w:tblGrid>
    <w:tr w:rsidR="00C612CF" w14:paraId="1C616E22" w14:textId="77777777">
      <w:tc>
        <w:tcPr>
          <w:tcW w:w="2489" w:type="dxa"/>
        </w:tcPr>
        <w:p w14:paraId="7110892F" w14:textId="77777777" w:rsidR="00C612CF" w:rsidRDefault="00C612CF">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06" w:type="dxa"/>
          <w:vAlign w:val="center"/>
        </w:tcPr>
        <w:p w14:paraId="226BCB42" w14:textId="261C4D35" w:rsidR="00C612CF" w:rsidRDefault="00C612CF" w:rsidP="00E34ADB">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14434/INFOEM/IP/RR/2025</w:t>
          </w:r>
        </w:p>
      </w:tc>
    </w:tr>
    <w:tr w:rsidR="00C612CF" w14:paraId="336D8BF1" w14:textId="77777777">
      <w:trPr>
        <w:trHeight w:val="228"/>
      </w:trPr>
      <w:tc>
        <w:tcPr>
          <w:tcW w:w="2489" w:type="dxa"/>
          <w:vAlign w:val="center"/>
        </w:tcPr>
        <w:p w14:paraId="60CAC8F2" w14:textId="77777777" w:rsidR="00C612CF" w:rsidRDefault="00C612CF">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06" w:type="dxa"/>
          <w:vAlign w:val="center"/>
        </w:tcPr>
        <w:p w14:paraId="5E8BC766" w14:textId="793E9C48" w:rsidR="00C612CF" w:rsidRDefault="00C612CF" w:rsidP="00E34ADB">
          <w:pPr>
            <w:ind w:left="-45" w:right="176"/>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Ayuntamiento de Tepotzotlán</w:t>
          </w:r>
        </w:p>
      </w:tc>
    </w:tr>
    <w:tr w:rsidR="00C612CF" w14:paraId="4F73EA62" w14:textId="77777777">
      <w:tc>
        <w:tcPr>
          <w:tcW w:w="2489" w:type="dxa"/>
          <w:vAlign w:val="center"/>
        </w:tcPr>
        <w:p w14:paraId="0C9E6802" w14:textId="77777777" w:rsidR="00C612CF" w:rsidRDefault="00C612CF">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606" w:type="dxa"/>
          <w:vAlign w:val="center"/>
        </w:tcPr>
        <w:p w14:paraId="3408C4D5" w14:textId="77777777" w:rsidR="00C612CF" w:rsidRDefault="00C612CF">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2CF384A0" w14:textId="77777777" w:rsidR="00C612CF" w:rsidRDefault="00C612CF">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2001" w14:textId="77777777" w:rsidR="00C612CF" w:rsidRDefault="00C612CF">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8240" behindDoc="1" locked="0" layoutInCell="1" hidden="0" allowOverlap="1" wp14:anchorId="7D9CA5A1" wp14:editId="7D8B0C5E">
          <wp:simplePos x="0" y="0"/>
          <wp:positionH relativeFrom="column">
            <wp:posOffset>-1080129</wp:posOffset>
          </wp:positionH>
          <wp:positionV relativeFrom="paragraph">
            <wp:posOffset>-369888</wp:posOffset>
          </wp:positionV>
          <wp:extent cx="7809865" cy="10165715"/>
          <wp:effectExtent l="0" t="0" r="0" b="0"/>
          <wp:wrapNone/>
          <wp:docPr id="21401318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f3"/>
      <w:tblW w:w="6095" w:type="dxa"/>
      <w:tblInd w:w="3261" w:type="dxa"/>
      <w:tblLayout w:type="fixed"/>
      <w:tblLook w:val="0400" w:firstRow="0" w:lastRow="0" w:firstColumn="0" w:lastColumn="0" w:noHBand="0" w:noVBand="1"/>
    </w:tblPr>
    <w:tblGrid>
      <w:gridCol w:w="2489"/>
      <w:gridCol w:w="3606"/>
    </w:tblGrid>
    <w:tr w:rsidR="00C612CF" w14:paraId="37C0F642" w14:textId="77777777" w:rsidTr="00BC75D7">
      <w:trPr>
        <w:trHeight w:val="77"/>
      </w:trPr>
      <w:tc>
        <w:tcPr>
          <w:tcW w:w="2489" w:type="dxa"/>
        </w:tcPr>
        <w:p w14:paraId="1C82921E" w14:textId="77777777" w:rsidR="00C612CF" w:rsidRPr="00BC75D7" w:rsidRDefault="00C612CF">
          <w:pPr>
            <w:rPr>
              <w:rFonts w:ascii="Palatino Linotype" w:eastAsia="Palatino Linotype" w:hAnsi="Palatino Linotype" w:cs="Palatino Linotype"/>
              <w:b/>
              <w:sz w:val="22"/>
              <w:szCs w:val="22"/>
            </w:rPr>
          </w:pPr>
          <w:r w:rsidRPr="00BC75D7">
            <w:rPr>
              <w:rFonts w:ascii="Palatino Linotype" w:eastAsia="Palatino Linotype" w:hAnsi="Palatino Linotype" w:cs="Palatino Linotype"/>
              <w:b/>
              <w:sz w:val="22"/>
              <w:szCs w:val="22"/>
            </w:rPr>
            <w:t>Recurso de Revisión:</w:t>
          </w:r>
        </w:p>
      </w:tc>
      <w:tc>
        <w:tcPr>
          <w:tcW w:w="3606" w:type="dxa"/>
          <w:vAlign w:val="center"/>
        </w:tcPr>
        <w:p w14:paraId="582C54E0" w14:textId="6E3645E9" w:rsidR="00C612CF" w:rsidRPr="00BC75D7" w:rsidRDefault="00C612CF" w:rsidP="00466710">
          <w:pPr>
            <w:ind w:right="175"/>
            <w:jc w:val="both"/>
            <w:rPr>
              <w:rFonts w:ascii="Palatino Linotype" w:eastAsia="Palatino Linotype" w:hAnsi="Palatino Linotype" w:cs="Palatino Linotype"/>
              <w:b/>
              <w:sz w:val="22"/>
              <w:szCs w:val="22"/>
            </w:rPr>
          </w:pPr>
          <w:r w:rsidRPr="00BC75D7">
            <w:rPr>
              <w:rFonts w:ascii="Palatino Linotype" w:eastAsia="Palatino Linotype" w:hAnsi="Palatino Linotype" w:cs="Palatino Linotype"/>
              <w:b/>
              <w:sz w:val="22"/>
              <w:szCs w:val="22"/>
            </w:rPr>
            <w:t>14434/INFOEM/IP/RR/2025</w:t>
          </w:r>
        </w:p>
      </w:tc>
    </w:tr>
    <w:tr w:rsidR="00C612CF" w14:paraId="1C2F52BD" w14:textId="77777777">
      <w:tc>
        <w:tcPr>
          <w:tcW w:w="2489" w:type="dxa"/>
        </w:tcPr>
        <w:p w14:paraId="00B41680" w14:textId="77777777" w:rsidR="00C612CF" w:rsidRPr="00BC75D7" w:rsidRDefault="00C612CF">
          <w:pPr>
            <w:rPr>
              <w:rFonts w:ascii="Palatino Linotype" w:eastAsia="Palatino Linotype" w:hAnsi="Palatino Linotype" w:cs="Palatino Linotype"/>
              <w:b/>
              <w:sz w:val="22"/>
              <w:szCs w:val="22"/>
            </w:rPr>
          </w:pPr>
          <w:r w:rsidRPr="00BC75D7">
            <w:rPr>
              <w:rFonts w:ascii="Palatino Linotype" w:eastAsia="Palatino Linotype" w:hAnsi="Palatino Linotype" w:cs="Palatino Linotype"/>
              <w:b/>
              <w:sz w:val="22"/>
              <w:szCs w:val="22"/>
            </w:rPr>
            <w:t>Recurrente</w:t>
          </w:r>
        </w:p>
      </w:tc>
      <w:tc>
        <w:tcPr>
          <w:tcW w:w="3606" w:type="dxa"/>
          <w:vAlign w:val="center"/>
        </w:tcPr>
        <w:p w14:paraId="17CFDBC8" w14:textId="226C33C6" w:rsidR="00C612CF" w:rsidRPr="00BC75D7" w:rsidRDefault="004561BF">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1"/>
              <w:szCs w:val="21"/>
              <w:lang w:val="es-ES"/>
            </w:rPr>
            <w:t>XXXXX XXXXXXX XXXXX</w:t>
          </w:r>
        </w:p>
      </w:tc>
    </w:tr>
    <w:tr w:rsidR="00C612CF" w14:paraId="4C712151" w14:textId="77777777">
      <w:trPr>
        <w:trHeight w:val="228"/>
      </w:trPr>
      <w:tc>
        <w:tcPr>
          <w:tcW w:w="2489" w:type="dxa"/>
          <w:vAlign w:val="center"/>
        </w:tcPr>
        <w:p w14:paraId="5E85DBC9" w14:textId="77777777" w:rsidR="00C612CF" w:rsidRDefault="00C612CF">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06" w:type="dxa"/>
          <w:vAlign w:val="center"/>
        </w:tcPr>
        <w:p w14:paraId="504D9C47" w14:textId="1F599ACB" w:rsidR="00C612CF" w:rsidRDefault="00C612CF" w:rsidP="00E34ADB">
          <w:pPr>
            <w:ind w:left="-45" w:right="176"/>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Ayuntamiento de Tepotzotlán</w:t>
          </w:r>
        </w:p>
      </w:tc>
    </w:tr>
    <w:tr w:rsidR="00C612CF" w14:paraId="3758D542" w14:textId="77777777">
      <w:tc>
        <w:tcPr>
          <w:tcW w:w="2489" w:type="dxa"/>
          <w:vAlign w:val="center"/>
        </w:tcPr>
        <w:p w14:paraId="2B17EBE1" w14:textId="77777777" w:rsidR="00C612CF" w:rsidRDefault="00C612CF">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606" w:type="dxa"/>
          <w:vAlign w:val="center"/>
        </w:tcPr>
        <w:p w14:paraId="4FC0ED34" w14:textId="77777777" w:rsidR="00C612CF" w:rsidRDefault="00C612CF">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65FA17FF" w14:textId="77777777" w:rsidR="00C612CF" w:rsidRDefault="00C612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761C"/>
    <w:multiLevelType w:val="hybridMultilevel"/>
    <w:tmpl w:val="C5861824"/>
    <w:lvl w:ilvl="0" w:tplc="080A0001">
      <w:start w:val="1"/>
      <w:numFmt w:val="bullet"/>
      <w:lvlText w:val=""/>
      <w:lvlJc w:val="left"/>
      <w:pPr>
        <w:ind w:left="1080" w:hanging="72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4E1E8B"/>
    <w:multiLevelType w:val="multilevel"/>
    <w:tmpl w:val="C9264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6C7B08"/>
    <w:multiLevelType w:val="hybridMultilevel"/>
    <w:tmpl w:val="483A3E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6D5DB6"/>
    <w:multiLevelType w:val="hybridMultilevel"/>
    <w:tmpl w:val="174AC3D0"/>
    <w:lvl w:ilvl="0" w:tplc="432A32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46812B3"/>
    <w:multiLevelType w:val="multilevel"/>
    <w:tmpl w:val="FD4AB6E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4B595252"/>
    <w:multiLevelType w:val="hybridMultilevel"/>
    <w:tmpl w:val="A0F8EF2A"/>
    <w:lvl w:ilvl="0" w:tplc="080A0013">
      <w:start w:val="1"/>
      <w:numFmt w:val="upperRoman"/>
      <w:lvlText w:val="%1."/>
      <w:lvlJc w:val="righ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63847965"/>
    <w:multiLevelType w:val="multilevel"/>
    <w:tmpl w:val="C4964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9146DA4"/>
    <w:multiLevelType w:val="hybridMultilevel"/>
    <w:tmpl w:val="E708DED8"/>
    <w:lvl w:ilvl="0" w:tplc="68561436">
      <w:start w:val="19"/>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1464E68"/>
    <w:multiLevelType w:val="hybridMultilevel"/>
    <w:tmpl w:val="5AE8E5C0"/>
    <w:lvl w:ilvl="0" w:tplc="F0105DAC">
      <w:start w:val="17"/>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FC926EE"/>
    <w:multiLevelType w:val="hybridMultilevel"/>
    <w:tmpl w:val="66542CAC"/>
    <w:lvl w:ilvl="0" w:tplc="6E2CFE86">
      <w:start w:val="1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20448368">
    <w:abstractNumId w:val="5"/>
  </w:num>
  <w:num w:numId="2" w16cid:durableId="196705566">
    <w:abstractNumId w:val="7"/>
  </w:num>
  <w:num w:numId="3" w16cid:durableId="3291642">
    <w:abstractNumId w:val="2"/>
  </w:num>
  <w:num w:numId="4" w16cid:durableId="1179782087">
    <w:abstractNumId w:val="4"/>
  </w:num>
  <w:num w:numId="5" w16cid:durableId="710764598">
    <w:abstractNumId w:val="0"/>
  </w:num>
  <w:num w:numId="6" w16cid:durableId="2000574732">
    <w:abstractNumId w:val="3"/>
  </w:num>
  <w:num w:numId="7" w16cid:durableId="878316569">
    <w:abstractNumId w:val="6"/>
  </w:num>
  <w:num w:numId="8" w16cid:durableId="705984516">
    <w:abstractNumId w:val="10"/>
  </w:num>
  <w:num w:numId="9" w16cid:durableId="170528813">
    <w:abstractNumId w:val="9"/>
  </w:num>
  <w:num w:numId="10" w16cid:durableId="1034774259">
    <w:abstractNumId w:val="8"/>
  </w:num>
  <w:num w:numId="11" w16cid:durableId="834342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0B6"/>
    <w:rsid w:val="00003F42"/>
    <w:rsid w:val="000710B6"/>
    <w:rsid w:val="0007190E"/>
    <w:rsid w:val="00081438"/>
    <w:rsid w:val="000B38A7"/>
    <w:rsid w:val="0016371E"/>
    <w:rsid w:val="001B7459"/>
    <w:rsid w:val="00212BDC"/>
    <w:rsid w:val="00282D88"/>
    <w:rsid w:val="0029535C"/>
    <w:rsid w:val="002B4FB6"/>
    <w:rsid w:val="00303535"/>
    <w:rsid w:val="003517B6"/>
    <w:rsid w:val="0035641D"/>
    <w:rsid w:val="00365E0C"/>
    <w:rsid w:val="00371925"/>
    <w:rsid w:val="00386703"/>
    <w:rsid w:val="003B0704"/>
    <w:rsid w:val="003B2A35"/>
    <w:rsid w:val="003B3213"/>
    <w:rsid w:val="003B7810"/>
    <w:rsid w:val="004063CC"/>
    <w:rsid w:val="004408FB"/>
    <w:rsid w:val="0045457D"/>
    <w:rsid w:val="004561BF"/>
    <w:rsid w:val="00457FD7"/>
    <w:rsid w:val="004648ED"/>
    <w:rsid w:val="00466710"/>
    <w:rsid w:val="00490B9D"/>
    <w:rsid w:val="004977C5"/>
    <w:rsid w:val="004E2F93"/>
    <w:rsid w:val="005D24D3"/>
    <w:rsid w:val="005E4425"/>
    <w:rsid w:val="005E5927"/>
    <w:rsid w:val="00673E6C"/>
    <w:rsid w:val="00676F71"/>
    <w:rsid w:val="00773A9E"/>
    <w:rsid w:val="007D4B6A"/>
    <w:rsid w:val="00805CB6"/>
    <w:rsid w:val="00881AC5"/>
    <w:rsid w:val="00902CF7"/>
    <w:rsid w:val="00913E54"/>
    <w:rsid w:val="00986EA5"/>
    <w:rsid w:val="00993EB8"/>
    <w:rsid w:val="009A3291"/>
    <w:rsid w:val="00A25DE6"/>
    <w:rsid w:val="00A90D78"/>
    <w:rsid w:val="00AD07B1"/>
    <w:rsid w:val="00AD49DE"/>
    <w:rsid w:val="00AD663A"/>
    <w:rsid w:val="00AE2E60"/>
    <w:rsid w:val="00B34A31"/>
    <w:rsid w:val="00B90C1F"/>
    <w:rsid w:val="00BC2D77"/>
    <w:rsid w:val="00BC75D7"/>
    <w:rsid w:val="00C16622"/>
    <w:rsid w:val="00C35887"/>
    <w:rsid w:val="00C612CF"/>
    <w:rsid w:val="00D54C9A"/>
    <w:rsid w:val="00D93204"/>
    <w:rsid w:val="00DF7F69"/>
    <w:rsid w:val="00E34ADB"/>
    <w:rsid w:val="00E4525A"/>
    <w:rsid w:val="00E5348C"/>
    <w:rsid w:val="00E6620C"/>
    <w:rsid w:val="00E86624"/>
    <w:rsid w:val="00EB017D"/>
    <w:rsid w:val="00F32E88"/>
    <w:rsid w:val="00F36A7F"/>
    <w:rsid w:val="00F76D2A"/>
    <w:rsid w:val="00F83859"/>
    <w:rsid w:val="00FB5F00"/>
    <w:rsid w:val="00FB62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CBFB0"/>
  <w15:docId w15:val="{1FD36060-D4BE-4D78-A69F-13C7EEE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a">
    <w:basedOn w:val="TableNormalf5"/>
    <w:tblPr>
      <w:tblStyleRowBandSize w:val="1"/>
      <w:tblStyleColBandSize w:val="1"/>
      <w:tblCellMar>
        <w:left w:w="115" w:type="dxa"/>
        <w:right w:w="115" w:type="dxa"/>
      </w:tblCellMar>
    </w:tblPr>
  </w:style>
  <w:style w:type="table" w:customStyle="1" w:styleId="a0">
    <w:basedOn w:val="TableNormalf5"/>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5"/>
    <w:tblPr>
      <w:tblStyleRowBandSize w:val="1"/>
      <w:tblStyleColBandSize w:val="1"/>
      <w:tblCellMar>
        <w:left w:w="115" w:type="dxa"/>
        <w:right w:w="115" w:type="dxa"/>
      </w:tblCellMar>
    </w:tblPr>
  </w:style>
  <w:style w:type="table" w:customStyle="1" w:styleId="a2">
    <w:basedOn w:val="TableNormalf5"/>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4"/>
    <w:tblPr>
      <w:tblStyleRowBandSize w:val="1"/>
      <w:tblStyleColBandSize w:val="1"/>
      <w:tblCellMar>
        <w:left w:w="115" w:type="dxa"/>
        <w:right w:w="115" w:type="dxa"/>
      </w:tblCellMar>
    </w:tblPr>
  </w:style>
  <w:style w:type="table" w:customStyle="1" w:styleId="a4">
    <w:basedOn w:val="TableNormalf4"/>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ind w:left="927" w:hanging="360"/>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3"/>
    <w:tblPr>
      <w:tblStyleRowBandSize w:val="1"/>
      <w:tblStyleColBandSize w:val="1"/>
      <w:tblCellMar>
        <w:left w:w="108" w:type="dxa"/>
        <w:right w:w="108" w:type="dxa"/>
      </w:tblCellMar>
    </w:tblPr>
  </w:style>
  <w:style w:type="table" w:customStyle="1" w:styleId="a6">
    <w:basedOn w:val="TableNormalf3"/>
    <w:tblPr>
      <w:tblStyleRowBandSize w:val="1"/>
      <w:tblStyleColBandSize w:val="1"/>
      <w:tblCellMar>
        <w:left w:w="108" w:type="dxa"/>
        <w:right w:w="108" w:type="dxa"/>
      </w:tblCellMar>
    </w:tblPr>
  </w:style>
  <w:style w:type="table" w:customStyle="1" w:styleId="a7">
    <w:basedOn w:val="TableNormalf3"/>
    <w:tblPr>
      <w:tblStyleRowBandSize w:val="1"/>
      <w:tblStyleColBandSize w:val="1"/>
      <w:tblCellMar>
        <w:left w:w="108" w:type="dxa"/>
        <w:right w:w="108" w:type="dxa"/>
      </w:tblCellMar>
    </w:tblPr>
  </w:style>
  <w:style w:type="table" w:customStyle="1" w:styleId="a8">
    <w:basedOn w:val="TableNormalf3"/>
    <w:tblPr>
      <w:tblStyleRowBandSize w:val="1"/>
      <w:tblStyleColBandSize w:val="1"/>
      <w:tblCellMar>
        <w:left w:w="108" w:type="dxa"/>
        <w:right w:w="108" w:type="dxa"/>
      </w:tblCellMar>
    </w:tblPr>
  </w:style>
  <w:style w:type="table" w:customStyle="1" w:styleId="a9">
    <w:basedOn w:val="TableNormalf3"/>
    <w:tblPr>
      <w:tblStyleRowBandSize w:val="1"/>
      <w:tblStyleColBandSize w:val="1"/>
      <w:tblCellMar>
        <w:left w:w="108" w:type="dxa"/>
        <w:right w:w="108" w:type="dxa"/>
      </w:tblCellMar>
    </w:tblPr>
  </w:style>
  <w:style w:type="table" w:customStyle="1" w:styleId="aa">
    <w:basedOn w:val="TableNormalf3"/>
    <w:tblPr>
      <w:tblStyleRowBandSize w:val="1"/>
      <w:tblStyleColBandSize w:val="1"/>
      <w:tblCellMar>
        <w:left w:w="115" w:type="dxa"/>
        <w:right w:w="115" w:type="dxa"/>
      </w:tblCellMar>
    </w:tblPr>
  </w:style>
  <w:style w:type="table" w:customStyle="1" w:styleId="ab">
    <w:basedOn w:val="TableNormalf3"/>
    <w:tblPr>
      <w:tblStyleRowBandSize w:val="1"/>
      <w:tblStyleColBandSize w:val="1"/>
      <w:tblCellMar>
        <w:left w:w="115" w:type="dxa"/>
        <w:right w:w="115" w:type="dxa"/>
      </w:tblCellMar>
    </w:tblPr>
  </w:style>
  <w:style w:type="table" w:customStyle="1" w:styleId="ac">
    <w:basedOn w:val="TableNormalf2"/>
    <w:tblPr>
      <w:tblStyleRowBandSize w:val="1"/>
      <w:tblStyleColBandSize w:val="1"/>
      <w:tblCellMar>
        <w:left w:w="108" w:type="dxa"/>
        <w:right w:w="108" w:type="dxa"/>
      </w:tblCellMar>
    </w:tblPr>
  </w:style>
  <w:style w:type="table" w:customStyle="1" w:styleId="ad">
    <w:basedOn w:val="TableNormalf2"/>
    <w:tblPr>
      <w:tblStyleRowBandSize w:val="1"/>
      <w:tblStyleColBandSize w:val="1"/>
      <w:tblCellMar>
        <w:left w:w="115" w:type="dxa"/>
        <w:right w:w="115" w:type="dxa"/>
      </w:tblCellMar>
    </w:tblPr>
  </w:style>
  <w:style w:type="table" w:customStyle="1" w:styleId="ae">
    <w:basedOn w:val="TableNormalf2"/>
    <w:tblPr>
      <w:tblStyleRowBandSize w:val="1"/>
      <w:tblStyleColBandSize w:val="1"/>
      <w:tblCellMar>
        <w:left w:w="115" w:type="dxa"/>
        <w:right w:w="115" w:type="dxa"/>
      </w:tblCellMar>
    </w:tblPr>
  </w:style>
  <w:style w:type="table" w:customStyle="1" w:styleId="af">
    <w:basedOn w:val="TableNormalf1"/>
    <w:tblPr>
      <w:tblStyleRowBandSize w:val="1"/>
      <w:tblStyleColBandSize w:val="1"/>
      <w:tblCellMar>
        <w:left w:w="115" w:type="dxa"/>
        <w:right w:w="115" w:type="dxa"/>
      </w:tblCellMar>
    </w:tblPr>
  </w:style>
  <w:style w:type="table" w:customStyle="1" w:styleId="af0">
    <w:basedOn w:val="TableNormalf1"/>
    <w:tblPr>
      <w:tblStyleRowBandSize w:val="1"/>
      <w:tblStyleColBandSize w:val="1"/>
      <w:tblCellMar>
        <w:left w:w="115" w:type="dxa"/>
        <w:right w:w="115" w:type="dxa"/>
      </w:tblCellMar>
    </w:tblPr>
  </w:style>
  <w:style w:type="table" w:customStyle="1" w:styleId="af1">
    <w:basedOn w:val="TableNormalf1"/>
    <w:tblPr>
      <w:tblStyleRowBandSize w:val="1"/>
      <w:tblStyleColBandSize w:val="1"/>
      <w:tblCellMar>
        <w:left w:w="115" w:type="dxa"/>
        <w:right w:w="115" w:type="dxa"/>
      </w:tblCellMar>
    </w:tblPr>
  </w:style>
  <w:style w:type="table" w:customStyle="1" w:styleId="af2">
    <w:basedOn w:val="TableNormalf0"/>
    <w:tblPr>
      <w:tblStyleRowBandSize w:val="1"/>
      <w:tblStyleColBandSize w:val="1"/>
      <w:tblCellMar>
        <w:left w:w="115" w:type="dxa"/>
        <w:right w:w="115" w:type="dxa"/>
      </w:tblCellMar>
    </w:tblPr>
  </w:style>
  <w:style w:type="table" w:customStyle="1" w:styleId="af3">
    <w:basedOn w:val="TableNormalf0"/>
    <w:tblPr>
      <w:tblStyleRowBandSize w:val="1"/>
      <w:tblStyleColBandSize w:val="1"/>
      <w:tblCellMar>
        <w:left w:w="115" w:type="dxa"/>
        <w:right w:w="115" w:type="dxa"/>
      </w:tblCellMar>
    </w:tblPr>
  </w:style>
  <w:style w:type="table" w:customStyle="1" w:styleId="af4">
    <w:basedOn w:val="TableNormalf"/>
    <w:tblPr>
      <w:tblStyleRowBandSize w:val="1"/>
      <w:tblStyleColBandSize w:val="1"/>
      <w:tblCellMar>
        <w:left w:w="115" w:type="dxa"/>
        <w:right w:w="115" w:type="dxa"/>
      </w:tblCellMar>
    </w:tblPr>
  </w:style>
  <w:style w:type="table" w:customStyle="1" w:styleId="af5">
    <w:basedOn w:val="TableNormalf"/>
    <w:tblPr>
      <w:tblStyleRowBandSize w:val="1"/>
      <w:tblStyleColBandSize w:val="1"/>
      <w:tblCellMar>
        <w:left w:w="115" w:type="dxa"/>
        <w:right w:w="115" w:type="dxa"/>
      </w:tblCellMar>
    </w:tblPr>
  </w:style>
  <w:style w:type="table" w:customStyle="1" w:styleId="af6">
    <w:basedOn w:val="TableNormale"/>
    <w:tblPr>
      <w:tblStyleRowBandSize w:val="1"/>
      <w:tblStyleColBandSize w:val="1"/>
      <w:tblCellMar>
        <w:left w:w="115" w:type="dxa"/>
        <w:right w:w="115" w:type="dxa"/>
      </w:tblCellMar>
    </w:tblPr>
  </w:style>
  <w:style w:type="table" w:customStyle="1" w:styleId="af7">
    <w:basedOn w:val="TableNormale"/>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d"/>
    <w:tblPr>
      <w:tblStyleRowBandSize w:val="1"/>
      <w:tblStyleColBandSize w:val="1"/>
      <w:tblCellMar>
        <w:left w:w="115" w:type="dxa"/>
        <w:right w:w="115" w:type="dxa"/>
      </w:tblCellMar>
    </w:tblPr>
  </w:style>
  <w:style w:type="table" w:customStyle="1" w:styleId="af9">
    <w:basedOn w:val="TableNormald"/>
    <w:tblPr>
      <w:tblStyleRowBandSize w:val="1"/>
      <w:tblStyleColBandSize w:val="1"/>
      <w:tblCellMar>
        <w:left w:w="115" w:type="dxa"/>
        <w:right w:w="115" w:type="dxa"/>
      </w:tblCellMar>
    </w:tblPr>
  </w:style>
  <w:style w:type="table" w:customStyle="1" w:styleId="afa">
    <w:basedOn w:val="TableNormalc"/>
    <w:tblPr>
      <w:tblStyleRowBandSize w:val="1"/>
      <w:tblStyleColBandSize w:val="1"/>
      <w:tblCellMar>
        <w:left w:w="115" w:type="dxa"/>
        <w:right w:w="115" w:type="dxa"/>
      </w:tblCellMar>
    </w:tblPr>
  </w:style>
  <w:style w:type="table" w:customStyle="1" w:styleId="afb">
    <w:basedOn w:val="TableNormalc"/>
    <w:tblPr>
      <w:tblStyleRowBandSize w:val="1"/>
      <w:tblStyleColBandSize w:val="1"/>
      <w:tblCellMar>
        <w:left w:w="115" w:type="dxa"/>
        <w:right w:w="115" w:type="dxa"/>
      </w:tblCellMar>
    </w:tblPr>
  </w:style>
  <w:style w:type="table" w:customStyle="1" w:styleId="afc">
    <w:basedOn w:val="TableNormalb"/>
    <w:tblPr>
      <w:tblStyleRowBandSize w:val="1"/>
      <w:tblStyleColBandSize w:val="1"/>
      <w:tblCellMar>
        <w:left w:w="115" w:type="dxa"/>
        <w:right w:w="115" w:type="dxa"/>
      </w:tblCellMar>
    </w:tblPr>
  </w:style>
  <w:style w:type="table" w:customStyle="1" w:styleId="afd">
    <w:basedOn w:val="TableNormalb"/>
    <w:tblPr>
      <w:tblStyleRowBandSize w:val="1"/>
      <w:tblStyleColBandSize w:val="1"/>
      <w:tblCellMar>
        <w:left w:w="115" w:type="dxa"/>
        <w:right w:w="115" w:type="dxa"/>
      </w:tblCellMar>
    </w:tblPr>
  </w:style>
  <w:style w:type="table" w:customStyle="1" w:styleId="afe">
    <w:basedOn w:val="TableNormala"/>
    <w:tblPr>
      <w:tblStyleRowBandSize w:val="1"/>
      <w:tblStyleColBandSize w:val="1"/>
      <w:tblCellMar>
        <w:left w:w="115" w:type="dxa"/>
        <w:right w:w="115" w:type="dxa"/>
      </w:tblCellMar>
    </w:tblPr>
  </w:style>
  <w:style w:type="table" w:customStyle="1" w:styleId="aff">
    <w:basedOn w:val="TableNormala"/>
    <w:tblPr>
      <w:tblStyleRowBandSize w:val="1"/>
      <w:tblStyleColBandSize w:val="1"/>
      <w:tblCellMar>
        <w:left w:w="115" w:type="dxa"/>
        <w:right w:w="115" w:type="dxa"/>
      </w:tblCellMar>
    </w:tblPr>
  </w:style>
  <w:style w:type="table" w:customStyle="1" w:styleId="aff0">
    <w:basedOn w:val="TableNormal9"/>
    <w:tblPr>
      <w:tblStyleRowBandSize w:val="1"/>
      <w:tblStyleColBandSize w:val="1"/>
      <w:tblCellMar>
        <w:left w:w="115" w:type="dxa"/>
        <w:right w:w="115" w:type="dxa"/>
      </w:tblCellMar>
    </w:tblPr>
  </w:style>
  <w:style w:type="table" w:customStyle="1" w:styleId="aff1">
    <w:basedOn w:val="TableNormal9"/>
    <w:tblPr>
      <w:tblStyleRowBandSize w:val="1"/>
      <w:tblStyleColBandSize w:val="1"/>
      <w:tblCellMar>
        <w:left w:w="115" w:type="dxa"/>
        <w:right w:w="115" w:type="dxa"/>
      </w:tblCellMar>
    </w:tblPr>
  </w:style>
  <w:style w:type="table" w:customStyle="1" w:styleId="aff2">
    <w:basedOn w:val="TableNormal8"/>
    <w:tblPr>
      <w:tblStyleRowBandSize w:val="1"/>
      <w:tblStyleColBandSize w:val="1"/>
      <w:tblCellMar>
        <w:left w:w="115" w:type="dxa"/>
        <w:right w:w="115" w:type="dxa"/>
      </w:tblCellMar>
    </w:tblPr>
  </w:style>
  <w:style w:type="table" w:customStyle="1" w:styleId="aff3">
    <w:basedOn w:val="TableNormal8"/>
    <w:tblPr>
      <w:tblStyleRowBandSize w:val="1"/>
      <w:tblStyleColBandSize w:val="1"/>
      <w:tblCellMar>
        <w:left w:w="115" w:type="dxa"/>
        <w:right w:w="115" w:type="dxa"/>
      </w:tblCellMar>
    </w:tblPr>
  </w:style>
  <w:style w:type="table" w:customStyle="1" w:styleId="aff4">
    <w:basedOn w:val="TableNormal7"/>
    <w:tblPr>
      <w:tblStyleRowBandSize w:val="1"/>
      <w:tblStyleColBandSize w:val="1"/>
      <w:tblCellMar>
        <w:left w:w="115" w:type="dxa"/>
        <w:right w:w="115" w:type="dxa"/>
      </w:tblCellMar>
    </w:tblPr>
  </w:style>
  <w:style w:type="table" w:customStyle="1" w:styleId="aff5">
    <w:basedOn w:val="TableNormal7"/>
    <w:tblPr>
      <w:tblStyleRowBandSize w:val="1"/>
      <w:tblStyleColBandSize w:val="1"/>
      <w:tblCellMar>
        <w:left w:w="115" w:type="dxa"/>
        <w:right w:w="115" w:type="dxa"/>
      </w:tblCellMar>
    </w:tblPr>
  </w:style>
  <w:style w:type="table" w:customStyle="1" w:styleId="aff6">
    <w:basedOn w:val="TableNormal6"/>
    <w:tblPr>
      <w:tblStyleRowBandSize w:val="1"/>
      <w:tblStyleColBandSize w:val="1"/>
      <w:tblCellMar>
        <w:left w:w="115" w:type="dxa"/>
        <w:right w:w="115" w:type="dxa"/>
      </w:tblCellMar>
    </w:tblPr>
  </w:style>
  <w:style w:type="table" w:customStyle="1" w:styleId="aff7">
    <w:basedOn w:val="TableNormal6"/>
    <w:tblPr>
      <w:tblStyleRowBandSize w:val="1"/>
      <w:tblStyleColBandSize w:val="1"/>
      <w:tblCellMar>
        <w:left w:w="115" w:type="dxa"/>
        <w:right w:w="115" w:type="dxa"/>
      </w:tblCellMar>
    </w:tblPr>
  </w:style>
  <w:style w:type="table" w:customStyle="1" w:styleId="aff8">
    <w:basedOn w:val="TableNormal5"/>
    <w:tblPr>
      <w:tblStyleRowBandSize w:val="1"/>
      <w:tblStyleColBandSize w:val="1"/>
      <w:tblCellMar>
        <w:left w:w="115" w:type="dxa"/>
        <w:right w:w="115" w:type="dxa"/>
      </w:tblCellMar>
    </w:tblPr>
  </w:style>
  <w:style w:type="table" w:customStyle="1" w:styleId="aff9">
    <w:basedOn w:val="TableNormal5"/>
    <w:tblPr>
      <w:tblStyleRowBandSize w:val="1"/>
      <w:tblStyleColBandSize w:val="1"/>
      <w:tblCellMar>
        <w:left w:w="115" w:type="dxa"/>
        <w:right w:w="115" w:type="dxa"/>
      </w:tblCellMar>
    </w:tblPr>
  </w:style>
  <w:style w:type="table" w:customStyle="1" w:styleId="affa">
    <w:basedOn w:val="TableNormal4"/>
    <w:tblPr>
      <w:tblStyleRowBandSize w:val="1"/>
      <w:tblStyleColBandSize w:val="1"/>
      <w:tblCellMar>
        <w:left w:w="115" w:type="dxa"/>
        <w:right w:w="115" w:type="dxa"/>
      </w:tblCellMar>
    </w:tblPr>
  </w:style>
  <w:style w:type="table" w:customStyle="1" w:styleId="affb">
    <w:basedOn w:val="TableNormal4"/>
    <w:tblPr>
      <w:tblStyleRowBandSize w:val="1"/>
      <w:tblStyleColBandSize w:val="1"/>
      <w:tblCellMar>
        <w:left w:w="115" w:type="dxa"/>
        <w:right w:w="115" w:type="dxa"/>
      </w:tblCellMar>
    </w:tblPr>
  </w:style>
  <w:style w:type="table" w:customStyle="1" w:styleId="affc">
    <w:basedOn w:val="TableNormal3"/>
    <w:tblPr>
      <w:tblStyleRowBandSize w:val="1"/>
      <w:tblStyleColBandSize w:val="1"/>
      <w:tblCellMar>
        <w:left w:w="115" w:type="dxa"/>
        <w:right w:w="115" w:type="dxa"/>
      </w:tblCellMar>
    </w:tblPr>
  </w:style>
  <w:style w:type="table" w:customStyle="1" w:styleId="affd">
    <w:basedOn w:val="TableNormal3"/>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068220">
      <w:bodyDiv w:val="1"/>
      <w:marLeft w:val="0"/>
      <w:marRight w:val="0"/>
      <w:marTop w:val="0"/>
      <w:marBottom w:val="0"/>
      <w:divBdr>
        <w:top w:val="none" w:sz="0" w:space="0" w:color="auto"/>
        <w:left w:val="none" w:sz="0" w:space="0" w:color="auto"/>
        <w:bottom w:val="none" w:sz="0" w:space="0" w:color="auto"/>
        <w:right w:val="none" w:sz="0" w:space="0" w:color="auto"/>
      </w:divBdr>
    </w:div>
    <w:div w:id="1878351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ecem.edomex.gob.mx/padron-catastra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Vr4hCvQv6iIpR0w7NeKW4ijHg==">CgMxLjAyDmguZGFqM2oyeG82cTY2MghoLmdqZGd4czIJaC4zZHk2dmttMgloLjMwajB6bGwyCWguMnM4ZXlvMTIIaC50eWpjd3QyCWguM3pueXNoNzIJaC4yZXQ5MnAwMgloLjF0M2g1c2YyCWguMWZvYjl0ZTIOaC5vdDNxcTZ2eGEwOGYyCGgubG54Yno5Mg5oLmxlZzc4cnY5M29qajIOaC5kbHV4eHI3MTVhOWQ4AHIhMVE4VjJaangzb2FlUlp0ZE14QkZ0VmVTY0Fsc2pPc01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11574</Words>
  <Characters>63658</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ADRIANA INFOEM</cp:lastModifiedBy>
  <cp:revision>2</cp:revision>
  <cp:lastPrinted>2026-01-15T17:23:00Z</cp:lastPrinted>
  <dcterms:created xsi:type="dcterms:W3CDTF">2026-03-27T00:32:00Z</dcterms:created>
  <dcterms:modified xsi:type="dcterms:W3CDTF">2026-03-27T00:32:00Z</dcterms:modified>
</cp:coreProperties>
</file>