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FF0608"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56EA33F8" w:rsidR="007935E5" w:rsidRPr="00CE7533" w:rsidRDefault="007935E5" w:rsidP="00442CAA">
          <w:pPr>
            <w:pStyle w:val="TtuloTDC"/>
            <w:spacing w:line="360" w:lineRule="auto"/>
            <w:rPr>
              <w:b w:val="0"/>
              <w:bCs/>
              <w:color w:val="auto"/>
              <w:szCs w:val="22"/>
              <w:lang w:val="es-ES"/>
            </w:rPr>
          </w:pPr>
          <w:r w:rsidRPr="00CE7533">
            <w:rPr>
              <w:b w:val="0"/>
              <w:bCs/>
              <w:color w:val="auto"/>
              <w:szCs w:val="22"/>
              <w:lang w:val="es-ES"/>
            </w:rPr>
            <w:t xml:space="preserve">RESOLUCIÓN DEL RECURSO DE REVISIÓN </w:t>
          </w:r>
          <w:r w:rsidR="00790E96" w:rsidRPr="00CE7533">
            <w:rPr>
              <w:b w:val="0"/>
              <w:bCs/>
              <w:color w:val="auto"/>
              <w:szCs w:val="22"/>
              <w:lang w:val="es-ES"/>
            </w:rPr>
            <w:t>13586</w:t>
          </w:r>
          <w:r w:rsidR="009544A4" w:rsidRPr="00CE7533">
            <w:rPr>
              <w:b w:val="0"/>
              <w:bCs/>
              <w:color w:val="auto"/>
              <w:szCs w:val="22"/>
              <w:lang w:val="es-ES"/>
            </w:rPr>
            <w:t>/INFOEM/IP/RR/2025</w:t>
          </w:r>
          <w:r w:rsidR="00521FD9" w:rsidRPr="00CE7533">
            <w:rPr>
              <w:b w:val="0"/>
              <w:bCs/>
              <w:color w:val="auto"/>
              <w:szCs w:val="22"/>
              <w:lang w:val="es-ES"/>
            </w:rPr>
            <w:t xml:space="preserve"> Y ACUMULADO</w:t>
          </w:r>
        </w:p>
        <w:p w14:paraId="4D838E86" w14:textId="77777777" w:rsidR="00F12746" w:rsidRPr="00CE7533" w:rsidRDefault="00F12746" w:rsidP="00442CAA">
          <w:pPr>
            <w:spacing w:line="360" w:lineRule="auto"/>
            <w:rPr>
              <w:rFonts w:ascii="Palatino Linotype" w:hAnsi="Palatino Linotype"/>
              <w:color w:val="FF0000"/>
              <w:sz w:val="22"/>
              <w:szCs w:val="22"/>
              <w:lang w:val="es-ES" w:eastAsia="es-MX"/>
            </w:rPr>
          </w:pPr>
        </w:p>
        <w:p w14:paraId="033C2563" w14:textId="3DE32C3A" w:rsidR="002E27EC" w:rsidRPr="00CE7533" w:rsidRDefault="007935E5">
          <w:pPr>
            <w:pStyle w:val="TDC1"/>
            <w:rPr>
              <w:rFonts w:ascii="Palatino Linotype" w:eastAsiaTheme="minorEastAsia" w:hAnsi="Palatino Linotype" w:cstheme="minorBidi"/>
              <w:noProof/>
              <w:sz w:val="22"/>
              <w:szCs w:val="22"/>
              <w:lang w:eastAsia="es-MX"/>
            </w:rPr>
          </w:pPr>
          <w:r w:rsidRPr="00CE7533">
            <w:rPr>
              <w:rFonts w:ascii="Palatino Linotype" w:hAnsi="Palatino Linotype"/>
              <w:bCs/>
              <w:color w:val="FF0000"/>
              <w:sz w:val="22"/>
              <w:szCs w:val="22"/>
            </w:rPr>
            <w:fldChar w:fldCharType="begin"/>
          </w:r>
          <w:r w:rsidRPr="00CE7533">
            <w:rPr>
              <w:rFonts w:ascii="Palatino Linotype" w:hAnsi="Palatino Linotype"/>
              <w:bCs/>
              <w:color w:val="FF0000"/>
              <w:sz w:val="22"/>
              <w:szCs w:val="22"/>
            </w:rPr>
            <w:instrText xml:space="preserve"> TOC \o "1-3" \h \z \u </w:instrText>
          </w:r>
          <w:r w:rsidRPr="00CE7533">
            <w:rPr>
              <w:rFonts w:ascii="Palatino Linotype" w:hAnsi="Palatino Linotype"/>
              <w:bCs/>
              <w:color w:val="FF0000"/>
              <w:sz w:val="22"/>
              <w:szCs w:val="22"/>
            </w:rPr>
            <w:fldChar w:fldCharType="separate"/>
          </w:r>
          <w:hyperlink w:anchor="_Toc216164924" w:history="1">
            <w:r w:rsidR="002E27EC" w:rsidRPr="00CE7533">
              <w:rPr>
                <w:rStyle w:val="Hipervnculo"/>
                <w:rFonts w:ascii="Palatino Linotype" w:hAnsi="Palatino Linotype"/>
                <w:noProof/>
                <w:sz w:val="22"/>
                <w:szCs w:val="22"/>
              </w:rPr>
              <w:t>A N T E C E D E N T E S</w:t>
            </w:r>
            <w:r w:rsidR="002E27EC" w:rsidRPr="00CE7533">
              <w:rPr>
                <w:rFonts w:ascii="Palatino Linotype" w:hAnsi="Palatino Linotype"/>
                <w:noProof/>
                <w:webHidden/>
                <w:sz w:val="22"/>
                <w:szCs w:val="22"/>
              </w:rPr>
              <w:tab/>
            </w:r>
            <w:r w:rsidR="002E27EC" w:rsidRPr="00CE7533">
              <w:rPr>
                <w:rFonts w:ascii="Palatino Linotype" w:hAnsi="Palatino Linotype"/>
                <w:noProof/>
                <w:webHidden/>
                <w:sz w:val="22"/>
                <w:szCs w:val="22"/>
              </w:rPr>
              <w:fldChar w:fldCharType="begin"/>
            </w:r>
            <w:r w:rsidR="002E27EC" w:rsidRPr="00CE7533">
              <w:rPr>
                <w:rFonts w:ascii="Palatino Linotype" w:hAnsi="Palatino Linotype"/>
                <w:noProof/>
                <w:webHidden/>
                <w:sz w:val="22"/>
                <w:szCs w:val="22"/>
              </w:rPr>
              <w:instrText xml:space="preserve"> PAGEREF _Toc216164924 \h </w:instrText>
            </w:r>
            <w:r w:rsidR="002E27EC" w:rsidRPr="00CE7533">
              <w:rPr>
                <w:rFonts w:ascii="Palatino Linotype" w:hAnsi="Palatino Linotype"/>
                <w:noProof/>
                <w:webHidden/>
                <w:sz w:val="22"/>
                <w:szCs w:val="22"/>
              </w:rPr>
            </w:r>
            <w:r w:rsidR="002E27EC"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2</w:t>
            </w:r>
            <w:r w:rsidR="002E27EC" w:rsidRPr="00CE7533">
              <w:rPr>
                <w:rFonts w:ascii="Palatino Linotype" w:hAnsi="Palatino Linotype"/>
                <w:noProof/>
                <w:webHidden/>
                <w:sz w:val="22"/>
                <w:szCs w:val="22"/>
              </w:rPr>
              <w:fldChar w:fldCharType="end"/>
            </w:r>
          </w:hyperlink>
        </w:p>
        <w:p w14:paraId="3572EF5A" w14:textId="466F94CB"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5" w:history="1">
            <w:r w:rsidRPr="00CE7533">
              <w:rPr>
                <w:rStyle w:val="Hipervnculo"/>
                <w:rFonts w:ascii="Palatino Linotype" w:hAnsi="Palatino Linotype"/>
                <w:noProof/>
                <w:sz w:val="22"/>
                <w:szCs w:val="22"/>
              </w:rPr>
              <w:t>I. Presentación de la solicitud de información</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_Toc216164925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2</w:t>
            </w:r>
            <w:r w:rsidRPr="00CE7533">
              <w:rPr>
                <w:rFonts w:ascii="Palatino Linotype" w:hAnsi="Palatino Linotype"/>
                <w:noProof/>
                <w:webHidden/>
                <w:sz w:val="22"/>
                <w:szCs w:val="22"/>
              </w:rPr>
              <w:fldChar w:fldCharType="end"/>
            </w:r>
          </w:hyperlink>
        </w:p>
        <w:p w14:paraId="155525DE" w14:textId="7E2F85B9"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6" w:history="1">
            <w:r w:rsidRPr="00CE7533">
              <w:rPr>
                <w:rStyle w:val="Hipervnculo"/>
                <w:rFonts w:ascii="Palatino Linotype" w:hAnsi="Palatino Linotype"/>
                <w:noProof/>
                <w:sz w:val="22"/>
                <w:szCs w:val="22"/>
              </w:rPr>
              <w:t>II. Respuesta del Sujeto Obligado</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_Toc216164926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3</w:t>
            </w:r>
            <w:r w:rsidRPr="00CE7533">
              <w:rPr>
                <w:rFonts w:ascii="Palatino Linotype" w:hAnsi="Palatino Linotype"/>
                <w:noProof/>
                <w:webHidden/>
                <w:sz w:val="22"/>
                <w:szCs w:val="22"/>
              </w:rPr>
              <w:fldChar w:fldCharType="end"/>
            </w:r>
          </w:hyperlink>
        </w:p>
        <w:p w14:paraId="7E9A7BC7" w14:textId="6842CB70"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7" w:history="1">
            <w:r w:rsidRPr="00CE7533">
              <w:rPr>
                <w:rStyle w:val="Hipervnculo"/>
                <w:rFonts w:ascii="Palatino Linotype" w:hAnsi="Palatino Linotype"/>
                <w:noProof/>
                <w:sz w:val="22"/>
                <w:szCs w:val="22"/>
                <w:lang w:eastAsia="en-US"/>
              </w:rPr>
              <w:t>III. Interposición del Recurso de Revisión</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_Toc216164927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3</w:t>
            </w:r>
            <w:r w:rsidRPr="00CE7533">
              <w:rPr>
                <w:rFonts w:ascii="Palatino Linotype" w:hAnsi="Palatino Linotype"/>
                <w:noProof/>
                <w:webHidden/>
                <w:sz w:val="22"/>
                <w:szCs w:val="22"/>
              </w:rPr>
              <w:fldChar w:fldCharType="end"/>
            </w:r>
          </w:hyperlink>
        </w:p>
        <w:p w14:paraId="078B8219" w14:textId="7FA850E9"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8" w:history="1">
            <w:r w:rsidRPr="00CE7533">
              <w:rPr>
                <w:rStyle w:val="Hipervnculo"/>
                <w:rFonts w:ascii="Palatino Linotype" w:hAnsi="Palatino Linotype"/>
                <w:noProof/>
                <w:sz w:val="22"/>
                <w:szCs w:val="22"/>
                <w:lang w:eastAsia="en-US"/>
              </w:rPr>
              <w:t>IV. Trámite del Recurso de Revisión ante el Instituto</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_Toc216164928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5</w:t>
            </w:r>
            <w:r w:rsidRPr="00CE7533">
              <w:rPr>
                <w:rFonts w:ascii="Palatino Linotype" w:hAnsi="Palatino Linotype"/>
                <w:noProof/>
                <w:webHidden/>
                <w:sz w:val="22"/>
                <w:szCs w:val="22"/>
              </w:rPr>
              <w:fldChar w:fldCharType="end"/>
            </w:r>
          </w:hyperlink>
        </w:p>
        <w:p w14:paraId="0E0AB5DA" w14:textId="4856F3AF" w:rsidR="002E27EC" w:rsidRPr="00CE7533" w:rsidRDefault="002E27EC">
          <w:pPr>
            <w:pStyle w:val="TDC1"/>
            <w:rPr>
              <w:rFonts w:ascii="Palatino Linotype" w:eastAsiaTheme="minorEastAsia" w:hAnsi="Palatino Linotype" w:cstheme="minorBidi"/>
              <w:noProof/>
              <w:sz w:val="22"/>
              <w:szCs w:val="22"/>
              <w:lang w:eastAsia="es-MX"/>
            </w:rPr>
          </w:pPr>
          <w:hyperlink w:anchor="_Toc216164929" w:history="1">
            <w:r w:rsidRPr="00CE7533">
              <w:rPr>
                <w:rStyle w:val="Hipervnculo"/>
                <w:rFonts w:ascii="Palatino Linotype" w:hAnsi="Palatino Linotype"/>
                <w:noProof/>
                <w:sz w:val="22"/>
                <w:szCs w:val="22"/>
                <w:lang w:val="es-ES"/>
              </w:rPr>
              <w:t>C O N S I D E R A N D O S</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_Toc216164929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7</w:t>
            </w:r>
            <w:r w:rsidRPr="00CE7533">
              <w:rPr>
                <w:rFonts w:ascii="Palatino Linotype" w:hAnsi="Palatino Linotype"/>
                <w:noProof/>
                <w:webHidden/>
                <w:sz w:val="22"/>
                <w:szCs w:val="22"/>
              </w:rPr>
              <w:fldChar w:fldCharType="end"/>
            </w:r>
          </w:hyperlink>
        </w:p>
        <w:p w14:paraId="4BEF2B96" w14:textId="0E0BFA5C"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0" w:history="1">
            <w:r w:rsidRPr="00CE7533">
              <w:rPr>
                <w:rStyle w:val="Hipervnculo"/>
                <w:rFonts w:ascii="Palatino Linotype" w:eastAsia="Calibri" w:hAnsi="Palatino Linotype"/>
                <w:noProof/>
                <w:sz w:val="22"/>
                <w:szCs w:val="22"/>
                <w:lang w:val="es-ES" w:eastAsia="es-MX"/>
              </w:rPr>
              <w:t xml:space="preserve">PRIMERO. </w:t>
            </w:r>
            <w:r w:rsidRPr="00CE7533">
              <w:rPr>
                <w:rStyle w:val="Hipervnculo"/>
                <w:rFonts w:ascii="Palatino Linotype" w:hAnsi="Palatino Linotype"/>
                <w:noProof/>
                <w:sz w:val="22"/>
                <w:szCs w:val="22"/>
                <w:lang w:val="es-ES"/>
              </w:rPr>
              <w:t>Competencia</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_Toc216164930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7</w:t>
            </w:r>
            <w:r w:rsidRPr="00CE7533">
              <w:rPr>
                <w:rFonts w:ascii="Palatino Linotype" w:hAnsi="Palatino Linotype"/>
                <w:noProof/>
                <w:webHidden/>
                <w:sz w:val="22"/>
                <w:szCs w:val="22"/>
              </w:rPr>
              <w:fldChar w:fldCharType="end"/>
            </w:r>
          </w:hyperlink>
        </w:p>
        <w:p w14:paraId="3167E698" w14:textId="45B9F00A"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1" w:history="1">
            <w:r w:rsidRPr="00CE7533">
              <w:rPr>
                <w:rStyle w:val="Hipervnculo"/>
                <w:rFonts w:ascii="Palatino Linotype" w:eastAsia="Calibri" w:hAnsi="Palatino Linotype"/>
                <w:noProof/>
                <w:sz w:val="22"/>
                <w:szCs w:val="22"/>
                <w:lang w:val="es-ES" w:eastAsia="es-MX"/>
              </w:rPr>
              <w:t xml:space="preserve">SEGUNDO. </w:t>
            </w:r>
            <w:r w:rsidRPr="00CE7533">
              <w:rPr>
                <w:rStyle w:val="Hipervnculo"/>
                <w:rFonts w:ascii="Palatino Linotype" w:hAnsi="Palatino Linotype"/>
                <w:noProof/>
                <w:sz w:val="22"/>
                <w:szCs w:val="22"/>
                <w:lang w:val="es-ES"/>
              </w:rPr>
              <w:t>Causales de improcedencia y Sobreseimiento</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_Toc216164931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8</w:t>
            </w:r>
            <w:r w:rsidRPr="00CE7533">
              <w:rPr>
                <w:rFonts w:ascii="Palatino Linotype" w:hAnsi="Palatino Linotype"/>
                <w:noProof/>
                <w:webHidden/>
                <w:sz w:val="22"/>
                <w:szCs w:val="22"/>
              </w:rPr>
              <w:fldChar w:fldCharType="end"/>
            </w:r>
          </w:hyperlink>
        </w:p>
        <w:p w14:paraId="7A062B88" w14:textId="2573BBBC"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2" w:history="1">
            <w:r w:rsidRPr="00CE7533">
              <w:rPr>
                <w:rStyle w:val="Hipervnculo"/>
                <w:rFonts w:ascii="Palatino Linotype" w:hAnsi="Palatino Linotype"/>
                <w:noProof/>
                <w:sz w:val="22"/>
                <w:szCs w:val="22"/>
                <w:lang w:val="es-ES"/>
              </w:rPr>
              <w:t>TERCERO. Determinación de la Controversia</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_Toc216164932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10</w:t>
            </w:r>
            <w:r w:rsidRPr="00CE7533">
              <w:rPr>
                <w:rFonts w:ascii="Palatino Linotype" w:hAnsi="Palatino Linotype"/>
                <w:noProof/>
                <w:webHidden/>
                <w:sz w:val="22"/>
                <w:szCs w:val="22"/>
              </w:rPr>
              <w:fldChar w:fldCharType="end"/>
            </w:r>
          </w:hyperlink>
        </w:p>
        <w:p w14:paraId="59C10A33" w14:textId="6B4BEE18"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3" w:history="1">
            <w:r w:rsidRPr="00CE7533">
              <w:rPr>
                <w:rStyle w:val="Hipervnculo"/>
                <w:rFonts w:ascii="Palatino Linotype" w:hAnsi="Palatino Linotype"/>
                <w:noProof/>
                <w:sz w:val="22"/>
                <w:szCs w:val="22"/>
                <w:lang w:val="es-ES"/>
              </w:rPr>
              <w:t xml:space="preserve">CUARTO. </w:t>
            </w:r>
            <w:r w:rsidRPr="00CE7533">
              <w:rPr>
                <w:rStyle w:val="Hipervnculo"/>
                <w:rFonts w:ascii="Palatino Linotype" w:hAnsi="Palatino Linotype"/>
                <w:noProof/>
                <w:sz w:val="22"/>
                <w:szCs w:val="22"/>
              </w:rPr>
              <w:t>Marco normativo aplicable en materia de transparencia y acceso a la información pública</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_Toc216164933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10</w:t>
            </w:r>
            <w:r w:rsidRPr="00CE7533">
              <w:rPr>
                <w:rFonts w:ascii="Palatino Linotype" w:hAnsi="Palatino Linotype"/>
                <w:noProof/>
                <w:webHidden/>
                <w:sz w:val="22"/>
                <w:szCs w:val="22"/>
              </w:rPr>
              <w:fldChar w:fldCharType="end"/>
            </w:r>
          </w:hyperlink>
        </w:p>
        <w:p w14:paraId="5DB121DD" w14:textId="4529D058"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4" w:history="1">
            <w:r w:rsidRPr="00CE7533">
              <w:rPr>
                <w:rStyle w:val="Hipervnculo"/>
                <w:rFonts w:ascii="Palatino Linotype" w:hAnsi="Palatino Linotype"/>
                <w:noProof/>
                <w:sz w:val="22"/>
                <w:szCs w:val="22"/>
                <w:lang w:val="es-ES"/>
              </w:rPr>
              <w:t>QUINTO. Estudio de Fondo</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_Toc216164934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11</w:t>
            </w:r>
            <w:r w:rsidRPr="00CE7533">
              <w:rPr>
                <w:rFonts w:ascii="Palatino Linotype" w:hAnsi="Palatino Linotype"/>
                <w:noProof/>
                <w:webHidden/>
                <w:sz w:val="22"/>
                <w:szCs w:val="22"/>
              </w:rPr>
              <w:fldChar w:fldCharType="end"/>
            </w:r>
          </w:hyperlink>
        </w:p>
        <w:p w14:paraId="6F6D053B" w14:textId="2E77FF12"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5" w:history="1">
            <w:r w:rsidRPr="00CE7533">
              <w:rPr>
                <w:rStyle w:val="Hipervnculo"/>
                <w:rFonts w:ascii="Palatino Linotype" w:hAnsi="Palatino Linotype"/>
                <w:noProof/>
                <w:sz w:val="22"/>
                <w:szCs w:val="22"/>
              </w:rPr>
              <w:t>SEXTO. Decisión</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_Toc216164935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18</w:t>
            </w:r>
            <w:r w:rsidRPr="00CE7533">
              <w:rPr>
                <w:rFonts w:ascii="Palatino Linotype" w:hAnsi="Palatino Linotype"/>
                <w:noProof/>
                <w:webHidden/>
                <w:sz w:val="22"/>
                <w:szCs w:val="22"/>
              </w:rPr>
              <w:fldChar w:fldCharType="end"/>
            </w:r>
          </w:hyperlink>
        </w:p>
        <w:p w14:paraId="446EA27E" w14:textId="0F4ED897" w:rsidR="002E27EC" w:rsidRPr="00CE7533"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6" w:history="1">
            <w:r w:rsidRPr="00CE7533">
              <w:rPr>
                <w:rStyle w:val="Hipervnculo"/>
                <w:rFonts w:ascii="Palatino Linotype" w:hAnsi="Palatino Linotype"/>
                <w:noProof/>
                <w:sz w:val="22"/>
                <w:szCs w:val="22"/>
              </w:rPr>
              <w:t>SÉPTIMO. Vista a la Secretaría</w:t>
            </w:r>
            <w:r w:rsidRPr="00CE7533">
              <w:rPr>
                <w:rStyle w:val="Hipervnculo"/>
                <w:rFonts w:ascii="Palatino Linotype" w:hAnsi="Palatino Linotype"/>
                <w:noProof/>
                <w:sz w:val="22"/>
                <w:szCs w:val="22"/>
                <w:lang w:val="x-none"/>
              </w:rPr>
              <w:t xml:space="preserve"> Técnica del </w:t>
            </w:r>
            <w:r w:rsidRPr="00CE7533">
              <w:rPr>
                <w:rStyle w:val="Hipervnculo"/>
                <w:rFonts w:ascii="Palatino Linotype" w:hAnsi="Palatino Linotype"/>
                <w:noProof/>
                <w:sz w:val="22"/>
                <w:szCs w:val="22"/>
              </w:rPr>
              <w:t>Pleno</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_Toc216164936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19</w:t>
            </w:r>
            <w:r w:rsidRPr="00CE7533">
              <w:rPr>
                <w:rFonts w:ascii="Palatino Linotype" w:hAnsi="Palatino Linotype"/>
                <w:noProof/>
                <w:webHidden/>
                <w:sz w:val="22"/>
                <w:szCs w:val="22"/>
              </w:rPr>
              <w:fldChar w:fldCharType="end"/>
            </w:r>
          </w:hyperlink>
        </w:p>
        <w:p w14:paraId="635C9191" w14:textId="1A4A8D96" w:rsidR="002E27EC" w:rsidRPr="00CE7533" w:rsidRDefault="002E27EC">
          <w:pPr>
            <w:pStyle w:val="TDC1"/>
            <w:rPr>
              <w:rFonts w:ascii="Palatino Linotype" w:eastAsiaTheme="minorEastAsia" w:hAnsi="Palatino Linotype" w:cstheme="minorBidi"/>
              <w:noProof/>
              <w:sz w:val="22"/>
              <w:szCs w:val="22"/>
              <w:lang w:eastAsia="es-MX"/>
            </w:rPr>
          </w:pPr>
          <w:hyperlink w:anchor="_Toc216164937" w:history="1">
            <w:r w:rsidRPr="00CE7533">
              <w:rPr>
                <w:rStyle w:val="Hipervnculo"/>
                <w:rFonts w:ascii="Palatino Linotype" w:hAnsi="Palatino Linotype"/>
                <w:noProof/>
                <w:sz w:val="22"/>
                <w:szCs w:val="22"/>
              </w:rPr>
              <w:t>R E S U E L V E</w:t>
            </w:r>
            <w:r w:rsidRPr="00CE7533">
              <w:rPr>
                <w:rFonts w:ascii="Palatino Linotype" w:hAnsi="Palatino Linotype"/>
                <w:noProof/>
                <w:webHidden/>
                <w:sz w:val="22"/>
                <w:szCs w:val="22"/>
              </w:rPr>
              <w:tab/>
            </w:r>
            <w:r w:rsidRPr="00CE7533">
              <w:rPr>
                <w:rFonts w:ascii="Palatino Linotype" w:hAnsi="Palatino Linotype"/>
                <w:noProof/>
                <w:webHidden/>
                <w:sz w:val="22"/>
                <w:szCs w:val="22"/>
              </w:rPr>
              <w:fldChar w:fldCharType="begin"/>
            </w:r>
            <w:r w:rsidRPr="00CE7533">
              <w:rPr>
                <w:rFonts w:ascii="Palatino Linotype" w:hAnsi="Palatino Linotype"/>
                <w:noProof/>
                <w:webHidden/>
                <w:sz w:val="22"/>
                <w:szCs w:val="22"/>
              </w:rPr>
              <w:instrText xml:space="preserve"> PAGEREF _Toc216164937 \h </w:instrText>
            </w:r>
            <w:r w:rsidRPr="00CE7533">
              <w:rPr>
                <w:rFonts w:ascii="Palatino Linotype" w:hAnsi="Palatino Linotype"/>
                <w:noProof/>
                <w:webHidden/>
                <w:sz w:val="22"/>
                <w:szCs w:val="22"/>
              </w:rPr>
            </w:r>
            <w:r w:rsidRPr="00CE7533">
              <w:rPr>
                <w:rFonts w:ascii="Palatino Linotype" w:hAnsi="Palatino Linotype"/>
                <w:noProof/>
                <w:webHidden/>
                <w:sz w:val="22"/>
                <w:szCs w:val="22"/>
              </w:rPr>
              <w:fldChar w:fldCharType="separate"/>
            </w:r>
            <w:r w:rsidR="00006D52">
              <w:rPr>
                <w:rFonts w:ascii="Palatino Linotype" w:hAnsi="Palatino Linotype"/>
                <w:noProof/>
                <w:webHidden/>
                <w:sz w:val="22"/>
                <w:szCs w:val="22"/>
              </w:rPr>
              <w:t>21</w:t>
            </w:r>
            <w:r w:rsidRPr="00CE7533">
              <w:rPr>
                <w:rFonts w:ascii="Palatino Linotype" w:hAnsi="Palatino Linotype"/>
                <w:noProof/>
                <w:webHidden/>
                <w:sz w:val="22"/>
                <w:szCs w:val="22"/>
              </w:rPr>
              <w:fldChar w:fldCharType="end"/>
            </w:r>
          </w:hyperlink>
        </w:p>
        <w:p w14:paraId="03C9AFF7" w14:textId="44FD5767" w:rsidR="007935E5" w:rsidRPr="00FF0608" w:rsidRDefault="007935E5" w:rsidP="00442CAA">
          <w:pPr>
            <w:spacing w:line="360" w:lineRule="auto"/>
            <w:jc w:val="both"/>
            <w:rPr>
              <w:color w:val="FF0000"/>
            </w:rPr>
          </w:pPr>
          <w:r w:rsidRPr="00CE7533">
            <w:rPr>
              <w:rFonts w:ascii="Palatino Linotype" w:hAnsi="Palatino Linotype"/>
              <w:bCs/>
              <w:color w:val="FF0000"/>
              <w:sz w:val="22"/>
              <w:szCs w:val="22"/>
              <w:lang w:val="es-ES"/>
            </w:rPr>
            <w:fldChar w:fldCharType="end"/>
          </w:r>
        </w:p>
      </w:sdtContent>
    </w:sdt>
    <w:p w14:paraId="2978A551" w14:textId="77777777" w:rsidR="006273CC" w:rsidRPr="00FF0608" w:rsidRDefault="007935E5" w:rsidP="00442CAA">
      <w:pPr>
        <w:spacing w:line="360" w:lineRule="auto"/>
        <w:jc w:val="both"/>
        <w:rPr>
          <w:rFonts w:ascii="Palatino Linotype" w:eastAsiaTheme="minorHAnsi" w:hAnsi="Palatino Linotype" w:cs="Tahoma"/>
          <w:bCs/>
          <w:color w:val="FF0000"/>
          <w:sz w:val="22"/>
          <w:szCs w:val="22"/>
          <w:lang w:eastAsia="en-US"/>
        </w:rPr>
      </w:pPr>
      <w:r w:rsidRPr="00FF0608">
        <w:rPr>
          <w:rFonts w:ascii="Palatino Linotype" w:eastAsiaTheme="minorHAnsi" w:hAnsi="Palatino Linotype" w:cs="Tahoma"/>
          <w:bCs/>
          <w:color w:val="FF0000"/>
          <w:sz w:val="22"/>
          <w:szCs w:val="22"/>
          <w:lang w:eastAsia="en-US"/>
        </w:rPr>
        <w:br w:type="column"/>
      </w:r>
    </w:p>
    <w:p w14:paraId="0ED4147D" w14:textId="35B08943" w:rsidR="00F82637" w:rsidRPr="00FF0608" w:rsidRDefault="00F82637" w:rsidP="00442CAA">
      <w:pPr>
        <w:spacing w:line="360" w:lineRule="auto"/>
        <w:jc w:val="both"/>
        <w:rPr>
          <w:rFonts w:ascii="Palatino Linotype" w:eastAsiaTheme="minorHAnsi" w:hAnsi="Palatino Linotype" w:cs="Tahoma"/>
          <w:bCs/>
          <w:sz w:val="22"/>
          <w:szCs w:val="22"/>
          <w:lang w:eastAsia="en-US"/>
        </w:rPr>
      </w:pPr>
      <w:r w:rsidRPr="00FF0608">
        <w:rPr>
          <w:rFonts w:ascii="Palatino Linotype" w:eastAsiaTheme="minorHAnsi" w:hAnsi="Palatino Linotype" w:cs="Tahoma"/>
          <w:bCs/>
          <w:sz w:val="22"/>
          <w:szCs w:val="22"/>
          <w:lang w:eastAsia="en-US"/>
        </w:rPr>
        <w:t xml:space="preserve">Resolución del Pleno del Instituto de Transparencia, Acceso a la Información Pública y </w:t>
      </w:r>
      <w:r w:rsidRPr="00FF0608">
        <w:rPr>
          <w:rFonts w:ascii="Palatino Linotype" w:hAnsi="Palatino Linotype" w:cs="Tahoma"/>
          <w:bCs/>
          <w:sz w:val="22"/>
          <w:szCs w:val="22"/>
        </w:rPr>
        <w:t>Protección de Datos Personales del Estado de México y Municipios, con domicilio en Metepec, Estado de México, de fecha</w:t>
      </w:r>
      <w:r w:rsidR="00C176C1" w:rsidRPr="00FF0608">
        <w:rPr>
          <w:rFonts w:ascii="Palatino Linotype" w:hAnsi="Palatino Linotype" w:cs="Tahoma"/>
          <w:bCs/>
          <w:sz w:val="22"/>
          <w:szCs w:val="22"/>
        </w:rPr>
        <w:t xml:space="preserve"> </w:t>
      </w:r>
      <w:r w:rsidR="00790E96">
        <w:rPr>
          <w:rFonts w:ascii="Palatino Linotype" w:hAnsi="Palatino Linotype" w:cs="Tahoma"/>
          <w:bCs/>
          <w:sz w:val="22"/>
          <w:szCs w:val="22"/>
        </w:rPr>
        <w:t>catorce de enero de dos mil veintiséis</w:t>
      </w:r>
      <w:r w:rsidR="0080480B" w:rsidRPr="00FF0608">
        <w:rPr>
          <w:rFonts w:ascii="Palatino Linotype" w:hAnsi="Palatino Linotype" w:cs="Tahoma"/>
          <w:bCs/>
          <w:sz w:val="22"/>
          <w:szCs w:val="22"/>
        </w:rPr>
        <w:t>.</w:t>
      </w:r>
    </w:p>
    <w:p w14:paraId="7922BAAD" w14:textId="77777777" w:rsidR="00F82637" w:rsidRPr="00FF0608"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61A3210F" w:rsidR="00F82637" w:rsidRPr="00FF0608" w:rsidRDefault="00F82637"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b/>
          <w:bCs/>
          <w:sz w:val="22"/>
          <w:szCs w:val="22"/>
          <w:lang w:eastAsia="en-US"/>
        </w:rPr>
        <w:t>VISTO</w:t>
      </w:r>
      <w:r w:rsidR="00521FD9">
        <w:rPr>
          <w:rFonts w:ascii="Palatino Linotype" w:eastAsiaTheme="minorHAnsi" w:hAnsi="Palatino Linotype" w:cstheme="minorBidi"/>
          <w:b/>
          <w:bCs/>
          <w:sz w:val="22"/>
          <w:szCs w:val="22"/>
          <w:lang w:eastAsia="en-US"/>
        </w:rPr>
        <w:t>S</w:t>
      </w:r>
      <w:r w:rsidRPr="00FF0608">
        <w:rPr>
          <w:rFonts w:ascii="Palatino Linotype" w:eastAsiaTheme="minorHAnsi" w:hAnsi="Palatino Linotype" w:cstheme="minorBidi"/>
          <w:b/>
          <w:bCs/>
          <w:sz w:val="22"/>
          <w:szCs w:val="22"/>
          <w:lang w:eastAsia="en-US"/>
        </w:rPr>
        <w:t xml:space="preserve"> </w:t>
      </w:r>
      <w:r w:rsidRPr="00FF0608">
        <w:rPr>
          <w:rFonts w:ascii="Palatino Linotype" w:eastAsiaTheme="minorHAnsi" w:hAnsi="Palatino Linotype" w:cstheme="minorBidi"/>
          <w:bCs/>
          <w:sz w:val="22"/>
          <w:szCs w:val="22"/>
          <w:lang w:eastAsia="en-US"/>
        </w:rPr>
        <w:t>l</w:t>
      </w:r>
      <w:r w:rsidR="00521FD9">
        <w:rPr>
          <w:rFonts w:ascii="Palatino Linotype" w:eastAsiaTheme="minorHAnsi" w:hAnsi="Palatino Linotype" w:cstheme="minorBidi"/>
          <w:bCs/>
          <w:sz w:val="22"/>
          <w:szCs w:val="22"/>
          <w:lang w:eastAsia="en-US"/>
        </w:rPr>
        <w:t>os</w:t>
      </w:r>
      <w:r w:rsidRPr="00FF0608">
        <w:rPr>
          <w:rFonts w:ascii="Palatino Linotype" w:eastAsiaTheme="minorHAnsi" w:hAnsi="Palatino Linotype" w:cstheme="minorBidi"/>
          <w:bCs/>
          <w:sz w:val="22"/>
          <w:szCs w:val="22"/>
          <w:lang w:eastAsia="en-US"/>
        </w:rPr>
        <w:t xml:space="preserve"> expediente</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conformado</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con motivo de</w:t>
      </w:r>
      <w:r w:rsidR="00521FD9">
        <w:rPr>
          <w:rFonts w:ascii="Palatino Linotype" w:eastAsiaTheme="minorHAnsi" w:hAnsi="Palatino Linotype" w:cstheme="minorBidi"/>
          <w:bCs/>
          <w:sz w:val="22"/>
          <w:szCs w:val="22"/>
          <w:lang w:eastAsia="en-US"/>
        </w:rPr>
        <w:t xml:space="preserve"> </w:t>
      </w:r>
      <w:r w:rsidRPr="00FF0608">
        <w:rPr>
          <w:rFonts w:ascii="Palatino Linotype" w:eastAsiaTheme="minorHAnsi" w:hAnsi="Palatino Linotype" w:cstheme="minorBidi"/>
          <w:bCs/>
          <w:sz w:val="22"/>
          <w:szCs w:val="22"/>
          <w:lang w:eastAsia="en-US"/>
        </w:rPr>
        <w:t>l</w:t>
      </w:r>
      <w:r w:rsidR="00521FD9">
        <w:rPr>
          <w:rFonts w:ascii="Palatino Linotype" w:eastAsiaTheme="minorHAnsi" w:hAnsi="Palatino Linotype" w:cstheme="minorBidi"/>
          <w:bCs/>
          <w:sz w:val="22"/>
          <w:szCs w:val="22"/>
          <w:lang w:eastAsia="en-US"/>
        </w:rPr>
        <w:t>os</w:t>
      </w:r>
      <w:r w:rsidRPr="00FF0608">
        <w:rPr>
          <w:rFonts w:ascii="Palatino Linotype" w:eastAsiaTheme="minorHAnsi" w:hAnsi="Palatino Linotype" w:cstheme="minorBidi"/>
          <w:bCs/>
          <w:sz w:val="22"/>
          <w:szCs w:val="22"/>
          <w:lang w:eastAsia="en-US"/>
        </w:rPr>
        <w:t xml:space="preserve"> Recurso</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de Revisión </w:t>
      </w:r>
      <w:r w:rsidR="00790E96" w:rsidRPr="00241A65">
        <w:rPr>
          <w:rFonts w:ascii="Palatino Linotype" w:eastAsiaTheme="minorHAnsi" w:hAnsi="Palatino Linotype" w:cstheme="minorBidi"/>
          <w:b/>
          <w:bCs/>
          <w:sz w:val="22"/>
          <w:szCs w:val="22"/>
          <w:lang w:eastAsia="en-US"/>
        </w:rPr>
        <w:t>13586</w:t>
      </w:r>
      <w:r w:rsidR="0032214E" w:rsidRPr="00241A65">
        <w:rPr>
          <w:rFonts w:ascii="Palatino Linotype" w:eastAsiaTheme="minorHAnsi" w:hAnsi="Palatino Linotype" w:cstheme="minorBidi"/>
          <w:b/>
          <w:sz w:val="22"/>
          <w:szCs w:val="22"/>
          <w:lang w:eastAsia="en-US"/>
        </w:rPr>
        <w:t>/INFOEM/IP/RR/2025</w:t>
      </w:r>
      <w:r w:rsidR="00521FD9" w:rsidRPr="00241A65">
        <w:rPr>
          <w:rFonts w:ascii="Palatino Linotype" w:eastAsiaTheme="minorHAnsi" w:hAnsi="Palatino Linotype" w:cstheme="minorBidi"/>
          <w:b/>
          <w:sz w:val="22"/>
          <w:szCs w:val="22"/>
          <w:lang w:eastAsia="en-US"/>
        </w:rPr>
        <w:t xml:space="preserve"> y </w:t>
      </w:r>
      <w:r w:rsidR="00790E96" w:rsidRPr="00241A65">
        <w:rPr>
          <w:rFonts w:ascii="Palatino Linotype" w:eastAsiaTheme="minorHAnsi" w:hAnsi="Palatino Linotype" w:cstheme="minorBidi"/>
          <w:b/>
          <w:bCs/>
          <w:sz w:val="22"/>
          <w:szCs w:val="22"/>
          <w:lang w:eastAsia="en-US"/>
        </w:rPr>
        <w:t>13587</w:t>
      </w:r>
      <w:r w:rsidR="00521FD9" w:rsidRPr="00241A65">
        <w:rPr>
          <w:rFonts w:ascii="Palatino Linotype" w:eastAsiaTheme="minorHAnsi" w:hAnsi="Palatino Linotype" w:cstheme="minorBidi"/>
          <w:b/>
          <w:sz w:val="22"/>
          <w:szCs w:val="22"/>
          <w:lang w:eastAsia="en-US"/>
        </w:rPr>
        <w:t>/INFOEM/IP/RR/2025</w:t>
      </w:r>
      <w:r w:rsidRPr="00FF0608">
        <w:rPr>
          <w:rFonts w:ascii="Palatino Linotype" w:eastAsiaTheme="minorHAnsi" w:hAnsi="Palatino Linotype" w:cstheme="minorBidi"/>
          <w:sz w:val="22"/>
          <w:szCs w:val="22"/>
          <w:lang w:eastAsia="en-US"/>
        </w:rPr>
        <w:t>, inter</w:t>
      </w:r>
      <w:r w:rsidR="001723FE" w:rsidRPr="00FF0608">
        <w:rPr>
          <w:rFonts w:ascii="Palatino Linotype" w:eastAsiaTheme="minorHAnsi" w:hAnsi="Palatino Linotype" w:cstheme="minorBidi"/>
          <w:sz w:val="22"/>
          <w:szCs w:val="22"/>
          <w:lang w:eastAsia="en-US"/>
        </w:rPr>
        <w:t xml:space="preserve">puesto </w:t>
      </w:r>
      <w:r w:rsidR="00DE1269" w:rsidRPr="00FF0608">
        <w:rPr>
          <w:rFonts w:ascii="Palatino Linotype" w:eastAsiaTheme="minorHAnsi" w:hAnsi="Palatino Linotype" w:cstheme="minorBidi"/>
          <w:sz w:val="22"/>
          <w:szCs w:val="22"/>
          <w:lang w:eastAsia="en-US"/>
        </w:rPr>
        <w:t>por</w:t>
      </w:r>
      <w:r w:rsidR="00AA2759" w:rsidRPr="00FF0608">
        <w:rPr>
          <w:rFonts w:ascii="Palatino Linotype" w:eastAsiaTheme="minorHAnsi" w:hAnsi="Palatino Linotype" w:cstheme="minorBidi"/>
          <w:sz w:val="22"/>
          <w:szCs w:val="22"/>
          <w:lang w:eastAsia="en-US"/>
        </w:rPr>
        <w:t xml:space="preserve"> </w:t>
      </w:r>
      <w:r w:rsidR="006D151D" w:rsidRPr="006D151D">
        <w:rPr>
          <w:rFonts w:ascii="Palatino Linotype" w:eastAsia="Calibri" w:hAnsi="Palatino Linotype" w:cs="Tahoma"/>
          <w:sz w:val="22"/>
          <w:szCs w:val="22"/>
          <w:highlight w:val="black"/>
          <w:lang w:eastAsia="en-US"/>
        </w:rPr>
        <w:t>XXXXXXXXXXXX</w:t>
      </w:r>
      <w:r w:rsidR="00321D19" w:rsidRPr="006D151D">
        <w:rPr>
          <w:rFonts w:ascii="Palatino Linotype" w:eastAsia="Calibri" w:hAnsi="Palatino Linotype" w:cs="Tahoma"/>
          <w:sz w:val="22"/>
          <w:szCs w:val="22"/>
          <w:highlight w:val="black"/>
          <w:lang w:eastAsia="en-US"/>
        </w:rPr>
        <w:t xml:space="preserve"> </w:t>
      </w:r>
      <w:r w:rsidR="006D151D" w:rsidRPr="006D151D">
        <w:rPr>
          <w:rFonts w:ascii="Palatino Linotype" w:eastAsia="Calibri" w:hAnsi="Palatino Linotype" w:cs="Tahoma"/>
          <w:sz w:val="22"/>
          <w:szCs w:val="22"/>
          <w:highlight w:val="black"/>
          <w:lang w:eastAsia="en-US"/>
        </w:rPr>
        <w:t>XXXXXXX</w:t>
      </w:r>
      <w:r w:rsidR="00A0395D" w:rsidRPr="00FF0608">
        <w:rPr>
          <w:rFonts w:ascii="Palatino Linotype" w:eastAsiaTheme="minorHAnsi" w:hAnsi="Palatino Linotype" w:cstheme="minorBidi"/>
          <w:sz w:val="22"/>
          <w:szCs w:val="22"/>
          <w:lang w:eastAsia="en-US"/>
        </w:rPr>
        <w:t xml:space="preserve">, quien será </w:t>
      </w:r>
      <w:r w:rsidR="00281735" w:rsidRPr="00FF0608">
        <w:rPr>
          <w:rFonts w:ascii="Palatino Linotype" w:eastAsiaTheme="minorHAnsi" w:hAnsi="Palatino Linotype" w:cstheme="minorBidi"/>
          <w:sz w:val="22"/>
          <w:szCs w:val="22"/>
          <w:lang w:eastAsia="en-US"/>
        </w:rPr>
        <w:t xml:space="preserve">la persona </w:t>
      </w:r>
      <w:r w:rsidRPr="00FF0608">
        <w:rPr>
          <w:rFonts w:ascii="Palatino Linotype" w:eastAsiaTheme="minorHAnsi" w:hAnsi="Palatino Linotype" w:cs="Tahoma"/>
          <w:sz w:val="22"/>
          <w:szCs w:val="22"/>
          <w:lang w:eastAsia="en-US"/>
        </w:rPr>
        <w:t>Recurrente o Particular</w:t>
      </w:r>
      <w:r w:rsidRPr="00FF0608">
        <w:rPr>
          <w:rFonts w:ascii="Palatino Linotype" w:eastAsiaTheme="minorHAnsi" w:hAnsi="Palatino Linotype" w:cstheme="minorBidi"/>
          <w:sz w:val="22"/>
          <w:szCs w:val="22"/>
          <w:lang w:eastAsia="en-US"/>
        </w:rPr>
        <w:t xml:space="preserve">, en contra de la </w:t>
      </w:r>
      <w:r w:rsidR="003B4F63" w:rsidRPr="00FF0608">
        <w:rPr>
          <w:rFonts w:ascii="Palatino Linotype" w:eastAsiaTheme="minorHAnsi" w:hAnsi="Palatino Linotype" w:cstheme="minorBidi"/>
          <w:sz w:val="22"/>
          <w:szCs w:val="22"/>
          <w:lang w:eastAsia="en-US"/>
        </w:rPr>
        <w:t xml:space="preserve">falta de </w:t>
      </w:r>
      <w:r w:rsidRPr="00FF0608">
        <w:rPr>
          <w:rFonts w:ascii="Palatino Linotype" w:eastAsiaTheme="minorHAnsi" w:hAnsi="Palatino Linotype" w:cstheme="minorBidi"/>
          <w:sz w:val="22"/>
          <w:szCs w:val="22"/>
          <w:lang w:eastAsia="en-US"/>
        </w:rPr>
        <w:t xml:space="preserve">respuesta del Sujeto Obligado, </w:t>
      </w:r>
      <w:r w:rsidR="00790E96" w:rsidRPr="00241A65">
        <w:rPr>
          <w:rFonts w:ascii="Palatino Linotype" w:eastAsiaTheme="minorHAnsi" w:hAnsi="Palatino Linotype" w:cstheme="minorBidi"/>
          <w:b/>
          <w:sz w:val="22"/>
          <w:szCs w:val="22"/>
          <w:lang w:eastAsia="en-US"/>
        </w:rPr>
        <w:t>Ayuntamiento de Tepotzotlán</w:t>
      </w:r>
      <w:r w:rsidRPr="00FF0608">
        <w:rPr>
          <w:rFonts w:ascii="Palatino Linotype" w:eastAsiaTheme="minorHAnsi" w:hAnsi="Palatino Linotype" w:cstheme="minorBidi"/>
          <w:sz w:val="22"/>
          <w:szCs w:val="22"/>
          <w:lang w:eastAsia="en-US"/>
        </w:rPr>
        <w:t xml:space="preserve"> </w:t>
      </w:r>
      <w:r w:rsidR="00521FD9">
        <w:rPr>
          <w:rFonts w:ascii="Palatino Linotype" w:eastAsiaTheme="minorHAnsi" w:hAnsi="Palatino Linotype" w:cstheme="minorBidi"/>
          <w:sz w:val="22"/>
          <w:szCs w:val="22"/>
          <w:lang w:eastAsia="en-US"/>
        </w:rPr>
        <w:t xml:space="preserve">a </w:t>
      </w:r>
      <w:r w:rsidRPr="00FF0608">
        <w:rPr>
          <w:rFonts w:ascii="Palatino Linotype" w:eastAsiaTheme="minorHAnsi" w:hAnsi="Palatino Linotype" w:cstheme="minorBidi"/>
          <w:sz w:val="22"/>
          <w:szCs w:val="22"/>
          <w:lang w:eastAsia="en-US"/>
        </w:rPr>
        <w:t>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acceso a la información pública </w:t>
      </w:r>
      <w:r w:rsidR="000E307B" w:rsidRPr="00FF0608">
        <w:rPr>
          <w:rFonts w:ascii="Palatino Linotype" w:eastAsiaTheme="minorHAnsi" w:hAnsi="Palatino Linotype" w:cstheme="minorBidi"/>
          <w:sz w:val="22"/>
          <w:szCs w:val="22"/>
          <w:lang w:eastAsia="en-US"/>
        </w:rPr>
        <w:t> </w:t>
      </w:r>
      <w:r w:rsidR="00790E96">
        <w:rPr>
          <w:rFonts w:ascii="Palatino Linotype" w:eastAsiaTheme="minorHAnsi" w:hAnsi="Palatino Linotype" w:cstheme="minorBidi"/>
          <w:sz w:val="22"/>
          <w:szCs w:val="22"/>
          <w:lang w:eastAsia="en-US"/>
        </w:rPr>
        <w:t>00818/TEPOTZOT/IP/2025</w:t>
      </w:r>
      <w:r w:rsidR="00CE7533">
        <w:rPr>
          <w:rFonts w:ascii="Palatino Linotype" w:eastAsiaTheme="minorHAnsi" w:hAnsi="Palatino Linotype" w:cstheme="minorBidi"/>
          <w:sz w:val="22"/>
          <w:szCs w:val="22"/>
          <w:lang w:eastAsia="en-US"/>
        </w:rPr>
        <w:t xml:space="preserve"> </w:t>
      </w:r>
      <w:r w:rsidR="00521FD9">
        <w:rPr>
          <w:rFonts w:ascii="Palatino Linotype" w:eastAsiaTheme="minorHAnsi" w:hAnsi="Palatino Linotype" w:cstheme="minorBidi"/>
          <w:sz w:val="22"/>
          <w:szCs w:val="22"/>
          <w:lang w:eastAsia="en-US"/>
        </w:rPr>
        <w:t xml:space="preserve">y </w:t>
      </w:r>
      <w:r w:rsidR="00790E96">
        <w:rPr>
          <w:rFonts w:ascii="Palatino Linotype" w:eastAsiaTheme="minorHAnsi" w:hAnsi="Palatino Linotype" w:cstheme="minorBidi"/>
          <w:sz w:val="22"/>
          <w:szCs w:val="22"/>
          <w:lang w:eastAsia="en-US"/>
        </w:rPr>
        <w:t>00819/TEPOTZOT/IP/2025</w:t>
      </w:r>
      <w:r w:rsidRPr="00FF0608">
        <w:rPr>
          <w:rFonts w:ascii="Palatino Linotype" w:eastAsiaTheme="minorHAnsi" w:hAnsi="Palatino Linotype" w:cstheme="minorBidi"/>
          <w:sz w:val="22"/>
          <w:szCs w:val="22"/>
          <w:lang w:eastAsia="en-US"/>
        </w:rPr>
        <w:t>, se emite la presente Resolución, con base en los Antecedentes y Considerandos que a continuación</w:t>
      </w:r>
      <w:r w:rsidRPr="00FF0608">
        <w:rPr>
          <w:rFonts w:ascii="Palatino Linotype" w:eastAsiaTheme="minorHAnsi" w:hAnsi="Palatino Linotype" w:cstheme="minorBidi"/>
          <w:bCs/>
          <w:sz w:val="22"/>
          <w:szCs w:val="22"/>
          <w:lang w:eastAsia="en-US"/>
        </w:rPr>
        <w:t xml:space="preserve"> se exponen:</w:t>
      </w:r>
    </w:p>
    <w:p w14:paraId="38162D29" w14:textId="77777777" w:rsidR="008F4B45" w:rsidRPr="00FF0608" w:rsidRDefault="008F4B45" w:rsidP="00442CAA">
      <w:pPr>
        <w:pStyle w:val="Subttulo"/>
        <w:spacing w:after="0" w:line="360" w:lineRule="auto"/>
        <w:rPr>
          <w:color w:val="auto"/>
        </w:rPr>
      </w:pPr>
    </w:p>
    <w:p w14:paraId="45CF508A" w14:textId="6496B8EC" w:rsidR="008F4B45" w:rsidRPr="00FF0608" w:rsidRDefault="003F5E0D" w:rsidP="00442CAA">
      <w:pPr>
        <w:pStyle w:val="Ttulo1"/>
        <w:rPr>
          <w:color w:val="auto"/>
        </w:rPr>
      </w:pPr>
      <w:bookmarkStart w:id="0" w:name="_Toc216164924"/>
      <w:r w:rsidRPr="00FF0608">
        <w:rPr>
          <w:color w:val="auto"/>
        </w:rPr>
        <w:t>A N T E C E D E N T E S</w:t>
      </w:r>
      <w:bookmarkEnd w:id="0"/>
    </w:p>
    <w:p w14:paraId="3D51A562" w14:textId="77777777" w:rsidR="008F4B45" w:rsidRPr="00FF0608" w:rsidRDefault="008F4B45" w:rsidP="00442CAA">
      <w:pPr>
        <w:pStyle w:val="ResolucinV"/>
        <w:rPr>
          <w:color w:val="auto"/>
        </w:rPr>
      </w:pPr>
    </w:p>
    <w:p w14:paraId="07539392" w14:textId="0541120D" w:rsidR="00F469B3" w:rsidRPr="00FF0608" w:rsidRDefault="00F469B3" w:rsidP="00442CAA">
      <w:pPr>
        <w:pStyle w:val="Ttulo2"/>
        <w:rPr>
          <w:color w:val="auto"/>
        </w:rPr>
      </w:pPr>
      <w:bookmarkStart w:id="1" w:name="_Toc216164925"/>
      <w:r w:rsidRPr="00FF0608">
        <w:rPr>
          <w:color w:val="auto"/>
        </w:rPr>
        <w:t>I. Presentación de la solicitud de información</w:t>
      </w:r>
      <w:bookmarkEnd w:id="1"/>
    </w:p>
    <w:p w14:paraId="2C510854" w14:textId="77777777" w:rsidR="00F469B3" w:rsidRPr="00FF0608" w:rsidRDefault="00F469B3" w:rsidP="00442CAA">
      <w:pPr>
        <w:tabs>
          <w:tab w:val="left" w:pos="567"/>
        </w:tabs>
        <w:spacing w:line="360" w:lineRule="auto"/>
        <w:jc w:val="both"/>
        <w:rPr>
          <w:rFonts w:ascii="Palatino Linotype" w:hAnsi="Palatino Linotype" w:cs="Tahoma"/>
          <w:color w:val="FF0000"/>
          <w:sz w:val="22"/>
          <w:szCs w:val="22"/>
        </w:rPr>
      </w:pPr>
    </w:p>
    <w:p w14:paraId="0F999651" w14:textId="1A74D858" w:rsidR="00253EAE" w:rsidRPr="00FF0608" w:rsidRDefault="00542F88" w:rsidP="006273CC">
      <w:pPr>
        <w:autoSpaceDE w:val="0"/>
        <w:autoSpaceDN w:val="0"/>
        <w:adjustRightInd w:val="0"/>
        <w:spacing w:line="360" w:lineRule="auto"/>
        <w:jc w:val="both"/>
        <w:rPr>
          <w:rFonts w:ascii="Palatino Linotype" w:hAnsi="Palatino Linotype" w:cs="Tahoma"/>
          <w:sz w:val="22"/>
          <w:szCs w:val="22"/>
        </w:rPr>
      </w:pPr>
      <w:r w:rsidRPr="00FF0608">
        <w:rPr>
          <w:rFonts w:ascii="Palatino Linotype" w:eastAsiaTheme="minorHAnsi" w:hAnsi="Palatino Linotype" w:cs="Tahoma"/>
          <w:sz w:val="22"/>
          <w:szCs w:val="22"/>
          <w:lang w:eastAsia="en-US"/>
        </w:rPr>
        <w:t xml:space="preserve">El </w:t>
      </w:r>
      <w:r w:rsidR="00790E96">
        <w:rPr>
          <w:rFonts w:ascii="Palatino Linotype" w:eastAsiaTheme="minorHAnsi" w:hAnsi="Palatino Linotype" w:cs="Tahoma"/>
          <w:sz w:val="22"/>
          <w:szCs w:val="22"/>
          <w:lang w:eastAsia="en-US"/>
        </w:rPr>
        <w:t>diez de noviembre</w:t>
      </w:r>
      <w:r w:rsidR="000E307B" w:rsidRPr="00FF0608">
        <w:rPr>
          <w:rFonts w:ascii="Palatino Linotype" w:eastAsiaTheme="minorHAnsi" w:hAnsi="Palatino Linotype" w:cs="Tahoma"/>
          <w:sz w:val="22"/>
          <w:szCs w:val="22"/>
          <w:lang w:eastAsia="en-US"/>
        </w:rPr>
        <w:t xml:space="preserve"> </w:t>
      </w:r>
      <w:r w:rsidR="00AA2759" w:rsidRPr="00FF0608">
        <w:rPr>
          <w:rFonts w:ascii="Palatino Linotype" w:eastAsiaTheme="minorHAnsi" w:hAnsi="Palatino Linotype" w:cs="Tahoma"/>
          <w:sz w:val="22"/>
          <w:szCs w:val="22"/>
          <w:lang w:eastAsia="en-US"/>
        </w:rPr>
        <w:t xml:space="preserve">de dos mil veinticinco, </w:t>
      </w:r>
      <w:r w:rsidR="000E307B" w:rsidRPr="00FF0608">
        <w:rPr>
          <w:rFonts w:ascii="Palatino Linotype" w:eastAsiaTheme="minorHAnsi" w:hAnsi="Palatino Linotype" w:cs="Tahoma"/>
          <w:sz w:val="22"/>
          <w:szCs w:val="22"/>
          <w:lang w:eastAsia="en-US"/>
        </w:rPr>
        <w:t>se tuv</w:t>
      </w:r>
      <w:r w:rsidR="00521FD9">
        <w:rPr>
          <w:rFonts w:ascii="Palatino Linotype" w:eastAsiaTheme="minorHAnsi" w:hAnsi="Palatino Linotype" w:cs="Tahoma"/>
          <w:sz w:val="22"/>
          <w:szCs w:val="22"/>
          <w:lang w:eastAsia="en-US"/>
        </w:rPr>
        <w:t xml:space="preserve">ieron </w:t>
      </w:r>
      <w:r w:rsidR="000E307B" w:rsidRPr="00FF0608">
        <w:rPr>
          <w:rFonts w:ascii="Palatino Linotype" w:eastAsiaTheme="minorHAnsi" w:hAnsi="Palatino Linotype" w:cs="Tahoma"/>
          <w:sz w:val="22"/>
          <w:szCs w:val="22"/>
          <w:lang w:eastAsia="en-US"/>
        </w:rPr>
        <w:t>por presentada</w:t>
      </w:r>
      <w:r w:rsidR="00521FD9">
        <w:rPr>
          <w:rFonts w:ascii="Palatino Linotype" w:eastAsiaTheme="minorHAnsi" w:hAnsi="Palatino Linotype" w:cs="Tahoma"/>
          <w:sz w:val="22"/>
          <w:szCs w:val="22"/>
          <w:lang w:eastAsia="en-US"/>
        </w:rPr>
        <w:t>s</w:t>
      </w:r>
      <w:r w:rsidR="000E307B" w:rsidRPr="00FF0608">
        <w:rPr>
          <w:rFonts w:ascii="Palatino Linotype" w:eastAsiaTheme="minorHAnsi" w:hAnsi="Palatino Linotype" w:cs="Tahoma"/>
          <w:sz w:val="22"/>
          <w:szCs w:val="22"/>
          <w:lang w:eastAsia="en-US"/>
        </w:rPr>
        <w:t xml:space="preserve"> </w:t>
      </w:r>
      <w:r w:rsidR="00521FD9">
        <w:rPr>
          <w:rFonts w:ascii="Palatino Linotype" w:eastAsiaTheme="minorHAnsi" w:hAnsi="Palatino Linotype" w:cs="Tahoma"/>
          <w:sz w:val="22"/>
          <w:szCs w:val="22"/>
          <w:lang w:eastAsia="en-US"/>
        </w:rPr>
        <w:t xml:space="preserve">dos </w:t>
      </w:r>
      <w:r w:rsidR="000E307B" w:rsidRPr="00FF0608">
        <w:rPr>
          <w:rFonts w:ascii="Palatino Linotype" w:eastAsiaTheme="minorHAnsi" w:hAnsi="Palatino Linotype" w:cs="Tahoma"/>
          <w:sz w:val="22"/>
          <w:szCs w:val="22"/>
          <w:lang w:eastAsia="en-US"/>
        </w:rPr>
        <w:t>solicitud</w:t>
      </w:r>
      <w:r w:rsidR="00521FD9">
        <w:rPr>
          <w:rFonts w:ascii="Palatino Linotype" w:eastAsiaTheme="minorHAnsi" w:hAnsi="Palatino Linotype" w:cs="Tahoma"/>
          <w:sz w:val="22"/>
          <w:szCs w:val="22"/>
          <w:lang w:eastAsia="en-US"/>
        </w:rPr>
        <w:t>es</w:t>
      </w:r>
      <w:r w:rsidR="000E307B" w:rsidRPr="00FF0608">
        <w:rPr>
          <w:rFonts w:ascii="Palatino Linotype" w:eastAsiaTheme="minorHAnsi" w:hAnsi="Palatino Linotype" w:cs="Tahoma"/>
          <w:sz w:val="22"/>
          <w:szCs w:val="22"/>
          <w:lang w:eastAsia="en-US"/>
        </w:rPr>
        <w:t xml:space="preserve"> de acceso a la información pública, </w:t>
      </w:r>
      <w:r w:rsidR="00253EAE" w:rsidRPr="00FF0608">
        <w:rPr>
          <w:rFonts w:ascii="Palatino Linotype" w:hAnsi="Palatino Linotype" w:cs="Tahoma"/>
          <w:sz w:val="22"/>
          <w:szCs w:val="22"/>
        </w:rPr>
        <w:t xml:space="preserve">a través del Sistema de Acceso a la Información Mexiquense (SAIMEX), </w:t>
      </w:r>
      <w:r w:rsidR="000E307B" w:rsidRPr="00FF0608">
        <w:rPr>
          <w:rFonts w:ascii="Palatino Linotype" w:hAnsi="Palatino Linotype" w:cs="Tahoma"/>
          <w:sz w:val="22"/>
          <w:szCs w:val="22"/>
        </w:rPr>
        <w:t>(ya que si bien se registr</w:t>
      </w:r>
      <w:r w:rsidR="00790E96">
        <w:rPr>
          <w:rFonts w:ascii="Palatino Linotype" w:hAnsi="Palatino Linotype" w:cs="Tahoma"/>
          <w:sz w:val="22"/>
          <w:szCs w:val="22"/>
        </w:rPr>
        <w:t xml:space="preserve">aron el ocho de dicho </w:t>
      </w:r>
      <w:r w:rsidR="000E307B" w:rsidRPr="00FF0608">
        <w:rPr>
          <w:rFonts w:ascii="Palatino Linotype" w:hAnsi="Palatino Linotype" w:cs="Tahoma"/>
          <w:sz w:val="22"/>
          <w:szCs w:val="22"/>
        </w:rPr>
        <w:t>mes y año, este fue inhábil, por lo que se tuv</w:t>
      </w:r>
      <w:r w:rsidR="00790E96">
        <w:rPr>
          <w:rFonts w:ascii="Palatino Linotype" w:hAnsi="Palatino Linotype" w:cs="Tahoma"/>
          <w:sz w:val="22"/>
          <w:szCs w:val="22"/>
        </w:rPr>
        <w:t>ieron</w:t>
      </w:r>
      <w:r w:rsidR="000E307B" w:rsidRPr="00FF0608">
        <w:rPr>
          <w:rFonts w:ascii="Palatino Linotype" w:hAnsi="Palatino Linotype" w:cs="Tahoma"/>
          <w:sz w:val="22"/>
          <w:szCs w:val="22"/>
        </w:rPr>
        <w:t xml:space="preserve"> por presentado</w:t>
      </w:r>
      <w:r w:rsidR="00790E96">
        <w:rPr>
          <w:rFonts w:ascii="Palatino Linotype" w:hAnsi="Palatino Linotype" w:cs="Tahoma"/>
          <w:sz w:val="22"/>
          <w:szCs w:val="22"/>
        </w:rPr>
        <w:t>s</w:t>
      </w:r>
      <w:r w:rsidR="000E307B" w:rsidRPr="00FF0608">
        <w:rPr>
          <w:rFonts w:ascii="Palatino Linotype" w:hAnsi="Palatino Linotype" w:cs="Tahoma"/>
          <w:sz w:val="22"/>
          <w:szCs w:val="22"/>
        </w:rPr>
        <w:t xml:space="preserve"> el día hábil siguiente), </w:t>
      </w:r>
      <w:r w:rsidR="00253EAE" w:rsidRPr="00FF0608">
        <w:rPr>
          <w:rFonts w:ascii="Palatino Linotype" w:hAnsi="Palatino Linotype" w:cs="Tahoma"/>
          <w:sz w:val="22"/>
          <w:szCs w:val="22"/>
        </w:rPr>
        <w:t>ante el</w:t>
      </w:r>
      <w:r w:rsidR="00A0395D" w:rsidRPr="00FF0608">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00253EAE" w:rsidRPr="00FF0608">
        <w:rPr>
          <w:rFonts w:ascii="Palatino Linotype" w:hAnsi="Palatino Linotype"/>
          <w:bCs/>
          <w:sz w:val="22"/>
          <w:szCs w:val="22"/>
        </w:rPr>
        <w:t>,</w:t>
      </w:r>
      <w:r w:rsidR="00253EAE" w:rsidRPr="00FF0608">
        <w:rPr>
          <w:rFonts w:ascii="Palatino Linotype" w:hAnsi="Palatino Linotype" w:cs="Tahoma"/>
          <w:bCs/>
          <w:sz w:val="22"/>
          <w:szCs w:val="22"/>
        </w:rPr>
        <w:t xml:space="preserve"> en los siguientes términos:</w:t>
      </w:r>
    </w:p>
    <w:p w14:paraId="122865B0" w14:textId="77777777" w:rsidR="00253EAE" w:rsidRPr="00FF0608" w:rsidRDefault="00253EAE" w:rsidP="00442CAA">
      <w:pPr>
        <w:autoSpaceDE w:val="0"/>
        <w:autoSpaceDN w:val="0"/>
        <w:adjustRightInd w:val="0"/>
        <w:spacing w:line="360" w:lineRule="auto"/>
        <w:jc w:val="both"/>
        <w:rPr>
          <w:rFonts w:ascii="Palatino Linotype" w:hAnsi="Palatino Linotype" w:cs="Tahoma"/>
          <w:bCs/>
          <w:sz w:val="22"/>
          <w:szCs w:val="22"/>
        </w:rPr>
      </w:pPr>
    </w:p>
    <w:p w14:paraId="767079BE" w14:textId="6199940B" w:rsidR="00521FD9" w:rsidRDefault="00521FD9" w:rsidP="00442CAA">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Solicitud de información </w:t>
      </w:r>
      <w:r w:rsidR="00790E96">
        <w:rPr>
          <w:rFonts w:ascii="Palatino Linotype" w:hAnsi="Palatino Linotype" w:cs="Tahoma"/>
          <w:b/>
          <w:bCs/>
          <w:i/>
        </w:rPr>
        <w:t>00818/TEPOTZOT/IP/2025</w:t>
      </w:r>
    </w:p>
    <w:p w14:paraId="32D1D69F" w14:textId="1AE24B53" w:rsidR="00253EAE" w:rsidRPr="00FF0608" w:rsidRDefault="003A796B" w:rsidP="00442CAA">
      <w:pPr>
        <w:tabs>
          <w:tab w:val="left" w:pos="4667"/>
        </w:tabs>
        <w:spacing w:line="360" w:lineRule="auto"/>
        <w:ind w:left="567" w:right="567"/>
        <w:jc w:val="both"/>
        <w:rPr>
          <w:rFonts w:ascii="Palatino Linotype" w:hAnsi="Palatino Linotype" w:cs="Tahoma"/>
          <w:b/>
          <w:bCs/>
          <w:i/>
        </w:rPr>
      </w:pPr>
      <w:r w:rsidRPr="00FF0608">
        <w:rPr>
          <w:rFonts w:ascii="Palatino Linotype" w:hAnsi="Palatino Linotype" w:cs="Tahoma"/>
          <w:b/>
          <w:bCs/>
          <w:i/>
        </w:rPr>
        <w:t>“</w:t>
      </w:r>
      <w:r w:rsidR="00253EAE" w:rsidRPr="00FF0608">
        <w:rPr>
          <w:rFonts w:ascii="Palatino Linotype" w:hAnsi="Palatino Linotype" w:cs="Tahoma"/>
          <w:b/>
          <w:bCs/>
          <w:i/>
        </w:rPr>
        <w:t>DESCRIPCIÓN CLARA Y PRECISA DE LA INFORMACIÓN SOLICITADA</w:t>
      </w:r>
    </w:p>
    <w:p w14:paraId="372368C1" w14:textId="59BBFA8C" w:rsidR="00253EAE" w:rsidRPr="00FF0608" w:rsidRDefault="00790E96" w:rsidP="00790E96">
      <w:pPr>
        <w:spacing w:line="360" w:lineRule="auto"/>
        <w:ind w:left="567" w:right="567"/>
        <w:jc w:val="both"/>
        <w:rPr>
          <w:rFonts w:ascii="Palatino Linotype" w:hAnsi="Palatino Linotype" w:cs="Arial"/>
          <w:bCs/>
          <w:i/>
          <w:iCs/>
        </w:rPr>
      </w:pPr>
      <w:r w:rsidRPr="00790E96">
        <w:rPr>
          <w:rFonts w:ascii="Palatino Linotype" w:hAnsi="Palatino Linotype" w:cs="Arial"/>
          <w:bCs/>
          <w:i/>
          <w:iCs/>
        </w:rPr>
        <w:t>¿Cuál es el desglose mensual del gasto ejercido por la Dirección de Desarrollo Urbano en 2024?</w:t>
      </w:r>
      <w:r w:rsidR="00253EAE" w:rsidRPr="00FF0608">
        <w:rPr>
          <w:rFonts w:ascii="Palatino Linotype" w:hAnsi="Palatino Linotype" w:cs="Arial"/>
          <w:bCs/>
          <w:i/>
          <w:iCs/>
        </w:rPr>
        <w:t>” (Sic.)</w:t>
      </w:r>
    </w:p>
    <w:p w14:paraId="1DBA1A78" w14:textId="77777777" w:rsidR="00A90989" w:rsidRPr="00FF0608" w:rsidRDefault="00A90989" w:rsidP="00442CAA">
      <w:pPr>
        <w:tabs>
          <w:tab w:val="left" w:pos="4667"/>
        </w:tabs>
        <w:spacing w:line="360" w:lineRule="auto"/>
        <w:ind w:left="567" w:right="567"/>
        <w:jc w:val="both"/>
        <w:rPr>
          <w:rFonts w:ascii="Palatino Linotype" w:hAnsi="Palatino Linotype" w:cs="Tahoma"/>
          <w:bCs/>
          <w:i/>
          <w:color w:val="FF0000"/>
        </w:rPr>
      </w:pPr>
    </w:p>
    <w:p w14:paraId="40B49947" w14:textId="74861D55" w:rsidR="00521FD9" w:rsidRDefault="00521FD9" w:rsidP="00521FD9">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Solicitud de información </w:t>
      </w:r>
      <w:r w:rsidR="00790E96">
        <w:rPr>
          <w:rFonts w:ascii="Palatino Linotype" w:hAnsi="Palatino Linotype" w:cs="Tahoma"/>
          <w:b/>
          <w:bCs/>
          <w:i/>
        </w:rPr>
        <w:t>00819/TEPOTZOT/IP/2025</w:t>
      </w:r>
    </w:p>
    <w:p w14:paraId="6B690BF6" w14:textId="77777777" w:rsidR="00521FD9" w:rsidRPr="00FF0608" w:rsidRDefault="00521FD9" w:rsidP="00521FD9">
      <w:pPr>
        <w:tabs>
          <w:tab w:val="left" w:pos="4667"/>
        </w:tabs>
        <w:spacing w:line="360" w:lineRule="auto"/>
        <w:ind w:left="567" w:right="567"/>
        <w:jc w:val="both"/>
        <w:rPr>
          <w:rFonts w:ascii="Palatino Linotype" w:hAnsi="Palatino Linotype" w:cs="Tahoma"/>
          <w:b/>
          <w:bCs/>
          <w:i/>
        </w:rPr>
      </w:pPr>
      <w:r w:rsidRPr="00FF0608">
        <w:rPr>
          <w:rFonts w:ascii="Palatino Linotype" w:hAnsi="Palatino Linotype" w:cs="Tahoma"/>
          <w:b/>
          <w:bCs/>
          <w:i/>
        </w:rPr>
        <w:t>“DESCRIPCIÓN CLARA Y PRECISA DE LA INFORMACIÓN SOLICITADA</w:t>
      </w:r>
    </w:p>
    <w:p w14:paraId="37FCCE09" w14:textId="398889DF" w:rsidR="00521FD9" w:rsidRPr="00FF0608" w:rsidRDefault="00790E96" w:rsidP="00790E96">
      <w:pPr>
        <w:spacing w:line="360" w:lineRule="auto"/>
        <w:ind w:left="567" w:right="567"/>
        <w:jc w:val="both"/>
        <w:rPr>
          <w:rFonts w:ascii="Palatino Linotype" w:hAnsi="Palatino Linotype" w:cs="Arial"/>
          <w:bCs/>
          <w:i/>
          <w:iCs/>
        </w:rPr>
      </w:pPr>
      <w:r w:rsidRPr="00790E96">
        <w:rPr>
          <w:rFonts w:ascii="Palatino Linotype" w:hAnsi="Palatino Linotype" w:cs="Arial"/>
          <w:bCs/>
          <w:i/>
          <w:iCs/>
        </w:rPr>
        <w:t>¿Cuál es el desglose mensual del gasto ejercido por la Dirección de Desarrollo Urbano en 2025?</w:t>
      </w:r>
      <w:r w:rsidR="00521FD9" w:rsidRPr="00FF0608">
        <w:rPr>
          <w:rFonts w:ascii="Palatino Linotype" w:hAnsi="Palatino Linotype" w:cs="Arial"/>
          <w:bCs/>
          <w:i/>
          <w:iCs/>
        </w:rPr>
        <w:t>” (Sic.)</w:t>
      </w:r>
    </w:p>
    <w:p w14:paraId="7878F7DF" w14:textId="77777777" w:rsidR="00521FD9" w:rsidRPr="00FF0608" w:rsidRDefault="00521FD9" w:rsidP="00521FD9">
      <w:pPr>
        <w:tabs>
          <w:tab w:val="left" w:pos="4667"/>
        </w:tabs>
        <w:spacing w:line="360" w:lineRule="auto"/>
        <w:ind w:left="567" w:right="567"/>
        <w:jc w:val="both"/>
        <w:rPr>
          <w:rFonts w:ascii="Palatino Linotype" w:hAnsi="Palatino Linotype" w:cs="Tahoma"/>
          <w:bCs/>
          <w:i/>
          <w:color w:val="FF0000"/>
        </w:rPr>
      </w:pPr>
    </w:p>
    <w:p w14:paraId="328702F2" w14:textId="2C75492B" w:rsidR="00253EAE" w:rsidRPr="00FF0608" w:rsidRDefault="003A796B" w:rsidP="00442CAA">
      <w:pPr>
        <w:tabs>
          <w:tab w:val="left" w:pos="4667"/>
        </w:tabs>
        <w:spacing w:line="360" w:lineRule="auto"/>
        <w:ind w:left="567" w:right="567"/>
        <w:jc w:val="both"/>
        <w:rPr>
          <w:rFonts w:ascii="Palatino Linotype" w:hAnsi="Palatino Linotype" w:cs="Tahoma"/>
          <w:b/>
          <w:bCs/>
          <w:i/>
          <w:iCs/>
        </w:rPr>
      </w:pPr>
      <w:r w:rsidRPr="00FF0608">
        <w:rPr>
          <w:rFonts w:ascii="Palatino Linotype" w:hAnsi="Palatino Linotype" w:cs="Tahoma"/>
          <w:b/>
          <w:bCs/>
          <w:i/>
          <w:iCs/>
        </w:rPr>
        <w:t>“</w:t>
      </w:r>
      <w:r w:rsidR="00253EAE" w:rsidRPr="00FF0608">
        <w:rPr>
          <w:rFonts w:ascii="Palatino Linotype" w:hAnsi="Palatino Linotype" w:cs="Tahoma"/>
          <w:b/>
          <w:bCs/>
          <w:i/>
          <w:iCs/>
        </w:rPr>
        <w:t>MODALIDAD DE ENTREGA</w:t>
      </w:r>
    </w:p>
    <w:p w14:paraId="6FF7D420" w14:textId="576E022F" w:rsidR="007E39E6" w:rsidRPr="00FF0608" w:rsidRDefault="00253EAE" w:rsidP="00B21723">
      <w:pPr>
        <w:spacing w:line="360" w:lineRule="auto"/>
        <w:ind w:left="567" w:right="567"/>
        <w:jc w:val="both"/>
        <w:rPr>
          <w:rFonts w:ascii="Palatino Linotype" w:hAnsi="Palatino Linotype" w:cs="Arial"/>
          <w:bCs/>
          <w:i/>
          <w:iCs/>
        </w:rPr>
      </w:pPr>
      <w:r w:rsidRPr="00FF0608">
        <w:rPr>
          <w:rFonts w:ascii="Palatino Linotype" w:hAnsi="Palatino Linotype" w:cs="Arial"/>
          <w:bCs/>
          <w:i/>
          <w:iCs/>
        </w:rPr>
        <w:t xml:space="preserve">A través del SAIMEX” </w:t>
      </w:r>
    </w:p>
    <w:p w14:paraId="3256ADAD" w14:textId="77777777" w:rsidR="00B21723" w:rsidRPr="00FF0608" w:rsidRDefault="00B21723" w:rsidP="00B21723">
      <w:pPr>
        <w:spacing w:line="360" w:lineRule="auto"/>
        <w:ind w:left="567" w:right="567"/>
        <w:jc w:val="both"/>
        <w:rPr>
          <w:rFonts w:ascii="Palatino Linotype" w:hAnsi="Palatino Linotype" w:cs="Arial"/>
          <w:bCs/>
          <w:i/>
          <w:iCs/>
          <w:color w:val="FF0000"/>
        </w:rPr>
      </w:pPr>
    </w:p>
    <w:p w14:paraId="4A453407" w14:textId="1B6E8428" w:rsidR="00F469B3" w:rsidRPr="00FF0608" w:rsidRDefault="00F469B3" w:rsidP="00442CAA">
      <w:pPr>
        <w:pStyle w:val="Ttulo2"/>
        <w:rPr>
          <w:color w:val="auto"/>
        </w:rPr>
      </w:pPr>
      <w:bookmarkStart w:id="2" w:name="_Toc216164926"/>
      <w:r w:rsidRPr="00FF0608">
        <w:rPr>
          <w:color w:val="auto"/>
        </w:rPr>
        <w:t>I</w:t>
      </w:r>
      <w:r w:rsidR="00B21723" w:rsidRPr="00FF0608">
        <w:rPr>
          <w:color w:val="auto"/>
        </w:rPr>
        <w:t>I</w:t>
      </w:r>
      <w:r w:rsidRPr="00FF0608">
        <w:rPr>
          <w:color w:val="auto"/>
        </w:rPr>
        <w:t>. Respuesta</w:t>
      </w:r>
      <w:r w:rsidR="00521FD9">
        <w:rPr>
          <w:color w:val="auto"/>
        </w:rPr>
        <w:t>s</w:t>
      </w:r>
      <w:r w:rsidRPr="00FF0608">
        <w:rPr>
          <w:color w:val="auto"/>
        </w:rPr>
        <w:t xml:space="preserve"> del Sujeto Obligado</w:t>
      </w:r>
      <w:bookmarkEnd w:id="2"/>
    </w:p>
    <w:p w14:paraId="4ED48BC3" w14:textId="77777777" w:rsidR="0053216F" w:rsidRPr="00FF0608"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FF0608" w:rsidRDefault="003942CB"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sz w:val="22"/>
          <w:szCs w:val="22"/>
          <w:lang w:eastAsia="en-US"/>
        </w:rPr>
        <w:t>De</w:t>
      </w:r>
      <w:r w:rsidR="004033AE" w:rsidRPr="00FF0608">
        <w:rPr>
          <w:rFonts w:ascii="Palatino Linotype" w:eastAsiaTheme="minorHAnsi" w:hAnsi="Palatino Linotype" w:cstheme="minorBidi"/>
          <w:sz w:val="22"/>
          <w:szCs w:val="22"/>
          <w:lang w:eastAsia="en-US"/>
        </w:rPr>
        <w:t xml:space="preserve"> conformidad con el artículo 163</w:t>
      </w:r>
      <w:r w:rsidRPr="00FF0608">
        <w:rPr>
          <w:rFonts w:ascii="Palatino Linotype" w:eastAsiaTheme="minorHAnsi" w:hAnsi="Palatino Linotype" w:cstheme="minorBidi"/>
          <w:sz w:val="22"/>
          <w:szCs w:val="22"/>
          <w:lang w:eastAsia="en-US"/>
        </w:rPr>
        <w:t>, párrafo primero de la Ley de Transparencia y Acceso a</w:t>
      </w:r>
    </w:p>
    <w:p w14:paraId="72793F33" w14:textId="49747CBC" w:rsidR="003942CB" w:rsidRPr="00FF0608" w:rsidRDefault="003942CB"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sz w:val="22"/>
          <w:szCs w:val="22"/>
          <w:lang w:eastAsia="en-US"/>
        </w:rPr>
        <w:t>la Información Pública del Estado de México y Municipios, el Sujeto Obligado debió dar contestación a 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acceso a la información; sin embargo, de las constancias que obran en el expediente electrónico del Sistema de Acceso a la Información Mexiquense (SAIMEX), se advierte que el</w:t>
      </w:r>
      <w:r w:rsidR="00A0395D" w:rsidRPr="00FF0608">
        <w:rPr>
          <w:rFonts w:ascii="Palatino Linotype" w:hAnsi="Palatino Linotype"/>
          <w:b/>
          <w:bCs/>
          <w:sz w:val="22"/>
          <w:szCs w:val="14"/>
        </w:rPr>
        <w:t xml:space="preserve"> </w:t>
      </w:r>
      <w:r w:rsidR="00790E96">
        <w:rPr>
          <w:rFonts w:ascii="Palatino Linotype" w:hAnsi="Palatino Linotype"/>
          <w:b/>
          <w:bCs/>
          <w:sz w:val="22"/>
          <w:szCs w:val="14"/>
        </w:rPr>
        <w:t>Ayuntamiento de Tepotzotlán</w:t>
      </w:r>
      <w:r w:rsidRPr="00FF0608">
        <w:rPr>
          <w:rFonts w:ascii="Palatino Linotype" w:eastAsiaTheme="minorHAnsi" w:hAnsi="Palatino Linotype" w:cstheme="minorBidi"/>
          <w:sz w:val="22"/>
          <w:szCs w:val="22"/>
          <w:lang w:eastAsia="en-US"/>
        </w:rPr>
        <w:t>, omitió dar respuesta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a 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información, por lo que se </w:t>
      </w:r>
      <w:r w:rsidRPr="00FF0608">
        <w:rPr>
          <w:rFonts w:ascii="Palatino Linotype" w:eastAsiaTheme="minorHAnsi" w:hAnsi="Palatino Linotype" w:cstheme="minorBidi"/>
          <w:b/>
          <w:sz w:val="22"/>
          <w:szCs w:val="22"/>
          <w:lang w:eastAsia="en-US"/>
        </w:rPr>
        <w:t>configura la negativa ficta</w:t>
      </w:r>
      <w:r w:rsidRPr="00FF0608">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F0608"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FF0608" w:rsidRDefault="00B21723" w:rsidP="00442CAA">
      <w:pPr>
        <w:pStyle w:val="Ttulo2"/>
        <w:rPr>
          <w:color w:val="auto"/>
          <w:lang w:eastAsia="en-US"/>
        </w:rPr>
      </w:pPr>
      <w:bookmarkStart w:id="3" w:name="_Toc216164927"/>
      <w:r w:rsidRPr="00FF0608">
        <w:rPr>
          <w:color w:val="auto"/>
          <w:lang w:eastAsia="en-US"/>
        </w:rPr>
        <w:t>III</w:t>
      </w:r>
      <w:r w:rsidR="00F469B3" w:rsidRPr="00FF0608">
        <w:rPr>
          <w:color w:val="auto"/>
          <w:lang w:eastAsia="en-US"/>
        </w:rPr>
        <w:t>. Interposición del Recurso de Revisión</w:t>
      </w:r>
      <w:bookmarkEnd w:id="3"/>
    </w:p>
    <w:p w14:paraId="356E2604" w14:textId="77777777" w:rsidR="00F469B3" w:rsidRPr="00FF0608"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43545533" w:rsidR="00F469B3" w:rsidRPr="00FF0608" w:rsidRDefault="00B4118B" w:rsidP="00442CAA">
      <w:pPr>
        <w:spacing w:line="360" w:lineRule="auto"/>
        <w:jc w:val="both"/>
        <w:rPr>
          <w:rFonts w:ascii="Palatino Linotype" w:eastAsiaTheme="minorHAnsi" w:hAnsi="Palatino Linotype" w:cs="Tahoma"/>
          <w:sz w:val="22"/>
          <w:szCs w:val="22"/>
          <w:lang w:val="es-ES" w:eastAsia="en-US"/>
        </w:rPr>
      </w:pPr>
      <w:r w:rsidRPr="00FF0608">
        <w:rPr>
          <w:rFonts w:ascii="Palatino Linotype" w:eastAsiaTheme="minorHAnsi" w:hAnsi="Palatino Linotype" w:cs="Tahoma"/>
          <w:sz w:val="22"/>
          <w:szCs w:val="22"/>
          <w:lang w:eastAsia="en-US"/>
        </w:rPr>
        <w:t>El</w:t>
      </w:r>
      <w:r w:rsidR="00F469B3" w:rsidRPr="00FF0608">
        <w:rPr>
          <w:rFonts w:ascii="Palatino Linotype" w:eastAsiaTheme="minorHAnsi" w:hAnsi="Palatino Linotype" w:cs="Tahoma"/>
          <w:sz w:val="22"/>
          <w:szCs w:val="22"/>
          <w:lang w:eastAsia="en-US"/>
        </w:rPr>
        <w:t xml:space="preserve"> </w:t>
      </w:r>
      <w:r w:rsidR="00790E96">
        <w:rPr>
          <w:rFonts w:ascii="Palatino Linotype" w:eastAsiaTheme="minorHAnsi" w:hAnsi="Palatino Linotype" w:cs="Tahoma"/>
          <w:sz w:val="22"/>
          <w:szCs w:val="22"/>
          <w:lang w:eastAsia="en-US"/>
        </w:rPr>
        <w:t>cuatro de diciembre</w:t>
      </w:r>
      <w:r w:rsidR="00F47495" w:rsidRPr="00FF0608">
        <w:rPr>
          <w:rFonts w:ascii="Palatino Linotype" w:eastAsiaTheme="minorHAnsi" w:hAnsi="Palatino Linotype" w:cs="Tahoma"/>
          <w:sz w:val="22"/>
          <w:szCs w:val="22"/>
          <w:lang w:eastAsia="en-US"/>
        </w:rPr>
        <w:t xml:space="preserve"> </w:t>
      </w:r>
      <w:r w:rsidR="001942FF" w:rsidRPr="00FF0608">
        <w:rPr>
          <w:rFonts w:ascii="Palatino Linotype" w:eastAsiaTheme="minorHAnsi" w:hAnsi="Palatino Linotype" w:cs="Tahoma"/>
          <w:sz w:val="22"/>
          <w:szCs w:val="22"/>
          <w:lang w:eastAsia="en-US"/>
        </w:rPr>
        <w:t xml:space="preserve">de </w:t>
      </w:r>
      <w:r w:rsidR="00CF2FD4" w:rsidRPr="00FF0608">
        <w:rPr>
          <w:rFonts w:ascii="Palatino Linotype" w:hAnsi="Palatino Linotype" w:cs="Tahoma"/>
          <w:bCs/>
          <w:iCs/>
          <w:sz w:val="22"/>
          <w:szCs w:val="22"/>
        </w:rPr>
        <w:t>mil veintic</w:t>
      </w:r>
      <w:r w:rsidR="003E16CF" w:rsidRPr="00FF0608">
        <w:rPr>
          <w:rFonts w:ascii="Palatino Linotype" w:hAnsi="Palatino Linotype" w:cs="Tahoma"/>
          <w:bCs/>
          <w:iCs/>
          <w:sz w:val="22"/>
          <w:szCs w:val="22"/>
        </w:rPr>
        <w:t>inco</w:t>
      </w:r>
      <w:r w:rsidR="00F469B3" w:rsidRPr="00FF0608">
        <w:rPr>
          <w:rFonts w:ascii="Palatino Linotype" w:eastAsiaTheme="minorHAnsi" w:hAnsi="Palatino Linotype" w:cs="Tahoma"/>
          <w:sz w:val="22"/>
          <w:szCs w:val="22"/>
          <w:lang w:eastAsia="en-US"/>
        </w:rPr>
        <w:t xml:space="preserve">, </w:t>
      </w:r>
      <w:r w:rsidR="00F469B3" w:rsidRPr="00FF0608">
        <w:rPr>
          <w:rFonts w:ascii="Palatino Linotype" w:eastAsiaTheme="minorHAnsi" w:hAnsi="Palatino Linotype" w:cs="Tahoma"/>
          <w:sz w:val="22"/>
          <w:szCs w:val="22"/>
          <w:lang w:val="es-ES" w:eastAsia="en-US"/>
        </w:rPr>
        <w:t xml:space="preserve">el Particular interpuso </w:t>
      </w:r>
      <w:r w:rsidR="00521FD9">
        <w:rPr>
          <w:rFonts w:ascii="Palatino Linotype" w:eastAsiaTheme="minorHAnsi" w:hAnsi="Palatino Linotype" w:cs="Tahoma"/>
          <w:sz w:val="22"/>
          <w:szCs w:val="22"/>
          <w:lang w:val="es-ES" w:eastAsia="en-US"/>
        </w:rPr>
        <w:t>dos</w:t>
      </w:r>
      <w:r w:rsidR="00F469B3" w:rsidRPr="00FF0608">
        <w:rPr>
          <w:rFonts w:ascii="Palatino Linotype" w:eastAsiaTheme="minorHAnsi" w:hAnsi="Palatino Linotype" w:cs="Tahoma"/>
          <w:sz w:val="22"/>
          <w:szCs w:val="22"/>
          <w:lang w:val="es-ES" w:eastAsia="en-US"/>
        </w:rPr>
        <w:t xml:space="preserve"> Recurso de Revisión ante este Instituto, a través del Sistema de Acceso a la I</w:t>
      </w:r>
      <w:r w:rsidR="00F47495" w:rsidRPr="00FF0608">
        <w:rPr>
          <w:rFonts w:ascii="Palatino Linotype" w:eastAsiaTheme="minorHAnsi" w:hAnsi="Palatino Linotype" w:cs="Tahoma"/>
          <w:sz w:val="22"/>
          <w:szCs w:val="22"/>
          <w:lang w:val="es-ES" w:eastAsia="en-US"/>
        </w:rPr>
        <w:t>nformación Mexiquense (SAIMEX)</w:t>
      </w:r>
      <w:r w:rsidR="001942FF" w:rsidRPr="00FF0608">
        <w:rPr>
          <w:rFonts w:ascii="Palatino Linotype" w:eastAsiaTheme="minorHAnsi" w:hAnsi="Palatino Linotype" w:cs="Tahoma"/>
          <w:sz w:val="22"/>
          <w:szCs w:val="22"/>
          <w:lang w:val="es-ES" w:eastAsia="en-US"/>
        </w:rPr>
        <w:t xml:space="preserve">, </w:t>
      </w:r>
      <w:r w:rsidR="00F469B3" w:rsidRPr="00FF0608">
        <w:rPr>
          <w:rFonts w:ascii="Palatino Linotype" w:eastAsiaTheme="minorHAnsi" w:hAnsi="Palatino Linotype" w:cs="Tahoma"/>
          <w:sz w:val="22"/>
          <w:szCs w:val="22"/>
          <w:lang w:val="es-ES" w:eastAsia="en-US"/>
        </w:rPr>
        <w:t xml:space="preserve">en contra de la </w:t>
      </w:r>
      <w:r w:rsidR="00542F88" w:rsidRPr="00FF0608">
        <w:rPr>
          <w:rFonts w:ascii="Palatino Linotype" w:eastAsiaTheme="minorHAnsi" w:hAnsi="Palatino Linotype" w:cs="Tahoma"/>
          <w:sz w:val="22"/>
          <w:szCs w:val="22"/>
          <w:lang w:val="es-ES" w:eastAsia="en-US"/>
        </w:rPr>
        <w:t xml:space="preserve">falta de </w:t>
      </w:r>
      <w:r w:rsidR="00F469B3" w:rsidRPr="00FF0608">
        <w:rPr>
          <w:rFonts w:ascii="Palatino Linotype" w:eastAsiaTheme="minorHAnsi" w:hAnsi="Palatino Linotype" w:cs="Tahoma"/>
          <w:sz w:val="22"/>
          <w:szCs w:val="22"/>
          <w:lang w:val="es-ES" w:eastAsia="en-US"/>
        </w:rPr>
        <w:t>respuesta por el</w:t>
      </w:r>
      <w:r w:rsidR="00542F88" w:rsidRPr="00FF0608">
        <w:rPr>
          <w:rFonts w:ascii="Palatino Linotype" w:eastAsia="Calibri" w:hAnsi="Palatino Linotype" w:cs="Tahoma"/>
          <w:sz w:val="22"/>
          <w:szCs w:val="22"/>
          <w:lang w:eastAsia="en-US"/>
        </w:rPr>
        <w:t xml:space="preserve"> Sujeto Obligado</w:t>
      </w:r>
      <w:r w:rsidR="00F469B3" w:rsidRPr="00FF0608">
        <w:rPr>
          <w:rFonts w:ascii="Palatino Linotype" w:eastAsiaTheme="minorHAnsi" w:hAnsi="Palatino Linotype" w:cs="Tahoma"/>
          <w:sz w:val="22"/>
          <w:szCs w:val="22"/>
          <w:lang w:val="es-ES" w:eastAsia="en-US"/>
        </w:rPr>
        <w:t>, a la</w:t>
      </w:r>
      <w:r w:rsidR="00521FD9">
        <w:rPr>
          <w:rFonts w:ascii="Palatino Linotype" w:eastAsiaTheme="minorHAnsi" w:hAnsi="Palatino Linotype" w:cs="Tahoma"/>
          <w:sz w:val="22"/>
          <w:szCs w:val="22"/>
          <w:lang w:val="es-ES" w:eastAsia="en-US"/>
        </w:rPr>
        <w:t>s</w:t>
      </w:r>
      <w:r w:rsidR="00F469B3" w:rsidRPr="00FF0608">
        <w:rPr>
          <w:rFonts w:ascii="Palatino Linotype" w:eastAsiaTheme="minorHAnsi" w:hAnsi="Palatino Linotype" w:cs="Tahoma"/>
          <w:sz w:val="22"/>
          <w:szCs w:val="22"/>
          <w:lang w:val="es-ES" w:eastAsia="en-US"/>
        </w:rPr>
        <w:t xml:space="preserve"> solicitud</w:t>
      </w:r>
      <w:r w:rsidR="00521FD9">
        <w:rPr>
          <w:rFonts w:ascii="Palatino Linotype" w:eastAsiaTheme="minorHAnsi" w:hAnsi="Palatino Linotype" w:cs="Tahoma"/>
          <w:sz w:val="22"/>
          <w:szCs w:val="22"/>
          <w:lang w:val="es-ES" w:eastAsia="en-US"/>
        </w:rPr>
        <w:t>es</w:t>
      </w:r>
      <w:r w:rsidR="00F469B3" w:rsidRPr="00FF0608">
        <w:rPr>
          <w:rFonts w:ascii="Palatino Linotype" w:eastAsiaTheme="minorHAnsi" w:hAnsi="Palatino Linotype" w:cs="Tahoma"/>
          <w:sz w:val="22"/>
          <w:szCs w:val="22"/>
          <w:lang w:val="es-ES" w:eastAsia="en-US"/>
        </w:rPr>
        <w:t xml:space="preserve"> de información</w:t>
      </w:r>
      <w:r w:rsidR="00EB0141" w:rsidRPr="00FF0608">
        <w:rPr>
          <w:rFonts w:ascii="Palatino Linotype" w:eastAsiaTheme="minorHAnsi" w:hAnsi="Palatino Linotype" w:cs="Tahoma"/>
          <w:sz w:val="22"/>
          <w:szCs w:val="22"/>
          <w:lang w:val="es-ES" w:eastAsia="en-US"/>
        </w:rPr>
        <w:t>,</w:t>
      </w:r>
      <w:r w:rsidR="00F469B3" w:rsidRPr="00FF0608">
        <w:rPr>
          <w:rFonts w:ascii="Palatino Linotype" w:eastAsiaTheme="minorHAnsi" w:hAnsi="Palatino Linotype" w:cs="Tahoma"/>
          <w:sz w:val="22"/>
          <w:szCs w:val="22"/>
          <w:lang w:val="es-ES" w:eastAsia="en-US"/>
        </w:rPr>
        <w:t xml:space="preserve"> en los siguientes términos: </w:t>
      </w:r>
    </w:p>
    <w:p w14:paraId="0B7A443C" w14:textId="77777777" w:rsidR="00F469B3"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4171B0FD" w14:textId="77777777" w:rsidR="00CE7533" w:rsidRPr="00FF0608" w:rsidRDefault="00CE753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4B36DD4F" w14:textId="2A7D274B" w:rsidR="00521FD9" w:rsidRDefault="00521FD9" w:rsidP="00442CAA">
      <w:pPr>
        <w:spacing w:line="360" w:lineRule="auto"/>
        <w:ind w:left="567" w:right="567"/>
        <w:jc w:val="both"/>
        <w:rPr>
          <w:rFonts w:ascii="Palatino Linotype" w:eastAsiaTheme="minorHAnsi" w:hAnsi="Palatino Linotype" w:cstheme="minorBidi"/>
          <w:b/>
          <w:bCs/>
          <w:i/>
          <w:lang w:eastAsia="en-US"/>
        </w:rPr>
      </w:pPr>
      <w:r w:rsidRPr="00521FD9">
        <w:rPr>
          <w:rFonts w:ascii="Palatino Linotype" w:eastAsiaTheme="minorHAnsi" w:hAnsi="Palatino Linotype" w:cstheme="minorBidi"/>
          <w:b/>
          <w:bCs/>
          <w:i/>
          <w:lang w:eastAsia="en-US"/>
        </w:rPr>
        <w:t xml:space="preserve">Solicitud de información </w:t>
      </w:r>
      <w:r w:rsidR="00790E96">
        <w:rPr>
          <w:rFonts w:ascii="Palatino Linotype" w:eastAsiaTheme="minorHAnsi" w:hAnsi="Palatino Linotype" w:cstheme="minorBidi"/>
          <w:b/>
          <w:bCs/>
          <w:i/>
          <w:lang w:eastAsia="en-US"/>
        </w:rPr>
        <w:t>00818/TEPOTZOT/IP/2025</w:t>
      </w:r>
    </w:p>
    <w:p w14:paraId="4AA37217" w14:textId="4AF2DDB6" w:rsidR="00521FD9" w:rsidRDefault="00521FD9" w:rsidP="00442CAA">
      <w:pPr>
        <w:spacing w:line="360" w:lineRule="auto"/>
        <w:ind w:left="567" w:right="567"/>
        <w:jc w:val="both"/>
        <w:rPr>
          <w:rFonts w:ascii="Palatino Linotype" w:eastAsiaTheme="minorHAnsi" w:hAnsi="Palatino Linotype" w:cstheme="minorBidi"/>
          <w:b/>
          <w:bCs/>
          <w:i/>
          <w:lang w:eastAsia="en-US"/>
        </w:rPr>
      </w:pPr>
      <w:r>
        <w:rPr>
          <w:rFonts w:ascii="Palatino Linotype" w:eastAsiaTheme="minorHAnsi" w:hAnsi="Palatino Linotype" w:cstheme="minorBidi"/>
          <w:b/>
          <w:bCs/>
          <w:i/>
          <w:lang w:eastAsia="en-US"/>
        </w:rPr>
        <w:t xml:space="preserve">Recurso de Revisión </w:t>
      </w:r>
      <w:r w:rsidR="00790E96">
        <w:rPr>
          <w:rFonts w:ascii="Palatino Linotype" w:eastAsiaTheme="minorHAnsi" w:hAnsi="Palatino Linotype" w:cstheme="minorBidi"/>
          <w:b/>
          <w:bCs/>
          <w:i/>
          <w:lang w:eastAsia="en-US"/>
        </w:rPr>
        <w:t>13586</w:t>
      </w:r>
      <w:r w:rsidRPr="00521FD9">
        <w:rPr>
          <w:rFonts w:ascii="Palatino Linotype" w:eastAsiaTheme="minorHAnsi" w:hAnsi="Palatino Linotype" w:cstheme="minorBidi"/>
          <w:b/>
          <w:bCs/>
          <w:i/>
          <w:lang w:eastAsia="en-US"/>
        </w:rPr>
        <w:t>/INFOEM/IP/RR/2025</w:t>
      </w:r>
    </w:p>
    <w:p w14:paraId="6C986C50" w14:textId="2FDCF885" w:rsidR="00F469B3" w:rsidRPr="00FF0608" w:rsidRDefault="00A90989" w:rsidP="00442CAA">
      <w:pPr>
        <w:spacing w:line="360" w:lineRule="auto"/>
        <w:ind w:left="567" w:right="567"/>
        <w:jc w:val="both"/>
        <w:rPr>
          <w:rFonts w:ascii="Palatino Linotype" w:eastAsiaTheme="minorHAnsi" w:hAnsi="Palatino Linotype" w:cstheme="minorBidi"/>
          <w:bCs/>
          <w:i/>
          <w:lang w:eastAsia="en-US"/>
        </w:rPr>
      </w:pPr>
      <w:r w:rsidRPr="00FF0608">
        <w:rPr>
          <w:rFonts w:ascii="Palatino Linotype" w:eastAsiaTheme="minorHAnsi" w:hAnsi="Palatino Linotype" w:cstheme="minorBidi"/>
          <w:b/>
          <w:bCs/>
          <w:i/>
          <w:lang w:eastAsia="en-US"/>
        </w:rPr>
        <w:t>“</w:t>
      </w:r>
      <w:r w:rsidR="00F469B3" w:rsidRPr="00FF0608">
        <w:rPr>
          <w:rFonts w:ascii="Palatino Linotype" w:eastAsiaTheme="minorHAnsi" w:hAnsi="Palatino Linotype" w:cstheme="minorBidi"/>
          <w:b/>
          <w:bCs/>
          <w:i/>
          <w:lang w:eastAsia="en-US"/>
        </w:rPr>
        <w:t>ACTO IMPUGNADO</w:t>
      </w:r>
    </w:p>
    <w:p w14:paraId="2E8033F2" w14:textId="153D87A2" w:rsidR="00F469B3" w:rsidRPr="00FF0608" w:rsidRDefault="00790E96" w:rsidP="00B07F56">
      <w:pPr>
        <w:spacing w:line="360" w:lineRule="auto"/>
        <w:ind w:left="567" w:right="567"/>
        <w:jc w:val="both"/>
        <w:rPr>
          <w:rFonts w:ascii="Palatino Linotype" w:eastAsiaTheme="minorHAnsi" w:hAnsi="Palatino Linotype" w:cstheme="minorBidi"/>
          <w:i/>
          <w:lang w:eastAsia="en-US"/>
        </w:rPr>
      </w:pPr>
      <w:r w:rsidRPr="00790E96">
        <w:rPr>
          <w:rFonts w:ascii="Palatino Linotype" w:eastAsiaTheme="minorHAnsi" w:hAnsi="Palatino Linotype" w:cstheme="minorBidi"/>
          <w:i/>
          <w:lang w:eastAsia="en-US"/>
        </w:rPr>
        <w:t>¿Cuál es el desglose mensual del gasto ejercido por la Dirección de Desarrollo Urbano en 2024?</w:t>
      </w:r>
      <w:r w:rsidR="009544A4" w:rsidRPr="00FF0608">
        <w:rPr>
          <w:rFonts w:ascii="Palatino Linotype" w:eastAsiaTheme="minorHAnsi" w:hAnsi="Palatino Linotype" w:cstheme="minorBidi"/>
          <w:i/>
          <w:lang w:eastAsia="en-US"/>
        </w:rPr>
        <w:t>”</w:t>
      </w:r>
      <w:r w:rsidR="00C176C1" w:rsidRPr="00FF0608">
        <w:rPr>
          <w:rFonts w:ascii="Palatino Linotype" w:eastAsiaTheme="minorHAnsi" w:hAnsi="Palatino Linotype" w:cstheme="minorBidi"/>
          <w:i/>
          <w:lang w:eastAsia="en-US"/>
        </w:rPr>
        <w:t xml:space="preserve"> </w:t>
      </w:r>
      <w:r w:rsidR="000E307B" w:rsidRPr="00FF0608">
        <w:rPr>
          <w:rFonts w:ascii="Palatino Linotype" w:eastAsiaTheme="minorHAnsi" w:hAnsi="Palatino Linotype" w:cstheme="minorBidi"/>
          <w:i/>
          <w:lang w:eastAsia="en-US"/>
        </w:rPr>
        <w:t>(Sic)</w:t>
      </w:r>
    </w:p>
    <w:p w14:paraId="344FD83C" w14:textId="77777777" w:rsidR="00474ED7" w:rsidRPr="00FF0608"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FF0608" w:rsidRDefault="00A90989" w:rsidP="00442CAA">
      <w:pPr>
        <w:spacing w:line="360" w:lineRule="auto"/>
        <w:ind w:left="567" w:right="567"/>
        <w:rPr>
          <w:rFonts w:ascii="Palatino Linotype" w:hAnsi="Palatino Linotype" w:cs="Tahoma"/>
          <w:b/>
          <w:bCs/>
          <w:i/>
        </w:rPr>
      </w:pPr>
      <w:r w:rsidRPr="00FF0608">
        <w:rPr>
          <w:rFonts w:ascii="Palatino Linotype" w:hAnsi="Palatino Linotype" w:cs="Tahoma"/>
          <w:b/>
          <w:bCs/>
          <w:i/>
        </w:rPr>
        <w:t>“</w:t>
      </w:r>
      <w:r w:rsidR="00EB0141" w:rsidRPr="00FF0608">
        <w:rPr>
          <w:rFonts w:ascii="Palatino Linotype" w:hAnsi="Palatino Linotype" w:cs="Tahoma"/>
          <w:b/>
          <w:bCs/>
          <w:i/>
        </w:rPr>
        <w:t>RAZONES O MOTIVOS DE LA INCONFORMIDAD</w:t>
      </w:r>
    </w:p>
    <w:p w14:paraId="0D5EAC0A" w14:textId="42EB4B09" w:rsidR="00D94A9F" w:rsidRPr="00FF0608" w:rsidRDefault="00790E96" w:rsidP="00D94A9F">
      <w:pPr>
        <w:spacing w:line="360" w:lineRule="auto"/>
        <w:ind w:left="567" w:right="567"/>
        <w:jc w:val="both"/>
        <w:rPr>
          <w:rFonts w:ascii="Palatino Linotype" w:eastAsiaTheme="minorHAnsi" w:hAnsi="Palatino Linotype" w:cstheme="minorBidi"/>
          <w:i/>
          <w:lang w:eastAsia="en-US"/>
        </w:rPr>
      </w:pPr>
      <w:r w:rsidRPr="00790E96">
        <w:rPr>
          <w:rFonts w:ascii="Palatino Linotype" w:eastAsiaTheme="minorHAnsi" w:hAnsi="Palatino Linotype" w:cstheme="minorBidi"/>
          <w:i/>
          <w:lang w:eastAsia="en-US"/>
        </w:rPr>
        <w:t>Agravio 1 — Violación al derecho de acceso a la información. Al no responder la solicitud, se está impidiendo el acceso a información pública de relevancia sobre el uso de recursos públicos en materia de desarrollo urbano, lo cual contraviene el principio de máxima publicidad. Agravio 2 — Incumplimiento de plazos legales. La omisión representa un incumplimiento absoluto de los plazos y procedimientos previstos en la ley de transparencia, sin justificación, lo que implica una conducta contraria a derecho. Agravio 3 — Falta de motivación y fundamentación. No haberse notificado rechazo, prórroga o requerimiento de aclaración exhibe una falta total de fundamentación, vulnerando la garantía de debido procedimiento. Por lo anterior, solicito al INFOEM: 1. Que se declare procedente el recurso de revisión. 2. Que se requiera al Ayuntamiento de Tepotzotlán para que en un plazo legal –sea de inmediato o conforme a ley– entregue el desglose mensual del gasto ejercido en 2024 por la Dirección de Desarrollo Urbano, especificando montos, conceptos, fechas y comprobantes de gasto o transferencias, según corresponda. 3. Que se impongan las sanciones correspondientes por la omisión de respuesta, si la normativa lo prevé, y se garantice mi derecho de acceso efectivo a la información.</w:t>
      </w:r>
      <w:r w:rsidR="00D94A9F" w:rsidRPr="00FF0608">
        <w:rPr>
          <w:rFonts w:ascii="Palatino Linotype" w:eastAsiaTheme="minorHAnsi" w:hAnsi="Palatino Linotype" w:cstheme="minorBidi"/>
          <w:i/>
          <w:lang w:eastAsia="en-US"/>
        </w:rPr>
        <w:t>” (Sic)</w:t>
      </w:r>
    </w:p>
    <w:p w14:paraId="25F0439D" w14:textId="77777777" w:rsidR="00D94A9F" w:rsidRDefault="00D94A9F" w:rsidP="00442CAA">
      <w:pPr>
        <w:spacing w:line="360" w:lineRule="auto"/>
        <w:ind w:left="567" w:right="567"/>
        <w:rPr>
          <w:rFonts w:ascii="Palatino Linotype" w:hAnsi="Palatino Linotype" w:cs="Tahoma"/>
          <w:b/>
          <w:bCs/>
          <w:i/>
          <w:color w:val="FF0000"/>
        </w:rPr>
      </w:pPr>
    </w:p>
    <w:p w14:paraId="63F773CE" w14:textId="67A676F6" w:rsidR="00521FD9" w:rsidRDefault="00521FD9" w:rsidP="00521FD9">
      <w:pPr>
        <w:spacing w:line="360" w:lineRule="auto"/>
        <w:ind w:left="567" w:right="567"/>
        <w:jc w:val="both"/>
        <w:rPr>
          <w:rFonts w:ascii="Palatino Linotype" w:eastAsiaTheme="minorHAnsi" w:hAnsi="Palatino Linotype" w:cstheme="minorBidi"/>
          <w:b/>
          <w:bCs/>
          <w:i/>
          <w:lang w:eastAsia="en-US"/>
        </w:rPr>
      </w:pPr>
      <w:r w:rsidRPr="00521FD9">
        <w:rPr>
          <w:rFonts w:ascii="Palatino Linotype" w:eastAsiaTheme="minorHAnsi" w:hAnsi="Palatino Linotype" w:cstheme="minorBidi"/>
          <w:b/>
          <w:bCs/>
          <w:i/>
          <w:lang w:eastAsia="en-US"/>
        </w:rPr>
        <w:t xml:space="preserve">Solicitud de información </w:t>
      </w:r>
      <w:r w:rsidR="00790E96">
        <w:rPr>
          <w:rFonts w:ascii="Palatino Linotype" w:eastAsiaTheme="minorHAnsi" w:hAnsi="Palatino Linotype" w:cstheme="minorBidi"/>
          <w:b/>
          <w:bCs/>
          <w:i/>
          <w:lang w:eastAsia="en-US"/>
        </w:rPr>
        <w:t>00819/TEPOTZOT/IP/2025</w:t>
      </w:r>
    </w:p>
    <w:p w14:paraId="27229B2D" w14:textId="459B3EDB" w:rsidR="00521FD9" w:rsidRDefault="00521FD9" w:rsidP="00521FD9">
      <w:pPr>
        <w:spacing w:line="360" w:lineRule="auto"/>
        <w:ind w:left="567" w:right="567"/>
        <w:jc w:val="both"/>
        <w:rPr>
          <w:rFonts w:ascii="Palatino Linotype" w:eastAsiaTheme="minorHAnsi" w:hAnsi="Palatino Linotype" w:cstheme="minorBidi"/>
          <w:b/>
          <w:bCs/>
          <w:i/>
          <w:lang w:eastAsia="en-US"/>
        </w:rPr>
      </w:pPr>
      <w:r>
        <w:rPr>
          <w:rFonts w:ascii="Palatino Linotype" w:eastAsiaTheme="minorHAnsi" w:hAnsi="Palatino Linotype" w:cstheme="minorBidi"/>
          <w:b/>
          <w:bCs/>
          <w:i/>
          <w:lang w:eastAsia="en-US"/>
        </w:rPr>
        <w:t xml:space="preserve">Recurso de Revisión </w:t>
      </w:r>
      <w:r w:rsidR="00790E96">
        <w:rPr>
          <w:rFonts w:ascii="Palatino Linotype" w:eastAsiaTheme="minorHAnsi" w:hAnsi="Palatino Linotype" w:cstheme="minorBidi"/>
          <w:b/>
          <w:bCs/>
          <w:i/>
          <w:lang w:eastAsia="en-US"/>
        </w:rPr>
        <w:t>13587</w:t>
      </w:r>
      <w:r w:rsidRPr="00521FD9">
        <w:rPr>
          <w:rFonts w:ascii="Palatino Linotype" w:eastAsiaTheme="minorHAnsi" w:hAnsi="Palatino Linotype" w:cstheme="minorBidi"/>
          <w:b/>
          <w:bCs/>
          <w:i/>
          <w:lang w:eastAsia="en-US"/>
        </w:rPr>
        <w:t>/INFOEM/IP/RR/2025</w:t>
      </w:r>
    </w:p>
    <w:p w14:paraId="298E88E7" w14:textId="77777777" w:rsidR="00521FD9" w:rsidRPr="00FF0608" w:rsidRDefault="00521FD9" w:rsidP="00521FD9">
      <w:pPr>
        <w:spacing w:line="360" w:lineRule="auto"/>
        <w:ind w:left="567" w:right="567"/>
        <w:jc w:val="both"/>
        <w:rPr>
          <w:rFonts w:ascii="Palatino Linotype" w:eastAsiaTheme="minorHAnsi" w:hAnsi="Palatino Linotype" w:cstheme="minorBidi"/>
          <w:bCs/>
          <w:i/>
          <w:lang w:eastAsia="en-US"/>
        </w:rPr>
      </w:pPr>
      <w:r w:rsidRPr="00FF0608">
        <w:rPr>
          <w:rFonts w:ascii="Palatino Linotype" w:eastAsiaTheme="minorHAnsi" w:hAnsi="Palatino Linotype" w:cstheme="minorBidi"/>
          <w:b/>
          <w:bCs/>
          <w:i/>
          <w:lang w:eastAsia="en-US"/>
        </w:rPr>
        <w:t>“ACTO IMPUGNADO</w:t>
      </w:r>
    </w:p>
    <w:p w14:paraId="5C26D052" w14:textId="63AD925E" w:rsidR="00521FD9" w:rsidRPr="00FF0608" w:rsidRDefault="00790E96" w:rsidP="00521FD9">
      <w:pPr>
        <w:spacing w:line="360" w:lineRule="auto"/>
        <w:ind w:left="567" w:right="567"/>
        <w:jc w:val="both"/>
        <w:rPr>
          <w:rFonts w:ascii="Palatino Linotype" w:eastAsiaTheme="minorHAnsi" w:hAnsi="Palatino Linotype" w:cstheme="minorBidi"/>
          <w:i/>
          <w:lang w:eastAsia="en-US"/>
        </w:rPr>
      </w:pPr>
      <w:r w:rsidRPr="00790E96">
        <w:rPr>
          <w:rFonts w:ascii="Palatino Linotype" w:eastAsiaTheme="minorHAnsi" w:hAnsi="Palatino Linotype" w:cstheme="minorBidi"/>
          <w:i/>
          <w:lang w:eastAsia="en-US"/>
        </w:rPr>
        <w:t>¿Cuál es el desglose mensual del gasto ejercido por la Dirección de Desarrollo Urbano en 2025?</w:t>
      </w:r>
      <w:r w:rsidR="00521FD9" w:rsidRPr="00FF0608">
        <w:rPr>
          <w:rFonts w:ascii="Palatino Linotype" w:eastAsiaTheme="minorHAnsi" w:hAnsi="Palatino Linotype" w:cstheme="minorBidi"/>
          <w:i/>
          <w:lang w:eastAsia="en-US"/>
        </w:rPr>
        <w:t>” (Sic)</w:t>
      </w:r>
    </w:p>
    <w:p w14:paraId="172226DC" w14:textId="77777777" w:rsidR="00886C30" w:rsidRDefault="00886C30" w:rsidP="00521FD9">
      <w:pPr>
        <w:spacing w:line="360" w:lineRule="auto"/>
        <w:ind w:left="567" w:right="567"/>
        <w:jc w:val="both"/>
        <w:rPr>
          <w:rFonts w:ascii="Palatino Linotype" w:eastAsiaTheme="minorHAnsi" w:hAnsi="Palatino Linotype" w:cstheme="minorBidi"/>
          <w:i/>
          <w:lang w:eastAsia="en-US"/>
        </w:rPr>
      </w:pPr>
    </w:p>
    <w:p w14:paraId="03720114" w14:textId="77777777" w:rsidR="00CE7533" w:rsidRPr="00FF0608" w:rsidRDefault="00CE7533" w:rsidP="00521FD9">
      <w:pPr>
        <w:spacing w:line="360" w:lineRule="auto"/>
        <w:ind w:left="567" w:right="567"/>
        <w:jc w:val="both"/>
        <w:rPr>
          <w:rFonts w:ascii="Palatino Linotype" w:eastAsiaTheme="minorHAnsi" w:hAnsi="Palatino Linotype" w:cstheme="minorBidi"/>
          <w:i/>
          <w:lang w:eastAsia="en-US"/>
        </w:rPr>
      </w:pPr>
    </w:p>
    <w:p w14:paraId="62A140B7" w14:textId="77777777" w:rsidR="00521FD9" w:rsidRPr="00FF0608" w:rsidRDefault="00521FD9" w:rsidP="00521FD9">
      <w:pPr>
        <w:spacing w:line="360" w:lineRule="auto"/>
        <w:ind w:left="567" w:right="567"/>
        <w:rPr>
          <w:rFonts w:ascii="Palatino Linotype" w:hAnsi="Palatino Linotype" w:cs="Tahoma"/>
          <w:b/>
          <w:bCs/>
          <w:i/>
        </w:rPr>
      </w:pPr>
      <w:r w:rsidRPr="00FF0608">
        <w:rPr>
          <w:rFonts w:ascii="Palatino Linotype" w:hAnsi="Palatino Linotype" w:cs="Tahoma"/>
          <w:b/>
          <w:bCs/>
          <w:i/>
        </w:rPr>
        <w:t>“RAZONES O MOTIVOS DE LA INCONFORMIDAD</w:t>
      </w:r>
    </w:p>
    <w:p w14:paraId="5F3CA09E" w14:textId="0AE5829D" w:rsidR="00521FD9" w:rsidRPr="00FF0608" w:rsidRDefault="00886C30" w:rsidP="00521FD9">
      <w:pPr>
        <w:spacing w:line="360" w:lineRule="auto"/>
        <w:ind w:left="567" w:right="567"/>
        <w:jc w:val="both"/>
        <w:rPr>
          <w:rFonts w:ascii="Palatino Linotype" w:eastAsiaTheme="minorHAnsi" w:hAnsi="Palatino Linotype" w:cstheme="minorBidi"/>
          <w:i/>
          <w:lang w:eastAsia="en-US"/>
        </w:rPr>
      </w:pPr>
      <w:r w:rsidRPr="00886C30">
        <w:rPr>
          <w:rFonts w:ascii="Palatino Linotype" w:eastAsiaTheme="minorHAnsi" w:hAnsi="Palatino Linotype" w:cstheme="minorBidi"/>
          <w:i/>
          <w:lang w:eastAsia="en-US"/>
        </w:rPr>
        <w:t xml:space="preserve">En términos del </w:t>
      </w:r>
      <w:proofErr w:type="spellStart"/>
      <w:r w:rsidRPr="00886C30">
        <w:rPr>
          <w:rFonts w:ascii="Palatino Linotype" w:eastAsiaTheme="minorHAnsi" w:hAnsi="Palatino Linotype" w:cstheme="minorBidi"/>
          <w:i/>
          <w:lang w:eastAsia="en-US"/>
        </w:rPr>
        <w:t>articulo</w:t>
      </w:r>
      <w:proofErr w:type="spellEnd"/>
      <w:r w:rsidRPr="00886C30">
        <w:rPr>
          <w:rFonts w:ascii="Palatino Linotype" w:eastAsiaTheme="minorHAnsi" w:hAnsi="Palatino Linotype" w:cstheme="minorBidi"/>
          <w:i/>
          <w:lang w:eastAsia="en-US"/>
        </w:rPr>
        <w:t xml:space="preserve"> 6 y 8 constitucional tengo derecho a realizar mi petición así mismo de conformidad al </w:t>
      </w:r>
      <w:proofErr w:type="spellStart"/>
      <w:r w:rsidRPr="00886C30">
        <w:rPr>
          <w:rFonts w:ascii="Palatino Linotype" w:eastAsiaTheme="minorHAnsi" w:hAnsi="Palatino Linotype" w:cstheme="minorBidi"/>
          <w:i/>
          <w:lang w:eastAsia="en-US"/>
        </w:rPr>
        <w:t>articulo</w:t>
      </w:r>
      <w:proofErr w:type="spellEnd"/>
      <w:r w:rsidRPr="00886C30">
        <w:rPr>
          <w:rFonts w:ascii="Palatino Linotype" w:eastAsiaTheme="minorHAnsi" w:hAnsi="Palatino Linotype" w:cstheme="minorBidi"/>
          <w:i/>
          <w:lang w:eastAsia="en-US"/>
        </w:rPr>
        <w:t xml:space="preserve"> 4, 11, 15, 92, 111, 112, 150, 151, 152, 160, 162, 176, 177, 178, 179, 180, de la Ley de Transparencia y Acceso a la Información </w:t>
      </w:r>
      <w:proofErr w:type="spellStart"/>
      <w:r w:rsidRPr="00886C30">
        <w:rPr>
          <w:rFonts w:ascii="Palatino Linotype" w:eastAsiaTheme="minorHAnsi" w:hAnsi="Palatino Linotype" w:cstheme="minorBidi"/>
          <w:i/>
          <w:lang w:eastAsia="en-US"/>
        </w:rPr>
        <w:t>Publica</w:t>
      </w:r>
      <w:proofErr w:type="spellEnd"/>
      <w:r w:rsidRPr="00886C30">
        <w:rPr>
          <w:rFonts w:ascii="Palatino Linotype" w:eastAsiaTheme="minorHAnsi" w:hAnsi="Palatino Linotype" w:cstheme="minorBidi"/>
          <w:i/>
          <w:lang w:eastAsia="en-US"/>
        </w:rPr>
        <w:t xml:space="preserve"> del Estado de México y Municipios se hace de su conocimiento que transcurrido el plazo para darme una respuesta el ayuntamiento hizo caso omiso y nunca contesto mi solicitud de información </w:t>
      </w:r>
      <w:proofErr w:type="spellStart"/>
      <w:r w:rsidRPr="00886C30">
        <w:rPr>
          <w:rFonts w:ascii="Palatino Linotype" w:eastAsiaTheme="minorHAnsi" w:hAnsi="Palatino Linotype" w:cstheme="minorBidi"/>
          <w:i/>
          <w:lang w:eastAsia="en-US"/>
        </w:rPr>
        <w:t>publica</w:t>
      </w:r>
      <w:proofErr w:type="spellEnd"/>
      <w:r w:rsidRPr="00886C30">
        <w:rPr>
          <w:rFonts w:ascii="Palatino Linotype" w:eastAsiaTheme="minorHAnsi" w:hAnsi="Palatino Linotype" w:cstheme="minorBidi"/>
          <w:i/>
          <w:lang w:eastAsia="en-U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21FD9" w:rsidRPr="00FF0608">
        <w:rPr>
          <w:rFonts w:ascii="Palatino Linotype" w:eastAsiaTheme="minorHAnsi" w:hAnsi="Palatino Linotype" w:cstheme="minorBidi"/>
          <w:i/>
          <w:lang w:eastAsia="en-US"/>
        </w:rPr>
        <w:t>” (Sic)</w:t>
      </w:r>
    </w:p>
    <w:p w14:paraId="44D8A1C9" w14:textId="77777777" w:rsidR="009544A4" w:rsidRPr="00CE7533" w:rsidRDefault="009544A4" w:rsidP="009544A4">
      <w:pPr>
        <w:spacing w:line="360" w:lineRule="auto"/>
        <w:ind w:left="567" w:right="567"/>
        <w:jc w:val="both"/>
        <w:rPr>
          <w:rFonts w:ascii="Palatino Linotype" w:eastAsiaTheme="minorHAnsi" w:hAnsi="Palatino Linotype" w:cstheme="minorBidi"/>
          <w:i/>
          <w:color w:val="FF0000"/>
          <w:sz w:val="22"/>
          <w:szCs w:val="22"/>
          <w:lang w:eastAsia="en-US"/>
        </w:rPr>
      </w:pPr>
    </w:p>
    <w:p w14:paraId="2FFD3A79" w14:textId="0D16EC65" w:rsidR="00F469B3" w:rsidRPr="00FF0608" w:rsidRDefault="00B21723" w:rsidP="00442CAA">
      <w:pPr>
        <w:pStyle w:val="Ttulo2"/>
        <w:rPr>
          <w:color w:val="auto"/>
          <w:lang w:eastAsia="en-US"/>
        </w:rPr>
      </w:pPr>
      <w:bookmarkStart w:id="4" w:name="_Toc216164928"/>
      <w:r w:rsidRPr="00FF0608">
        <w:rPr>
          <w:color w:val="auto"/>
          <w:lang w:eastAsia="en-US"/>
        </w:rPr>
        <w:t>I</w:t>
      </w:r>
      <w:r w:rsidR="00F469B3" w:rsidRPr="00FF0608">
        <w:rPr>
          <w:color w:val="auto"/>
          <w:lang w:eastAsia="en-US"/>
        </w:rPr>
        <w:t>V. Trámite del Recurso de Revisión ante el Instituto</w:t>
      </w:r>
      <w:bookmarkEnd w:id="4"/>
    </w:p>
    <w:p w14:paraId="7F62FC39" w14:textId="77777777" w:rsidR="00320CBA" w:rsidRPr="00FF0608" w:rsidRDefault="00320CBA" w:rsidP="00442CAA">
      <w:pPr>
        <w:spacing w:line="360" w:lineRule="auto"/>
        <w:jc w:val="both"/>
        <w:rPr>
          <w:rFonts w:ascii="Palatino Linotype" w:eastAsiaTheme="minorHAnsi" w:hAnsi="Palatino Linotype" w:cstheme="minorBidi"/>
          <w:b/>
          <w:bCs/>
          <w:sz w:val="22"/>
          <w:szCs w:val="22"/>
          <w:lang w:eastAsia="en-US"/>
        </w:rPr>
      </w:pPr>
    </w:p>
    <w:p w14:paraId="77CF11B9" w14:textId="44FD5B99" w:rsidR="00E06C17" w:rsidRDefault="00F469B3" w:rsidP="00442CAA">
      <w:pPr>
        <w:spacing w:line="360" w:lineRule="auto"/>
        <w:jc w:val="both"/>
        <w:rPr>
          <w:rFonts w:ascii="Palatino Linotype" w:eastAsia="Batang" w:hAnsi="Palatino Linotype" w:cs="Tahoma"/>
          <w:bCs/>
          <w:sz w:val="22"/>
          <w:szCs w:val="22"/>
        </w:rPr>
      </w:pPr>
      <w:r w:rsidRPr="00FF0608">
        <w:rPr>
          <w:rFonts w:ascii="Palatino Linotype" w:eastAsiaTheme="minorHAnsi" w:hAnsi="Palatino Linotype" w:cstheme="minorBidi"/>
          <w:b/>
          <w:bCs/>
          <w:sz w:val="22"/>
          <w:szCs w:val="22"/>
          <w:lang w:eastAsia="en-US"/>
        </w:rPr>
        <w:t xml:space="preserve">a) Turno del Recurso de Revisión. </w:t>
      </w:r>
      <w:r w:rsidRPr="00FF0608">
        <w:rPr>
          <w:rFonts w:ascii="Palatino Linotype" w:eastAsiaTheme="minorHAnsi" w:hAnsi="Palatino Linotype" w:cstheme="minorBidi"/>
          <w:sz w:val="22"/>
          <w:szCs w:val="22"/>
          <w:lang w:eastAsia="en-US"/>
        </w:rPr>
        <w:t xml:space="preserve">El </w:t>
      </w:r>
      <w:r w:rsidR="00886C30">
        <w:rPr>
          <w:rFonts w:ascii="Palatino Linotype" w:eastAsiaTheme="minorHAnsi" w:hAnsi="Palatino Linotype" w:cstheme="minorBidi"/>
          <w:sz w:val="22"/>
          <w:szCs w:val="22"/>
          <w:lang w:eastAsia="en-US"/>
        </w:rPr>
        <w:t>cuatro de diciembre</w:t>
      </w:r>
      <w:r w:rsidR="00F47495" w:rsidRPr="00FF0608">
        <w:rPr>
          <w:rFonts w:ascii="Palatino Linotype" w:eastAsiaTheme="minorHAnsi" w:hAnsi="Palatino Linotype" w:cstheme="minorBidi"/>
          <w:sz w:val="22"/>
          <w:szCs w:val="22"/>
          <w:lang w:eastAsia="en-US"/>
        </w:rPr>
        <w:t xml:space="preserve"> </w:t>
      </w:r>
      <w:r w:rsidR="00CF2FD4" w:rsidRPr="00FF0608">
        <w:rPr>
          <w:rFonts w:ascii="Palatino Linotype" w:hAnsi="Palatino Linotype" w:cs="Tahoma"/>
          <w:bCs/>
          <w:iCs/>
          <w:sz w:val="22"/>
          <w:szCs w:val="22"/>
        </w:rPr>
        <w:t>de dos mil veintic</w:t>
      </w:r>
      <w:r w:rsidR="003E16CF" w:rsidRPr="00FF0608">
        <w:rPr>
          <w:rFonts w:ascii="Palatino Linotype" w:hAnsi="Palatino Linotype" w:cs="Tahoma"/>
          <w:bCs/>
          <w:iCs/>
          <w:sz w:val="22"/>
          <w:szCs w:val="22"/>
        </w:rPr>
        <w:t>inco</w:t>
      </w:r>
      <w:r w:rsidRPr="00FF0608">
        <w:rPr>
          <w:rFonts w:ascii="Palatino Linotype" w:eastAsia="Batang" w:hAnsi="Palatino Linotype" w:cs="Tahoma"/>
          <w:bCs/>
          <w:sz w:val="22"/>
          <w:szCs w:val="22"/>
        </w:rPr>
        <w:t xml:space="preserve">, </w:t>
      </w:r>
      <w:r w:rsidR="00886C30">
        <w:rPr>
          <w:rFonts w:ascii="Palatino Linotype" w:eastAsia="Batang" w:hAnsi="Palatino Linotype" w:cs="Tahoma"/>
          <w:bCs/>
          <w:sz w:val="22"/>
          <w:szCs w:val="22"/>
        </w:rPr>
        <w:t xml:space="preserve">a </w:t>
      </w:r>
      <w:r w:rsidR="00886C30" w:rsidRPr="00FF0608">
        <w:rPr>
          <w:rFonts w:ascii="Palatino Linotype" w:eastAsia="Batang" w:hAnsi="Palatino Linotype" w:cs="Tahoma"/>
          <w:bCs/>
          <w:sz w:val="22"/>
          <w:szCs w:val="22"/>
          <w:lang w:val="es-ES_tradnl"/>
        </w:rPr>
        <w:t>través del Sistema de Acceso a la Información Mexiquense (SAIMEX)</w:t>
      </w:r>
      <w:r w:rsidR="00521FD9" w:rsidRPr="00521FD9">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w:t>
      </w:r>
      <w:r w:rsidR="00521FD9" w:rsidRPr="00521FD9">
        <w:rPr>
          <w:rFonts w:ascii="Palatino Linotype" w:eastAsia="Batang" w:hAnsi="Palatino Linotype" w:cs="Tahoma"/>
          <w:bCs/>
          <w:sz w:val="22"/>
          <w:szCs w:val="22"/>
        </w:rPr>
        <w:lastRenderedPageBreak/>
        <w:t>Pública del Estado de México y Municipios, a los Comisionados que integran el Pleno de este Instituto.</w:t>
      </w:r>
    </w:p>
    <w:p w14:paraId="411B7BFF" w14:textId="77777777" w:rsidR="00521FD9" w:rsidRPr="00FF0608" w:rsidRDefault="00521FD9" w:rsidP="00442CAA">
      <w:pPr>
        <w:spacing w:line="360" w:lineRule="auto"/>
        <w:jc w:val="both"/>
        <w:rPr>
          <w:rFonts w:ascii="Palatino Linotype" w:eastAsia="Batang" w:hAnsi="Palatino Linotype" w:cs="Tahoma"/>
          <w:b/>
          <w:bCs/>
          <w:color w:val="FF0000"/>
          <w:sz w:val="22"/>
          <w:szCs w:val="22"/>
        </w:rPr>
      </w:pPr>
    </w:p>
    <w:p w14:paraId="26883477" w14:textId="59EEBE24" w:rsidR="00F469B3" w:rsidRPr="00FF0608" w:rsidRDefault="006C349C" w:rsidP="00442CAA">
      <w:pPr>
        <w:spacing w:line="360" w:lineRule="auto"/>
        <w:jc w:val="both"/>
        <w:rPr>
          <w:rFonts w:ascii="Palatino Linotype" w:eastAsia="Batang" w:hAnsi="Palatino Linotype" w:cs="Tahoma"/>
          <w:bCs/>
          <w:sz w:val="22"/>
          <w:szCs w:val="22"/>
        </w:rPr>
      </w:pPr>
      <w:r w:rsidRPr="00FF0608">
        <w:rPr>
          <w:rFonts w:ascii="Palatino Linotype" w:eastAsia="Batang" w:hAnsi="Palatino Linotype" w:cs="Tahoma"/>
          <w:b/>
          <w:bCs/>
          <w:sz w:val="22"/>
          <w:szCs w:val="22"/>
        </w:rPr>
        <w:t>b</w:t>
      </w:r>
      <w:r w:rsidR="00F469B3" w:rsidRPr="00FF0608">
        <w:rPr>
          <w:rFonts w:ascii="Palatino Linotype" w:eastAsia="Batang" w:hAnsi="Palatino Linotype" w:cs="Tahoma"/>
          <w:b/>
          <w:bCs/>
          <w:sz w:val="22"/>
          <w:szCs w:val="22"/>
        </w:rPr>
        <w:t xml:space="preserve">) Admisión del </w:t>
      </w:r>
      <w:r w:rsidR="00F469B3" w:rsidRPr="00FF0608">
        <w:rPr>
          <w:rFonts w:ascii="Palatino Linotype" w:hAnsi="Palatino Linotype" w:cs="Tahoma"/>
          <w:b/>
          <w:sz w:val="22"/>
          <w:szCs w:val="22"/>
        </w:rPr>
        <w:t>Recurso de Revisión</w:t>
      </w:r>
      <w:r w:rsidR="00F469B3" w:rsidRPr="00FF0608">
        <w:rPr>
          <w:rFonts w:ascii="Palatino Linotype" w:eastAsia="Batang" w:hAnsi="Palatino Linotype" w:cs="Tahoma"/>
          <w:b/>
          <w:bCs/>
          <w:sz w:val="22"/>
          <w:szCs w:val="22"/>
          <w:lang w:val="es-ES_tradnl"/>
        </w:rPr>
        <w:t xml:space="preserve">. </w:t>
      </w:r>
      <w:r w:rsidR="006213D7" w:rsidRPr="00FF0608">
        <w:rPr>
          <w:rFonts w:ascii="Palatino Linotype" w:eastAsia="Batang" w:hAnsi="Palatino Linotype" w:cs="Tahoma"/>
          <w:bCs/>
          <w:sz w:val="22"/>
          <w:szCs w:val="22"/>
        </w:rPr>
        <w:t xml:space="preserve">El </w:t>
      </w:r>
      <w:r w:rsidR="00886C30">
        <w:rPr>
          <w:rFonts w:ascii="Palatino Linotype" w:eastAsia="Batang" w:hAnsi="Palatino Linotype" w:cs="Tahoma"/>
          <w:bCs/>
          <w:sz w:val="22"/>
          <w:szCs w:val="22"/>
        </w:rPr>
        <w:t>ocho y nueve</w:t>
      </w:r>
      <w:r w:rsidR="00F47495" w:rsidRPr="00FF0608">
        <w:rPr>
          <w:rFonts w:ascii="Palatino Linotype" w:eastAsia="Batang" w:hAnsi="Palatino Linotype" w:cs="Tahoma"/>
          <w:bCs/>
          <w:sz w:val="22"/>
          <w:szCs w:val="22"/>
        </w:rPr>
        <w:t xml:space="preserve"> de </w:t>
      </w:r>
      <w:r w:rsidR="00CE7533">
        <w:rPr>
          <w:rFonts w:ascii="Palatino Linotype" w:eastAsia="Batang" w:hAnsi="Palatino Linotype" w:cs="Tahoma"/>
          <w:bCs/>
          <w:sz w:val="22"/>
          <w:szCs w:val="22"/>
        </w:rPr>
        <w:t>diciembre</w:t>
      </w:r>
      <w:r w:rsidR="00F47495" w:rsidRPr="00FF0608">
        <w:rPr>
          <w:rFonts w:ascii="Palatino Linotype" w:eastAsia="Batang" w:hAnsi="Palatino Linotype" w:cs="Tahoma"/>
          <w:bCs/>
          <w:sz w:val="22"/>
          <w:szCs w:val="22"/>
        </w:rPr>
        <w:t xml:space="preserve"> </w:t>
      </w:r>
      <w:r w:rsidR="00574FD9" w:rsidRPr="00FF0608">
        <w:rPr>
          <w:rFonts w:ascii="Palatino Linotype" w:eastAsia="Batang" w:hAnsi="Palatino Linotype" w:cs="Tahoma"/>
          <w:bCs/>
          <w:sz w:val="22"/>
          <w:szCs w:val="22"/>
        </w:rPr>
        <w:t xml:space="preserve">de </w:t>
      </w:r>
      <w:r w:rsidR="006213D7" w:rsidRPr="00FF0608">
        <w:rPr>
          <w:rFonts w:ascii="Palatino Linotype" w:hAnsi="Palatino Linotype" w:cs="Tahoma"/>
          <w:bCs/>
          <w:iCs/>
          <w:sz w:val="22"/>
          <w:szCs w:val="22"/>
        </w:rPr>
        <w:t>dos mil veintic</w:t>
      </w:r>
      <w:r w:rsidR="003E16CF" w:rsidRPr="00FF0608">
        <w:rPr>
          <w:rFonts w:ascii="Palatino Linotype" w:hAnsi="Palatino Linotype" w:cs="Tahoma"/>
          <w:bCs/>
          <w:iCs/>
          <w:sz w:val="22"/>
          <w:szCs w:val="22"/>
        </w:rPr>
        <w:t>inco</w:t>
      </w:r>
      <w:r w:rsidR="00F469B3" w:rsidRPr="00FF0608">
        <w:rPr>
          <w:rFonts w:ascii="Palatino Linotype" w:eastAsia="Batang" w:hAnsi="Palatino Linotype" w:cs="Tahoma"/>
          <w:bCs/>
          <w:sz w:val="22"/>
          <w:szCs w:val="22"/>
          <w:lang w:val="es-ES_tradnl"/>
        </w:rPr>
        <w:t xml:space="preserve">, </w:t>
      </w:r>
      <w:r w:rsidR="00521FD9">
        <w:rPr>
          <w:rFonts w:ascii="Palatino Linotype" w:eastAsia="Batang" w:hAnsi="Palatino Linotype" w:cs="Tahoma"/>
          <w:bCs/>
          <w:sz w:val="22"/>
          <w:szCs w:val="22"/>
          <w:lang w:val="es-ES_tradnl"/>
        </w:rPr>
        <w:t xml:space="preserve">respectivamente, </w:t>
      </w:r>
      <w:r w:rsidR="00F469B3" w:rsidRPr="00FF0608">
        <w:rPr>
          <w:rFonts w:ascii="Palatino Linotype" w:eastAsia="Batang" w:hAnsi="Palatino Linotype" w:cs="Tahoma"/>
          <w:bCs/>
          <w:sz w:val="22"/>
          <w:szCs w:val="22"/>
          <w:lang w:val="es-ES_tradnl"/>
        </w:rPr>
        <w:t xml:space="preserve">se acordó la admisión del Recurso de Revisión interpuesto por </w:t>
      </w:r>
      <w:r w:rsidR="00393C64" w:rsidRPr="00FF0608">
        <w:rPr>
          <w:rFonts w:ascii="Palatino Linotype" w:eastAsia="Batang" w:hAnsi="Palatino Linotype" w:cs="Tahoma"/>
          <w:bCs/>
          <w:sz w:val="22"/>
          <w:szCs w:val="22"/>
          <w:lang w:val="es-ES_tradnl"/>
        </w:rPr>
        <w:t>la persona</w:t>
      </w:r>
      <w:r w:rsidR="00F469B3" w:rsidRPr="00FF0608">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F0608"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FF0608" w:rsidRDefault="00B07F56" w:rsidP="00442CAA">
      <w:pPr>
        <w:spacing w:line="360" w:lineRule="auto"/>
        <w:jc w:val="both"/>
        <w:rPr>
          <w:rFonts w:ascii="Palatino Linotype" w:hAnsi="Palatino Linotype" w:cs="Tahoma"/>
          <w:sz w:val="22"/>
          <w:szCs w:val="22"/>
        </w:rPr>
      </w:pPr>
      <w:r w:rsidRPr="00FF0608">
        <w:rPr>
          <w:rFonts w:ascii="Palatino Linotype" w:hAnsi="Palatino Linotype" w:cs="Tahoma"/>
          <w:b/>
          <w:sz w:val="22"/>
          <w:szCs w:val="22"/>
        </w:rPr>
        <w:t>c</w:t>
      </w:r>
      <w:r w:rsidR="00F469B3" w:rsidRPr="00FF0608">
        <w:rPr>
          <w:rFonts w:ascii="Palatino Linotype" w:hAnsi="Palatino Linotype" w:cs="Tahoma"/>
          <w:b/>
          <w:sz w:val="22"/>
          <w:szCs w:val="22"/>
        </w:rPr>
        <w:t>)</w:t>
      </w:r>
      <w:r w:rsidR="00A31139" w:rsidRPr="00FF0608">
        <w:rPr>
          <w:rFonts w:ascii="Palatino Linotype" w:hAnsi="Palatino Linotype" w:cs="Tahoma"/>
          <w:sz w:val="22"/>
          <w:szCs w:val="22"/>
          <w:lang w:val="es-ES_tradnl"/>
        </w:rPr>
        <w:t xml:space="preserve"> </w:t>
      </w:r>
      <w:r w:rsidR="00947608" w:rsidRPr="00FF0608">
        <w:rPr>
          <w:rFonts w:ascii="Palatino Linotype" w:hAnsi="Palatino Linotype" w:cs="Tahoma"/>
          <w:b/>
          <w:sz w:val="22"/>
          <w:szCs w:val="22"/>
          <w:lang w:val="es-ES_tradnl"/>
        </w:rPr>
        <w:t xml:space="preserve"> Informe Justificado</w:t>
      </w:r>
      <w:r w:rsidR="006C349C" w:rsidRPr="00FF0608">
        <w:rPr>
          <w:rFonts w:ascii="Palatino Linotype" w:hAnsi="Palatino Linotype" w:cs="Tahoma"/>
          <w:b/>
          <w:sz w:val="22"/>
          <w:szCs w:val="22"/>
          <w:lang w:val="es-ES_tradnl"/>
        </w:rPr>
        <w:t xml:space="preserve"> y Manifestaciones</w:t>
      </w:r>
      <w:r w:rsidR="00947608" w:rsidRPr="00FF0608">
        <w:rPr>
          <w:rFonts w:ascii="Palatino Linotype" w:hAnsi="Palatino Linotype" w:cs="Tahoma"/>
          <w:b/>
          <w:sz w:val="22"/>
          <w:szCs w:val="22"/>
          <w:lang w:val="es-ES_tradnl"/>
        </w:rPr>
        <w:t xml:space="preserve">. </w:t>
      </w:r>
      <w:r w:rsidR="006C349C" w:rsidRPr="00FF0608">
        <w:rPr>
          <w:rFonts w:ascii="Palatino Linotype" w:hAnsi="Palatino Linotype" w:cs="Tahoma"/>
          <w:iCs/>
          <w:sz w:val="22"/>
          <w:szCs w:val="22"/>
          <w:lang w:val="es-ES"/>
        </w:rPr>
        <w:t>Las partes fueron</w:t>
      </w:r>
      <w:r w:rsidR="00F13EF5" w:rsidRPr="00FF0608">
        <w:rPr>
          <w:rFonts w:ascii="Palatino Linotype" w:hAnsi="Palatino Linotype" w:cs="Tahoma"/>
          <w:iCs/>
          <w:sz w:val="22"/>
          <w:szCs w:val="22"/>
          <w:lang w:val="es-ES"/>
        </w:rPr>
        <w:t xml:space="preserve"> omis</w:t>
      </w:r>
      <w:r w:rsidR="006C349C" w:rsidRPr="00FF0608">
        <w:rPr>
          <w:rFonts w:ascii="Palatino Linotype" w:hAnsi="Palatino Linotype" w:cs="Tahoma"/>
          <w:iCs/>
          <w:sz w:val="22"/>
          <w:szCs w:val="22"/>
          <w:lang w:val="es-ES"/>
        </w:rPr>
        <w:t>as</w:t>
      </w:r>
      <w:r w:rsidR="00F13EF5" w:rsidRPr="00FF0608">
        <w:rPr>
          <w:rFonts w:ascii="Palatino Linotype" w:hAnsi="Palatino Linotype" w:cs="Tahoma"/>
          <w:iCs/>
          <w:sz w:val="22"/>
          <w:szCs w:val="22"/>
          <w:lang w:val="es-ES"/>
        </w:rPr>
        <w:t xml:space="preserve"> </w:t>
      </w:r>
      <w:r w:rsidR="00947608" w:rsidRPr="00FF0608">
        <w:rPr>
          <w:rFonts w:ascii="Palatino Linotype" w:hAnsi="Palatino Linotype" w:cs="Tahoma"/>
          <w:iCs/>
          <w:sz w:val="22"/>
          <w:szCs w:val="22"/>
          <w:lang w:val="es-ES"/>
        </w:rPr>
        <w:t>en emitir manifestaciones o alegatos</w:t>
      </w:r>
      <w:r w:rsidR="00947608" w:rsidRPr="00FF0608">
        <w:rPr>
          <w:rFonts w:ascii="Palatino Linotype" w:hAnsi="Palatino Linotype" w:cs="Tahoma"/>
          <w:sz w:val="22"/>
          <w:szCs w:val="22"/>
        </w:rPr>
        <w:t>.</w:t>
      </w:r>
    </w:p>
    <w:p w14:paraId="4F73B902" w14:textId="77777777" w:rsidR="00AC613F" w:rsidRDefault="00AC613F" w:rsidP="00442CAA">
      <w:pPr>
        <w:spacing w:line="360" w:lineRule="auto"/>
        <w:contextualSpacing/>
        <w:jc w:val="both"/>
        <w:rPr>
          <w:rFonts w:ascii="Palatino Linotype" w:hAnsi="Palatino Linotype" w:cs="Tahoma"/>
          <w:b/>
          <w:sz w:val="18"/>
          <w:szCs w:val="22"/>
          <w:lang w:val="es-ES_tradnl"/>
        </w:rPr>
      </w:pPr>
    </w:p>
    <w:p w14:paraId="6687B29D" w14:textId="1D4D1B19" w:rsidR="003C4C46" w:rsidRPr="003C4C46" w:rsidRDefault="003C4C46" w:rsidP="003C4C46">
      <w:pPr>
        <w:spacing w:after="160" w:line="360" w:lineRule="auto"/>
        <w:contextualSpacing/>
        <w:jc w:val="both"/>
        <w:rPr>
          <w:rFonts w:ascii="Palatino Linotype" w:eastAsia="Palatino Linotype" w:hAnsi="Palatino Linotype" w:cs="Tahoma"/>
          <w:color w:val="000000"/>
          <w:sz w:val="22"/>
          <w:szCs w:val="22"/>
          <w:lang w:eastAsia="es-MX"/>
        </w:rPr>
      </w:pPr>
      <w:r>
        <w:rPr>
          <w:rFonts w:ascii="Palatino Linotype" w:eastAsia="Palatino Linotype" w:hAnsi="Palatino Linotype" w:cs="Tahoma"/>
          <w:b/>
          <w:color w:val="000000"/>
          <w:sz w:val="22"/>
          <w:szCs w:val="22"/>
          <w:lang w:eastAsia="es-MX"/>
        </w:rPr>
        <w:t>d</w:t>
      </w:r>
      <w:r w:rsidRPr="003C4C46">
        <w:rPr>
          <w:rFonts w:ascii="Palatino Linotype" w:eastAsia="Palatino Linotype" w:hAnsi="Palatino Linotype" w:cs="Tahoma"/>
          <w:b/>
          <w:color w:val="000000"/>
          <w:sz w:val="22"/>
          <w:szCs w:val="22"/>
          <w:lang w:eastAsia="es-MX"/>
        </w:rPr>
        <w:t>) Acumulación de los asuntos.</w:t>
      </w:r>
      <w:r w:rsidRPr="003C4C46">
        <w:rPr>
          <w:rFonts w:ascii="Palatino Linotype" w:eastAsia="Palatino Linotype" w:hAnsi="Palatino Linotype" w:cs="Tahoma"/>
          <w:color w:val="000000"/>
          <w:sz w:val="22"/>
          <w:szCs w:val="22"/>
          <w:lang w:eastAsia="es-MX"/>
        </w:rPr>
        <w:t xml:space="preserve"> El </w:t>
      </w:r>
      <w:r w:rsidR="00886C30">
        <w:rPr>
          <w:rFonts w:ascii="Palatino Linotype" w:eastAsia="Palatino Linotype" w:hAnsi="Palatino Linotype" w:cs="Tahoma"/>
          <w:color w:val="000000"/>
          <w:sz w:val="22"/>
          <w:szCs w:val="22"/>
          <w:lang w:eastAsia="es-MX"/>
        </w:rPr>
        <w:t>diecisiete</w:t>
      </w:r>
      <w:r>
        <w:rPr>
          <w:rFonts w:ascii="Palatino Linotype" w:eastAsia="Palatino Linotype" w:hAnsi="Palatino Linotype" w:cs="Tahoma"/>
          <w:color w:val="000000"/>
          <w:sz w:val="22"/>
          <w:szCs w:val="22"/>
          <w:lang w:eastAsia="es-MX"/>
        </w:rPr>
        <w:t xml:space="preserve"> de diciembre</w:t>
      </w:r>
      <w:r w:rsidRPr="003C4C46">
        <w:rPr>
          <w:rFonts w:ascii="Palatino Linotype" w:eastAsia="Calibri" w:hAnsi="Palatino Linotype" w:cs="Tahoma"/>
          <w:color w:val="000000"/>
          <w:sz w:val="22"/>
          <w:szCs w:val="22"/>
          <w:lang w:eastAsia="en-US"/>
        </w:rPr>
        <w:t xml:space="preserve"> de dos mil veinticinco</w:t>
      </w:r>
      <w:r w:rsidRPr="003C4C46">
        <w:rPr>
          <w:rFonts w:ascii="Palatino Linotype" w:eastAsia="Palatino Linotype" w:hAnsi="Palatino Linotype" w:cs="Tahoma"/>
          <w:color w:val="000000"/>
          <w:sz w:val="22"/>
          <w:szCs w:val="22"/>
          <w:lang w:eastAsia="es-MX"/>
        </w:rPr>
        <w:t>,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w:t>
      </w:r>
      <w:r w:rsidR="00CE7533">
        <w:rPr>
          <w:rFonts w:ascii="Palatino Linotype" w:eastAsia="Palatino Linotype" w:hAnsi="Palatino Linotype" w:cs="Tahoma"/>
          <w:color w:val="000000"/>
          <w:sz w:val="22"/>
          <w:szCs w:val="22"/>
          <w:lang w:eastAsia="es-MX"/>
        </w:rPr>
        <w:t xml:space="preserve"> el Pleno de este Instituto</w:t>
      </w:r>
      <w:r w:rsidRPr="003C4C46">
        <w:rPr>
          <w:rFonts w:ascii="Palatino Linotype" w:eastAsia="Palatino Linotype" w:hAnsi="Palatino Linotype" w:cs="Tahoma"/>
          <w:color w:val="000000"/>
          <w:sz w:val="22"/>
          <w:szCs w:val="22"/>
          <w:lang w:eastAsia="es-MX"/>
        </w:rPr>
        <w:t xml:space="preserve"> </w:t>
      </w:r>
      <w:r w:rsidRPr="003C4C46">
        <w:rPr>
          <w:rFonts w:ascii="Palatino Linotype" w:eastAsia="Palatino Linotype" w:hAnsi="Palatino Linotype" w:cs="Tahoma"/>
          <w:b/>
          <w:color w:val="000000"/>
          <w:sz w:val="22"/>
          <w:szCs w:val="22"/>
          <w:lang w:eastAsia="es-MX"/>
        </w:rPr>
        <w:t>acordó</w:t>
      </w:r>
      <w:r w:rsidRPr="003C4C46">
        <w:rPr>
          <w:rFonts w:ascii="Palatino Linotype" w:eastAsia="Palatino Linotype" w:hAnsi="Palatino Linotype" w:cs="Tahoma"/>
          <w:color w:val="000000"/>
          <w:sz w:val="22"/>
          <w:szCs w:val="22"/>
          <w:lang w:eastAsia="es-MX"/>
        </w:rPr>
        <w:t xml:space="preserve"> la acumulación del Recurso de Revisión</w:t>
      </w:r>
      <w:r w:rsidRPr="003C4C46">
        <w:rPr>
          <w:rFonts w:ascii="Palatino Linotype" w:eastAsia="Calibri" w:hAnsi="Palatino Linotype" w:cs="Tahoma"/>
          <w:color w:val="000000"/>
          <w:sz w:val="22"/>
          <w:szCs w:val="22"/>
          <w:lang w:eastAsia="en-US"/>
        </w:rPr>
        <w:t xml:space="preserve"> </w:t>
      </w:r>
      <w:r w:rsidR="00790E96">
        <w:rPr>
          <w:rFonts w:ascii="Palatino Linotype" w:eastAsia="Palatino Linotype" w:hAnsi="Palatino Linotype" w:cs="Tahoma"/>
          <w:b/>
          <w:bCs/>
          <w:color w:val="000000"/>
          <w:sz w:val="22"/>
          <w:szCs w:val="22"/>
          <w:lang w:eastAsia="es-MX"/>
        </w:rPr>
        <w:t>13587</w:t>
      </w:r>
      <w:r w:rsidRPr="003C4C46">
        <w:rPr>
          <w:rFonts w:ascii="Palatino Linotype" w:eastAsia="Palatino Linotype" w:hAnsi="Palatino Linotype" w:cs="Tahoma"/>
          <w:b/>
          <w:bCs/>
          <w:color w:val="000000"/>
          <w:sz w:val="22"/>
          <w:szCs w:val="22"/>
          <w:lang w:eastAsia="es-MX"/>
        </w:rPr>
        <w:t xml:space="preserve">/INFOEM/IP/RR/2025, </w:t>
      </w:r>
      <w:r w:rsidRPr="003C4C46">
        <w:rPr>
          <w:rFonts w:ascii="Palatino Linotype" w:eastAsia="Calibri" w:hAnsi="Palatino Linotype" w:cs="Tahoma"/>
          <w:color w:val="000000"/>
          <w:sz w:val="22"/>
          <w:szCs w:val="22"/>
          <w:lang w:eastAsia="en-US"/>
        </w:rPr>
        <w:t>al diverso</w:t>
      </w:r>
      <w:r w:rsidRPr="003C4C46">
        <w:rPr>
          <w:rFonts w:ascii="Palatino Linotype" w:eastAsia="Calibri" w:hAnsi="Palatino Linotype" w:cs="Tahoma"/>
          <w:b/>
          <w:bCs/>
          <w:color w:val="000000"/>
          <w:sz w:val="22"/>
          <w:szCs w:val="22"/>
          <w:lang w:eastAsia="en-US"/>
        </w:rPr>
        <w:t xml:space="preserve"> </w:t>
      </w:r>
      <w:r w:rsidR="00790E96">
        <w:rPr>
          <w:rFonts w:ascii="Palatino Linotype" w:eastAsia="Calibri" w:hAnsi="Palatino Linotype" w:cs="Tahoma"/>
          <w:b/>
          <w:bCs/>
          <w:color w:val="000000"/>
          <w:sz w:val="22"/>
          <w:szCs w:val="22"/>
          <w:lang w:eastAsia="en-US"/>
        </w:rPr>
        <w:t>13586</w:t>
      </w:r>
      <w:r w:rsidRPr="003C4C46">
        <w:rPr>
          <w:rFonts w:ascii="Palatino Linotype" w:eastAsia="Calibri" w:hAnsi="Palatino Linotype" w:cs="Tahoma"/>
          <w:b/>
          <w:bCs/>
          <w:color w:val="000000"/>
          <w:sz w:val="22"/>
          <w:szCs w:val="22"/>
          <w:lang w:eastAsia="en-US"/>
        </w:rPr>
        <w:t>/INFOEM/IP/RR/2025</w:t>
      </w:r>
      <w:r w:rsidRPr="003C4C46">
        <w:rPr>
          <w:rFonts w:ascii="Palatino Linotype" w:eastAsia="Palatino Linotype" w:hAnsi="Palatino Linotype" w:cs="Tahoma"/>
          <w:b/>
          <w:bCs/>
          <w:color w:val="0D0D0D"/>
          <w:sz w:val="22"/>
          <w:szCs w:val="22"/>
          <w:lang w:eastAsia="es-MX"/>
        </w:rPr>
        <w:t xml:space="preserve">, </w:t>
      </w:r>
      <w:r w:rsidRPr="003C4C46">
        <w:rPr>
          <w:rFonts w:ascii="Palatino Linotype" w:eastAsia="Palatino Linotype" w:hAnsi="Palatino Linotype" w:cs="Tahoma"/>
          <w:color w:val="000000"/>
          <w:sz w:val="22"/>
          <w:szCs w:val="22"/>
          <w:lang w:eastAsia="es-MX"/>
        </w:rPr>
        <w:t xml:space="preserve">por ser este último el más antiguo, sustanciado bajo el índice de esta Ponencia, al advertir conexidad entre estos, ya que fueron promovidos por la misma persona, en los que se señaló como Sujeto Obligado recurrido </w:t>
      </w:r>
      <w:r w:rsidR="00790E96">
        <w:rPr>
          <w:rFonts w:ascii="Palatino Linotype" w:eastAsia="Palatino Linotype" w:hAnsi="Palatino Linotype" w:cs="Tahoma"/>
          <w:color w:val="000000"/>
          <w:sz w:val="22"/>
          <w:szCs w:val="22"/>
          <w:lang w:eastAsia="es-MX"/>
        </w:rPr>
        <w:t>Ayuntamiento de Tepotzotlán</w:t>
      </w:r>
      <w:r w:rsidRPr="003C4C46">
        <w:rPr>
          <w:rFonts w:ascii="Palatino Linotype" w:eastAsia="Palatino Linotype" w:hAnsi="Palatino Linotype" w:cs="Tahoma"/>
          <w:color w:val="000000"/>
          <w:sz w:val="22"/>
          <w:szCs w:val="22"/>
          <w:lang w:eastAsia="es-MX"/>
        </w:rPr>
        <w:t xml:space="preserve"> y en los cuales, además, se manifestaron idénticos actos recurridos.</w:t>
      </w:r>
    </w:p>
    <w:p w14:paraId="0939D12B" w14:textId="77777777" w:rsidR="003C4C46" w:rsidRPr="003C4C46" w:rsidRDefault="003C4C46" w:rsidP="00442CAA">
      <w:pPr>
        <w:spacing w:line="360" w:lineRule="auto"/>
        <w:contextualSpacing/>
        <w:jc w:val="both"/>
        <w:rPr>
          <w:rFonts w:ascii="Palatino Linotype" w:hAnsi="Palatino Linotype" w:cs="Tahoma"/>
          <w:b/>
          <w:sz w:val="18"/>
          <w:szCs w:val="22"/>
        </w:rPr>
      </w:pPr>
    </w:p>
    <w:p w14:paraId="155868CD" w14:textId="032B2A34" w:rsidR="008F4B45" w:rsidRPr="00FF0608" w:rsidRDefault="003C4C46" w:rsidP="00442CAA">
      <w:pPr>
        <w:spacing w:line="360" w:lineRule="auto"/>
        <w:jc w:val="both"/>
        <w:rPr>
          <w:rFonts w:ascii="Palatino Linotype" w:hAnsi="Palatino Linotype"/>
          <w:sz w:val="22"/>
          <w:szCs w:val="22"/>
        </w:rPr>
      </w:pPr>
      <w:r>
        <w:rPr>
          <w:rFonts w:ascii="Palatino Linotype" w:hAnsi="Palatino Linotype"/>
          <w:b/>
          <w:sz w:val="22"/>
          <w:szCs w:val="22"/>
        </w:rPr>
        <w:lastRenderedPageBreak/>
        <w:t>e</w:t>
      </w:r>
      <w:r w:rsidR="000553B4" w:rsidRPr="00FF0608">
        <w:rPr>
          <w:rFonts w:ascii="Palatino Linotype" w:hAnsi="Palatino Linotype"/>
          <w:b/>
          <w:sz w:val="22"/>
          <w:szCs w:val="22"/>
        </w:rPr>
        <w:t xml:space="preserve">) </w:t>
      </w:r>
      <w:r w:rsidR="0063734D" w:rsidRPr="00FF0608">
        <w:rPr>
          <w:rFonts w:ascii="Palatino Linotype" w:hAnsi="Palatino Linotype"/>
          <w:b/>
          <w:sz w:val="22"/>
          <w:szCs w:val="22"/>
        </w:rPr>
        <w:t>Cierre de instrucción.</w:t>
      </w:r>
      <w:r w:rsidR="00763D85" w:rsidRPr="00FF0608">
        <w:rPr>
          <w:rFonts w:ascii="Palatino Linotype" w:hAnsi="Palatino Linotype"/>
          <w:b/>
          <w:sz w:val="22"/>
          <w:szCs w:val="22"/>
        </w:rPr>
        <w:t xml:space="preserve"> </w:t>
      </w:r>
      <w:r w:rsidR="008F4B45" w:rsidRPr="00FF0608">
        <w:rPr>
          <w:rFonts w:ascii="Palatino Linotype" w:hAnsi="Palatino Linotype"/>
          <w:sz w:val="22"/>
          <w:szCs w:val="22"/>
        </w:rPr>
        <w:t>El</w:t>
      </w:r>
      <w:r w:rsidR="00F47495" w:rsidRPr="00FF0608">
        <w:rPr>
          <w:rFonts w:ascii="Palatino Linotype" w:hAnsi="Palatino Linotype"/>
          <w:sz w:val="22"/>
          <w:szCs w:val="22"/>
        </w:rPr>
        <w:t xml:space="preserve"> </w:t>
      </w:r>
      <w:r w:rsidR="00886C30">
        <w:rPr>
          <w:rFonts w:ascii="Palatino Linotype" w:hAnsi="Palatino Linotype"/>
          <w:sz w:val="22"/>
          <w:szCs w:val="22"/>
        </w:rPr>
        <w:t>diecinueve</w:t>
      </w:r>
      <w:r w:rsidR="000E307B" w:rsidRPr="00FF0608">
        <w:rPr>
          <w:rFonts w:ascii="Palatino Linotype" w:hAnsi="Palatino Linotype"/>
          <w:sz w:val="22"/>
          <w:szCs w:val="22"/>
        </w:rPr>
        <w:t xml:space="preserve"> de diciembre </w:t>
      </w:r>
      <w:r w:rsidR="00F47495" w:rsidRPr="00FF0608">
        <w:rPr>
          <w:rFonts w:ascii="Palatino Linotype" w:hAnsi="Palatino Linotype"/>
          <w:sz w:val="22"/>
          <w:szCs w:val="22"/>
        </w:rPr>
        <w:t xml:space="preserve">de </w:t>
      </w:r>
      <w:r w:rsidR="004F3A02" w:rsidRPr="00FF0608">
        <w:rPr>
          <w:rFonts w:ascii="Palatino Linotype" w:hAnsi="Palatino Linotype"/>
          <w:sz w:val="22"/>
          <w:szCs w:val="22"/>
        </w:rPr>
        <w:t>dos mil veinti</w:t>
      </w:r>
      <w:r w:rsidR="003E16CF" w:rsidRPr="00FF0608">
        <w:rPr>
          <w:rFonts w:ascii="Palatino Linotype" w:hAnsi="Palatino Linotype"/>
          <w:sz w:val="22"/>
          <w:szCs w:val="22"/>
        </w:rPr>
        <w:t>cinco</w:t>
      </w:r>
      <w:r w:rsidR="008F4B45" w:rsidRPr="00FF0608">
        <w:rPr>
          <w:rFonts w:ascii="Palatino Linotype" w:hAnsi="Palatino Linotype"/>
          <w:sz w:val="22"/>
          <w:szCs w:val="22"/>
        </w:rPr>
        <w:t xml:space="preserve">, </w:t>
      </w:r>
      <w:r w:rsidR="00521FD9">
        <w:rPr>
          <w:rFonts w:ascii="Palatino Linotype" w:hAnsi="Palatino Linotype"/>
          <w:sz w:val="22"/>
          <w:szCs w:val="22"/>
        </w:rPr>
        <w:t xml:space="preserve">respectivamente, </w:t>
      </w:r>
      <w:r w:rsidR="008F4B45" w:rsidRPr="00FF0608">
        <w:rPr>
          <w:rFonts w:ascii="Palatino Linotype" w:hAnsi="Palatino Linotype"/>
          <w:sz w:val="22"/>
          <w:szCs w:val="22"/>
        </w:rPr>
        <w:t>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1B54B0" w:rsidRPr="00FF0608">
        <w:rPr>
          <w:rFonts w:ascii="Palatino Linotype" w:hAnsi="Palatino Linotype"/>
          <w:sz w:val="22"/>
          <w:szCs w:val="22"/>
        </w:rPr>
        <w:t xml:space="preserve"> veinticinco de dicho mes y año</w:t>
      </w:r>
      <w:r w:rsidR="008F4B45" w:rsidRPr="00FF0608">
        <w:rPr>
          <w:rFonts w:ascii="Palatino Linotype" w:hAnsi="Palatino Linotype"/>
          <w:sz w:val="22"/>
          <w:szCs w:val="22"/>
        </w:rPr>
        <w:t xml:space="preserve">, a través del Sistema de Acceso a la Información Mexiquense (SAIMEX). </w:t>
      </w:r>
    </w:p>
    <w:p w14:paraId="7BB94FD2" w14:textId="77777777" w:rsidR="008F4B45" w:rsidRPr="00FF0608"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F0608" w:rsidRDefault="008F4B4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FF0608" w:rsidRDefault="00E155C6" w:rsidP="00442CAA">
      <w:pPr>
        <w:spacing w:line="360" w:lineRule="auto"/>
        <w:contextualSpacing/>
        <w:jc w:val="both"/>
        <w:rPr>
          <w:rFonts w:ascii="Palatino Linotype" w:hAnsi="Palatino Linotype" w:cs="Tahoma"/>
          <w:sz w:val="22"/>
          <w:szCs w:val="22"/>
        </w:rPr>
      </w:pPr>
    </w:p>
    <w:p w14:paraId="615EA163" w14:textId="77777777" w:rsidR="004F3A02" w:rsidRPr="00FF0608" w:rsidRDefault="004F3A02" w:rsidP="00442CAA">
      <w:pPr>
        <w:pStyle w:val="Ttulo1"/>
        <w:rPr>
          <w:color w:val="auto"/>
          <w:lang w:val="es-ES"/>
        </w:rPr>
      </w:pPr>
      <w:bookmarkStart w:id="5" w:name="_Toc216164929"/>
      <w:r w:rsidRPr="00FF0608">
        <w:rPr>
          <w:color w:val="auto"/>
          <w:lang w:val="es-ES"/>
        </w:rPr>
        <w:t>C O N S I D E R A N D O S</w:t>
      </w:r>
      <w:bookmarkEnd w:id="5"/>
    </w:p>
    <w:p w14:paraId="066231C1" w14:textId="77777777" w:rsidR="004F3A02" w:rsidRPr="00FF0608" w:rsidRDefault="004F3A02" w:rsidP="00442CAA">
      <w:pPr>
        <w:spacing w:line="360" w:lineRule="auto"/>
        <w:jc w:val="both"/>
        <w:rPr>
          <w:rFonts w:ascii="Palatino Linotype" w:hAnsi="Palatino Linotype" w:cs="Tahoma"/>
          <w:b/>
          <w:sz w:val="22"/>
          <w:lang w:val="es-ES"/>
        </w:rPr>
      </w:pPr>
    </w:p>
    <w:p w14:paraId="001B63FA" w14:textId="77777777" w:rsidR="004F3A02" w:rsidRPr="00FF0608" w:rsidRDefault="004F3A02" w:rsidP="00442CAA">
      <w:pPr>
        <w:pStyle w:val="Ttulo2"/>
        <w:rPr>
          <w:color w:val="auto"/>
          <w:lang w:val="es-ES"/>
        </w:rPr>
      </w:pPr>
      <w:bookmarkStart w:id="6" w:name="_Toc216164930"/>
      <w:r w:rsidRPr="00FF0608">
        <w:rPr>
          <w:rFonts w:eastAsia="Calibri"/>
          <w:color w:val="auto"/>
          <w:lang w:val="es-ES" w:eastAsia="es-MX"/>
        </w:rPr>
        <w:t xml:space="preserve">PRIMERO. </w:t>
      </w:r>
      <w:r w:rsidRPr="00FF0608">
        <w:rPr>
          <w:color w:val="auto"/>
          <w:lang w:val="es-ES"/>
        </w:rPr>
        <w:t>Competencia</w:t>
      </w:r>
      <w:bookmarkEnd w:id="6"/>
    </w:p>
    <w:p w14:paraId="35D71D67" w14:textId="77777777" w:rsidR="004F3A02" w:rsidRPr="00FF0608"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50B95768" w:rsidR="00F025BE" w:rsidRPr="00FF0608" w:rsidRDefault="000E307B" w:rsidP="00442CAA">
      <w:pPr>
        <w:spacing w:line="360" w:lineRule="auto"/>
        <w:jc w:val="both"/>
        <w:rPr>
          <w:rFonts w:ascii="Palatino Linotype" w:eastAsia="Palatino Linotype" w:hAnsi="Palatino Linotype" w:cs="Palatino Linotype"/>
          <w:sz w:val="22"/>
          <w:szCs w:val="22"/>
          <w:lang w:eastAsia="es-MX"/>
        </w:rPr>
      </w:pPr>
      <w:r w:rsidRPr="00FF0608">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15B0DEA" w14:textId="77777777" w:rsidR="000E307B" w:rsidRPr="00FF0608" w:rsidRDefault="000E307B"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FF0608" w:rsidRDefault="00DA08C5" w:rsidP="00442CAA">
      <w:pPr>
        <w:pStyle w:val="Ttulo2"/>
        <w:rPr>
          <w:color w:val="auto"/>
          <w:lang w:val="es-ES"/>
        </w:rPr>
      </w:pPr>
      <w:bookmarkStart w:id="7" w:name="_Toc216164931"/>
      <w:r w:rsidRPr="00FF0608">
        <w:rPr>
          <w:rFonts w:eastAsia="Calibri"/>
          <w:color w:val="auto"/>
          <w:lang w:val="es-ES" w:eastAsia="es-MX"/>
        </w:rPr>
        <w:t xml:space="preserve">SEGUNDO. </w:t>
      </w:r>
      <w:r w:rsidRPr="00FF0608">
        <w:rPr>
          <w:color w:val="auto"/>
          <w:lang w:val="es-ES"/>
        </w:rPr>
        <w:t xml:space="preserve">Causales de improcedencia </w:t>
      </w:r>
      <w:r w:rsidR="00F93859" w:rsidRPr="00FF0608">
        <w:rPr>
          <w:color w:val="auto"/>
          <w:lang w:val="es-ES"/>
        </w:rPr>
        <w:t>y Sobreseimiento</w:t>
      </w:r>
      <w:bookmarkEnd w:id="7"/>
    </w:p>
    <w:p w14:paraId="39E19200" w14:textId="77777777" w:rsidR="00BA5927" w:rsidRPr="00FF0608"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F060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F0608">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F0608">
        <w:rPr>
          <w:rFonts w:ascii="Palatino Linotype" w:hAnsi="Palatino Linotype" w:cs="Tahoma"/>
          <w:i/>
          <w:sz w:val="22"/>
          <w:szCs w:val="22"/>
          <w:lang w:val="es-ES"/>
        </w:rPr>
        <w:t>litis</w:t>
      </w:r>
      <w:r w:rsidRPr="00FF0608">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F060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FF0608" w:rsidRDefault="00DA08C5" w:rsidP="00442CAA">
      <w:pPr>
        <w:spacing w:line="360" w:lineRule="auto"/>
        <w:contextualSpacing/>
        <w:jc w:val="both"/>
        <w:rPr>
          <w:rFonts w:ascii="Palatino Linotype" w:hAnsi="Palatino Linotype"/>
          <w:b/>
          <w:sz w:val="22"/>
          <w:szCs w:val="22"/>
          <w:lang w:val="es-ES"/>
        </w:rPr>
      </w:pPr>
      <w:r w:rsidRPr="00FF0608">
        <w:rPr>
          <w:rFonts w:ascii="Palatino Linotype" w:hAnsi="Palatino Linotype"/>
          <w:b/>
          <w:sz w:val="22"/>
          <w:szCs w:val="22"/>
          <w:lang w:val="es-ES"/>
        </w:rPr>
        <w:t>Causales de improcedencia</w:t>
      </w:r>
    </w:p>
    <w:p w14:paraId="7ABB438E" w14:textId="77777777" w:rsidR="00DA08C5" w:rsidRPr="00FF0608" w:rsidRDefault="00DA08C5" w:rsidP="00442CAA">
      <w:pPr>
        <w:spacing w:line="360" w:lineRule="auto"/>
        <w:contextualSpacing/>
        <w:jc w:val="both"/>
        <w:rPr>
          <w:rFonts w:ascii="Palatino Linotype" w:hAnsi="Palatino Linotype"/>
          <w:sz w:val="22"/>
          <w:szCs w:val="22"/>
        </w:rPr>
      </w:pPr>
    </w:p>
    <w:p w14:paraId="7D1BAA53" w14:textId="77777777" w:rsidR="00DA08C5" w:rsidRPr="00FF0608" w:rsidRDefault="00DA08C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F0608"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F0608" w:rsidRDefault="00DA08C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En el presente caso, </w:t>
      </w:r>
      <w:r w:rsidRPr="00FF0608">
        <w:rPr>
          <w:rFonts w:ascii="Palatino Linotype" w:hAnsi="Palatino Linotype" w:cs="Tahoma"/>
          <w:b/>
          <w:bCs/>
          <w:sz w:val="22"/>
          <w:szCs w:val="22"/>
        </w:rPr>
        <w:t>no se actualiza ninguna de las causales de improcedencia</w:t>
      </w:r>
      <w:r w:rsidRPr="00FF0608">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F0608">
        <w:rPr>
          <w:rFonts w:ascii="Palatino Linotype" w:hAnsi="Palatino Linotype" w:cs="Tahoma"/>
          <w:sz w:val="22"/>
          <w:szCs w:val="22"/>
        </w:rPr>
        <w:t>ersona</w:t>
      </w:r>
      <w:r w:rsidRPr="00FF0608">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F0608"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F0608" w:rsidRDefault="00DA08C5" w:rsidP="00442CAA">
      <w:pPr>
        <w:spacing w:line="360" w:lineRule="auto"/>
        <w:contextualSpacing/>
        <w:jc w:val="both"/>
        <w:rPr>
          <w:rFonts w:ascii="Palatino Linotype" w:hAnsi="Palatino Linotype" w:cs="Tahoma"/>
          <w:sz w:val="22"/>
          <w:szCs w:val="22"/>
          <w:lang w:val="es-ES"/>
        </w:rPr>
      </w:pPr>
      <w:r w:rsidRPr="00FF0608">
        <w:rPr>
          <w:rFonts w:ascii="Palatino Linotype" w:hAnsi="Palatino Linotype" w:cs="Tahoma"/>
          <w:sz w:val="22"/>
          <w:szCs w:val="22"/>
          <w:lang w:val="es-ES"/>
        </w:rPr>
        <w:lastRenderedPageBreak/>
        <w:t xml:space="preserve">Además, de que el Medios de Impugnación fue presentado en tiempo, toda vez que ante la ausencia de la respuesta del Ente Recurrido, se constituyó la </w:t>
      </w:r>
      <w:r w:rsidRPr="00FF0608">
        <w:rPr>
          <w:rFonts w:ascii="Palatino Linotype" w:hAnsi="Palatino Linotype" w:cs="Tahoma"/>
          <w:b/>
          <w:sz w:val="22"/>
          <w:szCs w:val="22"/>
          <w:lang w:val="es-ES"/>
        </w:rPr>
        <w:t>negativa ficta</w:t>
      </w:r>
      <w:r w:rsidRPr="00FF0608">
        <w:rPr>
          <w:rFonts w:ascii="Palatino Linotype" w:hAnsi="Palatino Linotype" w:cs="Tahoma"/>
          <w:sz w:val="22"/>
          <w:szCs w:val="22"/>
          <w:lang w:val="es-ES"/>
        </w:rPr>
        <w:t xml:space="preserve">, que genera la posibilidad de los particulares de interponer un recurso de revisión ante tal omisión, </w:t>
      </w:r>
      <w:r w:rsidRPr="00FF0608">
        <w:rPr>
          <w:rFonts w:ascii="Palatino Linotype" w:hAnsi="Palatino Linotype" w:cs="Tahoma"/>
          <w:sz w:val="22"/>
          <w:szCs w:val="22"/>
          <w:u w:val="single"/>
          <w:lang w:val="es-ES"/>
        </w:rPr>
        <w:t>en cualquier momento</w:t>
      </w:r>
      <w:r w:rsidRPr="00FF0608">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F0608"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FF0608" w:rsidRDefault="00DA08C5" w:rsidP="00442CAA">
      <w:pPr>
        <w:spacing w:line="360" w:lineRule="auto"/>
        <w:contextualSpacing/>
        <w:jc w:val="both"/>
        <w:rPr>
          <w:rFonts w:ascii="Palatino Linotype" w:hAnsi="Palatino Linotype" w:cs="Tahoma"/>
          <w:bCs/>
          <w:sz w:val="22"/>
          <w:szCs w:val="22"/>
          <w:lang w:val="es-ES"/>
        </w:rPr>
      </w:pPr>
      <w:r w:rsidRPr="00FF0608">
        <w:rPr>
          <w:rFonts w:ascii="Palatino Linotype" w:hAnsi="Palatino Linotype" w:cs="Tahoma"/>
          <w:sz w:val="22"/>
          <w:szCs w:val="22"/>
          <w:lang w:val="es-ES"/>
        </w:rPr>
        <w:t>Conforme a lo anterior, se actualiza la causal de procedencia señalada en el artículo 179, fracción VII, de la Ley de la materia</w:t>
      </w:r>
      <w:r w:rsidRPr="00FF0608">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FF0608"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FF0608" w:rsidRDefault="00F93859" w:rsidP="00442CAA">
      <w:pPr>
        <w:spacing w:line="360" w:lineRule="auto"/>
        <w:jc w:val="both"/>
        <w:rPr>
          <w:rFonts w:ascii="Palatino Linotype" w:hAnsi="Palatino Linotype" w:cs="Tahoma"/>
          <w:b/>
          <w:bCs/>
          <w:sz w:val="22"/>
          <w:szCs w:val="22"/>
        </w:rPr>
      </w:pPr>
      <w:r w:rsidRPr="00FF0608">
        <w:rPr>
          <w:rFonts w:ascii="Palatino Linotype" w:hAnsi="Palatino Linotype" w:cs="Tahoma"/>
          <w:b/>
          <w:bCs/>
          <w:sz w:val="22"/>
          <w:szCs w:val="22"/>
        </w:rPr>
        <w:t>Causales de sobreseimiento</w:t>
      </w:r>
    </w:p>
    <w:p w14:paraId="4DD47685" w14:textId="77777777" w:rsidR="00F93859" w:rsidRPr="00FF0608" w:rsidRDefault="00F93859" w:rsidP="00442CAA">
      <w:pPr>
        <w:spacing w:line="360" w:lineRule="auto"/>
        <w:jc w:val="both"/>
        <w:rPr>
          <w:rFonts w:ascii="Palatino Linotype" w:hAnsi="Palatino Linotype" w:cs="Tahoma"/>
          <w:bCs/>
          <w:sz w:val="22"/>
          <w:szCs w:val="22"/>
        </w:rPr>
      </w:pPr>
    </w:p>
    <w:p w14:paraId="6AD3A1F5" w14:textId="77777777" w:rsidR="00F93859" w:rsidRPr="00FF0608" w:rsidRDefault="00F93859" w:rsidP="00442CAA">
      <w:pPr>
        <w:spacing w:line="360" w:lineRule="auto"/>
        <w:jc w:val="both"/>
        <w:rPr>
          <w:rFonts w:ascii="Palatino Linotype" w:hAnsi="Palatino Linotype" w:cs="Tahoma"/>
          <w:bCs/>
          <w:sz w:val="22"/>
          <w:szCs w:val="22"/>
        </w:rPr>
      </w:pPr>
      <w:r w:rsidRPr="00FF0608">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FF0608" w:rsidRDefault="0004787C" w:rsidP="00442CAA">
      <w:pPr>
        <w:spacing w:line="360" w:lineRule="auto"/>
        <w:jc w:val="both"/>
        <w:rPr>
          <w:rFonts w:ascii="Palatino Linotype" w:hAnsi="Palatino Linotype" w:cs="Tahoma"/>
          <w:bCs/>
          <w:sz w:val="22"/>
          <w:szCs w:val="22"/>
        </w:rPr>
      </w:pPr>
    </w:p>
    <w:p w14:paraId="181E608E" w14:textId="77777777" w:rsidR="00F93859" w:rsidRPr="00FF0608" w:rsidRDefault="00F93859" w:rsidP="00442CAA">
      <w:pPr>
        <w:spacing w:line="360" w:lineRule="auto"/>
        <w:jc w:val="both"/>
        <w:rPr>
          <w:rFonts w:ascii="Palatino Linotype" w:hAnsi="Palatino Linotype" w:cs="Tahoma"/>
          <w:sz w:val="22"/>
          <w:szCs w:val="28"/>
        </w:rPr>
      </w:pPr>
      <w:r w:rsidRPr="00FF0608">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F0608" w:rsidRDefault="00F93859" w:rsidP="00442CAA">
      <w:pPr>
        <w:spacing w:line="360" w:lineRule="auto"/>
        <w:jc w:val="both"/>
        <w:rPr>
          <w:rFonts w:ascii="Palatino Linotype" w:hAnsi="Palatino Linotype" w:cs="Tahoma"/>
          <w:sz w:val="22"/>
          <w:szCs w:val="28"/>
        </w:rPr>
      </w:pPr>
    </w:p>
    <w:p w14:paraId="0156C47A" w14:textId="77777777" w:rsidR="00F93859" w:rsidRPr="00FF0608" w:rsidRDefault="00F93859" w:rsidP="00442CAA">
      <w:pPr>
        <w:spacing w:line="360" w:lineRule="auto"/>
        <w:jc w:val="both"/>
        <w:rPr>
          <w:rFonts w:ascii="Palatino Linotype" w:hAnsi="Palatino Linotype" w:cs="Tahoma"/>
          <w:bCs/>
          <w:sz w:val="22"/>
          <w:szCs w:val="22"/>
        </w:rPr>
      </w:pPr>
      <w:r w:rsidRPr="00FF0608">
        <w:rPr>
          <w:rFonts w:ascii="Palatino Linotype" w:hAnsi="Palatino Linotype" w:cs="Tahoma"/>
          <w:bCs/>
          <w:sz w:val="22"/>
          <w:szCs w:val="22"/>
        </w:rPr>
        <w:t xml:space="preserve">Por tales motivos, se considera procedente entrar al fondo del presente asunto. </w:t>
      </w:r>
    </w:p>
    <w:p w14:paraId="695E21DB" w14:textId="77777777" w:rsidR="00BA5927" w:rsidRPr="00FF0608" w:rsidRDefault="00BA5927" w:rsidP="00442CAA">
      <w:pPr>
        <w:spacing w:line="360" w:lineRule="auto"/>
        <w:jc w:val="both"/>
        <w:rPr>
          <w:rFonts w:ascii="Palatino Linotype" w:hAnsi="Palatino Linotype" w:cs="Tahoma"/>
          <w:bCs/>
          <w:sz w:val="22"/>
          <w:szCs w:val="22"/>
        </w:rPr>
      </w:pPr>
    </w:p>
    <w:p w14:paraId="000C8B81" w14:textId="77777777" w:rsidR="00F93859" w:rsidRPr="00FF0608" w:rsidRDefault="00F93859" w:rsidP="00442CAA">
      <w:pPr>
        <w:pStyle w:val="Ttulo2"/>
        <w:rPr>
          <w:color w:val="auto"/>
          <w:lang w:val="es-ES"/>
        </w:rPr>
      </w:pPr>
      <w:bookmarkStart w:id="8" w:name="_Toc216164932"/>
      <w:r w:rsidRPr="00FF0608">
        <w:rPr>
          <w:color w:val="auto"/>
          <w:lang w:val="es-ES"/>
        </w:rPr>
        <w:t>TERCERO. Determinación de la Controversia</w:t>
      </w:r>
      <w:bookmarkEnd w:id="8"/>
    </w:p>
    <w:p w14:paraId="7C507C79" w14:textId="77777777" w:rsidR="00F93859" w:rsidRPr="00FF0608"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56D558D2" w14:textId="17EC77C4" w:rsidR="00D94A9F" w:rsidRPr="00FF0608"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FF0608">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86C30">
        <w:rPr>
          <w:rFonts w:ascii="Palatino Linotype" w:eastAsia="Calibri" w:hAnsi="Palatino Linotype" w:cs="Tahoma"/>
          <w:sz w:val="22"/>
          <w:szCs w:val="22"/>
          <w:lang w:val="es-ES" w:eastAsia="es-MX"/>
        </w:rPr>
        <w:t xml:space="preserve"> el desglose mensual del gasto ejercicio por la Dirección de Desarrollo Urbano, durante el ejercicio fiscal dos mil veinticuatro y dos mil veinticinco. </w:t>
      </w:r>
    </w:p>
    <w:p w14:paraId="7AE1371E" w14:textId="0DB8AD59" w:rsidR="008926DC" w:rsidRPr="00FF0608" w:rsidRDefault="008926DC" w:rsidP="0017551D">
      <w:pPr>
        <w:tabs>
          <w:tab w:val="left" w:pos="4962"/>
        </w:tabs>
        <w:spacing w:line="360" w:lineRule="auto"/>
        <w:contextualSpacing/>
        <w:jc w:val="both"/>
        <w:rPr>
          <w:rFonts w:ascii="Palatino Linotype" w:eastAsia="Calibri" w:hAnsi="Palatino Linotype" w:cs="Tahoma"/>
          <w:color w:val="FF0000"/>
          <w:sz w:val="22"/>
          <w:szCs w:val="22"/>
          <w:lang w:val="es-ES" w:eastAsia="es-MX"/>
        </w:rPr>
      </w:pPr>
    </w:p>
    <w:p w14:paraId="56228336" w14:textId="7129495B" w:rsidR="00F93859" w:rsidRPr="00FF0608" w:rsidRDefault="00F93859" w:rsidP="00442CAA">
      <w:pPr>
        <w:pStyle w:val="NormalWeb"/>
        <w:spacing w:after="0" w:line="360" w:lineRule="auto"/>
        <w:ind w:right="-28"/>
        <w:rPr>
          <w:rFonts w:ascii="Palatino Linotype" w:hAnsi="Palatino Linotype" w:cs="Tahoma"/>
          <w:bCs/>
          <w:iCs/>
          <w:color w:val="auto"/>
          <w:sz w:val="22"/>
          <w:szCs w:val="22"/>
          <w:lang w:val="es-ES"/>
        </w:rPr>
      </w:pPr>
      <w:r w:rsidRPr="00FF0608">
        <w:rPr>
          <w:rFonts w:ascii="Palatino Linotype" w:hAnsi="Palatino Linotype" w:cs="Tahoma"/>
          <w:bCs/>
          <w:iCs/>
          <w:color w:val="auto"/>
          <w:sz w:val="22"/>
          <w:szCs w:val="22"/>
          <w:lang w:val="es-ES"/>
        </w:rPr>
        <w:t>Ante la falta de respuesta</w:t>
      </w:r>
      <w:r w:rsidR="003C4C46">
        <w:rPr>
          <w:rFonts w:ascii="Palatino Linotype" w:hAnsi="Palatino Linotype" w:cs="Tahoma"/>
          <w:bCs/>
          <w:iCs/>
          <w:color w:val="auto"/>
          <w:sz w:val="22"/>
          <w:szCs w:val="22"/>
          <w:lang w:val="es-ES"/>
        </w:rPr>
        <w:t>s</w:t>
      </w:r>
      <w:r w:rsidRPr="00FF0608">
        <w:rPr>
          <w:rFonts w:ascii="Palatino Linotype" w:hAnsi="Palatino Linotype" w:cs="Tahoma"/>
          <w:bCs/>
          <w:iCs/>
          <w:color w:val="auto"/>
          <w:sz w:val="22"/>
          <w:szCs w:val="22"/>
          <w:lang w:val="es-ES"/>
        </w:rPr>
        <w:t xml:space="preserve"> del Ente Recurrido</w:t>
      </w:r>
      <w:r w:rsidR="005F4B24" w:rsidRPr="00FF0608">
        <w:rPr>
          <w:rFonts w:ascii="Palatino Linotype" w:hAnsi="Palatino Linotype" w:cs="Tahoma"/>
          <w:bCs/>
          <w:iCs/>
          <w:color w:val="auto"/>
          <w:sz w:val="22"/>
          <w:szCs w:val="22"/>
          <w:lang w:val="es-ES"/>
        </w:rPr>
        <w:t xml:space="preserve">, </w:t>
      </w:r>
      <w:r w:rsidRPr="00FF0608">
        <w:rPr>
          <w:rFonts w:ascii="Palatino Linotype" w:hAnsi="Palatino Linotype" w:cs="Tahoma"/>
          <w:bCs/>
          <w:iCs/>
          <w:color w:val="auto"/>
          <w:sz w:val="22"/>
          <w:szCs w:val="22"/>
          <w:lang w:val="es-ES"/>
        </w:rPr>
        <w:t>el Particular, justamente se inconformó</w:t>
      </w:r>
      <w:r w:rsidR="005F4B24" w:rsidRPr="00FF0608">
        <w:rPr>
          <w:rFonts w:ascii="Palatino Linotype" w:hAnsi="Palatino Linotype" w:cs="Tahoma"/>
          <w:bCs/>
          <w:iCs/>
          <w:color w:val="auto"/>
          <w:sz w:val="22"/>
          <w:szCs w:val="22"/>
          <w:lang w:val="es-ES"/>
        </w:rPr>
        <w:t xml:space="preserve"> por la falta de entrega de la información</w:t>
      </w:r>
      <w:r w:rsidRPr="00FF060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FF0608">
        <w:rPr>
          <w:rFonts w:ascii="Palatino Linotype" w:hAnsi="Palatino Linotype" w:cs="Tahoma"/>
          <w:bCs/>
          <w:iCs/>
          <w:color w:val="auto"/>
          <w:sz w:val="22"/>
          <w:szCs w:val="22"/>
          <w:shd w:val="clear" w:color="auto" w:fill="FFFFFF"/>
        </w:rPr>
        <w:t xml:space="preserve">. </w:t>
      </w:r>
      <w:r w:rsidRPr="00FF0608">
        <w:rPr>
          <w:rFonts w:ascii="Palatino Linotype" w:hAnsi="Palatino Linotype" w:cs="Tahoma"/>
          <w:color w:val="auto"/>
          <w:sz w:val="22"/>
          <w:szCs w:val="22"/>
          <w:lang w:val="es-ES"/>
        </w:rPr>
        <w:t xml:space="preserve">Así las cosas, una vez admitido y notificado el Recurso de Revisión a las partes, </w:t>
      </w:r>
      <w:r w:rsidR="00D46FC7" w:rsidRPr="00FF0608">
        <w:rPr>
          <w:rFonts w:ascii="Palatino Linotype" w:hAnsi="Palatino Linotype" w:cs="Tahoma"/>
          <w:color w:val="auto"/>
          <w:sz w:val="22"/>
          <w:szCs w:val="22"/>
          <w:lang w:val="es-ES"/>
        </w:rPr>
        <w:t>estas</w:t>
      </w:r>
      <w:r w:rsidR="00D46FC7" w:rsidRPr="00FF060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FF060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FF0608" w:rsidRDefault="00F93859" w:rsidP="00442CAA">
      <w:pPr>
        <w:tabs>
          <w:tab w:val="left" w:pos="4962"/>
        </w:tabs>
        <w:spacing w:line="360" w:lineRule="auto"/>
        <w:jc w:val="both"/>
        <w:rPr>
          <w:rFonts w:ascii="Palatino Linotype" w:eastAsia="Calibri" w:hAnsi="Palatino Linotype" w:cs="Tahoma"/>
          <w:bCs/>
          <w:sz w:val="22"/>
          <w:szCs w:val="22"/>
        </w:rPr>
      </w:pPr>
      <w:r w:rsidRPr="00FF060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F0608">
        <w:rPr>
          <w:rFonts w:ascii="Palatino Linotype" w:eastAsia="Calibri" w:hAnsi="Palatino Linotype" w:cs="Tahoma"/>
          <w:iCs/>
          <w:sz w:val="22"/>
          <w:szCs w:val="22"/>
          <w:lang w:val="es-ES" w:eastAsia="es-ES_tradnl"/>
        </w:rPr>
        <w:t xml:space="preserve"> y</w:t>
      </w:r>
      <w:r w:rsidRPr="00FF0608">
        <w:rPr>
          <w:rFonts w:ascii="Palatino Linotype" w:eastAsia="Calibri" w:hAnsi="Palatino Linotype" w:cs="Tahoma"/>
          <w:iCs/>
          <w:sz w:val="22"/>
          <w:szCs w:val="22"/>
          <w:lang w:eastAsia="es-ES_tradnl"/>
        </w:rPr>
        <w:t xml:space="preserve"> el escrito </w:t>
      </w:r>
      <w:proofErr w:type="spellStart"/>
      <w:r w:rsidRPr="00FF0608">
        <w:rPr>
          <w:rFonts w:ascii="Palatino Linotype" w:eastAsia="Calibri" w:hAnsi="Palatino Linotype" w:cs="Tahoma"/>
          <w:iCs/>
          <w:sz w:val="22"/>
          <w:szCs w:val="22"/>
          <w:lang w:eastAsia="es-ES_tradnl"/>
        </w:rPr>
        <w:t>recursal</w:t>
      </w:r>
      <w:proofErr w:type="spellEnd"/>
      <w:r w:rsidRPr="00FF0608">
        <w:rPr>
          <w:rFonts w:ascii="Palatino Linotype" w:eastAsia="Calibri" w:hAnsi="Palatino Linotype" w:cs="Tahoma"/>
          <w:iCs/>
          <w:sz w:val="22"/>
          <w:szCs w:val="22"/>
          <w:lang w:eastAsia="es-ES_tradnl"/>
        </w:rPr>
        <w:t xml:space="preserve">; </w:t>
      </w:r>
      <w:r w:rsidRPr="00FF060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F060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FF0608" w:rsidRDefault="00F93859" w:rsidP="00442CAA">
      <w:pPr>
        <w:pStyle w:val="Ttulo2"/>
        <w:jc w:val="both"/>
        <w:rPr>
          <w:color w:val="auto"/>
        </w:rPr>
      </w:pPr>
      <w:bookmarkStart w:id="9" w:name="_Toc216164933"/>
      <w:r w:rsidRPr="00FF0608">
        <w:rPr>
          <w:color w:val="auto"/>
          <w:lang w:val="es-ES"/>
        </w:rPr>
        <w:t xml:space="preserve">CUARTO. </w:t>
      </w:r>
      <w:r w:rsidRPr="00FF0608">
        <w:rPr>
          <w:color w:val="auto"/>
        </w:rPr>
        <w:t>Marco normativo aplicable en materia de transparencia y acceso a la información pública</w:t>
      </w:r>
      <w:bookmarkEnd w:id="9"/>
    </w:p>
    <w:p w14:paraId="46E96098" w14:textId="77777777" w:rsidR="00BA5927" w:rsidRPr="00FF0608" w:rsidRDefault="00BA5927" w:rsidP="00442CAA">
      <w:pPr>
        <w:spacing w:line="360" w:lineRule="auto"/>
        <w:jc w:val="both"/>
        <w:rPr>
          <w:rFonts w:ascii="Palatino Linotype" w:hAnsi="Palatino Linotype" w:cs="Tahoma"/>
          <w:sz w:val="22"/>
          <w:szCs w:val="22"/>
        </w:rPr>
      </w:pPr>
    </w:p>
    <w:p w14:paraId="6C744EA8" w14:textId="5A4C947D" w:rsidR="00BA5927" w:rsidRPr="00FF0608" w:rsidRDefault="00BA5927" w:rsidP="00442CAA">
      <w:pPr>
        <w:spacing w:line="360" w:lineRule="auto"/>
        <w:jc w:val="both"/>
        <w:rPr>
          <w:rFonts w:ascii="Palatino Linotype" w:hAnsi="Palatino Linotype" w:cs="Tahoma"/>
          <w:sz w:val="22"/>
          <w:szCs w:val="22"/>
        </w:rPr>
      </w:pPr>
      <w:r w:rsidRPr="00FF060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F0608" w:rsidRDefault="00BA5927" w:rsidP="00442CAA">
      <w:pPr>
        <w:spacing w:line="360" w:lineRule="auto"/>
        <w:jc w:val="both"/>
        <w:rPr>
          <w:rFonts w:ascii="Palatino Linotype" w:hAnsi="Palatino Linotype" w:cs="Tahoma"/>
          <w:sz w:val="22"/>
          <w:szCs w:val="22"/>
        </w:rPr>
      </w:pPr>
    </w:p>
    <w:p w14:paraId="67458415" w14:textId="234AC19B" w:rsidR="00BA5927" w:rsidRPr="00FF0608" w:rsidRDefault="00D6661B" w:rsidP="00D6661B">
      <w:pPr>
        <w:spacing w:line="360" w:lineRule="auto"/>
        <w:jc w:val="both"/>
        <w:rPr>
          <w:rFonts w:ascii="Palatino Linotype" w:hAnsi="Palatino Linotype" w:cs="Tahoma"/>
          <w:sz w:val="22"/>
          <w:szCs w:val="22"/>
        </w:rPr>
      </w:pPr>
      <w:r w:rsidRPr="00FF0608">
        <w:rPr>
          <w:rFonts w:ascii="Palatino Linotype" w:hAnsi="Palatino Linotype" w:cs="Tahoma"/>
          <w:sz w:val="22"/>
          <w:szCs w:val="22"/>
        </w:rPr>
        <w:t>E</w:t>
      </w:r>
      <w:r w:rsidR="00BA5927" w:rsidRPr="00FF060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F0608" w:rsidRDefault="00BA5927" w:rsidP="00442CAA">
      <w:pPr>
        <w:spacing w:line="360" w:lineRule="auto"/>
        <w:jc w:val="both"/>
        <w:rPr>
          <w:rFonts w:ascii="Palatino Linotype" w:hAnsi="Palatino Linotype" w:cs="Tahoma"/>
          <w:iCs/>
          <w:sz w:val="22"/>
          <w:szCs w:val="22"/>
        </w:rPr>
      </w:pPr>
    </w:p>
    <w:p w14:paraId="38D03AB7" w14:textId="77777777" w:rsidR="00BA5927" w:rsidRPr="00FF0608" w:rsidRDefault="00BA5927"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F0608" w:rsidRDefault="009C44AA" w:rsidP="00442CAA">
      <w:pPr>
        <w:spacing w:line="360" w:lineRule="auto"/>
        <w:jc w:val="both"/>
        <w:rPr>
          <w:rFonts w:ascii="Palatino Linotype" w:hAnsi="Palatino Linotype" w:cs="Tahoma"/>
          <w:iCs/>
          <w:sz w:val="22"/>
          <w:szCs w:val="22"/>
        </w:rPr>
      </w:pPr>
    </w:p>
    <w:p w14:paraId="666CD1C7"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FF0608" w:rsidRDefault="00B07F56" w:rsidP="00442CAA">
      <w:pPr>
        <w:spacing w:line="360" w:lineRule="auto"/>
        <w:jc w:val="both"/>
        <w:rPr>
          <w:rFonts w:ascii="Palatino Linotype" w:hAnsi="Palatino Linotype" w:cs="Tahoma"/>
          <w:iCs/>
          <w:sz w:val="22"/>
          <w:szCs w:val="22"/>
        </w:rPr>
      </w:pPr>
    </w:p>
    <w:p w14:paraId="0338B81A"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F0608" w:rsidRDefault="00E716DD" w:rsidP="00442CAA">
      <w:pPr>
        <w:spacing w:line="360" w:lineRule="auto"/>
        <w:jc w:val="both"/>
        <w:rPr>
          <w:rFonts w:ascii="Palatino Linotype" w:hAnsi="Palatino Linotype" w:cs="Tahoma"/>
          <w:iCs/>
          <w:sz w:val="22"/>
          <w:szCs w:val="22"/>
        </w:rPr>
      </w:pPr>
    </w:p>
    <w:p w14:paraId="142DF62C"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F0608"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FF0608" w:rsidRDefault="00E716DD" w:rsidP="00442CAA">
      <w:pPr>
        <w:pStyle w:val="Ttulo2"/>
        <w:rPr>
          <w:color w:val="auto"/>
          <w:lang w:val="es-ES"/>
        </w:rPr>
      </w:pPr>
      <w:bookmarkStart w:id="10" w:name="_Toc216164934"/>
      <w:r w:rsidRPr="00FF0608">
        <w:rPr>
          <w:color w:val="auto"/>
          <w:lang w:val="es-ES"/>
        </w:rPr>
        <w:t>QUINTO. Estudio de Fondo</w:t>
      </w:r>
      <w:bookmarkEnd w:id="10"/>
    </w:p>
    <w:p w14:paraId="7C675EDB" w14:textId="77777777" w:rsidR="00E716DD" w:rsidRPr="00FF0608" w:rsidRDefault="00E716DD" w:rsidP="00442CAA">
      <w:pPr>
        <w:spacing w:line="360" w:lineRule="auto"/>
        <w:jc w:val="both"/>
        <w:rPr>
          <w:rFonts w:ascii="Palatino Linotype" w:hAnsi="Palatino Linotype" w:cs="Tahoma"/>
          <w:iCs/>
          <w:sz w:val="22"/>
          <w:szCs w:val="22"/>
          <w:lang w:val="es-ES"/>
        </w:rPr>
      </w:pPr>
    </w:p>
    <w:p w14:paraId="24AEFE35" w14:textId="6BC2DE0F"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lastRenderedPageBreak/>
        <w:t xml:space="preserve">Expuestas las posturas de las partes, se procede al análisis del agravio hecho valer por la persona Recurrente, concerniente a la falta de respuesta del </w:t>
      </w:r>
      <w:r w:rsidR="00790E96">
        <w:rPr>
          <w:rFonts w:ascii="Palatino Linotype" w:hAnsi="Palatino Linotype" w:cs="Tahoma"/>
          <w:iCs/>
          <w:sz w:val="22"/>
          <w:szCs w:val="22"/>
        </w:rPr>
        <w:t>Ayuntamiento de Tepotzotlán</w:t>
      </w:r>
      <w:r w:rsidR="006C713D" w:rsidRPr="00FF0608">
        <w:rPr>
          <w:rFonts w:ascii="Palatino Linotype" w:hAnsi="Palatino Linotype" w:cs="Tahoma"/>
          <w:iCs/>
          <w:sz w:val="22"/>
          <w:szCs w:val="22"/>
        </w:rPr>
        <w:t xml:space="preserve"> </w:t>
      </w:r>
      <w:r w:rsidRPr="00FF0608">
        <w:rPr>
          <w:rFonts w:ascii="Palatino Linotype" w:hAnsi="Palatino Linotype" w:cs="Tahoma"/>
          <w:iCs/>
          <w:sz w:val="22"/>
          <w:szCs w:val="22"/>
        </w:rPr>
        <w:t>a la solicitud de información.</w:t>
      </w:r>
    </w:p>
    <w:p w14:paraId="685AFA76" w14:textId="77777777" w:rsidR="00E716DD" w:rsidRPr="00FF0608" w:rsidRDefault="00E716DD" w:rsidP="00442CAA">
      <w:pPr>
        <w:spacing w:line="360" w:lineRule="auto"/>
        <w:jc w:val="both"/>
        <w:rPr>
          <w:rFonts w:ascii="Palatino Linotype" w:hAnsi="Palatino Linotype" w:cs="Tahoma"/>
          <w:iCs/>
          <w:sz w:val="22"/>
          <w:szCs w:val="22"/>
        </w:rPr>
      </w:pPr>
    </w:p>
    <w:p w14:paraId="05477E73"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F0608" w:rsidRDefault="00E716DD" w:rsidP="00442CAA">
      <w:pPr>
        <w:spacing w:line="360" w:lineRule="auto"/>
        <w:jc w:val="both"/>
        <w:rPr>
          <w:rFonts w:ascii="Palatino Linotype" w:hAnsi="Palatino Linotype" w:cs="Tahoma"/>
          <w:iCs/>
          <w:sz w:val="22"/>
          <w:szCs w:val="22"/>
        </w:rPr>
      </w:pPr>
    </w:p>
    <w:p w14:paraId="5810B3D5"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F060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F0608" w:rsidRDefault="003A796B" w:rsidP="00442CAA">
      <w:pPr>
        <w:pStyle w:val="Prrafodelista"/>
        <w:spacing w:line="360" w:lineRule="auto"/>
        <w:rPr>
          <w:rFonts w:ascii="Palatino Linotype" w:hAnsi="Palatino Linotype" w:cs="Tahoma"/>
          <w:iCs/>
          <w:szCs w:val="22"/>
        </w:rPr>
      </w:pPr>
    </w:p>
    <w:p w14:paraId="5B30FD99"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F0608" w:rsidRDefault="00E716DD" w:rsidP="00442CAA">
      <w:pPr>
        <w:spacing w:line="360" w:lineRule="auto"/>
        <w:jc w:val="both"/>
        <w:rPr>
          <w:rFonts w:ascii="Palatino Linotype" w:hAnsi="Palatino Linotype" w:cs="Tahoma"/>
          <w:iCs/>
          <w:sz w:val="22"/>
          <w:szCs w:val="22"/>
        </w:rPr>
      </w:pPr>
    </w:p>
    <w:p w14:paraId="4D78B5D2"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F0608" w:rsidRDefault="00E716DD" w:rsidP="00442CAA">
      <w:pPr>
        <w:spacing w:line="360" w:lineRule="auto"/>
        <w:jc w:val="both"/>
        <w:rPr>
          <w:rFonts w:ascii="Palatino Linotype" w:hAnsi="Palatino Linotype" w:cs="Tahoma"/>
          <w:iCs/>
          <w:sz w:val="22"/>
          <w:szCs w:val="22"/>
        </w:rPr>
      </w:pPr>
    </w:p>
    <w:p w14:paraId="0B263179"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F0608" w:rsidRDefault="00E716DD" w:rsidP="00442CAA">
      <w:pPr>
        <w:spacing w:line="360" w:lineRule="auto"/>
        <w:jc w:val="both"/>
        <w:rPr>
          <w:rFonts w:ascii="Palatino Linotype" w:hAnsi="Palatino Linotype" w:cs="Tahoma"/>
          <w:iCs/>
          <w:sz w:val="22"/>
          <w:szCs w:val="22"/>
        </w:rPr>
      </w:pPr>
    </w:p>
    <w:p w14:paraId="0A96F3D2"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F0608" w:rsidRDefault="009A3007" w:rsidP="00442CAA">
      <w:pPr>
        <w:spacing w:line="360" w:lineRule="auto"/>
        <w:jc w:val="both"/>
        <w:rPr>
          <w:rFonts w:ascii="Palatino Linotype" w:hAnsi="Palatino Linotype" w:cs="Tahoma"/>
          <w:iCs/>
          <w:sz w:val="22"/>
          <w:szCs w:val="22"/>
        </w:rPr>
      </w:pPr>
    </w:p>
    <w:p w14:paraId="167E06A5" w14:textId="77777777"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F060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F0608">
        <w:rPr>
          <w:rFonts w:ascii="Palatino Linotype" w:hAnsi="Palatino Linotype" w:cs="Tahoma"/>
          <w:iCs/>
          <w:sz w:val="22"/>
          <w:szCs w:val="22"/>
        </w:rPr>
        <w:t>;</w:t>
      </w:r>
    </w:p>
    <w:p w14:paraId="26759CEF" w14:textId="77777777" w:rsidR="00BA5927" w:rsidRPr="00FF0608" w:rsidRDefault="00BA5927" w:rsidP="00442CAA">
      <w:pPr>
        <w:pStyle w:val="Prrafodelista"/>
        <w:spacing w:line="360" w:lineRule="auto"/>
        <w:rPr>
          <w:rFonts w:ascii="Palatino Linotype" w:hAnsi="Palatino Linotype" w:cs="Tahoma"/>
          <w:iCs/>
          <w:szCs w:val="22"/>
        </w:rPr>
      </w:pPr>
    </w:p>
    <w:p w14:paraId="29733BD8" w14:textId="48BAA504" w:rsidR="00E716DD" w:rsidRPr="00FF0608" w:rsidRDefault="00BA5927"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 </w:t>
      </w:r>
      <w:r w:rsidR="00E716DD" w:rsidRPr="00FF0608">
        <w:rPr>
          <w:rFonts w:ascii="Palatino Linotype" w:hAnsi="Palatino Linotype" w:cs="Tahoma"/>
          <w:iCs/>
          <w:sz w:val="22"/>
          <w:szCs w:val="22"/>
        </w:rPr>
        <w:t xml:space="preserve">Las respuestas a los requerimientos informativos deberán notificarse al interesado en el menor tiempo posible, </w:t>
      </w:r>
      <w:r w:rsidR="00E716DD" w:rsidRPr="00FF0608">
        <w:rPr>
          <w:rFonts w:ascii="Palatino Linotype" w:hAnsi="Palatino Linotype" w:cs="Tahoma"/>
          <w:iCs/>
          <w:sz w:val="22"/>
          <w:szCs w:val="22"/>
          <w:u w:val="single"/>
        </w:rPr>
        <w:t>que no podrá exceder quince días,</w:t>
      </w:r>
      <w:r w:rsidR="00E716DD" w:rsidRPr="00FF0608">
        <w:rPr>
          <w:rFonts w:ascii="Palatino Linotype" w:hAnsi="Palatino Linotype" w:cs="Tahoma"/>
          <w:iCs/>
          <w:sz w:val="22"/>
          <w:szCs w:val="22"/>
        </w:rPr>
        <w:t xml:space="preserve"> contados a partir del día </w:t>
      </w:r>
      <w:r w:rsidR="00E716DD" w:rsidRPr="00FF0608">
        <w:rPr>
          <w:rFonts w:ascii="Palatino Linotype" w:hAnsi="Palatino Linotype" w:cs="Tahoma"/>
          <w:iCs/>
          <w:sz w:val="22"/>
          <w:szCs w:val="22"/>
        </w:rPr>
        <w:lastRenderedPageBreak/>
        <w:t>siguiente a la presentación de ésta. Excepcionalmente, el plazo referido podrá ampliarse por siete días hábiles más, cuando existan razones fundadas y motivadas, a través del Comité de Transparencia;</w:t>
      </w:r>
    </w:p>
    <w:p w14:paraId="65FA4B4C" w14:textId="77777777" w:rsidR="00BA5927" w:rsidRPr="00FF0608" w:rsidRDefault="00BA5927" w:rsidP="00442CAA">
      <w:pPr>
        <w:pStyle w:val="Prrafodelista"/>
        <w:spacing w:line="360" w:lineRule="auto"/>
        <w:rPr>
          <w:rFonts w:ascii="Palatino Linotype" w:hAnsi="Palatino Linotype" w:cs="Tahoma"/>
          <w:iCs/>
          <w:szCs w:val="22"/>
        </w:rPr>
      </w:pPr>
    </w:p>
    <w:p w14:paraId="51C1EBAF" w14:textId="77777777"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F0608" w:rsidRDefault="007935E5" w:rsidP="00442CAA">
      <w:pPr>
        <w:spacing w:line="360" w:lineRule="auto"/>
        <w:rPr>
          <w:rFonts w:ascii="Palatino Linotype" w:hAnsi="Palatino Linotype" w:cs="Tahoma"/>
          <w:iCs/>
          <w:szCs w:val="22"/>
        </w:rPr>
      </w:pPr>
    </w:p>
    <w:p w14:paraId="76EF5205" w14:textId="2E3FA03E"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F0608" w:rsidRDefault="00BA5927" w:rsidP="00442CAA">
      <w:pPr>
        <w:pStyle w:val="Prrafodelista"/>
        <w:spacing w:line="360" w:lineRule="auto"/>
        <w:rPr>
          <w:rFonts w:ascii="Palatino Linotype" w:hAnsi="Palatino Linotype" w:cs="Tahoma"/>
          <w:iCs/>
          <w:szCs w:val="22"/>
        </w:rPr>
      </w:pPr>
    </w:p>
    <w:p w14:paraId="385CBACE" w14:textId="73CE4B51"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F0608" w:rsidRDefault="00E716DD" w:rsidP="00442CAA">
      <w:pPr>
        <w:spacing w:line="360" w:lineRule="auto"/>
        <w:jc w:val="both"/>
        <w:rPr>
          <w:rFonts w:ascii="Palatino Linotype" w:hAnsi="Palatino Linotype" w:cs="Tahoma"/>
          <w:iCs/>
          <w:sz w:val="22"/>
          <w:szCs w:val="22"/>
        </w:rPr>
      </w:pPr>
    </w:p>
    <w:p w14:paraId="5D7A501D" w14:textId="5F811BB5" w:rsidR="00BA5927"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FF0608">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Pr="00FF0608">
        <w:rPr>
          <w:rFonts w:ascii="Palatino Linotype" w:hAnsi="Palatino Linotype" w:cs="Tahoma"/>
          <w:iCs/>
          <w:sz w:val="22"/>
          <w:szCs w:val="22"/>
        </w:rPr>
        <w:t xml:space="preserve">, no había </w:t>
      </w:r>
      <w:r w:rsidRPr="00FF0608">
        <w:rPr>
          <w:rFonts w:ascii="Palatino Linotype" w:hAnsi="Palatino Linotype" w:cs="Tahoma"/>
          <w:iCs/>
          <w:sz w:val="22"/>
          <w:szCs w:val="22"/>
        </w:rPr>
        <w:lastRenderedPageBreak/>
        <w:t>registrado respuesta a</w:t>
      </w:r>
      <w:r w:rsidR="00886C30">
        <w:rPr>
          <w:rFonts w:ascii="Palatino Linotype" w:hAnsi="Palatino Linotype" w:cs="Tahoma"/>
          <w:iCs/>
          <w:sz w:val="22"/>
          <w:szCs w:val="22"/>
        </w:rPr>
        <w:t xml:space="preserve"> </w:t>
      </w:r>
      <w:r w:rsidRPr="00FF0608">
        <w:rPr>
          <w:rFonts w:ascii="Palatino Linotype" w:hAnsi="Palatino Linotype" w:cs="Tahoma"/>
          <w:iCs/>
          <w:sz w:val="22"/>
          <w:szCs w:val="22"/>
        </w:rPr>
        <w:t>l</w:t>
      </w:r>
      <w:r w:rsidR="00886C30">
        <w:rPr>
          <w:rFonts w:ascii="Palatino Linotype" w:hAnsi="Palatino Linotype" w:cs="Tahoma"/>
          <w:iCs/>
          <w:sz w:val="22"/>
          <w:szCs w:val="22"/>
        </w:rPr>
        <w:t>os</w:t>
      </w:r>
      <w:r w:rsidRPr="00FF0608">
        <w:rPr>
          <w:rFonts w:ascii="Palatino Linotype" w:hAnsi="Palatino Linotype" w:cs="Tahoma"/>
          <w:iCs/>
          <w:sz w:val="22"/>
          <w:szCs w:val="22"/>
        </w:rPr>
        <w:t xml:space="preserve"> requerimiento</w:t>
      </w:r>
      <w:r w:rsidR="00886C30">
        <w:rPr>
          <w:rFonts w:ascii="Palatino Linotype" w:hAnsi="Palatino Linotype" w:cs="Tahoma"/>
          <w:iCs/>
          <w:sz w:val="22"/>
          <w:szCs w:val="22"/>
        </w:rPr>
        <w:t>s</w:t>
      </w:r>
      <w:r w:rsidRPr="00FF0608">
        <w:rPr>
          <w:rFonts w:ascii="Palatino Linotype" w:hAnsi="Palatino Linotype" w:cs="Tahoma"/>
          <w:iCs/>
          <w:sz w:val="22"/>
          <w:szCs w:val="22"/>
        </w:rPr>
        <w:t xml:space="preserve"> de acceso a la información, </w:t>
      </w:r>
      <w:r w:rsidR="00886C30">
        <w:rPr>
          <w:rFonts w:ascii="Palatino Linotype" w:hAnsi="Palatino Linotype" w:cs="Tahoma"/>
          <w:iCs/>
          <w:sz w:val="22"/>
          <w:szCs w:val="22"/>
        </w:rPr>
        <w:t>los cuales</w:t>
      </w:r>
      <w:r w:rsidRPr="00FF0608">
        <w:rPr>
          <w:rFonts w:ascii="Palatino Linotype" w:hAnsi="Palatino Linotype" w:cs="Tahoma"/>
          <w:iCs/>
          <w:sz w:val="22"/>
          <w:szCs w:val="22"/>
        </w:rPr>
        <w:t xml:space="preserve"> se </w:t>
      </w:r>
      <w:r w:rsidR="00747A8C" w:rsidRPr="00FF0608">
        <w:rPr>
          <w:rFonts w:ascii="Palatino Linotype" w:hAnsi="Palatino Linotype" w:cs="Tahoma"/>
          <w:iCs/>
          <w:sz w:val="22"/>
          <w:szCs w:val="22"/>
        </w:rPr>
        <w:t>tuv</w:t>
      </w:r>
      <w:r w:rsidR="00886C30">
        <w:rPr>
          <w:rFonts w:ascii="Palatino Linotype" w:hAnsi="Palatino Linotype" w:cs="Tahoma"/>
          <w:iCs/>
          <w:sz w:val="22"/>
          <w:szCs w:val="22"/>
        </w:rPr>
        <w:t>ieron</w:t>
      </w:r>
      <w:r w:rsidR="00747A8C" w:rsidRPr="00FF0608">
        <w:rPr>
          <w:rFonts w:ascii="Palatino Linotype" w:hAnsi="Palatino Linotype" w:cs="Tahoma"/>
          <w:iCs/>
          <w:sz w:val="22"/>
          <w:szCs w:val="22"/>
        </w:rPr>
        <w:t xml:space="preserve"> por presentado</w:t>
      </w:r>
      <w:r w:rsidR="00886C30">
        <w:rPr>
          <w:rFonts w:ascii="Palatino Linotype" w:hAnsi="Palatino Linotype" w:cs="Tahoma"/>
          <w:iCs/>
          <w:sz w:val="22"/>
          <w:szCs w:val="22"/>
        </w:rPr>
        <w:t>s</w:t>
      </w:r>
      <w:r w:rsidR="00747A8C" w:rsidRPr="00FF0608">
        <w:rPr>
          <w:rFonts w:ascii="Palatino Linotype" w:hAnsi="Palatino Linotype" w:cs="Tahoma"/>
          <w:iCs/>
          <w:sz w:val="22"/>
          <w:szCs w:val="22"/>
        </w:rPr>
        <w:t xml:space="preserve">, el </w:t>
      </w:r>
      <w:r w:rsidR="00FF0608">
        <w:rPr>
          <w:rFonts w:ascii="Palatino Linotype" w:hAnsi="Palatino Linotype" w:cs="Tahoma"/>
          <w:iCs/>
          <w:sz w:val="22"/>
          <w:szCs w:val="22"/>
        </w:rPr>
        <w:t xml:space="preserve">día </w:t>
      </w:r>
      <w:r w:rsidR="00886C30">
        <w:rPr>
          <w:rFonts w:ascii="Palatino Linotype" w:hAnsi="Palatino Linotype" w:cs="Tahoma"/>
          <w:iCs/>
          <w:sz w:val="22"/>
          <w:szCs w:val="22"/>
        </w:rPr>
        <w:t>diez de noviembre</w:t>
      </w:r>
      <w:r w:rsidR="001C603D" w:rsidRPr="00FF0608">
        <w:rPr>
          <w:rFonts w:ascii="Palatino Linotype" w:hAnsi="Palatino Linotype" w:cs="Tahoma"/>
          <w:iCs/>
          <w:sz w:val="22"/>
          <w:szCs w:val="22"/>
        </w:rPr>
        <w:t xml:space="preserve"> de dos mil veinticinco.</w:t>
      </w:r>
    </w:p>
    <w:p w14:paraId="1E6A285C" w14:textId="77777777" w:rsidR="00A64DA8" w:rsidRPr="00FF0608" w:rsidRDefault="00A64DA8" w:rsidP="00442CAA">
      <w:pPr>
        <w:spacing w:line="360" w:lineRule="auto"/>
        <w:jc w:val="both"/>
        <w:rPr>
          <w:rFonts w:ascii="Palatino Linotype" w:hAnsi="Palatino Linotype" w:cs="Tahoma"/>
          <w:iCs/>
          <w:color w:val="FF0000"/>
          <w:sz w:val="22"/>
          <w:szCs w:val="22"/>
        </w:rPr>
      </w:pPr>
    </w:p>
    <w:p w14:paraId="24C19C3E" w14:textId="7A2E3D8B"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En ese orden de ideas, el plazo con el que contaba el Sujeto Obligado para emitir contestación al requerimiento </w:t>
      </w:r>
      <w:r w:rsidR="006D2B83" w:rsidRPr="00FF0608">
        <w:rPr>
          <w:rFonts w:ascii="Palatino Linotype" w:hAnsi="Palatino Linotype" w:cs="Tahoma"/>
          <w:iCs/>
          <w:sz w:val="22"/>
          <w:szCs w:val="22"/>
        </w:rPr>
        <w:t>informativo</w:t>
      </w:r>
      <w:r w:rsidRPr="00FF0608">
        <w:rPr>
          <w:rFonts w:ascii="Palatino Linotype" w:hAnsi="Palatino Linotype" w:cs="Tahoma"/>
          <w:iCs/>
          <w:sz w:val="22"/>
          <w:szCs w:val="22"/>
        </w:rPr>
        <w:t xml:space="preserve"> comenzó a correr </w:t>
      </w:r>
      <w:r w:rsidR="00074BF7" w:rsidRPr="00FF0608">
        <w:rPr>
          <w:rFonts w:ascii="Palatino Linotype" w:hAnsi="Palatino Linotype" w:cs="Tahoma"/>
          <w:iCs/>
          <w:sz w:val="22"/>
          <w:szCs w:val="22"/>
        </w:rPr>
        <w:t xml:space="preserve">el </w:t>
      </w:r>
      <w:r w:rsidR="00886C30">
        <w:rPr>
          <w:rFonts w:ascii="Palatino Linotype" w:hAnsi="Palatino Linotype" w:cs="Tahoma"/>
          <w:iCs/>
          <w:sz w:val="22"/>
          <w:szCs w:val="22"/>
        </w:rPr>
        <w:t>once de noviembre</w:t>
      </w:r>
      <w:r w:rsidR="00FF0608" w:rsidRPr="00FF0608">
        <w:rPr>
          <w:rFonts w:ascii="Palatino Linotype" w:hAnsi="Palatino Linotype" w:cs="Tahoma"/>
          <w:iCs/>
          <w:sz w:val="22"/>
          <w:szCs w:val="22"/>
        </w:rPr>
        <w:t xml:space="preserve"> y feneció el </w:t>
      </w:r>
      <w:r w:rsidR="00886C30">
        <w:rPr>
          <w:rFonts w:ascii="Palatino Linotype" w:hAnsi="Palatino Linotype" w:cs="Tahoma"/>
          <w:iCs/>
          <w:sz w:val="22"/>
          <w:szCs w:val="22"/>
        </w:rPr>
        <w:t>dos de diciembre ambos</w:t>
      </w:r>
      <w:r w:rsidR="00FF0608" w:rsidRPr="00FF0608">
        <w:rPr>
          <w:rFonts w:ascii="Palatino Linotype" w:hAnsi="Palatino Linotype" w:cs="Tahoma"/>
          <w:iCs/>
          <w:sz w:val="22"/>
          <w:szCs w:val="22"/>
        </w:rPr>
        <w:t xml:space="preserve"> </w:t>
      </w:r>
      <w:r w:rsidR="001C603D" w:rsidRPr="00FF0608">
        <w:rPr>
          <w:rFonts w:ascii="Palatino Linotype" w:hAnsi="Palatino Linotype" w:cs="Tahoma"/>
          <w:iCs/>
          <w:sz w:val="22"/>
          <w:szCs w:val="22"/>
        </w:rPr>
        <w:t>de dos mil veinticinco</w:t>
      </w:r>
      <w:r w:rsidRPr="00FF0608">
        <w:rPr>
          <w:rFonts w:ascii="Palatino Linotype" w:hAnsi="Palatino Linotype" w:cs="Tahoma"/>
          <w:iCs/>
          <w:sz w:val="22"/>
          <w:szCs w:val="22"/>
        </w:rPr>
        <w:t>; lo anterior, sin contar los días</w:t>
      </w:r>
      <w:r w:rsidR="00886C30">
        <w:rPr>
          <w:rFonts w:ascii="Palatino Linotype" w:hAnsi="Palatino Linotype" w:cs="Tahoma"/>
          <w:iCs/>
          <w:sz w:val="22"/>
          <w:szCs w:val="22"/>
        </w:rPr>
        <w:t xml:space="preserve"> quince, dieciséis, diecisiete, veintidós, veintitrés, veintinueve y treinta de noviembre de dicho año</w:t>
      </w:r>
      <w:r w:rsidRPr="00FF0608">
        <w:rPr>
          <w:rFonts w:ascii="Palatino Linotype" w:hAnsi="Palatino Linotype" w:cs="Tahoma"/>
          <w:iCs/>
          <w:sz w:val="22"/>
          <w:szCs w:val="22"/>
        </w:rPr>
        <w:t xml:space="preserve">, al ser inhábiles, de conformidad con </w:t>
      </w:r>
      <w:r w:rsidR="009C44AA" w:rsidRPr="00FF0608">
        <w:rPr>
          <w:rFonts w:ascii="Palatino Linotype" w:hAnsi="Palatino Linotype" w:cs="Tahoma"/>
          <w:iCs/>
          <w:sz w:val="22"/>
          <w:szCs w:val="22"/>
        </w:rPr>
        <w:t>el artículo,</w:t>
      </w:r>
      <w:r w:rsidRPr="00FF0608">
        <w:rPr>
          <w:rFonts w:ascii="Palatino Linotype" w:hAnsi="Palatino Linotype" w:cs="Tahoma"/>
          <w:iCs/>
          <w:sz w:val="22"/>
          <w:szCs w:val="22"/>
        </w:rPr>
        <w:t xml:space="preserve"> 3°, fracción X</w:t>
      </w:r>
      <w:r w:rsidR="009C44AA" w:rsidRPr="00FF0608">
        <w:rPr>
          <w:rFonts w:ascii="Palatino Linotype" w:hAnsi="Palatino Linotype" w:cs="Tahoma"/>
          <w:iCs/>
          <w:sz w:val="22"/>
          <w:szCs w:val="22"/>
        </w:rPr>
        <w:t xml:space="preserve">, </w:t>
      </w:r>
      <w:r w:rsidRPr="00FF0608">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F0608">
        <w:rPr>
          <w:rFonts w:ascii="Palatino Linotype" w:hAnsi="Palatino Linotype" w:cs="Tahoma"/>
          <w:iCs/>
          <w:sz w:val="22"/>
          <w:szCs w:val="22"/>
        </w:rPr>
        <w:t xml:space="preserve">el </w:t>
      </w:r>
      <w:r w:rsidRPr="00FF060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F0608">
        <w:rPr>
          <w:rFonts w:ascii="Palatino Linotype" w:hAnsi="Palatino Linotype" w:cs="Tahoma"/>
          <w:iCs/>
          <w:sz w:val="22"/>
          <w:szCs w:val="22"/>
          <w:lang w:val="es-ES"/>
        </w:rPr>
        <w:t xml:space="preserve"> </w:t>
      </w:r>
      <w:r w:rsidRPr="00FF0608">
        <w:rPr>
          <w:rFonts w:ascii="Palatino Linotype" w:hAnsi="Palatino Linotype" w:cs="Tahoma"/>
          <w:iCs/>
          <w:sz w:val="22"/>
          <w:szCs w:val="22"/>
          <w:lang w:val="es-ES"/>
        </w:rPr>
        <w:t>dos mil veinticinco.</w:t>
      </w:r>
    </w:p>
    <w:bookmarkEnd w:id="11"/>
    <w:p w14:paraId="3293CCFE" w14:textId="77777777" w:rsidR="00E716DD" w:rsidRPr="00FF0608"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FF0608" w:rsidRDefault="00E716DD" w:rsidP="00442CAA">
      <w:pPr>
        <w:spacing w:line="360" w:lineRule="auto"/>
        <w:jc w:val="both"/>
        <w:rPr>
          <w:rFonts w:ascii="Palatino Linotype" w:hAnsi="Palatino Linotype" w:cs="Tahoma"/>
          <w:iCs/>
          <w:sz w:val="22"/>
          <w:szCs w:val="22"/>
          <w:lang w:val="es-ES"/>
        </w:rPr>
      </w:pPr>
      <w:r w:rsidRPr="00FF0608">
        <w:rPr>
          <w:rFonts w:ascii="Palatino Linotype" w:hAnsi="Palatino Linotype" w:cs="Tahoma"/>
          <w:iCs/>
          <w:sz w:val="22"/>
          <w:szCs w:val="22"/>
        </w:rPr>
        <w:t xml:space="preserve">Así, este Instituto verificó que, en efecto, no se registró respuesta a la solicitud de información de la persona Recurrente, en el </w:t>
      </w:r>
      <w:r w:rsidRPr="00FF0608">
        <w:rPr>
          <w:rFonts w:ascii="Palatino Linotype" w:hAnsi="Palatino Linotype" w:cs="Tahoma"/>
          <w:iCs/>
          <w:sz w:val="22"/>
          <w:szCs w:val="22"/>
          <w:lang w:val="es-ES"/>
        </w:rPr>
        <w:t>Sistema de Acceso a la Información Mexiquense (SAIMEX), tal como se observa a continuación:</w:t>
      </w:r>
    </w:p>
    <w:p w14:paraId="72A03E97" w14:textId="70563BA1" w:rsidR="00DF46BB" w:rsidRDefault="00DF46BB" w:rsidP="001C603D">
      <w:pPr>
        <w:spacing w:line="360" w:lineRule="auto"/>
        <w:jc w:val="center"/>
        <w:rPr>
          <w:rFonts w:ascii="Palatino Linotype" w:hAnsi="Palatino Linotype" w:cs="Tahoma"/>
          <w:iCs/>
          <w:color w:val="FF0000"/>
          <w:sz w:val="22"/>
          <w:szCs w:val="22"/>
          <w:lang w:val="es-ES"/>
        </w:rPr>
      </w:pPr>
    </w:p>
    <w:p w14:paraId="0939AF12" w14:textId="2C14AA6C" w:rsidR="009544A4" w:rsidRPr="00FF0608" w:rsidRDefault="00886C30" w:rsidP="0017551D">
      <w:pPr>
        <w:spacing w:line="360" w:lineRule="auto"/>
        <w:jc w:val="center"/>
        <w:rPr>
          <w:rFonts w:ascii="Palatino Linotype" w:hAnsi="Palatino Linotype" w:cs="Tahoma"/>
          <w:iCs/>
          <w:color w:val="FF0000"/>
          <w:sz w:val="22"/>
          <w:szCs w:val="22"/>
        </w:rPr>
      </w:pPr>
      <w:r w:rsidRPr="00886C30">
        <w:rPr>
          <w:rFonts w:ascii="Palatino Linotype" w:hAnsi="Palatino Linotype" w:cs="Tahoma"/>
          <w:iCs/>
          <w:noProof/>
          <w:color w:val="FF0000"/>
          <w:sz w:val="22"/>
          <w:szCs w:val="22"/>
          <w:lang w:eastAsia="es-MX"/>
        </w:rPr>
        <w:drawing>
          <wp:inline distT="0" distB="0" distL="0" distR="0" wp14:anchorId="0636572B" wp14:editId="505783F0">
            <wp:extent cx="2586255" cy="1352445"/>
            <wp:effectExtent l="0" t="0" r="5080" b="635"/>
            <wp:docPr id="1620653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5344" name=""/>
                    <pic:cNvPicPr/>
                  </pic:nvPicPr>
                  <pic:blipFill>
                    <a:blip r:embed="rId8"/>
                    <a:stretch>
                      <a:fillRect/>
                    </a:stretch>
                  </pic:blipFill>
                  <pic:spPr>
                    <a:xfrm>
                      <a:off x="0" y="0"/>
                      <a:ext cx="2597364" cy="1358254"/>
                    </a:xfrm>
                    <a:prstGeom prst="rect">
                      <a:avLst/>
                    </a:prstGeom>
                  </pic:spPr>
                </pic:pic>
              </a:graphicData>
            </a:graphic>
          </wp:inline>
        </w:drawing>
      </w:r>
      <w:r>
        <w:rPr>
          <w:rFonts w:ascii="Palatino Linotype" w:hAnsi="Palatino Linotype" w:cs="Tahoma"/>
          <w:iCs/>
          <w:color w:val="FF0000"/>
          <w:sz w:val="22"/>
          <w:szCs w:val="22"/>
          <w:lang w:val="es-ES"/>
        </w:rPr>
        <w:t xml:space="preserve"> </w:t>
      </w:r>
      <w:r w:rsidRPr="00886C30">
        <w:rPr>
          <w:rFonts w:ascii="Palatino Linotype" w:hAnsi="Palatino Linotype" w:cs="Tahoma"/>
          <w:iCs/>
          <w:noProof/>
          <w:color w:val="FF0000"/>
          <w:sz w:val="22"/>
          <w:szCs w:val="22"/>
          <w:lang w:eastAsia="es-MX"/>
        </w:rPr>
        <w:drawing>
          <wp:inline distT="0" distB="0" distL="0" distR="0" wp14:anchorId="0FD0BCE6" wp14:editId="596A1B6F">
            <wp:extent cx="2663052" cy="1376045"/>
            <wp:effectExtent l="0" t="0" r="4445" b="0"/>
            <wp:docPr id="13076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207" name=""/>
                    <pic:cNvPicPr/>
                  </pic:nvPicPr>
                  <pic:blipFill>
                    <a:blip r:embed="rId9"/>
                    <a:stretch>
                      <a:fillRect/>
                    </a:stretch>
                  </pic:blipFill>
                  <pic:spPr>
                    <a:xfrm>
                      <a:off x="0" y="0"/>
                      <a:ext cx="2685114" cy="1387445"/>
                    </a:xfrm>
                    <a:prstGeom prst="rect">
                      <a:avLst/>
                    </a:prstGeom>
                  </pic:spPr>
                </pic:pic>
              </a:graphicData>
            </a:graphic>
          </wp:inline>
        </w:drawing>
      </w:r>
      <w:r w:rsidR="003C4C46">
        <w:rPr>
          <w:rFonts w:ascii="Palatino Linotype" w:hAnsi="Palatino Linotype" w:cs="Tahoma"/>
          <w:iCs/>
          <w:color w:val="FF0000"/>
          <w:sz w:val="22"/>
          <w:szCs w:val="22"/>
        </w:rPr>
        <w:t xml:space="preserve"> </w:t>
      </w:r>
    </w:p>
    <w:p w14:paraId="0DD73499" w14:textId="77777777" w:rsidR="0017551D" w:rsidRPr="00FF0608" w:rsidRDefault="0017551D" w:rsidP="0017551D">
      <w:pPr>
        <w:spacing w:line="360" w:lineRule="auto"/>
        <w:jc w:val="center"/>
        <w:rPr>
          <w:rFonts w:ascii="Palatino Linotype" w:hAnsi="Palatino Linotype" w:cs="Tahoma"/>
          <w:iCs/>
          <w:color w:val="FF0000"/>
          <w:sz w:val="22"/>
          <w:szCs w:val="22"/>
        </w:rPr>
      </w:pPr>
    </w:p>
    <w:p w14:paraId="5077EB42" w14:textId="7813ADA7" w:rsidR="009B190E" w:rsidRPr="004B3892" w:rsidRDefault="00E716DD" w:rsidP="00442CAA">
      <w:pPr>
        <w:spacing w:line="360" w:lineRule="auto"/>
        <w:jc w:val="both"/>
        <w:rPr>
          <w:rFonts w:ascii="Palatino Linotype" w:hAnsi="Palatino Linotype" w:cs="Tahoma"/>
          <w:iCs/>
          <w:sz w:val="22"/>
          <w:szCs w:val="22"/>
        </w:rPr>
      </w:pPr>
      <w:r w:rsidRPr="004B3892">
        <w:rPr>
          <w:rFonts w:ascii="Palatino Linotype" w:hAnsi="Palatino Linotype" w:cs="Tahoma"/>
          <w:iCs/>
          <w:sz w:val="22"/>
          <w:szCs w:val="22"/>
        </w:rPr>
        <w:t>Conforme a lo anterior, se colige que, tal como lo precisó la persona Recurrente, el</w:t>
      </w:r>
      <w:r w:rsidR="00597274" w:rsidRPr="004B3892">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Pr="004B3892">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w:t>
      </w:r>
      <w:r w:rsidRPr="004B3892">
        <w:rPr>
          <w:rFonts w:ascii="Palatino Linotype" w:hAnsi="Palatino Linotype" w:cs="Tahoma"/>
          <w:iCs/>
          <w:sz w:val="22"/>
          <w:szCs w:val="22"/>
        </w:rPr>
        <w:lastRenderedPageBreak/>
        <w:t>de Transparencia y Acceso a la Información Pública del Estado de México y Municipios, pues tenía hasta el</w:t>
      </w:r>
      <w:r w:rsidR="005E6960" w:rsidRPr="004B3892">
        <w:rPr>
          <w:rFonts w:ascii="Palatino Linotype" w:hAnsi="Palatino Linotype" w:cs="Tahoma"/>
          <w:iCs/>
          <w:sz w:val="22"/>
          <w:szCs w:val="22"/>
        </w:rPr>
        <w:t xml:space="preserve"> </w:t>
      </w:r>
      <w:r w:rsidR="00886C30">
        <w:rPr>
          <w:rFonts w:ascii="Palatino Linotype" w:hAnsi="Palatino Linotype" w:cs="Tahoma"/>
          <w:iCs/>
          <w:sz w:val="22"/>
          <w:szCs w:val="22"/>
        </w:rPr>
        <w:t>dos de diciembre</w:t>
      </w:r>
      <w:r w:rsidR="001C603D" w:rsidRPr="004B3892">
        <w:rPr>
          <w:rFonts w:ascii="Palatino Linotype" w:hAnsi="Palatino Linotype" w:cs="Tahoma"/>
          <w:iCs/>
          <w:sz w:val="22"/>
          <w:szCs w:val="22"/>
        </w:rPr>
        <w:t xml:space="preserve"> </w:t>
      </w:r>
      <w:r w:rsidRPr="004B3892">
        <w:rPr>
          <w:rFonts w:ascii="Palatino Linotype" w:hAnsi="Palatino Linotype" w:cs="Tahoma"/>
          <w:iCs/>
          <w:sz w:val="22"/>
          <w:szCs w:val="22"/>
        </w:rPr>
        <w:t>de dos mil veintic</w:t>
      </w:r>
      <w:r w:rsidR="00F90CB9" w:rsidRPr="004B3892">
        <w:rPr>
          <w:rFonts w:ascii="Palatino Linotype" w:hAnsi="Palatino Linotype" w:cs="Tahoma"/>
          <w:iCs/>
          <w:sz w:val="22"/>
          <w:szCs w:val="22"/>
        </w:rPr>
        <w:t>inco</w:t>
      </w:r>
      <w:r w:rsidRPr="004B3892">
        <w:rPr>
          <w:rFonts w:ascii="Palatino Linotype" w:hAnsi="Palatino Linotype" w:cs="Tahoma"/>
          <w:iCs/>
          <w:sz w:val="22"/>
          <w:szCs w:val="22"/>
        </w:rPr>
        <w:t xml:space="preserve">, para realizar dicha situación, por lo que es evidente que el agravio es </w:t>
      </w:r>
      <w:r w:rsidRPr="004B3892">
        <w:rPr>
          <w:rFonts w:ascii="Palatino Linotype" w:hAnsi="Palatino Linotype" w:cs="Tahoma"/>
          <w:b/>
          <w:bCs/>
          <w:iCs/>
          <w:sz w:val="22"/>
          <w:szCs w:val="22"/>
        </w:rPr>
        <w:t>FUNDADO</w:t>
      </w:r>
      <w:r w:rsidRPr="004B3892">
        <w:rPr>
          <w:rFonts w:ascii="Palatino Linotype" w:hAnsi="Palatino Linotype" w:cs="Tahoma"/>
          <w:iCs/>
          <w:sz w:val="22"/>
          <w:szCs w:val="22"/>
        </w:rPr>
        <w:t xml:space="preserve">. </w:t>
      </w:r>
    </w:p>
    <w:p w14:paraId="7C4A188F" w14:textId="77777777" w:rsidR="009B190E" w:rsidRPr="004B3892" w:rsidRDefault="009B190E" w:rsidP="00442CAA">
      <w:pPr>
        <w:spacing w:line="360" w:lineRule="auto"/>
        <w:jc w:val="both"/>
        <w:rPr>
          <w:rFonts w:ascii="Palatino Linotype" w:hAnsi="Palatino Linotype" w:cs="Tahoma"/>
          <w:iCs/>
          <w:sz w:val="22"/>
          <w:szCs w:val="22"/>
        </w:rPr>
      </w:pPr>
    </w:p>
    <w:p w14:paraId="4A7FCF3F" w14:textId="77777777" w:rsidR="009B190E" w:rsidRPr="004B3892" w:rsidRDefault="009B190E" w:rsidP="00442CAA">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 xml:space="preserve">Con base en lo expuesto, es procedente </w:t>
      </w:r>
      <w:r w:rsidRPr="004B3892">
        <w:rPr>
          <w:rFonts w:ascii="Palatino Linotype" w:eastAsia="Calibri" w:hAnsi="Palatino Linotype" w:cs="Tahoma"/>
          <w:b/>
          <w:bCs/>
          <w:sz w:val="22"/>
          <w:szCs w:val="22"/>
        </w:rPr>
        <w:t>ORDENAR</w:t>
      </w:r>
      <w:r w:rsidRPr="004B3892">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5AC13B1" w14:textId="77777777" w:rsidR="00C92D12" w:rsidRPr="004B3892" w:rsidRDefault="00C92D12" w:rsidP="00442CAA">
      <w:pPr>
        <w:tabs>
          <w:tab w:val="left" w:pos="4962"/>
        </w:tabs>
        <w:spacing w:line="360" w:lineRule="auto"/>
        <w:jc w:val="both"/>
        <w:rPr>
          <w:rFonts w:ascii="Palatino Linotype" w:eastAsia="Calibri" w:hAnsi="Palatino Linotype" w:cs="Tahoma"/>
          <w:bCs/>
          <w:sz w:val="22"/>
          <w:szCs w:val="22"/>
        </w:rPr>
      </w:pPr>
    </w:p>
    <w:p w14:paraId="07026961" w14:textId="77777777" w:rsidR="004F784C" w:rsidRPr="004F784C" w:rsidRDefault="004F784C" w:rsidP="004F784C">
      <w:pPr>
        <w:spacing w:line="360" w:lineRule="auto"/>
        <w:jc w:val="both"/>
        <w:rPr>
          <w:rFonts w:ascii="Palatino Linotype" w:hAnsi="Palatino Linotype" w:cs="Tahoma"/>
          <w:bCs/>
          <w:iCs/>
          <w:color w:val="000000"/>
          <w:sz w:val="22"/>
          <w:szCs w:val="22"/>
        </w:rPr>
      </w:pPr>
      <w:r w:rsidRPr="004F784C">
        <w:rPr>
          <w:rFonts w:ascii="Palatino Linotype" w:hAnsi="Palatino Linotype" w:cs="Tahoma"/>
          <w:bCs/>
          <w:iCs/>
          <w:color w:val="000000"/>
          <w:sz w:val="22"/>
          <w:szCs w:val="22"/>
        </w:rPr>
        <w:t>Al respecto, el artículo 4º, fracciones XII y XVIII de la Ley General de Contabilidad Gubernamental, establece que es obligación de los Ayuntamientos presentar mediante reportes, informes, estados y notas la información financiera referente a la información presupuestaria y contable expresada en unidades monetarias, sobre las transacciones que realiza y los eventos económicos identificables y cuantificables que lo afectan, expresando su situación financiera, los resultados de su operación y los cambios en su patrimonio.</w:t>
      </w:r>
    </w:p>
    <w:p w14:paraId="02916012" w14:textId="77777777" w:rsidR="004F784C" w:rsidRPr="004F784C" w:rsidRDefault="004F784C" w:rsidP="004F784C">
      <w:pPr>
        <w:spacing w:line="360" w:lineRule="auto"/>
        <w:jc w:val="both"/>
        <w:rPr>
          <w:rFonts w:ascii="Palatino Linotype" w:hAnsi="Palatino Linotype" w:cs="Tahoma"/>
          <w:bCs/>
          <w:iCs/>
          <w:color w:val="000000"/>
          <w:sz w:val="22"/>
          <w:szCs w:val="22"/>
        </w:rPr>
      </w:pPr>
    </w:p>
    <w:p w14:paraId="1E1F3E00" w14:textId="77777777" w:rsidR="004F784C" w:rsidRPr="004F784C" w:rsidRDefault="004F784C" w:rsidP="004F784C">
      <w:pPr>
        <w:spacing w:line="360" w:lineRule="auto"/>
        <w:jc w:val="both"/>
        <w:rPr>
          <w:rFonts w:ascii="Palatino Linotype" w:hAnsi="Palatino Linotype" w:cs="Tahoma"/>
          <w:bCs/>
          <w:iCs/>
          <w:color w:val="000000"/>
          <w:sz w:val="22"/>
          <w:szCs w:val="22"/>
        </w:rPr>
      </w:pPr>
      <w:r w:rsidRPr="004F784C">
        <w:rPr>
          <w:rFonts w:ascii="Palatino Linotype" w:hAnsi="Palatino Linotype" w:cs="Tahoma"/>
          <w:bCs/>
          <w:iCs/>
          <w:color w:val="000000"/>
          <w:sz w:val="22"/>
          <w:szCs w:val="22"/>
        </w:rPr>
        <w:t>En ese sentido, el artículo 92 fracción XXV de la Ley de Transparencia y Acceso a la Información Pública del Estado de México y Municipios, establece que la información financiera sobre el presupuesto asignado, así como los informes del ejercicio trimestral del gasto, es información pública de oficio, que se deberá mantener permanente y actualizada.</w:t>
      </w:r>
    </w:p>
    <w:p w14:paraId="2F9A46F7" w14:textId="77777777" w:rsidR="004F784C" w:rsidRPr="004F784C" w:rsidRDefault="004F784C" w:rsidP="004F784C">
      <w:pPr>
        <w:spacing w:line="360" w:lineRule="auto"/>
        <w:jc w:val="both"/>
        <w:rPr>
          <w:rFonts w:ascii="Palatino Linotype" w:hAnsi="Palatino Linotype" w:cs="Tahoma"/>
          <w:bCs/>
          <w:iCs/>
          <w:color w:val="000000"/>
          <w:sz w:val="22"/>
          <w:szCs w:val="22"/>
        </w:rPr>
      </w:pPr>
    </w:p>
    <w:p w14:paraId="4CA14EB7" w14:textId="77777777" w:rsidR="004F784C" w:rsidRPr="004F784C" w:rsidRDefault="004F784C" w:rsidP="004F784C">
      <w:pPr>
        <w:spacing w:line="360" w:lineRule="auto"/>
        <w:jc w:val="both"/>
        <w:rPr>
          <w:rFonts w:ascii="Palatino Linotype" w:hAnsi="Palatino Linotype" w:cs="Tahoma"/>
          <w:bCs/>
          <w:iCs/>
          <w:color w:val="000000"/>
          <w:sz w:val="22"/>
          <w:szCs w:val="22"/>
        </w:rPr>
      </w:pPr>
      <w:r w:rsidRPr="004F784C">
        <w:rPr>
          <w:rFonts w:ascii="Palatino Linotype" w:hAnsi="Palatino Linotype" w:cs="Tahoma"/>
          <w:bCs/>
          <w:iCs/>
          <w:color w:val="000000"/>
          <w:sz w:val="22"/>
          <w:szCs w:val="22"/>
        </w:rPr>
        <w:t>Asimismo, el artículo 2º, fracción XXI de la Ley de Disciplina Financiera de las Entidades Federativas y los Municipios, establece que los Ingresos locales son aquéllos percibidos por las Entidades Federativas y los Municipios por impuestos, contribuciones de mejoras, derechos, productos y aprovechamientos, incluidos los recibidos por venta de bienes y prestación de servicios y los demás previstos en términos de las disposiciones aplicables.</w:t>
      </w:r>
    </w:p>
    <w:p w14:paraId="6355AC47" w14:textId="77777777" w:rsidR="004F784C" w:rsidRDefault="004F784C" w:rsidP="004F784C">
      <w:pPr>
        <w:spacing w:line="360" w:lineRule="auto"/>
        <w:jc w:val="both"/>
        <w:rPr>
          <w:rFonts w:ascii="Palatino Linotype" w:hAnsi="Palatino Linotype" w:cs="Tahoma"/>
          <w:bCs/>
          <w:iCs/>
          <w:color w:val="000000"/>
          <w:sz w:val="22"/>
          <w:szCs w:val="22"/>
        </w:rPr>
      </w:pPr>
    </w:p>
    <w:p w14:paraId="74DFB85A" w14:textId="77777777" w:rsidR="00CE7533" w:rsidRPr="004F784C" w:rsidRDefault="00CE7533" w:rsidP="004F784C">
      <w:pPr>
        <w:spacing w:line="360" w:lineRule="auto"/>
        <w:jc w:val="both"/>
        <w:rPr>
          <w:rFonts w:ascii="Palatino Linotype" w:hAnsi="Palatino Linotype" w:cs="Tahoma"/>
          <w:bCs/>
          <w:iCs/>
          <w:color w:val="000000"/>
          <w:sz w:val="22"/>
          <w:szCs w:val="22"/>
        </w:rPr>
      </w:pPr>
    </w:p>
    <w:p w14:paraId="68BF0BEA" w14:textId="55F793E0" w:rsidR="004F784C" w:rsidRPr="004F784C" w:rsidRDefault="004F784C" w:rsidP="004F784C">
      <w:pPr>
        <w:spacing w:line="360" w:lineRule="auto"/>
        <w:jc w:val="both"/>
        <w:rPr>
          <w:rFonts w:ascii="Palatino Linotype" w:hAnsi="Palatino Linotype" w:cs="Tahoma"/>
          <w:bCs/>
          <w:iCs/>
          <w:color w:val="000000"/>
          <w:sz w:val="22"/>
          <w:szCs w:val="22"/>
        </w:rPr>
      </w:pPr>
      <w:r w:rsidRPr="004F784C">
        <w:rPr>
          <w:rFonts w:ascii="Palatino Linotype" w:hAnsi="Palatino Linotype" w:cs="Tahoma"/>
          <w:bCs/>
          <w:iCs/>
          <w:color w:val="000000"/>
          <w:sz w:val="22"/>
          <w:szCs w:val="22"/>
        </w:rPr>
        <w:t>Además, el Glosario de Términos del Manual para la Planeación, Programación y Presupuesto de Egresos Municipal para el ejercicio fiscal</w:t>
      </w:r>
      <w:r>
        <w:rPr>
          <w:rFonts w:ascii="Palatino Linotype" w:hAnsi="Palatino Linotype" w:cs="Tahoma"/>
          <w:bCs/>
          <w:iCs/>
          <w:color w:val="000000"/>
          <w:sz w:val="22"/>
          <w:szCs w:val="22"/>
        </w:rPr>
        <w:t xml:space="preserve"> dos mil veinticuatro y</w:t>
      </w:r>
      <w:r w:rsidRPr="004F784C">
        <w:rPr>
          <w:rFonts w:ascii="Palatino Linotype" w:hAnsi="Palatino Linotype" w:cs="Tahoma"/>
          <w:bCs/>
          <w:iCs/>
          <w:color w:val="000000"/>
          <w:sz w:val="22"/>
          <w:szCs w:val="22"/>
        </w:rPr>
        <w:t xml:space="preserve"> dos mil veinticinco, establece que el Presupuesto de Egresos Municipal es el documento jurídico y de política económica aprobado por el Cabildo, en el que se consigna de acuerdo con su naturaleza y cuantía, el gasto público que ejercerán las dependencias generales y auxiliares, en cumplimiento de sus funciones y programas derivados del Plan de Desarrollo Municipal, durante un ejercicio fiscal.</w:t>
      </w:r>
    </w:p>
    <w:p w14:paraId="0438EDF9" w14:textId="77777777" w:rsidR="004F784C" w:rsidRPr="004F784C" w:rsidRDefault="004F784C" w:rsidP="004F784C">
      <w:pPr>
        <w:spacing w:line="360" w:lineRule="auto"/>
        <w:jc w:val="both"/>
        <w:rPr>
          <w:rFonts w:ascii="Palatino Linotype" w:hAnsi="Palatino Linotype" w:cs="Tahoma"/>
          <w:bCs/>
          <w:iCs/>
          <w:color w:val="000000"/>
          <w:sz w:val="22"/>
          <w:szCs w:val="22"/>
        </w:rPr>
      </w:pPr>
    </w:p>
    <w:p w14:paraId="5B56E5F7" w14:textId="77777777" w:rsidR="004F784C" w:rsidRPr="004F784C" w:rsidRDefault="004F784C" w:rsidP="004F784C">
      <w:pPr>
        <w:spacing w:line="360" w:lineRule="auto"/>
        <w:jc w:val="both"/>
        <w:rPr>
          <w:rFonts w:ascii="Palatino Linotype" w:hAnsi="Palatino Linotype" w:cs="Tahoma"/>
          <w:bCs/>
          <w:iCs/>
          <w:sz w:val="22"/>
          <w:szCs w:val="22"/>
          <w:lang w:val="es-ES_tradnl"/>
        </w:rPr>
      </w:pPr>
      <w:r w:rsidRPr="004F784C">
        <w:rPr>
          <w:rFonts w:ascii="Palatino Linotype" w:eastAsia="Calibri" w:hAnsi="Palatino Linotype"/>
          <w:color w:val="000000"/>
          <w:sz w:val="22"/>
          <w:szCs w:val="22"/>
          <w:lang w:eastAsia="en-US"/>
        </w:rPr>
        <w:t xml:space="preserve">Así mismo, </w:t>
      </w:r>
      <w:r w:rsidRPr="004F784C">
        <w:rPr>
          <w:rFonts w:ascii="Palatino Linotype" w:hAnsi="Palatino Linotype" w:cs="Tahoma"/>
          <w:bCs/>
          <w:iCs/>
          <w:sz w:val="22"/>
          <w:szCs w:val="22"/>
          <w:lang w:val="es-ES_tradnl"/>
        </w:rPr>
        <w:t>cabe traer a colación el Glosario de Términos, del Manual para la Planeación, Programación y Presupuesto de Egresos Municipal para el ejercicio fiscal dos mil veinticinco, que establece que el presupuesto es la estimación financiera anticipada de los egresos e ingresos del gobierno, necesario para cumplir con los propósitos de un programa determinado; por otra parte, establece lo siguiente:</w:t>
      </w:r>
    </w:p>
    <w:p w14:paraId="2FC11C95" w14:textId="77777777" w:rsidR="004F784C" w:rsidRPr="004F784C" w:rsidRDefault="004F784C" w:rsidP="004F784C">
      <w:pPr>
        <w:spacing w:line="360" w:lineRule="auto"/>
        <w:jc w:val="both"/>
        <w:rPr>
          <w:rFonts w:ascii="Palatino Linotype" w:hAnsi="Palatino Linotype" w:cs="Tahoma"/>
          <w:bCs/>
          <w:iCs/>
          <w:sz w:val="22"/>
          <w:szCs w:val="22"/>
          <w:lang w:val="es-ES_tradnl"/>
        </w:rPr>
      </w:pPr>
    </w:p>
    <w:p w14:paraId="1E725088" w14:textId="77777777" w:rsidR="004F784C" w:rsidRPr="004F784C" w:rsidRDefault="004F784C" w:rsidP="004F784C">
      <w:pPr>
        <w:pStyle w:val="Prrafodelista"/>
        <w:numPr>
          <w:ilvl w:val="0"/>
          <w:numId w:val="13"/>
        </w:numPr>
        <w:spacing w:line="360" w:lineRule="auto"/>
        <w:jc w:val="both"/>
        <w:rPr>
          <w:rFonts w:ascii="Palatino Linotype" w:hAnsi="Palatino Linotype" w:cs="Tahoma"/>
          <w:bCs/>
          <w:iCs/>
          <w:szCs w:val="22"/>
          <w:lang w:val="es-ES_tradnl"/>
        </w:rPr>
      </w:pPr>
      <w:r w:rsidRPr="004F784C">
        <w:rPr>
          <w:rFonts w:ascii="Palatino Linotype" w:hAnsi="Palatino Linotype" w:cs="Tahoma"/>
          <w:b/>
          <w:iCs/>
          <w:szCs w:val="22"/>
          <w:lang w:val="es-ES_tradnl"/>
        </w:rPr>
        <w:t>Presupuesto Autorizado:</w:t>
      </w:r>
      <w:r w:rsidRPr="004F784C">
        <w:rPr>
          <w:rFonts w:ascii="Palatino Linotype" w:hAnsi="Palatino Linotype" w:cs="Tahoma"/>
          <w:bCs/>
          <w:iCs/>
          <w:szCs w:val="22"/>
          <w:lang w:val="es-ES_tradnl"/>
        </w:rPr>
        <w:t xml:space="preserve"> Es el monto de recursos que se autoriza ejercer en un ejercicio fiscal, a través del Decreto del Presupuesto de Egresos.</w:t>
      </w:r>
    </w:p>
    <w:p w14:paraId="22882110" w14:textId="77777777" w:rsidR="004F784C" w:rsidRPr="004F784C" w:rsidRDefault="004F784C" w:rsidP="004F784C">
      <w:pPr>
        <w:spacing w:line="360" w:lineRule="auto"/>
        <w:jc w:val="both"/>
        <w:rPr>
          <w:rFonts w:ascii="Palatino Linotype" w:hAnsi="Palatino Linotype" w:cs="Tahoma"/>
          <w:bCs/>
          <w:iCs/>
          <w:sz w:val="22"/>
          <w:szCs w:val="22"/>
          <w:lang w:val="es-ES_tradnl"/>
        </w:rPr>
      </w:pPr>
    </w:p>
    <w:p w14:paraId="5B692A5E" w14:textId="77777777" w:rsidR="004F784C" w:rsidRPr="004F784C" w:rsidRDefault="004F784C" w:rsidP="004F784C">
      <w:pPr>
        <w:pStyle w:val="Prrafodelista"/>
        <w:numPr>
          <w:ilvl w:val="0"/>
          <w:numId w:val="12"/>
        </w:numPr>
        <w:spacing w:line="360" w:lineRule="auto"/>
        <w:jc w:val="both"/>
        <w:rPr>
          <w:rFonts w:ascii="Palatino Linotype" w:hAnsi="Palatino Linotype" w:cs="Tahoma"/>
          <w:bCs/>
          <w:iCs/>
          <w:szCs w:val="22"/>
          <w:lang w:val="es-ES_tradnl"/>
        </w:rPr>
      </w:pPr>
      <w:r w:rsidRPr="004F784C">
        <w:rPr>
          <w:rFonts w:ascii="Palatino Linotype" w:hAnsi="Palatino Linotype" w:cs="Tahoma"/>
          <w:b/>
          <w:iCs/>
          <w:szCs w:val="22"/>
          <w:lang w:val="es-ES_tradnl"/>
        </w:rPr>
        <w:t xml:space="preserve">Presupuesto Ejercido: </w:t>
      </w:r>
      <w:r w:rsidRPr="004F784C">
        <w:rPr>
          <w:rFonts w:ascii="Palatino Linotype" w:hAnsi="Palatino Linotype" w:cs="Tahoma"/>
          <w:bCs/>
          <w:iCs/>
          <w:szCs w:val="22"/>
          <w:lang w:val="es-ES_tradnl"/>
        </w:rPr>
        <w:t xml:space="preserve">Es el importe de erogaciones realizadas, respaldadas por los documentos comprobatorios presentados a la dependencia una vez autorizadas para su pago, con cargo al presupuesto autorizado. </w:t>
      </w:r>
    </w:p>
    <w:p w14:paraId="2E948266" w14:textId="6C8B43E5" w:rsidR="004F784C" w:rsidRPr="004F784C" w:rsidRDefault="004F784C" w:rsidP="004F784C">
      <w:pPr>
        <w:spacing w:line="360" w:lineRule="auto"/>
        <w:jc w:val="both"/>
        <w:rPr>
          <w:rFonts w:ascii="Palatino Linotype" w:hAnsi="Palatino Linotype" w:cs="Tahoma"/>
          <w:bCs/>
          <w:iCs/>
          <w:color w:val="000000"/>
          <w:sz w:val="22"/>
          <w:szCs w:val="22"/>
          <w:lang w:val="es-ES_tradnl"/>
        </w:rPr>
      </w:pPr>
    </w:p>
    <w:p w14:paraId="75A938CD" w14:textId="3896C032" w:rsidR="004F784C" w:rsidRPr="004F784C" w:rsidRDefault="004F784C" w:rsidP="004F784C">
      <w:pPr>
        <w:spacing w:line="360" w:lineRule="auto"/>
        <w:jc w:val="both"/>
        <w:rPr>
          <w:rFonts w:ascii="Palatino Linotype" w:hAnsi="Palatino Linotype" w:cs="Tahoma"/>
          <w:bCs/>
          <w:iCs/>
          <w:color w:val="000000"/>
          <w:sz w:val="22"/>
          <w:szCs w:val="22"/>
        </w:rPr>
      </w:pPr>
      <w:r w:rsidRPr="004F784C">
        <w:rPr>
          <w:rFonts w:ascii="Palatino Linotype" w:hAnsi="Palatino Linotype" w:cs="Tahoma"/>
          <w:bCs/>
          <w:iCs/>
          <w:color w:val="000000"/>
          <w:sz w:val="22"/>
          <w:szCs w:val="22"/>
        </w:rPr>
        <w:t xml:space="preserve">Además, el Manual para la Planeación, Programación y Presupuesto de Egresos Municipal para el ejercicio fiscal </w:t>
      </w:r>
      <w:r>
        <w:rPr>
          <w:rFonts w:ascii="Palatino Linotype" w:hAnsi="Palatino Linotype" w:cs="Tahoma"/>
          <w:bCs/>
          <w:iCs/>
          <w:color w:val="000000"/>
          <w:sz w:val="22"/>
          <w:szCs w:val="22"/>
        </w:rPr>
        <w:t xml:space="preserve">dos mil veinticuatro y </w:t>
      </w:r>
      <w:r w:rsidRPr="004F784C">
        <w:rPr>
          <w:rFonts w:ascii="Palatino Linotype" w:hAnsi="Palatino Linotype" w:cs="Tahoma"/>
          <w:bCs/>
          <w:iCs/>
          <w:color w:val="000000"/>
          <w:sz w:val="22"/>
          <w:szCs w:val="22"/>
        </w:rPr>
        <w:t xml:space="preserve">dos mil veinticinco, establece que el Sujeto Obligado deberá generar el Estado Analítico del Ejercicio del Presupuesto de Egresos por </w:t>
      </w:r>
      <w:r w:rsidRPr="004F784C">
        <w:rPr>
          <w:rFonts w:ascii="Palatino Linotype" w:hAnsi="Palatino Linotype" w:cs="Tahoma"/>
          <w:bCs/>
          <w:iCs/>
          <w:color w:val="000000"/>
          <w:sz w:val="22"/>
          <w:szCs w:val="22"/>
        </w:rPr>
        <w:lastRenderedPageBreak/>
        <w:t>Clasificación Administrativa, el cual contendrá entre otras cosas, el presupuesto asignado a cada una de las áreas Generales del Ayuntamiento.</w:t>
      </w:r>
    </w:p>
    <w:p w14:paraId="0BE0230C" w14:textId="77777777" w:rsidR="00886C30" w:rsidRPr="004B3892" w:rsidRDefault="00886C30"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4B3892" w:rsidRDefault="001C6B9A" w:rsidP="00442CAA">
      <w:pPr>
        <w:spacing w:line="360" w:lineRule="auto"/>
        <w:contextualSpacing/>
        <w:jc w:val="both"/>
        <w:rPr>
          <w:rFonts w:ascii="Palatino Linotype" w:hAnsi="Palatino Linotype" w:cs="Tahoma"/>
          <w:iCs/>
          <w:sz w:val="22"/>
          <w:szCs w:val="22"/>
        </w:rPr>
      </w:pPr>
      <w:r w:rsidRPr="004B3892">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4B3892">
        <w:rPr>
          <w:rFonts w:ascii="Palatino Linotype" w:hAnsi="Palatino Linotype" w:cs="Tahoma"/>
          <w:bCs/>
          <w:iCs/>
          <w:sz w:val="22"/>
          <w:szCs w:val="22"/>
        </w:rPr>
        <w:t>,</w:t>
      </w:r>
      <w:r w:rsidRPr="004B3892">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4B3892"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4B3892" w:rsidRDefault="001C6B9A" w:rsidP="00442CAA">
      <w:pPr>
        <w:spacing w:line="360" w:lineRule="auto"/>
        <w:jc w:val="both"/>
        <w:rPr>
          <w:rFonts w:ascii="Palatino Linotype" w:hAnsi="Palatino Linotype" w:cs="Tahoma"/>
          <w:bCs/>
          <w:iCs/>
          <w:sz w:val="22"/>
          <w:szCs w:val="22"/>
          <w:lang w:val="es-ES"/>
        </w:rPr>
      </w:pPr>
      <w:bookmarkStart w:id="12" w:name="_Hlk76480431"/>
      <w:r w:rsidRPr="004B389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4B389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4B3892"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4B3892" w:rsidRDefault="001C6B9A"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4B3892"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4B3892" w:rsidRDefault="001C6B9A" w:rsidP="00442CAA">
      <w:pPr>
        <w:pStyle w:val="Ttulo2"/>
        <w:rPr>
          <w:color w:val="auto"/>
        </w:rPr>
      </w:pPr>
      <w:bookmarkStart w:id="13" w:name="_Toc216164935"/>
      <w:r w:rsidRPr="004B3892">
        <w:rPr>
          <w:color w:val="auto"/>
        </w:rPr>
        <w:t>SEXTO. Decisión</w:t>
      </w:r>
      <w:bookmarkEnd w:id="13"/>
    </w:p>
    <w:p w14:paraId="43614774" w14:textId="77777777" w:rsidR="001C6B9A" w:rsidRDefault="001C6B9A" w:rsidP="00442CAA">
      <w:pPr>
        <w:spacing w:line="360" w:lineRule="auto"/>
        <w:jc w:val="both"/>
        <w:rPr>
          <w:rFonts w:ascii="Palatino Linotype" w:hAnsi="Palatino Linotype" w:cs="Tahoma"/>
          <w:sz w:val="22"/>
          <w:szCs w:val="22"/>
        </w:rPr>
      </w:pPr>
    </w:p>
    <w:p w14:paraId="1582923D" w14:textId="77777777" w:rsidR="00CE7533" w:rsidRDefault="00CE7533" w:rsidP="00442CAA">
      <w:pPr>
        <w:spacing w:line="360" w:lineRule="auto"/>
        <w:jc w:val="both"/>
        <w:rPr>
          <w:rFonts w:ascii="Palatino Linotype" w:hAnsi="Palatino Linotype" w:cs="Tahoma"/>
          <w:sz w:val="22"/>
          <w:szCs w:val="22"/>
        </w:rPr>
      </w:pPr>
    </w:p>
    <w:p w14:paraId="671C1E15" w14:textId="77777777" w:rsidR="00CE7533" w:rsidRPr="004B3892" w:rsidRDefault="00CE7533" w:rsidP="00442CAA">
      <w:pPr>
        <w:spacing w:line="360" w:lineRule="auto"/>
        <w:jc w:val="both"/>
        <w:rPr>
          <w:rFonts w:ascii="Palatino Linotype" w:hAnsi="Palatino Linotype" w:cs="Tahoma"/>
          <w:sz w:val="22"/>
          <w:szCs w:val="22"/>
        </w:rPr>
      </w:pPr>
    </w:p>
    <w:p w14:paraId="15B964DE" w14:textId="3299D053" w:rsidR="005C1964" w:rsidRPr="00FF0608" w:rsidRDefault="001C6B9A" w:rsidP="00442CAA">
      <w:pPr>
        <w:spacing w:line="360" w:lineRule="auto"/>
        <w:jc w:val="both"/>
        <w:rPr>
          <w:rFonts w:ascii="Palatino Linotype" w:eastAsia="Calibri" w:hAnsi="Palatino Linotype" w:cs="Tahoma"/>
          <w:color w:val="FF0000"/>
          <w:sz w:val="22"/>
          <w:szCs w:val="22"/>
        </w:rPr>
      </w:pPr>
      <w:r w:rsidRPr="004B389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4B3892">
        <w:rPr>
          <w:rFonts w:ascii="Palatino Linotype" w:hAnsi="Palatino Linotype" w:cs="Tahoma"/>
          <w:b/>
          <w:bCs/>
          <w:sz w:val="22"/>
          <w:szCs w:val="22"/>
        </w:rPr>
        <w:t>ORDENAR</w:t>
      </w:r>
      <w:r w:rsidRPr="004B3892">
        <w:rPr>
          <w:rFonts w:ascii="Palatino Linotype" w:hAnsi="Palatino Linotype" w:cs="Tahoma"/>
          <w:sz w:val="22"/>
          <w:szCs w:val="22"/>
        </w:rPr>
        <w:t xml:space="preserve"> al Sujeto Obligado,</w:t>
      </w:r>
      <w:r w:rsidRPr="004B3892">
        <w:rPr>
          <w:rFonts w:ascii="Palatino Linotype" w:eastAsia="Calibri" w:hAnsi="Palatino Linotype" w:cs="Tahoma"/>
          <w:sz w:val="22"/>
          <w:szCs w:val="22"/>
        </w:rPr>
        <w:t xml:space="preserve"> a que dé trámite y </w:t>
      </w:r>
      <w:r w:rsidRPr="004B3892">
        <w:rPr>
          <w:rFonts w:ascii="Palatino Linotype" w:hAnsi="Palatino Linotype" w:cs="Tahoma"/>
          <w:sz w:val="22"/>
          <w:szCs w:val="22"/>
        </w:rPr>
        <w:t>respuesta a la</w:t>
      </w:r>
      <w:r w:rsidR="003C4C46">
        <w:rPr>
          <w:rFonts w:ascii="Palatino Linotype" w:hAnsi="Palatino Linotype" w:cs="Tahoma"/>
          <w:sz w:val="22"/>
          <w:szCs w:val="22"/>
        </w:rPr>
        <w:t>s</w:t>
      </w:r>
      <w:r w:rsidRPr="004B3892">
        <w:rPr>
          <w:rFonts w:ascii="Palatino Linotype" w:hAnsi="Palatino Linotype" w:cs="Tahoma"/>
          <w:sz w:val="22"/>
          <w:szCs w:val="22"/>
        </w:rPr>
        <w:t xml:space="preserve"> solicitud</w:t>
      </w:r>
      <w:r w:rsidR="003C4C46">
        <w:rPr>
          <w:rFonts w:ascii="Palatino Linotype" w:hAnsi="Palatino Linotype" w:cs="Tahoma"/>
          <w:sz w:val="22"/>
          <w:szCs w:val="22"/>
        </w:rPr>
        <w:t>es</w:t>
      </w:r>
      <w:r w:rsidRPr="004B3892">
        <w:rPr>
          <w:rFonts w:ascii="Palatino Linotype" w:hAnsi="Palatino Linotype" w:cs="Tahoma"/>
          <w:sz w:val="22"/>
          <w:szCs w:val="22"/>
        </w:rPr>
        <w:t xml:space="preserve"> de información pública con </w:t>
      </w:r>
      <w:r w:rsidRPr="004B3892">
        <w:rPr>
          <w:rFonts w:ascii="Palatino Linotype" w:eastAsia="Calibri" w:hAnsi="Palatino Linotype" w:cs="Tahoma"/>
          <w:sz w:val="22"/>
          <w:szCs w:val="22"/>
        </w:rPr>
        <w:t>número</w:t>
      </w:r>
      <w:r w:rsidR="00274D9D" w:rsidRPr="004B3892">
        <w:rPr>
          <w:rFonts w:ascii="Palatino Linotype" w:eastAsia="Calibri" w:hAnsi="Palatino Linotype" w:cs="Tahoma"/>
          <w:sz w:val="22"/>
          <w:szCs w:val="22"/>
        </w:rPr>
        <w:t xml:space="preserve"> </w:t>
      </w:r>
      <w:r w:rsidR="00790E96">
        <w:rPr>
          <w:rFonts w:ascii="Palatino Linotype" w:eastAsia="Calibri" w:hAnsi="Palatino Linotype" w:cs="Tahoma"/>
          <w:sz w:val="22"/>
          <w:szCs w:val="22"/>
        </w:rPr>
        <w:t>00818/TEPOTZOT/IP/2025</w:t>
      </w:r>
      <w:r w:rsidR="003C4C46">
        <w:rPr>
          <w:rFonts w:ascii="Palatino Linotype" w:eastAsia="Calibri" w:hAnsi="Palatino Linotype" w:cs="Tahoma"/>
          <w:sz w:val="22"/>
          <w:szCs w:val="22"/>
        </w:rPr>
        <w:t xml:space="preserve">y </w:t>
      </w:r>
      <w:r w:rsidR="00790E96">
        <w:rPr>
          <w:rFonts w:ascii="Palatino Linotype" w:eastAsia="Calibri" w:hAnsi="Palatino Linotype" w:cs="Tahoma"/>
          <w:sz w:val="22"/>
          <w:szCs w:val="22"/>
        </w:rPr>
        <w:t>00819/TEPOTZOT/IP/2025</w:t>
      </w:r>
      <w:r w:rsidR="0017551D" w:rsidRPr="004B3892">
        <w:rPr>
          <w:rFonts w:ascii="Palatino Linotype" w:eastAsia="Calibri" w:hAnsi="Palatino Linotype" w:cs="Tahoma"/>
          <w:sz w:val="22"/>
          <w:szCs w:val="22"/>
        </w:rPr>
        <w:t>.</w:t>
      </w:r>
    </w:p>
    <w:p w14:paraId="1F7F2430" w14:textId="77777777" w:rsidR="00895942" w:rsidRPr="00FF0608"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4B3892" w:rsidRDefault="00895942" w:rsidP="00442CAA">
      <w:pPr>
        <w:pStyle w:val="Ttulo2"/>
        <w:rPr>
          <w:color w:val="auto"/>
        </w:rPr>
      </w:pPr>
      <w:bookmarkStart w:id="14" w:name="_Toc216164936"/>
      <w:r w:rsidRPr="004B3892">
        <w:rPr>
          <w:color w:val="auto"/>
        </w:rPr>
        <w:t>SÉPTIMO. Vista a la Secretaría</w:t>
      </w:r>
      <w:r w:rsidRPr="004B3892">
        <w:rPr>
          <w:color w:val="auto"/>
          <w:lang w:val="x-none"/>
        </w:rPr>
        <w:t xml:space="preserve"> Técnica del </w:t>
      </w:r>
      <w:r w:rsidRPr="004B3892">
        <w:rPr>
          <w:color w:val="auto"/>
        </w:rPr>
        <w:t>Pleno</w:t>
      </w:r>
      <w:bookmarkEnd w:id="14"/>
    </w:p>
    <w:p w14:paraId="6FB0ED01" w14:textId="77777777" w:rsidR="00895942" w:rsidRPr="004B3892" w:rsidRDefault="00895942" w:rsidP="00442CAA">
      <w:pPr>
        <w:spacing w:line="360" w:lineRule="auto"/>
        <w:jc w:val="both"/>
        <w:rPr>
          <w:rFonts w:ascii="Palatino Linotype" w:hAnsi="Palatino Linotype" w:cs="Tahoma"/>
          <w:bCs/>
          <w:sz w:val="22"/>
          <w:szCs w:val="22"/>
        </w:rPr>
      </w:pPr>
    </w:p>
    <w:p w14:paraId="2CAC85A1" w14:textId="19F7E91B" w:rsidR="00895942" w:rsidRPr="004B3892" w:rsidRDefault="00895942" w:rsidP="00442CAA">
      <w:pPr>
        <w:spacing w:line="360" w:lineRule="auto"/>
        <w:ind w:right="-93"/>
        <w:jc w:val="both"/>
        <w:rPr>
          <w:rFonts w:ascii="Palatino Linotype" w:hAnsi="Palatino Linotype" w:cs="Tahoma"/>
          <w:sz w:val="22"/>
          <w:szCs w:val="22"/>
        </w:rPr>
      </w:pPr>
      <w:r w:rsidRPr="004B3892">
        <w:rPr>
          <w:rFonts w:ascii="Palatino Linotype" w:hAnsi="Palatino Linotype" w:cs="Tahoma"/>
          <w:sz w:val="22"/>
          <w:szCs w:val="22"/>
        </w:rPr>
        <w:t xml:space="preserve">En el caso en estudio, como ha quedado señalado que el </w:t>
      </w:r>
      <w:r w:rsidR="00790E96">
        <w:rPr>
          <w:rFonts w:ascii="Palatino Linotype" w:hAnsi="Palatino Linotype" w:cs="Tahoma"/>
          <w:b/>
          <w:sz w:val="22"/>
          <w:szCs w:val="22"/>
        </w:rPr>
        <w:t>Ayuntamiento de Tepotzotlán</w:t>
      </w:r>
      <w:r w:rsidR="00025C1A" w:rsidRPr="004B3892">
        <w:rPr>
          <w:rFonts w:ascii="Palatino Linotype" w:hAnsi="Palatino Linotype" w:cs="Tahoma"/>
          <w:b/>
          <w:sz w:val="22"/>
          <w:szCs w:val="22"/>
        </w:rPr>
        <w:t xml:space="preserve"> </w:t>
      </w:r>
      <w:r w:rsidRPr="004B3892">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B3892">
        <w:rPr>
          <w:rFonts w:ascii="Palatino Linotype" w:eastAsia="Calibri" w:hAnsi="Palatino Linotype" w:cs="Tahoma"/>
          <w:bCs/>
          <w:sz w:val="22"/>
          <w:szCs w:val="22"/>
          <w:lang w:eastAsia="en-US"/>
        </w:rPr>
        <w:t xml:space="preserve"> </w:t>
      </w:r>
    </w:p>
    <w:p w14:paraId="7CFB94A5" w14:textId="77777777" w:rsidR="00B8367F" w:rsidRPr="004B3892"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Default="00895942" w:rsidP="00442CAA">
      <w:pPr>
        <w:spacing w:line="360" w:lineRule="auto"/>
        <w:ind w:right="-93"/>
        <w:jc w:val="both"/>
        <w:rPr>
          <w:rFonts w:ascii="Palatino Linotype" w:eastAsia="Calibri" w:hAnsi="Palatino Linotype" w:cs="Tahoma"/>
          <w:bCs/>
          <w:sz w:val="22"/>
          <w:szCs w:val="22"/>
          <w:lang w:eastAsia="en-US"/>
        </w:rPr>
      </w:pPr>
    </w:p>
    <w:p w14:paraId="6DB0A856" w14:textId="77777777" w:rsidR="00CE7533" w:rsidRPr="004B3892" w:rsidRDefault="00CE7533"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B3892"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B3892">
        <w:rPr>
          <w:rFonts w:ascii="Palatino Linotype" w:eastAsia="Calibri" w:hAnsi="Palatino Linotype" w:cs="Tahoma"/>
          <w:bCs/>
          <w:sz w:val="22"/>
          <w:szCs w:val="22"/>
          <w:lang w:val="es-ES_tradnl" w:eastAsia="en-US"/>
        </w:rPr>
        <w:t>a la Secretaría Técnica de este Instituto</w:t>
      </w:r>
      <w:r w:rsidRPr="004B3892">
        <w:rPr>
          <w:rFonts w:ascii="Palatino Linotype" w:eastAsia="Calibri" w:hAnsi="Palatino Linotype" w:cs="Tahoma"/>
          <w:bCs/>
          <w:sz w:val="22"/>
          <w:szCs w:val="22"/>
          <w:lang w:eastAsia="en-US"/>
        </w:rPr>
        <w:t>, para que realice lo conducente.</w:t>
      </w:r>
    </w:p>
    <w:p w14:paraId="17EF86B7" w14:textId="77777777" w:rsidR="00895942" w:rsidRPr="004B389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4B3892" w:rsidRDefault="00FF7C33" w:rsidP="00442CAA">
      <w:pPr>
        <w:spacing w:line="360" w:lineRule="auto"/>
        <w:jc w:val="both"/>
        <w:rPr>
          <w:rFonts w:ascii="Palatino Linotype" w:hAnsi="Palatino Linotype" w:cs="Tahoma"/>
          <w:b/>
          <w:bCs/>
          <w:iCs/>
          <w:sz w:val="22"/>
          <w:szCs w:val="22"/>
          <w:lang w:val="es-ES"/>
        </w:rPr>
      </w:pPr>
      <w:r w:rsidRPr="004B3892">
        <w:rPr>
          <w:rFonts w:ascii="Palatino Linotype" w:hAnsi="Palatino Linotype" w:cs="Tahoma"/>
          <w:b/>
          <w:bCs/>
          <w:iCs/>
          <w:sz w:val="22"/>
          <w:szCs w:val="22"/>
          <w:lang w:val="es-ES"/>
        </w:rPr>
        <w:t>Términos de la Resolución para conocimiento del Particular</w:t>
      </w:r>
    </w:p>
    <w:p w14:paraId="1EECC84D" w14:textId="77777777" w:rsidR="00501F15" w:rsidRPr="004B3892" w:rsidRDefault="00501F15" w:rsidP="00442CAA">
      <w:pPr>
        <w:spacing w:line="360" w:lineRule="auto"/>
        <w:jc w:val="both"/>
        <w:rPr>
          <w:rFonts w:ascii="Palatino Linotype" w:hAnsi="Palatino Linotype" w:cs="Tahoma"/>
          <w:b/>
          <w:bCs/>
          <w:iCs/>
          <w:sz w:val="22"/>
          <w:szCs w:val="22"/>
          <w:lang w:val="es-ES"/>
        </w:rPr>
      </w:pPr>
    </w:p>
    <w:p w14:paraId="37D8E619" w14:textId="77777777" w:rsidR="00577EE1" w:rsidRDefault="00FF7C33"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Cs/>
          <w:iCs/>
          <w:sz w:val="22"/>
          <w:szCs w:val="22"/>
          <w:lang w:val="es-ES"/>
        </w:rPr>
        <w:t xml:space="preserve">Se le hace del conocimiento al Particular, que, en el presente caso, se le da la razón, pues </w:t>
      </w:r>
      <w:r w:rsidRPr="004B3892">
        <w:rPr>
          <w:rFonts w:ascii="Palatino Linotype" w:hAnsi="Palatino Linotype" w:cs="Tahoma"/>
          <w:bCs/>
          <w:iCs/>
          <w:sz w:val="22"/>
          <w:szCs w:val="22"/>
        </w:rPr>
        <w:t xml:space="preserve">el </w:t>
      </w:r>
      <w:r w:rsidR="000268D8" w:rsidRPr="004B3892">
        <w:rPr>
          <w:rFonts w:ascii="Palatino Linotype" w:hAnsi="Palatino Linotype" w:cs="Tahoma"/>
          <w:bCs/>
          <w:iCs/>
          <w:sz w:val="22"/>
          <w:szCs w:val="22"/>
        </w:rPr>
        <w:t>Sujeto Obligado</w:t>
      </w:r>
      <w:r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lang w:val="es-ES"/>
        </w:rPr>
        <w:t xml:space="preserve">no emitió contestación </w:t>
      </w:r>
      <w:r w:rsidR="00372534" w:rsidRPr="004B3892">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4B3892">
        <w:rPr>
          <w:rFonts w:ascii="Palatino Linotype" w:hAnsi="Palatino Linotype" w:cs="Tahoma"/>
          <w:bCs/>
          <w:iCs/>
          <w:sz w:val="22"/>
          <w:szCs w:val="22"/>
          <w:lang w:val="es-ES"/>
        </w:rPr>
        <w:t xml:space="preserve"> </w:t>
      </w:r>
    </w:p>
    <w:p w14:paraId="7B1026D8" w14:textId="77777777" w:rsidR="00577EE1" w:rsidRDefault="00577EE1" w:rsidP="00442CAA">
      <w:pPr>
        <w:spacing w:line="360" w:lineRule="auto"/>
        <w:jc w:val="both"/>
        <w:rPr>
          <w:rFonts w:ascii="Palatino Linotype" w:hAnsi="Palatino Linotype" w:cs="Tahoma"/>
          <w:bCs/>
          <w:iCs/>
          <w:sz w:val="22"/>
          <w:szCs w:val="22"/>
          <w:lang w:val="es-ES"/>
        </w:rPr>
      </w:pPr>
    </w:p>
    <w:p w14:paraId="2DA004D3" w14:textId="17002174" w:rsidR="00BA5927" w:rsidRPr="004B3892" w:rsidRDefault="00FF7C33"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4B3892" w:rsidRDefault="00BA5927" w:rsidP="00442CAA">
      <w:pPr>
        <w:spacing w:line="360" w:lineRule="auto"/>
        <w:jc w:val="both"/>
        <w:rPr>
          <w:rFonts w:ascii="Palatino Linotype" w:hAnsi="Palatino Linotype" w:cs="Tahoma"/>
          <w:bCs/>
          <w:iCs/>
          <w:sz w:val="22"/>
          <w:szCs w:val="22"/>
        </w:rPr>
      </w:pPr>
    </w:p>
    <w:p w14:paraId="44AA22FE" w14:textId="6EE5F02A" w:rsidR="00F57883" w:rsidRPr="004B3892" w:rsidRDefault="00F57883" w:rsidP="00442CAA">
      <w:pPr>
        <w:spacing w:line="360" w:lineRule="auto"/>
        <w:jc w:val="both"/>
        <w:rPr>
          <w:rFonts w:ascii="Palatino Linotype" w:eastAsia="Calibri" w:hAnsi="Palatino Linotype"/>
          <w:sz w:val="22"/>
          <w:szCs w:val="22"/>
          <w:lang w:eastAsia="en-US"/>
        </w:rPr>
      </w:pPr>
      <w:r w:rsidRPr="004B3892">
        <w:rPr>
          <w:rFonts w:ascii="Palatino Linotype" w:eastAsia="Calibri" w:hAnsi="Palatino Linotype"/>
          <w:sz w:val="22"/>
          <w:szCs w:val="22"/>
          <w:lang w:eastAsia="en-US"/>
        </w:rPr>
        <w:t xml:space="preserve">Finalmente, se le informa que la labor de este Instituto de Transparencia, Acceso a la Información Pública y Protección de Datos Personales del Estado de México y Municipios, es </w:t>
      </w:r>
      <w:r w:rsidRPr="004B3892">
        <w:rPr>
          <w:rFonts w:ascii="Palatino Linotype" w:eastAsia="Calibri" w:hAnsi="Palatino Linotype"/>
          <w:sz w:val="22"/>
          <w:szCs w:val="22"/>
          <w:lang w:eastAsia="en-US"/>
        </w:rPr>
        <w:lastRenderedPageBreak/>
        <w:t>apoyar a la población a acceder a la información pública y garantizar la protección de los datos personales.</w:t>
      </w:r>
    </w:p>
    <w:p w14:paraId="3738A79E" w14:textId="77777777" w:rsidR="003A796B" w:rsidRPr="004B3892"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Cs/>
          <w:iCs/>
          <w:sz w:val="22"/>
          <w:szCs w:val="22"/>
        </w:rPr>
        <w:t>Por lo expuesto y fundado, este Pleno:</w:t>
      </w:r>
    </w:p>
    <w:p w14:paraId="2A3C222A" w14:textId="77777777" w:rsidR="003A796B" w:rsidRPr="004B3892" w:rsidRDefault="003A796B" w:rsidP="00442CAA">
      <w:pPr>
        <w:spacing w:line="360" w:lineRule="auto"/>
        <w:jc w:val="both"/>
        <w:rPr>
          <w:rFonts w:ascii="Palatino Linotype" w:hAnsi="Palatino Linotype" w:cs="Tahoma"/>
          <w:bCs/>
          <w:iCs/>
          <w:sz w:val="22"/>
          <w:szCs w:val="22"/>
        </w:rPr>
      </w:pPr>
    </w:p>
    <w:p w14:paraId="31431AD7" w14:textId="77777777" w:rsidR="00FF7C33" w:rsidRPr="004B3892" w:rsidRDefault="00FF7C33" w:rsidP="00442CAA">
      <w:pPr>
        <w:pStyle w:val="Ttulo1"/>
        <w:rPr>
          <w:color w:val="auto"/>
        </w:rPr>
      </w:pPr>
      <w:bookmarkStart w:id="15" w:name="_Toc216164937"/>
      <w:r w:rsidRPr="004B3892">
        <w:rPr>
          <w:color w:val="auto"/>
        </w:rPr>
        <w:t>R E S U E L V E</w:t>
      </w:r>
      <w:bookmarkEnd w:id="15"/>
    </w:p>
    <w:p w14:paraId="39DB2FA1" w14:textId="77777777" w:rsidR="00F57883" w:rsidRPr="004B3892" w:rsidRDefault="00F57883" w:rsidP="00442CAA">
      <w:pPr>
        <w:spacing w:line="360" w:lineRule="auto"/>
        <w:jc w:val="both"/>
        <w:rPr>
          <w:rFonts w:ascii="Palatino Linotype" w:hAnsi="Palatino Linotype" w:cs="Tahoma"/>
          <w:b/>
          <w:bCs/>
          <w:iCs/>
          <w:sz w:val="22"/>
          <w:szCs w:val="22"/>
        </w:rPr>
      </w:pPr>
    </w:p>
    <w:p w14:paraId="7A29059F" w14:textId="74BF7828" w:rsidR="00FC0A7F"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 xml:space="preserve">PRIMERO. </w:t>
      </w:r>
      <w:r w:rsidRPr="004B3892">
        <w:rPr>
          <w:rFonts w:ascii="Palatino Linotype" w:hAnsi="Palatino Linotype" w:cs="Tahoma"/>
          <w:bCs/>
          <w:iCs/>
          <w:sz w:val="22"/>
          <w:szCs w:val="22"/>
        </w:rPr>
        <w:t xml:space="preserve">Resultan </w:t>
      </w:r>
      <w:r w:rsidRPr="004B3892">
        <w:rPr>
          <w:rFonts w:ascii="Palatino Linotype" w:hAnsi="Palatino Linotype" w:cs="Tahoma"/>
          <w:b/>
          <w:bCs/>
          <w:iCs/>
          <w:sz w:val="22"/>
          <w:szCs w:val="22"/>
        </w:rPr>
        <w:t>FUNDADAS</w:t>
      </w:r>
      <w:r w:rsidRPr="004B3892">
        <w:rPr>
          <w:rFonts w:ascii="Palatino Linotype" w:hAnsi="Palatino Linotype" w:cs="Tahoma"/>
          <w:bCs/>
          <w:iCs/>
          <w:sz w:val="22"/>
          <w:szCs w:val="22"/>
        </w:rPr>
        <w:t xml:space="preserve"> las razones o motivos de inconformidad hechos valer por el Particular en l</w:t>
      </w:r>
      <w:r w:rsidR="003C4C46">
        <w:rPr>
          <w:rFonts w:ascii="Palatino Linotype" w:hAnsi="Palatino Linotype" w:cs="Tahoma"/>
          <w:bCs/>
          <w:iCs/>
          <w:sz w:val="22"/>
          <w:szCs w:val="22"/>
        </w:rPr>
        <w:t>os</w:t>
      </w:r>
      <w:r w:rsidRPr="004B3892">
        <w:rPr>
          <w:rFonts w:ascii="Palatino Linotype" w:hAnsi="Palatino Linotype" w:cs="Tahoma"/>
          <w:bCs/>
          <w:iCs/>
          <w:sz w:val="22"/>
          <w:szCs w:val="22"/>
        </w:rPr>
        <w:t xml:space="preserve"> Recurso</w:t>
      </w:r>
      <w:r w:rsidR="003C4C46">
        <w:rPr>
          <w:rFonts w:ascii="Palatino Linotype" w:hAnsi="Palatino Linotype" w:cs="Tahoma"/>
          <w:bCs/>
          <w:iCs/>
          <w:sz w:val="22"/>
          <w:szCs w:val="22"/>
        </w:rPr>
        <w:t>s</w:t>
      </w:r>
      <w:r w:rsidRPr="004B3892">
        <w:rPr>
          <w:rFonts w:ascii="Palatino Linotype" w:hAnsi="Palatino Linotype" w:cs="Tahoma"/>
          <w:bCs/>
          <w:iCs/>
          <w:sz w:val="22"/>
          <w:szCs w:val="22"/>
        </w:rPr>
        <w:t xml:space="preserve"> de Revisión </w:t>
      </w:r>
      <w:r w:rsidR="00790E96">
        <w:rPr>
          <w:rFonts w:ascii="Palatino Linotype" w:hAnsi="Palatino Linotype" w:cs="Tahoma"/>
          <w:bCs/>
          <w:iCs/>
          <w:sz w:val="22"/>
          <w:szCs w:val="22"/>
        </w:rPr>
        <w:t>13586</w:t>
      </w:r>
      <w:r w:rsidR="00D22BC6" w:rsidRPr="004B3892">
        <w:rPr>
          <w:rFonts w:ascii="Palatino Linotype" w:hAnsi="Palatino Linotype" w:cs="Tahoma"/>
          <w:bCs/>
          <w:iCs/>
          <w:sz w:val="22"/>
          <w:szCs w:val="22"/>
        </w:rPr>
        <w:t>/INFOEM/IP/RR/2025</w:t>
      </w:r>
      <w:r w:rsidR="003C4C46">
        <w:rPr>
          <w:rFonts w:ascii="Palatino Linotype" w:hAnsi="Palatino Linotype" w:cs="Tahoma"/>
          <w:bCs/>
          <w:iCs/>
          <w:sz w:val="22"/>
          <w:szCs w:val="22"/>
        </w:rPr>
        <w:t xml:space="preserve"> y </w:t>
      </w:r>
      <w:r w:rsidR="00790E96">
        <w:rPr>
          <w:rFonts w:ascii="Palatino Linotype" w:hAnsi="Palatino Linotype" w:cs="Tahoma"/>
          <w:bCs/>
          <w:iCs/>
          <w:sz w:val="22"/>
          <w:szCs w:val="22"/>
        </w:rPr>
        <w:t>13587</w:t>
      </w:r>
      <w:r w:rsidR="003C4C46" w:rsidRPr="004B3892">
        <w:rPr>
          <w:rFonts w:ascii="Palatino Linotype" w:hAnsi="Palatino Linotype" w:cs="Tahoma"/>
          <w:bCs/>
          <w:iCs/>
          <w:sz w:val="22"/>
          <w:szCs w:val="22"/>
        </w:rPr>
        <w:t>/INFOEM/IP/RR/2025</w:t>
      </w:r>
      <w:r w:rsidRPr="004B3892">
        <w:rPr>
          <w:rFonts w:ascii="Palatino Linotype" w:hAnsi="Palatino Linotype" w:cs="Tahoma"/>
          <w:bCs/>
          <w:iCs/>
          <w:sz w:val="22"/>
          <w:szCs w:val="22"/>
        </w:rPr>
        <w:t>,</w:t>
      </w:r>
      <w:r w:rsidRPr="004B3892">
        <w:rPr>
          <w:rFonts w:ascii="Palatino Linotype" w:hAnsi="Palatino Linotype" w:cs="Tahoma"/>
          <w:b/>
          <w:bCs/>
          <w:iCs/>
          <w:sz w:val="22"/>
          <w:szCs w:val="22"/>
        </w:rPr>
        <w:t xml:space="preserve"> </w:t>
      </w:r>
      <w:r w:rsidRPr="004B3892">
        <w:rPr>
          <w:rFonts w:ascii="Palatino Linotype" w:hAnsi="Palatino Linotype" w:cs="Tahoma"/>
          <w:bCs/>
          <w:iCs/>
          <w:sz w:val="22"/>
          <w:szCs w:val="22"/>
        </w:rPr>
        <w:t>en términos de los considerandos QUINTO y SEXTO de la presente Resolución.</w:t>
      </w:r>
    </w:p>
    <w:p w14:paraId="15952F75" w14:textId="77777777" w:rsidR="00FC0A7F" w:rsidRPr="004B3892" w:rsidRDefault="00FC0A7F" w:rsidP="00442CAA">
      <w:pPr>
        <w:spacing w:line="360" w:lineRule="auto"/>
        <w:jc w:val="both"/>
        <w:rPr>
          <w:rFonts w:ascii="Palatino Linotype" w:hAnsi="Palatino Linotype" w:cs="Tahoma"/>
          <w:bCs/>
          <w:iCs/>
          <w:sz w:val="22"/>
          <w:szCs w:val="22"/>
        </w:rPr>
      </w:pPr>
    </w:p>
    <w:p w14:paraId="0D9157E9" w14:textId="2E4A6E69" w:rsidR="00FB7667" w:rsidRPr="004B3892" w:rsidRDefault="00FB7667"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
          <w:bCs/>
          <w:iCs/>
          <w:sz w:val="22"/>
          <w:szCs w:val="22"/>
          <w:lang w:val="es-ES"/>
        </w:rPr>
        <w:t xml:space="preserve">SEGUNDO. </w:t>
      </w:r>
      <w:r w:rsidRPr="004B3892">
        <w:rPr>
          <w:rFonts w:ascii="Palatino Linotype" w:hAnsi="Palatino Linotype" w:cs="Tahoma"/>
          <w:bCs/>
          <w:iCs/>
          <w:sz w:val="22"/>
          <w:szCs w:val="22"/>
          <w:lang w:val="es-ES"/>
        </w:rPr>
        <w:t>Se</w:t>
      </w:r>
      <w:r w:rsidRPr="004B3892">
        <w:rPr>
          <w:rFonts w:ascii="Palatino Linotype" w:hAnsi="Palatino Linotype" w:cs="Tahoma"/>
          <w:b/>
          <w:bCs/>
          <w:iCs/>
          <w:sz w:val="22"/>
          <w:szCs w:val="22"/>
          <w:lang w:val="es-ES"/>
        </w:rPr>
        <w:t xml:space="preserve"> ORDENA </w:t>
      </w:r>
      <w:r w:rsidRPr="004B3892">
        <w:rPr>
          <w:rFonts w:ascii="Palatino Linotype" w:hAnsi="Palatino Linotype" w:cs="Tahoma"/>
          <w:bCs/>
          <w:iCs/>
          <w:sz w:val="22"/>
          <w:szCs w:val="22"/>
          <w:lang w:val="es-ES"/>
        </w:rPr>
        <w:t>al Sujeto Obligado, a efecto de que dé atención a la</w:t>
      </w:r>
      <w:r w:rsidR="003C4C46">
        <w:rPr>
          <w:rFonts w:ascii="Palatino Linotype" w:hAnsi="Palatino Linotype" w:cs="Tahoma"/>
          <w:bCs/>
          <w:iCs/>
          <w:sz w:val="22"/>
          <w:szCs w:val="22"/>
          <w:lang w:val="es-ES"/>
        </w:rPr>
        <w:t>s</w:t>
      </w:r>
      <w:r w:rsidRPr="004B3892">
        <w:rPr>
          <w:rFonts w:ascii="Palatino Linotype" w:hAnsi="Palatino Linotype" w:cs="Tahoma"/>
          <w:bCs/>
          <w:iCs/>
          <w:sz w:val="22"/>
          <w:szCs w:val="22"/>
          <w:lang w:val="es-ES"/>
        </w:rPr>
        <w:t xml:space="preserve"> solicitud</w:t>
      </w:r>
      <w:r w:rsidR="003C4C46">
        <w:rPr>
          <w:rFonts w:ascii="Palatino Linotype" w:hAnsi="Palatino Linotype" w:cs="Tahoma"/>
          <w:bCs/>
          <w:iCs/>
          <w:sz w:val="22"/>
          <w:szCs w:val="22"/>
          <w:lang w:val="es-ES"/>
        </w:rPr>
        <w:t>es</w:t>
      </w:r>
      <w:r w:rsidRPr="004B3892">
        <w:rPr>
          <w:rFonts w:ascii="Palatino Linotype" w:hAnsi="Palatino Linotype" w:cs="Tahoma"/>
          <w:bCs/>
          <w:iCs/>
          <w:sz w:val="22"/>
          <w:szCs w:val="22"/>
          <w:lang w:val="es-ES"/>
        </w:rPr>
        <w:t xml:space="preserve"> de acceso a la información</w:t>
      </w:r>
      <w:r w:rsidR="006524EB" w:rsidRPr="004B3892">
        <w:rPr>
          <w:rFonts w:ascii="Palatino Linotype" w:hAnsi="Palatino Linotype" w:cs="Tahoma"/>
          <w:bCs/>
          <w:iCs/>
          <w:sz w:val="22"/>
          <w:szCs w:val="22"/>
          <w:lang w:val="es-ES"/>
        </w:rPr>
        <w:t xml:space="preserve"> </w:t>
      </w:r>
      <w:r w:rsidR="00790E96">
        <w:rPr>
          <w:rFonts w:ascii="Palatino Linotype" w:hAnsi="Palatino Linotype" w:cs="Tahoma"/>
          <w:bCs/>
          <w:iCs/>
          <w:sz w:val="22"/>
          <w:szCs w:val="22"/>
          <w:lang w:val="es-ES"/>
        </w:rPr>
        <w:t>00818/TEPOTZOT/IP/2025</w:t>
      </w:r>
      <w:r w:rsidR="003C4C46">
        <w:rPr>
          <w:rFonts w:ascii="Palatino Linotype" w:hAnsi="Palatino Linotype" w:cs="Tahoma"/>
          <w:bCs/>
          <w:iCs/>
          <w:sz w:val="22"/>
          <w:szCs w:val="22"/>
          <w:lang w:val="es-ES"/>
        </w:rPr>
        <w:t xml:space="preserve">y </w:t>
      </w:r>
      <w:r w:rsidR="00790E96">
        <w:rPr>
          <w:rFonts w:ascii="Palatino Linotype" w:hAnsi="Palatino Linotype" w:cs="Tahoma"/>
          <w:bCs/>
          <w:iCs/>
          <w:sz w:val="22"/>
          <w:szCs w:val="22"/>
          <w:lang w:val="es-ES"/>
        </w:rPr>
        <w:t>00819/TEPOTZOT/IP/2025</w:t>
      </w:r>
      <w:r w:rsidRPr="004B3892">
        <w:rPr>
          <w:rFonts w:ascii="Palatino Linotype" w:hAnsi="Palatino Linotype" w:cs="Tahoma"/>
          <w:bCs/>
          <w:iCs/>
          <w:sz w:val="22"/>
          <w:szCs w:val="22"/>
          <w:lang w:val="es-ES"/>
        </w:rPr>
        <w:t>, a través del Sistema de Acceso a la Información Mexiquense (SAIMEX), dé la respuesta que conforme a derecho corresponda</w:t>
      </w:r>
      <w:r w:rsidRPr="004B3892">
        <w:rPr>
          <w:rFonts w:cs="Tahoma"/>
          <w:b/>
          <w:bCs/>
          <w:iCs/>
          <w:lang w:val="es-ES"/>
        </w:rPr>
        <w:t>.</w:t>
      </w:r>
      <w:r w:rsidR="000268D8" w:rsidRPr="004B3892">
        <w:rPr>
          <w:rFonts w:cs="Tahoma"/>
          <w:b/>
          <w:bCs/>
          <w:iCs/>
          <w:lang w:val="es-ES"/>
        </w:rPr>
        <w:t xml:space="preserve"> </w:t>
      </w:r>
    </w:p>
    <w:p w14:paraId="08EA7079" w14:textId="77777777" w:rsidR="00E26B53" w:rsidRPr="004B3892" w:rsidRDefault="00E26B53" w:rsidP="00442CAA">
      <w:pPr>
        <w:spacing w:line="360" w:lineRule="auto"/>
        <w:jc w:val="both"/>
        <w:rPr>
          <w:rFonts w:ascii="Palatino Linotype" w:hAnsi="Palatino Linotype" w:cs="Tahoma"/>
          <w:bCs/>
          <w:iCs/>
          <w:sz w:val="22"/>
          <w:szCs w:val="22"/>
        </w:rPr>
      </w:pPr>
    </w:p>
    <w:p w14:paraId="2F31FE73" w14:textId="77777777" w:rsidR="00FF7C33" w:rsidRPr="004B3892" w:rsidRDefault="00FF7C33" w:rsidP="00442CAA">
      <w:pPr>
        <w:spacing w:line="360" w:lineRule="auto"/>
        <w:jc w:val="both"/>
        <w:rPr>
          <w:rFonts w:ascii="Palatino Linotype" w:hAnsi="Palatino Linotype" w:cs="Tahoma"/>
          <w:bCs/>
          <w:iCs/>
          <w:sz w:val="22"/>
          <w:szCs w:val="22"/>
          <w:lang w:val="es-ES_tradnl"/>
        </w:rPr>
      </w:pPr>
      <w:r w:rsidRPr="004B3892">
        <w:rPr>
          <w:rFonts w:ascii="Palatino Linotype" w:hAnsi="Palatino Linotype" w:cs="Tahoma"/>
          <w:b/>
          <w:bCs/>
          <w:iCs/>
          <w:sz w:val="22"/>
          <w:szCs w:val="22"/>
          <w:lang w:val="es-ES"/>
        </w:rPr>
        <w:t>TERCERO</w:t>
      </w:r>
      <w:r w:rsidRPr="004B3892">
        <w:rPr>
          <w:rFonts w:ascii="Palatino Linotype" w:hAnsi="Palatino Linotype" w:cs="Tahoma"/>
          <w:b/>
          <w:bCs/>
          <w:iCs/>
          <w:sz w:val="22"/>
          <w:szCs w:val="22"/>
        </w:rPr>
        <w:t xml:space="preserve">. </w:t>
      </w:r>
      <w:r w:rsidRPr="004B389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B3892" w:rsidRDefault="00FF7C33" w:rsidP="00442CAA">
      <w:pPr>
        <w:spacing w:line="360" w:lineRule="auto"/>
        <w:jc w:val="both"/>
        <w:rPr>
          <w:rFonts w:ascii="Palatino Linotype" w:hAnsi="Palatino Linotype" w:cs="Tahoma"/>
          <w:bCs/>
          <w:iCs/>
          <w:sz w:val="22"/>
          <w:szCs w:val="22"/>
        </w:rPr>
      </w:pPr>
    </w:p>
    <w:p w14:paraId="63F3D9B5" w14:textId="77777777"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CUARTO.</w:t>
      </w:r>
      <w:r w:rsidRPr="004B3892">
        <w:rPr>
          <w:rFonts w:ascii="Palatino Linotype" w:hAnsi="Palatino Linotype" w:cs="Tahoma"/>
          <w:bCs/>
          <w:iCs/>
          <w:sz w:val="22"/>
          <w:szCs w:val="22"/>
        </w:rPr>
        <w:t xml:space="preserve"> </w:t>
      </w:r>
      <w:r w:rsidRPr="004B3892">
        <w:rPr>
          <w:rFonts w:ascii="Palatino Linotype" w:hAnsi="Palatino Linotype" w:cs="Tahoma"/>
          <w:b/>
          <w:bCs/>
          <w:iCs/>
          <w:sz w:val="22"/>
          <w:szCs w:val="22"/>
        </w:rPr>
        <w:t xml:space="preserve">NOTIFÍQUESE POR SAIMEX </w:t>
      </w:r>
      <w:r w:rsidRPr="004B3892">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sidRPr="004B3892">
        <w:rPr>
          <w:rFonts w:ascii="Palatino Linotype" w:hAnsi="Palatino Linotype" w:cs="Tahoma"/>
          <w:bCs/>
          <w:iCs/>
          <w:sz w:val="22"/>
          <w:szCs w:val="22"/>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B3892" w:rsidRDefault="00FF7C33" w:rsidP="00442CAA">
      <w:pPr>
        <w:spacing w:line="360" w:lineRule="auto"/>
        <w:jc w:val="both"/>
        <w:rPr>
          <w:rFonts w:ascii="Palatino Linotype" w:hAnsi="Palatino Linotype" w:cs="Tahoma"/>
          <w:bCs/>
          <w:iCs/>
          <w:sz w:val="22"/>
          <w:szCs w:val="22"/>
        </w:rPr>
      </w:pPr>
    </w:p>
    <w:p w14:paraId="540F4370" w14:textId="0BC61EE8"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QUINTO. NOTIFÍQUESE</w:t>
      </w:r>
      <w:r w:rsidRPr="004B3892">
        <w:rPr>
          <w:rFonts w:ascii="Palatino Linotype" w:hAnsi="Palatino Linotype" w:cs="Tahoma"/>
          <w:bCs/>
          <w:iCs/>
          <w:sz w:val="22"/>
          <w:szCs w:val="22"/>
        </w:rPr>
        <w:t xml:space="preserve"> </w:t>
      </w:r>
      <w:r w:rsidRPr="004B3892">
        <w:rPr>
          <w:rFonts w:ascii="Palatino Linotype" w:hAnsi="Palatino Linotype" w:cs="Tahoma"/>
          <w:b/>
          <w:bCs/>
          <w:iCs/>
          <w:sz w:val="22"/>
          <w:szCs w:val="22"/>
        </w:rPr>
        <w:t xml:space="preserve">POR SAIMEX, </w:t>
      </w:r>
      <w:r w:rsidRPr="004B3892">
        <w:rPr>
          <w:rFonts w:ascii="Palatino Linotype" w:hAnsi="Palatino Linotype" w:cs="Tahoma"/>
          <w:bCs/>
          <w:iCs/>
          <w:sz w:val="22"/>
          <w:szCs w:val="22"/>
        </w:rPr>
        <w:t>a</w:t>
      </w:r>
      <w:r w:rsidR="009E3A34" w:rsidRPr="004B3892">
        <w:rPr>
          <w:rFonts w:ascii="Palatino Linotype" w:hAnsi="Palatino Linotype" w:cs="Tahoma"/>
          <w:bCs/>
          <w:iCs/>
          <w:sz w:val="22"/>
          <w:szCs w:val="22"/>
        </w:rPr>
        <w:t xml:space="preserve"> la persona</w:t>
      </w:r>
      <w:r w:rsidRPr="004B3892">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B3892" w:rsidRDefault="00501F15" w:rsidP="00442CAA">
      <w:pPr>
        <w:spacing w:line="360" w:lineRule="auto"/>
        <w:jc w:val="both"/>
        <w:rPr>
          <w:rFonts w:ascii="Palatino Linotype" w:hAnsi="Palatino Linotype" w:cs="Tahoma"/>
          <w:bCs/>
          <w:iCs/>
          <w:sz w:val="22"/>
          <w:szCs w:val="22"/>
        </w:rPr>
      </w:pPr>
    </w:p>
    <w:p w14:paraId="4C0D39E9" w14:textId="77777777" w:rsidR="00501F15" w:rsidRPr="004B3892" w:rsidRDefault="00501F15" w:rsidP="00442CAA">
      <w:pPr>
        <w:spacing w:line="360" w:lineRule="auto"/>
        <w:jc w:val="both"/>
        <w:rPr>
          <w:rFonts w:ascii="Palatino Linotype" w:eastAsia="Calibri" w:hAnsi="Palatino Linotype" w:cs="Tahoma"/>
          <w:bCs/>
          <w:sz w:val="22"/>
          <w:szCs w:val="22"/>
          <w:lang w:eastAsia="en-US"/>
        </w:rPr>
      </w:pPr>
      <w:r w:rsidRPr="004B3892">
        <w:rPr>
          <w:rFonts w:ascii="Palatino Linotype" w:eastAsiaTheme="minorHAnsi" w:hAnsi="Palatino Linotype" w:cstheme="minorBidi"/>
          <w:b/>
          <w:bCs/>
          <w:sz w:val="22"/>
          <w:szCs w:val="22"/>
          <w:lang w:eastAsia="en-US"/>
        </w:rPr>
        <w:t>SEXTO.</w:t>
      </w:r>
      <w:r w:rsidRPr="004B389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B3892" w:rsidRDefault="00FF7C33" w:rsidP="00442CAA">
      <w:pPr>
        <w:spacing w:line="360" w:lineRule="auto"/>
        <w:jc w:val="both"/>
        <w:rPr>
          <w:rFonts w:ascii="Palatino Linotype" w:hAnsi="Palatino Linotype" w:cs="Tahoma"/>
          <w:b/>
          <w:bCs/>
          <w:iCs/>
          <w:sz w:val="22"/>
          <w:szCs w:val="22"/>
        </w:rPr>
      </w:pPr>
    </w:p>
    <w:p w14:paraId="4051A84A" w14:textId="2A1D472E"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Cs/>
          <w:iCs/>
          <w:sz w:val="22"/>
          <w:szCs w:val="22"/>
        </w:rPr>
        <w:t>ASÍ LO RESUELVE, POR </w:t>
      </w:r>
      <w:r w:rsidRPr="004B3892">
        <w:rPr>
          <w:rFonts w:ascii="Palatino Linotype" w:hAnsi="Palatino Linotype" w:cs="Tahoma"/>
          <w:b/>
          <w:bCs/>
          <w:iCs/>
          <w:sz w:val="22"/>
          <w:szCs w:val="22"/>
        </w:rPr>
        <w:t>UNANIMIDAD</w:t>
      </w:r>
      <w:r w:rsidRPr="004B3892">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4B3892">
        <w:rPr>
          <w:rFonts w:ascii="Palatino Linotype" w:hAnsi="Palatino Linotype" w:cs="Tahoma"/>
          <w:bCs/>
          <w:iCs/>
          <w:sz w:val="22"/>
          <w:szCs w:val="22"/>
        </w:rPr>
        <w:t xml:space="preserve"> </w:t>
      </w:r>
      <w:r w:rsidR="00577EE1">
        <w:rPr>
          <w:rFonts w:ascii="Palatino Linotype" w:hAnsi="Palatino Linotype" w:cs="Tahoma"/>
          <w:bCs/>
          <w:iCs/>
          <w:sz w:val="22"/>
          <w:szCs w:val="22"/>
        </w:rPr>
        <w:t>PRIMERA</w:t>
      </w:r>
      <w:r w:rsidR="005C1964"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rPr>
        <w:t>SESIÓN ORDINARIA, CELEBRADA EL</w:t>
      </w:r>
      <w:r w:rsidR="006524EB" w:rsidRPr="004B3892">
        <w:rPr>
          <w:rFonts w:ascii="Palatino Linotype" w:hAnsi="Palatino Linotype" w:cs="Tahoma"/>
          <w:bCs/>
          <w:iCs/>
          <w:sz w:val="22"/>
          <w:szCs w:val="22"/>
        </w:rPr>
        <w:t xml:space="preserve"> </w:t>
      </w:r>
      <w:r w:rsidR="00577EE1">
        <w:rPr>
          <w:rFonts w:ascii="Palatino Linotype" w:hAnsi="Palatino Linotype" w:cs="Tahoma"/>
          <w:bCs/>
          <w:iCs/>
          <w:sz w:val="22"/>
          <w:szCs w:val="22"/>
        </w:rPr>
        <w:t>CATORCE DE ENERO</w:t>
      </w:r>
      <w:r w:rsidR="00BB4C94"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rPr>
        <w:t>DE DOS MIL VEINTI</w:t>
      </w:r>
      <w:r w:rsidR="009D0512">
        <w:rPr>
          <w:rFonts w:ascii="Palatino Linotype" w:hAnsi="Palatino Linotype" w:cs="Tahoma"/>
          <w:bCs/>
          <w:iCs/>
          <w:sz w:val="22"/>
          <w:szCs w:val="22"/>
        </w:rPr>
        <w:t>SÉIS</w:t>
      </w:r>
      <w:r w:rsidRPr="004B3892">
        <w:rPr>
          <w:rFonts w:ascii="Palatino Linotype" w:hAnsi="Palatino Linotype" w:cs="Tahoma"/>
          <w:bCs/>
          <w:iCs/>
          <w:sz w:val="22"/>
          <w:szCs w:val="22"/>
        </w:rPr>
        <w:t>, ANTE EL SECRETARIO TÉCNICO DEL PLENO, ALEXIS TAPIA RAMÍREZ.</w:t>
      </w:r>
    </w:p>
    <w:p w14:paraId="77CAFB09"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4B3892" w:rsidRDefault="00D50230" w:rsidP="00442CAA">
      <w:pPr>
        <w:spacing w:line="360" w:lineRule="auto"/>
        <w:jc w:val="both"/>
        <w:rPr>
          <w:rFonts w:ascii="Palatino Linotype" w:hAnsi="Palatino Linotype" w:cs="Tahoma"/>
          <w:bCs/>
          <w:iCs/>
          <w:sz w:val="22"/>
          <w:szCs w:val="22"/>
        </w:rPr>
      </w:pPr>
    </w:p>
    <w:p w14:paraId="6DC56F2E" w14:textId="77777777" w:rsidR="005749CA" w:rsidRPr="004B3892" w:rsidRDefault="005749CA" w:rsidP="00442CAA">
      <w:pPr>
        <w:spacing w:line="360" w:lineRule="auto"/>
        <w:jc w:val="both"/>
        <w:rPr>
          <w:rFonts w:ascii="Palatino Linotype" w:hAnsi="Palatino Linotype" w:cs="Tahoma"/>
          <w:bCs/>
          <w:iCs/>
          <w:sz w:val="22"/>
          <w:szCs w:val="22"/>
        </w:rPr>
      </w:pPr>
    </w:p>
    <w:p w14:paraId="6BB0D79C" w14:textId="77777777" w:rsidR="00D22BC6" w:rsidRPr="004B3892" w:rsidRDefault="00D22BC6" w:rsidP="00442CAA">
      <w:pPr>
        <w:spacing w:line="360" w:lineRule="auto"/>
        <w:jc w:val="both"/>
        <w:rPr>
          <w:rFonts w:ascii="Palatino Linotype" w:hAnsi="Palatino Linotype" w:cs="Tahoma"/>
          <w:bCs/>
          <w:iCs/>
          <w:sz w:val="22"/>
          <w:szCs w:val="22"/>
        </w:rPr>
      </w:pPr>
    </w:p>
    <w:p w14:paraId="602E1518" w14:textId="77777777" w:rsidR="00D22BC6" w:rsidRPr="004B3892" w:rsidRDefault="00D22BC6" w:rsidP="00442CAA">
      <w:pPr>
        <w:spacing w:line="360" w:lineRule="auto"/>
        <w:jc w:val="both"/>
        <w:rPr>
          <w:rFonts w:ascii="Palatino Linotype" w:hAnsi="Palatino Linotype" w:cs="Tahoma"/>
          <w:bCs/>
          <w:iCs/>
          <w:sz w:val="22"/>
          <w:szCs w:val="22"/>
        </w:rPr>
      </w:pPr>
    </w:p>
    <w:p w14:paraId="164C9FE6"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28CEF68" w14:textId="77777777" w:rsidR="00DA08C5" w:rsidRPr="00FF0608"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FF0608" w:rsidRDefault="004F3A02" w:rsidP="00442CAA">
      <w:pPr>
        <w:spacing w:line="360" w:lineRule="auto"/>
        <w:rPr>
          <w:color w:val="FF0000"/>
        </w:rPr>
      </w:pPr>
    </w:p>
    <w:p w14:paraId="68834340" w14:textId="77777777" w:rsidR="00DA08C5" w:rsidRPr="00FF0608" w:rsidRDefault="00DA08C5" w:rsidP="00442CAA">
      <w:pPr>
        <w:spacing w:line="360" w:lineRule="auto"/>
        <w:rPr>
          <w:color w:val="FF0000"/>
        </w:rPr>
      </w:pPr>
    </w:p>
    <w:p w14:paraId="3F88FDBB" w14:textId="77777777" w:rsidR="00DA08C5" w:rsidRPr="00FF0608" w:rsidRDefault="00DA08C5" w:rsidP="00442CAA">
      <w:pPr>
        <w:spacing w:line="360" w:lineRule="auto"/>
        <w:rPr>
          <w:color w:val="FF0000"/>
        </w:rPr>
      </w:pPr>
    </w:p>
    <w:p w14:paraId="4FC344A4" w14:textId="77777777" w:rsidR="00DA08C5" w:rsidRPr="00FF0608" w:rsidRDefault="00DA08C5" w:rsidP="00442CAA">
      <w:pPr>
        <w:spacing w:line="360" w:lineRule="auto"/>
        <w:rPr>
          <w:color w:val="FF0000"/>
        </w:rPr>
      </w:pPr>
    </w:p>
    <w:p w14:paraId="744813CA" w14:textId="77777777" w:rsidR="004F3A02" w:rsidRPr="00FF0608"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FF0608"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6F042" w14:textId="77777777" w:rsidR="001A2A42" w:rsidRDefault="001A2A42" w:rsidP="00B31222">
      <w:r>
        <w:separator/>
      </w:r>
    </w:p>
  </w:endnote>
  <w:endnote w:type="continuationSeparator" w:id="0">
    <w:p w14:paraId="6565C996" w14:textId="77777777" w:rsidR="001A2A42" w:rsidRDefault="001A2A4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C0610C" w:rsidRPr="00C13895" w:rsidRDefault="00C0610C">
            <w:pPr>
              <w:pStyle w:val="Piedepgina"/>
              <w:jc w:val="right"/>
              <w:rPr>
                <w:sz w:val="26"/>
                <w:szCs w:val="26"/>
              </w:rPr>
            </w:pPr>
          </w:p>
          <w:p w14:paraId="4EA60772"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6D52">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6D52">
              <w:rPr>
                <w:b/>
                <w:bCs/>
                <w:noProof/>
              </w:rPr>
              <w:t>23</w:t>
            </w:r>
            <w:r>
              <w:rPr>
                <w:b/>
                <w:bCs/>
                <w:sz w:val="24"/>
                <w:szCs w:val="24"/>
              </w:rPr>
              <w:fldChar w:fldCharType="end"/>
            </w:r>
          </w:p>
        </w:sdtContent>
      </w:sdt>
    </w:sdtContent>
  </w:sdt>
  <w:p w14:paraId="52786F2A"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C0610C" w:rsidRDefault="00C0610C">
            <w:pPr>
              <w:pStyle w:val="Piedepgina"/>
              <w:jc w:val="right"/>
            </w:pPr>
          </w:p>
          <w:p w14:paraId="2D2F5338"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6D5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6D52">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5204" w14:textId="77777777" w:rsidR="001A2A42" w:rsidRDefault="001A2A42" w:rsidP="00B31222">
      <w:r>
        <w:separator/>
      </w:r>
    </w:p>
  </w:footnote>
  <w:footnote w:type="continuationSeparator" w:id="0">
    <w:p w14:paraId="4B7432CD" w14:textId="77777777" w:rsidR="001A2A42" w:rsidRDefault="001A2A4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127" w:type="dxa"/>
      <w:tblLayout w:type="fixed"/>
      <w:tblLook w:val="04A0" w:firstRow="1" w:lastRow="0" w:firstColumn="1" w:lastColumn="0" w:noHBand="0" w:noVBand="1"/>
    </w:tblPr>
    <w:tblGrid>
      <w:gridCol w:w="8222"/>
    </w:tblGrid>
    <w:tr w:rsidR="00C0610C" w:rsidRPr="005C106F" w14:paraId="50E888ED" w14:textId="77777777" w:rsidTr="00790E96">
      <w:trPr>
        <w:trHeight w:val="1412"/>
      </w:trPr>
      <w:tc>
        <w:tcPr>
          <w:tcW w:w="8222" w:type="dxa"/>
        </w:tcPr>
        <w:p w14:paraId="28D3F33E"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401FF1E4" w14:textId="77777777" w:rsidTr="00A0395D">
            <w:trPr>
              <w:trHeight w:val="144"/>
            </w:trPr>
            <w:tc>
              <w:tcPr>
                <w:tcW w:w="2552" w:type="dxa"/>
              </w:tcPr>
              <w:p w14:paraId="297B9530" w14:textId="77777777" w:rsidR="00790E96" w:rsidRDefault="00790E9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p>
              <w:p w14:paraId="2FAA5A5D" w14:textId="2236C04A"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625CE04F" w14:textId="77777777" w:rsidR="00790E96" w:rsidRDefault="00790E96" w:rsidP="009C44AA">
                <w:pPr>
                  <w:tabs>
                    <w:tab w:val="left" w:pos="1735"/>
                    <w:tab w:val="right" w:pos="8838"/>
                  </w:tabs>
                  <w:spacing w:line="276" w:lineRule="auto"/>
                  <w:ind w:left="-28"/>
                  <w:jc w:val="both"/>
                  <w:rPr>
                    <w:rFonts w:ascii="Palatino Linotype" w:eastAsia="Calibri" w:hAnsi="Palatino Linotype" w:cs="Tahoma"/>
                    <w:sz w:val="22"/>
                    <w:szCs w:val="22"/>
                    <w:lang w:eastAsia="en-US"/>
                  </w:rPr>
                </w:pPr>
              </w:p>
              <w:p w14:paraId="35595BB5" w14:textId="05171A69" w:rsidR="00C0610C" w:rsidRPr="009C44AA" w:rsidRDefault="00790E96"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13586</w:t>
                </w:r>
                <w:r w:rsidR="00C0610C" w:rsidRPr="00C176C1">
                  <w:rPr>
                    <w:rFonts w:ascii="Palatino Linotype" w:eastAsia="Calibri" w:hAnsi="Palatino Linotype" w:cs="Tahoma"/>
                    <w:sz w:val="22"/>
                    <w:szCs w:val="22"/>
                    <w:lang w:eastAsia="en-US"/>
                  </w:rPr>
                  <w:t>/INFOEM/IP/RR/2025</w:t>
                </w:r>
                <w:r w:rsidR="00521FD9">
                  <w:rPr>
                    <w:rFonts w:ascii="Palatino Linotype" w:eastAsia="Calibri" w:hAnsi="Palatino Linotype" w:cs="Tahoma"/>
                    <w:sz w:val="22"/>
                    <w:szCs w:val="22"/>
                    <w:lang w:eastAsia="en-US"/>
                  </w:rPr>
                  <w:t xml:space="preserve"> y acumulado</w:t>
                </w:r>
              </w:p>
            </w:tc>
          </w:tr>
          <w:tr w:rsidR="00C0610C" w14:paraId="6B793921" w14:textId="77777777" w:rsidTr="00A0395D">
            <w:trPr>
              <w:trHeight w:val="144"/>
            </w:trPr>
            <w:tc>
              <w:tcPr>
                <w:tcW w:w="2552" w:type="dxa"/>
              </w:tcPr>
              <w:p w14:paraId="248F881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2E8B322F" w:rsidR="00C0610C" w:rsidRPr="009C44AA" w:rsidRDefault="00790E96"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val="es-MX" w:eastAsia="en-US"/>
                  </w:rPr>
                  <w:t>Ayuntamiento de Tepotzotlán</w:t>
                </w:r>
              </w:p>
            </w:tc>
          </w:tr>
          <w:tr w:rsidR="00C0610C" w14:paraId="5F57F04A" w14:textId="77777777" w:rsidTr="00A0395D">
            <w:trPr>
              <w:trHeight w:val="138"/>
            </w:trPr>
            <w:tc>
              <w:tcPr>
                <w:tcW w:w="2552" w:type="dxa"/>
              </w:tcPr>
              <w:p w14:paraId="249191F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03D9BF59" w14:textId="4D62241B" w:rsidR="00C0610C"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C0610C"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2405"/>
      <w:gridCol w:w="4541"/>
    </w:tblGrid>
    <w:tr w:rsidR="00C0610C" w:rsidRPr="00264223" w14:paraId="47FE01F0" w14:textId="77777777" w:rsidTr="00CE7533">
      <w:trPr>
        <w:trHeight w:val="466"/>
      </w:trPr>
      <w:tc>
        <w:tcPr>
          <w:tcW w:w="2552" w:type="dxa"/>
          <w:vAlign w:val="bottom"/>
        </w:tcPr>
        <w:p w14:paraId="797F08EF"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0DC40FB2" w:rsidR="00C0610C" w:rsidRPr="00A404EA" w:rsidRDefault="00790E96"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13586</w:t>
          </w:r>
          <w:r w:rsidR="00C0610C" w:rsidRPr="000E307B">
            <w:rPr>
              <w:rFonts w:ascii="Palatino Linotype" w:eastAsia="Calibri" w:hAnsi="Palatino Linotype" w:cs="Tahoma"/>
              <w:sz w:val="22"/>
              <w:szCs w:val="22"/>
              <w:lang w:eastAsia="en-US"/>
            </w:rPr>
            <w:t>/INFOEM/IP/RR/2025</w:t>
          </w:r>
          <w:r w:rsidR="00521FD9">
            <w:rPr>
              <w:rFonts w:ascii="Palatino Linotype" w:eastAsia="Calibri" w:hAnsi="Palatino Linotype" w:cs="Tahoma"/>
              <w:sz w:val="22"/>
              <w:szCs w:val="22"/>
              <w:lang w:eastAsia="en-US"/>
            </w:rPr>
            <w:t xml:space="preserve"> y acumulado</w:t>
          </w:r>
        </w:p>
      </w:tc>
    </w:tr>
    <w:tr w:rsidR="00C0610C" w:rsidRPr="00264223" w14:paraId="3B115A83" w14:textId="77777777" w:rsidTr="00CE7533">
      <w:trPr>
        <w:trHeight w:val="119"/>
      </w:trPr>
      <w:tc>
        <w:tcPr>
          <w:tcW w:w="2552" w:type="dxa"/>
        </w:tcPr>
        <w:p w14:paraId="769D227C"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63A1FD14" w:rsidR="00C0610C" w:rsidRPr="006D151D" w:rsidRDefault="006D151D" w:rsidP="00790E96">
          <w:pPr>
            <w:tabs>
              <w:tab w:val="right" w:pos="8838"/>
            </w:tabs>
            <w:spacing w:line="276" w:lineRule="auto"/>
            <w:ind w:right="-528"/>
            <w:jc w:val="both"/>
            <w:rPr>
              <w:rFonts w:ascii="Palatino Linotype" w:eastAsia="Calibri" w:hAnsi="Palatino Linotype" w:cs="Tahoma"/>
              <w:sz w:val="22"/>
              <w:szCs w:val="22"/>
              <w:highlight w:val="black"/>
              <w:lang w:eastAsia="en-US"/>
            </w:rPr>
          </w:pPr>
          <w:r w:rsidRPr="006D151D">
            <w:rPr>
              <w:rFonts w:ascii="Palatino Linotype" w:eastAsia="Calibri" w:hAnsi="Palatino Linotype" w:cs="Tahoma"/>
              <w:sz w:val="22"/>
              <w:szCs w:val="22"/>
              <w:highlight w:val="black"/>
              <w:lang w:eastAsia="en-US"/>
            </w:rPr>
            <w:t>XXXXXXXXXXXXXXXXXXX</w:t>
          </w:r>
        </w:p>
      </w:tc>
    </w:tr>
    <w:tr w:rsidR="00C0610C" w:rsidRPr="00264223" w14:paraId="111B16D3" w14:textId="77777777" w:rsidTr="00CE7533">
      <w:trPr>
        <w:trHeight w:val="234"/>
      </w:trPr>
      <w:tc>
        <w:tcPr>
          <w:tcW w:w="2552" w:type="dxa"/>
        </w:tcPr>
        <w:p w14:paraId="23CA2497" w14:textId="2D869CFF"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007EEF51" w:rsidR="00C0610C" w:rsidRPr="006273CC" w:rsidRDefault="00790E96" w:rsidP="00AA2759">
          <w:pPr>
            <w:tabs>
              <w:tab w:val="right" w:pos="8838"/>
            </w:tabs>
            <w:spacing w:line="276" w:lineRule="auto"/>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Tepotzotlán</w:t>
          </w:r>
        </w:p>
      </w:tc>
    </w:tr>
    <w:tr w:rsidR="00C0610C" w:rsidRPr="00264223" w14:paraId="69512480" w14:textId="77777777" w:rsidTr="00CE7533">
      <w:trPr>
        <w:trHeight w:val="234"/>
      </w:trPr>
      <w:tc>
        <w:tcPr>
          <w:tcW w:w="2552" w:type="dxa"/>
        </w:tcPr>
        <w:p w14:paraId="574761F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630AFC"/>
    <w:multiLevelType w:val="hybridMultilevel"/>
    <w:tmpl w:val="17601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676628"/>
    <w:multiLevelType w:val="hybridMultilevel"/>
    <w:tmpl w:val="D71E59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834C9A"/>
    <w:multiLevelType w:val="hybridMultilevel"/>
    <w:tmpl w:val="CA0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62281727">
    <w:abstractNumId w:val="0"/>
  </w:num>
  <w:num w:numId="2" w16cid:durableId="495148871">
    <w:abstractNumId w:val="3"/>
  </w:num>
  <w:num w:numId="3" w16cid:durableId="5908888">
    <w:abstractNumId w:val="9"/>
  </w:num>
  <w:num w:numId="4" w16cid:durableId="205072657">
    <w:abstractNumId w:val="10"/>
  </w:num>
  <w:num w:numId="5" w16cid:durableId="903763411">
    <w:abstractNumId w:val="5"/>
  </w:num>
  <w:num w:numId="6" w16cid:durableId="1396513214">
    <w:abstractNumId w:val="8"/>
  </w:num>
  <w:num w:numId="7" w16cid:durableId="1425105879">
    <w:abstractNumId w:val="2"/>
  </w:num>
  <w:num w:numId="8" w16cid:durableId="965695666">
    <w:abstractNumId w:val="7"/>
  </w:num>
  <w:num w:numId="9" w16cid:durableId="1648053045">
    <w:abstractNumId w:val="1"/>
  </w:num>
  <w:num w:numId="10" w16cid:durableId="733627245">
    <w:abstractNumId w:val="11"/>
  </w:num>
  <w:num w:numId="11" w16cid:durableId="1519854381">
    <w:abstractNumId w:val="6"/>
  </w:num>
  <w:num w:numId="12" w16cid:durableId="960844748">
    <w:abstractNumId w:val="12"/>
  </w:num>
  <w:num w:numId="13" w16cid:durableId="2857426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6D52"/>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E54"/>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BBA"/>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51D"/>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A42"/>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4A1E"/>
    <w:rsid w:val="00236863"/>
    <w:rsid w:val="002375B6"/>
    <w:rsid w:val="00237C1F"/>
    <w:rsid w:val="00237D0D"/>
    <w:rsid w:val="0024089F"/>
    <w:rsid w:val="00241A65"/>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7EC"/>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1D19"/>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4C46"/>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892"/>
    <w:rsid w:val="004B3AFE"/>
    <w:rsid w:val="004B591D"/>
    <w:rsid w:val="004B7542"/>
    <w:rsid w:val="004C1F9B"/>
    <w:rsid w:val="004C2CDD"/>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4F784C"/>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1FD9"/>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77EE1"/>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B7CE9"/>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E72DC"/>
    <w:rsid w:val="005F03DB"/>
    <w:rsid w:val="005F11C2"/>
    <w:rsid w:val="005F1701"/>
    <w:rsid w:val="005F3C27"/>
    <w:rsid w:val="005F4B24"/>
    <w:rsid w:val="005F77BB"/>
    <w:rsid w:val="005F7B7F"/>
    <w:rsid w:val="00602E30"/>
    <w:rsid w:val="00603706"/>
    <w:rsid w:val="00603A46"/>
    <w:rsid w:val="0060578B"/>
    <w:rsid w:val="00607EA7"/>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4793"/>
    <w:rsid w:val="006C6F31"/>
    <w:rsid w:val="006C713D"/>
    <w:rsid w:val="006C7760"/>
    <w:rsid w:val="006C7EEA"/>
    <w:rsid w:val="006D151D"/>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3E0"/>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0E96"/>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35B0"/>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6C30"/>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5348"/>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5C58"/>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0512"/>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610C"/>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5E85"/>
    <w:rsid w:val="00C3773E"/>
    <w:rsid w:val="00C407E5"/>
    <w:rsid w:val="00C41DAA"/>
    <w:rsid w:val="00C41EB5"/>
    <w:rsid w:val="00C4228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533"/>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4A9F"/>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26D4"/>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0608"/>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8635006">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910332">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45087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090740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8832883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84D6-A77A-4F70-B616-3B265A02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5637</Words>
  <Characters>29882</Characters>
  <Application>Microsoft Office Word</Application>
  <DocSecurity>0</DocSecurity>
  <Lines>597</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Roxana Lechuga</cp:lastModifiedBy>
  <cp:revision>2</cp:revision>
  <cp:lastPrinted>2026-01-16T15:56:00Z</cp:lastPrinted>
  <dcterms:created xsi:type="dcterms:W3CDTF">2026-03-13T00:09:00Z</dcterms:created>
  <dcterms:modified xsi:type="dcterms:W3CDTF">2026-03-13T00:09:00Z</dcterms:modified>
</cp:coreProperties>
</file>