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53666C">
        <w:rPr>
          <w:rFonts w:ascii="Palatino Linotype" w:eastAsia="Palatino Linotype" w:hAnsi="Palatino Linotype" w:cs="Palatino Linotype"/>
          <w:b/>
          <w:bCs/>
          <w:sz w:val="22"/>
          <w:szCs w:val="22"/>
        </w:rPr>
        <w:t>catorce de enero de dos mil veintiséis.</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tabs>
          <w:tab w:val="left" w:pos="5812"/>
        </w:tabs>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b/>
          <w:bCs/>
          <w:sz w:val="22"/>
          <w:szCs w:val="22"/>
        </w:rPr>
        <w:t>Visto</w:t>
      </w:r>
      <w:r w:rsidRPr="0053666C">
        <w:rPr>
          <w:rFonts w:ascii="Palatino Linotype" w:eastAsia="Palatino Linotype" w:hAnsi="Palatino Linotype" w:cs="Palatino Linotype"/>
          <w:sz w:val="22"/>
          <w:szCs w:val="22"/>
        </w:rPr>
        <w:t xml:space="preserve"> el expediente formado con motivo del recurso de revisión </w:t>
      </w:r>
      <w:r w:rsidRPr="0053666C">
        <w:rPr>
          <w:rFonts w:ascii="Palatino Linotype" w:eastAsia="Palatino Linotype" w:hAnsi="Palatino Linotype" w:cs="Palatino Linotype"/>
          <w:b/>
          <w:bCs/>
          <w:sz w:val="22"/>
          <w:szCs w:val="22"/>
        </w:rPr>
        <w:t>09789/INFOEM/IP/RR/2025</w:t>
      </w:r>
      <w:r w:rsidRPr="0053666C">
        <w:rPr>
          <w:rFonts w:ascii="Palatino Linotype" w:eastAsia="Palatino Linotype" w:hAnsi="Palatino Linotype" w:cs="Palatino Linotype"/>
          <w:sz w:val="22"/>
          <w:szCs w:val="22"/>
        </w:rPr>
        <w:t>, interpuesto por</w:t>
      </w:r>
      <w:r w:rsidRPr="0053666C">
        <w:rPr>
          <w:rFonts w:ascii="Palatino Linotype" w:eastAsia="Palatino Linotype" w:hAnsi="Palatino Linotype" w:cs="Palatino Linotype"/>
          <w:b/>
          <w:bCs/>
          <w:sz w:val="22"/>
          <w:szCs w:val="22"/>
        </w:rPr>
        <w:t xml:space="preserve"> </w:t>
      </w:r>
      <w:r w:rsidR="003F2D2F" w:rsidRPr="003F2D2F">
        <w:rPr>
          <w:rFonts w:ascii="Palatino Linotype" w:eastAsia="Palatino Linotype" w:hAnsi="Palatino Linotype" w:cs="Palatino Linotype"/>
          <w:b/>
          <w:bCs/>
          <w:sz w:val="22"/>
          <w:szCs w:val="22"/>
        </w:rPr>
        <w:t xml:space="preserve">XXXXX XXXXXX XXXXXXXX </w:t>
      </w:r>
      <w:bookmarkStart w:id="0" w:name="_GoBack"/>
      <w:bookmarkEnd w:id="0"/>
      <w:r w:rsidRPr="0053666C">
        <w:rPr>
          <w:rFonts w:ascii="Palatino Linotype" w:eastAsia="Palatino Linotype" w:hAnsi="Palatino Linotype" w:cs="Palatino Linotype"/>
          <w:sz w:val="22"/>
          <w:szCs w:val="22"/>
        </w:rPr>
        <w:t>en lo sucesivo,</w:t>
      </w:r>
      <w:r w:rsidRPr="0053666C">
        <w:rPr>
          <w:rFonts w:ascii="Palatino Linotype" w:eastAsia="Palatino Linotype" w:hAnsi="Palatino Linotype" w:cs="Palatino Linotype"/>
          <w:b/>
          <w:bCs/>
          <w:sz w:val="22"/>
          <w:szCs w:val="22"/>
        </w:rPr>
        <w:t xml:space="preserve"> la parte</w:t>
      </w:r>
      <w:r w:rsidRPr="0053666C">
        <w:rPr>
          <w:rFonts w:ascii="Palatino Linotype" w:eastAsia="Palatino Linotype" w:hAnsi="Palatino Linotype" w:cs="Palatino Linotype"/>
          <w:sz w:val="22"/>
          <w:szCs w:val="22"/>
        </w:rPr>
        <w:t xml:space="preserve"> </w:t>
      </w:r>
      <w:r w:rsidRPr="0053666C">
        <w:rPr>
          <w:rFonts w:ascii="Palatino Linotype" w:eastAsia="Palatino Linotype" w:hAnsi="Palatino Linotype" w:cs="Palatino Linotype"/>
          <w:b/>
          <w:bCs/>
          <w:sz w:val="22"/>
          <w:szCs w:val="22"/>
        </w:rPr>
        <w:t>Recurrente,</w:t>
      </w:r>
      <w:r w:rsidRPr="0053666C">
        <w:rPr>
          <w:rFonts w:ascii="Palatino Linotype" w:eastAsia="Palatino Linotype" w:hAnsi="Palatino Linotype" w:cs="Palatino Linotype"/>
          <w:sz w:val="22"/>
          <w:szCs w:val="22"/>
        </w:rPr>
        <w:t xml:space="preserve"> en contra de la respuesta a la solicitud de información con número de folio</w:t>
      </w:r>
      <w:r w:rsidRPr="0053666C">
        <w:rPr>
          <w:rFonts w:ascii="Palatino Linotype" w:eastAsia="Palatino Linotype" w:hAnsi="Palatino Linotype" w:cs="Palatino Linotype"/>
          <w:b/>
          <w:bCs/>
          <w:sz w:val="22"/>
          <w:szCs w:val="22"/>
        </w:rPr>
        <w:t xml:space="preserve"> 00423/ATIZARA/IP/2025, </w:t>
      </w:r>
      <w:r w:rsidRPr="0053666C">
        <w:rPr>
          <w:rFonts w:ascii="Palatino Linotype" w:eastAsia="Palatino Linotype" w:hAnsi="Palatino Linotype" w:cs="Palatino Linotype"/>
          <w:sz w:val="22"/>
          <w:szCs w:val="22"/>
        </w:rPr>
        <w:t xml:space="preserve">por parte del </w:t>
      </w:r>
      <w:r w:rsidRPr="0053666C">
        <w:rPr>
          <w:rFonts w:ascii="Palatino Linotype" w:eastAsia="Palatino Linotype" w:hAnsi="Palatino Linotype" w:cs="Palatino Linotype"/>
          <w:b/>
          <w:bCs/>
          <w:sz w:val="22"/>
          <w:szCs w:val="22"/>
        </w:rPr>
        <w:t xml:space="preserve">Ayuntamiento de Atizapán de Zaragoza, </w:t>
      </w:r>
      <w:r w:rsidRPr="0053666C">
        <w:rPr>
          <w:rFonts w:ascii="Palatino Linotype" w:eastAsia="Palatino Linotype" w:hAnsi="Palatino Linotype" w:cs="Palatino Linotype"/>
          <w:sz w:val="22"/>
          <w:szCs w:val="22"/>
        </w:rPr>
        <w:t xml:space="preserve">en lo sucesivo el </w:t>
      </w:r>
      <w:r w:rsidRPr="0053666C">
        <w:rPr>
          <w:rFonts w:ascii="Palatino Linotype" w:eastAsia="Palatino Linotype" w:hAnsi="Palatino Linotype" w:cs="Palatino Linotype"/>
          <w:b/>
          <w:bCs/>
          <w:sz w:val="22"/>
          <w:szCs w:val="22"/>
        </w:rPr>
        <w:t xml:space="preserve">Sujeto Obligado, </w:t>
      </w:r>
      <w:r w:rsidRPr="0053666C">
        <w:rPr>
          <w:rFonts w:ascii="Palatino Linotype" w:eastAsia="Palatino Linotype" w:hAnsi="Palatino Linotype" w:cs="Palatino Linotype"/>
          <w:sz w:val="22"/>
          <w:szCs w:val="22"/>
        </w:rPr>
        <w:t xml:space="preserve">se procede a dictar la presente resolución con base en los siguientes: </w:t>
      </w:r>
    </w:p>
    <w:p w:rsidR="00A40B65" w:rsidRPr="0053666C" w:rsidRDefault="00E5237A">
      <w:pPr>
        <w:spacing w:line="360" w:lineRule="auto"/>
        <w:jc w:val="center"/>
        <w:rPr>
          <w:rFonts w:ascii="Palatino Linotype" w:eastAsia="Palatino Linotype" w:hAnsi="Palatino Linotype" w:cs="Palatino Linotype"/>
          <w:b/>
          <w:bCs/>
          <w:sz w:val="22"/>
          <w:szCs w:val="22"/>
        </w:rPr>
      </w:pPr>
      <w:r w:rsidRPr="0053666C">
        <w:rPr>
          <w:rFonts w:ascii="Palatino Linotype" w:eastAsia="Palatino Linotype" w:hAnsi="Palatino Linotype" w:cs="Palatino Linotype"/>
          <w:b/>
          <w:bCs/>
          <w:sz w:val="22"/>
          <w:szCs w:val="22"/>
        </w:rPr>
        <w:t>I. A N T E C E D E N T E S</w:t>
      </w:r>
    </w:p>
    <w:p w:rsidR="00A40B65" w:rsidRPr="0053666C" w:rsidRDefault="00A40B65">
      <w:pPr>
        <w:spacing w:line="360" w:lineRule="auto"/>
        <w:jc w:val="center"/>
        <w:rPr>
          <w:rFonts w:ascii="Palatino Linotype" w:eastAsia="Palatino Linotype" w:hAnsi="Palatino Linotype" w:cs="Palatino Linotype"/>
          <w:b/>
          <w:bCs/>
          <w:sz w:val="22"/>
          <w:szCs w:val="22"/>
        </w:rPr>
      </w:pPr>
    </w:p>
    <w:p w:rsidR="00A40B65" w:rsidRPr="0053666C" w:rsidRDefault="00E5237A">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bookmarkStart w:id="1" w:name="_heading=h.4d34og8" w:colFirst="0" w:colLast="0"/>
      <w:bookmarkEnd w:id="1"/>
      <w:r w:rsidRPr="0053666C">
        <w:rPr>
          <w:rFonts w:ascii="Palatino Linotype" w:eastAsia="Palatino Linotype" w:hAnsi="Palatino Linotype" w:cs="Palatino Linotype"/>
          <w:b/>
          <w:bCs/>
          <w:sz w:val="22"/>
          <w:szCs w:val="22"/>
        </w:rPr>
        <w:t>Solicitud de acceso a la información.</w:t>
      </w:r>
      <w:r w:rsidRPr="0053666C">
        <w:rPr>
          <w:rFonts w:ascii="Palatino Linotype" w:eastAsia="Palatino Linotype" w:hAnsi="Palatino Linotype" w:cs="Palatino Linotype"/>
          <w:sz w:val="22"/>
          <w:szCs w:val="22"/>
        </w:rPr>
        <w:t xml:space="preserve"> El </w:t>
      </w:r>
      <w:r w:rsidRPr="0053666C">
        <w:rPr>
          <w:rFonts w:ascii="Palatino Linotype" w:eastAsia="Palatino Linotype" w:hAnsi="Palatino Linotype" w:cs="Palatino Linotype"/>
          <w:b/>
          <w:bCs/>
          <w:sz w:val="22"/>
          <w:szCs w:val="22"/>
        </w:rPr>
        <w:t>ocho de julio de dos mil veinticinco,</w:t>
      </w:r>
      <w:r w:rsidRPr="0053666C">
        <w:rPr>
          <w:rFonts w:ascii="Palatino Linotype" w:eastAsia="Palatino Linotype" w:hAnsi="Palatino Linotype" w:cs="Palatino Linotype"/>
          <w:sz w:val="22"/>
          <w:szCs w:val="22"/>
        </w:rPr>
        <w:t xml:space="preserve"> la parte </w:t>
      </w:r>
      <w:r w:rsidRPr="0053666C">
        <w:rPr>
          <w:rFonts w:ascii="Palatino Linotype" w:eastAsia="Palatino Linotype" w:hAnsi="Palatino Linotype" w:cs="Palatino Linotype"/>
          <w:b/>
          <w:bCs/>
          <w:sz w:val="22"/>
          <w:szCs w:val="22"/>
        </w:rPr>
        <w:t xml:space="preserve">Recurrente </w:t>
      </w:r>
      <w:r w:rsidRPr="0053666C">
        <w:rPr>
          <w:rFonts w:ascii="Palatino Linotype" w:eastAsia="Palatino Linotype" w:hAnsi="Palatino Linotype" w:cs="Palatino Linotype"/>
          <w:sz w:val="22"/>
          <w:szCs w:val="22"/>
        </w:rPr>
        <w:t xml:space="preserve">presentó, a través del Sistema de Acceso a la Información Mexiquense, en lo subsecuente el </w:t>
      </w:r>
      <w:r w:rsidRPr="0053666C">
        <w:rPr>
          <w:rFonts w:ascii="Palatino Linotype" w:eastAsia="Palatino Linotype" w:hAnsi="Palatino Linotype" w:cs="Palatino Linotype"/>
          <w:b/>
          <w:bCs/>
          <w:sz w:val="22"/>
          <w:szCs w:val="22"/>
        </w:rPr>
        <w:t>SAIMEX,</w:t>
      </w:r>
      <w:r w:rsidRPr="0053666C">
        <w:rPr>
          <w:rFonts w:ascii="Palatino Linotype" w:eastAsia="Palatino Linotype" w:hAnsi="Palatino Linotype" w:cs="Palatino Linotype"/>
          <w:sz w:val="22"/>
          <w:szCs w:val="22"/>
        </w:rPr>
        <w:t xml:space="preserve"> ante el </w:t>
      </w:r>
      <w:r w:rsidRPr="0053666C">
        <w:rPr>
          <w:rFonts w:ascii="Palatino Linotype" w:eastAsia="Palatino Linotype" w:hAnsi="Palatino Linotype" w:cs="Palatino Linotype"/>
          <w:b/>
          <w:bCs/>
          <w:sz w:val="22"/>
          <w:szCs w:val="22"/>
        </w:rPr>
        <w:t>Sujeto Obligado</w:t>
      </w:r>
      <w:r w:rsidRPr="0053666C">
        <w:rPr>
          <w:rFonts w:ascii="Palatino Linotype" w:eastAsia="Palatino Linotype" w:hAnsi="Palatino Linotype" w:cs="Palatino Linotype"/>
          <w:sz w:val="22"/>
          <w:szCs w:val="22"/>
        </w:rPr>
        <w:t>, la solicitud de acceso a la información pública,</w:t>
      </w:r>
      <w:r w:rsidRPr="0053666C">
        <w:rPr>
          <w:rFonts w:ascii="Palatino Linotype" w:eastAsia="Palatino Linotype" w:hAnsi="Palatino Linotype" w:cs="Palatino Linotype"/>
          <w:b/>
          <w:bCs/>
          <w:sz w:val="22"/>
          <w:szCs w:val="22"/>
        </w:rPr>
        <w:t xml:space="preserve"> </w:t>
      </w:r>
      <w:r w:rsidRPr="0053666C">
        <w:rPr>
          <w:rFonts w:ascii="Palatino Linotype" w:eastAsia="Palatino Linotype" w:hAnsi="Palatino Linotype" w:cs="Palatino Linotype"/>
          <w:sz w:val="22"/>
          <w:szCs w:val="22"/>
        </w:rPr>
        <w:t xml:space="preserve">mediante la cual requirió la información siguiente: </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ind w:left="567" w:right="902"/>
        <w:jc w:val="both"/>
        <w:rPr>
          <w:rFonts w:ascii="Palatino Linotype" w:eastAsia="Palatino Linotype" w:hAnsi="Palatino Linotype" w:cs="Palatino Linotype"/>
          <w:i/>
          <w:iCs/>
          <w:sz w:val="22"/>
          <w:szCs w:val="22"/>
        </w:rPr>
      </w:pPr>
      <w:bookmarkStart w:id="2" w:name="_heading=h.gjdgxs" w:colFirst="0" w:colLast="0"/>
      <w:bookmarkEnd w:id="2"/>
      <w:r w:rsidRPr="0053666C">
        <w:rPr>
          <w:rFonts w:ascii="Palatino Linotype" w:eastAsia="Palatino Linotype" w:hAnsi="Palatino Linotype" w:cs="Palatino Linotype"/>
          <w:i/>
          <w:iCs/>
          <w:sz w:val="22"/>
          <w:szCs w:val="22"/>
        </w:rPr>
        <w:t xml:space="preserve"> “solicito copia simple digitalizada a </w:t>
      </w:r>
      <w:proofErr w:type="spellStart"/>
      <w:r w:rsidRPr="0053666C">
        <w:rPr>
          <w:rFonts w:ascii="Palatino Linotype" w:eastAsia="Palatino Linotype" w:hAnsi="Palatino Linotype" w:cs="Palatino Linotype"/>
          <w:i/>
          <w:iCs/>
          <w:sz w:val="22"/>
          <w:szCs w:val="22"/>
        </w:rPr>
        <w:t>traves</w:t>
      </w:r>
      <w:proofErr w:type="spellEnd"/>
      <w:r w:rsidRPr="0053666C">
        <w:rPr>
          <w:rFonts w:ascii="Palatino Linotype" w:eastAsia="Palatino Linotype" w:hAnsi="Palatino Linotype" w:cs="Palatino Linotype"/>
          <w:i/>
          <w:iCs/>
          <w:sz w:val="22"/>
          <w:szCs w:val="22"/>
        </w:rPr>
        <w:t xml:space="preserve"> del sistema electrónico </w:t>
      </w:r>
      <w:proofErr w:type="spellStart"/>
      <w:r w:rsidRPr="0053666C">
        <w:rPr>
          <w:rFonts w:ascii="Palatino Linotype" w:eastAsia="Palatino Linotype" w:hAnsi="Palatino Linotype" w:cs="Palatino Linotype"/>
          <w:i/>
          <w:iCs/>
          <w:sz w:val="22"/>
          <w:szCs w:val="22"/>
        </w:rPr>
        <w:t>saimex</w:t>
      </w:r>
      <w:proofErr w:type="spellEnd"/>
      <w:r w:rsidRPr="0053666C">
        <w:rPr>
          <w:rFonts w:ascii="Palatino Linotype" w:eastAsia="Palatino Linotype" w:hAnsi="Palatino Linotype" w:cs="Palatino Linotype"/>
          <w:i/>
          <w:iCs/>
          <w:sz w:val="22"/>
          <w:szCs w:val="22"/>
        </w:rPr>
        <w:t xml:space="preserve"> de los comprobantes de pago realizados por la </w:t>
      </w:r>
      <w:proofErr w:type="spellStart"/>
      <w:r w:rsidRPr="0053666C">
        <w:rPr>
          <w:rFonts w:ascii="Palatino Linotype" w:eastAsia="Palatino Linotype" w:hAnsi="Palatino Linotype" w:cs="Palatino Linotype"/>
          <w:i/>
          <w:iCs/>
          <w:sz w:val="22"/>
          <w:szCs w:val="22"/>
        </w:rPr>
        <w:t>tesoreria</w:t>
      </w:r>
      <w:proofErr w:type="spellEnd"/>
      <w:r w:rsidRPr="0053666C">
        <w:rPr>
          <w:rFonts w:ascii="Palatino Linotype" w:eastAsia="Palatino Linotype" w:hAnsi="Palatino Linotype" w:cs="Palatino Linotype"/>
          <w:i/>
          <w:iCs/>
          <w:sz w:val="22"/>
          <w:szCs w:val="22"/>
        </w:rPr>
        <w:t xml:space="preserve"> municipal mediante cheque o transferencia electrónica interbancaria del 1 al 30 de junio de 2025.” </w:t>
      </w:r>
    </w:p>
    <w:p w:rsidR="00A40B65" w:rsidRPr="0053666C" w:rsidRDefault="00A40B65">
      <w:pPr>
        <w:ind w:left="567" w:right="902"/>
        <w:jc w:val="both"/>
        <w:rPr>
          <w:rFonts w:ascii="Palatino Linotype" w:eastAsia="Palatino Linotype" w:hAnsi="Palatino Linotype" w:cs="Palatino Linotype"/>
          <w:b/>
          <w:bCs/>
          <w:i/>
          <w:iCs/>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bookmarkStart w:id="3" w:name="_heading=h.3dy6vkm" w:colFirst="0" w:colLast="0"/>
      <w:bookmarkEnd w:id="3"/>
      <w:r w:rsidRPr="0053666C">
        <w:rPr>
          <w:rFonts w:ascii="Palatino Linotype" w:eastAsia="Palatino Linotype" w:hAnsi="Palatino Linotype" w:cs="Palatino Linotype"/>
          <w:b/>
          <w:bCs/>
          <w:sz w:val="22"/>
          <w:szCs w:val="22"/>
        </w:rPr>
        <w:t xml:space="preserve">Modalidad de Entrega: </w:t>
      </w:r>
      <w:r w:rsidRPr="0053666C">
        <w:rPr>
          <w:rFonts w:ascii="Palatino Linotype" w:eastAsia="Palatino Linotype" w:hAnsi="Palatino Linotype" w:cs="Palatino Linotype"/>
          <w:sz w:val="22"/>
          <w:szCs w:val="22"/>
        </w:rPr>
        <w:t xml:space="preserve">A través del </w:t>
      </w:r>
      <w:r w:rsidRPr="0053666C">
        <w:rPr>
          <w:rFonts w:ascii="Palatino Linotype" w:eastAsia="Palatino Linotype" w:hAnsi="Palatino Linotype" w:cs="Palatino Linotype"/>
          <w:b/>
          <w:bCs/>
          <w:sz w:val="22"/>
          <w:szCs w:val="22"/>
        </w:rPr>
        <w:t>SAIMEX</w:t>
      </w:r>
      <w:r w:rsidRPr="0053666C">
        <w:rPr>
          <w:rFonts w:ascii="Palatino Linotype" w:eastAsia="Palatino Linotype" w:hAnsi="Palatino Linotype" w:cs="Palatino Linotype"/>
          <w:sz w:val="22"/>
          <w:szCs w:val="22"/>
        </w:rPr>
        <w:t>.</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numPr>
          <w:ilvl w:val="0"/>
          <w:numId w:val="2"/>
        </w:numPr>
        <w:pBdr>
          <w:top w:val="nil"/>
          <w:left w:val="nil"/>
          <w:bottom w:val="nil"/>
          <w:right w:val="nil"/>
          <w:between w:val="nil"/>
        </w:pBdr>
        <w:tabs>
          <w:tab w:val="left" w:pos="284"/>
          <w:tab w:val="left" w:pos="3119"/>
        </w:tabs>
        <w:spacing w:line="360" w:lineRule="auto"/>
        <w:ind w:left="0" w:firstLine="0"/>
        <w:jc w:val="both"/>
        <w:rPr>
          <w:rFonts w:ascii="Palatino Linotype" w:eastAsia="Palatino Linotype" w:hAnsi="Palatino Linotype" w:cs="Palatino Linotype"/>
          <w:b/>
          <w:bCs/>
          <w:sz w:val="22"/>
          <w:szCs w:val="22"/>
        </w:rPr>
      </w:pPr>
      <w:r w:rsidRPr="0053666C">
        <w:rPr>
          <w:rFonts w:ascii="Palatino Linotype" w:eastAsia="Palatino Linotype" w:hAnsi="Palatino Linotype" w:cs="Palatino Linotype"/>
          <w:b/>
          <w:bCs/>
          <w:sz w:val="22"/>
          <w:szCs w:val="22"/>
        </w:rPr>
        <w:t xml:space="preserve">Respuesta. </w:t>
      </w:r>
      <w:r w:rsidRPr="0053666C">
        <w:rPr>
          <w:rFonts w:ascii="Palatino Linotype" w:eastAsia="Palatino Linotype" w:hAnsi="Palatino Linotype" w:cs="Palatino Linotype"/>
          <w:sz w:val="22"/>
          <w:szCs w:val="22"/>
        </w:rPr>
        <w:t xml:space="preserve">El </w:t>
      </w:r>
      <w:r w:rsidRPr="0053666C">
        <w:rPr>
          <w:rFonts w:ascii="Palatino Linotype" w:eastAsia="Palatino Linotype" w:hAnsi="Palatino Linotype" w:cs="Palatino Linotype"/>
          <w:b/>
          <w:bCs/>
          <w:sz w:val="22"/>
          <w:szCs w:val="22"/>
        </w:rPr>
        <w:t>doce de agosto de dos mil veinticinco</w:t>
      </w:r>
      <w:r w:rsidRPr="0053666C">
        <w:rPr>
          <w:rFonts w:ascii="Palatino Linotype" w:eastAsia="Palatino Linotype" w:hAnsi="Palatino Linotype" w:cs="Palatino Linotype"/>
          <w:sz w:val="22"/>
          <w:szCs w:val="22"/>
        </w:rPr>
        <w:t>, el</w:t>
      </w:r>
      <w:r w:rsidRPr="0053666C">
        <w:rPr>
          <w:rFonts w:ascii="Palatino Linotype" w:eastAsia="Palatino Linotype" w:hAnsi="Palatino Linotype" w:cs="Palatino Linotype"/>
          <w:b/>
          <w:bCs/>
          <w:sz w:val="22"/>
          <w:szCs w:val="22"/>
        </w:rPr>
        <w:t xml:space="preserve"> Sujeto Obligado </w:t>
      </w:r>
      <w:r w:rsidRPr="0053666C">
        <w:rPr>
          <w:rFonts w:ascii="Palatino Linotype" w:eastAsia="Palatino Linotype" w:hAnsi="Palatino Linotype" w:cs="Palatino Linotype"/>
          <w:sz w:val="22"/>
          <w:szCs w:val="22"/>
        </w:rPr>
        <w:t xml:space="preserve">notificó a la persona solicitante, la respuesta a su solicitud de información, la cual fue previamente del conocimiento de las partes. </w:t>
      </w:r>
    </w:p>
    <w:p w:rsidR="00A40B65" w:rsidRPr="0053666C" w:rsidRDefault="00A40B65">
      <w:pPr>
        <w:pBdr>
          <w:top w:val="nil"/>
          <w:left w:val="nil"/>
          <w:bottom w:val="nil"/>
          <w:right w:val="nil"/>
          <w:between w:val="nil"/>
        </w:pBdr>
        <w:tabs>
          <w:tab w:val="left" w:pos="3119"/>
        </w:tabs>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b/>
          <w:bCs/>
          <w:sz w:val="22"/>
          <w:szCs w:val="22"/>
        </w:rPr>
        <w:lastRenderedPageBreak/>
        <w:t xml:space="preserve">3. Interposición del recurso de revisión. </w:t>
      </w:r>
      <w:r w:rsidRPr="0053666C">
        <w:rPr>
          <w:rFonts w:ascii="Palatino Linotype" w:eastAsia="Palatino Linotype" w:hAnsi="Palatino Linotype" w:cs="Palatino Linotype"/>
          <w:sz w:val="22"/>
          <w:szCs w:val="22"/>
        </w:rPr>
        <w:t xml:space="preserve">Inconforme con los términos de la respuesta emitida por parte del </w:t>
      </w:r>
      <w:r w:rsidRPr="0053666C">
        <w:rPr>
          <w:rFonts w:ascii="Palatino Linotype" w:eastAsia="Palatino Linotype" w:hAnsi="Palatino Linotype" w:cs="Palatino Linotype"/>
          <w:b/>
          <w:bCs/>
          <w:sz w:val="22"/>
          <w:szCs w:val="22"/>
        </w:rPr>
        <w:t>Sujeto Obligado</w:t>
      </w:r>
      <w:r w:rsidRPr="0053666C">
        <w:rPr>
          <w:rFonts w:ascii="Palatino Linotype" w:eastAsia="Palatino Linotype" w:hAnsi="Palatino Linotype" w:cs="Palatino Linotype"/>
          <w:sz w:val="22"/>
          <w:szCs w:val="22"/>
        </w:rPr>
        <w:t xml:space="preserve">, el </w:t>
      </w:r>
      <w:r w:rsidRPr="0053666C">
        <w:rPr>
          <w:rFonts w:ascii="Palatino Linotype" w:eastAsia="Palatino Linotype" w:hAnsi="Palatino Linotype" w:cs="Palatino Linotype"/>
          <w:b/>
          <w:bCs/>
          <w:sz w:val="22"/>
          <w:szCs w:val="22"/>
        </w:rPr>
        <w:t>veinte de agosto dos mil veinticinco, la parte Recurrente</w:t>
      </w:r>
      <w:r w:rsidRPr="0053666C">
        <w:rPr>
          <w:rFonts w:ascii="Palatino Linotype" w:eastAsia="Palatino Linotype" w:hAnsi="Palatino Linotype" w:cs="Palatino Linotype"/>
          <w:sz w:val="22"/>
          <w:szCs w:val="22"/>
        </w:rPr>
        <w:t xml:space="preserve"> interpuso el recurso de revisión a través de </w:t>
      </w:r>
      <w:r w:rsidRPr="0053666C">
        <w:rPr>
          <w:rFonts w:ascii="Palatino Linotype" w:eastAsia="Palatino Linotype" w:hAnsi="Palatino Linotype" w:cs="Palatino Linotype"/>
          <w:b/>
          <w:bCs/>
          <w:sz w:val="22"/>
          <w:szCs w:val="22"/>
        </w:rPr>
        <w:t xml:space="preserve">SAIMEX, </w:t>
      </w:r>
      <w:r w:rsidRPr="0053666C">
        <w:rPr>
          <w:rFonts w:ascii="Palatino Linotype" w:eastAsia="Palatino Linotype" w:hAnsi="Palatino Linotype" w:cs="Palatino Linotype"/>
          <w:sz w:val="22"/>
          <w:szCs w:val="22"/>
        </w:rPr>
        <w:t>en donde se manifestó de la siguiente manera:</w:t>
      </w:r>
    </w:p>
    <w:p w:rsidR="00A40B65" w:rsidRPr="0053666C" w:rsidRDefault="00A40B65">
      <w:pPr>
        <w:spacing w:line="360" w:lineRule="auto"/>
        <w:ind w:right="49"/>
        <w:jc w:val="both"/>
        <w:rPr>
          <w:rFonts w:ascii="Palatino Linotype" w:eastAsia="Palatino Linotype" w:hAnsi="Palatino Linotype" w:cs="Palatino Linotype"/>
          <w:sz w:val="22"/>
          <w:szCs w:val="22"/>
        </w:rPr>
      </w:pPr>
    </w:p>
    <w:p w:rsidR="00A40B65" w:rsidRPr="0053666C" w:rsidRDefault="00E5237A">
      <w:pPr>
        <w:tabs>
          <w:tab w:val="left" w:pos="2745"/>
        </w:tabs>
        <w:spacing w:line="276" w:lineRule="auto"/>
        <w:ind w:left="567" w:right="900"/>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b/>
          <w:bCs/>
          <w:sz w:val="22"/>
          <w:szCs w:val="22"/>
        </w:rPr>
        <w:t xml:space="preserve">a) Acto impugnado: </w:t>
      </w:r>
      <w:r w:rsidRPr="0053666C">
        <w:rPr>
          <w:rFonts w:ascii="Palatino Linotype" w:eastAsia="Palatino Linotype" w:hAnsi="Palatino Linotype" w:cs="Palatino Linotype"/>
          <w:i/>
          <w:iCs/>
          <w:sz w:val="22"/>
          <w:szCs w:val="22"/>
        </w:rPr>
        <w:t xml:space="preserve">“RESPUESTA A LA SOLICITUD 00423/ATIZARA/IP/2025.” </w:t>
      </w:r>
    </w:p>
    <w:p w:rsidR="00A40B65" w:rsidRPr="0053666C" w:rsidRDefault="00A40B65">
      <w:pPr>
        <w:tabs>
          <w:tab w:val="left" w:pos="2745"/>
        </w:tabs>
        <w:spacing w:line="276" w:lineRule="auto"/>
        <w:ind w:left="567" w:right="900"/>
        <w:jc w:val="both"/>
        <w:rPr>
          <w:rFonts w:ascii="Palatino Linotype" w:eastAsia="Palatino Linotype" w:hAnsi="Palatino Linotype" w:cs="Palatino Linotype"/>
          <w:b/>
          <w:bCs/>
          <w:sz w:val="22"/>
          <w:szCs w:val="22"/>
        </w:rPr>
      </w:pPr>
    </w:p>
    <w:p w:rsidR="00A40B65" w:rsidRPr="0053666C" w:rsidRDefault="00E5237A">
      <w:pPr>
        <w:spacing w:line="276" w:lineRule="auto"/>
        <w:ind w:left="567" w:right="900"/>
        <w:jc w:val="both"/>
        <w:rPr>
          <w:rFonts w:ascii="Palatino Linotype" w:eastAsia="Palatino Linotype" w:hAnsi="Palatino Linotype" w:cs="Palatino Linotype"/>
          <w:sz w:val="22"/>
          <w:szCs w:val="22"/>
        </w:rPr>
      </w:pPr>
      <w:bookmarkStart w:id="4" w:name="_heading=h.30j0zll" w:colFirst="0" w:colLast="0"/>
      <w:bookmarkEnd w:id="4"/>
      <w:r w:rsidRPr="0053666C">
        <w:rPr>
          <w:rFonts w:ascii="Palatino Linotype" w:eastAsia="Palatino Linotype" w:hAnsi="Palatino Linotype" w:cs="Palatino Linotype"/>
          <w:b/>
          <w:bCs/>
          <w:sz w:val="22"/>
          <w:szCs w:val="22"/>
        </w:rPr>
        <w:t>b) Razones o motivos de inconformidad</w:t>
      </w:r>
      <w:r w:rsidRPr="0053666C">
        <w:rPr>
          <w:rFonts w:ascii="Palatino Linotype" w:eastAsia="Palatino Linotype" w:hAnsi="Palatino Linotype" w:cs="Palatino Linotype"/>
          <w:sz w:val="22"/>
          <w:szCs w:val="22"/>
        </w:rPr>
        <w:t xml:space="preserve">: </w:t>
      </w:r>
      <w:r w:rsidRPr="0053666C">
        <w:rPr>
          <w:rFonts w:ascii="Palatino Linotype" w:eastAsia="Palatino Linotype" w:hAnsi="Palatino Linotype" w:cs="Palatino Linotype"/>
          <w:i/>
          <w:iCs/>
          <w:sz w:val="22"/>
          <w:szCs w:val="22"/>
        </w:rPr>
        <w:t>“EL SUJETO OBLIGADO NO ENTREGÓ LA INFORMACION SOLICITADA.”</w:t>
      </w:r>
    </w:p>
    <w:p w:rsidR="00A40B65" w:rsidRPr="0053666C" w:rsidRDefault="00A40B65">
      <w:pPr>
        <w:spacing w:line="360" w:lineRule="auto"/>
        <w:jc w:val="both"/>
        <w:rPr>
          <w:rFonts w:ascii="Palatino Linotype" w:eastAsia="Palatino Linotype" w:hAnsi="Palatino Linotype" w:cs="Palatino Linotype"/>
          <w:b/>
          <w:bCs/>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b/>
          <w:bCs/>
          <w:sz w:val="22"/>
          <w:szCs w:val="22"/>
        </w:rPr>
        <w:t xml:space="preserve">4. Turno. </w:t>
      </w:r>
      <w:r w:rsidRPr="0053666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53666C">
        <w:rPr>
          <w:rFonts w:ascii="Palatino Linotype" w:eastAsia="Palatino Linotype" w:hAnsi="Palatino Linotype" w:cs="Palatino Linotype"/>
          <w:b/>
          <w:bCs/>
          <w:sz w:val="22"/>
          <w:szCs w:val="22"/>
        </w:rPr>
        <w:t xml:space="preserve">Guadalupe Ramírez Peña, </w:t>
      </w:r>
      <w:r w:rsidRPr="0053666C">
        <w:rPr>
          <w:rFonts w:ascii="Palatino Linotype" w:eastAsia="Palatino Linotype" w:hAnsi="Palatino Linotype" w:cs="Palatino Linotype"/>
          <w:sz w:val="22"/>
          <w:szCs w:val="22"/>
        </w:rPr>
        <w:t xml:space="preserve">a efecto de que analizara sobre su admisión o su </w:t>
      </w:r>
      <w:proofErr w:type="spellStart"/>
      <w:r w:rsidRPr="0053666C">
        <w:rPr>
          <w:rFonts w:ascii="Palatino Linotype" w:eastAsia="Palatino Linotype" w:hAnsi="Palatino Linotype" w:cs="Palatino Linotype"/>
          <w:sz w:val="22"/>
          <w:szCs w:val="22"/>
        </w:rPr>
        <w:t>desechamiento</w:t>
      </w:r>
      <w:proofErr w:type="spellEnd"/>
      <w:r w:rsidRPr="0053666C">
        <w:rPr>
          <w:rFonts w:ascii="Palatino Linotype" w:eastAsia="Palatino Linotype" w:hAnsi="Palatino Linotype" w:cs="Palatino Linotype"/>
          <w:sz w:val="22"/>
          <w:szCs w:val="22"/>
        </w:rPr>
        <w:t>.</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bookmarkStart w:id="5" w:name="_heading=h.2s8eyo1" w:colFirst="0" w:colLast="0"/>
      <w:bookmarkEnd w:id="5"/>
      <w:r w:rsidRPr="0053666C">
        <w:rPr>
          <w:rFonts w:ascii="Palatino Linotype" w:eastAsia="Palatino Linotype" w:hAnsi="Palatino Linotype" w:cs="Palatino Linotype"/>
          <w:b/>
          <w:bCs/>
          <w:sz w:val="22"/>
          <w:szCs w:val="22"/>
        </w:rPr>
        <w:t>5. Admisión del Recurso de revisión.</w:t>
      </w:r>
      <w:r w:rsidRPr="0053666C">
        <w:rPr>
          <w:rFonts w:ascii="Palatino Linotype" w:eastAsia="Palatino Linotype" w:hAnsi="Palatino Linotype" w:cs="Palatino Linotype"/>
          <w:sz w:val="22"/>
          <w:szCs w:val="22"/>
        </w:rPr>
        <w:t xml:space="preserve"> El</w:t>
      </w:r>
      <w:r w:rsidRPr="0053666C">
        <w:rPr>
          <w:rFonts w:ascii="Palatino Linotype" w:eastAsia="Palatino Linotype" w:hAnsi="Palatino Linotype" w:cs="Palatino Linotype"/>
          <w:b/>
          <w:bCs/>
          <w:sz w:val="22"/>
          <w:szCs w:val="22"/>
        </w:rPr>
        <w:t xml:space="preserve"> veinticinco de agosto de dos mil veinticinco, </w:t>
      </w:r>
      <w:r w:rsidRPr="0053666C">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3666C">
        <w:rPr>
          <w:rFonts w:ascii="Palatino Linotype" w:eastAsia="Palatino Linotype" w:hAnsi="Palatino Linotype" w:cs="Palatino Linotype"/>
          <w:b/>
          <w:bCs/>
          <w:sz w:val="22"/>
          <w:szCs w:val="22"/>
        </w:rPr>
        <w:t xml:space="preserve">Sujeto Obligado </w:t>
      </w:r>
      <w:r w:rsidRPr="0053666C">
        <w:rPr>
          <w:rFonts w:ascii="Palatino Linotype" w:eastAsia="Palatino Linotype" w:hAnsi="Palatino Linotype" w:cs="Palatino Linotype"/>
          <w:sz w:val="22"/>
          <w:szCs w:val="22"/>
        </w:rPr>
        <w:t>presentara su informe justificado.</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widowControl w:val="0"/>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b/>
          <w:bCs/>
          <w:sz w:val="22"/>
          <w:szCs w:val="22"/>
        </w:rPr>
        <w:t xml:space="preserve">6. Manifestaciones. </w:t>
      </w:r>
      <w:r w:rsidRPr="0053666C">
        <w:rPr>
          <w:rFonts w:ascii="Palatino Linotype" w:eastAsia="Palatino Linotype" w:hAnsi="Palatino Linotype" w:cs="Palatino Linotype"/>
          <w:sz w:val="22"/>
          <w:szCs w:val="22"/>
        </w:rPr>
        <w:t xml:space="preserve">El </w:t>
      </w:r>
      <w:r w:rsidRPr="0053666C">
        <w:rPr>
          <w:rFonts w:ascii="Palatino Linotype" w:eastAsia="Palatino Linotype" w:hAnsi="Palatino Linotype" w:cs="Palatino Linotype"/>
          <w:b/>
          <w:bCs/>
          <w:sz w:val="22"/>
          <w:szCs w:val="22"/>
        </w:rPr>
        <w:t>dos de septiembre de dos mil veinticinco</w:t>
      </w:r>
      <w:r w:rsidRPr="0053666C">
        <w:rPr>
          <w:rFonts w:ascii="Palatino Linotype" w:eastAsia="Palatino Linotype" w:hAnsi="Palatino Linotype" w:cs="Palatino Linotype"/>
          <w:sz w:val="22"/>
          <w:szCs w:val="22"/>
        </w:rPr>
        <w:t xml:space="preserve">, el Sujeto Obligado remitió lo siguiente: </w:t>
      </w:r>
    </w:p>
    <w:p w:rsidR="00A40B65" w:rsidRPr="0053666C" w:rsidRDefault="00E5237A">
      <w:pPr>
        <w:widowControl w:val="0"/>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lastRenderedPageBreak/>
        <w:t xml:space="preserve"> Oficio suscrito por el Director General de Informática mediante el cual refiere que, la información solicitada sobrepasa las capacidades técnicas del sistema.  </w:t>
      </w:r>
    </w:p>
    <w:p w:rsidR="00A40B65" w:rsidRPr="0053666C" w:rsidRDefault="00E5237A">
      <w:pPr>
        <w:widowControl w:val="0"/>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Oficio de fecha dos de septiembre de dos mil veinticinco, signado por el Tesorero Municipal mediante el cual informa el lugar, la dirección, el horario, responsable y teléfono para que el particular pueda consultar la información.  </w:t>
      </w:r>
    </w:p>
    <w:p w:rsidR="00A40B65" w:rsidRPr="0053666C" w:rsidRDefault="00A40B65">
      <w:pPr>
        <w:widowControl w:val="0"/>
        <w:pBdr>
          <w:top w:val="nil"/>
          <w:left w:val="nil"/>
          <w:bottom w:val="nil"/>
          <w:right w:val="nil"/>
          <w:between w:val="nil"/>
        </w:pBdr>
        <w:spacing w:line="276" w:lineRule="auto"/>
        <w:ind w:left="720" w:right="49"/>
        <w:jc w:val="both"/>
        <w:rPr>
          <w:rFonts w:ascii="Palatino Linotype" w:eastAsia="Palatino Linotype" w:hAnsi="Palatino Linotype" w:cs="Palatino Linotype"/>
          <w:i/>
          <w:iCs/>
          <w:sz w:val="22"/>
          <w:szCs w:val="22"/>
        </w:rPr>
      </w:pPr>
    </w:p>
    <w:p w:rsidR="00A40B65" w:rsidRPr="0053666C" w:rsidRDefault="00E5237A">
      <w:pPr>
        <w:widowControl w:val="0"/>
        <w:spacing w:line="360" w:lineRule="auto"/>
        <w:ind w:right="49"/>
        <w:jc w:val="both"/>
        <w:rPr>
          <w:rFonts w:ascii="Palatino Linotype" w:eastAsia="Palatino Linotype" w:hAnsi="Palatino Linotype" w:cs="Palatino Linotype"/>
          <w:b/>
          <w:bCs/>
          <w:sz w:val="22"/>
          <w:szCs w:val="22"/>
        </w:rPr>
      </w:pPr>
      <w:r w:rsidRPr="0053666C">
        <w:rPr>
          <w:rFonts w:ascii="Palatino Linotype" w:eastAsia="Palatino Linotype" w:hAnsi="Palatino Linotype" w:cs="Palatino Linotype"/>
          <w:sz w:val="22"/>
          <w:szCs w:val="22"/>
        </w:rPr>
        <w:t xml:space="preserve">Los documentos se hicieron del conocimiento de la parte Recurrente el </w:t>
      </w:r>
      <w:r w:rsidRPr="0053666C">
        <w:rPr>
          <w:rFonts w:ascii="Palatino Linotype" w:eastAsia="Palatino Linotype" w:hAnsi="Palatino Linotype" w:cs="Palatino Linotype"/>
          <w:b/>
          <w:bCs/>
          <w:sz w:val="22"/>
          <w:szCs w:val="22"/>
        </w:rPr>
        <w:t xml:space="preserve">dieciséis de diciembre de dos mil veinticinco. </w:t>
      </w:r>
    </w:p>
    <w:p w:rsidR="00A40B65" w:rsidRPr="0053666C" w:rsidRDefault="00A40B65">
      <w:pPr>
        <w:widowControl w:val="0"/>
        <w:spacing w:line="360" w:lineRule="auto"/>
        <w:ind w:right="49"/>
        <w:jc w:val="both"/>
        <w:rPr>
          <w:rFonts w:ascii="Palatino Linotype" w:eastAsia="Palatino Linotype" w:hAnsi="Palatino Linotype" w:cs="Palatino Linotype"/>
          <w:sz w:val="22"/>
          <w:szCs w:val="22"/>
        </w:rPr>
      </w:pPr>
    </w:p>
    <w:p w:rsidR="00A40B65" w:rsidRPr="0053666C" w:rsidRDefault="00E5237A">
      <w:pPr>
        <w:widowControl w:val="0"/>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La parte Recurrente fue omisa en rendir manifestaciones. </w:t>
      </w:r>
    </w:p>
    <w:p w:rsidR="00A40B65" w:rsidRPr="0053666C" w:rsidRDefault="00A40B65">
      <w:pPr>
        <w:widowControl w:val="0"/>
        <w:spacing w:line="360" w:lineRule="auto"/>
        <w:ind w:right="49"/>
        <w:jc w:val="both"/>
        <w:rPr>
          <w:rFonts w:ascii="Palatino Linotype" w:eastAsia="Palatino Linotype" w:hAnsi="Palatino Linotype" w:cs="Palatino Linotype"/>
          <w:sz w:val="22"/>
          <w:szCs w:val="22"/>
        </w:rPr>
      </w:pPr>
    </w:p>
    <w:p w:rsidR="00A40B65" w:rsidRPr="0053666C" w:rsidRDefault="00E5237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b/>
          <w:bCs/>
          <w:sz w:val="22"/>
          <w:szCs w:val="22"/>
        </w:rPr>
        <w:t>7. Ampliación de plazo:</w:t>
      </w:r>
      <w:r w:rsidRPr="0053666C">
        <w:rPr>
          <w:rFonts w:ascii="Palatino Linotype" w:eastAsia="Palatino Linotype" w:hAnsi="Palatino Linotype" w:cs="Palatino Linotype"/>
          <w:sz w:val="22"/>
          <w:szCs w:val="22"/>
        </w:rPr>
        <w:t xml:space="preserve"> En fecha </w:t>
      </w:r>
      <w:r w:rsidRPr="0053666C">
        <w:rPr>
          <w:rFonts w:ascii="Palatino Linotype" w:eastAsia="Palatino Linotype" w:hAnsi="Palatino Linotype" w:cs="Palatino Linotype"/>
          <w:b/>
          <w:bCs/>
          <w:sz w:val="22"/>
          <w:szCs w:val="22"/>
        </w:rPr>
        <w:t>dieciséis de diciembre de dos mil veinticinco</w:t>
      </w:r>
      <w:r w:rsidRPr="0053666C">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 mismo que fue notificado el veintiuno de agosto de dos mil veinticinco.</w:t>
      </w:r>
    </w:p>
    <w:p w:rsidR="00A40B65" w:rsidRPr="0053666C" w:rsidRDefault="00A40B65">
      <w:pPr>
        <w:widowControl w:val="0"/>
        <w:spacing w:line="360" w:lineRule="auto"/>
        <w:jc w:val="both"/>
        <w:rPr>
          <w:rFonts w:ascii="Palatino Linotype" w:eastAsia="Palatino Linotype" w:hAnsi="Palatino Linotype" w:cs="Palatino Linotype"/>
          <w:sz w:val="22"/>
          <w:szCs w:val="22"/>
        </w:rPr>
      </w:pPr>
    </w:p>
    <w:p w:rsidR="00A40B65" w:rsidRPr="0053666C" w:rsidRDefault="00E5237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A40B65" w:rsidRPr="0053666C" w:rsidRDefault="00A40B65">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trike/>
          <w:sz w:val="22"/>
          <w:szCs w:val="22"/>
        </w:rPr>
      </w:pPr>
      <w:r w:rsidRPr="0053666C">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numPr>
          <w:ilvl w:val="0"/>
          <w:numId w:val="4"/>
        </w:num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Complejidad del Asunto: La complejidad de la prueba, la pluralidad de sujetos procesales, el tiempo transcurrido, las características y contexto del recurso.</w:t>
      </w:r>
    </w:p>
    <w:p w:rsidR="00A40B65" w:rsidRPr="0053666C" w:rsidRDefault="00E5237A">
      <w:pPr>
        <w:numPr>
          <w:ilvl w:val="0"/>
          <w:numId w:val="4"/>
        </w:num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Actividad Procesal del interesado. Acciones u omisiones del interesado.</w:t>
      </w:r>
    </w:p>
    <w:p w:rsidR="00A40B65" w:rsidRPr="0053666C" w:rsidRDefault="00E5237A">
      <w:pPr>
        <w:numPr>
          <w:ilvl w:val="0"/>
          <w:numId w:val="4"/>
        </w:num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rsidR="00A40B65" w:rsidRPr="0053666C" w:rsidRDefault="00E5237A">
      <w:pPr>
        <w:numPr>
          <w:ilvl w:val="0"/>
          <w:numId w:val="4"/>
        </w:num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 La afectación generada en la situación jurídica de la persona involucrada en el proceso: Violación a sus derechos humanos.</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53666C">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53666C">
        <w:rPr>
          <w:rFonts w:ascii="Palatino Linotype" w:eastAsia="Palatino Linotype" w:hAnsi="Palatino Linotype" w:cs="Palatino Linotype"/>
          <w:sz w:val="22"/>
          <w:szCs w:val="22"/>
        </w:rPr>
        <w:t>, visible en la Gaceta del Seminario Judicial de la Federación con el registro digital 205635.</w:t>
      </w: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ind w:left="567" w:right="616"/>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b/>
          <w:bCs/>
          <w:sz w:val="22"/>
          <w:szCs w:val="22"/>
        </w:rPr>
        <w:t xml:space="preserve"> </w:t>
      </w:r>
      <w:r w:rsidRPr="0053666C">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53666C">
        <w:rPr>
          <w:rFonts w:ascii="Palatino Linotype" w:eastAsia="Palatino Linotype" w:hAnsi="Palatino Linotype" w:cs="Palatino Linotype"/>
          <w:sz w:val="22"/>
          <w:szCs w:val="22"/>
        </w:rPr>
        <w:t xml:space="preserve"> consultable en el Seminario Judicial de la Federación y su gaceta, con el registro digital 2002351.</w:t>
      </w:r>
    </w:p>
    <w:p w:rsidR="00A40B65" w:rsidRPr="0053666C" w:rsidRDefault="00E5237A">
      <w:pPr>
        <w:spacing w:line="360" w:lineRule="auto"/>
        <w:ind w:left="567" w:right="616"/>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53666C">
        <w:rPr>
          <w:rFonts w:ascii="Palatino Linotype" w:eastAsia="Palatino Linotype" w:hAnsi="Palatino Linotype" w:cs="Palatino Linotype"/>
          <w:i/>
          <w:iCs/>
          <w:sz w:val="22"/>
          <w:szCs w:val="22"/>
        </w:rPr>
        <w:t>.”</w:t>
      </w:r>
      <w:r w:rsidRPr="0053666C">
        <w:rPr>
          <w:rFonts w:ascii="Palatino Linotype" w:eastAsia="Palatino Linotype" w:hAnsi="Palatino Linotype" w:cs="Palatino Linotype"/>
          <w:sz w:val="22"/>
          <w:szCs w:val="22"/>
        </w:rPr>
        <w:t>, visible en el Seminario Judicial de la Federación y su gaceta, con el registro digital 2002350.</w:t>
      </w:r>
    </w:p>
    <w:p w:rsidR="00A40B65" w:rsidRPr="0053666C" w:rsidRDefault="00A40B65">
      <w:pPr>
        <w:widowControl w:val="0"/>
        <w:spacing w:line="360" w:lineRule="auto"/>
        <w:ind w:right="49"/>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b/>
          <w:bCs/>
          <w:sz w:val="22"/>
          <w:szCs w:val="22"/>
        </w:rPr>
      </w:pPr>
      <w:r w:rsidRPr="0053666C">
        <w:rPr>
          <w:rFonts w:ascii="Palatino Linotype" w:eastAsia="Palatino Linotype" w:hAnsi="Palatino Linotype" w:cs="Palatino Linotype"/>
          <w:b/>
          <w:bCs/>
          <w:sz w:val="22"/>
          <w:szCs w:val="22"/>
        </w:rPr>
        <w:t xml:space="preserve">8. Cierre de instrucción. </w:t>
      </w:r>
      <w:r w:rsidRPr="0053666C">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53666C">
        <w:rPr>
          <w:rFonts w:ascii="Palatino Linotype" w:eastAsia="Palatino Linotype" w:hAnsi="Palatino Linotype" w:cs="Palatino Linotype"/>
          <w:b/>
          <w:bCs/>
          <w:sz w:val="22"/>
          <w:szCs w:val="22"/>
        </w:rPr>
        <w:t>catorce de enero de dos mil veintiséis,</w:t>
      </w:r>
      <w:r w:rsidRPr="0053666C">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widowControl w:val="0"/>
        <w:spacing w:line="360" w:lineRule="auto"/>
        <w:jc w:val="center"/>
        <w:rPr>
          <w:rFonts w:ascii="Palatino Linotype" w:eastAsia="Palatino Linotype" w:hAnsi="Palatino Linotype" w:cs="Palatino Linotype"/>
          <w:b/>
          <w:bCs/>
          <w:sz w:val="22"/>
          <w:szCs w:val="22"/>
        </w:rPr>
      </w:pPr>
      <w:r w:rsidRPr="0053666C">
        <w:rPr>
          <w:rFonts w:ascii="Palatino Linotype" w:eastAsia="Palatino Linotype" w:hAnsi="Palatino Linotype" w:cs="Palatino Linotype"/>
          <w:b/>
          <w:bCs/>
          <w:sz w:val="22"/>
          <w:szCs w:val="22"/>
        </w:rPr>
        <w:t>II. C O N S I D E R A N D O S</w:t>
      </w:r>
    </w:p>
    <w:p w:rsidR="00A40B65" w:rsidRPr="0053666C" w:rsidRDefault="00A40B65">
      <w:pPr>
        <w:widowControl w:val="0"/>
        <w:spacing w:line="360" w:lineRule="auto"/>
        <w:jc w:val="center"/>
        <w:rPr>
          <w:rFonts w:ascii="Palatino Linotype" w:eastAsia="Palatino Linotype" w:hAnsi="Palatino Linotype" w:cs="Palatino Linotype"/>
          <w:b/>
          <w:bCs/>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b/>
          <w:bCs/>
          <w:sz w:val="22"/>
          <w:szCs w:val="22"/>
        </w:rPr>
        <w:t>Primero. Competencia.</w:t>
      </w:r>
      <w:r w:rsidRPr="0053666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w:t>
      </w:r>
      <w:r w:rsidRPr="0053666C">
        <w:rPr>
          <w:sz w:val="22"/>
          <w:szCs w:val="22"/>
        </w:rPr>
        <w:t xml:space="preserve"> </w:t>
      </w:r>
      <w:r w:rsidRPr="0053666C">
        <w:rPr>
          <w:rFonts w:ascii="Palatino Linotype" w:eastAsia="Palatino Linotype" w:hAnsi="Palatino Linotype" w:cs="Palatino Linotype"/>
          <w:sz w:val="22"/>
          <w:szCs w:val="22"/>
        </w:rPr>
        <w:t>5 párrafos trigésimo noveno, cuadragésimo y cuadragésimo primero fracciones IV y V de la Constitución Política del Estado Libre y Soberano de México; Transitorio Cuarto, párrafo segundo del Decreto número 198 de la “LXII” Legislatura del Estado de México;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53666C">
        <w:rPr>
          <w:rFonts w:ascii="Palatino Linotype" w:eastAsia="Palatino Linotype" w:hAnsi="Palatino Linotype" w:cs="Palatino Linotype"/>
          <w:b/>
          <w:bCs/>
          <w:sz w:val="22"/>
          <w:szCs w:val="22"/>
        </w:rPr>
        <w:t xml:space="preserve">Segundo. Oportunidad y </w:t>
      </w:r>
      <w:proofErr w:type="spellStart"/>
      <w:r w:rsidRPr="0053666C">
        <w:rPr>
          <w:rFonts w:ascii="Palatino Linotype" w:eastAsia="Palatino Linotype" w:hAnsi="Palatino Linotype" w:cs="Palatino Linotype"/>
          <w:b/>
          <w:bCs/>
          <w:sz w:val="22"/>
          <w:szCs w:val="22"/>
        </w:rPr>
        <w:t>Procedibilidad</w:t>
      </w:r>
      <w:proofErr w:type="spellEnd"/>
      <w:r w:rsidRPr="0053666C">
        <w:rPr>
          <w:rFonts w:ascii="Palatino Linotype" w:eastAsia="Palatino Linotype" w:hAnsi="Palatino Linotype" w:cs="Palatino Linotype"/>
          <w:b/>
          <w:bCs/>
          <w:sz w:val="22"/>
          <w:szCs w:val="22"/>
        </w:rPr>
        <w:t xml:space="preserve"> del Recurso de Revisión</w:t>
      </w:r>
      <w:r w:rsidRPr="0053666C">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53666C">
        <w:rPr>
          <w:rFonts w:ascii="Palatino Linotype" w:eastAsia="Palatino Linotype" w:hAnsi="Palatino Linotype" w:cs="Palatino Linotype"/>
          <w:sz w:val="22"/>
          <w:szCs w:val="22"/>
        </w:rPr>
        <w:t>procedibilidad</w:t>
      </w:r>
      <w:proofErr w:type="spellEnd"/>
      <w:r w:rsidRPr="0053666C">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53666C">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53666C">
        <w:rPr>
          <w:rFonts w:ascii="Palatino Linotype" w:eastAsia="Palatino Linotype" w:hAnsi="Palatino Linotype" w:cs="Palatino Linotype"/>
          <w:b/>
          <w:bCs/>
          <w:sz w:val="22"/>
          <w:szCs w:val="22"/>
        </w:rPr>
        <w:t xml:space="preserve">Sujeto Obligado </w:t>
      </w:r>
      <w:r w:rsidRPr="0053666C">
        <w:rPr>
          <w:rFonts w:ascii="Palatino Linotype" w:eastAsia="Palatino Linotype" w:hAnsi="Palatino Linotype" w:cs="Palatino Linotype"/>
          <w:sz w:val="22"/>
          <w:szCs w:val="22"/>
        </w:rPr>
        <w:t xml:space="preserve">remitió la respuesta a la solicitud de información el </w:t>
      </w:r>
      <w:r w:rsidRPr="0053666C">
        <w:rPr>
          <w:rFonts w:ascii="Palatino Linotype" w:eastAsia="Palatino Linotype" w:hAnsi="Palatino Linotype" w:cs="Palatino Linotype"/>
          <w:b/>
          <w:bCs/>
          <w:sz w:val="22"/>
          <w:szCs w:val="22"/>
        </w:rPr>
        <w:t xml:space="preserve">doce de agosto dos mil veinticinco, </w:t>
      </w:r>
      <w:r w:rsidRPr="0053666C">
        <w:rPr>
          <w:rFonts w:ascii="Palatino Linotype" w:eastAsia="Palatino Linotype" w:hAnsi="Palatino Linotype" w:cs="Palatino Linotype"/>
          <w:sz w:val="22"/>
          <w:szCs w:val="22"/>
        </w:rPr>
        <w:t xml:space="preserve">mientras que el recurso de revisión interpuesto por </w:t>
      </w:r>
      <w:r w:rsidRPr="0053666C">
        <w:rPr>
          <w:rFonts w:ascii="Palatino Linotype" w:eastAsia="Palatino Linotype" w:hAnsi="Palatino Linotype" w:cs="Palatino Linotype"/>
          <w:b/>
          <w:bCs/>
          <w:sz w:val="22"/>
          <w:szCs w:val="22"/>
        </w:rPr>
        <w:t>la parte</w:t>
      </w:r>
      <w:r w:rsidRPr="0053666C">
        <w:rPr>
          <w:rFonts w:ascii="Palatino Linotype" w:eastAsia="Palatino Linotype" w:hAnsi="Palatino Linotype" w:cs="Palatino Linotype"/>
          <w:sz w:val="22"/>
          <w:szCs w:val="22"/>
        </w:rPr>
        <w:t xml:space="preserve"> </w:t>
      </w:r>
      <w:r w:rsidRPr="0053666C">
        <w:rPr>
          <w:rFonts w:ascii="Palatino Linotype" w:eastAsia="Palatino Linotype" w:hAnsi="Palatino Linotype" w:cs="Palatino Linotype"/>
          <w:b/>
          <w:bCs/>
          <w:sz w:val="22"/>
          <w:szCs w:val="22"/>
        </w:rPr>
        <w:t>Recurrente</w:t>
      </w:r>
      <w:r w:rsidRPr="0053666C">
        <w:rPr>
          <w:rFonts w:ascii="Palatino Linotype" w:eastAsia="Palatino Linotype" w:hAnsi="Palatino Linotype" w:cs="Palatino Linotype"/>
          <w:sz w:val="22"/>
          <w:szCs w:val="22"/>
        </w:rPr>
        <w:t xml:space="preserve">, se tuvo por presentado el día </w:t>
      </w:r>
      <w:r w:rsidRPr="0053666C">
        <w:rPr>
          <w:rFonts w:ascii="Palatino Linotype" w:eastAsia="Palatino Linotype" w:hAnsi="Palatino Linotype" w:cs="Palatino Linotype"/>
          <w:b/>
          <w:bCs/>
          <w:sz w:val="22"/>
          <w:szCs w:val="22"/>
        </w:rPr>
        <w:t xml:space="preserve">veinte de agosto de dos mil veinticinco, </w:t>
      </w:r>
      <w:r w:rsidRPr="0053666C">
        <w:rPr>
          <w:rFonts w:ascii="Palatino Linotype" w:eastAsia="Palatino Linotype" w:hAnsi="Palatino Linotype" w:cs="Palatino Linotype"/>
          <w:sz w:val="22"/>
          <w:szCs w:val="22"/>
        </w:rPr>
        <w:t xml:space="preserve">esto es, al sexto día hábil en que se tuvo conocimiento de la respuesta. </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rsidR="00A40B65" w:rsidRPr="0053666C" w:rsidRDefault="00A40B65">
      <w:pPr>
        <w:spacing w:line="276" w:lineRule="auto"/>
        <w:ind w:right="902"/>
        <w:jc w:val="both"/>
        <w:rPr>
          <w:rFonts w:ascii="Palatino Linotype" w:eastAsia="Palatino Linotype" w:hAnsi="Palatino Linotype" w:cs="Palatino Linotype"/>
          <w:i/>
          <w:iCs/>
          <w:sz w:val="22"/>
          <w:szCs w:val="22"/>
        </w:rPr>
      </w:pPr>
    </w:p>
    <w:p w:rsidR="00A40B65" w:rsidRPr="0053666C" w:rsidRDefault="00E5237A">
      <w:pPr>
        <w:tabs>
          <w:tab w:val="left" w:pos="7938"/>
        </w:tabs>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Al mismo tiempo, por cuanto hace a la </w:t>
      </w:r>
      <w:proofErr w:type="spellStart"/>
      <w:r w:rsidRPr="0053666C">
        <w:rPr>
          <w:rFonts w:ascii="Palatino Linotype" w:eastAsia="Palatino Linotype" w:hAnsi="Palatino Linotype" w:cs="Palatino Linotype"/>
          <w:sz w:val="22"/>
          <w:szCs w:val="22"/>
        </w:rPr>
        <w:t>procedibilidad</w:t>
      </w:r>
      <w:proofErr w:type="spellEnd"/>
      <w:r w:rsidRPr="0053666C">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A40B65" w:rsidRPr="0053666C" w:rsidRDefault="00A40B65">
      <w:pPr>
        <w:tabs>
          <w:tab w:val="left" w:pos="7938"/>
        </w:tabs>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Finalmente, se advierte que resulta procedente la interposición del recurso, según lo manifestado por </w:t>
      </w:r>
      <w:r w:rsidRPr="0053666C">
        <w:rPr>
          <w:rFonts w:ascii="Palatino Linotype" w:eastAsia="Palatino Linotype" w:hAnsi="Palatino Linotype" w:cs="Palatino Linotype"/>
          <w:b/>
          <w:bCs/>
          <w:sz w:val="22"/>
          <w:szCs w:val="22"/>
        </w:rPr>
        <w:t>la parte</w:t>
      </w:r>
      <w:r w:rsidRPr="0053666C">
        <w:rPr>
          <w:rFonts w:ascii="Palatino Linotype" w:eastAsia="Palatino Linotype" w:hAnsi="Palatino Linotype" w:cs="Palatino Linotype"/>
          <w:sz w:val="22"/>
          <w:szCs w:val="22"/>
        </w:rPr>
        <w:t xml:space="preserve"> </w:t>
      </w:r>
      <w:r w:rsidRPr="0053666C">
        <w:rPr>
          <w:rFonts w:ascii="Palatino Linotype" w:eastAsia="Palatino Linotype" w:hAnsi="Palatino Linotype" w:cs="Palatino Linotype"/>
          <w:b/>
          <w:bCs/>
          <w:sz w:val="22"/>
          <w:szCs w:val="22"/>
        </w:rPr>
        <w:t>Recurrente</w:t>
      </w:r>
      <w:r w:rsidRPr="0053666C">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ind w:left="567" w:right="902"/>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w:t>
      </w:r>
      <w:r w:rsidRPr="0053666C">
        <w:rPr>
          <w:rFonts w:ascii="Palatino Linotype" w:eastAsia="Palatino Linotype" w:hAnsi="Palatino Linotype" w:cs="Palatino Linotype"/>
          <w:b/>
          <w:bCs/>
          <w:i/>
          <w:iCs/>
          <w:sz w:val="22"/>
          <w:szCs w:val="22"/>
        </w:rPr>
        <w:t>Artículo 179.</w:t>
      </w:r>
      <w:r w:rsidRPr="0053666C">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rsidR="00A40B65" w:rsidRPr="0053666C" w:rsidRDefault="00E5237A">
      <w:pPr>
        <w:ind w:left="567" w:right="902"/>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w:t>
      </w:r>
    </w:p>
    <w:p w:rsidR="00A40B65" w:rsidRPr="0053666C" w:rsidRDefault="00E5237A">
      <w:pPr>
        <w:spacing w:line="360" w:lineRule="auto"/>
        <w:ind w:left="567" w:right="902"/>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I. La negativa de entrega de la información;</w:t>
      </w:r>
    </w:p>
    <w:p w:rsidR="00A40B65" w:rsidRPr="0053666C" w:rsidRDefault="00E5237A">
      <w:pPr>
        <w:spacing w:line="360" w:lineRule="auto"/>
        <w:ind w:left="567" w:right="902"/>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w:t>
      </w:r>
    </w:p>
    <w:p w:rsidR="00A40B65" w:rsidRPr="0053666C" w:rsidRDefault="00A40B65">
      <w:pPr>
        <w:spacing w:line="360" w:lineRule="auto"/>
        <w:ind w:left="567" w:right="902"/>
        <w:jc w:val="both"/>
        <w:rPr>
          <w:rFonts w:ascii="Palatino Linotype" w:eastAsia="Palatino Linotype" w:hAnsi="Palatino Linotype" w:cs="Palatino Linotype"/>
          <w:i/>
          <w:iCs/>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b/>
          <w:bCs/>
          <w:sz w:val="22"/>
          <w:szCs w:val="22"/>
        </w:rPr>
        <w:t>Tercero. Materia de Revisión</w:t>
      </w:r>
      <w:r w:rsidRPr="0053666C">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b/>
          <w:bCs/>
          <w:sz w:val="22"/>
          <w:szCs w:val="22"/>
        </w:rPr>
        <w:t xml:space="preserve">Cuarto. Estudio de fondo del asunto. </w:t>
      </w:r>
      <w:r w:rsidRPr="0053666C">
        <w:rPr>
          <w:rFonts w:ascii="Palatino Linotype" w:eastAsia="Palatino Linotype" w:hAnsi="Palatino Linotype" w:cs="Palatino Linotype"/>
          <w:sz w:val="22"/>
          <w:szCs w:val="22"/>
        </w:rPr>
        <w:t>Es conveniente analizar si la respuesta del Sujeto Obligado</w:t>
      </w:r>
      <w:r w:rsidRPr="0053666C">
        <w:rPr>
          <w:rFonts w:ascii="Palatino Linotype" w:eastAsia="Palatino Linotype" w:hAnsi="Palatino Linotype" w:cs="Palatino Linotype"/>
          <w:b/>
          <w:bCs/>
          <w:sz w:val="22"/>
          <w:szCs w:val="22"/>
        </w:rPr>
        <w:t xml:space="preserve"> </w:t>
      </w:r>
      <w:r w:rsidRPr="0053666C">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tabs>
          <w:tab w:val="left" w:pos="851"/>
        </w:tabs>
        <w:spacing w:line="276" w:lineRule="auto"/>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w:t>
      </w:r>
      <w:r w:rsidRPr="0053666C">
        <w:rPr>
          <w:rFonts w:ascii="Palatino Linotype" w:eastAsia="Palatino Linotype" w:hAnsi="Palatino Linotype" w:cs="Palatino Linotype"/>
          <w:b/>
          <w:bCs/>
          <w:i/>
          <w:iCs/>
          <w:sz w:val="22"/>
          <w:szCs w:val="22"/>
        </w:rPr>
        <w:t>Artículo 4</w:t>
      </w:r>
      <w:r w:rsidRPr="0053666C">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40B65" w:rsidRPr="0053666C" w:rsidRDefault="00E5237A">
      <w:pPr>
        <w:tabs>
          <w:tab w:val="left" w:pos="851"/>
        </w:tabs>
        <w:spacing w:line="276" w:lineRule="auto"/>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53666C">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A40B65" w:rsidRPr="0053666C" w:rsidRDefault="00E5237A">
      <w:pPr>
        <w:tabs>
          <w:tab w:val="left" w:pos="851"/>
        </w:tabs>
        <w:spacing w:line="276" w:lineRule="auto"/>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53666C">
        <w:rPr>
          <w:rFonts w:ascii="Palatino Linotype" w:eastAsia="Palatino Linotype" w:hAnsi="Palatino Linotype" w:cs="Palatino Linotype"/>
          <w:i/>
          <w:iCs/>
          <w:sz w:val="22"/>
          <w:szCs w:val="22"/>
        </w:rPr>
        <w:t>.”</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A40B65" w:rsidRPr="0053666C" w:rsidRDefault="00A40B65">
      <w:pPr>
        <w:spacing w:line="276" w:lineRule="auto"/>
        <w:ind w:left="567" w:right="616"/>
        <w:jc w:val="both"/>
        <w:rPr>
          <w:rFonts w:ascii="Palatino Linotype" w:eastAsia="Palatino Linotype" w:hAnsi="Palatino Linotype" w:cs="Palatino Linotype"/>
          <w:sz w:val="22"/>
          <w:szCs w:val="22"/>
        </w:rPr>
      </w:pPr>
    </w:p>
    <w:p w:rsidR="00A40B65" w:rsidRPr="0053666C" w:rsidRDefault="00E5237A">
      <w:pPr>
        <w:spacing w:line="276" w:lineRule="auto"/>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w:t>
      </w:r>
      <w:r w:rsidRPr="0053666C">
        <w:rPr>
          <w:rFonts w:ascii="Palatino Linotype" w:eastAsia="Palatino Linotype" w:hAnsi="Palatino Linotype" w:cs="Palatino Linotype"/>
          <w:b/>
          <w:bCs/>
          <w:i/>
          <w:iCs/>
          <w:sz w:val="22"/>
          <w:szCs w:val="22"/>
        </w:rPr>
        <w:t>Artículo 12.-</w:t>
      </w:r>
      <w:r w:rsidRPr="0053666C">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rsidR="00A40B65" w:rsidRPr="0053666C" w:rsidRDefault="00A40B65">
      <w:pPr>
        <w:spacing w:line="276" w:lineRule="auto"/>
        <w:ind w:left="567" w:right="616"/>
        <w:jc w:val="both"/>
        <w:rPr>
          <w:rFonts w:ascii="Palatino Linotype" w:eastAsia="Palatino Linotype" w:hAnsi="Palatino Linotype" w:cs="Palatino Linotype"/>
          <w:i/>
          <w:iCs/>
          <w:sz w:val="22"/>
          <w:szCs w:val="22"/>
        </w:rPr>
      </w:pPr>
    </w:p>
    <w:p w:rsidR="00A40B65" w:rsidRPr="0053666C" w:rsidRDefault="00E5237A">
      <w:pPr>
        <w:spacing w:line="276" w:lineRule="auto"/>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53666C">
        <w:rPr>
          <w:rFonts w:ascii="Palatino Linotype" w:eastAsia="Palatino Linotype" w:hAnsi="Palatino Linotype" w:cs="Palatino Linotype"/>
          <w:i/>
          <w:iCs/>
          <w:sz w:val="22"/>
          <w:szCs w:val="22"/>
        </w:rPr>
        <w:t xml:space="preserve">. </w:t>
      </w:r>
      <w:r w:rsidRPr="0053666C">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53666C">
        <w:rPr>
          <w:rFonts w:ascii="Palatino Linotype" w:eastAsia="Palatino Linotype" w:hAnsi="Palatino Linotype" w:cs="Palatino Linotype"/>
          <w:i/>
          <w:iCs/>
          <w:sz w:val="22"/>
          <w:szCs w:val="22"/>
        </w:rPr>
        <w:t xml:space="preserve">.” </w:t>
      </w:r>
    </w:p>
    <w:p w:rsidR="00A40B65" w:rsidRPr="0053666C" w:rsidRDefault="00A40B65">
      <w:pPr>
        <w:spacing w:line="276" w:lineRule="auto"/>
        <w:ind w:left="567" w:right="616"/>
        <w:jc w:val="both"/>
        <w:rPr>
          <w:rFonts w:ascii="Palatino Linotype" w:eastAsia="Palatino Linotype" w:hAnsi="Palatino Linotype" w:cs="Palatino Linotype"/>
          <w:i/>
          <w:iCs/>
          <w:sz w:val="22"/>
          <w:szCs w:val="22"/>
        </w:rPr>
      </w:pPr>
    </w:p>
    <w:p w:rsidR="00A40B65" w:rsidRPr="0053666C" w:rsidRDefault="00E5237A">
      <w:pPr>
        <w:spacing w:line="360" w:lineRule="auto"/>
        <w:ind w:right="-93"/>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A40B65" w:rsidRPr="0053666C" w:rsidRDefault="00A40B65">
      <w:pPr>
        <w:spacing w:line="360" w:lineRule="auto"/>
        <w:ind w:right="-93"/>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b/>
          <w:bCs/>
          <w:sz w:val="22"/>
          <w:szCs w:val="22"/>
        </w:rPr>
      </w:pPr>
      <w:r w:rsidRPr="0053666C">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53666C">
        <w:rPr>
          <w:rFonts w:ascii="Palatino Linotype" w:eastAsia="Palatino Linotype" w:hAnsi="Palatino Linotype" w:cs="Palatino Linotype"/>
          <w:b/>
          <w:bCs/>
          <w:sz w:val="22"/>
          <w:szCs w:val="22"/>
        </w:rPr>
        <w:t xml:space="preserve"> </w:t>
      </w:r>
    </w:p>
    <w:p w:rsidR="00A40B65" w:rsidRPr="0053666C" w:rsidRDefault="00A40B65">
      <w:pPr>
        <w:spacing w:line="276" w:lineRule="auto"/>
        <w:ind w:left="851" w:right="850"/>
        <w:jc w:val="both"/>
        <w:rPr>
          <w:rFonts w:ascii="Palatino Linotype" w:eastAsia="Palatino Linotype" w:hAnsi="Palatino Linotype" w:cs="Palatino Linotype"/>
          <w:sz w:val="22"/>
          <w:szCs w:val="22"/>
        </w:rPr>
      </w:pPr>
    </w:p>
    <w:p w:rsidR="00A40B65" w:rsidRPr="0053666C" w:rsidRDefault="00E5237A">
      <w:pPr>
        <w:spacing w:line="276" w:lineRule="auto"/>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w:t>
      </w:r>
      <w:r w:rsidRPr="0053666C">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53666C">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A40B65" w:rsidRPr="0053666C" w:rsidRDefault="00A40B65">
      <w:pPr>
        <w:spacing w:line="276" w:lineRule="auto"/>
        <w:ind w:left="567" w:right="616"/>
        <w:jc w:val="both"/>
        <w:rPr>
          <w:rFonts w:ascii="Palatino Linotype" w:eastAsia="Palatino Linotype" w:hAnsi="Palatino Linotype" w:cs="Palatino Linotype"/>
          <w:i/>
          <w:iCs/>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40B65" w:rsidRPr="0053666C" w:rsidRDefault="00E5237A">
      <w:pPr>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A40B65" w:rsidRPr="0053666C" w:rsidRDefault="00A40B65">
      <w:pPr>
        <w:spacing w:line="360" w:lineRule="auto"/>
        <w:ind w:right="49"/>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276" w:lineRule="auto"/>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w:t>
      </w:r>
      <w:r w:rsidRPr="0053666C">
        <w:rPr>
          <w:rFonts w:ascii="Palatino Linotype" w:eastAsia="Palatino Linotype" w:hAnsi="Palatino Linotype" w:cs="Palatino Linotype"/>
          <w:b/>
          <w:bCs/>
          <w:i/>
          <w:iCs/>
          <w:sz w:val="22"/>
          <w:szCs w:val="22"/>
        </w:rPr>
        <w:t xml:space="preserve">Artículo 3. </w:t>
      </w:r>
      <w:r w:rsidRPr="0053666C">
        <w:rPr>
          <w:rFonts w:ascii="Palatino Linotype" w:eastAsia="Palatino Linotype" w:hAnsi="Palatino Linotype" w:cs="Palatino Linotype"/>
          <w:i/>
          <w:iCs/>
          <w:sz w:val="22"/>
          <w:szCs w:val="22"/>
        </w:rPr>
        <w:t>Para los efectos de la presente Ley se entenderá por:</w:t>
      </w:r>
    </w:p>
    <w:p w:rsidR="00A40B65" w:rsidRPr="0053666C" w:rsidRDefault="00E5237A">
      <w:pPr>
        <w:spacing w:line="276" w:lineRule="auto"/>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w:t>
      </w:r>
    </w:p>
    <w:p w:rsidR="00A40B65" w:rsidRPr="0053666C" w:rsidRDefault="00E5237A">
      <w:pPr>
        <w:spacing w:line="276" w:lineRule="auto"/>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b/>
          <w:bCs/>
          <w:i/>
          <w:iCs/>
          <w:sz w:val="22"/>
          <w:szCs w:val="22"/>
        </w:rPr>
        <w:t>XI. Documento:</w:t>
      </w:r>
      <w:r w:rsidRPr="0053666C">
        <w:rPr>
          <w:rFonts w:ascii="Palatino Linotype" w:eastAsia="Palatino Linotype" w:hAnsi="Palatino Linotype" w:cs="Palatino Linotype"/>
          <w:i/>
          <w:iCs/>
          <w:sz w:val="22"/>
          <w:szCs w:val="22"/>
        </w:rPr>
        <w:t xml:space="preserve"> Los expedientes, reportes, estudios, actas</w:t>
      </w:r>
      <w:r w:rsidRPr="0053666C">
        <w:rPr>
          <w:rFonts w:ascii="Palatino Linotype" w:eastAsia="Palatino Linotype" w:hAnsi="Palatino Linotype" w:cs="Palatino Linotype"/>
          <w:b/>
          <w:bCs/>
          <w:i/>
          <w:iCs/>
          <w:sz w:val="22"/>
          <w:szCs w:val="22"/>
        </w:rPr>
        <w:t>,</w:t>
      </w:r>
      <w:r w:rsidRPr="0053666C">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A40B65" w:rsidRPr="0053666C" w:rsidRDefault="00A40B65">
      <w:pPr>
        <w:spacing w:line="360" w:lineRule="auto"/>
        <w:ind w:left="851" w:right="899"/>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tabs>
          <w:tab w:val="left" w:pos="7797"/>
        </w:tabs>
        <w:spacing w:line="276" w:lineRule="auto"/>
        <w:ind w:left="709" w:right="616"/>
        <w:jc w:val="both"/>
        <w:rPr>
          <w:rFonts w:ascii="Palatino Linotype" w:eastAsia="Palatino Linotype" w:hAnsi="Palatino Linotype" w:cs="Palatino Linotype"/>
          <w:b/>
          <w:bCs/>
          <w:i/>
          <w:iCs/>
          <w:sz w:val="22"/>
          <w:szCs w:val="22"/>
        </w:rPr>
      </w:pPr>
      <w:r w:rsidRPr="0053666C">
        <w:rPr>
          <w:rFonts w:ascii="Palatino Linotype" w:eastAsia="Palatino Linotype" w:hAnsi="Palatino Linotype" w:cs="Palatino Linotype"/>
          <w:b/>
          <w:bCs/>
          <w:sz w:val="22"/>
          <w:szCs w:val="22"/>
        </w:rPr>
        <w:t>“</w:t>
      </w:r>
      <w:r w:rsidRPr="0053666C">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53666C">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40B65" w:rsidRPr="0053666C" w:rsidRDefault="00E5237A">
      <w:pPr>
        <w:tabs>
          <w:tab w:val="left" w:pos="7797"/>
        </w:tabs>
        <w:spacing w:line="276" w:lineRule="auto"/>
        <w:ind w:left="709"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En consecuencia el acceso a la información se refiere a que se cumplan cualquiera de los siguientes tres supuestos:</w:t>
      </w:r>
    </w:p>
    <w:p w:rsidR="00A40B65" w:rsidRPr="0053666C" w:rsidRDefault="00E5237A">
      <w:pPr>
        <w:tabs>
          <w:tab w:val="left" w:pos="7797"/>
        </w:tabs>
        <w:spacing w:line="276" w:lineRule="auto"/>
        <w:ind w:left="709"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rsidR="00A40B65" w:rsidRPr="0053666C" w:rsidRDefault="00E5237A">
      <w:pPr>
        <w:tabs>
          <w:tab w:val="left" w:pos="7797"/>
        </w:tabs>
        <w:spacing w:line="276" w:lineRule="auto"/>
        <w:ind w:left="709" w:right="616"/>
        <w:jc w:val="both"/>
        <w:rPr>
          <w:rFonts w:ascii="Palatino Linotype" w:eastAsia="Palatino Linotype" w:hAnsi="Palatino Linotype" w:cs="Palatino Linotype"/>
          <w:b/>
          <w:bCs/>
          <w:i/>
          <w:iCs/>
          <w:sz w:val="22"/>
          <w:szCs w:val="22"/>
        </w:rPr>
      </w:pPr>
      <w:r w:rsidRPr="0053666C">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rsidR="00A40B65" w:rsidRPr="0053666C" w:rsidRDefault="00E5237A">
      <w:pPr>
        <w:tabs>
          <w:tab w:val="left" w:pos="7797"/>
        </w:tabs>
        <w:spacing w:line="276" w:lineRule="auto"/>
        <w:ind w:left="709" w:right="616"/>
        <w:jc w:val="both"/>
        <w:rPr>
          <w:rFonts w:ascii="Palatino Linotype" w:eastAsia="Palatino Linotype" w:hAnsi="Palatino Linotype" w:cs="Palatino Linotype"/>
          <w:b/>
          <w:bCs/>
          <w:i/>
          <w:iCs/>
          <w:sz w:val="22"/>
          <w:szCs w:val="22"/>
        </w:rPr>
      </w:pPr>
      <w:r w:rsidRPr="0053666C">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Dicho lo anterior, es de recordar que la parte Solicitante requirió los comprobantes de pagos realizados por la Tesorería Municipal mediante cheque o transferencia interbancaria del uno al treinta de junio de dos mil veinticinco. </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En respuesta, el Sujeto Obligado, la Tesorería Municipal refirió que la información requerida se encuentra en proceso de integración, debido a que corresponde al mes de junio de dos mil veinticinco y su consolidación depende de una serie de procedimientos internos relacionados con las obligaciones en materia de fiscalización, en ese sentido, el Sujeto Obligado señaló que se encuentra en etapa de elaboración del Segundo Informe Trimestral conforme al acuerdo 7/2025. </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b/>
          <w:bCs/>
          <w:sz w:val="22"/>
          <w:szCs w:val="22"/>
        </w:rPr>
      </w:pPr>
      <w:r w:rsidRPr="0053666C">
        <w:rPr>
          <w:rFonts w:ascii="Palatino Linotype" w:eastAsia="Palatino Linotype" w:hAnsi="Palatino Linotype" w:cs="Palatino Linotype"/>
          <w:sz w:val="22"/>
          <w:szCs w:val="22"/>
        </w:rPr>
        <w:t xml:space="preserve">Derivado de ello, la parte Recurrente se inconformó arguyendo la negativa de entrega de la información. </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Es así que, mediante informe justificado, el Sujeto Obligado remitió un oficio suscrito por el Director General de Informática quien señala que la información que se pretende subir mediante el sistema sobrepasa sus capacidades, por lo que, se realiza el cambio de modalidad de entrega de la información. </w:t>
      </w: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 </w:t>
      </w:r>
    </w:p>
    <w:p w:rsidR="00A40B65" w:rsidRPr="0053666C" w:rsidRDefault="00E5237A">
      <w:pPr>
        <w:spacing w:line="360" w:lineRule="auto"/>
        <w:ind w:right="49"/>
        <w:jc w:val="both"/>
        <w:rPr>
          <w:rFonts w:ascii="Palatino Linotype" w:eastAsia="Palatino Linotype" w:hAnsi="Palatino Linotype" w:cs="Palatino Linotype"/>
          <w:sz w:val="22"/>
          <w:szCs w:val="22"/>
        </w:rPr>
      </w:pPr>
      <w:bookmarkStart w:id="8" w:name="_heading=h.oxz92w2agzdg" w:colFirst="0" w:colLast="0"/>
      <w:bookmarkEnd w:id="8"/>
      <w:r w:rsidRPr="0053666C">
        <w:rPr>
          <w:rFonts w:ascii="Palatino Linotype" w:eastAsia="Palatino Linotype" w:hAnsi="Palatino Linotype" w:cs="Palatino Linotype"/>
          <w:sz w:val="22"/>
          <w:szCs w:val="22"/>
        </w:rPr>
        <w:t xml:space="preserve">Dicho lo anterior, se procede a contextualizar la información solicitada la cual se encuentra relacionada con comprobantes de pago/facturas, para ello, es de mencionar lo que establece el Glosario de Términos Hacendarios que emite el Instituto Hacendario del Estado de México, el cual define como </w:t>
      </w:r>
      <w:r w:rsidRPr="0053666C">
        <w:rPr>
          <w:rFonts w:ascii="Palatino Linotype" w:eastAsia="Palatino Linotype" w:hAnsi="Palatino Linotype" w:cs="Palatino Linotype"/>
          <w:i/>
          <w:iCs/>
          <w:sz w:val="22"/>
          <w:szCs w:val="22"/>
        </w:rPr>
        <w:t>“factura” al</w:t>
      </w:r>
      <w:r w:rsidRPr="0053666C">
        <w:rPr>
          <w:rFonts w:ascii="Palatino Linotype" w:eastAsia="Palatino Linotype" w:hAnsi="Palatino Linotype" w:cs="Palatino Linotype"/>
          <w:b/>
          <w:bCs/>
          <w:i/>
          <w:iCs/>
          <w:sz w:val="22"/>
          <w:szCs w:val="22"/>
        </w:rPr>
        <w:t xml:space="preserve"> documento fiscal que emite la persona física o moral para comprobar la venta o adquisición de un bien y/o servicio.</w:t>
      </w:r>
    </w:p>
    <w:p w:rsidR="00A40B65" w:rsidRPr="0053666C" w:rsidRDefault="00A40B6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A40B65" w:rsidRPr="0053666C" w:rsidRDefault="00E5237A">
      <w:pPr>
        <w:spacing w:line="360" w:lineRule="auto"/>
        <w:ind w:right="-7"/>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En ese sentido, es de señalar que cuando las facturas amparan las erogaciones que se realizan con erario público tienen naturaleza pública, pues constituyen un medio idóneo de evidencia del gasto realizado con recursos públicos. </w:t>
      </w:r>
    </w:p>
    <w:p w:rsidR="00A40B65" w:rsidRPr="0053666C" w:rsidRDefault="00A40B65">
      <w:pPr>
        <w:spacing w:line="360" w:lineRule="auto"/>
        <w:ind w:right="-7"/>
        <w:jc w:val="both"/>
        <w:rPr>
          <w:rFonts w:ascii="Palatino Linotype" w:eastAsia="Palatino Linotype" w:hAnsi="Palatino Linotype" w:cs="Palatino Linotype"/>
          <w:sz w:val="22"/>
          <w:szCs w:val="22"/>
        </w:rPr>
      </w:pPr>
    </w:p>
    <w:p w:rsidR="00A40B65" w:rsidRPr="0053666C" w:rsidRDefault="00E5237A">
      <w:pPr>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Asimismo, el Código Financiero del Estado de México, establece en su artículo 344 lo siguiente: </w:t>
      </w:r>
    </w:p>
    <w:p w:rsidR="00A40B65" w:rsidRPr="0053666C" w:rsidRDefault="00A40B65">
      <w:pPr>
        <w:spacing w:line="360" w:lineRule="auto"/>
        <w:ind w:right="49"/>
        <w:jc w:val="both"/>
        <w:rPr>
          <w:rFonts w:ascii="Palatino Linotype" w:eastAsia="Palatino Linotype" w:hAnsi="Palatino Linotype" w:cs="Palatino Linotype"/>
          <w:sz w:val="22"/>
          <w:szCs w:val="22"/>
        </w:rPr>
      </w:pPr>
    </w:p>
    <w:p w:rsidR="00A40B65" w:rsidRPr="0053666C" w:rsidRDefault="00E5237A">
      <w:pPr>
        <w:ind w:left="567" w:right="843"/>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b/>
          <w:bCs/>
          <w:i/>
          <w:iCs/>
          <w:sz w:val="22"/>
          <w:szCs w:val="22"/>
        </w:rPr>
        <w:t>Artículo 344.-</w:t>
      </w:r>
      <w:r w:rsidRPr="0053666C">
        <w:rPr>
          <w:rFonts w:ascii="Palatino Linotype" w:eastAsia="Palatino Linotype" w:hAnsi="Palatino Linotype" w:cs="Palatino Linotype"/>
          <w:i/>
          <w:iCs/>
          <w:sz w:val="22"/>
          <w:szCs w:val="22"/>
        </w:rPr>
        <w:t xml:space="preserve"> </w:t>
      </w:r>
      <w:r w:rsidRPr="0053666C">
        <w:rPr>
          <w:rFonts w:ascii="Palatino Linotype" w:eastAsia="Palatino Linotype" w:hAnsi="Palatino Linotype" w:cs="Palatino Linotype"/>
          <w:b/>
          <w:bCs/>
          <w:i/>
          <w:iCs/>
          <w:sz w:val="22"/>
          <w:szCs w:val="22"/>
          <w:u w:val="single"/>
        </w:rPr>
        <w:t>Los Entes Públicos, a través de cualquiera de sus unidades administrativas</w:t>
      </w:r>
      <w:r w:rsidRPr="0053666C">
        <w:rPr>
          <w:rFonts w:ascii="Palatino Linotype" w:eastAsia="Palatino Linotype" w:hAnsi="Palatino Linotype" w:cs="Palatino Linotype"/>
          <w:i/>
          <w:iCs/>
          <w:sz w:val="22"/>
          <w:szCs w:val="22"/>
        </w:rPr>
        <w:t xml:space="preserve">, de acuerdo con su naturaleza jurídica y según corresponda, </w:t>
      </w:r>
      <w:r w:rsidRPr="0053666C">
        <w:rPr>
          <w:rFonts w:ascii="Palatino Linotype" w:eastAsia="Palatino Linotype" w:hAnsi="Palatino Linotype" w:cs="Palatino Linotype"/>
          <w:b/>
          <w:bCs/>
          <w:i/>
          <w:iCs/>
          <w:sz w:val="22"/>
          <w:szCs w:val="22"/>
          <w:u w:val="single"/>
        </w:rPr>
        <w:t>registrarán contablemente el efecto patrimonial y presupuestal de las operaciones financieras que realicen, en el momento en que ocurran, con base en el sistema y políticas de registro establecidas</w:t>
      </w:r>
      <w:r w:rsidRPr="0053666C">
        <w:rPr>
          <w:rFonts w:ascii="Palatino Linotype" w:eastAsia="Palatino Linotype" w:hAnsi="Palatino Linotype" w:cs="Palatino Linotype"/>
          <w:i/>
          <w:iCs/>
          <w:sz w:val="22"/>
          <w:szCs w:val="22"/>
        </w:rPr>
        <w:t>, en el caso de los Municipios</w:t>
      </w:r>
      <w:r w:rsidRPr="0053666C">
        <w:rPr>
          <w:rFonts w:ascii="Palatino Linotype" w:eastAsia="Palatino Linotype" w:hAnsi="Palatino Linotype" w:cs="Palatino Linotype"/>
          <w:b/>
          <w:bCs/>
          <w:i/>
          <w:iCs/>
          <w:sz w:val="22"/>
          <w:szCs w:val="22"/>
          <w:u w:val="single"/>
        </w:rPr>
        <w:t>, se hará por la Tesorería.</w:t>
      </w:r>
      <w:r w:rsidRPr="0053666C">
        <w:rPr>
          <w:rFonts w:ascii="Palatino Linotype" w:eastAsia="Palatino Linotype" w:hAnsi="Palatino Linotype" w:cs="Palatino Linotype"/>
          <w:i/>
          <w:iCs/>
          <w:sz w:val="22"/>
          <w:szCs w:val="22"/>
        </w:rPr>
        <w:t xml:space="preserve"> </w:t>
      </w:r>
    </w:p>
    <w:p w:rsidR="00A40B65" w:rsidRPr="0053666C" w:rsidRDefault="00A40B65">
      <w:pPr>
        <w:ind w:left="567" w:right="843"/>
        <w:jc w:val="both"/>
        <w:rPr>
          <w:rFonts w:ascii="Palatino Linotype" w:eastAsia="Palatino Linotype" w:hAnsi="Palatino Linotype" w:cs="Palatino Linotype"/>
          <w:i/>
          <w:iCs/>
          <w:sz w:val="22"/>
          <w:szCs w:val="22"/>
        </w:rPr>
      </w:pPr>
    </w:p>
    <w:p w:rsidR="00A40B65" w:rsidRPr="0053666C" w:rsidRDefault="00E5237A">
      <w:pPr>
        <w:ind w:left="567" w:right="843"/>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b/>
          <w:bCs/>
          <w:i/>
          <w:iCs/>
          <w:sz w:val="22"/>
          <w:szCs w:val="22"/>
          <w:u w:val="single"/>
        </w:rPr>
        <w:t>Todo registro contable y presupuestal deberá estar soportado con los documentos comprobatorios originales o en medios electrónicos, los que deberán permanecer en custodia y conservación</w:t>
      </w:r>
      <w:r w:rsidRPr="0053666C">
        <w:rPr>
          <w:rFonts w:ascii="Palatino Linotype" w:eastAsia="Palatino Linotype" w:hAnsi="Palatino Linotype" w:cs="Palatino Linotype"/>
          <w:i/>
          <w:iCs/>
          <w:sz w:val="22"/>
          <w:szCs w:val="22"/>
        </w:rPr>
        <w:t xml:space="preserve">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rsidR="00A40B65" w:rsidRPr="0053666C" w:rsidRDefault="00A40B65">
      <w:pPr>
        <w:ind w:left="567" w:right="843"/>
        <w:jc w:val="both"/>
        <w:rPr>
          <w:rFonts w:ascii="Palatino Linotype" w:eastAsia="Palatino Linotype" w:hAnsi="Palatino Linotype" w:cs="Palatino Linotype"/>
          <w:i/>
          <w:iCs/>
          <w:sz w:val="22"/>
          <w:szCs w:val="22"/>
        </w:rPr>
      </w:pPr>
    </w:p>
    <w:p w:rsidR="00A40B65" w:rsidRPr="0053666C" w:rsidRDefault="00E5237A">
      <w:pPr>
        <w:ind w:left="567" w:right="843"/>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Tratándose de documentos de carácter histórico, se estará a lo dispuesto por la legislación de la materia.</w:t>
      </w:r>
    </w:p>
    <w:p w:rsidR="00A40B65" w:rsidRPr="0053666C" w:rsidRDefault="00A40B65">
      <w:pPr>
        <w:spacing w:line="360" w:lineRule="auto"/>
        <w:ind w:right="49"/>
        <w:jc w:val="both"/>
        <w:rPr>
          <w:sz w:val="22"/>
          <w:szCs w:val="22"/>
        </w:rPr>
      </w:pPr>
    </w:p>
    <w:p w:rsidR="00A40B65" w:rsidRPr="0053666C" w:rsidRDefault="00E5237A">
      <w:pPr>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Es así que, los entes públicos deberán registrar contablemente las operaciones financieras que realicen, el cual deberá estar soportado con los documentos comprobatorios originales o en medios electrónicos, sin embargo, si bien es cierto, el Código Financiero del Estado de México y Municipios establece la obligación de llevar registros contables y presupuestales, también lo es que no define qué se debe entender por estos, por lo que, de conformidad con el </w:t>
      </w:r>
      <w:r w:rsidRPr="0053666C">
        <w:rPr>
          <w:rFonts w:ascii="Palatino Linotype" w:eastAsia="Palatino Linotype" w:hAnsi="Palatino Linotype" w:cs="Palatino Linotype"/>
          <w:i/>
          <w:iCs/>
          <w:sz w:val="22"/>
          <w:szCs w:val="22"/>
        </w:rPr>
        <w:t>Glosario de Términos Administrativos</w:t>
      </w:r>
      <w:r w:rsidRPr="0053666C">
        <w:rPr>
          <w:rFonts w:ascii="Palatino Linotype" w:eastAsia="Palatino Linotype" w:hAnsi="Palatino Linotype" w:cs="Palatino Linotype"/>
          <w:sz w:val="22"/>
          <w:szCs w:val="22"/>
        </w:rPr>
        <w:t xml:space="preserve"> y el </w:t>
      </w:r>
      <w:r w:rsidRPr="0053666C">
        <w:rPr>
          <w:rFonts w:ascii="Palatino Linotype" w:eastAsia="Palatino Linotype" w:hAnsi="Palatino Linotype" w:cs="Palatino Linotype"/>
          <w:i/>
          <w:iCs/>
          <w:sz w:val="22"/>
          <w:szCs w:val="22"/>
        </w:rPr>
        <w:t>Glosario de Términos para el Proceso de Planeación, Programación, Presupuestación y Evaluación en la Administración Pública</w:t>
      </w:r>
      <w:r w:rsidRPr="0053666C">
        <w:rPr>
          <w:rFonts w:ascii="Palatino Linotype" w:eastAsia="Palatino Linotype" w:hAnsi="Palatino Linotype" w:cs="Palatino Linotype"/>
          <w:sz w:val="22"/>
          <w:szCs w:val="22"/>
        </w:rPr>
        <w:t xml:space="preserve">, definen los registros como: </w:t>
      </w:r>
    </w:p>
    <w:p w:rsidR="00A40B65" w:rsidRPr="0053666C" w:rsidRDefault="00A40B65">
      <w:pPr>
        <w:spacing w:line="360" w:lineRule="auto"/>
        <w:ind w:left="567" w:right="560"/>
        <w:jc w:val="both"/>
        <w:rPr>
          <w:rFonts w:ascii="Palatino Linotype" w:eastAsia="Palatino Linotype" w:hAnsi="Palatino Linotype" w:cs="Palatino Linotype"/>
          <w:i/>
          <w:iCs/>
          <w:sz w:val="22"/>
          <w:szCs w:val="22"/>
        </w:rPr>
      </w:pPr>
    </w:p>
    <w:p w:rsidR="00A40B65" w:rsidRPr="0053666C" w:rsidRDefault="00E5237A">
      <w:pPr>
        <w:ind w:left="567" w:right="560"/>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b/>
          <w:bCs/>
          <w:i/>
          <w:iCs/>
          <w:sz w:val="22"/>
          <w:szCs w:val="22"/>
        </w:rPr>
        <w:t xml:space="preserve">Registro contable. </w:t>
      </w:r>
      <w:r w:rsidRPr="0053666C">
        <w:rPr>
          <w:rFonts w:ascii="Palatino Linotype" w:eastAsia="Palatino Linotype" w:hAnsi="Palatino Linotype" w:cs="Palatino Linotype"/>
          <w:i/>
          <w:iCs/>
          <w:sz w:val="22"/>
          <w:szCs w:val="22"/>
        </w:rPr>
        <w:t xml:space="preserve">Asiento que se realiza en los libros de contabilidad de las actividades relacionadas con el ingreso y egreso de un ente económico. </w:t>
      </w:r>
    </w:p>
    <w:p w:rsidR="00A40B65" w:rsidRPr="0053666C" w:rsidRDefault="00A40B65">
      <w:pPr>
        <w:ind w:left="567" w:right="560"/>
        <w:jc w:val="both"/>
        <w:rPr>
          <w:rFonts w:ascii="Palatino Linotype" w:eastAsia="Palatino Linotype" w:hAnsi="Palatino Linotype" w:cs="Palatino Linotype"/>
          <w:i/>
          <w:iCs/>
          <w:sz w:val="22"/>
          <w:szCs w:val="22"/>
        </w:rPr>
      </w:pPr>
    </w:p>
    <w:p w:rsidR="00A40B65" w:rsidRPr="0053666C" w:rsidRDefault="00E5237A">
      <w:pPr>
        <w:ind w:left="567" w:right="560"/>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b/>
          <w:bCs/>
          <w:i/>
          <w:iCs/>
          <w:sz w:val="22"/>
          <w:szCs w:val="22"/>
        </w:rPr>
        <w:t xml:space="preserve">Registro Presupuestario. </w:t>
      </w:r>
      <w:r w:rsidRPr="0053666C">
        <w:rPr>
          <w:rFonts w:ascii="Palatino Linotype" w:eastAsia="Palatino Linotype" w:hAnsi="Palatino Linotype" w:cs="Palatino Linotype"/>
          <w:i/>
          <w:iCs/>
          <w:sz w:val="22"/>
          <w:szCs w:val="22"/>
        </w:rPr>
        <w:t xml:space="preserve">Asiento contable de las erogaciones realizadas por las dependencias y entidades con relación a la asignación, modificación y ejercicio de los recursos presupuestarios que se les hayan autorizado. </w:t>
      </w:r>
    </w:p>
    <w:p w:rsidR="00A40B65" w:rsidRPr="0053666C" w:rsidRDefault="00A40B65">
      <w:pPr>
        <w:spacing w:line="360" w:lineRule="auto"/>
        <w:ind w:right="49"/>
        <w:jc w:val="both"/>
        <w:rPr>
          <w:rFonts w:ascii="Palatino Linotype" w:eastAsia="Palatino Linotype" w:hAnsi="Palatino Linotype" w:cs="Palatino Linotype"/>
          <w:sz w:val="22"/>
          <w:szCs w:val="22"/>
        </w:rPr>
      </w:pPr>
    </w:p>
    <w:p w:rsidR="00A40B65" w:rsidRPr="0053666C" w:rsidRDefault="00E5237A">
      <w:pPr>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De los preceptos citados, se colige que los entes fiscalizables</w:t>
      </w:r>
      <w:r w:rsidRPr="0053666C">
        <w:rPr>
          <w:rFonts w:ascii="Palatino Linotype" w:eastAsia="Palatino Linotype" w:hAnsi="Palatino Linotype" w:cs="Palatino Linotype"/>
          <w:b/>
          <w:bCs/>
          <w:sz w:val="22"/>
          <w:szCs w:val="22"/>
          <w:u w:val="single"/>
        </w:rPr>
        <w:t xml:space="preserve"> deben contar con una unidad administrativa que registra contablemente el efecto patrimonial y presupuestal de las operaciones financieras</w:t>
      </w:r>
      <w:r w:rsidRPr="0053666C">
        <w:rPr>
          <w:rFonts w:ascii="Palatino Linotype" w:eastAsia="Palatino Linotype" w:hAnsi="Palatino Linotype" w:cs="Palatino Linotype"/>
          <w:sz w:val="22"/>
          <w:szCs w:val="22"/>
        </w:rPr>
        <w:t xml:space="preserve"> que realizan y por lo general, se encuentran en las denominadas </w:t>
      </w:r>
      <w:r w:rsidRPr="0053666C">
        <w:rPr>
          <w:rFonts w:ascii="Palatino Linotype" w:eastAsia="Palatino Linotype" w:hAnsi="Palatino Linotype" w:cs="Palatino Linotype"/>
          <w:i/>
          <w:iCs/>
          <w:sz w:val="22"/>
          <w:szCs w:val="22"/>
        </w:rPr>
        <w:t xml:space="preserve">pólizas contables </w:t>
      </w:r>
      <w:r w:rsidRPr="0053666C">
        <w:rPr>
          <w:rFonts w:ascii="Palatino Linotype" w:eastAsia="Palatino Linotype" w:hAnsi="Palatino Linotype" w:cs="Palatino Linotype"/>
          <w:sz w:val="22"/>
          <w:szCs w:val="22"/>
        </w:rPr>
        <w:t xml:space="preserve">las cuales son aquellos documentos en los que se asientan en forma individual todas y cada una de las operaciones desarrolladas por una institución, así como la información necesaria para la identificación de estas. </w:t>
      </w:r>
    </w:p>
    <w:p w:rsidR="00A40B65" w:rsidRPr="0053666C" w:rsidRDefault="00A40B65">
      <w:pPr>
        <w:spacing w:line="360" w:lineRule="auto"/>
        <w:ind w:right="49"/>
        <w:jc w:val="both"/>
        <w:rPr>
          <w:rFonts w:ascii="Palatino Linotype" w:eastAsia="Palatino Linotype" w:hAnsi="Palatino Linotype" w:cs="Palatino Linotype"/>
          <w:sz w:val="22"/>
          <w:szCs w:val="22"/>
        </w:rPr>
      </w:pPr>
    </w:p>
    <w:p w:rsidR="00A40B65" w:rsidRPr="0053666C" w:rsidRDefault="00E5237A">
      <w:pPr>
        <w:spacing w:line="360" w:lineRule="auto"/>
        <w:ind w:right="-93"/>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En lo que corresponde al procedimiento de búsqueda de la información solicitada, es necesario precisar que de las constancias que obran en el expediente se logra vislumbrar que el Sujeto Obligado, turnó la solicitud de información a la unidad administrativa competente, a saber la Tesorería Municipal,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A40B65" w:rsidRPr="0053666C" w:rsidRDefault="00A40B65">
      <w:pPr>
        <w:spacing w:line="360" w:lineRule="auto"/>
        <w:ind w:right="-93"/>
        <w:jc w:val="both"/>
        <w:rPr>
          <w:rFonts w:ascii="Palatino Linotype" w:eastAsia="Palatino Linotype" w:hAnsi="Palatino Linotype" w:cs="Palatino Linotype"/>
          <w:sz w:val="22"/>
          <w:szCs w:val="22"/>
        </w:rPr>
      </w:pPr>
    </w:p>
    <w:p w:rsidR="00A40B65" w:rsidRPr="0053666C" w:rsidRDefault="00E5237A">
      <w:pPr>
        <w:numPr>
          <w:ilvl w:val="3"/>
          <w:numId w:val="5"/>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A40B65" w:rsidRPr="0053666C" w:rsidRDefault="00E5237A">
      <w:pPr>
        <w:numPr>
          <w:ilvl w:val="3"/>
          <w:numId w:val="5"/>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rsidR="00A40B65" w:rsidRPr="0053666C" w:rsidRDefault="00A40B65">
      <w:pPr>
        <w:spacing w:line="360" w:lineRule="auto"/>
        <w:ind w:right="49"/>
        <w:jc w:val="both"/>
        <w:rPr>
          <w:rFonts w:ascii="Palatino Linotype" w:eastAsia="Palatino Linotype" w:hAnsi="Palatino Linotype" w:cs="Palatino Linotype"/>
          <w:sz w:val="22"/>
          <w:szCs w:val="22"/>
        </w:rPr>
      </w:pPr>
    </w:p>
    <w:p w:rsidR="00A40B65" w:rsidRPr="0053666C" w:rsidRDefault="00E5237A">
      <w:pPr>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Así,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al área competente para conocer de lo peticionado.</w:t>
      </w:r>
    </w:p>
    <w:p w:rsidR="00A40B65" w:rsidRPr="0053666C" w:rsidRDefault="00A40B65">
      <w:pPr>
        <w:spacing w:line="360" w:lineRule="auto"/>
        <w:ind w:right="49"/>
        <w:jc w:val="both"/>
        <w:rPr>
          <w:rFonts w:ascii="Palatino Linotype" w:eastAsia="Palatino Linotype" w:hAnsi="Palatino Linotype" w:cs="Palatino Linotype"/>
          <w:b/>
          <w:bCs/>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Ahora bien, mediante informe justificado, el Sujeto Obligado pretendió el cambio de modalidad de entrega de la información, lo cual será analizado al tenor de lo siguiente: </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b/>
          <w:bCs/>
          <w:sz w:val="22"/>
          <w:szCs w:val="22"/>
        </w:rPr>
        <w:t>Del cambio de modalidad.</w:t>
      </w:r>
      <w:r w:rsidRPr="0053666C">
        <w:rPr>
          <w:rFonts w:ascii="Palatino Linotype" w:eastAsia="Palatino Linotype" w:hAnsi="Palatino Linotype" w:cs="Palatino Linotype"/>
          <w:sz w:val="22"/>
          <w:szCs w:val="22"/>
        </w:rPr>
        <w:t xml:space="preserve"> </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En principio, es de recordar que el Recurrente al momento de presentar la solicitud de información que dio origen al Recurso de Revisión que nos ocupa, eligió como modalidad de entrega </w:t>
      </w:r>
      <w:r w:rsidRPr="0053666C">
        <w:rPr>
          <w:rFonts w:ascii="Palatino Linotype" w:eastAsia="Palatino Linotype" w:hAnsi="Palatino Linotype" w:cs="Palatino Linotype"/>
          <w:i/>
          <w:iCs/>
          <w:sz w:val="22"/>
          <w:szCs w:val="22"/>
        </w:rPr>
        <w:t>“Sistema de Acceso a la Información Pública Mexiquense”</w:t>
      </w:r>
      <w:r w:rsidRPr="0053666C">
        <w:rPr>
          <w:rFonts w:ascii="Palatino Linotype" w:eastAsia="Palatino Linotype" w:hAnsi="Palatino Linotype" w:cs="Palatino Linotype"/>
          <w:sz w:val="22"/>
          <w:szCs w:val="22"/>
        </w:rPr>
        <w:t xml:space="preserve">. </w:t>
      </w:r>
      <w:r w:rsidRPr="0053666C">
        <w:rPr>
          <w:sz w:val="22"/>
          <w:szCs w:val="22"/>
        </w:rPr>
        <w:t xml:space="preserve"> </w:t>
      </w:r>
    </w:p>
    <w:p w:rsidR="00A40B65" w:rsidRPr="0053666C" w:rsidRDefault="00A40B65">
      <w:pPr>
        <w:pBdr>
          <w:top w:val="nil"/>
          <w:left w:val="nil"/>
          <w:bottom w:val="nil"/>
          <w:right w:val="nil"/>
          <w:between w:val="nil"/>
        </w:pBdr>
        <w:spacing w:line="360" w:lineRule="auto"/>
        <w:jc w:val="both"/>
        <w:rPr>
          <w:sz w:val="22"/>
          <w:szCs w:val="22"/>
        </w:rPr>
      </w:pPr>
    </w:p>
    <w:p w:rsidR="00A40B65" w:rsidRPr="0053666C" w:rsidRDefault="00E5237A">
      <w:pPr>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De tal forma, resulta necesario traer a colación que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w:t>
      </w:r>
    </w:p>
    <w:p w:rsidR="00A40B65" w:rsidRPr="0053666C" w:rsidRDefault="00A40B65">
      <w:pPr>
        <w:spacing w:line="360" w:lineRule="auto"/>
        <w:ind w:right="49"/>
        <w:jc w:val="both"/>
        <w:rPr>
          <w:rFonts w:ascii="Palatino Linotype" w:eastAsia="Palatino Linotype" w:hAnsi="Palatino Linotype" w:cs="Palatino Linotype"/>
          <w:sz w:val="22"/>
          <w:szCs w:val="22"/>
        </w:rPr>
      </w:pPr>
    </w:p>
    <w:p w:rsidR="00A40B65" w:rsidRPr="0053666C" w:rsidRDefault="00E5237A">
      <w:pPr>
        <w:spacing w:line="276" w:lineRule="auto"/>
        <w:ind w:left="567" w:right="567"/>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b/>
          <w:bCs/>
          <w:i/>
          <w:iCs/>
          <w:sz w:val="22"/>
          <w:szCs w:val="22"/>
        </w:rPr>
        <w:t>Artículo 155.</w:t>
      </w:r>
      <w:r w:rsidRPr="0053666C">
        <w:rPr>
          <w:rFonts w:ascii="Palatino Linotype" w:eastAsia="Palatino Linotype" w:hAnsi="Palatino Linotype" w:cs="Palatino Linotype"/>
          <w:i/>
          <w:iCs/>
          <w:sz w:val="22"/>
          <w:szCs w:val="22"/>
        </w:rPr>
        <w:t xml:space="preserve"> Para presentar una solicitud por escrito, no se podrán exigir mayores requisitos que los siguientes:</w:t>
      </w:r>
    </w:p>
    <w:p w:rsidR="00A40B65" w:rsidRPr="0053666C" w:rsidRDefault="00E5237A">
      <w:pPr>
        <w:spacing w:line="276" w:lineRule="auto"/>
        <w:ind w:left="567" w:right="567"/>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w:t>
      </w:r>
    </w:p>
    <w:p w:rsidR="00A40B65" w:rsidRPr="0053666C" w:rsidRDefault="00E5237A">
      <w:pPr>
        <w:spacing w:line="276" w:lineRule="auto"/>
        <w:ind w:left="567" w:right="567"/>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A40B65" w:rsidRPr="0053666C" w:rsidRDefault="00E5237A">
      <w:pPr>
        <w:spacing w:line="276" w:lineRule="auto"/>
        <w:ind w:left="567" w:right="567"/>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w:t>
      </w:r>
    </w:p>
    <w:p w:rsidR="00A40B65" w:rsidRPr="0053666C" w:rsidRDefault="00A40B65">
      <w:pPr>
        <w:spacing w:line="360" w:lineRule="auto"/>
        <w:ind w:right="-28"/>
        <w:jc w:val="both"/>
        <w:rPr>
          <w:rFonts w:ascii="Palatino Linotype" w:eastAsia="Palatino Linotype" w:hAnsi="Palatino Linotype" w:cs="Palatino Linotype"/>
          <w:sz w:val="22"/>
          <w:szCs w:val="22"/>
        </w:rPr>
      </w:pPr>
    </w:p>
    <w:p w:rsidR="00A40B65" w:rsidRPr="0053666C" w:rsidRDefault="00E5237A">
      <w:pPr>
        <w:spacing w:line="360" w:lineRule="auto"/>
        <w:ind w:right="-28"/>
        <w:jc w:val="both"/>
        <w:rPr>
          <w:rFonts w:ascii="Palatino Linotype" w:eastAsia="Palatino Linotype" w:hAnsi="Palatino Linotype" w:cs="Palatino Linotype"/>
          <w:b/>
          <w:bCs/>
          <w:sz w:val="22"/>
          <w:szCs w:val="22"/>
        </w:rPr>
      </w:pPr>
      <w:r w:rsidRPr="0053666C">
        <w:rPr>
          <w:rFonts w:ascii="Palatino Linotype" w:eastAsia="Palatino Linotype" w:hAnsi="Palatino Linotype" w:cs="Palatino Linotype"/>
          <w:sz w:val="22"/>
          <w:szCs w:val="22"/>
        </w:rPr>
        <w:t xml:space="preserve">El artículo 158, dispone que, de manera excepcional, cuando de manera fundada y motivada lo determine el Sujeto Obligado, </w:t>
      </w:r>
      <w:r w:rsidRPr="0053666C">
        <w:rPr>
          <w:rFonts w:ascii="Palatino Linotype" w:eastAsia="Palatino Linotype" w:hAnsi="Palatino Linotype" w:cs="Palatino Linotype"/>
          <w:b/>
          <w:bCs/>
          <w:sz w:val="22"/>
          <w:szCs w:val="22"/>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00A40B65" w:rsidRPr="0053666C" w:rsidRDefault="00A40B65">
      <w:pPr>
        <w:spacing w:line="360" w:lineRule="auto"/>
        <w:ind w:right="49"/>
        <w:jc w:val="both"/>
        <w:rPr>
          <w:rFonts w:ascii="Palatino Linotype" w:eastAsia="Palatino Linotype" w:hAnsi="Palatino Linotype" w:cs="Palatino Linotype"/>
          <w:sz w:val="22"/>
          <w:szCs w:val="22"/>
        </w:rPr>
      </w:pPr>
    </w:p>
    <w:p w:rsidR="00A40B65" w:rsidRPr="0053666C" w:rsidRDefault="00E5237A">
      <w:pPr>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el sujeto obligado deberá ofrecer otra y otras modalidades de entrega, para lo que </w:t>
      </w:r>
      <w:r w:rsidRPr="0053666C">
        <w:rPr>
          <w:rFonts w:ascii="Palatino Linotype" w:eastAsia="Palatino Linotype" w:hAnsi="Palatino Linotype" w:cs="Palatino Linotype"/>
          <w:b/>
          <w:bCs/>
          <w:sz w:val="22"/>
          <w:szCs w:val="22"/>
        </w:rPr>
        <w:t>se deberá fundar y motivar dicha necesidad</w:t>
      </w:r>
      <w:r w:rsidRPr="0053666C">
        <w:rPr>
          <w:rFonts w:ascii="Palatino Linotype" w:eastAsia="Palatino Linotype" w:hAnsi="Palatino Linotype" w:cs="Palatino Linotype"/>
          <w:sz w:val="22"/>
          <w:szCs w:val="22"/>
        </w:rPr>
        <w:t xml:space="preserve">, como se advierte a continuación: </w:t>
      </w:r>
    </w:p>
    <w:p w:rsidR="00A40B65" w:rsidRPr="0053666C" w:rsidRDefault="00A40B65">
      <w:pPr>
        <w:spacing w:line="360" w:lineRule="auto"/>
        <w:ind w:right="49"/>
        <w:jc w:val="both"/>
        <w:rPr>
          <w:rFonts w:ascii="Palatino Linotype" w:eastAsia="Palatino Linotype" w:hAnsi="Palatino Linotype" w:cs="Palatino Linotype"/>
          <w:sz w:val="22"/>
          <w:szCs w:val="22"/>
        </w:rPr>
      </w:pPr>
    </w:p>
    <w:p w:rsidR="00A40B65" w:rsidRPr="0053666C" w:rsidRDefault="00E5237A">
      <w:pPr>
        <w:spacing w:line="276" w:lineRule="auto"/>
        <w:ind w:left="567" w:right="567"/>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b/>
          <w:bCs/>
          <w:i/>
          <w:iCs/>
          <w:sz w:val="22"/>
          <w:szCs w:val="22"/>
        </w:rPr>
        <w:t>Artículo 164.</w:t>
      </w:r>
      <w:r w:rsidRPr="0053666C">
        <w:rPr>
          <w:rFonts w:ascii="Palatino Linotype" w:eastAsia="Palatino Linotype" w:hAnsi="Palatino Linotype" w:cs="Palatino Linotype"/>
          <w:i/>
          <w:iCs/>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A40B65" w:rsidRPr="0053666C" w:rsidRDefault="00E5237A">
      <w:pPr>
        <w:spacing w:line="276" w:lineRule="auto"/>
        <w:ind w:left="567" w:right="567"/>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En cualquier caso, se deberá fundar y motivar la necesidad de ofrecer otras modalidades.</w:t>
      </w:r>
    </w:p>
    <w:p w:rsidR="00A40B65" w:rsidRPr="0053666C" w:rsidRDefault="00A40B65">
      <w:pPr>
        <w:spacing w:line="276" w:lineRule="auto"/>
        <w:ind w:left="567" w:right="567"/>
        <w:jc w:val="both"/>
        <w:rPr>
          <w:rFonts w:ascii="Palatino Linotype" w:eastAsia="Palatino Linotype" w:hAnsi="Palatino Linotype" w:cs="Palatino Linotype"/>
          <w:i/>
          <w:iCs/>
          <w:sz w:val="22"/>
          <w:szCs w:val="22"/>
        </w:rPr>
      </w:pPr>
    </w:p>
    <w:p w:rsidR="00A40B65" w:rsidRPr="0053666C" w:rsidRDefault="00E5237A">
      <w:pPr>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w:t>
      </w:r>
    </w:p>
    <w:p w:rsidR="00A40B65" w:rsidRPr="0053666C" w:rsidRDefault="00A40B65">
      <w:pPr>
        <w:spacing w:line="360" w:lineRule="auto"/>
        <w:ind w:right="49"/>
        <w:jc w:val="both"/>
        <w:rPr>
          <w:rFonts w:ascii="Palatino Linotype" w:eastAsia="Palatino Linotype" w:hAnsi="Palatino Linotype" w:cs="Palatino Linotype"/>
          <w:sz w:val="22"/>
          <w:szCs w:val="22"/>
        </w:rPr>
      </w:pPr>
    </w:p>
    <w:p w:rsidR="00A40B65" w:rsidRPr="0053666C" w:rsidRDefault="00E5237A">
      <w:pPr>
        <w:spacing w:line="360" w:lineRule="auto"/>
        <w:ind w:right="49"/>
        <w:jc w:val="both"/>
        <w:rPr>
          <w:rFonts w:ascii="Palatino Linotype" w:eastAsia="Palatino Linotype" w:hAnsi="Palatino Linotype" w:cs="Palatino Linotype"/>
          <w:b/>
          <w:bCs/>
          <w:sz w:val="22"/>
          <w:szCs w:val="22"/>
        </w:rPr>
      </w:pPr>
      <w:r w:rsidRPr="0053666C">
        <w:rPr>
          <w:rFonts w:ascii="Palatino Linotype" w:eastAsia="Palatino Linotype" w:hAnsi="Palatino Linotype" w:cs="Palatino Linotype"/>
          <w:sz w:val="22"/>
          <w:szCs w:val="22"/>
        </w:rPr>
        <w:t xml:space="preserve">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la entrega la modalidad de entrega distinta a la elegida sólo procederán cuando </w:t>
      </w:r>
      <w:r w:rsidRPr="0053666C">
        <w:rPr>
          <w:rFonts w:ascii="Palatino Linotype" w:eastAsia="Palatino Linotype" w:hAnsi="Palatino Linotype" w:cs="Palatino Linotype"/>
          <w:b/>
          <w:bCs/>
          <w:sz w:val="22"/>
          <w:szCs w:val="22"/>
        </w:rPr>
        <w:t xml:space="preserve">se acredite la imposibilidad de atenderla. </w:t>
      </w:r>
    </w:p>
    <w:p w:rsidR="00A40B65" w:rsidRPr="0053666C" w:rsidRDefault="00A40B65">
      <w:pPr>
        <w:spacing w:line="360" w:lineRule="auto"/>
        <w:ind w:right="49"/>
        <w:jc w:val="both"/>
        <w:rPr>
          <w:rFonts w:ascii="Palatino Linotype" w:eastAsia="Palatino Linotype" w:hAnsi="Palatino Linotype" w:cs="Palatino Linotype"/>
          <w:b/>
          <w:bCs/>
          <w:sz w:val="22"/>
          <w:szCs w:val="22"/>
        </w:rPr>
      </w:pPr>
    </w:p>
    <w:p w:rsidR="00A40B65" w:rsidRPr="0053666C" w:rsidRDefault="00E5237A">
      <w:pPr>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Por lo anterior, en caso de impedimento, los sujetos obligados deberán ofrecer al particular otras modalidades de entrega a la solicitada, tal como lo establece el Criterio 08/17 emitido por el entonces pleno del Instituto Nacional de Transparencia, Acceso a la Información y Protección de Datos Personales, el cual establece lo siguiente: </w:t>
      </w:r>
    </w:p>
    <w:p w:rsidR="00A40B65" w:rsidRPr="0053666C" w:rsidRDefault="00A40B65">
      <w:pPr>
        <w:spacing w:line="360" w:lineRule="auto"/>
        <w:ind w:right="49"/>
        <w:jc w:val="both"/>
        <w:rPr>
          <w:rFonts w:ascii="Palatino Linotype" w:eastAsia="Palatino Linotype" w:hAnsi="Palatino Linotype" w:cs="Palatino Linotype"/>
          <w:sz w:val="22"/>
          <w:szCs w:val="22"/>
        </w:rPr>
      </w:pPr>
    </w:p>
    <w:p w:rsidR="00A40B65" w:rsidRPr="0053666C" w:rsidRDefault="00E5237A">
      <w:pPr>
        <w:spacing w:line="276" w:lineRule="auto"/>
        <w:ind w:left="567" w:right="567"/>
        <w:jc w:val="both"/>
        <w:rPr>
          <w:rFonts w:ascii="Palatino Linotype" w:eastAsia="Palatino Linotype" w:hAnsi="Palatino Linotype" w:cs="Palatino Linotype"/>
          <w:b/>
          <w:bCs/>
          <w:i/>
          <w:iCs/>
          <w:sz w:val="22"/>
          <w:szCs w:val="22"/>
          <w:u w:val="single"/>
        </w:rPr>
      </w:pPr>
      <w:r w:rsidRPr="0053666C">
        <w:rPr>
          <w:rFonts w:ascii="Palatino Linotype" w:eastAsia="Palatino Linotype" w:hAnsi="Palatino Linotype" w:cs="Palatino Linotype"/>
          <w:b/>
          <w:bCs/>
          <w:i/>
          <w:iCs/>
          <w:sz w:val="22"/>
          <w:szCs w:val="22"/>
        </w:rPr>
        <w:t>Modalidad de entrega. Procedencia de proporcionar la información solicitada en una diversa a la elegida por el solicitante.</w:t>
      </w:r>
      <w:r w:rsidRPr="0053666C">
        <w:rPr>
          <w:rFonts w:ascii="Palatino Linotype" w:eastAsia="Palatino Linotype" w:hAnsi="Palatino Linotype" w:cs="Palatino Linotype"/>
          <w:i/>
          <w:iCs/>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53666C">
        <w:rPr>
          <w:rFonts w:ascii="Palatino Linotype" w:eastAsia="Palatino Linotype" w:hAnsi="Palatino Linotype" w:cs="Palatino Linotype"/>
          <w:b/>
          <w:bCs/>
          <w:i/>
          <w:iCs/>
          <w:sz w:val="22"/>
          <w:szCs w:val="22"/>
          <w:u w:val="single"/>
        </w:rPr>
        <w:t>a) justifique el impedimento para atender la misma y b) se notifique al particular la disposición de la información en todas las modalidades que permita el documento de que se trate, procurando reducir, en todo momento, los costos de entrega.</w:t>
      </w:r>
    </w:p>
    <w:p w:rsidR="00A40B65" w:rsidRPr="0053666C" w:rsidRDefault="00A40B65">
      <w:pPr>
        <w:spacing w:line="276" w:lineRule="auto"/>
        <w:ind w:left="567" w:right="567"/>
        <w:jc w:val="both"/>
        <w:rPr>
          <w:rFonts w:ascii="Palatino Linotype" w:eastAsia="Palatino Linotype" w:hAnsi="Palatino Linotype" w:cs="Palatino Linotype"/>
          <w:i/>
          <w:iCs/>
          <w:sz w:val="22"/>
          <w:szCs w:val="22"/>
        </w:rPr>
      </w:pPr>
    </w:p>
    <w:p w:rsidR="00A40B65" w:rsidRPr="0053666C" w:rsidRDefault="00E5237A">
      <w:pPr>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Es así que, se desprende que, cuando no sea posible atender la modalidad elegida por los solicitantes, el sujeto obligado deberá justificar el impedimento para atender esta y notificar al particular la puesta a disposición de la información en todas las modalidades que lo permitan, procurando reducir los costos de entrega.</w:t>
      </w:r>
    </w:p>
    <w:p w:rsidR="00A40B65" w:rsidRPr="0053666C" w:rsidRDefault="00A40B65">
      <w:pPr>
        <w:spacing w:line="360" w:lineRule="auto"/>
        <w:ind w:right="49"/>
        <w:jc w:val="both"/>
        <w:rPr>
          <w:rFonts w:ascii="Palatino Linotype" w:eastAsia="Palatino Linotype" w:hAnsi="Palatino Linotype" w:cs="Palatino Linotype"/>
          <w:sz w:val="22"/>
          <w:szCs w:val="22"/>
        </w:rPr>
      </w:pPr>
    </w:p>
    <w:p w:rsidR="00A40B65" w:rsidRPr="0053666C" w:rsidRDefault="00E5237A">
      <w:pPr>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En este sentido, se tiene que el Sujeto Obligado remitió mediante informe justificado el oficio suscrito por el Director General de Informática que refiere que la información que se pretende subir al sistema sobrepasa las capacidades del mismo.</w:t>
      </w:r>
    </w:p>
    <w:p w:rsidR="00A40B65" w:rsidRPr="0053666C" w:rsidRDefault="00A40B65">
      <w:pPr>
        <w:spacing w:line="360" w:lineRule="auto"/>
        <w:ind w:right="49"/>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Sin embargo, el Órgano Garante Nacional, ha considerado que no resulta suficiente justificar una imposibilidad técnica y humana para acreditar un cambio de modalidad, sino que es necesario demostrar otros impedimentos con el fin de privilegiar el Principio de Gratuidad y Máxima Publicidad; argumentos que encuentran sustento dentro diversas de sus resoluciones de Recursos de Inconformidad como el RIA 136/20, RIA 140/20, RIA 153/20 RIA 237/20, RIA 257/20, RIA 258/20. </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ind w:right="-28"/>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Además, precisan que no se debe ceñir el cambio de modalidad, directamente a consulta directa, sino que los sujetos obligados, deben de buscar la posibilidad de proporcionarla en las otras formas que establecen en la Ley, ya sean electrónicas o físicas.</w:t>
      </w:r>
    </w:p>
    <w:p w:rsidR="00A40B65" w:rsidRPr="0053666C" w:rsidRDefault="00A40B65">
      <w:pPr>
        <w:spacing w:line="360" w:lineRule="auto"/>
        <w:ind w:right="-28"/>
        <w:jc w:val="both"/>
        <w:rPr>
          <w:rFonts w:ascii="Palatino Linotype" w:eastAsia="Palatino Linotype" w:hAnsi="Palatino Linotype" w:cs="Palatino Linotype"/>
          <w:sz w:val="22"/>
          <w:szCs w:val="22"/>
        </w:rPr>
      </w:pPr>
    </w:p>
    <w:p w:rsidR="00A40B65" w:rsidRPr="0053666C" w:rsidRDefault="00E5237A">
      <w:pPr>
        <w:spacing w:line="360" w:lineRule="auto"/>
        <w:ind w:right="-28"/>
        <w:jc w:val="both"/>
        <w:rPr>
          <w:rFonts w:ascii="Palatino Linotype" w:eastAsia="Palatino Linotype" w:hAnsi="Palatino Linotype" w:cs="Palatino Linotype"/>
          <w:b/>
          <w:bCs/>
          <w:sz w:val="22"/>
          <w:szCs w:val="22"/>
        </w:rPr>
      </w:pPr>
      <w:r w:rsidRPr="0053666C">
        <w:rPr>
          <w:rFonts w:ascii="Palatino Linotype" w:eastAsia="Palatino Linotype" w:hAnsi="Palatino Linotype" w:cs="Palatino Linotype"/>
          <w:sz w:val="22"/>
          <w:szCs w:val="22"/>
        </w:rPr>
        <w:t>Conforme a lo anterior, si bien se acreditó la imposibilidad para proporcionar la información a través del Sistema de Acceso a la Información Mexiquense, el Sujeto Obligado</w:t>
      </w:r>
      <w:r w:rsidRPr="0053666C">
        <w:rPr>
          <w:rFonts w:ascii="Palatino Linotype" w:eastAsia="Palatino Linotype" w:hAnsi="Palatino Linotype" w:cs="Palatino Linotype"/>
          <w:b/>
          <w:bCs/>
          <w:sz w:val="22"/>
          <w:szCs w:val="22"/>
        </w:rPr>
        <w:t xml:space="preserve"> </w:t>
      </w:r>
      <w:r w:rsidRPr="0053666C">
        <w:rPr>
          <w:rFonts w:ascii="Palatino Linotype" w:eastAsia="Palatino Linotype" w:hAnsi="Palatino Linotype" w:cs="Palatino Linotype"/>
          <w:sz w:val="22"/>
          <w:szCs w:val="22"/>
        </w:rPr>
        <w:t>omitió ponerla a disposición en todas las modalidades posibles, como por ejemplo, la entrega a través de un dispositivo USB o disco duro extraíble, sin costo si la persona solicitante los proporciona; correo certificado, previo pago de los costos de reproducción y envío, así como habilitar una liga electrónica en una plataforma electrónica de almacenamiento, entre otras.</w:t>
      </w:r>
    </w:p>
    <w:p w:rsidR="00A40B65" w:rsidRPr="0053666C" w:rsidRDefault="00A40B65">
      <w:pPr>
        <w:spacing w:line="360" w:lineRule="auto"/>
        <w:jc w:val="both"/>
        <w:rPr>
          <w:rFonts w:ascii="Palatino Linotype" w:eastAsia="Palatino Linotype" w:hAnsi="Palatino Linotype" w:cs="Palatino Linotype"/>
          <w:b/>
          <w:bCs/>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Bajo los argumentos expuestos, resulta procedente ordenar al </w:t>
      </w:r>
      <w:r w:rsidRPr="0053666C">
        <w:rPr>
          <w:rFonts w:ascii="Palatino Linotype" w:eastAsia="Palatino Linotype" w:hAnsi="Palatino Linotype" w:cs="Palatino Linotype"/>
          <w:b/>
          <w:bCs/>
          <w:sz w:val="22"/>
          <w:szCs w:val="22"/>
        </w:rPr>
        <w:t>Sujeto Obligado</w:t>
      </w:r>
      <w:r w:rsidRPr="0053666C">
        <w:rPr>
          <w:rFonts w:ascii="Palatino Linotype" w:eastAsia="Palatino Linotype" w:hAnsi="Palatino Linotype" w:cs="Palatino Linotype"/>
          <w:sz w:val="22"/>
          <w:szCs w:val="22"/>
        </w:rPr>
        <w:t xml:space="preserve"> poner a disposición de la persona solicitante la información requerida, de ser procedente en versión pública, </w:t>
      </w:r>
      <w:r w:rsidRPr="0053666C">
        <w:rPr>
          <w:rFonts w:ascii="Palatino Linotype" w:eastAsia="Palatino Linotype" w:hAnsi="Palatino Linotype" w:cs="Palatino Linotype"/>
          <w:b/>
          <w:bCs/>
          <w:sz w:val="22"/>
          <w:szCs w:val="22"/>
          <w:u w:val="single"/>
        </w:rPr>
        <w:t>en todas las modalidades posibles</w:t>
      </w:r>
      <w:r w:rsidRPr="0053666C">
        <w:rPr>
          <w:rFonts w:ascii="Palatino Linotype" w:eastAsia="Palatino Linotype" w:hAnsi="Palatino Linotype" w:cs="Palatino Linotype"/>
          <w:sz w:val="22"/>
          <w:szCs w:val="22"/>
        </w:rPr>
        <w:t xml:space="preserve">, de manera enunciativa, más no limitativa: </w:t>
      </w:r>
      <w:r w:rsidRPr="0053666C">
        <w:rPr>
          <w:rFonts w:ascii="Palatino Linotype" w:eastAsia="Palatino Linotype" w:hAnsi="Palatino Linotype" w:cs="Palatino Linotype"/>
          <w:b/>
          <w:bCs/>
          <w:sz w:val="22"/>
          <w:szCs w:val="22"/>
          <w:u w:val="single"/>
        </w:rPr>
        <w:t>disco compacto, dispositivos de almacenamiento (CD-ROM, USB, Disco duro extraíble, etcétera), consulta directa, copias simples o certificadas, con posibilidad de entrega en la Unidad de Transparencia o a domicilio por correo certificado</w:t>
      </w:r>
      <w:r w:rsidRPr="0053666C">
        <w:rPr>
          <w:rFonts w:ascii="Palatino Linotype" w:eastAsia="Palatino Linotype" w:hAnsi="Palatino Linotype" w:cs="Palatino Linotype"/>
          <w:b/>
          <w:bCs/>
          <w:sz w:val="22"/>
          <w:szCs w:val="22"/>
        </w:rPr>
        <w:t xml:space="preserve">; </w:t>
      </w:r>
      <w:r w:rsidRPr="0053666C">
        <w:rPr>
          <w:rFonts w:ascii="Palatino Linotype" w:eastAsia="Palatino Linotype" w:hAnsi="Palatino Linotype" w:cs="Palatino Linotype"/>
          <w:sz w:val="22"/>
          <w:szCs w:val="22"/>
        </w:rPr>
        <w:t xml:space="preserve">previo pago de los derechos correspondientes, </w:t>
      </w:r>
      <w:r w:rsidRPr="0053666C">
        <w:rPr>
          <w:rFonts w:ascii="Palatino Linotype" w:eastAsia="Palatino Linotype" w:hAnsi="Palatino Linotype" w:cs="Palatino Linotype"/>
          <w:b/>
          <w:bCs/>
          <w:sz w:val="22"/>
          <w:szCs w:val="22"/>
          <w:u w:val="single"/>
        </w:rPr>
        <w:t>o sin costo, para el caso de que la persona solicitante proporcione disco compacto o los medios magnéticos</w:t>
      </w:r>
      <w:r w:rsidRPr="0053666C">
        <w:rPr>
          <w:rFonts w:ascii="Palatino Linotype" w:eastAsia="Palatino Linotype" w:hAnsi="Palatino Linotype" w:cs="Palatino Linotype"/>
          <w:sz w:val="22"/>
          <w:szCs w:val="22"/>
        </w:rPr>
        <w:t>, como establece el último párrafo del artículo 148 del Código Financiero del Estado de México, citado con antelación.</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Es necesario aclarar, para el caso que </w:t>
      </w:r>
      <w:r w:rsidRPr="0053666C">
        <w:rPr>
          <w:rFonts w:ascii="Palatino Linotype" w:eastAsia="Palatino Linotype" w:hAnsi="Palatino Linotype" w:cs="Palatino Linotype"/>
          <w:b/>
          <w:bCs/>
          <w:sz w:val="22"/>
          <w:szCs w:val="22"/>
        </w:rPr>
        <w:t>NO</w:t>
      </w:r>
      <w:r w:rsidRPr="0053666C">
        <w:rPr>
          <w:rFonts w:ascii="Palatino Linotype" w:eastAsia="Palatino Linotype" w:hAnsi="Palatino Linotype" w:cs="Palatino Linotype"/>
          <w:sz w:val="22"/>
          <w:szCs w:val="22"/>
        </w:rPr>
        <w:t xml:space="preserve"> pueda subir la información en una liga electrónica de acceso en Internet, por no contar con presupuesto, ni con el equipo electrónico adecuado para tal circunstancia, podrá omitir dicha modalidad, para la entrega de la misma.</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Conforme a lo anterior, se considera que el Sujeto Obligado deberá poner a disposición del ahora Recurrente, en todas las modalidades que permita la documentación; además, el Sujeto Obligado deberá hacer del conocimiento al Particular que la información estará disponible, por un plazo mínimo de sesenta días naturales, a partir de la fecha en que ponga a disposición del Recurrente la información, en términos del segundo párrafo del artículo 166 de la Ley de Transparencia y Acceso a la Información Pública del Estado de México y Municipios.</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En tal tesitura, si dentro del transcurso del término señalado en el párrafo anterior, </w:t>
      </w:r>
      <w:r w:rsidRPr="0053666C">
        <w:rPr>
          <w:rFonts w:ascii="Palatino Linotype" w:eastAsia="Palatino Linotype" w:hAnsi="Palatino Linotype" w:cs="Palatino Linotype"/>
          <w:b/>
          <w:bCs/>
          <w:sz w:val="22"/>
          <w:szCs w:val="22"/>
        </w:rPr>
        <w:t>la parte  Recurrente</w:t>
      </w:r>
      <w:r w:rsidRPr="0053666C">
        <w:rPr>
          <w:rFonts w:ascii="Palatino Linotype" w:eastAsia="Palatino Linotype" w:hAnsi="Palatino Linotype" w:cs="Palatino Linotype"/>
          <w:sz w:val="22"/>
          <w:szCs w:val="22"/>
        </w:rPr>
        <w:t xml:space="preserve"> acude por la información, el </w:t>
      </w:r>
      <w:r w:rsidRPr="0053666C">
        <w:rPr>
          <w:rFonts w:ascii="Palatino Linotype" w:eastAsia="Palatino Linotype" w:hAnsi="Palatino Linotype" w:cs="Palatino Linotype"/>
          <w:b/>
          <w:bCs/>
          <w:sz w:val="22"/>
          <w:szCs w:val="22"/>
        </w:rPr>
        <w:t>Sujeto Obligado</w:t>
      </w:r>
      <w:r w:rsidRPr="0053666C">
        <w:rPr>
          <w:rFonts w:ascii="Palatino Linotype" w:eastAsia="Palatino Linotype" w:hAnsi="Palatino Linotype" w:cs="Palatino Linotype"/>
          <w:sz w:val="22"/>
          <w:szCs w:val="22"/>
        </w:rPr>
        <w:t xml:space="preserve"> levantará un acta de hechos misma que debe ser remitida a este Instituto, por conducto de la </w:t>
      </w:r>
      <w:r w:rsidRPr="0053666C">
        <w:rPr>
          <w:rFonts w:ascii="Palatino Linotype" w:eastAsia="Palatino Linotype" w:hAnsi="Palatino Linotype" w:cs="Palatino Linotype"/>
          <w:b/>
          <w:bCs/>
          <w:sz w:val="22"/>
          <w:szCs w:val="22"/>
        </w:rPr>
        <w:t>Secretaría Técnica del Pleno</w:t>
      </w:r>
      <w:r w:rsidRPr="0053666C">
        <w:rPr>
          <w:rFonts w:ascii="Palatino Linotype" w:eastAsia="Palatino Linotype" w:hAnsi="Palatino Linotype" w:cs="Palatino Linotype"/>
          <w:sz w:val="22"/>
          <w:szCs w:val="22"/>
        </w:rPr>
        <w:t xml:space="preserve">, junto con el acuse de recibo de la información del Particular; sin embargo, si una vez fenecido el plazo, no acudiera por los documentos ordenados, el </w:t>
      </w:r>
      <w:r w:rsidRPr="0053666C">
        <w:rPr>
          <w:rFonts w:ascii="Palatino Linotype" w:eastAsia="Palatino Linotype" w:hAnsi="Palatino Linotype" w:cs="Palatino Linotype"/>
          <w:b/>
          <w:bCs/>
          <w:sz w:val="22"/>
          <w:szCs w:val="22"/>
        </w:rPr>
        <w:t>Sujeto Obligado</w:t>
      </w:r>
      <w:r w:rsidRPr="0053666C">
        <w:rPr>
          <w:rFonts w:ascii="Palatino Linotype" w:eastAsia="Palatino Linotype" w:hAnsi="Palatino Linotype" w:cs="Palatino Linotype"/>
          <w:sz w:val="22"/>
          <w:szCs w:val="22"/>
        </w:rPr>
        <w:t>, mediante acuerdo dará por concluida la solicitud y podrá, de ser el caso, realizar la destrucción del material en el que se reprodujo, situación que también deberá informar a este Instituto, por el mismo conducto.</w:t>
      </w:r>
    </w:p>
    <w:p w:rsidR="00A40B65" w:rsidRPr="0053666C" w:rsidRDefault="00A40B65">
      <w:pPr>
        <w:spacing w:line="360" w:lineRule="auto"/>
        <w:jc w:val="both"/>
        <w:rPr>
          <w:rFonts w:ascii="Palatino Linotype" w:eastAsia="Palatino Linotype" w:hAnsi="Palatino Linotype" w:cs="Palatino Linotype"/>
          <w:b/>
          <w:bCs/>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b/>
          <w:bCs/>
          <w:sz w:val="22"/>
          <w:szCs w:val="22"/>
        </w:rPr>
        <w:t xml:space="preserve">Quinto. Versión Pública. </w:t>
      </w:r>
      <w:r w:rsidRPr="0053666C">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ind w:right="50"/>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rsidR="00A40B65" w:rsidRPr="0053666C" w:rsidRDefault="00A40B65">
      <w:pPr>
        <w:spacing w:line="360" w:lineRule="auto"/>
        <w:ind w:right="50"/>
        <w:jc w:val="both"/>
        <w:rPr>
          <w:rFonts w:ascii="Palatino Linotype" w:eastAsia="Palatino Linotype" w:hAnsi="Palatino Linotype" w:cs="Palatino Linotype"/>
          <w:sz w:val="22"/>
          <w:szCs w:val="22"/>
        </w:rPr>
      </w:pP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w:t>
      </w:r>
      <w:r w:rsidRPr="0053666C">
        <w:rPr>
          <w:rFonts w:ascii="Palatino Linotype" w:eastAsia="Palatino Linotype" w:hAnsi="Palatino Linotype" w:cs="Palatino Linotype"/>
          <w:b/>
          <w:bCs/>
          <w:i/>
          <w:iCs/>
          <w:sz w:val="22"/>
          <w:szCs w:val="22"/>
        </w:rPr>
        <w:t>Artículo 3.</w:t>
      </w:r>
      <w:r w:rsidRPr="0053666C">
        <w:rPr>
          <w:rFonts w:ascii="Palatino Linotype" w:eastAsia="Palatino Linotype" w:hAnsi="Palatino Linotype" w:cs="Palatino Linotype"/>
          <w:i/>
          <w:iCs/>
          <w:sz w:val="22"/>
          <w:szCs w:val="22"/>
        </w:rPr>
        <w:t xml:space="preserve"> Para los efectos de la presente Ley se entenderá por:</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 xml:space="preserve">IX. Datos personales: La información concerniente a una persona, identificada o identificable según lo dispuesto por la Ley de Protección de Datos Personales del Estado de México; </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XX. Información clasificada: Aquella considerada por la presente Ley como reservada o confidencial;</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XLV. Versión pública: Documento en el que se elimine, suprime o borra la información clasificada como reservada o confidencial para permitir su acceso.</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b/>
          <w:bCs/>
          <w:i/>
          <w:iCs/>
          <w:sz w:val="22"/>
          <w:szCs w:val="22"/>
        </w:rPr>
        <w:t>Artículo 91.</w:t>
      </w:r>
      <w:r w:rsidRPr="0053666C">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b/>
          <w:bCs/>
          <w:i/>
          <w:iCs/>
          <w:sz w:val="22"/>
          <w:szCs w:val="22"/>
        </w:rPr>
        <w:t>Artículo 132.</w:t>
      </w:r>
      <w:r w:rsidRPr="0053666C">
        <w:rPr>
          <w:rFonts w:ascii="Palatino Linotype" w:eastAsia="Palatino Linotype" w:hAnsi="Palatino Linotype" w:cs="Palatino Linotype"/>
          <w:i/>
          <w:iCs/>
          <w:sz w:val="22"/>
          <w:szCs w:val="22"/>
        </w:rPr>
        <w:t xml:space="preserve"> La clasificación de la información se llevará a cabo en el momento en que:</w:t>
      </w:r>
    </w:p>
    <w:p w:rsidR="00A40B65" w:rsidRPr="0053666C" w:rsidRDefault="00E5237A">
      <w:pPr>
        <w:tabs>
          <w:tab w:val="left" w:pos="1134"/>
        </w:tabs>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I. Se reciba una solicitud de acceso a la información;</w:t>
      </w:r>
    </w:p>
    <w:p w:rsidR="00A40B65" w:rsidRPr="0053666C" w:rsidRDefault="00E5237A">
      <w:pPr>
        <w:tabs>
          <w:tab w:val="left" w:pos="1134"/>
        </w:tabs>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II. Se determine mediante resolución de autoridad competente; o</w:t>
      </w:r>
    </w:p>
    <w:p w:rsidR="00A40B65" w:rsidRPr="0053666C" w:rsidRDefault="00E5237A">
      <w:pPr>
        <w:tabs>
          <w:tab w:val="left" w:pos="1134"/>
        </w:tabs>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III. Se generen versiones públicas para dar cumplimiento a las obligaciones de transparencia previstas en esta Ley.</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b/>
          <w:bCs/>
          <w:i/>
          <w:iCs/>
          <w:sz w:val="22"/>
          <w:szCs w:val="22"/>
        </w:rPr>
        <w:t>Artículo 143</w:t>
      </w:r>
      <w:r w:rsidRPr="0053666C">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I. Se refiera a la información privada y los datos personales concernientes a una persona física o jurídico colectiva identificada o identificable;</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III. La que presenten los particulares a los sujetos obligados, de conformidad con lo dispuesto por las leyes o los tratados internacionales.</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rsidR="00A40B65" w:rsidRPr="0053666C" w:rsidRDefault="00A40B65">
      <w:pPr>
        <w:spacing w:line="360" w:lineRule="auto"/>
        <w:ind w:left="567" w:right="616"/>
        <w:jc w:val="both"/>
        <w:rPr>
          <w:rFonts w:ascii="Palatino Linotype" w:eastAsia="Palatino Linotype" w:hAnsi="Palatino Linotype" w:cs="Palatino Linotype"/>
          <w:i/>
          <w:iCs/>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A40B65" w:rsidRPr="0053666C" w:rsidRDefault="00A40B65">
      <w:pPr>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 xml:space="preserve"> “</w:t>
      </w:r>
      <w:r w:rsidRPr="0053666C">
        <w:rPr>
          <w:rFonts w:ascii="Palatino Linotype" w:eastAsia="Palatino Linotype" w:hAnsi="Palatino Linotype" w:cs="Palatino Linotype"/>
          <w:b/>
          <w:bCs/>
          <w:i/>
          <w:iCs/>
          <w:sz w:val="22"/>
          <w:szCs w:val="22"/>
        </w:rPr>
        <w:t>Quincuagésimo</w:t>
      </w:r>
      <w:r w:rsidRPr="0053666C">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A40B65" w:rsidRPr="0053666C" w:rsidRDefault="00E5237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b/>
          <w:bCs/>
          <w:i/>
          <w:iCs/>
          <w:sz w:val="22"/>
          <w:szCs w:val="22"/>
        </w:rPr>
        <w:t>Quincuagésimo primero.</w:t>
      </w:r>
      <w:r w:rsidRPr="0053666C">
        <w:rPr>
          <w:rFonts w:ascii="Palatino Linotype" w:eastAsia="Palatino Linotype" w:hAnsi="Palatino Linotype" w:cs="Palatino Linotype"/>
          <w:i/>
          <w:iCs/>
          <w:sz w:val="22"/>
          <w:szCs w:val="22"/>
        </w:rPr>
        <w:t xml:space="preserve"> Toda acta del Comité de Transparencia deberá contener: </w:t>
      </w:r>
    </w:p>
    <w:p w:rsidR="00A40B65" w:rsidRPr="0053666C" w:rsidRDefault="00E5237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 xml:space="preserve">I. El número de sesión y fecha; </w:t>
      </w:r>
    </w:p>
    <w:p w:rsidR="00A40B65" w:rsidRPr="0053666C" w:rsidRDefault="00E5237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 xml:space="preserve">II. El nombre del área que solicitó la clasificación de información; </w:t>
      </w:r>
    </w:p>
    <w:p w:rsidR="00A40B65" w:rsidRPr="0053666C" w:rsidRDefault="00E5237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 xml:space="preserve">III. La fundamentación legal y motivación correspondiente; </w:t>
      </w:r>
    </w:p>
    <w:p w:rsidR="00A40B65" w:rsidRPr="0053666C" w:rsidRDefault="00E5237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 xml:space="preserve">IV. La resolución o resoluciones aprobadas; y </w:t>
      </w:r>
    </w:p>
    <w:p w:rsidR="00A40B65" w:rsidRPr="0053666C" w:rsidRDefault="00E5237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 xml:space="preserve">V. La rúbrica o firma digital de cada integrante del Comité de Transparencia. </w:t>
      </w:r>
    </w:p>
    <w:p w:rsidR="00A40B65" w:rsidRPr="0053666C" w:rsidRDefault="00E5237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rsidR="00A40B65" w:rsidRPr="0053666C" w:rsidRDefault="00E5237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I. Los motivos y razonamientos que sustenten la confirmación o modificación de la prueba de daño;</w:t>
      </w:r>
    </w:p>
    <w:p w:rsidR="00A40B65" w:rsidRPr="0053666C" w:rsidRDefault="00E5237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 xml:space="preserve">II. Descripción de las partes o secciones reservadas, en caso de clasificación parcial; </w:t>
      </w:r>
    </w:p>
    <w:p w:rsidR="00A40B65" w:rsidRPr="0053666C" w:rsidRDefault="00E5237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 xml:space="preserve">III. El periodo por el que mantendrá su clasificación y fecha de expiración; y </w:t>
      </w:r>
    </w:p>
    <w:p w:rsidR="00A40B65" w:rsidRPr="0053666C" w:rsidRDefault="00E5237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rsidR="00A40B65" w:rsidRPr="0053666C" w:rsidRDefault="00E5237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rsidR="00A40B65" w:rsidRPr="0053666C" w:rsidRDefault="00E5237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b/>
          <w:bCs/>
          <w:i/>
          <w:iCs/>
          <w:sz w:val="22"/>
          <w:szCs w:val="22"/>
        </w:rPr>
        <w:t>Quincuagésimo segundo.</w:t>
      </w:r>
      <w:r w:rsidRPr="0053666C">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53666C">
        <w:rPr>
          <w:rFonts w:ascii="Palatino Linotype" w:eastAsia="Palatino Linotype" w:hAnsi="Palatino Linotype" w:cs="Palatino Linotype"/>
          <w:i/>
          <w:iCs/>
          <w:sz w:val="22"/>
          <w:szCs w:val="22"/>
        </w:rPr>
        <w:t>sobreposición</w:t>
      </w:r>
      <w:proofErr w:type="spellEnd"/>
      <w:r w:rsidRPr="0053666C">
        <w:rPr>
          <w:rFonts w:ascii="Palatino Linotype" w:eastAsia="Palatino Linotype" w:hAnsi="Palatino Linotype" w:cs="Palatino Linotype"/>
          <w:i/>
          <w:iCs/>
          <w:sz w:val="22"/>
          <w:szCs w:val="22"/>
        </w:rPr>
        <w:t xml:space="preserve"> de contenido distinto al autorizado por el Comité.</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III. Señalar las personas o instancias autorizadas a acceder a la información clasificada.</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establecen lo siguiente:</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w:t>
      </w:r>
      <w:r w:rsidRPr="0053666C">
        <w:rPr>
          <w:rFonts w:ascii="Palatino Linotype" w:eastAsia="Palatino Linotype" w:hAnsi="Palatino Linotype" w:cs="Palatino Linotype"/>
          <w:b/>
          <w:bCs/>
          <w:i/>
          <w:iCs/>
          <w:sz w:val="22"/>
          <w:szCs w:val="22"/>
        </w:rPr>
        <w:t>Quincuagésimo cuarto.</w:t>
      </w:r>
      <w:r w:rsidRPr="0053666C">
        <w:rPr>
          <w:rFonts w:ascii="Palatino Linotype" w:eastAsia="Palatino Linotype" w:hAnsi="Palatino Linotype" w:cs="Palatino Linotype"/>
          <w:i/>
          <w:iCs/>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b/>
          <w:bCs/>
          <w:i/>
          <w:iCs/>
          <w:sz w:val="22"/>
          <w:szCs w:val="22"/>
        </w:rPr>
        <w:t>Quincuagésimo quinto.</w:t>
      </w:r>
      <w:r w:rsidRPr="0053666C">
        <w:rPr>
          <w:rFonts w:ascii="Palatino Linotype" w:eastAsia="Palatino Linotype" w:hAnsi="Palatino Linotype" w:cs="Palatino Linotype"/>
          <w:i/>
          <w:iCs/>
          <w:sz w:val="22"/>
          <w:szCs w:val="22"/>
        </w:rPr>
        <w:t xml:space="preserve"> Cada área del sujeto obligado podrá designar formalmente a una o más personas como responsables del </w:t>
      </w:r>
      <w:proofErr w:type="spellStart"/>
      <w:r w:rsidRPr="0053666C">
        <w:rPr>
          <w:rFonts w:ascii="Palatino Linotype" w:eastAsia="Palatino Linotype" w:hAnsi="Palatino Linotype" w:cs="Palatino Linotype"/>
          <w:i/>
          <w:iCs/>
          <w:sz w:val="22"/>
          <w:szCs w:val="22"/>
        </w:rPr>
        <w:t>testado</w:t>
      </w:r>
      <w:proofErr w:type="spellEnd"/>
      <w:r w:rsidRPr="0053666C">
        <w:rPr>
          <w:rFonts w:ascii="Palatino Linotype" w:eastAsia="Palatino Linotype" w:hAnsi="Palatino Linotype" w:cs="Palatino Linotype"/>
          <w:i/>
          <w:iCs/>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b/>
          <w:bCs/>
          <w:i/>
          <w:iCs/>
          <w:sz w:val="22"/>
          <w:szCs w:val="22"/>
        </w:rPr>
        <w:t>Quincuagésimo séptimo.</w:t>
      </w:r>
      <w:r w:rsidRPr="0053666C">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 xml:space="preserve">I. La relativa a las Obligaciones de Transparencia que contempla el Título V de la Ley General y las demás disposiciones legales aplicables; </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II. El nombre de los integrantes de los sujetos obligados en los documentos, y sus firmas autógrafas o digitales, cuando sean utilizados en el ejercicio de las facultades conferidas para el desempeño del servicio público, y</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rsidR="00A40B65" w:rsidRPr="0053666C" w:rsidRDefault="00E5237A">
      <w:pPr>
        <w:ind w:left="567" w:right="616"/>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 xml:space="preserve">Es así como, en mérito de lo expuesto en líneas anteriores, resultan fundadas las razones o motivos de inconformidad hechos valer por la parte </w:t>
      </w:r>
      <w:r w:rsidRPr="0053666C">
        <w:rPr>
          <w:rFonts w:ascii="Palatino Linotype" w:eastAsia="Palatino Linotype" w:hAnsi="Palatino Linotype" w:cs="Palatino Linotype"/>
          <w:b/>
          <w:bCs/>
          <w:sz w:val="22"/>
          <w:szCs w:val="22"/>
        </w:rPr>
        <w:t>RECURRENTE</w:t>
      </w:r>
      <w:r w:rsidRPr="0053666C">
        <w:rPr>
          <w:rFonts w:ascii="Palatino Linotype" w:eastAsia="Palatino Linotype" w:hAnsi="Palatino Linotype" w:cs="Palatino Linotype"/>
          <w:sz w:val="22"/>
          <w:szCs w:val="22"/>
        </w:rPr>
        <w:t xml:space="preserve"> dentro del recurso de revisión </w:t>
      </w:r>
      <w:r w:rsidRPr="0053666C">
        <w:rPr>
          <w:rFonts w:ascii="Palatino Linotype" w:eastAsia="Palatino Linotype" w:hAnsi="Palatino Linotype" w:cs="Palatino Linotype"/>
          <w:b/>
          <w:bCs/>
          <w:sz w:val="22"/>
          <w:szCs w:val="22"/>
        </w:rPr>
        <w:t>09789/INFOEM/IP/RR/2025</w:t>
      </w:r>
      <w:r w:rsidRPr="0053666C">
        <w:rPr>
          <w:rFonts w:ascii="Palatino Linotype" w:eastAsia="Palatino Linotype" w:hAnsi="Palatino Linotype" w:cs="Palatino Linotype"/>
          <w:sz w:val="22"/>
          <w:szCs w:val="22"/>
        </w:rPr>
        <w:t xml:space="preserve">; por ello, y con fundamento en la fracción III del numeral 186 de la Ley de Transparencia y Acceso a la Información Pública del Estado de México y Municipios, por lo que se </w:t>
      </w:r>
      <w:r w:rsidRPr="0053666C">
        <w:rPr>
          <w:rFonts w:ascii="Palatino Linotype" w:eastAsia="Palatino Linotype" w:hAnsi="Palatino Linotype" w:cs="Palatino Linotype"/>
          <w:b/>
          <w:bCs/>
          <w:sz w:val="22"/>
          <w:szCs w:val="22"/>
        </w:rPr>
        <w:t xml:space="preserve">MODIFICA </w:t>
      </w:r>
      <w:r w:rsidRPr="0053666C">
        <w:rPr>
          <w:rFonts w:ascii="Palatino Linotype" w:eastAsia="Palatino Linotype" w:hAnsi="Palatino Linotype" w:cs="Palatino Linotype"/>
          <w:sz w:val="22"/>
          <w:szCs w:val="22"/>
        </w:rPr>
        <w:t xml:space="preserve">las respuesta del </w:t>
      </w:r>
      <w:r w:rsidRPr="0053666C">
        <w:rPr>
          <w:rFonts w:ascii="Palatino Linotype" w:eastAsia="Palatino Linotype" w:hAnsi="Palatino Linotype" w:cs="Palatino Linotype"/>
          <w:b/>
          <w:bCs/>
          <w:sz w:val="22"/>
          <w:szCs w:val="22"/>
        </w:rPr>
        <w:t xml:space="preserve">SUJETO OBLIGADO </w:t>
      </w:r>
      <w:r w:rsidRPr="0053666C">
        <w:rPr>
          <w:rFonts w:ascii="Palatino Linotype" w:eastAsia="Palatino Linotype" w:hAnsi="Palatino Linotype" w:cs="Palatino Linotype"/>
          <w:sz w:val="22"/>
          <w:szCs w:val="22"/>
        </w:rPr>
        <w:t xml:space="preserve">a la solicitud de información </w:t>
      </w:r>
      <w:r w:rsidRPr="0053666C">
        <w:rPr>
          <w:rFonts w:ascii="Palatino Linotype" w:eastAsia="Palatino Linotype" w:hAnsi="Palatino Linotype" w:cs="Palatino Linotype"/>
          <w:b/>
          <w:bCs/>
          <w:sz w:val="22"/>
          <w:szCs w:val="22"/>
        </w:rPr>
        <w:t>00423/ATIZARA/IP/2025.</w:t>
      </w:r>
      <w:r w:rsidRPr="0053666C">
        <w:rPr>
          <w:rFonts w:ascii="Palatino Linotype" w:eastAsia="Palatino Linotype" w:hAnsi="Palatino Linotype" w:cs="Palatino Linotype"/>
          <w:sz w:val="22"/>
          <w:szCs w:val="22"/>
        </w:rPr>
        <w:t xml:space="preserve">  </w:t>
      </w:r>
    </w:p>
    <w:p w:rsidR="00A40B65" w:rsidRPr="0053666C" w:rsidRDefault="00A40B65">
      <w:pPr>
        <w:spacing w:line="360" w:lineRule="auto"/>
        <w:ind w:right="49"/>
        <w:jc w:val="both"/>
        <w:rPr>
          <w:rFonts w:ascii="Palatino Linotype" w:eastAsia="Palatino Linotype" w:hAnsi="Palatino Linotype" w:cs="Palatino Linotype"/>
          <w:sz w:val="22"/>
          <w:szCs w:val="22"/>
        </w:rPr>
      </w:pPr>
    </w:p>
    <w:p w:rsidR="00A40B65" w:rsidRPr="0053666C" w:rsidRDefault="00E5237A">
      <w:pPr>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Así, con fundamento en lo prescrito en los artículos 5 párrafos trigésimo noveno, cuadragésimo y cuadragésimo primero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rsidR="00A40B65" w:rsidRPr="0053666C" w:rsidRDefault="00A40B65">
      <w:pPr>
        <w:spacing w:line="360" w:lineRule="auto"/>
        <w:ind w:right="49"/>
        <w:jc w:val="both"/>
        <w:rPr>
          <w:rFonts w:ascii="Palatino Linotype" w:eastAsia="Palatino Linotype" w:hAnsi="Palatino Linotype" w:cs="Palatino Linotype"/>
          <w:sz w:val="22"/>
          <w:szCs w:val="22"/>
        </w:rPr>
      </w:pPr>
    </w:p>
    <w:p w:rsidR="00A40B65" w:rsidRPr="0053666C" w:rsidRDefault="00E5237A">
      <w:pPr>
        <w:spacing w:line="360" w:lineRule="auto"/>
        <w:ind w:right="49"/>
        <w:jc w:val="center"/>
        <w:rPr>
          <w:rFonts w:ascii="Palatino Linotype" w:eastAsia="Palatino Linotype" w:hAnsi="Palatino Linotype" w:cs="Palatino Linotype"/>
          <w:b/>
          <w:bCs/>
          <w:sz w:val="22"/>
          <w:szCs w:val="22"/>
        </w:rPr>
      </w:pPr>
      <w:r w:rsidRPr="0053666C">
        <w:rPr>
          <w:rFonts w:ascii="Palatino Linotype" w:eastAsia="Palatino Linotype" w:hAnsi="Palatino Linotype" w:cs="Palatino Linotype"/>
          <w:b/>
          <w:bCs/>
          <w:sz w:val="22"/>
          <w:szCs w:val="22"/>
        </w:rPr>
        <w:t>III.</w:t>
      </w:r>
      <w:r w:rsidRPr="0053666C">
        <w:rPr>
          <w:rFonts w:ascii="Palatino Linotype" w:eastAsia="Palatino Linotype" w:hAnsi="Palatino Linotype" w:cs="Palatino Linotype"/>
          <w:b/>
          <w:bCs/>
          <w:sz w:val="22"/>
          <w:szCs w:val="22"/>
        </w:rPr>
        <w:tab/>
        <w:t>R E S U E L V E:</w:t>
      </w:r>
    </w:p>
    <w:p w:rsidR="00A40B65" w:rsidRPr="0053666C" w:rsidRDefault="00A40B65">
      <w:pPr>
        <w:spacing w:line="360" w:lineRule="auto"/>
        <w:ind w:right="49"/>
        <w:jc w:val="both"/>
        <w:rPr>
          <w:rFonts w:ascii="Palatino Linotype" w:eastAsia="Palatino Linotype" w:hAnsi="Palatino Linotype" w:cs="Palatino Linotype"/>
          <w:sz w:val="22"/>
          <w:szCs w:val="22"/>
        </w:rPr>
      </w:pPr>
    </w:p>
    <w:p w:rsidR="00A40B65" w:rsidRPr="0053666C" w:rsidRDefault="00E5237A">
      <w:pPr>
        <w:spacing w:line="360" w:lineRule="auto"/>
        <w:ind w:right="49"/>
        <w:jc w:val="both"/>
        <w:rPr>
          <w:rFonts w:ascii="Palatino Linotype" w:eastAsia="Palatino Linotype" w:hAnsi="Palatino Linotype" w:cs="Palatino Linotype"/>
          <w:b/>
          <w:bCs/>
          <w:sz w:val="22"/>
          <w:szCs w:val="22"/>
        </w:rPr>
      </w:pPr>
      <w:r w:rsidRPr="0053666C">
        <w:rPr>
          <w:rFonts w:ascii="Palatino Linotype" w:eastAsia="Palatino Linotype" w:hAnsi="Palatino Linotype" w:cs="Palatino Linotype"/>
          <w:b/>
          <w:bCs/>
          <w:sz w:val="22"/>
          <w:szCs w:val="22"/>
        </w:rPr>
        <w:t>Primero.</w:t>
      </w:r>
      <w:r w:rsidRPr="0053666C">
        <w:rPr>
          <w:rFonts w:ascii="Palatino Linotype" w:eastAsia="Palatino Linotype" w:hAnsi="Palatino Linotype" w:cs="Palatino Linotype"/>
          <w:sz w:val="22"/>
          <w:szCs w:val="22"/>
        </w:rPr>
        <w:t xml:space="preserve"> Resultan</w:t>
      </w:r>
      <w:r w:rsidRPr="0053666C">
        <w:rPr>
          <w:rFonts w:ascii="Palatino Linotype" w:eastAsia="Palatino Linotype" w:hAnsi="Palatino Linotype" w:cs="Palatino Linotype"/>
          <w:b/>
          <w:bCs/>
          <w:sz w:val="22"/>
          <w:szCs w:val="22"/>
        </w:rPr>
        <w:t xml:space="preserve"> FUNDADOS</w:t>
      </w:r>
      <w:r w:rsidRPr="0053666C">
        <w:rPr>
          <w:rFonts w:ascii="Palatino Linotype" w:eastAsia="Palatino Linotype" w:hAnsi="Palatino Linotype" w:cs="Palatino Linotype"/>
          <w:sz w:val="22"/>
          <w:szCs w:val="22"/>
        </w:rPr>
        <w:t xml:space="preserve"> los motivos de inconformidad hechos valer por la parte </w:t>
      </w:r>
      <w:r w:rsidRPr="0053666C">
        <w:rPr>
          <w:rFonts w:ascii="Palatino Linotype" w:eastAsia="Palatino Linotype" w:hAnsi="Palatino Linotype" w:cs="Palatino Linotype"/>
          <w:b/>
          <w:bCs/>
          <w:sz w:val="22"/>
          <w:szCs w:val="22"/>
        </w:rPr>
        <w:t>RECURRENTE</w:t>
      </w:r>
      <w:r w:rsidRPr="0053666C">
        <w:rPr>
          <w:rFonts w:ascii="Palatino Linotype" w:eastAsia="Palatino Linotype" w:hAnsi="Palatino Linotype" w:cs="Palatino Linotype"/>
          <w:sz w:val="22"/>
          <w:szCs w:val="22"/>
        </w:rPr>
        <w:t xml:space="preserve"> en el Recurso de Revisión </w:t>
      </w:r>
      <w:r w:rsidRPr="0053666C">
        <w:rPr>
          <w:rFonts w:ascii="Palatino Linotype" w:eastAsia="Palatino Linotype" w:hAnsi="Palatino Linotype" w:cs="Palatino Linotype"/>
          <w:b/>
          <w:bCs/>
          <w:sz w:val="22"/>
          <w:szCs w:val="22"/>
        </w:rPr>
        <w:t>09789/INFOEM/IP/RR/2025</w:t>
      </w:r>
      <w:r w:rsidRPr="0053666C">
        <w:rPr>
          <w:rFonts w:ascii="Palatino Linotype" w:eastAsia="Palatino Linotype" w:hAnsi="Palatino Linotype" w:cs="Palatino Linotype"/>
          <w:sz w:val="22"/>
          <w:szCs w:val="22"/>
        </w:rPr>
        <w:t>,</w:t>
      </w:r>
      <w:r w:rsidRPr="0053666C">
        <w:rPr>
          <w:rFonts w:ascii="Palatino Linotype" w:eastAsia="Palatino Linotype" w:hAnsi="Palatino Linotype" w:cs="Palatino Linotype"/>
          <w:b/>
          <w:bCs/>
          <w:sz w:val="22"/>
          <w:szCs w:val="22"/>
        </w:rPr>
        <w:t xml:space="preserve"> </w:t>
      </w:r>
      <w:r w:rsidRPr="0053666C">
        <w:rPr>
          <w:rFonts w:ascii="Palatino Linotype" w:eastAsia="Palatino Linotype" w:hAnsi="Palatino Linotype" w:cs="Palatino Linotype"/>
          <w:sz w:val="22"/>
          <w:szCs w:val="22"/>
        </w:rPr>
        <w:t xml:space="preserve">por lo que, en términos del </w:t>
      </w:r>
      <w:r w:rsidRPr="0053666C">
        <w:rPr>
          <w:rFonts w:ascii="Palatino Linotype" w:eastAsia="Palatino Linotype" w:hAnsi="Palatino Linotype" w:cs="Palatino Linotype"/>
          <w:b/>
          <w:bCs/>
          <w:sz w:val="22"/>
          <w:szCs w:val="22"/>
        </w:rPr>
        <w:t>Considerando Cuarto</w:t>
      </w:r>
      <w:r w:rsidRPr="0053666C">
        <w:rPr>
          <w:rFonts w:ascii="Palatino Linotype" w:eastAsia="Palatino Linotype" w:hAnsi="Palatino Linotype" w:cs="Palatino Linotype"/>
          <w:sz w:val="22"/>
          <w:szCs w:val="22"/>
        </w:rPr>
        <w:t xml:space="preserve"> de esta resolución, se </w:t>
      </w:r>
      <w:r w:rsidRPr="0053666C">
        <w:rPr>
          <w:rFonts w:ascii="Palatino Linotype" w:eastAsia="Palatino Linotype" w:hAnsi="Palatino Linotype" w:cs="Palatino Linotype"/>
          <w:b/>
          <w:bCs/>
          <w:sz w:val="22"/>
          <w:szCs w:val="22"/>
        </w:rPr>
        <w:t xml:space="preserve">MODIFICA </w:t>
      </w:r>
      <w:r w:rsidRPr="0053666C">
        <w:rPr>
          <w:rFonts w:ascii="Palatino Linotype" w:eastAsia="Palatino Linotype" w:hAnsi="Palatino Linotype" w:cs="Palatino Linotype"/>
          <w:sz w:val="22"/>
          <w:szCs w:val="22"/>
        </w:rPr>
        <w:t xml:space="preserve">la respuesta emitida por el </w:t>
      </w:r>
      <w:r w:rsidRPr="0053666C">
        <w:rPr>
          <w:rFonts w:ascii="Palatino Linotype" w:eastAsia="Palatino Linotype" w:hAnsi="Palatino Linotype" w:cs="Palatino Linotype"/>
          <w:b/>
          <w:bCs/>
          <w:sz w:val="22"/>
          <w:szCs w:val="22"/>
        </w:rPr>
        <w:t>SUJETO OBLIGADO</w:t>
      </w:r>
      <w:r w:rsidRPr="0053666C">
        <w:rPr>
          <w:rFonts w:ascii="Palatino Linotype" w:eastAsia="Palatino Linotype" w:hAnsi="Palatino Linotype" w:cs="Palatino Linotype"/>
          <w:sz w:val="22"/>
          <w:szCs w:val="22"/>
        </w:rPr>
        <w:t>.</w:t>
      </w:r>
    </w:p>
    <w:p w:rsidR="00A40B65" w:rsidRPr="0053666C" w:rsidRDefault="00A40B65">
      <w:pPr>
        <w:spacing w:line="360" w:lineRule="auto"/>
        <w:ind w:right="49"/>
        <w:jc w:val="both"/>
        <w:rPr>
          <w:rFonts w:ascii="Palatino Linotype" w:eastAsia="Palatino Linotype" w:hAnsi="Palatino Linotype" w:cs="Palatino Linotype"/>
          <w:sz w:val="22"/>
          <w:szCs w:val="22"/>
        </w:rPr>
      </w:pPr>
    </w:p>
    <w:p w:rsidR="00A40B65" w:rsidRPr="0053666C" w:rsidRDefault="00E5237A">
      <w:pPr>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b/>
          <w:bCs/>
          <w:sz w:val="22"/>
          <w:szCs w:val="22"/>
        </w:rPr>
        <w:t>Segundo</w:t>
      </w:r>
      <w:r w:rsidRPr="0053666C">
        <w:rPr>
          <w:rFonts w:ascii="Palatino Linotype" w:eastAsia="Palatino Linotype" w:hAnsi="Palatino Linotype" w:cs="Palatino Linotype"/>
          <w:sz w:val="22"/>
          <w:szCs w:val="22"/>
        </w:rPr>
        <w:t xml:space="preserve">. Se </w:t>
      </w:r>
      <w:r w:rsidRPr="0053666C">
        <w:rPr>
          <w:rFonts w:ascii="Palatino Linotype" w:eastAsia="Palatino Linotype" w:hAnsi="Palatino Linotype" w:cs="Palatino Linotype"/>
          <w:b/>
          <w:bCs/>
          <w:sz w:val="22"/>
          <w:szCs w:val="22"/>
        </w:rPr>
        <w:t>ORDENA</w:t>
      </w:r>
      <w:r w:rsidRPr="0053666C">
        <w:rPr>
          <w:rFonts w:ascii="Palatino Linotype" w:eastAsia="Palatino Linotype" w:hAnsi="Palatino Linotype" w:cs="Palatino Linotype"/>
          <w:sz w:val="22"/>
          <w:szCs w:val="22"/>
        </w:rPr>
        <w:t xml:space="preserve"> al </w:t>
      </w:r>
      <w:r w:rsidRPr="0053666C">
        <w:rPr>
          <w:rFonts w:ascii="Palatino Linotype" w:eastAsia="Palatino Linotype" w:hAnsi="Palatino Linotype" w:cs="Palatino Linotype"/>
          <w:b/>
          <w:bCs/>
          <w:sz w:val="22"/>
          <w:szCs w:val="22"/>
        </w:rPr>
        <w:t>SUJETO OBLIGADO</w:t>
      </w:r>
      <w:r w:rsidRPr="0053666C">
        <w:rPr>
          <w:rFonts w:ascii="Palatino Linotype" w:eastAsia="Palatino Linotype" w:hAnsi="Palatino Linotype" w:cs="Palatino Linotype"/>
          <w:sz w:val="22"/>
          <w:szCs w:val="22"/>
        </w:rPr>
        <w:t xml:space="preserve"> a que, en términos del Considerando Cuarto y Quinto, ponga a disposición en todas las modalidades que permita la documentación solicitada, tales como, vínculo electrónico, correo electrónico, disco compacto, dispositivo de almacenamiento, consulta directa, copias simples o certificadas, con posibilidad de entrega en la Unidad de Transparencia o a domicilio por correo certificado, previo a pago de los derechos correspondientes, en versión pública; </w:t>
      </w:r>
    </w:p>
    <w:p w:rsidR="00A40B65" w:rsidRPr="0053666C" w:rsidRDefault="00A40B65">
      <w:pPr>
        <w:spacing w:line="360" w:lineRule="auto"/>
        <w:ind w:right="49"/>
        <w:jc w:val="both"/>
        <w:rPr>
          <w:rFonts w:ascii="Palatino Linotype" w:eastAsia="Palatino Linotype" w:hAnsi="Palatino Linotype" w:cs="Palatino Linotype"/>
          <w:sz w:val="22"/>
          <w:szCs w:val="22"/>
        </w:rPr>
      </w:pPr>
    </w:p>
    <w:p w:rsidR="00A40B65" w:rsidRPr="0053666C" w:rsidRDefault="00E5237A">
      <w:pPr>
        <w:numPr>
          <w:ilvl w:val="0"/>
          <w:numId w:val="1"/>
        </w:numPr>
        <w:pBdr>
          <w:top w:val="nil"/>
          <w:left w:val="nil"/>
          <w:bottom w:val="nil"/>
          <w:right w:val="nil"/>
          <w:between w:val="nil"/>
        </w:pBdr>
        <w:spacing w:line="360" w:lineRule="auto"/>
        <w:ind w:left="426" w:right="560"/>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sz w:val="22"/>
          <w:szCs w:val="22"/>
        </w:rPr>
        <w:t xml:space="preserve">Comprobantes de todos los pagos por la Tesorería Municipal mediante cheque o transferencia electrónica del uno al treinta de junio de dos mil veinticinco. </w:t>
      </w:r>
    </w:p>
    <w:p w:rsidR="00A40B65" w:rsidRPr="0053666C" w:rsidRDefault="00A40B65">
      <w:pPr>
        <w:pBdr>
          <w:top w:val="nil"/>
          <w:left w:val="nil"/>
          <w:bottom w:val="nil"/>
          <w:right w:val="nil"/>
          <w:between w:val="nil"/>
        </w:pBdr>
        <w:spacing w:line="276" w:lineRule="auto"/>
        <w:ind w:left="567" w:right="560" w:hanging="720"/>
        <w:jc w:val="both"/>
        <w:rPr>
          <w:rFonts w:ascii="Palatino Linotype" w:eastAsia="Palatino Linotype" w:hAnsi="Palatino Linotype" w:cs="Palatino Linotype"/>
          <w:i/>
          <w:iCs/>
          <w:sz w:val="22"/>
          <w:szCs w:val="22"/>
        </w:rPr>
      </w:pPr>
    </w:p>
    <w:p w:rsidR="00A40B65" w:rsidRPr="0053666C" w:rsidRDefault="00E5237A">
      <w:pPr>
        <w:pBdr>
          <w:top w:val="nil"/>
          <w:left w:val="nil"/>
          <w:bottom w:val="nil"/>
          <w:right w:val="nil"/>
          <w:between w:val="nil"/>
        </w:pBdr>
        <w:spacing w:line="276" w:lineRule="auto"/>
        <w:ind w:left="567" w:right="560" w:hanging="720"/>
        <w:jc w:val="both"/>
        <w:rPr>
          <w:rFonts w:ascii="Palatino Linotype" w:eastAsia="Palatino Linotype" w:hAnsi="Palatino Linotype" w:cs="Palatino Linotype"/>
          <w:i/>
          <w:iCs/>
          <w:sz w:val="22"/>
          <w:szCs w:val="22"/>
        </w:rPr>
      </w:pPr>
      <w:r w:rsidRPr="0053666C">
        <w:rPr>
          <w:rFonts w:ascii="Palatino Linotype" w:eastAsia="Palatino Linotype" w:hAnsi="Palatino Linotype" w:cs="Palatino Linotype"/>
          <w:i/>
          <w:iCs/>
          <w:sz w:val="22"/>
          <w:szCs w:val="22"/>
        </w:rPr>
        <w:t xml:space="preserve">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así como respecto de los documentos entregados en respuesta y se pongan a disposición de la parte Recurrente, mismo que igualmente hará de su conocimiento. </w:t>
      </w:r>
    </w:p>
    <w:p w:rsidR="00A40B65" w:rsidRPr="0053666C" w:rsidRDefault="00A40B65">
      <w:pPr>
        <w:spacing w:line="276" w:lineRule="auto"/>
        <w:ind w:right="560"/>
        <w:jc w:val="both"/>
        <w:rPr>
          <w:rFonts w:ascii="Palatino Linotype" w:eastAsia="Palatino Linotype" w:hAnsi="Palatino Linotype" w:cs="Palatino Linotype"/>
          <w:i/>
          <w:iCs/>
          <w:sz w:val="20"/>
          <w:szCs w:val="20"/>
        </w:rPr>
      </w:pPr>
    </w:p>
    <w:p w:rsidR="00A40B65" w:rsidRPr="0053666C" w:rsidRDefault="00E5237A">
      <w:pPr>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b/>
          <w:bCs/>
          <w:sz w:val="22"/>
          <w:szCs w:val="22"/>
        </w:rPr>
        <w:t>Tercero.</w:t>
      </w:r>
      <w:r w:rsidRPr="0053666C">
        <w:rPr>
          <w:rFonts w:ascii="Palatino Linotype" w:eastAsia="Palatino Linotype" w:hAnsi="Palatino Linotype" w:cs="Palatino Linotype"/>
          <w:sz w:val="22"/>
          <w:szCs w:val="22"/>
        </w:rPr>
        <w:t xml:space="preserve"> </w:t>
      </w:r>
      <w:r w:rsidRPr="0053666C">
        <w:rPr>
          <w:rFonts w:ascii="Palatino Linotype" w:eastAsia="Palatino Linotype" w:hAnsi="Palatino Linotype" w:cs="Palatino Linotype"/>
          <w:b/>
          <w:bCs/>
          <w:sz w:val="22"/>
          <w:szCs w:val="22"/>
        </w:rPr>
        <w:t xml:space="preserve">Notifíquese vía SAIMEX </w:t>
      </w:r>
      <w:r w:rsidRPr="0053666C">
        <w:rPr>
          <w:rFonts w:ascii="Palatino Linotype" w:eastAsia="Palatino Linotype" w:hAnsi="Palatino Linotype" w:cs="Palatino Linotype"/>
          <w:sz w:val="22"/>
          <w:szCs w:val="22"/>
        </w:rPr>
        <w:t>la presente resolución al T</w:t>
      </w:r>
      <w:r w:rsidRPr="0053666C">
        <w:rPr>
          <w:rFonts w:ascii="Palatino Linotype" w:eastAsia="Palatino Linotype" w:hAnsi="Palatino Linotype" w:cs="Palatino Linotype"/>
          <w:b/>
          <w:bCs/>
          <w:sz w:val="22"/>
          <w:szCs w:val="22"/>
        </w:rPr>
        <w:t xml:space="preserve">itular de la Unidad de Transparencia </w:t>
      </w:r>
      <w:r w:rsidRPr="0053666C">
        <w:rPr>
          <w:rFonts w:ascii="Palatino Linotype" w:eastAsia="Palatino Linotype" w:hAnsi="Palatino Linotype" w:cs="Palatino Linotype"/>
          <w:sz w:val="22"/>
          <w:szCs w:val="22"/>
        </w:rPr>
        <w:t xml:space="preserve">del </w:t>
      </w:r>
      <w:r w:rsidRPr="0053666C">
        <w:rPr>
          <w:rFonts w:ascii="Palatino Linotype" w:eastAsia="Palatino Linotype" w:hAnsi="Palatino Linotype" w:cs="Palatino Linotype"/>
          <w:b/>
          <w:bCs/>
          <w:sz w:val="22"/>
          <w:szCs w:val="22"/>
        </w:rPr>
        <w:t>SUJETO OBLIGADO</w:t>
      </w:r>
      <w:r w:rsidRPr="0053666C">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A40B65" w:rsidRPr="0053666C" w:rsidRDefault="00A40B65">
      <w:pPr>
        <w:spacing w:line="360" w:lineRule="auto"/>
        <w:ind w:right="49"/>
        <w:jc w:val="both"/>
        <w:rPr>
          <w:rFonts w:ascii="Palatino Linotype" w:eastAsia="Palatino Linotype" w:hAnsi="Palatino Linotype" w:cs="Palatino Linotype"/>
          <w:sz w:val="22"/>
          <w:szCs w:val="22"/>
        </w:rPr>
      </w:pPr>
    </w:p>
    <w:p w:rsidR="00A40B65" w:rsidRPr="0053666C"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b/>
          <w:bCs/>
          <w:sz w:val="22"/>
          <w:szCs w:val="22"/>
        </w:rPr>
        <w:t xml:space="preserve">Cuarto. Notifíquese vía SAIMEX </w:t>
      </w:r>
      <w:r w:rsidRPr="0053666C">
        <w:rPr>
          <w:rFonts w:ascii="Palatino Linotype" w:eastAsia="Palatino Linotype" w:hAnsi="Palatino Linotype" w:cs="Palatino Linotype"/>
          <w:sz w:val="22"/>
          <w:szCs w:val="22"/>
        </w:rPr>
        <w:t xml:space="preserve">a la parte </w:t>
      </w:r>
      <w:r w:rsidRPr="0053666C">
        <w:rPr>
          <w:rFonts w:ascii="Palatino Linotype" w:eastAsia="Palatino Linotype" w:hAnsi="Palatino Linotype" w:cs="Palatino Linotype"/>
          <w:b/>
          <w:bCs/>
          <w:sz w:val="22"/>
          <w:szCs w:val="22"/>
        </w:rPr>
        <w:t xml:space="preserve">Recurrente </w:t>
      </w:r>
      <w:r w:rsidRPr="0053666C">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A40B65" w:rsidRPr="0053666C" w:rsidRDefault="00A40B65">
      <w:pPr>
        <w:spacing w:line="360" w:lineRule="auto"/>
        <w:jc w:val="both"/>
        <w:rPr>
          <w:rFonts w:ascii="Palatino Linotype" w:eastAsia="Palatino Linotype" w:hAnsi="Palatino Linotype" w:cs="Palatino Linotype"/>
          <w:sz w:val="22"/>
          <w:szCs w:val="22"/>
        </w:rPr>
      </w:pPr>
    </w:p>
    <w:p w:rsidR="00A40B65" w:rsidRPr="0053666C" w:rsidRDefault="00E5237A">
      <w:pPr>
        <w:spacing w:line="360" w:lineRule="auto"/>
        <w:ind w:right="49"/>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b/>
          <w:bCs/>
          <w:sz w:val="22"/>
          <w:szCs w:val="22"/>
        </w:rPr>
        <w:t>Quinto.</w:t>
      </w:r>
      <w:r w:rsidRPr="0053666C">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53666C">
        <w:rPr>
          <w:rFonts w:ascii="Palatino Linotype" w:eastAsia="Palatino Linotype" w:hAnsi="Palatino Linotype" w:cs="Palatino Linotype"/>
          <w:b/>
          <w:bCs/>
          <w:sz w:val="22"/>
          <w:szCs w:val="22"/>
        </w:rPr>
        <w:t>SUJETO OBLIGADO</w:t>
      </w:r>
      <w:r w:rsidRPr="0053666C">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rsidR="00A40B65" w:rsidRPr="0053666C" w:rsidRDefault="00A40B65">
      <w:pPr>
        <w:spacing w:line="360" w:lineRule="auto"/>
        <w:ind w:right="49"/>
        <w:jc w:val="both"/>
        <w:rPr>
          <w:rFonts w:ascii="Palatino Linotype" w:eastAsia="Palatino Linotype" w:hAnsi="Palatino Linotype" w:cs="Palatino Linotype"/>
          <w:sz w:val="22"/>
          <w:szCs w:val="22"/>
        </w:rPr>
      </w:pPr>
    </w:p>
    <w:p w:rsidR="00A40B65" w:rsidRPr="00E5237A" w:rsidRDefault="00E5237A">
      <w:pPr>
        <w:spacing w:line="360" w:lineRule="auto"/>
        <w:jc w:val="both"/>
        <w:rPr>
          <w:rFonts w:ascii="Palatino Linotype" w:eastAsia="Palatino Linotype" w:hAnsi="Palatino Linotype" w:cs="Palatino Linotype"/>
          <w:sz w:val="22"/>
          <w:szCs w:val="22"/>
        </w:rPr>
      </w:pPr>
      <w:r w:rsidRPr="0053666C">
        <w:rPr>
          <w:rFonts w:ascii="Palatino Linotype" w:eastAsia="Palatino Linotype" w:hAnsi="Palatino Linotype" w:cs="Palatino Linotype"/>
          <w:sz w:val="22"/>
          <w:szCs w:val="22"/>
        </w:rPr>
        <w:t>ASÍ LO APROBÓ POR MAYORÍA DE VOTOS EL PLENO DEL INSTITUTO DE TRANSPARENCIA, ACCESO A LA INFORMACIÓN PÚBLICA Y PROTECCIÓN DE DATOS PERSONALES DEL ESTADO DE MÉXICO Y MUNICIPIOS, CONFORMADO POR LOS COMISIONADOS JOSÉ MARTÍNEZ VILCHIS; MARÍA DEL ROSARIO MEJÍA AYALA, SHARON CRISTINA MORALES MARTÍNEZ Y GUADALUPE RAMÍREZ PEÑA, EMITIENDO VOTO DISIDENTE; EN LA PRIMERA SESIÓN ORDINARIA CELEBRADA EL CATORCE DE ENERO DE DOS MIL VEINTISÉIS, ANTE EL SECRETARIO TÉCNICO DEL PLENO ALEXIS TAPIA RAMÍREZ.</w:t>
      </w:r>
    </w:p>
    <w:p w:rsidR="00A40B65" w:rsidRPr="00E5237A" w:rsidRDefault="00A40B65">
      <w:pPr>
        <w:spacing w:line="360" w:lineRule="auto"/>
        <w:ind w:right="141"/>
        <w:jc w:val="both"/>
        <w:rPr>
          <w:rFonts w:ascii="Palatino Linotype" w:eastAsia="Palatino Linotype" w:hAnsi="Palatino Linotype" w:cs="Palatino Linotype"/>
          <w:sz w:val="22"/>
          <w:szCs w:val="22"/>
        </w:rPr>
      </w:pPr>
    </w:p>
    <w:p w:rsidR="00A40B65" w:rsidRPr="00E5237A" w:rsidRDefault="00A40B65">
      <w:pPr>
        <w:spacing w:line="360" w:lineRule="auto"/>
        <w:ind w:right="141"/>
        <w:jc w:val="both"/>
        <w:rPr>
          <w:rFonts w:ascii="Palatino Linotype" w:eastAsia="Palatino Linotype" w:hAnsi="Palatino Linotype" w:cs="Palatino Linotype"/>
          <w:sz w:val="22"/>
          <w:szCs w:val="22"/>
        </w:rPr>
      </w:pPr>
    </w:p>
    <w:p w:rsidR="00A40B65" w:rsidRPr="00E5237A" w:rsidRDefault="00A40B65">
      <w:pPr>
        <w:spacing w:line="360" w:lineRule="auto"/>
        <w:ind w:right="141"/>
        <w:jc w:val="both"/>
        <w:rPr>
          <w:rFonts w:ascii="Palatino Linotype" w:eastAsia="Palatino Linotype" w:hAnsi="Palatino Linotype" w:cs="Palatino Linotype"/>
          <w:sz w:val="22"/>
          <w:szCs w:val="22"/>
        </w:rPr>
      </w:pPr>
    </w:p>
    <w:p w:rsidR="00A40B65" w:rsidRPr="00E5237A" w:rsidRDefault="00A40B65">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b/>
          <w:bCs/>
          <w:sz w:val="22"/>
          <w:szCs w:val="22"/>
        </w:rPr>
      </w:pPr>
    </w:p>
    <w:p w:rsidR="00A40B65" w:rsidRPr="00E5237A" w:rsidRDefault="00A40B65">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b/>
          <w:bCs/>
          <w:sz w:val="22"/>
          <w:szCs w:val="22"/>
        </w:rPr>
      </w:pPr>
    </w:p>
    <w:p w:rsidR="00A40B65" w:rsidRPr="00E5237A" w:rsidRDefault="00A40B65">
      <w:pPr>
        <w:spacing w:line="360" w:lineRule="auto"/>
        <w:jc w:val="both"/>
        <w:rPr>
          <w:rFonts w:ascii="Palatino Linotype" w:eastAsia="Palatino Linotype" w:hAnsi="Palatino Linotype" w:cs="Palatino Linotype"/>
          <w:sz w:val="22"/>
          <w:szCs w:val="22"/>
        </w:rPr>
      </w:pPr>
    </w:p>
    <w:p w:rsidR="00A40B65" w:rsidRPr="00E5237A" w:rsidRDefault="00A40B65">
      <w:pPr>
        <w:spacing w:line="360" w:lineRule="auto"/>
        <w:jc w:val="both"/>
        <w:rPr>
          <w:rFonts w:ascii="Palatino Linotype" w:eastAsia="Palatino Linotype" w:hAnsi="Palatino Linotype" w:cs="Palatino Linotype"/>
          <w:b/>
          <w:bCs/>
          <w:sz w:val="22"/>
          <w:szCs w:val="22"/>
        </w:rPr>
      </w:pPr>
    </w:p>
    <w:p w:rsidR="00A40B65" w:rsidRPr="00E5237A" w:rsidRDefault="00A40B65">
      <w:pPr>
        <w:spacing w:line="360" w:lineRule="auto"/>
        <w:jc w:val="both"/>
        <w:rPr>
          <w:rFonts w:ascii="Palatino Linotype" w:eastAsia="Palatino Linotype" w:hAnsi="Palatino Linotype" w:cs="Palatino Linotype"/>
          <w:b/>
          <w:bCs/>
          <w:sz w:val="22"/>
          <w:szCs w:val="22"/>
        </w:rPr>
      </w:pPr>
    </w:p>
    <w:p w:rsidR="00A40B65" w:rsidRPr="00E5237A" w:rsidRDefault="00A40B65">
      <w:pPr>
        <w:spacing w:line="360" w:lineRule="auto"/>
        <w:jc w:val="both"/>
        <w:rPr>
          <w:rFonts w:ascii="Palatino Linotype" w:eastAsia="Palatino Linotype" w:hAnsi="Palatino Linotype" w:cs="Palatino Linotype"/>
          <w:b/>
          <w:bCs/>
          <w:sz w:val="22"/>
          <w:szCs w:val="22"/>
        </w:rPr>
      </w:pPr>
    </w:p>
    <w:p w:rsidR="00A40B65" w:rsidRPr="00E5237A" w:rsidRDefault="00A40B65">
      <w:pPr>
        <w:spacing w:line="360" w:lineRule="auto"/>
        <w:jc w:val="both"/>
        <w:rPr>
          <w:rFonts w:ascii="Palatino Linotype" w:eastAsia="Palatino Linotype" w:hAnsi="Palatino Linotype" w:cs="Palatino Linotype"/>
          <w:sz w:val="22"/>
          <w:szCs w:val="22"/>
        </w:rPr>
      </w:pPr>
    </w:p>
    <w:p w:rsidR="00A40B65" w:rsidRPr="00E5237A" w:rsidRDefault="00A40B65">
      <w:pPr>
        <w:spacing w:line="360" w:lineRule="auto"/>
        <w:jc w:val="both"/>
        <w:rPr>
          <w:rFonts w:ascii="Palatino Linotype" w:eastAsia="Palatino Linotype" w:hAnsi="Palatino Linotype" w:cs="Palatino Linotype"/>
          <w:sz w:val="22"/>
          <w:szCs w:val="22"/>
        </w:rPr>
      </w:pPr>
    </w:p>
    <w:p w:rsidR="00A40B65" w:rsidRPr="00E5237A" w:rsidRDefault="00A40B65">
      <w:pPr>
        <w:spacing w:line="360" w:lineRule="auto"/>
        <w:jc w:val="both"/>
        <w:rPr>
          <w:rFonts w:ascii="Palatino Linotype" w:eastAsia="Palatino Linotype" w:hAnsi="Palatino Linotype" w:cs="Palatino Linotype"/>
          <w:sz w:val="22"/>
          <w:szCs w:val="22"/>
        </w:rPr>
      </w:pPr>
    </w:p>
    <w:p w:rsidR="00A40B65" w:rsidRPr="00E5237A" w:rsidRDefault="00A40B65">
      <w:pPr>
        <w:spacing w:line="360" w:lineRule="auto"/>
        <w:jc w:val="both"/>
        <w:rPr>
          <w:rFonts w:ascii="Palatino Linotype" w:eastAsia="Palatino Linotype" w:hAnsi="Palatino Linotype" w:cs="Palatino Linotype"/>
          <w:sz w:val="22"/>
          <w:szCs w:val="22"/>
        </w:rPr>
      </w:pPr>
    </w:p>
    <w:p w:rsidR="00A40B65" w:rsidRPr="00E5237A" w:rsidRDefault="00A40B65">
      <w:pPr>
        <w:spacing w:line="360" w:lineRule="auto"/>
        <w:jc w:val="both"/>
        <w:rPr>
          <w:rFonts w:ascii="Palatino Linotype" w:eastAsia="Palatino Linotype" w:hAnsi="Palatino Linotype" w:cs="Palatino Linotype"/>
          <w:sz w:val="22"/>
          <w:szCs w:val="22"/>
        </w:rPr>
      </w:pPr>
    </w:p>
    <w:p w:rsidR="00A40B65" w:rsidRPr="00E5237A" w:rsidRDefault="00A40B65">
      <w:pPr>
        <w:spacing w:line="360" w:lineRule="auto"/>
        <w:jc w:val="both"/>
        <w:rPr>
          <w:rFonts w:ascii="Palatino Linotype" w:eastAsia="Palatino Linotype" w:hAnsi="Palatino Linotype" w:cs="Palatino Linotype"/>
          <w:sz w:val="22"/>
          <w:szCs w:val="22"/>
        </w:rPr>
      </w:pPr>
    </w:p>
    <w:p w:rsidR="00A40B65" w:rsidRPr="00E5237A" w:rsidRDefault="00A40B65">
      <w:pPr>
        <w:spacing w:line="360" w:lineRule="auto"/>
        <w:jc w:val="both"/>
        <w:rPr>
          <w:rFonts w:ascii="Palatino Linotype" w:eastAsia="Palatino Linotype" w:hAnsi="Palatino Linotype" w:cs="Palatino Linotype"/>
          <w:sz w:val="22"/>
          <w:szCs w:val="22"/>
        </w:rPr>
      </w:pPr>
    </w:p>
    <w:p w:rsidR="00A40B65" w:rsidRPr="00E5237A" w:rsidRDefault="00A40B65">
      <w:pPr>
        <w:spacing w:line="360" w:lineRule="auto"/>
        <w:jc w:val="both"/>
        <w:rPr>
          <w:rFonts w:ascii="Palatino Linotype" w:eastAsia="Palatino Linotype" w:hAnsi="Palatino Linotype" w:cs="Palatino Linotype"/>
          <w:sz w:val="22"/>
          <w:szCs w:val="22"/>
        </w:rPr>
      </w:pPr>
    </w:p>
    <w:p w:rsidR="00A40B65" w:rsidRPr="00E5237A" w:rsidRDefault="00A40B65">
      <w:pPr>
        <w:spacing w:line="360" w:lineRule="auto"/>
        <w:jc w:val="both"/>
        <w:rPr>
          <w:rFonts w:ascii="Palatino Linotype" w:eastAsia="Palatino Linotype" w:hAnsi="Palatino Linotype" w:cs="Palatino Linotype"/>
          <w:sz w:val="22"/>
          <w:szCs w:val="22"/>
        </w:rPr>
      </w:pPr>
    </w:p>
    <w:p w:rsidR="00A40B65" w:rsidRPr="00E5237A" w:rsidRDefault="00A40B65">
      <w:pPr>
        <w:spacing w:line="360" w:lineRule="auto"/>
        <w:jc w:val="both"/>
        <w:rPr>
          <w:rFonts w:ascii="Palatino Linotype" w:eastAsia="Palatino Linotype" w:hAnsi="Palatino Linotype" w:cs="Palatino Linotype"/>
          <w:sz w:val="22"/>
          <w:szCs w:val="22"/>
        </w:rPr>
      </w:pPr>
    </w:p>
    <w:p w:rsidR="00A40B65" w:rsidRPr="00E5237A" w:rsidRDefault="00A40B65">
      <w:pPr>
        <w:spacing w:line="360" w:lineRule="auto"/>
        <w:jc w:val="both"/>
        <w:rPr>
          <w:rFonts w:ascii="Palatino Linotype" w:eastAsia="Palatino Linotype" w:hAnsi="Palatino Linotype" w:cs="Palatino Linotype"/>
          <w:sz w:val="22"/>
          <w:szCs w:val="22"/>
        </w:rPr>
      </w:pPr>
    </w:p>
    <w:p w:rsidR="00A40B65" w:rsidRPr="00E5237A" w:rsidRDefault="00A40B65">
      <w:pPr>
        <w:spacing w:line="360" w:lineRule="auto"/>
        <w:jc w:val="both"/>
        <w:rPr>
          <w:rFonts w:ascii="Palatino Linotype" w:eastAsia="Palatino Linotype" w:hAnsi="Palatino Linotype" w:cs="Palatino Linotype"/>
          <w:sz w:val="22"/>
          <w:szCs w:val="22"/>
        </w:rPr>
      </w:pPr>
    </w:p>
    <w:p w:rsidR="00A40B65" w:rsidRPr="00E5237A" w:rsidRDefault="00A40B65">
      <w:pPr>
        <w:spacing w:line="360" w:lineRule="auto"/>
        <w:jc w:val="both"/>
        <w:rPr>
          <w:rFonts w:ascii="Palatino Linotype" w:eastAsia="Palatino Linotype" w:hAnsi="Palatino Linotype" w:cs="Palatino Linotype"/>
          <w:sz w:val="22"/>
          <w:szCs w:val="22"/>
        </w:rPr>
      </w:pPr>
    </w:p>
    <w:p w:rsidR="00A40B65" w:rsidRPr="00E5237A" w:rsidRDefault="00A40B65">
      <w:pPr>
        <w:spacing w:line="360" w:lineRule="auto"/>
        <w:jc w:val="both"/>
        <w:rPr>
          <w:rFonts w:ascii="Palatino Linotype" w:eastAsia="Palatino Linotype" w:hAnsi="Palatino Linotype" w:cs="Palatino Linotype"/>
          <w:sz w:val="22"/>
          <w:szCs w:val="22"/>
        </w:rPr>
      </w:pPr>
    </w:p>
    <w:sectPr w:rsidR="00A40B65" w:rsidRPr="00E5237A">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D0D" w:rsidRDefault="00D63D0D">
      <w:r>
        <w:separator/>
      </w:r>
    </w:p>
  </w:endnote>
  <w:endnote w:type="continuationSeparator" w:id="0">
    <w:p w:rsidR="00D63D0D" w:rsidRDefault="00D63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746DB423-F0F3-4DBB-B679-0025CE8A0368}"/>
    <w:embedBold r:id="rId2" w:fontKey="{64020217-E547-4514-87D6-EADBE5CBFD6E}"/>
    <w:embedItalic r:id="rId3" w:fontKey="{D2D6DC5F-7942-4D43-962F-C9D223DE1ABE}"/>
    <w:embedBoldItalic r:id="rId4" w:fontKey="{CF3AE4EC-6B6B-4E32-A9CF-0879B2D720C7}"/>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0230C864-69D8-4C45-865C-C5C7E3AB0214}"/>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6" w:fontKey="{B7B0D454-062B-4F17-A5F1-10F9F4369BF6}"/>
    <w:embedBold r:id="rId7" w:fontKey="{334EEC7D-0935-4D53-AAA1-B1C02912CF50}"/>
  </w:font>
  <w:font w:name="Cambria">
    <w:panose1 w:val="02040503050406030204"/>
    <w:charset w:val="00"/>
    <w:family w:val="roman"/>
    <w:pitch w:val="variable"/>
    <w:sig w:usb0="E00006FF" w:usb1="420024FF" w:usb2="02000000" w:usb3="00000000" w:csb0="0000019F" w:csb1="00000000"/>
    <w:embedRegular r:id="rId8" w:fontKey="{A4F4ADF6-8A43-4CB9-8F1B-C72E42B6BA98}"/>
    <w:embedBold r:id="rId9" w:fontKey="{1052BF62-26F7-446E-970E-1DE0A6172B00}"/>
    <w:embedBoldItalic r:id="rId10" w:fontKey="{4CE1B427-611A-4BEB-851E-B71691A8FAFE}"/>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1" w:fontKey="{0C2AE484-A6FF-457D-BE03-75DDD09A427F}"/>
  </w:font>
  <w:font w:name="Georgia">
    <w:panose1 w:val="02040502050405020303"/>
    <w:charset w:val="00"/>
    <w:family w:val="roman"/>
    <w:pitch w:val="variable"/>
    <w:sig w:usb0="00000287" w:usb1="00000000" w:usb2="00000000" w:usb3="00000000" w:csb0="0000009F" w:csb1="00000000"/>
    <w:embedItalic r:id="rId12" w:fontKey="{5EF2A639-F33E-4B0B-A4F4-BA6EC89A1EC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B65" w:rsidRDefault="00E5237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3F2D2F">
      <w:rPr>
        <w:rFonts w:ascii="Palatino Linotype" w:eastAsia="Palatino Linotype" w:hAnsi="Palatino Linotype" w:cs="Palatino Linotype"/>
        <w:b/>
        <w:bCs/>
        <w:noProof/>
        <w:color w:val="000000"/>
        <w:sz w:val="20"/>
        <w:szCs w:val="20"/>
      </w:rPr>
      <w:t>20</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3F2D2F">
      <w:rPr>
        <w:rFonts w:ascii="Palatino Linotype" w:eastAsia="Palatino Linotype" w:hAnsi="Palatino Linotype" w:cs="Palatino Linotype"/>
        <w:b/>
        <w:bCs/>
        <w:noProof/>
        <w:color w:val="000000"/>
        <w:sz w:val="20"/>
        <w:szCs w:val="20"/>
      </w:rPr>
      <w:t>28</w:t>
    </w:r>
    <w:r>
      <w:rPr>
        <w:rFonts w:ascii="Palatino Linotype" w:eastAsia="Palatino Linotype" w:hAnsi="Palatino Linotype" w:cs="Palatino Linotype"/>
        <w:b/>
        <w:bCs/>
        <w:color w:val="000000"/>
        <w:sz w:val="20"/>
        <w:szCs w:val="20"/>
      </w:rPr>
      <w:fldChar w:fldCharType="end"/>
    </w:r>
  </w:p>
  <w:p w:rsidR="00A40B65" w:rsidRDefault="00A40B6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B65" w:rsidRDefault="00E5237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3F2D2F">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3F2D2F">
      <w:rPr>
        <w:rFonts w:ascii="Palatino Linotype" w:eastAsia="Palatino Linotype" w:hAnsi="Palatino Linotype" w:cs="Palatino Linotype"/>
        <w:b/>
        <w:bCs/>
        <w:noProof/>
        <w:color w:val="000000"/>
        <w:sz w:val="20"/>
        <w:szCs w:val="20"/>
      </w:rPr>
      <w:t>28</w:t>
    </w:r>
    <w:r>
      <w:rPr>
        <w:rFonts w:ascii="Palatino Linotype" w:eastAsia="Palatino Linotype" w:hAnsi="Palatino Linotype" w:cs="Palatino Linotype"/>
        <w:b/>
        <w:bCs/>
        <w:color w:val="000000"/>
        <w:sz w:val="20"/>
        <w:szCs w:val="20"/>
      </w:rPr>
      <w:fldChar w:fldCharType="end"/>
    </w:r>
  </w:p>
  <w:p w:rsidR="00A40B65" w:rsidRDefault="00A40B6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D0D" w:rsidRDefault="00D63D0D">
      <w:r>
        <w:separator/>
      </w:r>
    </w:p>
  </w:footnote>
  <w:footnote w:type="continuationSeparator" w:id="0">
    <w:p w:rsidR="00D63D0D" w:rsidRDefault="00D63D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B65" w:rsidRDefault="00E5237A">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-1080130</wp:posOffset>
          </wp:positionH>
          <wp:positionV relativeFrom="paragraph">
            <wp:posOffset>-488272</wp:posOffset>
          </wp:positionV>
          <wp:extent cx="7809865" cy="10165715"/>
          <wp:effectExtent l="0" t="0" r="0" b="0"/>
          <wp:wrapNone/>
          <wp:docPr id="20832964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c"/>
      <w:tblW w:w="5811" w:type="dxa"/>
      <w:tblInd w:w="3261" w:type="dxa"/>
      <w:tblLayout w:type="fixed"/>
      <w:tblLook w:val="0400" w:firstRow="0" w:lastRow="0" w:firstColumn="0" w:lastColumn="0" w:noHBand="0" w:noVBand="1"/>
    </w:tblPr>
    <w:tblGrid>
      <w:gridCol w:w="2489"/>
      <w:gridCol w:w="3322"/>
    </w:tblGrid>
    <w:tr w:rsidR="00A40B65">
      <w:tc>
        <w:tcPr>
          <w:tcW w:w="2489" w:type="dxa"/>
          <w:shd w:val="clear" w:color="auto" w:fill="auto"/>
        </w:tcPr>
        <w:p w:rsidR="00A40B65" w:rsidRDefault="00E5237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322" w:type="dxa"/>
          <w:shd w:val="clear" w:color="auto" w:fill="auto"/>
          <w:vAlign w:val="center"/>
        </w:tcPr>
        <w:p w:rsidR="00A40B65" w:rsidRDefault="00E5237A">
          <w:pPr>
            <w:ind w:left="-53"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09789/INFOEM/IP/RR/2025</w:t>
          </w:r>
        </w:p>
      </w:tc>
    </w:tr>
    <w:tr w:rsidR="00A40B65">
      <w:trPr>
        <w:trHeight w:val="228"/>
      </w:trPr>
      <w:tc>
        <w:tcPr>
          <w:tcW w:w="2489" w:type="dxa"/>
          <w:shd w:val="clear" w:color="auto" w:fill="auto"/>
          <w:vAlign w:val="center"/>
        </w:tcPr>
        <w:p w:rsidR="00A40B65" w:rsidRDefault="00E5237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p w:rsidR="00A40B65" w:rsidRDefault="00A40B65">
          <w:pPr>
            <w:rPr>
              <w:rFonts w:ascii="Palatino Linotype" w:eastAsia="Palatino Linotype" w:hAnsi="Palatino Linotype" w:cs="Palatino Linotype"/>
              <w:b/>
              <w:bCs/>
              <w:sz w:val="22"/>
              <w:szCs w:val="22"/>
            </w:rPr>
          </w:pPr>
        </w:p>
      </w:tc>
      <w:tc>
        <w:tcPr>
          <w:tcW w:w="3322" w:type="dxa"/>
          <w:shd w:val="clear" w:color="auto" w:fill="auto"/>
          <w:vAlign w:val="center"/>
        </w:tcPr>
        <w:p w:rsidR="00A40B65" w:rsidRDefault="00E5237A">
          <w:pPr>
            <w:ind w:left="-45" w:right="310"/>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Atizapán de Zaragoza</w:t>
          </w:r>
        </w:p>
      </w:tc>
    </w:tr>
    <w:tr w:rsidR="00A40B65">
      <w:tc>
        <w:tcPr>
          <w:tcW w:w="2489" w:type="dxa"/>
          <w:shd w:val="clear" w:color="auto" w:fill="auto"/>
          <w:vAlign w:val="center"/>
        </w:tcPr>
        <w:p w:rsidR="00A40B65" w:rsidRDefault="00E5237A">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322" w:type="dxa"/>
          <w:shd w:val="clear" w:color="auto" w:fill="auto"/>
          <w:vAlign w:val="center"/>
        </w:tcPr>
        <w:p w:rsidR="00A40B65" w:rsidRDefault="00E5237A">
          <w:pPr>
            <w:ind w:left="-53"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A40B65" w:rsidRDefault="00E5237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B65" w:rsidRDefault="00E5237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-708024</wp:posOffset>
          </wp:positionH>
          <wp:positionV relativeFrom="paragraph">
            <wp:posOffset>-160019</wp:posOffset>
          </wp:positionV>
          <wp:extent cx="7809865" cy="10165715"/>
          <wp:effectExtent l="0" t="0" r="0" b="0"/>
          <wp:wrapNone/>
          <wp:docPr id="20832964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d"/>
      <w:tblW w:w="6095" w:type="dxa"/>
      <w:tblInd w:w="3261" w:type="dxa"/>
      <w:tblLayout w:type="fixed"/>
      <w:tblLook w:val="0400" w:firstRow="0" w:lastRow="0" w:firstColumn="0" w:lastColumn="0" w:noHBand="0" w:noVBand="1"/>
    </w:tblPr>
    <w:tblGrid>
      <w:gridCol w:w="2489"/>
      <w:gridCol w:w="3606"/>
    </w:tblGrid>
    <w:tr w:rsidR="00A40B65">
      <w:tc>
        <w:tcPr>
          <w:tcW w:w="2489" w:type="dxa"/>
          <w:shd w:val="clear" w:color="auto" w:fill="auto"/>
        </w:tcPr>
        <w:p w:rsidR="00A40B65" w:rsidRDefault="00E5237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606" w:type="dxa"/>
          <w:shd w:val="clear" w:color="auto" w:fill="auto"/>
          <w:vAlign w:val="center"/>
        </w:tcPr>
        <w:p w:rsidR="00A40B65" w:rsidRDefault="00E5237A">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09789/INFOEM/IP/RR/2025</w:t>
          </w:r>
        </w:p>
      </w:tc>
    </w:tr>
    <w:tr w:rsidR="00A40B65">
      <w:tc>
        <w:tcPr>
          <w:tcW w:w="2489" w:type="dxa"/>
          <w:shd w:val="clear" w:color="auto" w:fill="auto"/>
        </w:tcPr>
        <w:p w:rsidR="00A40B65" w:rsidRDefault="00E5237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606" w:type="dxa"/>
          <w:shd w:val="clear" w:color="auto" w:fill="auto"/>
          <w:vAlign w:val="center"/>
        </w:tcPr>
        <w:p w:rsidR="00A40B65" w:rsidRDefault="003F2D2F" w:rsidP="003F2D2F">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XXXXX XXXXXX XXXXXXXX </w:t>
          </w:r>
        </w:p>
      </w:tc>
    </w:tr>
    <w:tr w:rsidR="00A40B65">
      <w:trPr>
        <w:trHeight w:val="228"/>
      </w:trPr>
      <w:tc>
        <w:tcPr>
          <w:tcW w:w="2489" w:type="dxa"/>
          <w:shd w:val="clear" w:color="auto" w:fill="auto"/>
          <w:vAlign w:val="center"/>
        </w:tcPr>
        <w:p w:rsidR="00A40B65" w:rsidRDefault="00E5237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p w:rsidR="00A40B65" w:rsidRDefault="00A40B65">
          <w:pPr>
            <w:rPr>
              <w:rFonts w:ascii="Palatino Linotype" w:eastAsia="Palatino Linotype" w:hAnsi="Palatino Linotype" w:cs="Palatino Linotype"/>
              <w:b/>
              <w:bCs/>
              <w:sz w:val="22"/>
              <w:szCs w:val="22"/>
            </w:rPr>
          </w:pPr>
        </w:p>
      </w:tc>
      <w:tc>
        <w:tcPr>
          <w:tcW w:w="3606" w:type="dxa"/>
          <w:shd w:val="clear" w:color="auto" w:fill="auto"/>
          <w:vAlign w:val="center"/>
        </w:tcPr>
        <w:p w:rsidR="00A40B65" w:rsidRDefault="00E5237A">
          <w:pPr>
            <w:ind w:right="-39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Atizapán de Zaragoza</w:t>
          </w:r>
        </w:p>
      </w:tc>
    </w:tr>
    <w:tr w:rsidR="00A40B65">
      <w:tc>
        <w:tcPr>
          <w:tcW w:w="2489" w:type="dxa"/>
          <w:shd w:val="clear" w:color="auto" w:fill="auto"/>
          <w:vAlign w:val="center"/>
        </w:tcPr>
        <w:p w:rsidR="00A40B65" w:rsidRDefault="00E5237A">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606" w:type="dxa"/>
          <w:shd w:val="clear" w:color="auto" w:fill="auto"/>
          <w:vAlign w:val="center"/>
        </w:tcPr>
        <w:p w:rsidR="00A40B65" w:rsidRDefault="00E5237A">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A40B65" w:rsidRDefault="00A40B6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862DED"/>
    <w:multiLevelType w:val="multilevel"/>
    <w:tmpl w:val="138EB258"/>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D000DD"/>
    <w:multiLevelType w:val="multilevel"/>
    <w:tmpl w:val="94D080E2"/>
    <w:lvl w:ilvl="0">
      <w:start w:val="1"/>
      <w:numFmt w:val="decimal"/>
      <w:pStyle w:val="Listaconvietas3"/>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09839A6"/>
    <w:multiLevelType w:val="multilevel"/>
    <w:tmpl w:val="C9626B4A"/>
    <w:lvl w:ilvl="0">
      <w:start w:val="3"/>
      <w:numFmt w:val="bullet"/>
      <w:lvlText w:val="-"/>
      <w:lvlJc w:val="left"/>
      <w:pPr>
        <w:ind w:left="720" w:hanging="360"/>
      </w:pPr>
      <w:rPr>
        <w:rFonts w:ascii="Palatino Linotype" w:eastAsia="Palatino Linotype" w:hAnsi="Palatino Linotype" w:cs="Palatino Linotype"/>
        <w:i w:val="0"/>
        <w:i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09635C7"/>
    <w:multiLevelType w:val="multilevel"/>
    <w:tmpl w:val="B46E75BA"/>
    <w:lvl w:ilvl="0">
      <w:start w:val="6"/>
      <w:numFmt w:val="bullet"/>
      <w:pStyle w:val="Listaconvietas"/>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A4E74F6"/>
    <w:multiLevelType w:val="multilevel"/>
    <w:tmpl w:val="C9EE655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B65"/>
    <w:rsid w:val="003F2D2F"/>
    <w:rsid w:val="0053666C"/>
    <w:rsid w:val="00A40B65"/>
    <w:rsid w:val="00D63D0D"/>
    <w:rsid w:val="00D7213E"/>
    <w:rsid w:val="00E523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7B818"/>
  <w15:docId w15:val="{3EF83DD2-12A1-4B64-B442-C0003A136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a">
    <w:basedOn w:val="TableNormala"/>
    <w:tblPr>
      <w:tblStyleRowBandSize w:val="1"/>
      <w:tblStyleColBandSize w:val="1"/>
      <w:tblCellMar>
        <w:left w:w="115" w:type="dxa"/>
        <w:right w:w="115" w:type="dxa"/>
      </w:tblCellMar>
    </w:tblPr>
  </w:style>
  <w:style w:type="table" w:customStyle="1" w:styleId="a0">
    <w:basedOn w:val="TableNormala"/>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806B5C"/>
    <w:rPr>
      <w:vertAlign w:val="superscript"/>
    </w:rPr>
  </w:style>
  <w:style w:type="table" w:customStyle="1" w:styleId="a1">
    <w:basedOn w:val="TableNormala"/>
    <w:tblPr>
      <w:tblStyleRowBandSize w:val="1"/>
      <w:tblStyleColBandSize w:val="1"/>
      <w:tblCellMar>
        <w:left w:w="115" w:type="dxa"/>
        <w:right w:w="115" w:type="dxa"/>
      </w:tblCellMar>
    </w:tblPr>
  </w:style>
  <w:style w:type="table" w:customStyle="1" w:styleId="a2">
    <w:basedOn w:val="TableNormala"/>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9"/>
    <w:tblPr>
      <w:tblStyleRowBandSize w:val="1"/>
      <w:tblStyleColBandSize w:val="1"/>
      <w:tblCellMar>
        <w:left w:w="115" w:type="dxa"/>
        <w:right w:w="115" w:type="dxa"/>
      </w:tblCellMar>
    </w:tblPr>
  </w:style>
  <w:style w:type="table" w:customStyle="1" w:styleId="a4">
    <w:basedOn w:val="TableNormal9"/>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INAI"/>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INAI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8"/>
    <w:tblPr>
      <w:tblStyleRowBandSize w:val="1"/>
      <w:tblStyleColBandSize w:val="1"/>
      <w:tblCellMar>
        <w:left w:w="108" w:type="dxa"/>
        <w:right w:w="108" w:type="dxa"/>
      </w:tblCellMar>
    </w:tblPr>
  </w:style>
  <w:style w:type="table" w:customStyle="1" w:styleId="a6">
    <w:basedOn w:val="TableNormal8"/>
    <w:tblPr>
      <w:tblStyleRowBandSize w:val="1"/>
      <w:tblStyleColBandSize w:val="1"/>
      <w:tblCellMar>
        <w:left w:w="108" w:type="dxa"/>
        <w:right w:w="108" w:type="dxa"/>
      </w:tblCellMar>
    </w:tblPr>
  </w:style>
  <w:style w:type="table" w:customStyle="1" w:styleId="a7">
    <w:basedOn w:val="TableNormal8"/>
    <w:tblPr>
      <w:tblStyleRowBandSize w:val="1"/>
      <w:tblStyleColBandSize w:val="1"/>
      <w:tblCellMar>
        <w:left w:w="108" w:type="dxa"/>
        <w:right w:w="108" w:type="dxa"/>
      </w:tblCellMar>
    </w:tblPr>
  </w:style>
  <w:style w:type="table" w:customStyle="1" w:styleId="a8">
    <w:basedOn w:val="TableNormal8"/>
    <w:tblPr>
      <w:tblStyleRowBandSize w:val="1"/>
      <w:tblStyleColBandSize w:val="1"/>
      <w:tblCellMar>
        <w:left w:w="108" w:type="dxa"/>
        <w:right w:w="108" w:type="dxa"/>
      </w:tblCellMar>
    </w:tblPr>
  </w:style>
  <w:style w:type="table" w:customStyle="1" w:styleId="a9">
    <w:basedOn w:val="TableNormal8"/>
    <w:tblPr>
      <w:tblStyleRowBandSize w:val="1"/>
      <w:tblStyleColBandSize w:val="1"/>
      <w:tblCellMar>
        <w:left w:w="108" w:type="dxa"/>
        <w:right w:w="108" w:type="dxa"/>
      </w:tblCellMar>
    </w:tblPr>
  </w:style>
  <w:style w:type="table" w:customStyle="1" w:styleId="aa">
    <w:basedOn w:val="TableNormal8"/>
    <w:tblPr>
      <w:tblStyleRowBandSize w:val="1"/>
      <w:tblStyleColBandSize w:val="1"/>
      <w:tblCellMar>
        <w:left w:w="115" w:type="dxa"/>
        <w:right w:w="115" w:type="dxa"/>
      </w:tblCellMar>
    </w:tblPr>
  </w:style>
  <w:style w:type="table" w:customStyle="1" w:styleId="ab">
    <w:basedOn w:val="TableNormal8"/>
    <w:tblPr>
      <w:tblStyleRowBandSize w:val="1"/>
      <w:tblStyleColBandSize w:val="1"/>
      <w:tblCellMar>
        <w:left w:w="115" w:type="dxa"/>
        <w:right w:w="115" w:type="dxa"/>
      </w:tblCellMar>
    </w:tblPr>
  </w:style>
  <w:style w:type="table" w:customStyle="1" w:styleId="ac">
    <w:basedOn w:val="TableNormal7"/>
    <w:tblPr>
      <w:tblStyleRowBandSize w:val="1"/>
      <w:tblStyleColBandSize w:val="1"/>
      <w:tblCellMar>
        <w:left w:w="108" w:type="dxa"/>
        <w:right w:w="108" w:type="dxa"/>
      </w:tblCellMar>
    </w:tblPr>
  </w:style>
  <w:style w:type="table" w:customStyle="1" w:styleId="ad">
    <w:basedOn w:val="TableNormal7"/>
    <w:tblPr>
      <w:tblStyleRowBandSize w:val="1"/>
      <w:tblStyleColBandSize w:val="1"/>
      <w:tblCellMar>
        <w:left w:w="115" w:type="dxa"/>
        <w:right w:w="115" w:type="dxa"/>
      </w:tblCellMar>
    </w:tblPr>
  </w:style>
  <w:style w:type="table" w:customStyle="1" w:styleId="ae">
    <w:basedOn w:val="TableNormal7"/>
    <w:tblPr>
      <w:tblStyleRowBandSize w:val="1"/>
      <w:tblStyleColBandSize w:val="1"/>
      <w:tblCellMar>
        <w:left w:w="115" w:type="dxa"/>
        <w:right w:w="115" w:type="dxa"/>
      </w:tblCellMar>
    </w:tblPr>
  </w:style>
  <w:style w:type="table" w:customStyle="1" w:styleId="af">
    <w:basedOn w:val="TableNormal6"/>
    <w:tblPr>
      <w:tblStyleRowBandSize w:val="1"/>
      <w:tblStyleColBandSize w:val="1"/>
      <w:tblCellMar>
        <w:left w:w="115" w:type="dxa"/>
        <w:right w:w="115" w:type="dxa"/>
      </w:tblCellMar>
    </w:tblPr>
  </w:style>
  <w:style w:type="table" w:customStyle="1" w:styleId="af0">
    <w:basedOn w:val="TableNormal6"/>
    <w:tblPr>
      <w:tblStyleRowBandSize w:val="1"/>
      <w:tblStyleColBandSize w:val="1"/>
      <w:tblCellMar>
        <w:left w:w="115" w:type="dxa"/>
        <w:right w:w="115" w:type="dxa"/>
      </w:tblCellMar>
    </w:tblPr>
  </w:style>
  <w:style w:type="table" w:customStyle="1" w:styleId="af1">
    <w:basedOn w:val="TableNormal6"/>
    <w:tblPr>
      <w:tblStyleRowBandSize w:val="1"/>
      <w:tblStyleColBandSize w:val="1"/>
      <w:tblCellMar>
        <w:left w:w="115" w:type="dxa"/>
        <w:right w:w="115" w:type="dxa"/>
      </w:tblCellMar>
    </w:tblPr>
  </w:style>
  <w:style w:type="table" w:customStyle="1" w:styleId="af2">
    <w:basedOn w:val="TableNormal5"/>
    <w:tblPr>
      <w:tblStyleRowBandSize w:val="1"/>
      <w:tblStyleColBandSize w:val="1"/>
      <w:tblCellMar>
        <w:left w:w="115" w:type="dxa"/>
        <w:right w:w="115" w:type="dxa"/>
      </w:tblCellMar>
    </w:tblPr>
  </w:style>
  <w:style w:type="table" w:customStyle="1" w:styleId="af3">
    <w:basedOn w:val="TableNormal5"/>
    <w:tblPr>
      <w:tblStyleRowBandSize w:val="1"/>
      <w:tblStyleColBandSize w:val="1"/>
      <w:tblCellMar>
        <w:left w:w="115" w:type="dxa"/>
        <w:right w:w="115" w:type="dxa"/>
      </w:tblCellMar>
    </w:tblPr>
  </w:style>
  <w:style w:type="table" w:customStyle="1" w:styleId="af4">
    <w:basedOn w:val="TableNormal4"/>
    <w:tblPr>
      <w:tblStyleRowBandSize w:val="1"/>
      <w:tblStyleColBandSize w:val="1"/>
      <w:tblCellMar>
        <w:left w:w="115" w:type="dxa"/>
        <w:right w:w="115" w:type="dxa"/>
      </w:tblCellMar>
    </w:tblPr>
  </w:style>
  <w:style w:type="table" w:customStyle="1" w:styleId="af5">
    <w:basedOn w:val="TableNormal4"/>
    <w:tblPr>
      <w:tblStyleRowBandSize w:val="1"/>
      <w:tblStyleColBandSize w:val="1"/>
      <w:tblCellMar>
        <w:left w:w="115" w:type="dxa"/>
        <w:right w:w="115" w:type="dxa"/>
      </w:tblCellMar>
    </w:tblPr>
  </w:style>
  <w:style w:type="paragraph" w:styleId="Listaconvietas">
    <w:name w:val="List Bullet"/>
    <w:basedOn w:val="Normal"/>
    <w:uiPriority w:val="99"/>
    <w:unhideWhenUsed/>
    <w:rsid w:val="00CA1155"/>
    <w:pPr>
      <w:numPr>
        <w:numId w:val="3"/>
      </w:numPr>
      <w:contextualSpacing/>
    </w:pPr>
    <w:rPr>
      <w:lang w:eastAsia="es-ES"/>
    </w:r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WMe4RpA+PPdrAHwU17AncvOZdQ==">CgMxLjAyCWguNGQzNG9nODIIaC5namRneHMyCWguM2R5NnZrbTIJaC4zMGowemxsMgloLjJzOGV5bzEyCGgudHlqY3d0MgloLjN6bnlzaDcyDmgub3h6OTJ3MmFnemRnOAByITE3TjRSTG9nMnVWaGVOck93bFd4Z2tfVk9WYU9CUXJDYw==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7596</Words>
  <Characters>41779</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2026-01-16T17:02:00Z</cp:lastPrinted>
  <dcterms:created xsi:type="dcterms:W3CDTF">2026-03-18T18:15:00Z</dcterms:created>
  <dcterms:modified xsi:type="dcterms:W3CDTF">2026-03-18T18:15:00Z</dcterms:modified>
</cp:coreProperties>
</file>