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476" w:rsidRPr="00D6533F" w:rsidRDefault="00D95DDF" w:rsidP="00D6533F">
      <w:pPr>
        <w:pBdr>
          <w:top w:val="none" w:sz="0" w:space="0" w:color="000000"/>
          <w:left w:val="none" w:sz="0" w:space="0" w:color="000000"/>
          <w:bottom w:val="none" w:sz="0" w:space="0" w:color="000000"/>
          <w:right w:val="none" w:sz="0" w:space="0" w:color="000000"/>
          <w:between w:val="none" w:sz="0" w:space="0" w:color="000000"/>
        </w:pBdr>
        <w:spacing w:line="360" w:lineRule="auto"/>
        <w:ind w:right="-1136"/>
        <w:jc w:val="both"/>
        <w:rPr>
          <w:rFonts w:ascii="Palatino Linotype" w:eastAsia="Palatino Linotype" w:hAnsi="Palatino Linotype" w:cs="Palatino Linotype"/>
          <w:b/>
          <w:bCs/>
          <w:color w:val="000000"/>
        </w:rPr>
      </w:pPr>
      <w:r w:rsidRPr="00D6533F">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 de México; de</w:t>
      </w:r>
      <w:r w:rsidRPr="00D6533F">
        <w:rPr>
          <w:rFonts w:ascii="Palatino Linotype" w:eastAsia="Palatino Linotype" w:hAnsi="Palatino Linotype" w:cs="Palatino Linotype"/>
        </w:rPr>
        <w:t xml:space="preserve"> </w:t>
      </w:r>
      <w:r w:rsidRPr="00D6533F">
        <w:rPr>
          <w:rFonts w:ascii="Palatino Linotype" w:eastAsia="Palatino Linotype" w:hAnsi="Palatino Linotype" w:cs="Palatino Linotype"/>
          <w:b/>
          <w:bCs/>
        </w:rPr>
        <w:t xml:space="preserve">fecha </w:t>
      </w:r>
      <w:r w:rsidR="006517E8" w:rsidRPr="00D6533F">
        <w:rPr>
          <w:rFonts w:ascii="Palatino Linotype" w:eastAsia="Palatino Linotype" w:hAnsi="Palatino Linotype" w:cs="Palatino Linotype"/>
          <w:b/>
          <w:bCs/>
          <w:color w:val="000000"/>
        </w:rPr>
        <w:t xml:space="preserve">uno </w:t>
      </w:r>
      <w:r w:rsidR="00D6533F">
        <w:rPr>
          <w:rFonts w:ascii="Palatino Linotype" w:eastAsia="Palatino Linotype" w:hAnsi="Palatino Linotype" w:cs="Palatino Linotype"/>
          <w:b/>
          <w:bCs/>
          <w:color w:val="000000"/>
        </w:rPr>
        <w:t xml:space="preserve">(01) </w:t>
      </w:r>
      <w:r w:rsidRPr="00D6533F">
        <w:rPr>
          <w:rFonts w:ascii="Palatino Linotype" w:eastAsia="Palatino Linotype" w:hAnsi="Palatino Linotype" w:cs="Palatino Linotype"/>
          <w:b/>
          <w:bCs/>
          <w:color w:val="000000"/>
        </w:rPr>
        <w:t>de julio de dos mil veintiséis.</w:t>
      </w:r>
    </w:p>
    <w:p w:rsidR="00F61476" w:rsidRPr="00D6533F" w:rsidRDefault="00F61476" w:rsidP="00D6533F">
      <w:pPr>
        <w:pBdr>
          <w:top w:val="none" w:sz="0" w:space="0" w:color="000000"/>
          <w:left w:val="none" w:sz="0" w:space="0" w:color="000000"/>
          <w:bottom w:val="none" w:sz="0" w:space="0" w:color="000000"/>
          <w:right w:val="none" w:sz="0" w:space="0" w:color="000000"/>
          <w:between w:val="none" w:sz="0" w:space="0" w:color="000000"/>
        </w:pBd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b/>
          <w:bCs/>
          <w:color w:val="000000"/>
        </w:rPr>
        <w:t>VISTO</w:t>
      </w:r>
      <w:r w:rsidRPr="00D6533F">
        <w:rPr>
          <w:rFonts w:ascii="Palatino Linotype" w:eastAsia="Palatino Linotype" w:hAnsi="Palatino Linotype" w:cs="Palatino Linotype"/>
          <w:color w:val="000000"/>
        </w:rPr>
        <w:t xml:space="preserve"> en el expediente electrónico formado con motivo del recurso de revisión número </w:t>
      </w:r>
      <w:r w:rsidR="006517E8" w:rsidRPr="00D6533F">
        <w:rPr>
          <w:rFonts w:ascii="Palatino Linotype" w:eastAsia="Palatino Linotype" w:hAnsi="Palatino Linotype" w:cs="Palatino Linotype"/>
          <w:b/>
          <w:bCs/>
          <w:color w:val="000000"/>
        </w:rPr>
        <w:t>03633/INFOEM/IP/RR/2026</w:t>
      </w:r>
      <w:r w:rsidRPr="00D6533F">
        <w:rPr>
          <w:rFonts w:ascii="Palatino Linotype" w:eastAsia="Palatino Linotype" w:hAnsi="Palatino Linotype" w:cs="Palatino Linotype"/>
          <w:color w:val="000000"/>
        </w:rPr>
        <w:t xml:space="preserve">, promovido por </w:t>
      </w:r>
      <w:r w:rsidRPr="00D6533F">
        <w:rPr>
          <w:rFonts w:ascii="Palatino Linotype" w:eastAsia="Palatino Linotype" w:hAnsi="Palatino Linotype" w:cs="Palatino Linotype"/>
          <w:b/>
          <w:bCs/>
        </w:rPr>
        <w:t>una persona que no proporcionó datos de identificación</w:t>
      </w:r>
      <w:r w:rsidRPr="00D6533F">
        <w:rPr>
          <w:rFonts w:ascii="Palatino Linotype" w:eastAsia="Palatino Linotype" w:hAnsi="Palatino Linotype" w:cs="Palatino Linotype"/>
          <w:b/>
          <w:bCs/>
          <w:color w:val="000000"/>
        </w:rPr>
        <w:t xml:space="preserve">, </w:t>
      </w:r>
      <w:r w:rsidRPr="00D6533F">
        <w:rPr>
          <w:rFonts w:ascii="Palatino Linotype" w:eastAsia="Palatino Linotype" w:hAnsi="Palatino Linotype" w:cs="Palatino Linotype"/>
        </w:rPr>
        <w:t>a quien</w:t>
      </w:r>
      <w:r w:rsidRPr="00D6533F">
        <w:rPr>
          <w:rFonts w:ascii="Palatino Linotype" w:eastAsia="Palatino Linotype" w:hAnsi="Palatino Linotype" w:cs="Palatino Linotype"/>
          <w:color w:val="000000"/>
        </w:rPr>
        <w:t xml:space="preserve"> en lo sucesivo denominaremos</w:t>
      </w:r>
      <w:r w:rsidRPr="00D6533F">
        <w:rPr>
          <w:rFonts w:ascii="Palatino Linotype" w:eastAsia="Palatino Linotype" w:hAnsi="Palatino Linotype" w:cs="Palatino Linotype"/>
          <w:b/>
          <w:bCs/>
          <w:color w:val="000000"/>
        </w:rPr>
        <w:t xml:space="preserve"> RECURRENTE,</w:t>
      </w:r>
      <w:r w:rsidRPr="00D6533F">
        <w:rPr>
          <w:rFonts w:ascii="Palatino Linotype" w:eastAsia="Palatino Linotype" w:hAnsi="Palatino Linotype" w:cs="Palatino Linotype"/>
          <w:color w:val="000000"/>
        </w:rPr>
        <w:t xml:space="preserve"> en contra de la respuesta de la </w:t>
      </w:r>
      <w:r w:rsidRPr="00D6533F">
        <w:rPr>
          <w:rFonts w:ascii="Palatino Linotype" w:eastAsia="Palatino Linotype" w:hAnsi="Palatino Linotype" w:cs="Palatino Linotype"/>
          <w:b/>
          <w:bCs/>
          <w:color w:val="000000"/>
        </w:rPr>
        <w:t>Secretaría de Movilidad</w:t>
      </w:r>
      <w:r w:rsidRPr="00D6533F">
        <w:rPr>
          <w:rFonts w:ascii="Palatino Linotype" w:eastAsia="Palatino Linotype" w:hAnsi="Palatino Linotype" w:cs="Palatino Linotype"/>
          <w:color w:val="000000"/>
        </w:rPr>
        <w:t xml:space="preserve">, en </w:t>
      </w:r>
      <w:r w:rsidRPr="00D6533F">
        <w:rPr>
          <w:rFonts w:ascii="Palatino Linotype" w:eastAsia="Palatino Linotype" w:hAnsi="Palatino Linotype" w:cs="Palatino Linotype"/>
        </w:rPr>
        <w:t>adelante</w:t>
      </w:r>
      <w:r w:rsidRPr="00D6533F">
        <w:rPr>
          <w:rFonts w:ascii="Palatino Linotype" w:eastAsia="Palatino Linotype" w:hAnsi="Palatino Linotype" w:cs="Palatino Linotype"/>
          <w:color w:val="000000"/>
        </w:rPr>
        <w:t xml:space="preserve"> el</w:t>
      </w:r>
      <w:r w:rsidRPr="00D6533F">
        <w:rPr>
          <w:rFonts w:ascii="Palatino Linotype" w:eastAsia="Palatino Linotype" w:hAnsi="Palatino Linotype" w:cs="Palatino Linotype"/>
          <w:b/>
          <w:bCs/>
          <w:color w:val="000000"/>
        </w:rPr>
        <w:t xml:space="preserve"> SUJETO OBLIGADO, </w:t>
      </w:r>
      <w:r w:rsidRPr="00D6533F">
        <w:rPr>
          <w:rFonts w:ascii="Palatino Linotype" w:eastAsia="Palatino Linotype" w:hAnsi="Palatino Linotype" w:cs="Palatino Linotype"/>
          <w:color w:val="000000"/>
        </w:rPr>
        <w:t>se procede a dictar la presente resolución, con base en los siguientes:</w:t>
      </w:r>
    </w:p>
    <w:p w:rsidR="00F61476" w:rsidRPr="00D6533F" w:rsidRDefault="00F61476" w:rsidP="00D6533F">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spacing w:line="360" w:lineRule="auto"/>
        <w:ind w:right="-1136"/>
        <w:jc w:val="both"/>
        <w:rPr>
          <w:rFonts w:ascii="Palatino Linotype" w:eastAsia="Palatino Linotype" w:hAnsi="Palatino Linotype" w:cs="Palatino Linotype"/>
          <w:b/>
          <w:bCs/>
          <w:color w:val="000000"/>
        </w:rPr>
      </w:pPr>
      <w:bookmarkStart w:id="0" w:name="_heading=h.gjdgxs" w:colFirst="0" w:colLast="0"/>
      <w:bookmarkEnd w:id="0"/>
    </w:p>
    <w:p w:rsidR="00F61476" w:rsidRPr="00D6533F" w:rsidRDefault="00D95DDF" w:rsidP="00D6533F">
      <w:pPr>
        <w:keepNext/>
        <w:keepLines/>
        <w:pBdr>
          <w:top w:val="nil"/>
          <w:left w:val="nil"/>
          <w:bottom w:val="nil"/>
          <w:right w:val="nil"/>
          <w:between w:val="nil"/>
        </w:pBdr>
        <w:spacing w:before="40" w:line="360" w:lineRule="auto"/>
        <w:ind w:right="-1136"/>
        <w:jc w:val="center"/>
        <w:rPr>
          <w:rFonts w:ascii="Palatino Linotype" w:eastAsia="Palatino Linotype" w:hAnsi="Palatino Linotype" w:cs="Palatino Linotype"/>
          <w:b/>
          <w:bCs/>
          <w:color w:val="000000"/>
        </w:rPr>
      </w:pPr>
      <w:r w:rsidRPr="00D6533F">
        <w:rPr>
          <w:rFonts w:ascii="Palatino Linotype" w:eastAsia="Palatino Linotype" w:hAnsi="Palatino Linotype" w:cs="Palatino Linotype"/>
          <w:b/>
          <w:bCs/>
          <w:color w:val="000000"/>
        </w:rPr>
        <w:t>A N T E C E D E N T E S</w:t>
      </w:r>
    </w:p>
    <w:p w:rsidR="00F61476" w:rsidRPr="00D6533F" w:rsidRDefault="00F61476" w:rsidP="00D6533F">
      <w:pPr>
        <w:keepNext/>
        <w:keepLines/>
        <w:pBdr>
          <w:top w:val="nil"/>
          <w:left w:val="nil"/>
          <w:bottom w:val="nil"/>
          <w:right w:val="nil"/>
          <w:between w:val="nil"/>
        </w:pBdr>
        <w:spacing w:before="40" w:line="360" w:lineRule="auto"/>
        <w:ind w:right="-1136"/>
        <w:jc w:val="center"/>
        <w:rPr>
          <w:rFonts w:ascii="Palatino Linotype" w:eastAsia="Palatino Linotype" w:hAnsi="Palatino Linotype" w:cs="Palatino Linotype"/>
          <w:b/>
          <w:bCs/>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El día </w:t>
      </w:r>
      <w:r w:rsidRPr="00D6533F">
        <w:rPr>
          <w:rFonts w:ascii="Palatino Linotype" w:eastAsia="Palatino Linotype" w:hAnsi="Palatino Linotype" w:cs="Palatino Linotype"/>
          <w:b/>
          <w:bCs/>
          <w:color w:val="000000"/>
        </w:rPr>
        <w:t xml:space="preserve">cuatro de marzo de dos mil veintiséis, </w:t>
      </w:r>
      <w:r w:rsidRPr="00D6533F">
        <w:rPr>
          <w:rFonts w:ascii="Palatino Linotype" w:eastAsia="Palatino Linotype" w:hAnsi="Palatino Linotype" w:cs="Palatino Linotype"/>
          <w:color w:val="000000"/>
        </w:rPr>
        <w:t xml:space="preserve">se presentó ante el </w:t>
      </w:r>
      <w:r w:rsidRPr="00D6533F">
        <w:rPr>
          <w:rFonts w:ascii="Palatino Linotype" w:eastAsia="Palatino Linotype" w:hAnsi="Palatino Linotype" w:cs="Palatino Linotype"/>
          <w:b/>
          <w:bCs/>
          <w:color w:val="000000"/>
        </w:rPr>
        <w:t>SUJETO OBLIGADO</w:t>
      </w:r>
      <w:r w:rsidRPr="00D6533F">
        <w:rPr>
          <w:rFonts w:ascii="Palatino Linotype" w:eastAsia="Palatino Linotype" w:hAnsi="Palatino Linotype" w:cs="Palatino Linotype"/>
          <w:color w:val="000000"/>
        </w:rPr>
        <w:t xml:space="preserve"> vía SAIMEX, la solicitud de información pública registrada con el número</w:t>
      </w:r>
      <w:r w:rsidRPr="00D6533F">
        <w:rPr>
          <w:rFonts w:ascii="Palatino Linotype" w:eastAsia="Palatino Linotype" w:hAnsi="Palatino Linotype" w:cs="Palatino Linotype"/>
          <w:b/>
          <w:bCs/>
          <w:color w:val="000000"/>
        </w:rPr>
        <w:t xml:space="preserve"> 00076/SMOV/IP/2026; </w:t>
      </w:r>
      <w:r w:rsidRPr="00D6533F">
        <w:rPr>
          <w:rFonts w:ascii="Palatino Linotype" w:eastAsia="Palatino Linotype" w:hAnsi="Palatino Linotype" w:cs="Palatino Linotype"/>
          <w:color w:val="000000"/>
        </w:rPr>
        <w:t>en la que solicitó la siguiente información:</w:t>
      </w:r>
    </w:p>
    <w:p w:rsidR="00F61476" w:rsidRPr="00D6533F" w:rsidRDefault="00F61476" w:rsidP="00D6533F">
      <w:pPr>
        <w:ind w:right="-1136"/>
        <w:jc w:val="both"/>
        <w:rPr>
          <w:rFonts w:ascii="Palatino Linotype" w:eastAsia="Palatino Linotype" w:hAnsi="Palatino Linotype" w:cs="Palatino Linotype"/>
          <w:i/>
          <w:iCs/>
          <w:color w:val="000000"/>
        </w:rPr>
      </w:pPr>
    </w:p>
    <w:p w:rsidR="00F61476" w:rsidRPr="00D6533F" w:rsidRDefault="00D95DDF" w:rsidP="00D6533F">
      <w:pPr>
        <w:ind w:left="1134"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i/>
          <w:iCs/>
          <w:color w:val="000000"/>
        </w:rPr>
        <w:t xml:space="preserve">“Conforme a la ubicación señalada en el archivo adjunto, sobre la Carretera México Texcoco, México 136, Jorge Jimenez Cantu, Los Reyes Acaquilpan, Méx., entre la esquina del cruce Calle Ignacio allende y la Carretera Federal México-Texcoco (Jorge Jimenez Cantu, Los Reyes Acaquilpan, Méx), en un horario matutino a partir de las 5:00 am de lunes a viernes diversas unidades de transporte (combis) se forman sobre el carril de baja (ver archivo adjunto, se señala con una flecha) para hacer base y cargar pasaje, es decir, pareciera que ya es un paradero de transporte, lo cual genera caos vial, accidentes, reduciendo la movilidad de tres a dos carriles, no obstante, se entorpece el flujo vehicular ya que al ser un cruce, provocan accidentes y entorpecimiento de la vialidad para cualquier vehículo, camión, motocicletas, etc... En virtud de lo anterior, atendiendo al principio de máxima publicidad, </w:t>
      </w:r>
      <w:r w:rsidRPr="00D6533F">
        <w:rPr>
          <w:rFonts w:ascii="Palatino Linotype" w:eastAsia="Palatino Linotype" w:hAnsi="Palatino Linotype" w:cs="Palatino Linotype"/>
          <w:i/>
          <w:iCs/>
          <w:color w:val="000000"/>
        </w:rPr>
        <w:lastRenderedPageBreak/>
        <w:t>solicito se me compruebe la búsqueda exhaustiva y razonable de la información que más adelante se enlista, tomando en cuenta que, los solicitantes de información no estamos obligados a conocer las definiciones, lenguaje, términos, procedimientos, tramites y demás similares, por el contrario, deberán usar un lenguaje asequible a cualquier ciudadano: 1. Solicito el nombre completo de la persona servidora pública responsable de la vigilancia, orden o similar respecto a los lugares donde el transporte público pueden hacer base y cargar pasaje. Asimismo, solicito el nombramiento, versión pública de los dos últimos recibos de nómina, área de adscripción, nombre del jefe inmediato, ubicación de la oficina donde labora, teléfono institucional con extensión vigentes, correo electrónico institucional, versión pública de la credencial de empleado y curriculum vitae actualizado. 2. Requiero el documento que contenga la autorización o similar para que, vehículos de transporte público hagan base para cargar pasaje en la ubicación señalada. 3. Ubicación, correo electrónico institucional, teléfono institucional del órgano de control interno de la Secretaría de Movilidad. 4. Nombre del área y nombre del titular responsable de recibir las quejas relacionadas con bases de transporte público para cargar pasaje.” (</w:t>
      </w:r>
      <w:r w:rsidRPr="00D6533F">
        <w:rPr>
          <w:rFonts w:ascii="Palatino Linotype" w:eastAsia="Palatino Linotype" w:hAnsi="Palatino Linotype" w:cs="Palatino Linotype"/>
          <w:color w:val="000000"/>
        </w:rPr>
        <w:t>Sic).</w:t>
      </w:r>
    </w:p>
    <w:p w:rsidR="00F61476" w:rsidRPr="00D6533F" w:rsidRDefault="00F61476" w:rsidP="00D6533F">
      <w:pPr>
        <w:ind w:left="1134" w:right="-1136"/>
        <w:jc w:val="both"/>
        <w:rPr>
          <w:rFonts w:ascii="Palatino Linotype" w:eastAsia="Palatino Linotype" w:hAnsi="Palatino Linotype" w:cs="Palatino Linotype"/>
          <w:color w:val="000000"/>
        </w:rPr>
      </w:pPr>
    </w:p>
    <w:p w:rsidR="00F61476" w:rsidRPr="00D6533F" w:rsidRDefault="00F61476" w:rsidP="00D6533F">
      <w:pPr>
        <w:ind w:left="1134"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tabs>
          <w:tab w:val="left" w:pos="426"/>
        </w:tabs>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A su solicitud de información anexó el archivo </w:t>
      </w:r>
      <w:r w:rsidRPr="00D6533F">
        <w:rPr>
          <w:rFonts w:ascii="Palatino Linotype" w:eastAsia="Palatino Linotype" w:hAnsi="Palatino Linotype" w:cs="Palatino Linotype"/>
          <w:b/>
          <w:bCs/>
          <w:color w:val="000000"/>
        </w:rPr>
        <w:t xml:space="preserve">1.pdf </w:t>
      </w:r>
      <w:r w:rsidRPr="00D6533F">
        <w:rPr>
          <w:rFonts w:ascii="Palatino Linotype" w:eastAsia="Palatino Linotype" w:hAnsi="Palatino Linotype" w:cs="Palatino Linotype"/>
          <w:color w:val="000000"/>
        </w:rPr>
        <w:t>donde se observan imágenes de google maps.</w:t>
      </w:r>
    </w:p>
    <w:p w:rsidR="00F61476" w:rsidRPr="00D6533F" w:rsidRDefault="00F61476" w:rsidP="00D6533F">
      <w:pPr>
        <w:tabs>
          <w:tab w:val="left" w:pos="426"/>
        </w:tabs>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4"/>
        </w:numPr>
        <w:pBdr>
          <w:top w:val="nil"/>
          <w:left w:val="nil"/>
          <w:bottom w:val="nil"/>
          <w:right w:val="nil"/>
          <w:between w:val="nil"/>
        </w:pBdr>
        <w:tabs>
          <w:tab w:val="left" w:pos="426"/>
        </w:tabs>
        <w:spacing w:line="360" w:lineRule="auto"/>
        <w:ind w:left="708"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b/>
          <w:bCs/>
          <w:color w:val="000000"/>
        </w:rPr>
        <w:t xml:space="preserve">Modalidad de entrega de la información: </w:t>
      </w:r>
      <w:r w:rsidRPr="00D6533F">
        <w:rPr>
          <w:rFonts w:ascii="Palatino Linotype" w:eastAsia="Palatino Linotype" w:hAnsi="Palatino Linotype" w:cs="Palatino Linotype"/>
          <w:color w:val="000000"/>
        </w:rPr>
        <w:t xml:space="preserve">a través de </w:t>
      </w:r>
      <w:r w:rsidRPr="00D6533F">
        <w:rPr>
          <w:rFonts w:ascii="Palatino Linotype" w:eastAsia="Palatino Linotype" w:hAnsi="Palatino Linotype" w:cs="Palatino Linotype"/>
          <w:b/>
          <w:bCs/>
          <w:color w:val="000000"/>
        </w:rPr>
        <w:t>SAIMEX</w:t>
      </w:r>
    </w:p>
    <w:p w:rsidR="00F61476" w:rsidRPr="00D6533F" w:rsidRDefault="00F61476" w:rsidP="00D6533F">
      <w:pPr>
        <w:pBdr>
          <w:top w:val="none" w:sz="0" w:space="0" w:color="000000"/>
          <w:left w:val="none" w:sz="0" w:space="0" w:color="000000"/>
          <w:bottom w:val="none" w:sz="0" w:space="0" w:color="000000"/>
          <w:right w:val="none" w:sz="0" w:space="0" w:color="000000"/>
          <w:between w:val="none" w:sz="0" w:space="0" w:color="000000"/>
        </w:pBdr>
        <w:tabs>
          <w:tab w:val="left" w:pos="426"/>
          <w:tab w:val="left" w:pos="567"/>
        </w:tabs>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pBdr>
          <w:top w:val="nil"/>
          <w:left w:val="nil"/>
          <w:bottom w:val="nil"/>
          <w:right w:val="nil"/>
          <w:between w:val="nil"/>
        </w:pBdr>
        <w:tabs>
          <w:tab w:val="left" w:pos="426"/>
        </w:tabs>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En fecha </w:t>
      </w:r>
      <w:r w:rsidRPr="00D6533F">
        <w:rPr>
          <w:rFonts w:ascii="Palatino Linotype" w:eastAsia="Palatino Linotype" w:hAnsi="Palatino Linotype" w:cs="Palatino Linotype"/>
          <w:b/>
          <w:bCs/>
          <w:color w:val="000000"/>
        </w:rPr>
        <w:t>veintiséis de marzo de dos mil veintiséis</w:t>
      </w:r>
      <w:r w:rsidRPr="00D6533F">
        <w:rPr>
          <w:rFonts w:ascii="Palatino Linotype" w:eastAsia="Palatino Linotype" w:hAnsi="Palatino Linotype" w:cs="Palatino Linotype"/>
          <w:color w:val="000000"/>
        </w:rPr>
        <w:t>, dio respuesta a la solicitud de información mediante un archivos en formato pdf cuyo contenido grosso modo se desglosa:</w:t>
      </w:r>
    </w:p>
    <w:p w:rsidR="00F61476" w:rsidRPr="00D6533F" w:rsidRDefault="00D95DDF" w:rsidP="00D6533F">
      <w:pPr>
        <w:ind w:left="1134" w:right="-1136"/>
        <w:jc w:val="both"/>
        <w:rPr>
          <w:rFonts w:ascii="Palatino Linotype" w:eastAsia="Palatino Linotype" w:hAnsi="Palatino Linotype" w:cs="Palatino Linotype"/>
          <w:i/>
          <w:iCs/>
        </w:rPr>
      </w:pPr>
      <w:r w:rsidRPr="00D6533F">
        <w:rPr>
          <w:rFonts w:ascii="Palatino Linotype" w:eastAsia="Palatino Linotype" w:hAnsi="Palatino Linotype" w:cs="Palatino Linotype"/>
          <w:b/>
          <w:bCs/>
        </w:rPr>
        <w:t xml:space="preserve">SAIMEX 2026 - 00076 CH.pdf: </w:t>
      </w:r>
      <w:r w:rsidRPr="00D6533F">
        <w:rPr>
          <w:rFonts w:ascii="Palatino Linotype" w:eastAsia="Palatino Linotype" w:hAnsi="Palatino Linotype" w:cs="Palatino Linotype"/>
          <w:i/>
          <w:iCs/>
        </w:rPr>
        <w:t>Donde la Subdirectora de Administración del Capital Humano refiere no haber localizado la información relativa a los dos primeros puntos de la solicitud de información, con respecto al tercer punto refiere que la información es de carácter público para lo que entrega una liga en formato cerrado, para el punto cuarto, entrega un listado de los servidores públicos encargados de dar a tención a las quejas referidas en la solicitud en las diferentes delegaciones.</w:t>
      </w:r>
      <w:bookmarkStart w:id="1" w:name="_GoBack"/>
      <w:bookmarkEnd w:id="1"/>
    </w:p>
    <w:p w:rsidR="00F61476" w:rsidRPr="00D6533F" w:rsidRDefault="00F61476" w:rsidP="00D6533F">
      <w:pPr>
        <w:ind w:left="1134" w:right="-1136"/>
        <w:jc w:val="both"/>
        <w:rPr>
          <w:rFonts w:ascii="Palatino Linotype" w:eastAsia="Palatino Linotype" w:hAnsi="Palatino Linotype" w:cs="Palatino Linotype"/>
          <w:i/>
          <w:iCs/>
        </w:rPr>
      </w:pPr>
    </w:p>
    <w:p w:rsidR="00F61476" w:rsidRPr="00D6533F" w:rsidRDefault="00D95DDF" w:rsidP="00D6533F">
      <w:pPr>
        <w:ind w:left="1134" w:right="-1136"/>
        <w:jc w:val="both"/>
        <w:rPr>
          <w:rFonts w:ascii="Palatino Linotype" w:eastAsia="Palatino Linotype" w:hAnsi="Palatino Linotype" w:cs="Palatino Linotype"/>
          <w:i/>
          <w:iCs/>
        </w:rPr>
      </w:pPr>
      <w:r w:rsidRPr="00D6533F">
        <w:rPr>
          <w:rFonts w:ascii="Palatino Linotype" w:eastAsia="Palatino Linotype" w:hAnsi="Palatino Linotype" w:cs="Palatino Linotype"/>
          <w:b/>
          <w:bCs/>
        </w:rPr>
        <w:t xml:space="preserve">sol 76 ofic 302.pdf:  </w:t>
      </w:r>
      <w:r w:rsidRPr="00D6533F">
        <w:rPr>
          <w:rFonts w:ascii="Palatino Linotype" w:eastAsia="Palatino Linotype" w:hAnsi="Palatino Linotype" w:cs="Palatino Linotype"/>
          <w:i/>
          <w:iCs/>
        </w:rPr>
        <w:t>Donde la Titular de la Unidad de Transparencia entrega la respuesta de la servidor público habilitado de Administración del Capital Humano confirmando los puntos primero y cuarto, para el caso del punto tercero entrega domicilio, correo electrónico en formato cerrado y teléfono institucional, para el punto tercero refiere que cuenta con departamento de Quejas y Denuncias, refiriendo el nombre de su Titular.</w:t>
      </w:r>
    </w:p>
    <w:p w:rsidR="00F61476" w:rsidRPr="00D6533F" w:rsidRDefault="00D95DDF" w:rsidP="00D6533F">
      <w:pPr>
        <w:tabs>
          <w:tab w:val="left" w:pos="1644"/>
        </w:tabs>
        <w:ind w:left="1134" w:right="-1136"/>
        <w:rPr>
          <w:rFonts w:ascii="Palatino Linotype" w:eastAsia="Palatino Linotype" w:hAnsi="Palatino Linotype" w:cs="Palatino Linotype"/>
          <w:b/>
          <w:bCs/>
        </w:rPr>
      </w:pPr>
      <w:bookmarkStart w:id="2" w:name="_heading=h.30j0zll" w:colFirst="0" w:colLast="0"/>
      <w:bookmarkEnd w:id="2"/>
      <w:r w:rsidRPr="00D6533F">
        <w:rPr>
          <w:rFonts w:ascii="Palatino Linotype" w:eastAsia="Palatino Linotype" w:hAnsi="Palatino Linotype" w:cs="Palatino Linotype"/>
          <w:b/>
          <w:bCs/>
        </w:rPr>
        <w:tab/>
      </w:r>
    </w:p>
    <w:p w:rsidR="00F61476" w:rsidRPr="00D6533F" w:rsidRDefault="00D95DDF" w:rsidP="00D6533F">
      <w:pPr>
        <w:numPr>
          <w:ilvl w:val="0"/>
          <w:numId w:val="1"/>
        </w:numPr>
        <w:pBdr>
          <w:top w:val="nil"/>
          <w:left w:val="nil"/>
          <w:bottom w:val="nil"/>
          <w:right w:val="nil"/>
          <w:between w:val="nil"/>
        </w:pBdr>
        <w:tabs>
          <w:tab w:val="left" w:pos="142"/>
          <w:tab w:val="left" w:pos="426"/>
        </w:tabs>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Derivado de la respuesta del </w:t>
      </w:r>
      <w:r w:rsidRPr="00D6533F">
        <w:rPr>
          <w:rFonts w:ascii="Palatino Linotype" w:eastAsia="Palatino Linotype" w:hAnsi="Palatino Linotype" w:cs="Palatino Linotype"/>
          <w:b/>
          <w:bCs/>
          <w:color w:val="000000"/>
        </w:rPr>
        <w:t>SUJETO OBLIGADO</w:t>
      </w:r>
      <w:r w:rsidRPr="00D6533F">
        <w:rPr>
          <w:rFonts w:ascii="Palatino Linotype" w:eastAsia="Palatino Linotype" w:hAnsi="Palatino Linotype" w:cs="Palatino Linotype"/>
          <w:color w:val="000000"/>
        </w:rPr>
        <w:t xml:space="preserve">, el </w:t>
      </w:r>
      <w:r w:rsidRPr="00D6533F">
        <w:rPr>
          <w:rFonts w:ascii="Palatino Linotype" w:eastAsia="Palatino Linotype" w:hAnsi="Palatino Linotype" w:cs="Palatino Linotype"/>
          <w:b/>
          <w:bCs/>
          <w:color w:val="000000"/>
        </w:rPr>
        <w:t>doce de agosto de dos mil veinticinco</w:t>
      </w:r>
      <w:r w:rsidRPr="00D6533F">
        <w:rPr>
          <w:rFonts w:ascii="Palatino Linotype" w:eastAsia="Palatino Linotype" w:hAnsi="Palatino Linotype" w:cs="Palatino Linotype"/>
          <w:color w:val="000000"/>
        </w:rPr>
        <w:t xml:space="preserve">, el particular interpuso el recurso de revisión </w:t>
      </w:r>
      <w:r w:rsidRPr="00D6533F">
        <w:rPr>
          <w:rFonts w:ascii="Palatino Linotype" w:eastAsia="Palatino Linotype" w:hAnsi="Palatino Linotype" w:cs="Palatino Linotype"/>
          <w:b/>
          <w:bCs/>
          <w:color w:val="000000"/>
        </w:rPr>
        <w:t>03633/INFOEM/IP/RR/2026</w:t>
      </w:r>
      <w:r w:rsidRPr="00D6533F">
        <w:rPr>
          <w:rFonts w:ascii="Palatino Linotype" w:eastAsia="Palatino Linotype" w:hAnsi="Palatino Linotype" w:cs="Palatino Linotype"/>
          <w:color w:val="000000"/>
        </w:rPr>
        <w:t>; impugnación en la que refirió lo siguiente:</w:t>
      </w:r>
    </w:p>
    <w:p w:rsidR="00F61476" w:rsidRPr="00D6533F" w:rsidRDefault="00F61476" w:rsidP="00D6533F">
      <w:pPr>
        <w:tabs>
          <w:tab w:val="left" w:pos="142"/>
          <w:tab w:val="left" w:pos="426"/>
        </w:tabs>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3"/>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b/>
          <w:bCs/>
          <w:color w:val="000000"/>
        </w:rPr>
        <w:t>ACTO IMPUGNADO:</w:t>
      </w:r>
      <w:r w:rsidRPr="00D6533F">
        <w:rPr>
          <w:rFonts w:ascii="Palatino Linotype" w:eastAsia="Palatino Linotype" w:hAnsi="Palatino Linotype" w:cs="Palatino Linotype"/>
          <w:color w:val="000000"/>
        </w:rPr>
        <w:t xml:space="preserve"> </w:t>
      </w:r>
    </w:p>
    <w:p w:rsidR="00F61476" w:rsidRPr="00D6533F" w:rsidRDefault="00D95DDF" w:rsidP="00D6533F">
      <w:pPr>
        <w:ind w:left="1134"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i/>
          <w:iCs/>
          <w:color w:val="000000"/>
        </w:rPr>
        <w:t xml:space="preserve">“Se interpone recurso de revisión toda vez que, la respuesta esta incompleta ya que no atiende todos los puntos de la solicitud, esto, en razón de que acepto competencia total por toda la solicitud, no obstante si no cuenta con facultades legales y administrativas para dar atención a un punto lo procedente es haber declarado la competencia parcial y haber señalado que dependencia o unidad administrativa o municipio pudiese detentar la información, cosa que no ocurrió. Por lo tanto debe fundar y motivar cada uno de los puntos de la respuesta”  </w:t>
      </w:r>
      <w:r w:rsidRPr="00D6533F">
        <w:rPr>
          <w:rFonts w:ascii="Palatino Linotype" w:eastAsia="Palatino Linotype" w:hAnsi="Palatino Linotype" w:cs="Palatino Linotype"/>
          <w:color w:val="000000"/>
        </w:rPr>
        <w:t>(Sic).</w:t>
      </w:r>
    </w:p>
    <w:p w:rsidR="00F61476" w:rsidRPr="00D6533F" w:rsidRDefault="00F61476" w:rsidP="00D6533F">
      <w:pPr>
        <w:ind w:left="1134" w:right="-1136"/>
        <w:jc w:val="both"/>
        <w:rPr>
          <w:rFonts w:ascii="Palatino Linotype" w:eastAsia="Palatino Linotype" w:hAnsi="Palatino Linotype" w:cs="Palatino Linotype"/>
          <w:i/>
          <w:iCs/>
          <w:color w:val="000000"/>
        </w:rPr>
      </w:pPr>
    </w:p>
    <w:p w:rsidR="00F61476" w:rsidRPr="00D6533F" w:rsidRDefault="00D95DDF" w:rsidP="00D6533F">
      <w:pPr>
        <w:numPr>
          <w:ilvl w:val="0"/>
          <w:numId w:val="2"/>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b/>
          <w:bCs/>
          <w:color w:val="000000"/>
        </w:rPr>
        <w:t>RAZONES O MOTIVOS DE INCONFORMIDAD:</w:t>
      </w:r>
      <w:r w:rsidRPr="00D6533F">
        <w:rPr>
          <w:rFonts w:ascii="Palatino Linotype" w:eastAsia="Palatino Linotype" w:hAnsi="Palatino Linotype" w:cs="Palatino Linotype"/>
          <w:color w:val="000000"/>
        </w:rPr>
        <w:t xml:space="preserve"> </w:t>
      </w:r>
    </w:p>
    <w:p w:rsidR="00F61476" w:rsidRPr="00D6533F" w:rsidRDefault="00D95DDF" w:rsidP="00D6533F">
      <w:pPr>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“Se interpone recurso de revisión toda vez que, la respuesta esta incompleta ya que no atiende todos los puntos de la solicitud, esto, en razón de que acepto competencia total por toda la solicitud, no obstante si no cuenta con facultades legales y administrativas para dar atención a un punto lo procedente es haber declarado la competencia parcial y haber señalado que dependencia o unidad administrativa o municipio pudiese detentar la información, cosa que no ocurrió. Por lo tanto debe fundar y motivar cada uno de los puntos de la respuesta” </w:t>
      </w:r>
      <w:r w:rsidRPr="00D6533F">
        <w:rPr>
          <w:rFonts w:ascii="Palatino Linotype" w:eastAsia="Palatino Linotype" w:hAnsi="Palatino Linotype" w:cs="Palatino Linotype"/>
          <w:color w:val="000000"/>
        </w:rPr>
        <w:t>(Sic).</w:t>
      </w:r>
    </w:p>
    <w:p w:rsidR="00F61476" w:rsidRPr="00D6533F" w:rsidRDefault="00F61476" w:rsidP="00D6533F">
      <w:pPr>
        <w:pBdr>
          <w:top w:val="none" w:sz="0" w:space="0" w:color="000000"/>
          <w:left w:val="none" w:sz="0" w:space="0" w:color="000000"/>
          <w:bottom w:val="none" w:sz="0" w:space="0" w:color="000000"/>
          <w:right w:val="none" w:sz="0" w:space="0" w:color="000000"/>
          <w:between w:val="none" w:sz="0" w:space="0" w:color="000000"/>
        </w:pBdr>
        <w:tabs>
          <w:tab w:val="left" w:pos="426"/>
          <w:tab w:val="left" w:pos="567"/>
        </w:tabs>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D6533F">
        <w:rPr>
          <w:rFonts w:ascii="Palatino Linotype" w:eastAsia="Palatino Linotype" w:hAnsi="Palatino Linotype" w:cs="Palatino Linotype"/>
          <w:b/>
          <w:bCs/>
          <w:color w:val="000000"/>
        </w:rPr>
        <w:t xml:space="preserve">Ley de </w:t>
      </w:r>
      <w:r w:rsidRPr="00D6533F">
        <w:rPr>
          <w:rFonts w:ascii="Palatino Linotype" w:eastAsia="Palatino Linotype" w:hAnsi="Palatino Linotype" w:cs="Palatino Linotype"/>
          <w:b/>
          <w:bCs/>
          <w:color w:val="000000"/>
        </w:rPr>
        <w:lastRenderedPageBreak/>
        <w:t xml:space="preserve">Transparencia y Acceso a la Información Pública del Estado de México y Municipios </w:t>
      </w:r>
      <w:r w:rsidRPr="00D6533F">
        <w:rPr>
          <w:rFonts w:ascii="Palatino Linotype" w:eastAsia="Palatino Linotype" w:hAnsi="Palatino Linotype" w:cs="Palatino Linotype"/>
          <w:color w:val="000000"/>
        </w:rPr>
        <w:t xml:space="preserve">se turna a la </w:t>
      </w:r>
      <w:r w:rsidRPr="00D6533F">
        <w:rPr>
          <w:rFonts w:ascii="Palatino Linotype" w:eastAsia="Palatino Linotype" w:hAnsi="Palatino Linotype" w:cs="Palatino Linotype"/>
          <w:b/>
          <w:bCs/>
          <w:color w:val="000000"/>
        </w:rPr>
        <w:t xml:space="preserve">Comisionada María del Rosario Mejía Ayala, </w:t>
      </w:r>
      <w:r w:rsidRPr="00D6533F">
        <w:rPr>
          <w:rFonts w:ascii="Palatino Linotype" w:eastAsia="Palatino Linotype" w:hAnsi="Palatino Linotype" w:cs="Palatino Linotype"/>
          <w:color w:val="000000"/>
        </w:rPr>
        <w:t xml:space="preserve">para su análisis. </w:t>
      </w:r>
    </w:p>
    <w:p w:rsidR="00F61476" w:rsidRPr="00D6533F" w:rsidRDefault="00F61476" w:rsidP="00D6533F">
      <w:pPr>
        <w:pBdr>
          <w:top w:val="none" w:sz="0" w:space="0" w:color="000000"/>
          <w:left w:val="none" w:sz="0" w:space="0" w:color="000000"/>
          <w:bottom w:val="none" w:sz="0" w:space="0" w:color="000000"/>
          <w:right w:val="none" w:sz="0" w:space="0" w:color="000000"/>
          <w:between w:val="none" w:sz="0" w:space="0" w:color="000000"/>
        </w:pBdr>
        <w:tabs>
          <w:tab w:val="left" w:pos="426"/>
          <w:tab w:val="left" w:pos="567"/>
        </w:tabs>
        <w:spacing w:line="360" w:lineRule="auto"/>
        <w:ind w:right="-1136"/>
        <w:jc w:val="both"/>
        <w:rPr>
          <w:rFonts w:ascii="Palatino Linotype" w:eastAsia="Palatino Linotype" w:hAnsi="Palatino Linotype" w:cs="Palatino Linotype"/>
        </w:rPr>
      </w:pPr>
      <w:bookmarkStart w:id="3" w:name="_heading=h.9psy35vnv05o" w:colFirst="0" w:colLast="0"/>
      <w:bookmarkEnd w:id="3"/>
    </w:p>
    <w:p w:rsidR="00F61476" w:rsidRPr="00D6533F" w:rsidRDefault="00D95DDF" w:rsidP="00D6533F">
      <w:pPr>
        <w:numPr>
          <w:ilvl w:val="0"/>
          <w:numId w:val="1"/>
        </w:numPr>
        <w:pBdr>
          <w:top w:val="nil"/>
          <w:left w:val="nil"/>
          <w:bottom w:val="nil"/>
          <w:right w:val="nil"/>
          <w:between w:val="nil"/>
        </w:pBdr>
        <w:tabs>
          <w:tab w:val="left" w:pos="426"/>
        </w:tabs>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w:t>
      </w:r>
      <w:r w:rsidRPr="00D6533F">
        <w:rPr>
          <w:rFonts w:ascii="Palatino Linotype" w:eastAsia="Palatino Linotype" w:hAnsi="Palatino Linotype" w:cs="Palatino Linotype"/>
          <w:b/>
          <w:bCs/>
          <w:color w:val="000000"/>
        </w:rPr>
        <w:t>seis de abril de dos mil veintiséis</w:t>
      </w:r>
      <w:r w:rsidRPr="00D6533F">
        <w:rPr>
          <w:rFonts w:ascii="Palatino Linotype" w:eastAsia="Palatino Linotype" w:hAnsi="Palatino Linotype" w:cs="Palatino Linotype"/>
          <w:color w:val="000000"/>
        </w:rPr>
        <w:t xml:space="preserve">, puso a disposición de las partes el expediente electrónico vía SAIMEX, a efecto de que en un plazo máximo de siete días </w:t>
      </w:r>
      <w:r w:rsidRPr="00D6533F">
        <w:rPr>
          <w:rFonts w:ascii="Palatino Linotype" w:eastAsia="Palatino Linotype" w:hAnsi="Palatino Linotype" w:cs="Palatino Linotype"/>
        </w:rPr>
        <w:t>manifestara</w:t>
      </w:r>
      <w:r w:rsidRPr="00D6533F">
        <w:rPr>
          <w:rFonts w:ascii="Palatino Linotype" w:eastAsia="Palatino Linotype" w:hAnsi="Palatino Linotype" w:cs="Palatino Linotype"/>
          <w:color w:val="000000"/>
        </w:rPr>
        <w:t xml:space="preserve"> lo que a derecho </w:t>
      </w:r>
      <w:r w:rsidRPr="00D6533F">
        <w:rPr>
          <w:rFonts w:ascii="Palatino Linotype" w:eastAsia="Palatino Linotype" w:hAnsi="Palatino Linotype" w:cs="Palatino Linotype"/>
        </w:rPr>
        <w:t>conviniera</w:t>
      </w:r>
      <w:r w:rsidRPr="00D6533F">
        <w:rPr>
          <w:rFonts w:ascii="Palatino Linotype" w:eastAsia="Palatino Linotype" w:hAnsi="Palatino Linotype" w:cs="Palatino Linotype"/>
          <w:color w:val="000000"/>
        </w:rPr>
        <w:t xml:space="preserve">, </w:t>
      </w:r>
      <w:r w:rsidRPr="00D6533F">
        <w:rPr>
          <w:rFonts w:ascii="Palatino Linotype" w:eastAsia="Palatino Linotype" w:hAnsi="Palatino Linotype" w:cs="Palatino Linotype"/>
        </w:rPr>
        <w:t>ofreciera</w:t>
      </w:r>
      <w:r w:rsidRPr="00D6533F">
        <w:rPr>
          <w:rFonts w:ascii="Palatino Linotype" w:eastAsia="Palatino Linotype" w:hAnsi="Palatino Linotype" w:cs="Palatino Linotype"/>
          <w:color w:val="000000"/>
        </w:rPr>
        <w:t xml:space="preserve"> pruebas y alegatos según corresponda a los casos concretos, de esta forma para que el </w:t>
      </w:r>
      <w:r w:rsidRPr="00D6533F">
        <w:rPr>
          <w:rFonts w:ascii="Palatino Linotype" w:eastAsia="Palatino Linotype" w:hAnsi="Palatino Linotype" w:cs="Palatino Linotype"/>
          <w:b/>
          <w:bCs/>
          <w:color w:val="000000"/>
        </w:rPr>
        <w:t>SUJETO OBLIGADO</w:t>
      </w:r>
      <w:r w:rsidRPr="00D6533F">
        <w:rPr>
          <w:rFonts w:ascii="Palatino Linotype" w:eastAsia="Palatino Linotype" w:hAnsi="Palatino Linotype" w:cs="Palatino Linotype"/>
          <w:color w:val="000000"/>
        </w:rPr>
        <w:t xml:space="preserve"> </w:t>
      </w:r>
      <w:r w:rsidRPr="00D6533F">
        <w:rPr>
          <w:rFonts w:ascii="Palatino Linotype" w:eastAsia="Palatino Linotype" w:hAnsi="Palatino Linotype" w:cs="Palatino Linotype"/>
        </w:rPr>
        <w:t>presentará</w:t>
      </w:r>
      <w:r w:rsidRPr="00D6533F">
        <w:rPr>
          <w:rFonts w:ascii="Palatino Linotype" w:eastAsia="Palatino Linotype" w:hAnsi="Palatino Linotype" w:cs="Palatino Linotype"/>
          <w:color w:val="000000"/>
        </w:rPr>
        <w:t xml:space="preserve"> su informe justificado procedente.</w:t>
      </w:r>
    </w:p>
    <w:p w:rsidR="00F61476" w:rsidRPr="00D6533F" w:rsidRDefault="00F61476" w:rsidP="00D6533F">
      <w:pPr>
        <w:pBdr>
          <w:top w:val="none" w:sz="0" w:space="0" w:color="000000"/>
          <w:left w:val="none" w:sz="0" w:space="0" w:color="000000"/>
          <w:bottom w:val="none" w:sz="0" w:space="0" w:color="000000"/>
          <w:right w:val="none" w:sz="0" w:space="0" w:color="000000"/>
          <w:between w:val="none" w:sz="0" w:space="0" w:color="000000"/>
        </w:pBdr>
        <w:tabs>
          <w:tab w:val="left" w:pos="426"/>
          <w:tab w:val="left" w:pos="567"/>
        </w:tabs>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De lo anterior, tal y como se muestra en SAIMEX el </w:t>
      </w:r>
      <w:r w:rsidRPr="00D6533F">
        <w:rPr>
          <w:rFonts w:ascii="Palatino Linotype" w:eastAsia="Palatino Linotype" w:hAnsi="Palatino Linotype" w:cs="Palatino Linotype"/>
          <w:b/>
          <w:bCs/>
          <w:color w:val="000000"/>
        </w:rPr>
        <w:t>SUJETO OBLIGADO</w:t>
      </w:r>
      <w:r w:rsidRPr="00D6533F">
        <w:rPr>
          <w:rFonts w:ascii="Palatino Linotype" w:eastAsia="Palatino Linotype" w:hAnsi="Palatino Linotype" w:cs="Palatino Linotype"/>
          <w:color w:val="000000"/>
        </w:rPr>
        <w:t xml:space="preserve"> en fecha </w:t>
      </w:r>
      <w:r w:rsidRPr="00D6533F">
        <w:rPr>
          <w:rFonts w:ascii="Palatino Linotype" w:eastAsia="Palatino Linotype" w:hAnsi="Palatino Linotype" w:cs="Palatino Linotype"/>
          <w:b/>
          <w:bCs/>
          <w:color w:val="000000"/>
        </w:rPr>
        <w:t xml:space="preserve">quince de abril de dos mil veintiséis, </w:t>
      </w:r>
      <w:r w:rsidRPr="00D6533F">
        <w:rPr>
          <w:rFonts w:ascii="Palatino Linotype" w:eastAsia="Palatino Linotype" w:hAnsi="Palatino Linotype" w:cs="Palatino Linotype"/>
          <w:color w:val="000000"/>
        </w:rPr>
        <w:t xml:space="preserve">rindió su informe justificado mediante archivos en formato PDF, cuyo contenido a grosso modo es el  siguiente: </w:t>
      </w:r>
    </w:p>
    <w:p w:rsidR="00F61476" w:rsidRPr="00D6533F" w:rsidRDefault="00D95DDF" w:rsidP="00D6533F">
      <w:pPr>
        <w:pBdr>
          <w:top w:val="nil"/>
          <w:left w:val="nil"/>
          <w:bottom w:val="nil"/>
          <w:right w:val="nil"/>
          <w:between w:val="nil"/>
        </w:pBdr>
        <w:spacing w:line="360" w:lineRule="auto"/>
        <w:ind w:left="567"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b/>
          <w:bCs/>
          <w:color w:val="000000"/>
        </w:rPr>
        <w:t xml:space="preserve">Juridico 76.2026.pdf: </w:t>
      </w:r>
      <w:r w:rsidRPr="00D6533F">
        <w:rPr>
          <w:rFonts w:ascii="Palatino Linotype" w:eastAsia="Palatino Linotype" w:hAnsi="Palatino Linotype" w:cs="Palatino Linotype"/>
          <w:i/>
          <w:iCs/>
          <w:color w:val="000000"/>
        </w:rPr>
        <w:t>Donde el Director de Asuntos Jurídicos adscrito a la Coordinación jurídica de Igualdad de Género y Erradicación de la Violencia y Enlace del Servidor Público Habilitado ratificó respuesta primigenia.</w:t>
      </w:r>
    </w:p>
    <w:p w:rsidR="00F61476" w:rsidRPr="00D6533F" w:rsidRDefault="00D95DDF" w:rsidP="00D6533F">
      <w:pPr>
        <w:pBdr>
          <w:top w:val="nil"/>
          <w:left w:val="nil"/>
          <w:bottom w:val="nil"/>
          <w:right w:val="nil"/>
          <w:between w:val="nil"/>
        </w:pBdr>
        <w:spacing w:line="360" w:lineRule="auto"/>
        <w:ind w:left="567"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b/>
          <w:bCs/>
          <w:color w:val="000000"/>
        </w:rPr>
        <w:t xml:space="preserve">CCT.UT.424.2026.pdf: </w:t>
      </w:r>
      <w:r w:rsidRPr="00D6533F">
        <w:rPr>
          <w:rFonts w:ascii="Palatino Linotype" w:eastAsia="Palatino Linotype" w:hAnsi="Palatino Linotype" w:cs="Palatino Linotype"/>
          <w:i/>
          <w:iCs/>
          <w:color w:val="000000"/>
        </w:rPr>
        <w:t>Donde la Titular de la Unidad de Transparencia rinde informe justificado entregando</w:t>
      </w:r>
      <w:r w:rsidR="00371974" w:rsidRPr="00D6533F">
        <w:rPr>
          <w:rFonts w:ascii="Palatino Linotype" w:eastAsia="Palatino Linotype" w:hAnsi="Palatino Linotype" w:cs="Palatino Linotype"/>
          <w:i/>
          <w:iCs/>
          <w:color w:val="000000"/>
        </w:rPr>
        <w:t xml:space="preserve"> la</w:t>
      </w:r>
      <w:r w:rsidRPr="00D6533F">
        <w:rPr>
          <w:rFonts w:ascii="Palatino Linotype" w:eastAsia="Palatino Linotype" w:hAnsi="Palatino Linotype" w:cs="Palatino Linotype"/>
          <w:i/>
          <w:iCs/>
          <w:color w:val="000000"/>
        </w:rPr>
        <w:t xml:space="preserve"> </w:t>
      </w:r>
      <w:r w:rsidR="00371974" w:rsidRPr="00D6533F">
        <w:rPr>
          <w:rFonts w:ascii="Palatino Linotype" w:eastAsia="Palatino Linotype" w:hAnsi="Palatino Linotype" w:cs="Palatino Linotype"/>
          <w:i/>
          <w:iCs/>
          <w:color w:val="000000"/>
        </w:rPr>
        <w:t xml:space="preserve">información vertida dentro de la etapa referida por los servidores públicos habilitados. </w:t>
      </w:r>
    </w:p>
    <w:p w:rsidR="00F61476" w:rsidRPr="00D6533F" w:rsidRDefault="00D95DDF" w:rsidP="00D6533F">
      <w:pPr>
        <w:pBdr>
          <w:top w:val="nil"/>
          <w:left w:val="nil"/>
          <w:bottom w:val="nil"/>
          <w:right w:val="nil"/>
          <w:between w:val="nil"/>
        </w:pBdr>
        <w:spacing w:line="360" w:lineRule="auto"/>
        <w:ind w:left="567"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b/>
          <w:bCs/>
          <w:color w:val="000000"/>
        </w:rPr>
        <w:t xml:space="preserve">OIC_3633.2026 (1).pdf </w:t>
      </w:r>
      <w:r w:rsidRPr="00D6533F">
        <w:rPr>
          <w:rFonts w:ascii="Palatino Linotype" w:eastAsia="Palatino Linotype" w:hAnsi="Palatino Linotype" w:cs="Palatino Linotype"/>
          <w:i/>
          <w:iCs/>
          <w:color w:val="000000"/>
        </w:rPr>
        <w:t xml:space="preserve">Donde  encargada de Órgano Interno de Control del Sujeto Obligado en  atención al punto tercero de la solicitud del particular entrega el domicilio, correo electrónico y teléfono institucionales. </w:t>
      </w:r>
    </w:p>
    <w:p w:rsidR="00F61476" w:rsidRPr="00D6533F" w:rsidRDefault="00D95DDF" w:rsidP="00D6533F">
      <w:pPr>
        <w:pBdr>
          <w:top w:val="nil"/>
          <w:left w:val="nil"/>
          <w:bottom w:val="nil"/>
          <w:right w:val="nil"/>
          <w:between w:val="nil"/>
        </w:pBdr>
        <w:spacing w:line="360" w:lineRule="auto"/>
        <w:ind w:left="567"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b/>
          <w:bCs/>
          <w:color w:val="000000"/>
        </w:rPr>
        <w:lastRenderedPageBreak/>
        <w:t xml:space="preserve">Subse_3633.pdf </w:t>
      </w:r>
      <w:r w:rsidRPr="00D6533F">
        <w:rPr>
          <w:rFonts w:ascii="Palatino Linotype" w:eastAsia="Palatino Linotype" w:hAnsi="Palatino Linotype" w:cs="Palatino Linotype"/>
          <w:i/>
          <w:iCs/>
          <w:color w:val="000000"/>
        </w:rPr>
        <w:t>Donde el Director de la Unidad de Enlace de Servicios metropolitanos y Servidor Público Habilitado refiere no contar información respecto al punto primero de la solicitud, que no cuenta con documentales que den cuenta al punto dos por no existir autorización emitida por el Sujeto Obligado para tal fin, para el tercer punto refiere liga en formato cerrado para su consulta, para el punto cuatro refiere el nombre de la servidor público encargada del área de quejas y denuncias.</w:t>
      </w:r>
    </w:p>
    <w:p w:rsidR="00F61476" w:rsidRPr="00D6533F" w:rsidRDefault="00D95DDF" w:rsidP="00D6533F">
      <w:pPr>
        <w:pBdr>
          <w:top w:val="nil"/>
          <w:left w:val="nil"/>
          <w:bottom w:val="nil"/>
          <w:right w:val="nil"/>
          <w:between w:val="nil"/>
        </w:pBdr>
        <w:spacing w:line="360" w:lineRule="auto"/>
        <w:ind w:left="567"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b/>
          <w:bCs/>
          <w:color w:val="000000"/>
        </w:rPr>
        <w:t xml:space="preserve">Administración_3633.pdf </w:t>
      </w:r>
      <w:r w:rsidRPr="00D6533F">
        <w:rPr>
          <w:rFonts w:ascii="Palatino Linotype" w:eastAsia="Palatino Linotype" w:hAnsi="Palatino Linotype" w:cs="Palatino Linotype"/>
          <w:i/>
          <w:iCs/>
          <w:color w:val="000000"/>
        </w:rPr>
        <w:t>Donde Coordinador Administrativo  entrega oficio  de respuesta de la las Subdirección de Administración del Capital Humano.</w:t>
      </w:r>
    </w:p>
    <w:p w:rsidR="00F61476" w:rsidRPr="00D6533F" w:rsidRDefault="00D95DDF" w:rsidP="00D6533F">
      <w:pPr>
        <w:pBdr>
          <w:top w:val="nil"/>
          <w:left w:val="nil"/>
          <w:bottom w:val="nil"/>
          <w:right w:val="nil"/>
          <w:between w:val="nil"/>
        </w:pBdr>
        <w:spacing w:line="360" w:lineRule="auto"/>
        <w:ind w:left="567"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b/>
          <w:bCs/>
          <w:color w:val="000000"/>
        </w:rPr>
        <w:t xml:space="preserve">Zona_3633.pdf </w:t>
      </w:r>
      <w:r w:rsidRPr="00D6533F">
        <w:rPr>
          <w:rFonts w:ascii="Palatino Linotype" w:eastAsia="Palatino Linotype" w:hAnsi="Palatino Linotype" w:cs="Palatino Linotype"/>
          <w:i/>
          <w:iCs/>
          <w:color w:val="000000"/>
        </w:rPr>
        <w:t>Donde el Director General de Movilidad de Zona IV refiere que en la ubicación señalada por el particular no existe autorización para establecer  bases para transporte público.</w:t>
      </w:r>
    </w:p>
    <w:p w:rsidR="00F61476" w:rsidRPr="00D6533F" w:rsidRDefault="00D95DDF" w:rsidP="00D6533F">
      <w:pPr>
        <w:pBdr>
          <w:top w:val="nil"/>
          <w:left w:val="nil"/>
          <w:bottom w:val="nil"/>
          <w:right w:val="nil"/>
          <w:between w:val="nil"/>
        </w:pBdr>
        <w:spacing w:line="360" w:lineRule="auto"/>
        <w:ind w:left="567" w:right="-1136"/>
        <w:jc w:val="both"/>
        <w:rPr>
          <w:rFonts w:ascii="Palatino Linotype" w:eastAsia="Palatino Linotype" w:hAnsi="Palatino Linotype" w:cs="Palatino Linotype"/>
          <w:b/>
          <w:bCs/>
          <w:i/>
          <w:iCs/>
          <w:color w:val="000000"/>
        </w:rPr>
      </w:pPr>
      <w:r w:rsidRPr="00D6533F">
        <w:rPr>
          <w:rFonts w:ascii="Palatino Linotype" w:eastAsia="Palatino Linotype" w:hAnsi="Palatino Linotype" w:cs="Palatino Linotype"/>
          <w:b/>
          <w:bCs/>
          <w:color w:val="000000"/>
        </w:rPr>
        <w:t xml:space="preserve">TransporteMex_3633 (1).pdf </w:t>
      </w:r>
      <w:r w:rsidRPr="00D6533F">
        <w:rPr>
          <w:rFonts w:ascii="Palatino Linotype" w:eastAsia="Palatino Linotype" w:hAnsi="Palatino Linotype" w:cs="Palatino Linotype"/>
          <w:i/>
          <w:iCs/>
          <w:color w:val="000000"/>
        </w:rPr>
        <w:t>Donde el Director General de Transporte Público Mexiquense refiere que no es competencia del área en cuanto a conocer de los servicios concesionados que operan en la ubicación referida por el particular.</w:t>
      </w:r>
    </w:p>
    <w:p w:rsidR="00F61476" w:rsidRPr="00D6533F" w:rsidRDefault="00F61476" w:rsidP="00D6533F">
      <w:pPr>
        <w:pBdr>
          <w:top w:val="nil"/>
          <w:left w:val="nil"/>
          <w:bottom w:val="nil"/>
          <w:right w:val="nil"/>
          <w:between w:val="nil"/>
        </w:pBdr>
        <w:spacing w:line="360" w:lineRule="auto"/>
        <w:ind w:left="567" w:right="-1136"/>
        <w:jc w:val="both"/>
        <w:rPr>
          <w:rFonts w:ascii="Palatino Linotype" w:eastAsia="Palatino Linotype" w:hAnsi="Palatino Linotype" w:cs="Palatino Linotype"/>
          <w:i/>
          <w:iCs/>
          <w:color w:val="000000"/>
        </w:rPr>
      </w:pPr>
    </w:p>
    <w:p w:rsidR="00F61476" w:rsidRPr="00D6533F" w:rsidRDefault="00D95DDF" w:rsidP="00D6533F">
      <w:pPr>
        <w:numPr>
          <w:ilvl w:val="0"/>
          <w:numId w:val="1"/>
        </w:numPr>
        <w:tabs>
          <w:tab w:val="left" w:pos="709"/>
        </w:tabs>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Por su parte, el </w:t>
      </w:r>
      <w:r w:rsidRPr="00D6533F">
        <w:rPr>
          <w:rFonts w:ascii="Palatino Linotype" w:eastAsia="Palatino Linotype" w:hAnsi="Palatino Linotype" w:cs="Palatino Linotype"/>
          <w:b/>
          <w:bCs/>
          <w:color w:val="000000"/>
        </w:rPr>
        <w:t>RECURRENTE</w:t>
      </w:r>
      <w:r w:rsidRPr="00D6533F">
        <w:rPr>
          <w:rFonts w:ascii="Palatino Linotype" w:eastAsia="Palatino Linotype" w:hAnsi="Palatino Linotype" w:cs="Palatino Linotype"/>
          <w:color w:val="000000"/>
        </w:rPr>
        <w:t xml:space="preserve"> no realizó manifestaciones que a su derecho </w:t>
      </w:r>
      <w:r w:rsidRPr="00D6533F">
        <w:rPr>
          <w:rFonts w:ascii="Palatino Linotype" w:eastAsia="Palatino Linotype" w:hAnsi="Palatino Linotype" w:cs="Palatino Linotype"/>
        </w:rPr>
        <w:t>conviniera</w:t>
      </w:r>
      <w:r w:rsidRPr="00D6533F">
        <w:rPr>
          <w:rFonts w:ascii="Palatino Linotype" w:eastAsia="Palatino Linotype" w:hAnsi="Palatino Linotype" w:cs="Palatino Linotype"/>
          <w:color w:val="000000"/>
        </w:rPr>
        <w:t>.</w:t>
      </w:r>
    </w:p>
    <w:p w:rsidR="00F61476" w:rsidRPr="00D6533F" w:rsidRDefault="00F61476" w:rsidP="00D6533F">
      <w:pPr>
        <w:tabs>
          <w:tab w:val="left" w:pos="709"/>
        </w:tabs>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tabs>
          <w:tab w:val="left" w:pos="709"/>
        </w:tabs>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En </w:t>
      </w:r>
      <w:r w:rsidRPr="00D6533F">
        <w:rPr>
          <w:rFonts w:ascii="Palatino Linotype" w:eastAsia="Palatino Linotype" w:hAnsi="Palatino Linotype" w:cs="Palatino Linotype"/>
          <w:b/>
          <w:bCs/>
          <w:color w:val="000000"/>
        </w:rPr>
        <w:t>fecha veinte de mayo de dos mil veintiséis</w:t>
      </w:r>
      <w:r w:rsidRPr="00D6533F">
        <w:rPr>
          <w:rFonts w:ascii="Palatino Linotype" w:eastAsia="Palatino Linotype" w:hAnsi="Palatino Linotype" w:cs="Palatino Linotype"/>
          <w:color w:val="000000"/>
        </w:rPr>
        <w:t>, se acordó ampliar el término para resolver el presente asunto.</w:t>
      </w:r>
    </w:p>
    <w:p w:rsidR="00F61476" w:rsidRPr="00D6533F" w:rsidRDefault="00F61476" w:rsidP="00D6533F">
      <w:pPr>
        <w:tabs>
          <w:tab w:val="left" w:pos="709"/>
        </w:tabs>
        <w:spacing w:line="360" w:lineRule="auto"/>
        <w:ind w:right="-1136"/>
        <w:jc w:val="both"/>
        <w:rPr>
          <w:rFonts w:ascii="Palatino Linotype" w:eastAsia="Palatino Linotype" w:hAnsi="Palatino Linotype" w:cs="Palatino Linotype"/>
          <w:b/>
          <w:bCs/>
        </w:rPr>
      </w:pPr>
    </w:p>
    <w:p w:rsidR="00F61476" w:rsidRPr="00D6533F" w:rsidRDefault="00D95DDF" w:rsidP="00D6533F">
      <w:pPr>
        <w:numPr>
          <w:ilvl w:val="0"/>
          <w:numId w:val="1"/>
        </w:numPr>
        <w:tabs>
          <w:tab w:val="left" w:pos="709"/>
        </w:tabs>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w:t>
      </w:r>
      <w:r w:rsidRPr="00D6533F">
        <w:rPr>
          <w:rFonts w:ascii="Palatino Linotype" w:eastAsia="Palatino Linotype" w:hAnsi="Palatino Linotype" w:cs="Palatino Linotype"/>
          <w:color w:val="000000"/>
        </w:rPr>
        <w:lastRenderedPageBreak/>
        <w:t>órganos jurisdiccionales federales, aplicables también en procedimientos análogos, como el que nos ocupa.</w:t>
      </w:r>
    </w:p>
    <w:p w:rsidR="00F61476" w:rsidRPr="00D6533F" w:rsidRDefault="00F61476" w:rsidP="00D6533F">
      <w:pPr>
        <w:tabs>
          <w:tab w:val="left" w:pos="709"/>
        </w:tabs>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tabs>
          <w:tab w:val="left" w:pos="709"/>
        </w:tabs>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La Comisionada Ponente decretó el cierre de instrucción mediante el acuerdo del</w:t>
      </w:r>
      <w:r w:rsidRPr="00D6533F">
        <w:rPr>
          <w:rFonts w:ascii="Palatino Linotype" w:eastAsia="Palatino Linotype" w:hAnsi="Palatino Linotype" w:cs="Palatino Linotype"/>
          <w:b/>
          <w:bCs/>
          <w:color w:val="000000"/>
        </w:rPr>
        <w:t xml:space="preserve"> veinte de mayo dos mil veintiséis</w:t>
      </w:r>
      <w:r w:rsidRPr="00D6533F">
        <w:rPr>
          <w:rFonts w:ascii="Palatino Linotype" w:eastAsia="Palatino Linotype" w:hAnsi="Palatino Linotype" w:cs="Palatino Linotype"/>
          <w:color w:val="000000"/>
        </w:rPr>
        <w:t xml:space="preserve">; por lo que en virtud de que el expediente electrónico ha sido debidamente </w:t>
      </w:r>
      <w:r w:rsidRPr="00D6533F">
        <w:rPr>
          <w:rFonts w:ascii="Palatino Linotype" w:eastAsia="Palatino Linotype" w:hAnsi="Palatino Linotype" w:cs="Palatino Linotype"/>
        </w:rPr>
        <w:t>sustanciado</w:t>
      </w:r>
      <w:r w:rsidRPr="00D6533F">
        <w:rPr>
          <w:rFonts w:ascii="Palatino Linotype" w:eastAsia="Palatino Linotype" w:hAnsi="Palatino Linotype" w:cs="Palatino Linotype"/>
          <w:color w:val="000000"/>
        </w:rPr>
        <w:t xml:space="preserve"> y no existe diligencia pendiente de desahogo, se procede a emitir la presente resolución que conforme a Derecho corresponda y;</w:t>
      </w:r>
    </w:p>
    <w:p w:rsidR="00F61476" w:rsidRPr="00D6533F" w:rsidRDefault="00F61476" w:rsidP="00D6533F">
      <w:pPr>
        <w:keepNext/>
        <w:keepLines/>
        <w:pBdr>
          <w:top w:val="nil"/>
          <w:left w:val="nil"/>
          <w:bottom w:val="nil"/>
          <w:right w:val="nil"/>
          <w:between w:val="nil"/>
        </w:pBdr>
        <w:spacing w:before="40" w:line="259" w:lineRule="auto"/>
        <w:ind w:right="-1136"/>
        <w:jc w:val="center"/>
        <w:rPr>
          <w:rFonts w:ascii="Palatino Linotype" w:eastAsia="Palatino Linotype" w:hAnsi="Palatino Linotype" w:cs="Palatino Linotype"/>
        </w:rPr>
      </w:pPr>
    </w:p>
    <w:p w:rsidR="00F61476" w:rsidRPr="00D6533F" w:rsidRDefault="00D95DDF" w:rsidP="00D6533F">
      <w:pPr>
        <w:keepNext/>
        <w:keepLines/>
        <w:pBdr>
          <w:top w:val="nil"/>
          <w:left w:val="nil"/>
          <w:bottom w:val="nil"/>
          <w:right w:val="nil"/>
          <w:between w:val="nil"/>
        </w:pBdr>
        <w:spacing w:before="40" w:line="259" w:lineRule="auto"/>
        <w:ind w:right="-1136"/>
        <w:jc w:val="center"/>
        <w:rPr>
          <w:rFonts w:ascii="Palatino Linotype" w:eastAsia="Palatino Linotype" w:hAnsi="Palatino Linotype" w:cs="Palatino Linotype"/>
          <w:b/>
          <w:bCs/>
          <w:color w:val="000000"/>
        </w:rPr>
      </w:pPr>
      <w:r w:rsidRPr="00D6533F">
        <w:rPr>
          <w:rFonts w:ascii="Palatino Linotype" w:eastAsia="Palatino Linotype" w:hAnsi="Palatino Linotype" w:cs="Palatino Linotype"/>
          <w:b/>
          <w:bCs/>
          <w:color w:val="000000"/>
        </w:rPr>
        <w:t>C O N S I D E R A N D O</w:t>
      </w:r>
    </w:p>
    <w:p w:rsidR="00F61476" w:rsidRPr="00D6533F" w:rsidRDefault="00F61476" w:rsidP="00D6533F">
      <w:pPr>
        <w:ind w:right="-1136"/>
        <w:rPr>
          <w:rFonts w:ascii="Palatino Linotype" w:eastAsia="Palatino Linotype" w:hAnsi="Palatino Linotype" w:cs="Palatino Linotype"/>
        </w:rPr>
      </w:pPr>
    </w:p>
    <w:p w:rsidR="00F61476" w:rsidRPr="00D6533F" w:rsidRDefault="00F61476" w:rsidP="00D6533F">
      <w:pPr>
        <w:ind w:right="-1136"/>
        <w:rPr>
          <w:rFonts w:ascii="Palatino Linotype" w:eastAsia="Palatino Linotype" w:hAnsi="Palatino Linotype" w:cs="Palatino Linotype"/>
        </w:rPr>
      </w:pPr>
      <w:bookmarkStart w:id="4" w:name="_heading=h.3znysh7" w:colFirst="0" w:colLast="0"/>
      <w:bookmarkEnd w:id="4"/>
    </w:p>
    <w:p w:rsidR="00F61476" w:rsidRPr="00D6533F" w:rsidRDefault="00D95DDF" w:rsidP="00D6533F">
      <w:pPr>
        <w:spacing w:line="360" w:lineRule="auto"/>
        <w:ind w:right="-1136"/>
        <w:jc w:val="both"/>
        <w:rPr>
          <w:rFonts w:ascii="Palatino Linotype" w:eastAsia="Palatino Linotype" w:hAnsi="Palatino Linotype" w:cs="Palatino Linotype"/>
          <w:b/>
          <w:bCs/>
          <w:color w:val="000000"/>
        </w:rPr>
      </w:pPr>
      <w:r w:rsidRPr="00D6533F">
        <w:rPr>
          <w:rFonts w:ascii="Palatino Linotype" w:eastAsia="Palatino Linotype" w:hAnsi="Palatino Linotype" w:cs="Palatino Linotype"/>
          <w:b/>
          <w:bCs/>
          <w:color w:val="000000"/>
        </w:rPr>
        <w:t>PRIMERO. De la competencia</w:t>
      </w: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rsidR="00F61476" w:rsidRDefault="00F61476" w:rsidP="00D6533F">
      <w:pPr>
        <w:spacing w:line="360" w:lineRule="auto"/>
        <w:ind w:right="-1136"/>
        <w:jc w:val="both"/>
        <w:rPr>
          <w:rFonts w:ascii="Palatino Linotype" w:eastAsia="Palatino Linotype" w:hAnsi="Palatino Linotype" w:cs="Palatino Linotype"/>
          <w:b/>
          <w:bCs/>
          <w:color w:val="000000"/>
        </w:rPr>
      </w:pPr>
    </w:p>
    <w:p w:rsidR="00D6533F" w:rsidRPr="00D6533F" w:rsidRDefault="00D6533F" w:rsidP="00D6533F">
      <w:pPr>
        <w:spacing w:line="360" w:lineRule="auto"/>
        <w:ind w:right="-1136"/>
        <w:jc w:val="both"/>
        <w:rPr>
          <w:rFonts w:ascii="Palatino Linotype" w:eastAsia="Palatino Linotype" w:hAnsi="Palatino Linotype" w:cs="Palatino Linotype"/>
          <w:b/>
          <w:bCs/>
          <w:color w:val="000000"/>
        </w:rPr>
      </w:pPr>
    </w:p>
    <w:p w:rsidR="00F61476" w:rsidRPr="00D6533F" w:rsidRDefault="00D95DDF" w:rsidP="00D6533F">
      <w:pPr>
        <w:spacing w:line="360" w:lineRule="auto"/>
        <w:ind w:right="-1136"/>
        <w:jc w:val="both"/>
        <w:rPr>
          <w:rFonts w:ascii="Palatino Linotype" w:eastAsia="Palatino Linotype" w:hAnsi="Palatino Linotype" w:cs="Palatino Linotype"/>
          <w:b/>
          <w:bCs/>
          <w:color w:val="000000"/>
        </w:rPr>
      </w:pPr>
      <w:r w:rsidRPr="00D6533F">
        <w:rPr>
          <w:rFonts w:ascii="Palatino Linotype" w:eastAsia="Palatino Linotype" w:hAnsi="Palatino Linotype" w:cs="Palatino Linotype"/>
          <w:b/>
          <w:bCs/>
          <w:color w:val="000000"/>
        </w:rPr>
        <w:lastRenderedPageBreak/>
        <w:t>SEGUNDO. De la oportunidad y procedencia.</w:t>
      </w: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El medio de impugnación fue presentado a través del SAIMEX, en el formato previamente aprobado para tal efecto y dentro del plazo legal de quince días hábiles otorgados; para el caso en particular es de señalar que el SUJETO OBLIGADO </w:t>
      </w:r>
      <w:r w:rsidRPr="00D6533F">
        <w:rPr>
          <w:rFonts w:ascii="Palatino Linotype" w:eastAsia="Palatino Linotype" w:hAnsi="Palatino Linotype" w:cs="Palatino Linotype"/>
          <w:b/>
          <w:bCs/>
          <w:color w:val="000000"/>
        </w:rPr>
        <w:t>entregó su respuesta el veintiséis de marzo de dos mil veintiséis,</w:t>
      </w:r>
      <w:r w:rsidRPr="00D6533F">
        <w:rPr>
          <w:rFonts w:ascii="Palatino Linotype" w:eastAsia="Palatino Linotype" w:hAnsi="Palatino Linotype" w:cs="Palatino Linotype"/>
          <w:color w:val="000000"/>
        </w:rPr>
        <w:t xml:space="preserve"> de tal forma que el plazo para interponer el recurso de revisión </w:t>
      </w:r>
      <w:r w:rsidRPr="00D6533F">
        <w:rPr>
          <w:rFonts w:ascii="Palatino Linotype" w:eastAsia="Palatino Linotype" w:hAnsi="Palatino Linotype" w:cs="Palatino Linotype"/>
          <w:b/>
          <w:bCs/>
          <w:color w:val="000000"/>
        </w:rPr>
        <w:t>transcurrió del veintisiete de marzo al veintitrés de abril de dos mil veintiséis</w:t>
      </w:r>
      <w:r w:rsidRPr="00D6533F">
        <w:rPr>
          <w:rFonts w:ascii="Palatino Linotype" w:eastAsia="Palatino Linotype" w:hAnsi="Palatino Linotype" w:cs="Palatino Linotype"/>
          <w:color w:val="000000"/>
        </w:rPr>
        <w:t xml:space="preserve">; en consecuencia, el ahora RECURRENTE </w:t>
      </w:r>
      <w:r w:rsidRPr="00D6533F">
        <w:rPr>
          <w:rFonts w:ascii="Palatino Linotype" w:eastAsia="Palatino Linotype" w:hAnsi="Palatino Linotype" w:cs="Palatino Linotype"/>
          <w:b/>
          <w:bCs/>
          <w:color w:val="000000"/>
        </w:rPr>
        <w:t>presentó su inconformidad el veintisiete de marzo de la misma anualidad</w:t>
      </w:r>
      <w:r w:rsidRPr="00D6533F">
        <w:rPr>
          <w:rFonts w:ascii="Palatino Linotype" w:eastAsia="Palatino Linotype" w:hAnsi="Palatino Linotype" w:cs="Palatino Linotype"/>
          <w:color w:val="000000"/>
        </w:rPr>
        <w:t>; por lo que se estima que la inconformidad se presentó dentro del lapso legalmente establecido para tal efecto.</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Por otra parte, de la revisión al expediente electrónico del SAIMEX se desprende que la parte solicitante, en ejercicio de su derecho de acceso a la información pública en el expediente que se revisa, tanto en la solicitud de información como en el recurso de revisión no proporcionó ningún nombre, seudónimo o carácter para ser identificado, ni se tiene certeza de su identidad; sin embargo, es importante señalar también que el nombre de los Solicitantes y Recurrentes no es un requisito indispensable para la tramitación del acto procesal específico en materia de acceso a la información, ello en estricto apego al numeral 155, párrafo tercero, de la Ley de la materia, en concatenación con el 180 del mismo ordenamiento.</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w:t>
      </w:r>
      <w:r w:rsidRPr="00D6533F">
        <w:rPr>
          <w:rFonts w:ascii="Palatino Linotype" w:eastAsia="Palatino Linotype" w:hAnsi="Palatino Linotype" w:cs="Palatino Linotype"/>
          <w:color w:val="000000"/>
        </w:rPr>
        <w:lastRenderedPageBreak/>
        <w:t>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Por lo que el nombre del SOLICITANTE y subsecuente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D6533F" w:rsidRDefault="00D6533F" w:rsidP="00D6533F">
      <w:pPr>
        <w:pStyle w:val="Prrafodelista"/>
        <w:rPr>
          <w:rFonts w:ascii="Palatino Linotype" w:eastAsia="Palatino Linotype" w:hAnsi="Palatino Linotype" w:cs="Palatino Linotype"/>
          <w:color w:val="000000"/>
        </w:rPr>
      </w:pPr>
    </w:p>
    <w:p w:rsidR="00D6533F" w:rsidRPr="00D6533F" w:rsidRDefault="00D6533F" w:rsidP="00D6533F">
      <w:p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lastRenderedPageBreak/>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61476" w:rsidRPr="00D6533F" w:rsidRDefault="00F61476" w:rsidP="00D6533F">
      <w:pPr>
        <w:spacing w:line="360" w:lineRule="auto"/>
        <w:ind w:right="-1136"/>
        <w:jc w:val="both"/>
        <w:rPr>
          <w:rFonts w:ascii="Palatino Linotype" w:eastAsia="Palatino Linotype" w:hAnsi="Palatino Linotype" w:cs="Palatino Linotype"/>
          <w:b/>
          <w:bCs/>
          <w:color w:val="000000"/>
        </w:rPr>
      </w:pPr>
    </w:p>
    <w:p w:rsidR="00F61476" w:rsidRPr="00D6533F" w:rsidRDefault="00D95DDF" w:rsidP="00D6533F">
      <w:pPr>
        <w:spacing w:line="360" w:lineRule="auto"/>
        <w:ind w:right="-1136"/>
        <w:jc w:val="both"/>
        <w:rPr>
          <w:rFonts w:ascii="Palatino Linotype" w:eastAsia="Palatino Linotype" w:hAnsi="Palatino Linotype" w:cs="Palatino Linotype"/>
          <w:b/>
          <w:bCs/>
          <w:color w:val="000000"/>
        </w:rPr>
      </w:pPr>
      <w:r w:rsidRPr="00D6533F">
        <w:rPr>
          <w:rFonts w:ascii="Palatino Linotype" w:eastAsia="Palatino Linotype" w:hAnsi="Palatino Linotype" w:cs="Palatino Linotype"/>
          <w:b/>
          <w:bCs/>
          <w:color w:val="000000"/>
        </w:rPr>
        <w:t>TERCERO. De las causales del sobreseimiento.</w:t>
      </w: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sobreseimiento; y, en su caso, ordenar la entrega de la información respecto a la falta de respuesta por parte del SUJETO OBLIGADO.</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De acuerdo con el precepto legal contenido en la fracción IV del artículo 192 de la Ley de Transparencia y Acceso a la Información Pública del Estado de México y Municipios, el recurso será sobreseído, cuando una vez admitido, aparezca alguna causal de improcedencia en términos de la misma Ley.</w:t>
      </w:r>
    </w:p>
    <w:p w:rsidR="00F61476" w:rsidRPr="00D6533F" w:rsidRDefault="00F61476" w:rsidP="00D6533F">
      <w:pPr>
        <w:spacing w:line="360" w:lineRule="auto"/>
        <w:ind w:right="-1136"/>
        <w:jc w:val="both"/>
        <w:rPr>
          <w:rFonts w:ascii="Palatino Linotype" w:eastAsia="Palatino Linotype" w:hAnsi="Palatino Linotype" w:cs="Palatino Linotype"/>
          <w:b/>
          <w:bCs/>
          <w:color w:val="000000"/>
        </w:rPr>
      </w:pPr>
    </w:p>
    <w:p w:rsidR="00F61476" w:rsidRPr="00D6533F" w:rsidRDefault="00D95DDF" w:rsidP="00D6533F">
      <w:pPr>
        <w:spacing w:line="360" w:lineRule="auto"/>
        <w:ind w:right="-1136"/>
        <w:jc w:val="both"/>
        <w:rPr>
          <w:rFonts w:ascii="Palatino Linotype" w:eastAsia="Palatino Linotype" w:hAnsi="Palatino Linotype" w:cs="Palatino Linotype"/>
          <w:b/>
          <w:bCs/>
          <w:color w:val="000000"/>
        </w:rPr>
      </w:pPr>
      <w:r w:rsidRPr="00D6533F">
        <w:rPr>
          <w:rFonts w:ascii="Palatino Linotype" w:eastAsia="Palatino Linotype" w:hAnsi="Palatino Linotype" w:cs="Palatino Linotype"/>
          <w:b/>
          <w:bCs/>
          <w:color w:val="000000"/>
        </w:rPr>
        <w:t xml:space="preserve"> De la solicitud de información </w:t>
      </w:r>
    </w:p>
    <w:p w:rsidR="00F61476" w:rsidRPr="00D6533F" w:rsidRDefault="00D95DDF" w:rsidP="00D6533F">
      <w:pPr>
        <w:numPr>
          <w:ilvl w:val="0"/>
          <w:numId w:val="1"/>
        </w:numP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Como se ha señalado, la parte RECURRENTE requirió:</w:t>
      </w:r>
    </w:p>
    <w:p w:rsidR="00F61476" w:rsidRPr="00D6533F" w:rsidRDefault="00D95DDF" w:rsidP="00D6533F">
      <w:pPr>
        <w:pBdr>
          <w:top w:val="none" w:sz="0" w:space="0" w:color="000000"/>
          <w:left w:val="none" w:sz="0" w:space="0" w:color="000000"/>
          <w:bottom w:val="none" w:sz="0" w:space="0" w:color="000000"/>
          <w:right w:val="none" w:sz="0" w:space="0" w:color="000000"/>
          <w:between w:val="none" w:sz="0" w:space="0" w:color="000000"/>
        </w:pBdr>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1. El nombre completo de la persona servidora pública responsable de la vigilancia, orden o similar respecto a los lugares donde el transporte público pueden hacer base y cargar pasaje, el nombramiento, versión pública de los dos últimos recibos de nómina, área de adscripción, nombre del jefe inmediato, ubicación de la oficina donde labora, teléfono institucional con </w:t>
      </w:r>
      <w:r w:rsidRPr="00D6533F">
        <w:rPr>
          <w:rFonts w:ascii="Palatino Linotype" w:eastAsia="Palatino Linotype" w:hAnsi="Palatino Linotype" w:cs="Palatino Linotype"/>
          <w:i/>
          <w:iCs/>
          <w:color w:val="000000"/>
        </w:rPr>
        <w:lastRenderedPageBreak/>
        <w:t xml:space="preserve">extensión vigentes, correo electrónico institucional, versión pública de la credencial de empleado y curriculum vitae actualizado. </w:t>
      </w:r>
    </w:p>
    <w:p w:rsidR="00F61476" w:rsidRPr="00D6533F" w:rsidRDefault="00D95DDF" w:rsidP="00D6533F">
      <w:pPr>
        <w:pBdr>
          <w:top w:val="none" w:sz="0" w:space="0" w:color="000000"/>
          <w:left w:val="none" w:sz="0" w:space="0" w:color="000000"/>
          <w:bottom w:val="none" w:sz="0" w:space="0" w:color="000000"/>
          <w:right w:val="none" w:sz="0" w:space="0" w:color="000000"/>
          <w:between w:val="none" w:sz="0" w:space="0" w:color="000000"/>
        </w:pBdr>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2. El documento que contenga la autorización o similar para que, vehículos de transporte público hagan base para cargar pasaje en la ubicación señalada. </w:t>
      </w:r>
    </w:p>
    <w:p w:rsidR="00F61476" w:rsidRPr="00D6533F" w:rsidRDefault="00D95DDF" w:rsidP="00D6533F">
      <w:pPr>
        <w:pBdr>
          <w:top w:val="none" w:sz="0" w:space="0" w:color="000000"/>
          <w:left w:val="none" w:sz="0" w:space="0" w:color="000000"/>
          <w:bottom w:val="none" w:sz="0" w:space="0" w:color="000000"/>
          <w:right w:val="none" w:sz="0" w:space="0" w:color="000000"/>
          <w:between w:val="none" w:sz="0" w:space="0" w:color="000000"/>
        </w:pBdr>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3. Domicilio, correo electrónico institucional, teléfono institucional del órgano de control interno de la Secretaría de Movilidad. </w:t>
      </w:r>
    </w:p>
    <w:p w:rsidR="00F61476" w:rsidRPr="00D6533F" w:rsidRDefault="00D95DDF" w:rsidP="00D6533F">
      <w:pPr>
        <w:pBdr>
          <w:top w:val="none" w:sz="0" w:space="0" w:color="000000"/>
          <w:left w:val="none" w:sz="0" w:space="0" w:color="000000"/>
          <w:bottom w:val="none" w:sz="0" w:space="0" w:color="000000"/>
          <w:right w:val="none" w:sz="0" w:space="0" w:color="000000"/>
          <w:between w:val="none" w:sz="0" w:space="0" w:color="000000"/>
        </w:pBdr>
        <w:ind w:left="1134"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i/>
          <w:iCs/>
          <w:color w:val="000000"/>
        </w:rPr>
        <w:t>4. Nombre del área y nombre del titular responsable de recibir las quejas relacionadas con bases de transporte público para cargar pasaje.</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En respuesta el SUJETO OBLIGADO, entregó por medio de la Titular de la Unidad de Transparencia los archivos descritos en el numeral dos de la presente resolución</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Posteriormente, el RECURRENTE interpuso recurso de revisión en el que se inconformó por el señalamiento de incompetencia total del Sujeto Obligado refiriendo el deber del mismo a declarar la incompetencia parcial y señalar el sujeto obligado competente para atender su solicitud.</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Resulta importante establecer, que el servidor público habilitado que emitió la respuesta en cita y admite ser poseedor de la información, por lo cual, no es necesario estudiar si este es competente para conocer y en su caso dar respuesta a la solicitud, pues al mencionar que pone a disposición la información solicitada, </w:t>
      </w:r>
      <w:r w:rsidRPr="00D6533F">
        <w:rPr>
          <w:rFonts w:ascii="Palatino Linotype" w:eastAsia="Palatino Linotype" w:hAnsi="Palatino Linotype" w:cs="Palatino Linotype"/>
        </w:rPr>
        <w:t>esté</w:t>
      </w:r>
      <w:r w:rsidRPr="00D6533F">
        <w:rPr>
          <w:rFonts w:ascii="Palatino Linotype" w:eastAsia="Palatino Linotype" w:hAnsi="Palatino Linotype" w:cs="Palatino Linotype"/>
          <w:color w:val="000000"/>
        </w:rPr>
        <w:t xml:space="preserve"> reconoce contar con la misma.</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b/>
          <w:bCs/>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rPr>
        <w:t>Al respecto, se precisa que se obvia el análisis de la competencia por parte del SUJETO OBLIGADO, para generar, administrar o poseer la información solicitada, dado que éste ha asumido la misma, en razón de que en su respuesta admitió contar con dicha información.</w:t>
      </w: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lastRenderedPageBreak/>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F61476" w:rsidRPr="00D6533F" w:rsidRDefault="00D95DDF" w:rsidP="00D6533F">
      <w:pPr>
        <w:shd w:val="clear" w:color="auto" w:fill="FFFFFF"/>
        <w:ind w:left="1134" w:right="-1136"/>
        <w:jc w:val="both"/>
        <w:rPr>
          <w:rFonts w:ascii="Palatino Linotype" w:eastAsia="Palatino Linotype" w:hAnsi="Palatino Linotype" w:cs="Palatino Linotype"/>
          <w:i/>
          <w:iCs/>
          <w:color w:val="222222"/>
        </w:rPr>
      </w:pPr>
      <w:r w:rsidRPr="00D6533F">
        <w:rPr>
          <w:rFonts w:ascii="Palatino Linotype" w:eastAsia="Palatino Linotype" w:hAnsi="Palatino Linotype" w:cs="Palatino Linotype"/>
          <w:i/>
          <w:iCs/>
          <w:color w:val="222222"/>
        </w:rPr>
        <w:t>“</w:t>
      </w:r>
      <w:r w:rsidRPr="00D6533F">
        <w:rPr>
          <w:rFonts w:ascii="Palatino Linotype" w:eastAsia="Palatino Linotype" w:hAnsi="Palatino Linotype" w:cs="Palatino Linotype"/>
          <w:b/>
          <w:bCs/>
          <w:i/>
          <w:iCs/>
          <w:color w:val="222222"/>
        </w:rPr>
        <w:t>Artículo 12.</w:t>
      </w:r>
      <w:r w:rsidRPr="00D6533F">
        <w:rPr>
          <w:rFonts w:ascii="Palatino Linotype" w:eastAsia="Palatino Linotype" w:hAnsi="Palatino Linotype" w:cs="Palatino Linotype"/>
          <w:i/>
          <w:iCs/>
          <w:color w:val="222222"/>
        </w:rPr>
        <w:t> Quienes generen, recopilen, administren, manejen, procesen, archiven o conserven información pública serán responsables de la misma en los términos de las disposiciones jurídicas aplicables.</w:t>
      </w:r>
    </w:p>
    <w:p w:rsidR="00F61476" w:rsidRPr="00D6533F" w:rsidRDefault="00F61476" w:rsidP="00D6533F">
      <w:pPr>
        <w:shd w:val="clear" w:color="auto" w:fill="FFFFFF"/>
        <w:ind w:left="1134" w:right="-1136"/>
        <w:jc w:val="both"/>
        <w:rPr>
          <w:rFonts w:ascii="Palatino Linotype" w:eastAsia="Palatino Linotype" w:hAnsi="Palatino Linotype" w:cs="Palatino Linotype"/>
          <w:color w:val="222222"/>
        </w:rPr>
      </w:pPr>
    </w:p>
    <w:p w:rsidR="00F61476" w:rsidRPr="00D6533F" w:rsidRDefault="00D95DDF" w:rsidP="00D6533F">
      <w:pPr>
        <w:shd w:val="clear" w:color="auto" w:fill="FFFFFF"/>
        <w:ind w:left="1134" w:right="-1136"/>
        <w:jc w:val="both"/>
        <w:rPr>
          <w:rFonts w:ascii="Palatino Linotype" w:eastAsia="Palatino Linotype" w:hAnsi="Palatino Linotype" w:cs="Palatino Linotype"/>
          <w:i/>
          <w:iCs/>
          <w:color w:val="222222"/>
        </w:rPr>
      </w:pPr>
      <w:r w:rsidRPr="00D6533F">
        <w:rPr>
          <w:rFonts w:ascii="Palatino Linotype" w:eastAsia="Palatino Linotype" w:hAnsi="Palatino Linotype" w:cs="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F61476" w:rsidRPr="00D6533F" w:rsidRDefault="00F61476" w:rsidP="00D6533F">
      <w:pP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Ahora bien, no es demás reiterar que, la respuesta fue emitida por la Titular de la Unidad de Transparencia, quien posee las funciones de gestión de los registros de los servidores públicos, sus remuneraciones y áreas a las que hubiesen sido asignados, por lo que se advierte que la respuesta fue emitida por el Servidores Públicos Habilitados competentes, </w:t>
      </w:r>
      <w:r w:rsidRPr="00D6533F">
        <w:rPr>
          <w:rFonts w:ascii="Palatino Linotype" w:eastAsia="Palatino Linotype" w:hAnsi="Palatino Linotype" w:cs="Palatino Linotype"/>
          <w:color w:val="000000"/>
        </w:rPr>
        <w:lastRenderedPageBreak/>
        <w:t>así es dable sostener que, al haber existido pronunciamiento por parte del SUJETO OBLIGADO, este Instituto no está facultado para manifestarse sobre la veracidad de este, pues no existe precepto legal alguno en la Ley de la materia que lo faculte para que, vía recurso de revisión, pueda pronunciarse al respecto.</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Ahora bien, es importante señalar que el artículo 4, párrafo segundo de la Ley de Transparencia y Acceso a la Información Pública del Estado de México y Municipios, dispone lo siguiente: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“Artículo 4.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Así, el derecho de acceso a la información pública se satisface en aquellos casos en que se entregue el soporte documental en que conste la información pública, toda vez que, los </w:t>
      </w:r>
      <w:r w:rsidRPr="00D6533F">
        <w:rPr>
          <w:rFonts w:ascii="Palatino Linotype" w:eastAsia="Palatino Linotype" w:hAnsi="Palatino Linotype" w:cs="Palatino Linotype"/>
          <w:color w:val="000000"/>
        </w:rPr>
        <w:lastRenderedPageBreak/>
        <w:t xml:space="preserve">Sujetos Obligados no tienen el deber de generar, poseer o administrar la información pública con el grado de detalle solicitado; esto es, que no tienen el deber de generar un documento ad hoc, para satisfacer el derecho de acceso a la información pública. </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Como apoyo a lo anterior, es aplicable el Criterio 03-17, emitido por el Instituto Nacional de Transparencia, Acceso a la Información y Protección de Datos Personales, que dice: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“No existe obligación de elaborar documentos ad hoc para atender las solicitudes de acceso a la información.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F61476" w:rsidRPr="00D6533F" w:rsidRDefault="00F61476" w:rsidP="00D6533F">
      <w:pPr>
        <w:spacing w:line="276" w:lineRule="auto"/>
        <w:ind w:left="1134" w:right="-1136"/>
        <w:jc w:val="both"/>
        <w:rPr>
          <w:rFonts w:ascii="Palatino Linotype" w:eastAsia="Palatino Linotype" w:hAnsi="Palatino Linotype" w:cs="Palatino Linotype"/>
          <w:i/>
          <w:iCs/>
          <w:color w:val="000000"/>
        </w:rPr>
      </w:pP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Resoluciones: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 RRA 0050/16. Instituto Nacional para la Evaluación de la Educación. 13 julio de 2016. Por unanimidad. Comisionado Ponente: Francisco Javier Acuña Llamas.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 RRA 0310/16. Instituto Nacional de Transparencia, Acceso a la Información y Protección de Datos Personales. 10 de agosto de 2016. Por unanimidad. Comisionada Ponente. Areli Cano Guadiana.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RRA 1889/16. Secretaría de Hacienda y Crédito Público. 05 de octubre de 2016. Por unanimidad. Comisionada Ponente. Ximena Puente de la Mora.”</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lastRenderedPageBreak/>
        <w:t xml:space="preserve">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“Artículo 3. Para los efectos de la presente Ley se entenderá por: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XI. Documento: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w:t>
      </w: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lastRenderedPageBreak/>
        <w:t>Siendo 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Al respecto, 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sobreseimiento; y, en su caso, ordenar la entrega de la información respecto a la respuesta emitida por el SUJETO OBLIGADO, lo cierto, es que este Órgano Garante advierte que se actualiza la causal de </w:t>
      </w:r>
      <w:r w:rsidRPr="00D6533F">
        <w:rPr>
          <w:rFonts w:ascii="Palatino Linotype" w:eastAsia="Palatino Linotype" w:hAnsi="Palatino Linotype" w:cs="Palatino Linotype"/>
          <w:color w:val="000000"/>
        </w:rPr>
        <w:lastRenderedPageBreak/>
        <w:t xml:space="preserve">sobreseimiento prevista en la fracción V del artículo 192 de la Ley de Transparencia y Acceso a la Información Pública del Estado de México y Municipios, como se expone a continuación: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 Artículo 192. El recurso será sobreseído, en todo o en parte, cuando una vez admitido, se actualicen alguno de los siguientes supuestos: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 </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IV. Admitido el recurso de revisión, aparezca alguna causal de improcedencia en los términos de la presente Ley;”</w:t>
      </w:r>
    </w:p>
    <w:p w:rsidR="00F61476" w:rsidRPr="00D6533F" w:rsidRDefault="00F61476" w:rsidP="00D6533F">
      <w:pPr>
        <w:pBdr>
          <w:top w:val="nil"/>
          <w:left w:val="nil"/>
          <w:bottom w:val="nil"/>
          <w:right w:val="nil"/>
          <w:between w:val="nil"/>
        </w:pBdr>
        <w:spacing w:line="360" w:lineRule="auto"/>
        <w:ind w:left="720"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De lo anterior se advierte que la parte Recurrente interpuso recurso de revisión en el que se inconformó por el </w:t>
      </w:r>
      <w:r w:rsidRPr="00D6533F">
        <w:rPr>
          <w:rFonts w:ascii="Palatino Linotype" w:eastAsia="Palatino Linotype" w:hAnsi="Palatino Linotype" w:cs="Palatino Linotype"/>
          <w:b/>
          <w:bCs/>
          <w:color w:val="000000"/>
        </w:rPr>
        <w:t>señalamiento de incompetencia total del Sujeto Obligado refiriendo el deber del mismo a declarar la incompetencia parcial y señalar el sujeto obligado competente para atender su solicitud.</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Ahora bien, ya que si bien es cierto el particular refirió que el Sujeto Obligado pronunció su  </w:t>
      </w:r>
      <w:r w:rsidRPr="00D6533F">
        <w:rPr>
          <w:rFonts w:ascii="Palatino Linotype" w:eastAsia="Palatino Linotype" w:hAnsi="Palatino Linotype" w:cs="Palatino Linotype"/>
          <w:i/>
          <w:iCs/>
          <w:color w:val="000000"/>
        </w:rPr>
        <w:t>“competencia total”</w:t>
      </w:r>
      <w:r w:rsidRPr="00D6533F">
        <w:rPr>
          <w:rFonts w:ascii="Palatino Linotype" w:eastAsia="Palatino Linotype" w:hAnsi="Palatino Linotype" w:cs="Palatino Linotype"/>
          <w:color w:val="000000"/>
        </w:rPr>
        <w:t xml:space="preserve"> y que éste omitió señalar a la autoridad competente diversa para  atender su solicitud de información y derivado  de que el particular no resulta experto en terminología de administración pública o incluso transparencia, es que se comprende que su inconformidad recae en el </w:t>
      </w:r>
      <w:r w:rsidRPr="00D6533F">
        <w:rPr>
          <w:rFonts w:ascii="Palatino Linotype" w:eastAsia="Palatino Linotype" w:hAnsi="Palatino Linotype" w:cs="Palatino Linotype"/>
          <w:i/>
          <w:iCs/>
          <w:color w:val="000000"/>
        </w:rPr>
        <w:t>señalamiento de incompetencia del Sujeto Obligado y la omisión de señalarle al particular la autoridad competente para atender su solicitud de información</w:t>
      </w:r>
      <w:r w:rsidRPr="00D6533F">
        <w:rPr>
          <w:rFonts w:ascii="Palatino Linotype" w:eastAsia="Palatino Linotype" w:hAnsi="Palatino Linotype" w:cs="Palatino Linotype"/>
          <w:color w:val="000000"/>
        </w:rPr>
        <w:t>; requerimiento de información hecho valer en la interposición del presente recurso.</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i/>
          <w:iCs/>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Dichas precisiones, con fundamento en los artículos 13 y 181 cuarto párrafo de la Ley en materia, los cuales a la letra rezan: </w:t>
      </w:r>
    </w:p>
    <w:p w:rsidR="00F61476" w:rsidRPr="00D6533F" w:rsidRDefault="00D95DDF" w:rsidP="00D6533F">
      <w:pPr>
        <w:pBdr>
          <w:top w:val="nil"/>
          <w:left w:val="nil"/>
          <w:bottom w:val="nil"/>
          <w:right w:val="nil"/>
          <w:between w:val="nil"/>
        </w:pBdr>
        <w:spacing w:before="240" w:after="160"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b/>
          <w:bCs/>
          <w:i/>
          <w:iCs/>
          <w:color w:val="000000"/>
        </w:rPr>
        <w:lastRenderedPageBreak/>
        <w:t xml:space="preserve">“Artículo 13. </w:t>
      </w:r>
      <w:r w:rsidRPr="00D6533F">
        <w:rPr>
          <w:rFonts w:ascii="Palatino Linotype" w:eastAsia="Palatino Linotype" w:hAnsi="Palatino Linotype" w:cs="Palatino Linotype"/>
          <w:i/>
          <w:iCs/>
          <w:color w:val="000000"/>
        </w:rPr>
        <w:t>El Instituto, en el ámbito de sus atribuciones, deberá suplir cualquier deficiencia para garantizar el ejercicio del derecho de acceso a la información.</w:t>
      </w:r>
    </w:p>
    <w:p w:rsidR="00F61476" w:rsidRPr="00D6533F" w:rsidRDefault="00D95DDF" w:rsidP="00D6533F">
      <w:pPr>
        <w:pBdr>
          <w:top w:val="nil"/>
          <w:left w:val="nil"/>
          <w:bottom w:val="nil"/>
          <w:right w:val="nil"/>
          <w:between w:val="nil"/>
        </w:pBdr>
        <w:spacing w:before="240" w:after="160" w:line="276" w:lineRule="auto"/>
        <w:ind w:left="1134" w:right="-1136"/>
        <w:jc w:val="both"/>
        <w:rPr>
          <w:rFonts w:ascii="Palatino Linotype" w:eastAsia="Palatino Linotype" w:hAnsi="Palatino Linotype" w:cs="Palatino Linotype"/>
          <w:b/>
          <w:bCs/>
          <w:i/>
          <w:iCs/>
          <w:color w:val="000000"/>
        </w:rPr>
      </w:pPr>
      <w:r w:rsidRPr="00D6533F">
        <w:rPr>
          <w:rFonts w:ascii="Palatino Linotype" w:eastAsia="Palatino Linotype" w:hAnsi="Palatino Linotype" w:cs="Palatino Linotype"/>
          <w:b/>
          <w:bCs/>
          <w:i/>
          <w:iCs/>
          <w:color w:val="000000"/>
        </w:rPr>
        <w:t xml:space="preserve">Artículo 181. … </w:t>
      </w:r>
    </w:p>
    <w:p w:rsidR="00F61476" w:rsidRPr="00D6533F" w:rsidRDefault="00D95DDF" w:rsidP="00D6533F">
      <w:pPr>
        <w:pBdr>
          <w:top w:val="nil"/>
          <w:left w:val="nil"/>
          <w:bottom w:val="nil"/>
          <w:right w:val="nil"/>
          <w:between w:val="nil"/>
        </w:pBdr>
        <w:spacing w:before="240" w:after="160" w:line="276" w:lineRule="auto"/>
        <w:ind w:left="1134" w:right="-1136"/>
        <w:jc w:val="both"/>
        <w:rPr>
          <w:rFonts w:ascii="Palatino Linotype" w:eastAsia="Palatino Linotype" w:hAnsi="Palatino Linotype" w:cs="Palatino Linotype"/>
          <w:b/>
          <w:bCs/>
          <w:i/>
          <w:iCs/>
          <w:color w:val="000000"/>
        </w:rPr>
      </w:pPr>
      <w:r w:rsidRPr="00D6533F">
        <w:rPr>
          <w:rFonts w:ascii="Palatino Linotype" w:eastAsia="Palatino Linotype" w:hAnsi="Palatino Linotype" w:cs="Palatino Linotype"/>
          <w:i/>
          <w:iCs/>
          <w:color w:val="000000"/>
        </w:rPr>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D6533F">
        <w:rPr>
          <w:rFonts w:ascii="Palatino Linotype" w:eastAsia="Palatino Linotype" w:hAnsi="Palatino Linotype" w:cs="Palatino Linotype"/>
          <w:b/>
          <w:bCs/>
          <w:i/>
          <w:iCs/>
          <w:color w:val="000000"/>
        </w:rPr>
        <w:t>[Sic]</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Sin embargo como se ha observado de la respuesta emitida por el Sujeto Obligado </w:t>
      </w:r>
      <w:r w:rsidRPr="00D6533F">
        <w:rPr>
          <w:rFonts w:ascii="Palatino Linotype" w:eastAsia="Palatino Linotype" w:hAnsi="Palatino Linotype" w:cs="Palatino Linotype"/>
        </w:rPr>
        <w:t>divergen</w:t>
      </w:r>
      <w:r w:rsidRPr="00D6533F">
        <w:rPr>
          <w:rFonts w:ascii="Palatino Linotype" w:eastAsia="Palatino Linotype" w:hAnsi="Palatino Linotype" w:cs="Palatino Linotype"/>
          <w:color w:val="000000"/>
        </w:rPr>
        <w:t xml:space="preserve"> por completo de tal inconformidad al no advertirse dentro de las documentales entregadas tal señalamiento de incompetencia; por lo que el motivo de agravio no guarda relación con la respuesta obtenida en el presente asunto.</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En este orden de ideas, es conducente colegir que, en el presente Recurso de Revisión, se actualizó la causal de improcedencia prevista en la fracción III, del numeral 191, de la Ley de Transparencia y Acceso a la Información Pública del Estado de México y Municipios; por tanto, encuadra en el supuesto de sobreseimiento previsto en el artículo 192 fracción IV de la misma Ley; en virtud que no se actualizó ningún supuesto de procedencia señalado en el ordenamiento en cita. </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Siendo el sobreseimiento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w:t>
      </w:r>
      <w:r w:rsidRPr="00D6533F">
        <w:rPr>
          <w:rFonts w:ascii="Palatino Linotype" w:eastAsia="Palatino Linotype" w:hAnsi="Palatino Linotype" w:cs="Palatino Linotype"/>
          <w:color w:val="000000"/>
        </w:rPr>
        <w:lastRenderedPageBreak/>
        <w:t>estudio de fondo del asunto de que se trate; lo anterior con apoyo en el criterio del Poder Judicial de la Federación con rubro:</w:t>
      </w:r>
    </w:p>
    <w:p w:rsidR="00F61476" w:rsidRPr="00D6533F" w:rsidRDefault="00D95DDF" w:rsidP="00D6533F">
      <w:pPr>
        <w:spacing w:line="360"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“SOBRESEIMIENTO, NO PERMITE ENTRAR AL ESTUDIO DE LAS CUESTIONES DE FONDO</w:t>
      </w:r>
    </w:p>
    <w:p w:rsidR="00F61476" w:rsidRPr="00D6533F" w:rsidRDefault="00D95DDF" w:rsidP="00D6533F">
      <w:pPr>
        <w:spacing w:line="360"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Localización: 213609. II.2o.183 K. Tribunales Colegiados de Circuito. Octava Época. Semanario Judicial de la Federación. Tomo XIII, Febrero de 1994, Pág. 420</w:t>
      </w:r>
    </w:p>
    <w:p w:rsidR="00F61476" w:rsidRPr="00D6533F" w:rsidRDefault="00D95DDF" w:rsidP="00D6533F">
      <w:pPr>
        <w:spacing w:line="360"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Cabe destacar que la decisión de este Organismo Colegiado de sobreseer el recurso de revisión no implica una limitación o negación a la justicia, según lo ha establecido el Poder Judicial Federal, en el criterio que es aplicable por analogía, con rubro:</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“DESECHAMIENTO O SOBRESEIMIENTO EN EL JUICIO DE AMPARO. NO IMPLICA DENEGACIÓN DE JUSTICIA NI GENERA INSEGURIDAD JURÍDICA”</w:t>
      </w:r>
    </w:p>
    <w:p w:rsidR="00F61476" w:rsidRPr="00D6533F" w:rsidRDefault="00D95DDF" w:rsidP="00D6533F">
      <w:pPr>
        <w:spacing w:line="276" w:lineRule="auto"/>
        <w:ind w:left="1134" w:right="-1136"/>
        <w:jc w:val="both"/>
        <w:rPr>
          <w:rFonts w:ascii="Palatino Linotype" w:eastAsia="Palatino Linotype" w:hAnsi="Palatino Linotype" w:cs="Palatino Linotype"/>
          <w:i/>
          <w:iCs/>
          <w:color w:val="000000"/>
        </w:rPr>
      </w:pPr>
      <w:r w:rsidRPr="00D6533F">
        <w:rPr>
          <w:rFonts w:ascii="Palatino Linotype" w:eastAsia="Palatino Linotype" w:hAnsi="Palatino Linotype" w:cs="Palatino Linotype"/>
          <w:i/>
          <w:iCs/>
          <w:color w:val="000000"/>
        </w:rPr>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w:t>
      </w:r>
      <w:r w:rsidRPr="00D6533F">
        <w:rPr>
          <w:rFonts w:ascii="Palatino Linotype" w:eastAsia="Palatino Linotype" w:hAnsi="Palatino Linotype" w:cs="Palatino Linotype"/>
          <w:i/>
          <w:iCs/>
          <w:color w:val="000000"/>
        </w:rPr>
        <w:lastRenderedPageBreak/>
        <w:t>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r w:rsidRPr="00D6533F">
        <w:rPr>
          <w:rFonts w:ascii="Palatino Linotype" w:eastAsia="Palatino Linotype" w:hAnsi="Palatino Linotype" w:cs="Palatino Linotype"/>
          <w:i/>
          <w:iCs/>
          <w:color w:val="000000"/>
        </w:rPr>
        <w:tab/>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Finalmente, se dejan a salvo los derechos de la Particular a fin de que, en considerarlo pertinente, interponga una nueva solicitud de acceso a la información, ante el Sujeto Obligado, en el que requiera la información de su interés. </w:t>
      </w:r>
    </w:p>
    <w:p w:rsidR="00F61476" w:rsidRPr="00D6533F" w:rsidRDefault="00F61476" w:rsidP="00D6533F">
      <w:pPr>
        <w:pBdr>
          <w:top w:val="nil"/>
          <w:left w:val="nil"/>
          <w:bottom w:val="nil"/>
          <w:right w:val="nil"/>
          <w:between w:val="nil"/>
        </w:pBdr>
        <w:spacing w:line="360" w:lineRule="auto"/>
        <w:ind w:right="-1136"/>
        <w:jc w:val="both"/>
        <w:rPr>
          <w:rFonts w:ascii="Palatino Linotype" w:eastAsia="Palatino Linotype" w:hAnsi="Palatino Linotype" w:cs="Palatino Linotype"/>
        </w:rPr>
      </w:pPr>
    </w:p>
    <w:p w:rsidR="00F61476" w:rsidRPr="00D6533F" w:rsidRDefault="00D95DDF" w:rsidP="00D6533F">
      <w:pPr>
        <w:numPr>
          <w:ilvl w:val="0"/>
          <w:numId w:val="1"/>
        </w:numPr>
        <w:pBdr>
          <w:top w:val="nil"/>
          <w:left w:val="nil"/>
          <w:bottom w:val="nil"/>
          <w:right w:val="nil"/>
          <w:between w:val="nil"/>
        </w:pBd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Por lo que, con fundamento en los </w:t>
      </w:r>
      <w:r w:rsidRPr="00D6533F">
        <w:rPr>
          <w:rFonts w:ascii="Palatino Linotype" w:eastAsia="Palatino Linotype" w:hAnsi="Palatino Linotype" w:cs="Palatino Linotype"/>
          <w:b/>
          <w:bCs/>
          <w:i/>
          <w:iCs/>
          <w:color w:val="000000"/>
        </w:rPr>
        <w:t>artículos 186, fracción I y 192 fracción IV</w:t>
      </w:r>
      <w:r w:rsidRPr="00D6533F">
        <w:rPr>
          <w:rFonts w:ascii="Palatino Linotype" w:eastAsia="Palatino Linotype" w:hAnsi="Palatino Linotype" w:cs="Palatino Linotype"/>
          <w:color w:val="000000"/>
        </w:rPr>
        <w:t xml:space="preserve">; en relación con el </w:t>
      </w:r>
      <w:r w:rsidRPr="00D6533F">
        <w:rPr>
          <w:rFonts w:ascii="Palatino Linotype" w:eastAsia="Palatino Linotype" w:hAnsi="Palatino Linotype" w:cs="Palatino Linotype"/>
          <w:b/>
          <w:bCs/>
          <w:i/>
          <w:iCs/>
          <w:color w:val="000000"/>
        </w:rPr>
        <w:t>191 fracción III</w:t>
      </w:r>
      <w:r w:rsidRPr="00D6533F">
        <w:rPr>
          <w:rFonts w:ascii="Palatino Linotype" w:eastAsia="Palatino Linotype" w:hAnsi="Palatino Linotype" w:cs="Palatino Linotype"/>
          <w:color w:val="000000"/>
        </w:rPr>
        <w:t xml:space="preserve">, de la Ley de Transparencia y Acceso a la Información Pública del Estado de México y Municipios, es procedente </w:t>
      </w:r>
      <w:r w:rsidRPr="00D6533F">
        <w:rPr>
          <w:rFonts w:ascii="Palatino Linotype" w:eastAsia="Palatino Linotype" w:hAnsi="Palatino Linotype" w:cs="Palatino Linotype"/>
          <w:b/>
          <w:bCs/>
          <w:color w:val="000000"/>
        </w:rPr>
        <w:t>SOBRESEER</w:t>
      </w:r>
      <w:r w:rsidRPr="00D6533F">
        <w:rPr>
          <w:rFonts w:ascii="Palatino Linotype" w:eastAsia="Palatino Linotype" w:hAnsi="Palatino Linotype" w:cs="Palatino Linotype"/>
          <w:color w:val="000000"/>
        </w:rPr>
        <w:t xml:space="preserve"> el Recurso de Revisión</w:t>
      </w:r>
      <w:r w:rsidRPr="00D6533F">
        <w:rPr>
          <w:rFonts w:ascii="Palatino Linotype" w:eastAsia="Palatino Linotype" w:hAnsi="Palatino Linotype" w:cs="Palatino Linotype"/>
          <w:b/>
          <w:bCs/>
          <w:color w:val="000000"/>
        </w:rPr>
        <w:t xml:space="preserve">  03633/INFOEM/IP/RR/2026</w:t>
      </w:r>
      <w:r w:rsidRPr="00D6533F">
        <w:rPr>
          <w:rFonts w:ascii="Palatino Linotype" w:eastAsia="Palatino Linotype" w:hAnsi="Palatino Linotype" w:cs="Palatino Linotype"/>
          <w:color w:val="000000"/>
        </w:rPr>
        <w:t>, ya que una vez admitido el Recurso de Revisión surgió una causal de improcedencia.</w:t>
      </w:r>
    </w:p>
    <w:p w:rsidR="00F61476" w:rsidRPr="00D6533F" w:rsidRDefault="00F61476" w:rsidP="00D6533F">
      <w:pPr>
        <w:spacing w:line="360" w:lineRule="auto"/>
        <w:ind w:right="-1136"/>
        <w:jc w:val="both"/>
        <w:rPr>
          <w:rFonts w:ascii="Palatino Linotype" w:eastAsia="Palatino Linotype" w:hAnsi="Palatino Linotype" w:cs="Palatino Linotype"/>
        </w:rPr>
      </w:pPr>
    </w:p>
    <w:p w:rsidR="00F61476" w:rsidRPr="00D6533F" w:rsidRDefault="00D95DDF" w:rsidP="00D6533F">
      <w:pPr>
        <w:spacing w:line="360" w:lineRule="auto"/>
        <w:ind w:right="-1136"/>
        <w:jc w:val="both"/>
        <w:rPr>
          <w:rFonts w:ascii="Palatino Linotype" w:eastAsia="Palatino Linotype" w:hAnsi="Palatino Linotype" w:cs="Palatino Linotype"/>
          <w:b/>
          <w:bCs/>
          <w:color w:val="000000"/>
        </w:rPr>
      </w:pPr>
      <w:r w:rsidRPr="00D6533F">
        <w:rPr>
          <w:rFonts w:ascii="Palatino Linotype" w:eastAsia="Palatino Linotype" w:hAnsi="Palatino Linotype" w:cs="Palatino Linotype"/>
          <w:b/>
          <w:bCs/>
          <w:color w:val="000000"/>
        </w:rPr>
        <w:t>CUARTO. Decisión</w:t>
      </w:r>
    </w:p>
    <w:p w:rsidR="00F61476" w:rsidRPr="00D6533F" w:rsidRDefault="00D95DDF" w:rsidP="00D6533F">
      <w:pPr>
        <w:numPr>
          <w:ilvl w:val="0"/>
          <w:numId w:val="1"/>
        </w:numP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t xml:space="preserve">Después de haber  analizado las actuaciones realizadas por las partes en el expediente radicado en el Sistema de Acceso a la Información Mexiquense (SAIMEX), bajo el número  </w:t>
      </w:r>
      <w:r w:rsidRPr="00D6533F">
        <w:rPr>
          <w:rFonts w:ascii="Palatino Linotype" w:eastAsia="Palatino Linotype" w:hAnsi="Palatino Linotype" w:cs="Palatino Linotype"/>
          <w:b/>
          <w:bCs/>
          <w:color w:val="000000"/>
        </w:rPr>
        <w:t>03633/INFOEM/IP/RR/2026</w:t>
      </w:r>
      <w:r w:rsidRPr="00D6533F">
        <w:rPr>
          <w:rFonts w:ascii="Palatino Linotype" w:eastAsia="Palatino Linotype" w:hAnsi="Palatino Linotype" w:cs="Palatino Linotype"/>
          <w:color w:val="000000"/>
        </w:rPr>
        <w:t xml:space="preserve"> con fundamento en la fracción IV del artículo 192, en relación con el 191 fracción III de la Ley de Transparencia y Acceso a la Información Pública del Estado de México y Municipios, se </w:t>
      </w:r>
      <w:r w:rsidRPr="00D6533F">
        <w:rPr>
          <w:rFonts w:ascii="Palatino Linotype" w:eastAsia="Palatino Linotype" w:hAnsi="Palatino Linotype" w:cs="Palatino Linotype"/>
          <w:b/>
          <w:bCs/>
          <w:color w:val="000000"/>
        </w:rPr>
        <w:t xml:space="preserve">SOBRESEE </w:t>
      </w:r>
      <w:r w:rsidRPr="00D6533F">
        <w:rPr>
          <w:rFonts w:ascii="Palatino Linotype" w:eastAsia="Palatino Linotype" w:hAnsi="Palatino Linotype" w:cs="Palatino Linotype"/>
          <w:color w:val="000000"/>
        </w:rPr>
        <w:t>el recurso de revisión, ya que una vez admitido el Recurso de Revisión surgió una causal de improcedencia.</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numPr>
          <w:ilvl w:val="0"/>
          <w:numId w:val="1"/>
        </w:numP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color w:val="000000"/>
        </w:rPr>
        <w:lastRenderedPageBreak/>
        <w:t xml:space="preserve">Por lo anteriormente expuesto y fundado, este </w:t>
      </w:r>
      <w:r w:rsidRPr="00D6533F">
        <w:rPr>
          <w:rFonts w:ascii="Palatino Linotype" w:eastAsia="Palatino Linotype" w:hAnsi="Palatino Linotype" w:cs="Palatino Linotype"/>
          <w:b/>
          <w:bCs/>
          <w:color w:val="000000"/>
        </w:rPr>
        <w:t>ÓRGANO GARANTE</w:t>
      </w:r>
      <w:r w:rsidRPr="00D6533F">
        <w:rPr>
          <w:rFonts w:ascii="Palatino Linotype" w:eastAsia="Palatino Linotype" w:hAnsi="Palatino Linotype" w:cs="Palatino Linotype"/>
          <w:color w:val="000000"/>
        </w:rPr>
        <w:t xml:space="preserve"> emite los siguientes:</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spacing w:line="360" w:lineRule="auto"/>
        <w:ind w:right="-1136"/>
        <w:jc w:val="center"/>
        <w:rPr>
          <w:rFonts w:ascii="Palatino Linotype" w:eastAsia="Palatino Linotype" w:hAnsi="Palatino Linotype" w:cs="Palatino Linotype"/>
          <w:b/>
          <w:bCs/>
          <w:color w:val="000000"/>
        </w:rPr>
      </w:pPr>
      <w:r w:rsidRPr="00D6533F">
        <w:rPr>
          <w:rFonts w:ascii="Palatino Linotype" w:eastAsia="Palatino Linotype" w:hAnsi="Palatino Linotype" w:cs="Palatino Linotype"/>
          <w:b/>
          <w:bCs/>
          <w:color w:val="000000"/>
        </w:rPr>
        <w:t>R E S O L U T I V O S</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b/>
          <w:color w:val="000000"/>
        </w:rPr>
        <w:t>PRIMERO.</w:t>
      </w:r>
      <w:r w:rsidRPr="00D6533F">
        <w:rPr>
          <w:rFonts w:ascii="Palatino Linotype" w:eastAsia="Palatino Linotype" w:hAnsi="Palatino Linotype" w:cs="Palatino Linotype"/>
          <w:color w:val="000000"/>
        </w:rPr>
        <w:t xml:space="preserve"> Se </w:t>
      </w:r>
      <w:r w:rsidRPr="00D6533F">
        <w:rPr>
          <w:rFonts w:ascii="Palatino Linotype" w:eastAsia="Palatino Linotype" w:hAnsi="Palatino Linotype" w:cs="Palatino Linotype"/>
          <w:b/>
          <w:bCs/>
          <w:color w:val="000000"/>
        </w:rPr>
        <w:t>SOBRESEE</w:t>
      </w:r>
      <w:r w:rsidRPr="00D6533F">
        <w:rPr>
          <w:rFonts w:ascii="Palatino Linotype" w:eastAsia="Palatino Linotype" w:hAnsi="Palatino Linotype" w:cs="Palatino Linotype"/>
          <w:color w:val="000000"/>
        </w:rPr>
        <w:t xml:space="preserve"> el recurso de revisión número </w:t>
      </w:r>
      <w:r w:rsidRPr="00D6533F">
        <w:rPr>
          <w:rFonts w:ascii="Palatino Linotype" w:eastAsia="Palatino Linotype" w:hAnsi="Palatino Linotype" w:cs="Palatino Linotype"/>
          <w:b/>
          <w:bCs/>
          <w:color w:val="000000"/>
        </w:rPr>
        <w:t xml:space="preserve">03633/INFOEM/IP/RR/2026 </w:t>
      </w:r>
      <w:r w:rsidRPr="00D6533F">
        <w:rPr>
          <w:rFonts w:ascii="Palatino Linotype" w:eastAsia="Palatino Linotype" w:hAnsi="Palatino Linotype" w:cs="Palatino Linotype"/>
          <w:color w:val="000000"/>
        </w:rPr>
        <w:t>de conformidad con la fracción IV</w:t>
      </w:r>
      <w:r w:rsidR="006517E8" w:rsidRPr="00D6533F">
        <w:rPr>
          <w:rFonts w:ascii="Palatino Linotype" w:eastAsia="Palatino Linotype" w:hAnsi="Palatino Linotype" w:cs="Palatino Linotype"/>
          <w:color w:val="000000"/>
        </w:rPr>
        <w:t>,</w:t>
      </w:r>
      <w:r w:rsidRPr="00D6533F">
        <w:rPr>
          <w:rFonts w:ascii="Palatino Linotype" w:eastAsia="Palatino Linotype" w:hAnsi="Palatino Linotype" w:cs="Palatino Linotype"/>
          <w:color w:val="000000"/>
        </w:rPr>
        <w:t xml:space="preserve"> del artículo 192</w:t>
      </w:r>
      <w:r w:rsidR="006517E8" w:rsidRPr="00D6533F">
        <w:rPr>
          <w:rFonts w:ascii="Palatino Linotype" w:eastAsia="Palatino Linotype" w:hAnsi="Palatino Linotype" w:cs="Palatino Linotype"/>
          <w:color w:val="000000"/>
        </w:rPr>
        <w:t>,</w:t>
      </w:r>
      <w:r w:rsidRPr="00D6533F">
        <w:rPr>
          <w:rFonts w:ascii="Palatino Linotype" w:eastAsia="Palatino Linotype" w:hAnsi="Palatino Linotype" w:cs="Palatino Linotype"/>
          <w:color w:val="000000"/>
        </w:rPr>
        <w:t xml:space="preserve"> en relación con el 191</w:t>
      </w:r>
      <w:r w:rsidR="006517E8" w:rsidRPr="00D6533F">
        <w:rPr>
          <w:rFonts w:ascii="Palatino Linotype" w:eastAsia="Palatino Linotype" w:hAnsi="Palatino Linotype" w:cs="Palatino Linotype"/>
          <w:color w:val="000000"/>
        </w:rPr>
        <w:t>,</w:t>
      </w:r>
      <w:r w:rsidRPr="00D6533F">
        <w:rPr>
          <w:rFonts w:ascii="Palatino Linotype" w:eastAsia="Palatino Linotype" w:hAnsi="Palatino Linotype" w:cs="Palatino Linotype"/>
          <w:color w:val="000000"/>
        </w:rPr>
        <w:t xml:space="preserve"> fracción III</w:t>
      </w:r>
      <w:r w:rsidR="006517E8" w:rsidRPr="00D6533F">
        <w:rPr>
          <w:rFonts w:ascii="Palatino Linotype" w:eastAsia="Palatino Linotype" w:hAnsi="Palatino Linotype" w:cs="Palatino Linotype"/>
          <w:color w:val="000000"/>
        </w:rPr>
        <w:t>,</w:t>
      </w:r>
      <w:r w:rsidRPr="00D6533F">
        <w:rPr>
          <w:rFonts w:ascii="Palatino Linotype" w:eastAsia="Palatino Linotype" w:hAnsi="Palatino Linotype" w:cs="Palatino Linotype"/>
          <w:color w:val="000000"/>
        </w:rPr>
        <w:t xml:space="preserve"> de la Ley de Transparencia y Acceso a la Información Pública del Estado de México y Municipios, en términos del Considerando </w:t>
      </w:r>
      <w:r w:rsidRPr="00D6533F">
        <w:rPr>
          <w:rFonts w:ascii="Palatino Linotype" w:eastAsia="Palatino Linotype" w:hAnsi="Palatino Linotype" w:cs="Palatino Linotype"/>
          <w:b/>
          <w:bCs/>
          <w:color w:val="000000"/>
        </w:rPr>
        <w:t>TERCERO</w:t>
      </w:r>
      <w:r w:rsidRPr="00D6533F">
        <w:rPr>
          <w:rFonts w:ascii="Palatino Linotype" w:eastAsia="Palatino Linotype" w:hAnsi="Palatino Linotype" w:cs="Palatino Linotype"/>
          <w:color w:val="000000"/>
        </w:rPr>
        <w:t xml:space="preserve"> de la presente resolución.</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spacing w:line="360" w:lineRule="auto"/>
        <w:ind w:right="-1136"/>
        <w:jc w:val="both"/>
        <w:rPr>
          <w:rFonts w:ascii="Palatino Linotype" w:eastAsia="Palatino Linotype" w:hAnsi="Palatino Linotype" w:cs="Palatino Linotype"/>
          <w:b/>
          <w:bCs/>
          <w:color w:val="000000"/>
        </w:rPr>
      </w:pPr>
      <w:r w:rsidRPr="00D6533F">
        <w:rPr>
          <w:rFonts w:ascii="Palatino Linotype" w:eastAsia="Palatino Linotype" w:hAnsi="Palatino Linotype" w:cs="Palatino Linotype"/>
          <w:b/>
          <w:bCs/>
          <w:color w:val="000000"/>
        </w:rPr>
        <w:t>SEGUNDO</w:t>
      </w:r>
      <w:r w:rsidRPr="00D6533F">
        <w:rPr>
          <w:rFonts w:ascii="Palatino Linotype" w:eastAsia="Palatino Linotype" w:hAnsi="Palatino Linotype" w:cs="Palatino Linotype"/>
          <w:color w:val="000000"/>
        </w:rPr>
        <w:t xml:space="preserve">. Notifíquese a través del Sistema de Acceso a la Información Mexiquense </w:t>
      </w:r>
      <w:r w:rsidRPr="00D6533F">
        <w:rPr>
          <w:rFonts w:ascii="Palatino Linotype" w:eastAsia="Palatino Linotype" w:hAnsi="Palatino Linotype" w:cs="Palatino Linotype"/>
          <w:b/>
          <w:bCs/>
          <w:color w:val="000000"/>
        </w:rPr>
        <w:t>(SAIMEX)</w:t>
      </w:r>
      <w:r w:rsidRPr="00D6533F">
        <w:rPr>
          <w:rFonts w:ascii="Palatino Linotype" w:eastAsia="Palatino Linotype" w:hAnsi="Palatino Linotype" w:cs="Palatino Linotype"/>
          <w:color w:val="000000"/>
        </w:rPr>
        <w:t xml:space="preserve"> la presente resolución al Titular de la Unidad de Transparencia del </w:t>
      </w:r>
      <w:r w:rsidRPr="00D6533F">
        <w:rPr>
          <w:rFonts w:ascii="Palatino Linotype" w:eastAsia="Palatino Linotype" w:hAnsi="Palatino Linotype" w:cs="Palatino Linotype"/>
          <w:b/>
          <w:bCs/>
          <w:color w:val="000000"/>
        </w:rPr>
        <w:t>SUJETO OBLIGADO.</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b/>
          <w:bCs/>
          <w:color w:val="000000"/>
        </w:rPr>
        <w:t>TERCERO.</w:t>
      </w:r>
      <w:r w:rsidRPr="00D6533F">
        <w:rPr>
          <w:rFonts w:ascii="Palatino Linotype" w:eastAsia="Palatino Linotype" w:hAnsi="Palatino Linotype" w:cs="Palatino Linotype"/>
          <w:color w:val="000000"/>
        </w:rPr>
        <w:t xml:space="preserve"> Notifíquese a la parte </w:t>
      </w:r>
      <w:r w:rsidRPr="00D6533F">
        <w:rPr>
          <w:rFonts w:ascii="Palatino Linotype" w:eastAsia="Palatino Linotype" w:hAnsi="Palatino Linotype" w:cs="Palatino Linotype"/>
          <w:b/>
          <w:bCs/>
          <w:color w:val="000000"/>
        </w:rPr>
        <w:t>RECURRENTE</w:t>
      </w:r>
      <w:r w:rsidRPr="00D6533F">
        <w:rPr>
          <w:rFonts w:ascii="Palatino Linotype" w:eastAsia="Palatino Linotype" w:hAnsi="Palatino Linotype" w:cs="Palatino Linotype"/>
          <w:color w:val="000000"/>
        </w:rPr>
        <w:t xml:space="preserve"> a través del Sistema de Acceso a la Información Mexiquense </w:t>
      </w:r>
      <w:r w:rsidRPr="00D6533F">
        <w:rPr>
          <w:rFonts w:ascii="Palatino Linotype" w:eastAsia="Palatino Linotype" w:hAnsi="Palatino Linotype" w:cs="Palatino Linotype"/>
          <w:b/>
          <w:bCs/>
          <w:color w:val="000000"/>
        </w:rPr>
        <w:t>(SAIMEX)</w:t>
      </w:r>
      <w:r w:rsidRPr="00D6533F">
        <w:rPr>
          <w:rFonts w:ascii="Palatino Linotype" w:eastAsia="Palatino Linotype" w:hAnsi="Palatino Linotype" w:cs="Palatino Linotype"/>
          <w:color w:val="000000"/>
        </w:rPr>
        <w:t xml:space="preserve"> la presente resolución.</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D95DDF" w:rsidP="00D6533F">
      <w:pPr>
        <w:spacing w:line="360" w:lineRule="auto"/>
        <w:ind w:right="-1136"/>
        <w:jc w:val="both"/>
        <w:rPr>
          <w:rFonts w:ascii="Palatino Linotype" w:eastAsia="Palatino Linotype" w:hAnsi="Palatino Linotype" w:cs="Palatino Linotype"/>
          <w:color w:val="000000"/>
        </w:rPr>
      </w:pPr>
      <w:r w:rsidRPr="00D6533F">
        <w:rPr>
          <w:rFonts w:ascii="Palatino Linotype" w:eastAsia="Palatino Linotype" w:hAnsi="Palatino Linotype" w:cs="Palatino Linotype"/>
          <w:b/>
          <w:bCs/>
          <w:color w:val="000000"/>
        </w:rPr>
        <w:t>CUARTO</w:t>
      </w:r>
      <w:r w:rsidRPr="00D6533F">
        <w:rPr>
          <w:rFonts w:ascii="Palatino Linotype" w:eastAsia="Palatino Linotype" w:hAnsi="Palatino Linotype" w:cs="Palatino Linotype"/>
          <w:color w:val="000000"/>
        </w:rPr>
        <w:t xml:space="preserve">. Se hace del conocimiento de la parte </w:t>
      </w:r>
      <w:r w:rsidRPr="00D6533F">
        <w:rPr>
          <w:rFonts w:ascii="Palatino Linotype" w:eastAsia="Palatino Linotype" w:hAnsi="Palatino Linotype" w:cs="Palatino Linotype"/>
          <w:b/>
          <w:bCs/>
          <w:color w:val="000000"/>
        </w:rPr>
        <w:t xml:space="preserve">RECURRENTE </w:t>
      </w:r>
      <w:r w:rsidRPr="00D6533F">
        <w:rPr>
          <w:rFonts w:ascii="Palatino Linotype" w:eastAsia="Palatino Linotype" w:hAnsi="Palatino Linotype" w:cs="Palatino Linotype"/>
          <w:color w:val="000000"/>
        </w:rPr>
        <w:t xml:space="preserve">que, de conformidad con lo establecido en el artículo 196 de la Ley de Transparencia y Acceso a la Información Pública del Estado de México y Municipios, en caso de que considere que la resolución le cause algún perjuicio podrá </w:t>
      </w:r>
      <w:r w:rsidRPr="00D6533F">
        <w:rPr>
          <w:rFonts w:ascii="Palatino Linotype" w:eastAsia="Palatino Linotype" w:hAnsi="Palatino Linotype" w:cs="Palatino Linotype"/>
        </w:rPr>
        <w:t>impugnar vía</w:t>
      </w:r>
      <w:r w:rsidRPr="00D6533F">
        <w:rPr>
          <w:rFonts w:ascii="Palatino Linotype" w:eastAsia="Palatino Linotype" w:hAnsi="Palatino Linotype" w:cs="Palatino Linotype"/>
          <w:color w:val="000000"/>
        </w:rPr>
        <w:t xml:space="preserve"> juicio de amparo en los términos de las leyes aplicables.</w:t>
      </w: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6517E8" w:rsidRPr="00D6533F" w:rsidRDefault="006517E8" w:rsidP="00D6533F">
      <w:pPr>
        <w:spacing w:before="240" w:after="240" w:line="360" w:lineRule="auto"/>
        <w:ind w:right="-1136" w:firstLine="1"/>
        <w:jc w:val="both"/>
        <w:rPr>
          <w:rFonts w:ascii="Palatino Linotype" w:hAnsi="Palatino Linotype"/>
        </w:rPr>
      </w:pPr>
      <w:bookmarkStart w:id="5" w:name="_Hlk99014733"/>
      <w:r w:rsidRPr="00D6533F">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D6533F">
        <w:rPr>
          <w:rFonts w:ascii="Palatino Linotype" w:hAnsi="Palatino Linotype" w:cs="Palatino Linotype"/>
          <w:color w:val="000000" w:themeColor="text1"/>
        </w:rPr>
        <w:t>ALEXIS TAPIA RAMÍREZ.</w:t>
      </w:r>
    </w:p>
    <w:bookmarkEnd w:id="5"/>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color w:val="000000"/>
        </w:rPr>
      </w:pPr>
    </w:p>
    <w:p w:rsidR="00F61476" w:rsidRPr="00D6533F" w:rsidRDefault="00F61476" w:rsidP="00D6533F">
      <w:pPr>
        <w:spacing w:line="360" w:lineRule="auto"/>
        <w:ind w:right="-1136"/>
        <w:jc w:val="both"/>
        <w:rPr>
          <w:rFonts w:ascii="Palatino Linotype" w:eastAsia="Palatino Linotype" w:hAnsi="Palatino Linotype" w:cs="Palatino Linotype"/>
        </w:rPr>
      </w:pPr>
    </w:p>
    <w:sectPr w:rsidR="00F61476" w:rsidRPr="00D6533F" w:rsidSect="00D6533F">
      <w:headerReference w:type="default" r:id="rId8"/>
      <w:footerReference w:type="default" r:id="rId9"/>
      <w:headerReference w:type="first" r:id="rId10"/>
      <w:footerReference w:type="first" r:id="rId11"/>
      <w:pgSz w:w="12240" w:h="15840"/>
      <w:pgMar w:top="2269" w:right="1752" w:bottom="255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695" w:rsidRDefault="00765695">
      <w:r>
        <w:separator/>
      </w:r>
    </w:p>
  </w:endnote>
  <w:endnote w:type="continuationSeparator" w:id="0">
    <w:p w:rsidR="00765695" w:rsidRDefault="00765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F09747B7-8898-479B-BCAE-1E103826B69C}"/>
    <w:embedBold r:id="rId2" w:fontKey="{47B956B7-7F4D-4037-930D-E3B899538B72}"/>
    <w:embedItalic r:id="rId3" w:fontKey="{B8BE1C47-20A9-43BC-AFDD-EC886AFDB454}"/>
    <w:embedBoldItalic r:id="rId4" w:fontKey="{124E25D1-9D81-474F-BA33-D5D1E39FF5E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C2083AA7-248D-4753-854F-E0D4AA1ADE0F}"/>
  </w:font>
  <w:font w:name="Calibri">
    <w:panose1 w:val="020F0502020204030204"/>
    <w:charset w:val="00"/>
    <w:family w:val="swiss"/>
    <w:pitch w:val="variable"/>
    <w:sig w:usb0="E4002EFF" w:usb1="C200247B" w:usb2="00000009" w:usb3="00000000" w:csb0="000001FF" w:csb1="00000000"/>
    <w:embedRegular r:id="rId6" w:fontKey="{58F6D653-596C-448E-900E-019932D38528}"/>
  </w:font>
  <w:font w:name="Cambria">
    <w:panose1 w:val="02040503050406030204"/>
    <w:charset w:val="00"/>
    <w:family w:val="roman"/>
    <w:pitch w:val="variable"/>
    <w:sig w:usb0="E00006FF" w:usb1="420024FF" w:usb2="02000000" w:usb3="00000000" w:csb0="0000019F" w:csb1="00000000"/>
    <w:embedRegular r:id="rId7" w:fontKey="{934A1D22-D884-411D-82FC-EE987597DE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476" w:rsidRDefault="00D95DDF">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right"/>
      <w:rPr>
        <w:rFonts w:ascii="Palatino Linotype" w:eastAsia="Palatino Linotype" w:hAnsi="Palatino Linotype" w:cs="Palatino Linotype"/>
        <w:color w:val="000000"/>
        <w:sz w:val="28"/>
        <w:szCs w:val="28"/>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2C7314">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C7314">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p>
  <w:p w:rsidR="00F61476" w:rsidRDefault="00F61476">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476" w:rsidRDefault="00D95DDF">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C7314">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C7314">
      <w:rPr>
        <w:rFonts w:ascii="Palatino Linotype" w:eastAsia="Palatino Linotype" w:hAnsi="Palatino Linotype" w:cs="Palatino Linotype"/>
        <w:noProof/>
        <w:color w:val="000000"/>
        <w:sz w:val="22"/>
        <w:szCs w:val="22"/>
      </w:rPr>
      <w:t>22</w:t>
    </w:r>
    <w:r>
      <w:rPr>
        <w:rFonts w:ascii="Palatino Linotype" w:eastAsia="Palatino Linotype" w:hAnsi="Palatino Linotype" w:cs="Palatino Linotype"/>
        <w:color w:val="000000"/>
        <w:sz w:val="22"/>
        <w:szCs w:val="22"/>
      </w:rPr>
      <w:fldChar w:fldCharType="end"/>
    </w:r>
  </w:p>
  <w:p w:rsidR="00F61476" w:rsidRDefault="00F61476">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695" w:rsidRDefault="00765695">
      <w:r>
        <w:separator/>
      </w:r>
    </w:p>
  </w:footnote>
  <w:footnote w:type="continuationSeparator" w:id="0">
    <w:p w:rsidR="00765695" w:rsidRDefault="007656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795" w:type="dxa"/>
      <w:tblInd w:w="2694" w:type="dxa"/>
      <w:tblBorders>
        <w:top w:val="nil"/>
        <w:left w:val="nil"/>
        <w:bottom w:val="nil"/>
        <w:right w:val="nil"/>
        <w:insideH w:val="nil"/>
        <w:insideV w:val="nil"/>
      </w:tblBorders>
      <w:tblLayout w:type="fixed"/>
      <w:tblLook w:val="0000" w:firstRow="0" w:lastRow="0" w:firstColumn="0" w:lastColumn="0" w:noHBand="0" w:noVBand="0"/>
    </w:tblPr>
    <w:tblGrid>
      <w:gridCol w:w="3544"/>
      <w:gridCol w:w="4251"/>
    </w:tblGrid>
    <w:tr w:rsidR="00F61476" w:rsidTr="00D6533F">
      <w:trPr>
        <w:trHeight w:val="138"/>
      </w:trPr>
      <w:tc>
        <w:tcPr>
          <w:tcW w:w="3544" w:type="dxa"/>
          <w:vAlign w:val="center"/>
        </w:tcPr>
        <w:p w:rsidR="00F61476" w:rsidRPr="006517E8" w:rsidRDefault="00D95DDF">
          <w:pPr>
            <w:ind w:right="34"/>
            <w:jc w:val="right"/>
            <w:rPr>
              <w:rFonts w:ascii="Palatino Linotype" w:eastAsia="Palatino Linotype" w:hAnsi="Palatino Linotype" w:cs="Palatino Linotype"/>
              <w:b/>
              <w:bCs/>
            </w:rPr>
          </w:pPr>
          <w:r w:rsidRPr="006517E8">
            <w:rPr>
              <w:rFonts w:ascii="Palatino Linotype" w:eastAsia="Palatino Linotype" w:hAnsi="Palatino Linotype" w:cs="Palatino Linotype"/>
              <w:b/>
              <w:bCs/>
            </w:rPr>
            <w:t>RECURSO DE REVISIÓN:</w:t>
          </w:r>
        </w:p>
      </w:tc>
      <w:tc>
        <w:tcPr>
          <w:tcW w:w="4251" w:type="dxa"/>
          <w:vAlign w:val="center"/>
        </w:tcPr>
        <w:p w:rsidR="00F61476" w:rsidRPr="006517E8" w:rsidRDefault="00D95DDF">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rPr>
              <w:rFonts w:ascii="Palatino Linotype" w:eastAsia="Palatino Linotype" w:hAnsi="Palatino Linotype" w:cs="Palatino Linotype"/>
              <w:color w:val="000000"/>
            </w:rPr>
          </w:pPr>
          <w:r w:rsidRPr="006517E8">
            <w:rPr>
              <w:rFonts w:ascii="Palatino Linotype" w:eastAsia="Palatino Linotype" w:hAnsi="Palatino Linotype" w:cs="Palatino Linotype"/>
              <w:color w:val="000000"/>
            </w:rPr>
            <w:t>03633/INFOEM/IP/RR/2026</w:t>
          </w:r>
        </w:p>
      </w:tc>
    </w:tr>
    <w:tr w:rsidR="00F61476" w:rsidTr="00D6533F">
      <w:trPr>
        <w:trHeight w:val="233"/>
      </w:trPr>
      <w:tc>
        <w:tcPr>
          <w:tcW w:w="3544" w:type="dxa"/>
          <w:vAlign w:val="center"/>
        </w:tcPr>
        <w:p w:rsidR="00F61476" w:rsidRPr="006517E8" w:rsidRDefault="00D95DDF">
          <w:pPr>
            <w:ind w:right="34"/>
            <w:jc w:val="right"/>
            <w:rPr>
              <w:rFonts w:ascii="Palatino Linotype" w:eastAsia="Palatino Linotype" w:hAnsi="Palatino Linotype" w:cs="Palatino Linotype"/>
              <w:b/>
              <w:bCs/>
            </w:rPr>
          </w:pPr>
          <w:r w:rsidRPr="006517E8">
            <w:rPr>
              <w:rFonts w:ascii="Palatino Linotype" w:eastAsia="Palatino Linotype" w:hAnsi="Palatino Linotype" w:cs="Palatino Linotype"/>
              <w:b/>
              <w:bCs/>
            </w:rPr>
            <w:t>SUJETO OBLIGADO:</w:t>
          </w:r>
        </w:p>
      </w:tc>
      <w:tc>
        <w:tcPr>
          <w:tcW w:w="4251" w:type="dxa"/>
          <w:vAlign w:val="center"/>
        </w:tcPr>
        <w:p w:rsidR="00F61476" w:rsidRPr="006517E8" w:rsidRDefault="00D95DDF">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rPr>
              <w:rFonts w:ascii="Palatino Linotype" w:eastAsia="Palatino Linotype" w:hAnsi="Palatino Linotype" w:cs="Palatino Linotype"/>
              <w:color w:val="000000"/>
            </w:rPr>
          </w:pPr>
          <w:r w:rsidRPr="006517E8">
            <w:rPr>
              <w:rFonts w:ascii="Palatino Linotype" w:eastAsia="Palatino Linotype" w:hAnsi="Palatino Linotype" w:cs="Palatino Linotype"/>
              <w:color w:val="000000"/>
            </w:rPr>
            <w:t>Secretaría de Movilidad</w:t>
          </w:r>
        </w:p>
      </w:tc>
    </w:tr>
    <w:tr w:rsidR="00F61476" w:rsidTr="00D6533F">
      <w:trPr>
        <w:trHeight w:val="321"/>
      </w:trPr>
      <w:tc>
        <w:tcPr>
          <w:tcW w:w="3544" w:type="dxa"/>
          <w:vAlign w:val="center"/>
        </w:tcPr>
        <w:p w:rsidR="00F61476" w:rsidRPr="006517E8" w:rsidRDefault="00D95DDF">
          <w:pPr>
            <w:ind w:right="34"/>
            <w:jc w:val="right"/>
            <w:rPr>
              <w:rFonts w:ascii="Palatino Linotype" w:eastAsia="Palatino Linotype" w:hAnsi="Palatino Linotype" w:cs="Palatino Linotype"/>
              <w:b/>
              <w:bCs/>
            </w:rPr>
          </w:pPr>
          <w:r w:rsidRPr="006517E8">
            <w:rPr>
              <w:rFonts w:ascii="Palatino Linotype" w:eastAsia="Palatino Linotype" w:hAnsi="Palatino Linotype" w:cs="Palatino Linotype"/>
              <w:b/>
              <w:bCs/>
            </w:rPr>
            <w:t>COMISIONADA PONENTE:</w:t>
          </w:r>
        </w:p>
      </w:tc>
      <w:tc>
        <w:tcPr>
          <w:tcW w:w="4251" w:type="dxa"/>
          <w:vAlign w:val="center"/>
        </w:tcPr>
        <w:p w:rsidR="00F61476" w:rsidRPr="006517E8" w:rsidRDefault="00D95DDF">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rPr>
              <w:rFonts w:ascii="Palatino Linotype" w:eastAsia="Palatino Linotype" w:hAnsi="Palatino Linotype" w:cs="Palatino Linotype"/>
              <w:color w:val="000000"/>
            </w:rPr>
          </w:pPr>
          <w:r w:rsidRPr="006517E8">
            <w:rPr>
              <w:rFonts w:ascii="Palatino Linotype" w:eastAsia="Palatino Linotype" w:hAnsi="Palatino Linotype" w:cs="Palatino Linotype"/>
              <w:color w:val="000000"/>
            </w:rPr>
            <w:t>María del Rosario Mejía Ayala</w:t>
          </w:r>
        </w:p>
      </w:tc>
    </w:tr>
  </w:tbl>
  <w:p w:rsidR="00F61476" w:rsidRDefault="00765695">
    <w:pPr>
      <w:pBdr>
        <w:top w:val="none" w:sz="0" w:space="0" w:color="000000"/>
        <w:left w:val="none" w:sz="0" w:space="0" w:color="000000"/>
        <w:bottom w:val="none" w:sz="0" w:space="0" w:color="000000"/>
        <w:right w:val="none" w:sz="0" w:space="0" w:color="000000"/>
        <w:between w:val="none" w:sz="0" w:space="0" w:color="000000"/>
      </w:pBdr>
      <w:tabs>
        <w:tab w:val="left" w:pos="1606"/>
        <w:tab w:val="center" w:pos="4252"/>
        <w:tab w:val="right" w:pos="8504"/>
      </w:tabs>
      <w:rPr>
        <w:rFonts w:ascii="Calibri" w:eastAsia="Calibri" w:hAnsi="Calibri" w:cs="Calibri"/>
        <w:color w:val="000000"/>
      </w:rPr>
    </w:pPr>
    <w:r>
      <w:rPr>
        <w:rFonts w:ascii="Calibri" w:eastAsia="Calibri" w:hAnsi="Calibri" w:cs="Calibri"/>
      </w:rPr>
      <w:pict w14:anchorId="2C91A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7pt;margin-top:-8.75pt;width:589pt;height:768pt;z-index:-251659264;mso-position-horizontal-relative:left-margin-area;mso-position-vertical-relative:top-margin-area">
          <v:imagedata r:id="rId1" o:title="image1"/>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655" w:type="dxa"/>
      <w:tblInd w:w="2977" w:type="dxa"/>
      <w:tblBorders>
        <w:top w:val="nil"/>
        <w:left w:val="nil"/>
        <w:bottom w:val="nil"/>
        <w:right w:val="nil"/>
        <w:insideH w:val="nil"/>
        <w:insideV w:val="nil"/>
      </w:tblBorders>
      <w:tblLayout w:type="fixed"/>
      <w:tblLook w:val="0000" w:firstRow="0" w:lastRow="0" w:firstColumn="0" w:lastColumn="0" w:noHBand="0" w:noVBand="0"/>
    </w:tblPr>
    <w:tblGrid>
      <w:gridCol w:w="3544"/>
      <w:gridCol w:w="4111"/>
    </w:tblGrid>
    <w:tr w:rsidR="00F61476" w:rsidTr="00D6533F">
      <w:trPr>
        <w:trHeight w:val="138"/>
      </w:trPr>
      <w:tc>
        <w:tcPr>
          <w:tcW w:w="3544" w:type="dxa"/>
          <w:vAlign w:val="center"/>
        </w:tcPr>
        <w:p w:rsidR="00F61476" w:rsidRPr="006517E8" w:rsidRDefault="00D95DDF">
          <w:pPr>
            <w:jc w:val="right"/>
            <w:rPr>
              <w:rFonts w:ascii="Palatino Linotype" w:eastAsia="Palatino Linotype" w:hAnsi="Palatino Linotype" w:cs="Palatino Linotype"/>
              <w:b/>
              <w:bCs/>
            </w:rPr>
          </w:pPr>
          <w:r w:rsidRPr="006517E8">
            <w:rPr>
              <w:rFonts w:ascii="Palatino Linotype" w:eastAsia="Palatino Linotype" w:hAnsi="Palatino Linotype" w:cs="Palatino Linotype"/>
              <w:b/>
              <w:bCs/>
            </w:rPr>
            <w:t>RECURSO DE REVISIÓN:</w:t>
          </w:r>
        </w:p>
      </w:tc>
      <w:tc>
        <w:tcPr>
          <w:tcW w:w="4111" w:type="dxa"/>
          <w:vAlign w:val="center"/>
        </w:tcPr>
        <w:p w:rsidR="00F61476" w:rsidRPr="006517E8" w:rsidRDefault="00D95DDF">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both"/>
            <w:rPr>
              <w:rFonts w:ascii="Palatino Linotype" w:eastAsia="Palatino Linotype" w:hAnsi="Palatino Linotype" w:cs="Palatino Linotype"/>
              <w:color w:val="000000"/>
            </w:rPr>
          </w:pPr>
          <w:r w:rsidRPr="006517E8">
            <w:rPr>
              <w:rFonts w:ascii="Palatino Linotype" w:eastAsia="Palatino Linotype" w:hAnsi="Palatino Linotype" w:cs="Palatino Linotype"/>
              <w:color w:val="000000"/>
            </w:rPr>
            <w:t>03633/INFOEM/IP/RR/2026</w:t>
          </w:r>
        </w:p>
      </w:tc>
    </w:tr>
    <w:tr w:rsidR="00F61476" w:rsidTr="00D6533F">
      <w:trPr>
        <w:trHeight w:val="233"/>
      </w:trPr>
      <w:tc>
        <w:tcPr>
          <w:tcW w:w="3544" w:type="dxa"/>
          <w:vAlign w:val="center"/>
        </w:tcPr>
        <w:p w:rsidR="00F61476" w:rsidRPr="006517E8" w:rsidRDefault="00D95DDF">
          <w:pPr>
            <w:jc w:val="right"/>
            <w:rPr>
              <w:rFonts w:ascii="Palatino Linotype" w:eastAsia="Palatino Linotype" w:hAnsi="Palatino Linotype" w:cs="Palatino Linotype"/>
              <w:b/>
              <w:bCs/>
            </w:rPr>
          </w:pPr>
          <w:r w:rsidRPr="006517E8">
            <w:rPr>
              <w:rFonts w:ascii="Palatino Linotype" w:eastAsia="Palatino Linotype" w:hAnsi="Palatino Linotype" w:cs="Palatino Linotype"/>
              <w:b/>
              <w:bCs/>
            </w:rPr>
            <w:t>RECURRENTE:</w:t>
          </w:r>
        </w:p>
      </w:tc>
      <w:tc>
        <w:tcPr>
          <w:tcW w:w="4111" w:type="dxa"/>
        </w:tcPr>
        <w:p w:rsidR="00F61476" w:rsidRPr="006517E8" w:rsidRDefault="00F61476">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ind w:right="234"/>
            <w:jc w:val="both"/>
            <w:rPr>
              <w:rFonts w:ascii="Palatino Linotype" w:eastAsia="Palatino Linotype" w:hAnsi="Palatino Linotype" w:cs="Palatino Linotype"/>
              <w:color w:val="000000"/>
            </w:rPr>
          </w:pPr>
        </w:p>
      </w:tc>
    </w:tr>
    <w:tr w:rsidR="00F61476" w:rsidTr="00D6533F">
      <w:trPr>
        <w:trHeight w:val="321"/>
      </w:trPr>
      <w:tc>
        <w:tcPr>
          <w:tcW w:w="3544" w:type="dxa"/>
          <w:vAlign w:val="center"/>
        </w:tcPr>
        <w:p w:rsidR="00F61476" w:rsidRPr="006517E8" w:rsidRDefault="00D95DDF">
          <w:pPr>
            <w:jc w:val="right"/>
            <w:rPr>
              <w:rFonts w:ascii="Palatino Linotype" w:eastAsia="Palatino Linotype" w:hAnsi="Palatino Linotype" w:cs="Palatino Linotype"/>
              <w:b/>
              <w:bCs/>
            </w:rPr>
          </w:pPr>
          <w:r w:rsidRPr="006517E8">
            <w:rPr>
              <w:rFonts w:ascii="Palatino Linotype" w:eastAsia="Palatino Linotype" w:hAnsi="Palatino Linotype" w:cs="Palatino Linotype"/>
              <w:b/>
              <w:bCs/>
            </w:rPr>
            <w:t>SUJETO OBLIGADO:</w:t>
          </w:r>
        </w:p>
      </w:tc>
      <w:tc>
        <w:tcPr>
          <w:tcW w:w="4111" w:type="dxa"/>
          <w:vAlign w:val="center"/>
        </w:tcPr>
        <w:p w:rsidR="00F61476" w:rsidRPr="006517E8" w:rsidRDefault="00D95DDF">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both"/>
            <w:rPr>
              <w:rFonts w:ascii="Palatino Linotype" w:eastAsia="Palatino Linotype" w:hAnsi="Palatino Linotype" w:cs="Palatino Linotype"/>
              <w:color w:val="000000"/>
            </w:rPr>
          </w:pPr>
          <w:r w:rsidRPr="006517E8">
            <w:rPr>
              <w:rFonts w:ascii="Palatino Linotype" w:eastAsia="Palatino Linotype" w:hAnsi="Palatino Linotype" w:cs="Palatino Linotype"/>
              <w:color w:val="000000"/>
            </w:rPr>
            <w:t>Secretaría de Movilidad</w:t>
          </w:r>
        </w:p>
      </w:tc>
    </w:tr>
    <w:tr w:rsidR="00F61476" w:rsidTr="00D6533F">
      <w:trPr>
        <w:trHeight w:val="321"/>
      </w:trPr>
      <w:tc>
        <w:tcPr>
          <w:tcW w:w="3544" w:type="dxa"/>
          <w:vAlign w:val="center"/>
        </w:tcPr>
        <w:p w:rsidR="00F61476" w:rsidRPr="006517E8" w:rsidRDefault="00D95DDF">
          <w:pPr>
            <w:jc w:val="right"/>
            <w:rPr>
              <w:rFonts w:ascii="Palatino Linotype" w:eastAsia="Palatino Linotype" w:hAnsi="Palatino Linotype" w:cs="Palatino Linotype"/>
              <w:b/>
              <w:bCs/>
            </w:rPr>
          </w:pPr>
          <w:r w:rsidRPr="006517E8">
            <w:rPr>
              <w:rFonts w:ascii="Palatino Linotype" w:eastAsia="Palatino Linotype" w:hAnsi="Palatino Linotype" w:cs="Palatino Linotype"/>
              <w:b/>
              <w:bCs/>
            </w:rPr>
            <w:t>COMISIONADA PONENTE:</w:t>
          </w:r>
        </w:p>
      </w:tc>
      <w:tc>
        <w:tcPr>
          <w:tcW w:w="4111" w:type="dxa"/>
          <w:vAlign w:val="center"/>
        </w:tcPr>
        <w:p w:rsidR="00F61476" w:rsidRPr="006517E8" w:rsidRDefault="00D95DDF">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both"/>
            <w:rPr>
              <w:rFonts w:ascii="Palatino Linotype" w:eastAsia="Palatino Linotype" w:hAnsi="Palatino Linotype" w:cs="Palatino Linotype"/>
              <w:color w:val="000000"/>
            </w:rPr>
          </w:pPr>
          <w:r w:rsidRPr="006517E8">
            <w:rPr>
              <w:rFonts w:ascii="Palatino Linotype" w:eastAsia="Palatino Linotype" w:hAnsi="Palatino Linotype" w:cs="Palatino Linotype"/>
              <w:color w:val="000000"/>
            </w:rPr>
            <w:t>María del Rosario Mejía Ayala</w:t>
          </w:r>
        </w:p>
      </w:tc>
    </w:tr>
  </w:tbl>
  <w:p w:rsidR="00F61476" w:rsidRDefault="00765695">
    <w:pPr>
      <w:pBdr>
        <w:top w:val="none" w:sz="0" w:space="0" w:color="000000"/>
        <w:left w:val="none" w:sz="0" w:space="0" w:color="000000"/>
        <w:bottom w:val="none" w:sz="0" w:space="0" w:color="000000"/>
        <w:right w:val="none" w:sz="0" w:space="0" w:color="000000"/>
        <w:between w:val="none" w:sz="0" w:space="0" w:color="000000"/>
      </w:pBdr>
      <w:tabs>
        <w:tab w:val="left" w:pos="3103"/>
        <w:tab w:val="center" w:pos="4252"/>
        <w:tab w:val="right" w:pos="8504"/>
      </w:tabs>
      <w:rPr>
        <w:rFonts w:ascii="Calibri" w:eastAsia="Calibri" w:hAnsi="Calibri" w:cs="Calibri"/>
        <w:color w:val="000000"/>
      </w:rPr>
    </w:pPr>
    <w:r>
      <w:rPr>
        <w:rFonts w:ascii="Calibri" w:eastAsia="Calibri" w:hAnsi="Calibri" w:cs="Calibri"/>
        <w:noProof/>
        <w:color w:val="000000"/>
        <w:lang w:val="es-MX"/>
      </w:rPr>
      <w:pict w14:anchorId="2C91A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margin-left:-.3pt;margin-top:.1pt;width:589pt;height:768pt;z-index:-251658240;mso-position-horizontal-relative:left-margin-area;mso-position-vertical-relative:top-margin-area">
          <v:imagedata r:id="rId1" o:title="image1"/>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20ACC"/>
    <w:multiLevelType w:val="multilevel"/>
    <w:tmpl w:val="D31A1E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4C00DB3"/>
    <w:multiLevelType w:val="multilevel"/>
    <w:tmpl w:val="9FBC85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511EAD"/>
    <w:multiLevelType w:val="multilevel"/>
    <w:tmpl w:val="305803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6F334B54"/>
    <w:multiLevelType w:val="multilevel"/>
    <w:tmpl w:val="F4C26ECA"/>
    <w:lvl w:ilvl="0">
      <w:start w:val="1"/>
      <w:numFmt w:val="decimal"/>
      <w:lvlText w:val="%1."/>
      <w:lvlJc w:val="left"/>
      <w:pPr>
        <w:ind w:left="0" w:firstLine="0"/>
      </w:pPr>
      <w:rPr>
        <w:rFonts w:ascii="Palatino Linotype" w:eastAsia="Arial" w:hAnsi="Palatino Linotype" w:cs="Arial"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476"/>
    <w:rsid w:val="000E40C8"/>
    <w:rsid w:val="00144074"/>
    <w:rsid w:val="002C44A4"/>
    <w:rsid w:val="002C7314"/>
    <w:rsid w:val="00371974"/>
    <w:rsid w:val="006517E8"/>
    <w:rsid w:val="00704A60"/>
    <w:rsid w:val="00765695"/>
    <w:rsid w:val="00D6533F"/>
    <w:rsid w:val="00D95DDF"/>
    <w:rsid w:val="00F0790E"/>
    <w:rsid w:val="00F61476"/>
    <w:rsid w:val="00FA01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49A1FB5-3BC3-4936-A86F-3129F775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6517E8"/>
    <w:pPr>
      <w:tabs>
        <w:tab w:val="center" w:pos="4419"/>
        <w:tab w:val="right" w:pos="8838"/>
      </w:tabs>
    </w:pPr>
  </w:style>
  <w:style w:type="character" w:customStyle="1" w:styleId="EncabezadoCar">
    <w:name w:val="Encabezado Car"/>
    <w:basedOn w:val="Fuentedeprrafopredeter"/>
    <w:link w:val="Encabezado"/>
    <w:uiPriority w:val="99"/>
    <w:rsid w:val="006517E8"/>
  </w:style>
  <w:style w:type="paragraph" w:styleId="Piedepgina">
    <w:name w:val="footer"/>
    <w:basedOn w:val="Normal"/>
    <w:link w:val="PiedepginaCar"/>
    <w:uiPriority w:val="99"/>
    <w:unhideWhenUsed/>
    <w:rsid w:val="006517E8"/>
    <w:pPr>
      <w:tabs>
        <w:tab w:val="center" w:pos="4419"/>
        <w:tab w:val="right" w:pos="8838"/>
      </w:tabs>
    </w:pPr>
  </w:style>
  <w:style w:type="character" w:customStyle="1" w:styleId="PiedepginaCar">
    <w:name w:val="Pie de página Car"/>
    <w:basedOn w:val="Fuentedeprrafopredeter"/>
    <w:link w:val="Piedepgina"/>
    <w:uiPriority w:val="99"/>
    <w:rsid w:val="006517E8"/>
  </w:style>
  <w:style w:type="paragraph" w:styleId="Prrafodelista">
    <w:name w:val="List Paragraph"/>
    <w:basedOn w:val="Normal"/>
    <w:uiPriority w:val="34"/>
    <w:qFormat/>
    <w:rsid w:val="00D653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OPWc3SO4Loj6k17GN69e8WOn5Q==">CgMxLjAyCGguZ2pkZ3hzMgloLjMwajB6bGwyDmguOXBzeTM1dm52MDVvMgloLjN6bnlzaDc4AHIhMWdEUjh3NDIyU2VYUDR3Rnk5WGtiZHZaUW5tWEtPZDJ4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22</Pages>
  <Words>5281</Words>
  <Characters>29048</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2026-07-03T16:02:00Z</cp:lastPrinted>
  <dcterms:created xsi:type="dcterms:W3CDTF">2026-06-29T17:38:00Z</dcterms:created>
  <dcterms:modified xsi:type="dcterms:W3CDTF">2026-07-07T23:49:00Z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2058-12.1.0.26880</vt:lpwstr>
  </property>
  <property fmtid="{D5CDD505-2E9C-101B-9397-08002B2CF9AE}" pid="3" name="ICV">
    <vt:lpwstr>934DBB43B1904A0B9A7E4A2F2AB7B2D5_13</vt:lpwstr>
  </property>
</Properties>
</file>