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79AA" w14:textId="77777777" w:rsidR="006A7A0B" w:rsidRDefault="006A7A0B" w:rsidP="005E13A5">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21843052" w14:textId="77777777" w:rsidR="006A7A0B" w:rsidRDefault="006A7A0B" w:rsidP="005E13A5">
          <w:pPr>
            <w:pStyle w:val="Ttulo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673E9127" w14:textId="343DD2EB" w:rsidR="006A7A0B" w:rsidRPr="009D51D3" w:rsidRDefault="006A7A0B" w:rsidP="005E13A5">
          <w:pPr>
            <w:pStyle w:val="TtuloTDC"/>
            <w:spacing w:before="0" w:line="360" w:lineRule="auto"/>
            <w:contextualSpacing/>
            <w:jc w:val="center"/>
            <w:rPr>
              <w:rFonts w:ascii="Palatino Linotype" w:hAnsi="Palatino Linotype"/>
              <w:color w:val="auto"/>
              <w:sz w:val="22"/>
              <w:szCs w:val="22"/>
            </w:rPr>
          </w:pPr>
          <w:r w:rsidRPr="009D51D3">
            <w:rPr>
              <w:rFonts w:ascii="Palatino Linotype" w:hAnsi="Palatino Linotype"/>
              <w:color w:val="auto"/>
              <w:sz w:val="22"/>
              <w:szCs w:val="22"/>
              <w:lang w:val="es-ES"/>
            </w:rPr>
            <w:t xml:space="preserve">RESOLUCIÓN DEL RECURSO DE REVISIÓN </w:t>
          </w:r>
          <w:r w:rsidRPr="009D51D3">
            <w:rPr>
              <w:rFonts w:ascii="Palatino Linotype" w:hAnsi="Palatino Linotype"/>
              <w:color w:val="auto"/>
              <w:sz w:val="22"/>
              <w:szCs w:val="22"/>
            </w:rPr>
            <w:t>0</w:t>
          </w:r>
          <w:r w:rsidR="001A54DC" w:rsidRPr="009D51D3">
            <w:rPr>
              <w:rFonts w:ascii="Palatino Linotype" w:hAnsi="Palatino Linotype"/>
              <w:color w:val="auto"/>
              <w:sz w:val="22"/>
              <w:szCs w:val="22"/>
            </w:rPr>
            <w:t>14201</w:t>
          </w:r>
          <w:r w:rsidRPr="009D51D3">
            <w:rPr>
              <w:rFonts w:ascii="Palatino Linotype" w:hAnsi="Palatino Linotype"/>
              <w:color w:val="auto"/>
              <w:sz w:val="22"/>
              <w:szCs w:val="22"/>
            </w:rPr>
            <w:t>/INFOEM/IP/RR/2025</w:t>
          </w:r>
        </w:p>
        <w:p w14:paraId="66537D6D" w14:textId="77777777" w:rsidR="006A7A0B" w:rsidRPr="009D51D3" w:rsidRDefault="006A7A0B" w:rsidP="005E13A5">
          <w:pPr>
            <w:spacing w:line="360" w:lineRule="auto"/>
            <w:contextualSpacing/>
          </w:pPr>
        </w:p>
        <w:p w14:paraId="670EC572" w14:textId="77777777" w:rsidR="009D51D3" w:rsidRPr="009D51D3" w:rsidRDefault="006A7A0B">
          <w:pPr>
            <w:pStyle w:val="TDC1"/>
            <w:tabs>
              <w:tab w:val="right" w:leader="dot" w:pos="8828"/>
            </w:tabs>
            <w:rPr>
              <w:rFonts w:asciiTheme="minorHAnsi" w:eastAsiaTheme="minorEastAsia" w:hAnsiTheme="minorHAnsi" w:cstheme="minorBidi"/>
              <w:noProof/>
              <w:color w:val="auto"/>
            </w:rPr>
          </w:pPr>
          <w:r w:rsidRPr="009D51D3">
            <w:fldChar w:fldCharType="begin"/>
          </w:r>
          <w:r w:rsidRPr="009D51D3">
            <w:instrText xml:space="preserve"> TOC \o "1-3" \h \z \u </w:instrText>
          </w:r>
          <w:r w:rsidRPr="009D51D3">
            <w:fldChar w:fldCharType="separate"/>
          </w:r>
          <w:hyperlink w:anchor="_Toc222412294" w:history="1">
            <w:r w:rsidR="009D51D3" w:rsidRPr="009D51D3">
              <w:rPr>
                <w:rStyle w:val="Hipervnculo"/>
                <w:bCs/>
                <w:noProof/>
              </w:rPr>
              <w:t>A N T E C E D E N T E S</w:t>
            </w:r>
            <w:r w:rsidR="009D51D3" w:rsidRPr="009D51D3">
              <w:rPr>
                <w:noProof/>
                <w:webHidden/>
              </w:rPr>
              <w:tab/>
            </w:r>
            <w:r w:rsidR="009D51D3" w:rsidRPr="009D51D3">
              <w:rPr>
                <w:noProof/>
                <w:webHidden/>
              </w:rPr>
              <w:fldChar w:fldCharType="begin"/>
            </w:r>
            <w:r w:rsidR="009D51D3" w:rsidRPr="009D51D3">
              <w:rPr>
                <w:noProof/>
                <w:webHidden/>
              </w:rPr>
              <w:instrText xml:space="preserve"> PAGEREF _Toc222412294 \h </w:instrText>
            </w:r>
            <w:r w:rsidR="009D51D3" w:rsidRPr="009D51D3">
              <w:rPr>
                <w:noProof/>
                <w:webHidden/>
              </w:rPr>
            </w:r>
            <w:r w:rsidR="009D51D3" w:rsidRPr="009D51D3">
              <w:rPr>
                <w:noProof/>
                <w:webHidden/>
              </w:rPr>
              <w:fldChar w:fldCharType="separate"/>
            </w:r>
            <w:r w:rsidR="00F759EE">
              <w:rPr>
                <w:noProof/>
                <w:webHidden/>
              </w:rPr>
              <w:t>2</w:t>
            </w:r>
            <w:r w:rsidR="009D51D3" w:rsidRPr="009D51D3">
              <w:rPr>
                <w:noProof/>
                <w:webHidden/>
              </w:rPr>
              <w:fldChar w:fldCharType="end"/>
            </w:r>
          </w:hyperlink>
        </w:p>
        <w:p w14:paraId="3CB994A2" w14:textId="77777777" w:rsidR="009D51D3" w:rsidRPr="009D51D3" w:rsidRDefault="009D51D3">
          <w:pPr>
            <w:pStyle w:val="TDC2"/>
            <w:tabs>
              <w:tab w:val="right" w:leader="dot" w:pos="8828"/>
            </w:tabs>
            <w:rPr>
              <w:rFonts w:asciiTheme="minorHAnsi" w:eastAsiaTheme="minorEastAsia" w:hAnsiTheme="minorHAnsi" w:cstheme="minorBidi"/>
              <w:noProof/>
              <w:color w:val="auto"/>
            </w:rPr>
          </w:pPr>
          <w:hyperlink w:anchor="_Toc222412295" w:history="1">
            <w:r w:rsidRPr="009D51D3">
              <w:rPr>
                <w:rStyle w:val="Hipervnculo"/>
                <w:bCs/>
                <w:noProof/>
              </w:rPr>
              <w:t>I. Presentación de la solicitud de información</w:t>
            </w:r>
            <w:r w:rsidRPr="009D51D3">
              <w:rPr>
                <w:noProof/>
                <w:webHidden/>
              </w:rPr>
              <w:tab/>
            </w:r>
            <w:r w:rsidRPr="009D51D3">
              <w:rPr>
                <w:noProof/>
                <w:webHidden/>
              </w:rPr>
              <w:fldChar w:fldCharType="begin"/>
            </w:r>
            <w:r w:rsidRPr="009D51D3">
              <w:rPr>
                <w:noProof/>
                <w:webHidden/>
              </w:rPr>
              <w:instrText xml:space="preserve"> PAGEREF _Toc222412295 \h </w:instrText>
            </w:r>
            <w:r w:rsidRPr="009D51D3">
              <w:rPr>
                <w:noProof/>
                <w:webHidden/>
              </w:rPr>
            </w:r>
            <w:r w:rsidRPr="009D51D3">
              <w:rPr>
                <w:noProof/>
                <w:webHidden/>
              </w:rPr>
              <w:fldChar w:fldCharType="separate"/>
            </w:r>
            <w:r w:rsidR="00F759EE">
              <w:rPr>
                <w:noProof/>
                <w:webHidden/>
              </w:rPr>
              <w:t>2</w:t>
            </w:r>
            <w:r w:rsidRPr="009D51D3">
              <w:rPr>
                <w:noProof/>
                <w:webHidden/>
              </w:rPr>
              <w:fldChar w:fldCharType="end"/>
            </w:r>
          </w:hyperlink>
        </w:p>
        <w:p w14:paraId="3687EC1C" w14:textId="77777777" w:rsidR="009D51D3" w:rsidRPr="009D51D3" w:rsidRDefault="009D51D3">
          <w:pPr>
            <w:pStyle w:val="TDC2"/>
            <w:tabs>
              <w:tab w:val="right" w:leader="dot" w:pos="8828"/>
            </w:tabs>
            <w:rPr>
              <w:rFonts w:asciiTheme="minorHAnsi" w:eastAsiaTheme="minorEastAsia" w:hAnsiTheme="minorHAnsi" w:cstheme="minorBidi"/>
              <w:noProof/>
              <w:color w:val="auto"/>
            </w:rPr>
          </w:pPr>
          <w:hyperlink w:anchor="_Toc222412296" w:history="1">
            <w:r w:rsidRPr="009D51D3">
              <w:rPr>
                <w:rStyle w:val="Hipervnculo"/>
                <w:bCs/>
                <w:noProof/>
              </w:rPr>
              <w:t>V. Interposición del Recurso de Revisión</w:t>
            </w:r>
            <w:r w:rsidRPr="009D51D3">
              <w:rPr>
                <w:noProof/>
                <w:webHidden/>
              </w:rPr>
              <w:tab/>
            </w:r>
            <w:r w:rsidRPr="009D51D3">
              <w:rPr>
                <w:noProof/>
                <w:webHidden/>
              </w:rPr>
              <w:fldChar w:fldCharType="begin"/>
            </w:r>
            <w:r w:rsidRPr="009D51D3">
              <w:rPr>
                <w:noProof/>
                <w:webHidden/>
              </w:rPr>
              <w:instrText xml:space="preserve"> PAGEREF _Toc222412296 \h </w:instrText>
            </w:r>
            <w:r w:rsidRPr="009D51D3">
              <w:rPr>
                <w:noProof/>
                <w:webHidden/>
              </w:rPr>
            </w:r>
            <w:r w:rsidRPr="009D51D3">
              <w:rPr>
                <w:noProof/>
                <w:webHidden/>
              </w:rPr>
              <w:fldChar w:fldCharType="separate"/>
            </w:r>
            <w:r w:rsidR="00F759EE">
              <w:rPr>
                <w:noProof/>
                <w:webHidden/>
              </w:rPr>
              <w:t>5</w:t>
            </w:r>
            <w:r w:rsidRPr="009D51D3">
              <w:rPr>
                <w:noProof/>
                <w:webHidden/>
              </w:rPr>
              <w:fldChar w:fldCharType="end"/>
            </w:r>
          </w:hyperlink>
        </w:p>
        <w:p w14:paraId="1779BF2C" w14:textId="77777777" w:rsidR="009D51D3" w:rsidRPr="009D51D3" w:rsidRDefault="009D51D3">
          <w:pPr>
            <w:pStyle w:val="TDC2"/>
            <w:tabs>
              <w:tab w:val="right" w:leader="dot" w:pos="8828"/>
            </w:tabs>
            <w:rPr>
              <w:rFonts w:asciiTheme="minorHAnsi" w:eastAsiaTheme="minorEastAsia" w:hAnsiTheme="minorHAnsi" w:cstheme="minorBidi"/>
              <w:noProof/>
              <w:color w:val="auto"/>
            </w:rPr>
          </w:pPr>
          <w:hyperlink w:anchor="_Toc222412297" w:history="1">
            <w:r w:rsidRPr="009D51D3">
              <w:rPr>
                <w:rStyle w:val="Hipervnculo"/>
                <w:bCs/>
                <w:noProof/>
              </w:rPr>
              <w:t xml:space="preserve">IV. </w:t>
            </w:r>
            <w:r w:rsidRPr="009D51D3">
              <w:rPr>
                <w:rStyle w:val="Hipervnculo"/>
                <w:rFonts w:eastAsia="Batang"/>
                <w:bCs/>
                <w:noProof/>
              </w:rPr>
              <w:t xml:space="preserve">Trámite del </w:t>
            </w:r>
            <w:r w:rsidRPr="009D51D3">
              <w:rPr>
                <w:rStyle w:val="Hipervnculo"/>
                <w:bCs/>
                <w:noProof/>
              </w:rPr>
              <w:t xml:space="preserve">Recurso de Revisión </w:t>
            </w:r>
            <w:r w:rsidRPr="009D51D3">
              <w:rPr>
                <w:rStyle w:val="Hipervnculo"/>
                <w:rFonts w:eastAsia="Batang"/>
                <w:bCs/>
                <w:noProof/>
              </w:rPr>
              <w:t>ante este Instituto</w:t>
            </w:r>
            <w:r w:rsidRPr="009D51D3">
              <w:rPr>
                <w:noProof/>
                <w:webHidden/>
              </w:rPr>
              <w:tab/>
            </w:r>
            <w:r w:rsidRPr="009D51D3">
              <w:rPr>
                <w:noProof/>
                <w:webHidden/>
              </w:rPr>
              <w:fldChar w:fldCharType="begin"/>
            </w:r>
            <w:r w:rsidRPr="009D51D3">
              <w:rPr>
                <w:noProof/>
                <w:webHidden/>
              </w:rPr>
              <w:instrText xml:space="preserve"> PAGEREF _Toc222412297 \h </w:instrText>
            </w:r>
            <w:r w:rsidRPr="009D51D3">
              <w:rPr>
                <w:noProof/>
                <w:webHidden/>
              </w:rPr>
            </w:r>
            <w:r w:rsidRPr="009D51D3">
              <w:rPr>
                <w:noProof/>
                <w:webHidden/>
              </w:rPr>
              <w:fldChar w:fldCharType="separate"/>
            </w:r>
            <w:r w:rsidR="00F759EE">
              <w:rPr>
                <w:noProof/>
                <w:webHidden/>
              </w:rPr>
              <w:t>6</w:t>
            </w:r>
            <w:r w:rsidRPr="009D51D3">
              <w:rPr>
                <w:noProof/>
                <w:webHidden/>
              </w:rPr>
              <w:fldChar w:fldCharType="end"/>
            </w:r>
          </w:hyperlink>
        </w:p>
        <w:p w14:paraId="34A7BC06" w14:textId="77777777" w:rsidR="009D51D3" w:rsidRPr="009D51D3" w:rsidRDefault="009D51D3">
          <w:pPr>
            <w:pStyle w:val="TDC1"/>
            <w:tabs>
              <w:tab w:val="right" w:leader="dot" w:pos="8828"/>
            </w:tabs>
            <w:rPr>
              <w:rFonts w:asciiTheme="minorHAnsi" w:eastAsiaTheme="minorEastAsia" w:hAnsiTheme="minorHAnsi" w:cstheme="minorBidi"/>
              <w:noProof/>
              <w:color w:val="auto"/>
            </w:rPr>
          </w:pPr>
          <w:hyperlink w:anchor="_Toc222412298" w:history="1">
            <w:r w:rsidRPr="009D51D3">
              <w:rPr>
                <w:rStyle w:val="Hipervnculo"/>
                <w:bCs/>
                <w:noProof/>
              </w:rPr>
              <w:t>C O N S I D E R A N D O S</w:t>
            </w:r>
            <w:r w:rsidRPr="009D51D3">
              <w:rPr>
                <w:noProof/>
                <w:webHidden/>
              </w:rPr>
              <w:tab/>
            </w:r>
            <w:r w:rsidRPr="009D51D3">
              <w:rPr>
                <w:noProof/>
                <w:webHidden/>
              </w:rPr>
              <w:fldChar w:fldCharType="begin"/>
            </w:r>
            <w:r w:rsidRPr="009D51D3">
              <w:rPr>
                <w:noProof/>
                <w:webHidden/>
              </w:rPr>
              <w:instrText xml:space="preserve"> PAGEREF _Toc222412298 \h </w:instrText>
            </w:r>
            <w:r w:rsidRPr="009D51D3">
              <w:rPr>
                <w:noProof/>
                <w:webHidden/>
              </w:rPr>
            </w:r>
            <w:r w:rsidRPr="009D51D3">
              <w:rPr>
                <w:noProof/>
                <w:webHidden/>
              </w:rPr>
              <w:fldChar w:fldCharType="separate"/>
            </w:r>
            <w:r w:rsidR="00F759EE">
              <w:rPr>
                <w:noProof/>
                <w:webHidden/>
              </w:rPr>
              <w:t>10</w:t>
            </w:r>
            <w:r w:rsidRPr="009D51D3">
              <w:rPr>
                <w:noProof/>
                <w:webHidden/>
              </w:rPr>
              <w:fldChar w:fldCharType="end"/>
            </w:r>
          </w:hyperlink>
        </w:p>
        <w:p w14:paraId="21E4FF22" w14:textId="77777777" w:rsidR="009D51D3" w:rsidRPr="009D51D3" w:rsidRDefault="009D51D3">
          <w:pPr>
            <w:pStyle w:val="TDC2"/>
            <w:tabs>
              <w:tab w:val="right" w:leader="dot" w:pos="8828"/>
            </w:tabs>
            <w:rPr>
              <w:rFonts w:asciiTheme="minorHAnsi" w:eastAsiaTheme="minorEastAsia" w:hAnsiTheme="minorHAnsi" w:cstheme="minorBidi"/>
              <w:noProof/>
              <w:color w:val="auto"/>
            </w:rPr>
          </w:pPr>
          <w:hyperlink w:anchor="_Toc222412299" w:history="1">
            <w:r w:rsidRPr="009D51D3">
              <w:rPr>
                <w:rStyle w:val="Hipervnculo"/>
                <w:bCs/>
                <w:noProof/>
              </w:rPr>
              <w:t>PRIMERO. Competencia</w:t>
            </w:r>
            <w:r w:rsidRPr="009D51D3">
              <w:rPr>
                <w:noProof/>
                <w:webHidden/>
              </w:rPr>
              <w:tab/>
            </w:r>
            <w:r w:rsidRPr="009D51D3">
              <w:rPr>
                <w:noProof/>
                <w:webHidden/>
              </w:rPr>
              <w:fldChar w:fldCharType="begin"/>
            </w:r>
            <w:r w:rsidRPr="009D51D3">
              <w:rPr>
                <w:noProof/>
                <w:webHidden/>
              </w:rPr>
              <w:instrText xml:space="preserve"> PAGEREF _Toc222412299 \h </w:instrText>
            </w:r>
            <w:r w:rsidRPr="009D51D3">
              <w:rPr>
                <w:noProof/>
                <w:webHidden/>
              </w:rPr>
            </w:r>
            <w:r w:rsidRPr="009D51D3">
              <w:rPr>
                <w:noProof/>
                <w:webHidden/>
              </w:rPr>
              <w:fldChar w:fldCharType="separate"/>
            </w:r>
            <w:r w:rsidR="00F759EE">
              <w:rPr>
                <w:noProof/>
                <w:webHidden/>
              </w:rPr>
              <w:t>10</w:t>
            </w:r>
            <w:r w:rsidRPr="009D51D3">
              <w:rPr>
                <w:noProof/>
                <w:webHidden/>
              </w:rPr>
              <w:fldChar w:fldCharType="end"/>
            </w:r>
          </w:hyperlink>
        </w:p>
        <w:p w14:paraId="691C83BB" w14:textId="77777777" w:rsidR="009D51D3" w:rsidRPr="009D51D3" w:rsidRDefault="009D51D3">
          <w:pPr>
            <w:pStyle w:val="TDC2"/>
            <w:tabs>
              <w:tab w:val="right" w:leader="dot" w:pos="8828"/>
            </w:tabs>
            <w:rPr>
              <w:rFonts w:asciiTheme="minorHAnsi" w:eastAsiaTheme="minorEastAsia" w:hAnsiTheme="minorHAnsi" w:cstheme="minorBidi"/>
              <w:noProof/>
              <w:color w:val="auto"/>
            </w:rPr>
          </w:pPr>
          <w:hyperlink w:anchor="_Toc222412300" w:history="1">
            <w:r w:rsidRPr="009D51D3">
              <w:rPr>
                <w:rStyle w:val="Hipervnculo"/>
                <w:rFonts w:eastAsia="Calibri"/>
                <w:bCs/>
                <w:noProof/>
                <w:lang w:val="es-ES"/>
              </w:rPr>
              <w:t xml:space="preserve">SEGUNDO. </w:t>
            </w:r>
            <w:r w:rsidRPr="009D51D3">
              <w:rPr>
                <w:rStyle w:val="Hipervnculo"/>
                <w:bCs/>
                <w:noProof/>
                <w:lang w:val="es-ES"/>
              </w:rPr>
              <w:t>Causales de improcedencia y sobreseimiento</w:t>
            </w:r>
            <w:r w:rsidRPr="009D51D3">
              <w:rPr>
                <w:noProof/>
                <w:webHidden/>
              </w:rPr>
              <w:tab/>
            </w:r>
            <w:r w:rsidRPr="009D51D3">
              <w:rPr>
                <w:noProof/>
                <w:webHidden/>
              </w:rPr>
              <w:fldChar w:fldCharType="begin"/>
            </w:r>
            <w:r w:rsidRPr="009D51D3">
              <w:rPr>
                <w:noProof/>
                <w:webHidden/>
              </w:rPr>
              <w:instrText xml:space="preserve"> PAGEREF _Toc222412300 \h </w:instrText>
            </w:r>
            <w:r w:rsidRPr="009D51D3">
              <w:rPr>
                <w:noProof/>
                <w:webHidden/>
              </w:rPr>
            </w:r>
            <w:r w:rsidRPr="009D51D3">
              <w:rPr>
                <w:noProof/>
                <w:webHidden/>
              </w:rPr>
              <w:fldChar w:fldCharType="separate"/>
            </w:r>
            <w:r w:rsidR="00F759EE">
              <w:rPr>
                <w:noProof/>
                <w:webHidden/>
              </w:rPr>
              <w:t>11</w:t>
            </w:r>
            <w:r w:rsidRPr="009D51D3">
              <w:rPr>
                <w:noProof/>
                <w:webHidden/>
              </w:rPr>
              <w:fldChar w:fldCharType="end"/>
            </w:r>
          </w:hyperlink>
        </w:p>
        <w:p w14:paraId="05F6889C" w14:textId="77777777" w:rsidR="009D51D3" w:rsidRPr="009D51D3" w:rsidRDefault="009D51D3">
          <w:pPr>
            <w:pStyle w:val="TDC2"/>
            <w:tabs>
              <w:tab w:val="right" w:leader="dot" w:pos="8828"/>
            </w:tabs>
            <w:rPr>
              <w:rFonts w:asciiTheme="minorHAnsi" w:eastAsiaTheme="minorEastAsia" w:hAnsiTheme="minorHAnsi" w:cstheme="minorBidi"/>
              <w:noProof/>
              <w:color w:val="auto"/>
            </w:rPr>
          </w:pPr>
          <w:hyperlink w:anchor="_Toc222412301" w:history="1">
            <w:r w:rsidRPr="009D51D3">
              <w:rPr>
                <w:rStyle w:val="Hipervnculo"/>
                <w:rFonts w:eastAsia="Calibri"/>
                <w:bCs/>
                <w:noProof/>
                <w:lang w:val="es-ES" w:eastAsia="es-ES_tradnl"/>
              </w:rPr>
              <w:t>TERCERO. Determinación de la Controversia</w:t>
            </w:r>
            <w:r w:rsidRPr="009D51D3">
              <w:rPr>
                <w:noProof/>
                <w:webHidden/>
              </w:rPr>
              <w:tab/>
            </w:r>
            <w:r w:rsidRPr="009D51D3">
              <w:rPr>
                <w:noProof/>
                <w:webHidden/>
              </w:rPr>
              <w:fldChar w:fldCharType="begin"/>
            </w:r>
            <w:r w:rsidRPr="009D51D3">
              <w:rPr>
                <w:noProof/>
                <w:webHidden/>
              </w:rPr>
              <w:instrText xml:space="preserve"> PAGEREF _Toc222412301 \h </w:instrText>
            </w:r>
            <w:r w:rsidRPr="009D51D3">
              <w:rPr>
                <w:noProof/>
                <w:webHidden/>
              </w:rPr>
            </w:r>
            <w:r w:rsidRPr="009D51D3">
              <w:rPr>
                <w:noProof/>
                <w:webHidden/>
              </w:rPr>
              <w:fldChar w:fldCharType="separate"/>
            </w:r>
            <w:r w:rsidR="00F759EE">
              <w:rPr>
                <w:noProof/>
                <w:webHidden/>
              </w:rPr>
              <w:t>13</w:t>
            </w:r>
            <w:r w:rsidRPr="009D51D3">
              <w:rPr>
                <w:noProof/>
                <w:webHidden/>
              </w:rPr>
              <w:fldChar w:fldCharType="end"/>
            </w:r>
          </w:hyperlink>
        </w:p>
        <w:p w14:paraId="5DE37CD2" w14:textId="77777777" w:rsidR="009D51D3" w:rsidRPr="009D51D3" w:rsidRDefault="009D51D3">
          <w:pPr>
            <w:pStyle w:val="TDC2"/>
            <w:tabs>
              <w:tab w:val="right" w:leader="dot" w:pos="8828"/>
            </w:tabs>
            <w:rPr>
              <w:rFonts w:asciiTheme="minorHAnsi" w:eastAsiaTheme="minorEastAsia" w:hAnsiTheme="minorHAnsi" w:cstheme="minorBidi"/>
              <w:noProof/>
              <w:color w:val="auto"/>
            </w:rPr>
          </w:pPr>
          <w:hyperlink w:anchor="_Toc222412302" w:history="1">
            <w:r w:rsidRPr="009D51D3">
              <w:rPr>
                <w:rStyle w:val="Hipervnculo"/>
                <w:bCs/>
                <w:noProof/>
                <w:lang w:val="es-ES"/>
              </w:rPr>
              <w:t xml:space="preserve">CUARTO. </w:t>
            </w:r>
            <w:r w:rsidRPr="009D51D3">
              <w:rPr>
                <w:rStyle w:val="Hipervnculo"/>
                <w:bCs/>
                <w:noProof/>
              </w:rPr>
              <w:t>Marco normativo aplicable en materia de transparencia y acceso a la información pública</w:t>
            </w:r>
            <w:r w:rsidRPr="009D51D3">
              <w:rPr>
                <w:noProof/>
                <w:webHidden/>
              </w:rPr>
              <w:tab/>
            </w:r>
            <w:r w:rsidRPr="009D51D3">
              <w:rPr>
                <w:noProof/>
                <w:webHidden/>
              </w:rPr>
              <w:fldChar w:fldCharType="begin"/>
            </w:r>
            <w:r w:rsidRPr="009D51D3">
              <w:rPr>
                <w:noProof/>
                <w:webHidden/>
              </w:rPr>
              <w:instrText xml:space="preserve"> PAGEREF _Toc222412302 \h </w:instrText>
            </w:r>
            <w:r w:rsidRPr="009D51D3">
              <w:rPr>
                <w:noProof/>
                <w:webHidden/>
              </w:rPr>
            </w:r>
            <w:r w:rsidRPr="009D51D3">
              <w:rPr>
                <w:noProof/>
                <w:webHidden/>
              </w:rPr>
              <w:fldChar w:fldCharType="separate"/>
            </w:r>
            <w:r w:rsidR="00F759EE">
              <w:rPr>
                <w:noProof/>
                <w:webHidden/>
              </w:rPr>
              <w:t>15</w:t>
            </w:r>
            <w:r w:rsidRPr="009D51D3">
              <w:rPr>
                <w:noProof/>
                <w:webHidden/>
              </w:rPr>
              <w:fldChar w:fldCharType="end"/>
            </w:r>
          </w:hyperlink>
        </w:p>
        <w:p w14:paraId="7B386E4F" w14:textId="77777777" w:rsidR="009D51D3" w:rsidRPr="009D51D3" w:rsidRDefault="009D51D3">
          <w:pPr>
            <w:pStyle w:val="TDC2"/>
            <w:tabs>
              <w:tab w:val="right" w:leader="dot" w:pos="8828"/>
            </w:tabs>
            <w:rPr>
              <w:rFonts w:asciiTheme="minorHAnsi" w:eastAsiaTheme="minorEastAsia" w:hAnsiTheme="minorHAnsi" w:cstheme="minorBidi"/>
              <w:noProof/>
              <w:color w:val="auto"/>
            </w:rPr>
          </w:pPr>
          <w:hyperlink w:anchor="_Toc222412303" w:history="1">
            <w:r w:rsidRPr="009D51D3">
              <w:rPr>
                <w:rStyle w:val="Hipervnculo"/>
                <w:bCs/>
                <w:noProof/>
                <w:lang w:val="es-ES"/>
              </w:rPr>
              <w:t>QUINTO. Estudio de Fondo</w:t>
            </w:r>
            <w:r w:rsidRPr="009D51D3">
              <w:rPr>
                <w:noProof/>
                <w:webHidden/>
              </w:rPr>
              <w:tab/>
            </w:r>
            <w:r w:rsidRPr="009D51D3">
              <w:rPr>
                <w:noProof/>
                <w:webHidden/>
              </w:rPr>
              <w:fldChar w:fldCharType="begin"/>
            </w:r>
            <w:r w:rsidRPr="009D51D3">
              <w:rPr>
                <w:noProof/>
                <w:webHidden/>
              </w:rPr>
              <w:instrText xml:space="preserve"> PAGEREF _Toc222412303 \h </w:instrText>
            </w:r>
            <w:r w:rsidRPr="009D51D3">
              <w:rPr>
                <w:noProof/>
                <w:webHidden/>
              </w:rPr>
            </w:r>
            <w:r w:rsidRPr="009D51D3">
              <w:rPr>
                <w:noProof/>
                <w:webHidden/>
              </w:rPr>
              <w:fldChar w:fldCharType="separate"/>
            </w:r>
            <w:r w:rsidR="00F759EE">
              <w:rPr>
                <w:noProof/>
                <w:webHidden/>
              </w:rPr>
              <w:t>16</w:t>
            </w:r>
            <w:r w:rsidRPr="009D51D3">
              <w:rPr>
                <w:noProof/>
                <w:webHidden/>
              </w:rPr>
              <w:fldChar w:fldCharType="end"/>
            </w:r>
          </w:hyperlink>
        </w:p>
        <w:p w14:paraId="3EECCDBA" w14:textId="77777777" w:rsidR="009D51D3" w:rsidRPr="009D51D3" w:rsidRDefault="009D51D3">
          <w:pPr>
            <w:pStyle w:val="TDC2"/>
            <w:tabs>
              <w:tab w:val="right" w:leader="dot" w:pos="8828"/>
            </w:tabs>
            <w:rPr>
              <w:rFonts w:asciiTheme="minorHAnsi" w:eastAsiaTheme="minorEastAsia" w:hAnsiTheme="minorHAnsi" w:cstheme="minorBidi"/>
              <w:noProof/>
              <w:color w:val="auto"/>
            </w:rPr>
          </w:pPr>
          <w:hyperlink w:anchor="_Toc222412304" w:history="1">
            <w:r w:rsidRPr="009D51D3">
              <w:rPr>
                <w:rStyle w:val="Hipervnculo"/>
                <w:bCs/>
                <w:noProof/>
              </w:rPr>
              <w:t>SEXTO. Decisión</w:t>
            </w:r>
            <w:r w:rsidRPr="009D51D3">
              <w:rPr>
                <w:noProof/>
                <w:webHidden/>
              </w:rPr>
              <w:tab/>
            </w:r>
            <w:r w:rsidRPr="009D51D3">
              <w:rPr>
                <w:noProof/>
                <w:webHidden/>
              </w:rPr>
              <w:fldChar w:fldCharType="begin"/>
            </w:r>
            <w:r w:rsidRPr="009D51D3">
              <w:rPr>
                <w:noProof/>
                <w:webHidden/>
              </w:rPr>
              <w:instrText xml:space="preserve"> PAGEREF _Toc222412304 \h </w:instrText>
            </w:r>
            <w:r w:rsidRPr="009D51D3">
              <w:rPr>
                <w:noProof/>
                <w:webHidden/>
              </w:rPr>
            </w:r>
            <w:r w:rsidRPr="009D51D3">
              <w:rPr>
                <w:noProof/>
                <w:webHidden/>
              </w:rPr>
              <w:fldChar w:fldCharType="separate"/>
            </w:r>
            <w:r w:rsidR="00F759EE">
              <w:rPr>
                <w:noProof/>
                <w:webHidden/>
              </w:rPr>
              <w:t>30</w:t>
            </w:r>
            <w:r w:rsidRPr="009D51D3">
              <w:rPr>
                <w:noProof/>
                <w:webHidden/>
              </w:rPr>
              <w:fldChar w:fldCharType="end"/>
            </w:r>
          </w:hyperlink>
        </w:p>
        <w:p w14:paraId="1D9D2A52" w14:textId="77777777" w:rsidR="009D51D3" w:rsidRPr="009D51D3" w:rsidRDefault="009D51D3">
          <w:pPr>
            <w:pStyle w:val="TDC1"/>
            <w:tabs>
              <w:tab w:val="right" w:leader="dot" w:pos="8828"/>
            </w:tabs>
            <w:rPr>
              <w:rFonts w:asciiTheme="minorHAnsi" w:eastAsiaTheme="minorEastAsia" w:hAnsiTheme="minorHAnsi" w:cstheme="minorBidi"/>
              <w:noProof/>
              <w:color w:val="auto"/>
            </w:rPr>
          </w:pPr>
          <w:hyperlink w:anchor="_Toc222412305" w:history="1">
            <w:r w:rsidRPr="009D51D3">
              <w:rPr>
                <w:rStyle w:val="Hipervnculo"/>
                <w:rFonts w:eastAsia="Calibri"/>
                <w:bCs/>
                <w:noProof/>
              </w:rPr>
              <w:t>R E S U E L V E</w:t>
            </w:r>
            <w:r w:rsidRPr="009D51D3">
              <w:rPr>
                <w:noProof/>
                <w:webHidden/>
              </w:rPr>
              <w:tab/>
            </w:r>
            <w:r w:rsidRPr="009D51D3">
              <w:rPr>
                <w:noProof/>
                <w:webHidden/>
              </w:rPr>
              <w:fldChar w:fldCharType="begin"/>
            </w:r>
            <w:r w:rsidRPr="009D51D3">
              <w:rPr>
                <w:noProof/>
                <w:webHidden/>
              </w:rPr>
              <w:instrText xml:space="preserve"> PAGEREF _Toc222412305 \h </w:instrText>
            </w:r>
            <w:r w:rsidRPr="009D51D3">
              <w:rPr>
                <w:noProof/>
                <w:webHidden/>
              </w:rPr>
            </w:r>
            <w:r w:rsidRPr="009D51D3">
              <w:rPr>
                <w:noProof/>
                <w:webHidden/>
              </w:rPr>
              <w:fldChar w:fldCharType="separate"/>
            </w:r>
            <w:r w:rsidR="00F759EE">
              <w:rPr>
                <w:noProof/>
                <w:webHidden/>
              </w:rPr>
              <w:t>31</w:t>
            </w:r>
            <w:r w:rsidRPr="009D51D3">
              <w:rPr>
                <w:noProof/>
                <w:webHidden/>
              </w:rPr>
              <w:fldChar w:fldCharType="end"/>
            </w:r>
          </w:hyperlink>
        </w:p>
        <w:p w14:paraId="3CED7580" w14:textId="7B2FE1C8" w:rsidR="006A7A0B" w:rsidRDefault="006A7A0B" w:rsidP="005E13A5">
          <w:pPr>
            <w:widowControl w:val="0"/>
            <w:pBdr>
              <w:top w:val="nil"/>
              <w:left w:val="nil"/>
              <w:bottom w:val="nil"/>
              <w:right w:val="nil"/>
              <w:between w:val="nil"/>
            </w:pBdr>
            <w:spacing w:line="360" w:lineRule="auto"/>
            <w:ind w:left="720" w:hanging="720"/>
            <w:contextualSpacing/>
          </w:pPr>
          <w:r w:rsidRPr="009D51D3">
            <w:rPr>
              <w:rFonts w:ascii="Palatino Linotype" w:hAnsi="Palatino Linotype"/>
              <w:sz w:val="22"/>
              <w:szCs w:val="22"/>
              <w:lang w:val="es-ES"/>
            </w:rPr>
            <w:fldChar w:fldCharType="end"/>
          </w:r>
        </w:p>
      </w:sdtContent>
    </w:sdt>
    <w:p w14:paraId="7CC188CB" w14:textId="77777777" w:rsidR="006A7A0B" w:rsidRDefault="006A7A0B" w:rsidP="005E13A5">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27A9C93C" w14:textId="77777777" w:rsidR="006A7A0B" w:rsidRDefault="006A7A0B" w:rsidP="005E13A5">
      <w:pPr>
        <w:spacing w:line="360" w:lineRule="auto"/>
        <w:ind w:right="-28"/>
        <w:contextualSpacing/>
        <w:jc w:val="both"/>
        <w:rPr>
          <w:rFonts w:ascii="Palatino Linotype" w:eastAsia="Palatino Linotype" w:hAnsi="Palatino Linotype" w:cs="Palatino Linotype"/>
          <w:color w:val="000000"/>
          <w:sz w:val="22"/>
          <w:szCs w:val="22"/>
        </w:rPr>
      </w:pPr>
    </w:p>
    <w:p w14:paraId="3799D572" w14:textId="77777777" w:rsidR="006A7A0B" w:rsidRDefault="006A7A0B" w:rsidP="005E13A5">
      <w:pPr>
        <w:spacing w:line="360" w:lineRule="auto"/>
        <w:ind w:right="-28"/>
        <w:contextualSpacing/>
        <w:jc w:val="both"/>
        <w:rPr>
          <w:rFonts w:ascii="Palatino Linotype" w:eastAsia="Palatino Linotype" w:hAnsi="Palatino Linotype" w:cs="Palatino Linotype"/>
          <w:color w:val="000000"/>
          <w:sz w:val="22"/>
          <w:szCs w:val="22"/>
        </w:rPr>
      </w:pPr>
    </w:p>
    <w:p w14:paraId="239E374E" w14:textId="77777777" w:rsidR="006A7A0B" w:rsidRDefault="006A7A0B" w:rsidP="005E13A5">
      <w:pPr>
        <w:spacing w:line="360" w:lineRule="auto"/>
        <w:ind w:right="-28"/>
        <w:contextualSpacing/>
        <w:jc w:val="both"/>
        <w:rPr>
          <w:rFonts w:ascii="Palatino Linotype" w:eastAsia="Palatino Linotype" w:hAnsi="Palatino Linotype" w:cs="Palatino Linotype"/>
          <w:color w:val="000000"/>
          <w:sz w:val="22"/>
          <w:szCs w:val="22"/>
        </w:rPr>
      </w:pPr>
    </w:p>
    <w:p w14:paraId="07BC6A5B" w14:textId="77777777" w:rsidR="006A7A0B" w:rsidRDefault="006A7A0B" w:rsidP="005E13A5">
      <w:pPr>
        <w:spacing w:line="360" w:lineRule="auto"/>
        <w:ind w:right="-28"/>
        <w:contextualSpacing/>
        <w:jc w:val="both"/>
        <w:rPr>
          <w:rFonts w:ascii="Palatino Linotype" w:eastAsia="Palatino Linotype" w:hAnsi="Palatino Linotype" w:cs="Palatino Linotype"/>
          <w:color w:val="000000"/>
          <w:sz w:val="22"/>
          <w:szCs w:val="22"/>
        </w:rPr>
      </w:pPr>
    </w:p>
    <w:p w14:paraId="6248CF51" w14:textId="77777777" w:rsidR="006A7A0B" w:rsidRDefault="006A7A0B" w:rsidP="005E13A5">
      <w:pPr>
        <w:spacing w:line="360" w:lineRule="auto"/>
        <w:ind w:right="-28"/>
        <w:contextualSpacing/>
        <w:jc w:val="both"/>
        <w:rPr>
          <w:rFonts w:ascii="Palatino Linotype" w:eastAsia="Palatino Linotype" w:hAnsi="Palatino Linotype" w:cs="Palatino Linotype"/>
          <w:color w:val="000000"/>
          <w:sz w:val="22"/>
          <w:szCs w:val="22"/>
        </w:rPr>
      </w:pPr>
    </w:p>
    <w:p w14:paraId="1E46415A" w14:textId="77777777" w:rsidR="006A7A0B" w:rsidRDefault="006A7A0B" w:rsidP="005E13A5">
      <w:pPr>
        <w:spacing w:line="360" w:lineRule="auto"/>
        <w:ind w:right="-28"/>
        <w:contextualSpacing/>
        <w:jc w:val="both"/>
        <w:rPr>
          <w:rFonts w:ascii="Palatino Linotype" w:hAnsi="Palatino Linotype" w:cs="Tahoma"/>
          <w:sz w:val="22"/>
          <w:szCs w:val="22"/>
        </w:rPr>
      </w:pPr>
    </w:p>
    <w:p w14:paraId="464149D1" w14:textId="77777777" w:rsidR="006A7A0B" w:rsidRDefault="006A7A0B" w:rsidP="005E13A5">
      <w:pPr>
        <w:spacing w:line="360" w:lineRule="auto"/>
        <w:ind w:right="-28"/>
        <w:contextualSpacing/>
        <w:jc w:val="both"/>
        <w:rPr>
          <w:rFonts w:ascii="Palatino Linotype" w:hAnsi="Palatino Linotype" w:cs="Tahoma"/>
          <w:sz w:val="22"/>
          <w:szCs w:val="22"/>
        </w:rPr>
      </w:pPr>
    </w:p>
    <w:p w14:paraId="5D48EF28" w14:textId="77777777" w:rsidR="006A7A0B" w:rsidRDefault="006A7A0B" w:rsidP="005E13A5">
      <w:pPr>
        <w:spacing w:line="360" w:lineRule="auto"/>
        <w:ind w:right="-28"/>
        <w:contextualSpacing/>
        <w:jc w:val="both"/>
        <w:rPr>
          <w:rFonts w:ascii="Palatino Linotype" w:hAnsi="Palatino Linotype" w:cs="Tahoma"/>
          <w:sz w:val="22"/>
          <w:szCs w:val="22"/>
        </w:rPr>
      </w:pPr>
    </w:p>
    <w:p w14:paraId="0845D4E4" w14:textId="1FA6EA2A" w:rsidR="006A7A0B" w:rsidRDefault="006A7A0B" w:rsidP="005E13A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dieciocho de febrero de dos mil veintiséis.</w:t>
      </w:r>
    </w:p>
    <w:p w14:paraId="7A04F555" w14:textId="77777777" w:rsidR="006A7A0B" w:rsidRDefault="006A7A0B" w:rsidP="005E13A5">
      <w:pPr>
        <w:spacing w:line="360" w:lineRule="auto"/>
        <w:contextualSpacing/>
        <w:rPr>
          <w:rFonts w:ascii="Palatino Linotype" w:eastAsia="Palatino Linotype" w:hAnsi="Palatino Linotype" w:cs="Palatino Linotype"/>
          <w:sz w:val="22"/>
          <w:szCs w:val="22"/>
        </w:rPr>
      </w:pPr>
    </w:p>
    <w:p w14:paraId="2B44BB29" w14:textId="2C9EACCB" w:rsidR="006A7A0B" w:rsidRDefault="006A7A0B" w:rsidP="005E13A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BF2520">
        <w:rPr>
          <w:rFonts w:ascii="Palatino Linotype" w:eastAsia="Palatino Linotype" w:hAnsi="Palatino Linotype" w:cs="Palatino Linotype"/>
          <w:b/>
          <w:bCs/>
          <w:sz w:val="22"/>
          <w:szCs w:val="22"/>
        </w:rPr>
        <w:t>014201/INFOEM/IP/RR/2025,</w:t>
      </w:r>
      <w:r w:rsidRPr="003B6775">
        <w:rPr>
          <w:rFonts w:ascii="Palatino Linotype" w:eastAsia="Palatino Linotype" w:hAnsi="Palatino Linotype" w:cs="Palatino Linotype"/>
          <w:bCs/>
          <w:sz w:val="22"/>
          <w:szCs w:val="22"/>
        </w:rPr>
        <w:t xml:space="preserve"> </w:t>
      </w:r>
      <w:r w:rsidRPr="003B6775">
        <w:rPr>
          <w:rFonts w:ascii="Palatino Linotype" w:eastAsia="Palatino Linotype" w:hAnsi="Palatino Linotype" w:cs="Palatino Linotype"/>
          <w:bCs/>
          <w:color w:val="0D0D0D"/>
          <w:sz w:val="22"/>
          <w:szCs w:val="22"/>
        </w:rPr>
        <w:t xml:space="preserve">interpuesto por </w:t>
      </w:r>
      <w:r w:rsidR="00FD6959" w:rsidRPr="00FD6959">
        <w:rPr>
          <w:rFonts w:ascii="Palatino Linotype" w:eastAsia="Palatino Linotype" w:hAnsi="Palatino Linotype" w:cs="Palatino Linotype"/>
          <w:sz w:val="22"/>
          <w:szCs w:val="22"/>
          <w:highlight w:val="black"/>
        </w:rPr>
        <w:t>XXXXXXXXXXXXXXXX</w:t>
      </w:r>
      <w:r w:rsidR="00FD6959">
        <w:rPr>
          <w:rFonts w:ascii="Palatino Linotype" w:eastAsia="Palatino Linotype" w:hAnsi="Palatino Linotype" w:cs="Palatino Linotype"/>
          <w:sz w:val="22"/>
          <w:szCs w:val="22"/>
        </w:rPr>
        <w:t xml:space="preserve"> </w:t>
      </w:r>
      <w:r w:rsidRPr="003B6775">
        <w:rPr>
          <w:rFonts w:ascii="Palatino Linotype" w:eastAsia="Palatino Linotype" w:hAnsi="Palatino Linotype" w:cs="Palatino Linotype"/>
          <w:bCs/>
          <w:color w:val="0D0D0D"/>
          <w:sz w:val="22"/>
          <w:szCs w:val="22"/>
        </w:rPr>
        <w:t xml:space="preserve">en lo sucesivo </w:t>
      </w:r>
      <w:r w:rsidRPr="003B6775">
        <w:rPr>
          <w:rFonts w:ascii="Palatino Linotype" w:eastAsia="Palatino Linotype" w:hAnsi="Palatino Linotype" w:cs="Palatino Linotype"/>
          <w:bCs/>
          <w:sz w:val="22"/>
          <w:szCs w:val="22"/>
        </w:rPr>
        <w:t xml:space="preserve">el </w:t>
      </w:r>
      <w:r w:rsidRPr="003B6775">
        <w:rPr>
          <w:rFonts w:ascii="Palatino Linotype" w:eastAsia="Palatino Linotype" w:hAnsi="Palatino Linotype" w:cs="Palatino Linotype"/>
          <w:bCs/>
          <w:color w:val="0D0D0D"/>
          <w:sz w:val="22"/>
          <w:szCs w:val="22"/>
        </w:rPr>
        <w:t>Recurrente o Particular, en contra de la respuesta del Sujeto Obligado a la solicitud de acceso a la información pública</w:t>
      </w:r>
      <w:r w:rsidRPr="003B6775">
        <w:rPr>
          <w:rFonts w:ascii="Palatino Linotype" w:eastAsia="Palatino Linotype" w:hAnsi="Palatino Linotype" w:cs="Palatino Linotype"/>
          <w:bCs/>
          <w:sz w:val="22"/>
          <w:szCs w:val="22"/>
        </w:rPr>
        <w:t> </w:t>
      </w:r>
      <w:r w:rsidRPr="006A7A0B">
        <w:rPr>
          <w:rFonts w:ascii="Palatino Linotype" w:eastAsia="Palatino Linotype" w:hAnsi="Palatino Linotype" w:cs="Palatino Linotype"/>
          <w:sz w:val="22"/>
          <w:szCs w:val="22"/>
        </w:rPr>
        <w:t>00662/SMOV/IP/2025</w:t>
      </w:r>
      <w:r w:rsidRPr="003B6775">
        <w:rPr>
          <w:rFonts w:ascii="Palatino Linotype" w:eastAsia="Palatino Linotype" w:hAnsi="Palatino Linotype" w:cs="Palatino Linotype"/>
          <w:bCs/>
          <w:color w:val="0D0D0D"/>
          <w:sz w:val="22"/>
          <w:szCs w:val="22"/>
        </w:rPr>
        <w:t>,</w:t>
      </w:r>
      <w:r>
        <w:rPr>
          <w:rFonts w:ascii="Palatino Linotype" w:eastAsia="Palatino Linotype" w:hAnsi="Palatino Linotype" w:cs="Palatino Linotype"/>
          <w:color w:val="0D0D0D"/>
          <w:sz w:val="22"/>
          <w:szCs w:val="22"/>
        </w:rPr>
        <w:t xml:space="preserve"> se emite la presente Resolución, con base en los Antecedentes y C</w:t>
      </w:r>
      <w:r>
        <w:rPr>
          <w:rFonts w:ascii="Palatino Linotype" w:eastAsia="Palatino Linotype" w:hAnsi="Palatino Linotype" w:cs="Palatino Linotype"/>
          <w:sz w:val="22"/>
          <w:szCs w:val="22"/>
        </w:rPr>
        <w:t>onsiderandos que a continuación se exponen:</w:t>
      </w:r>
    </w:p>
    <w:p w14:paraId="06CCE259" w14:textId="77777777" w:rsidR="006A7A0B" w:rsidRDefault="006A7A0B" w:rsidP="005E13A5">
      <w:pPr>
        <w:spacing w:line="360" w:lineRule="auto"/>
        <w:contextualSpacing/>
        <w:jc w:val="both"/>
        <w:rPr>
          <w:rFonts w:ascii="Palatino Linotype" w:eastAsia="Palatino Linotype" w:hAnsi="Palatino Linotype" w:cs="Palatino Linotype"/>
          <w:sz w:val="22"/>
          <w:szCs w:val="22"/>
        </w:rPr>
      </w:pPr>
    </w:p>
    <w:p w14:paraId="7D142A9F" w14:textId="77777777" w:rsidR="006A7A0B" w:rsidRPr="00633419" w:rsidRDefault="006A7A0B" w:rsidP="005E13A5">
      <w:pPr>
        <w:pStyle w:val="Ttulo1"/>
        <w:spacing w:before="0" w:after="0" w:line="360" w:lineRule="auto"/>
        <w:contextualSpacing/>
        <w:jc w:val="center"/>
        <w:rPr>
          <w:rFonts w:ascii="Palatino Linotype" w:hAnsi="Palatino Linotype"/>
          <w:b/>
          <w:bCs/>
          <w:color w:val="auto"/>
          <w:sz w:val="22"/>
          <w:szCs w:val="22"/>
        </w:rPr>
      </w:pPr>
      <w:bookmarkStart w:id="2" w:name="_Toc222412294"/>
      <w:r w:rsidRPr="00633419">
        <w:rPr>
          <w:rFonts w:ascii="Palatino Linotype" w:hAnsi="Palatino Linotype"/>
          <w:b/>
          <w:bCs/>
          <w:color w:val="auto"/>
          <w:sz w:val="22"/>
          <w:szCs w:val="22"/>
        </w:rPr>
        <w:t>A N T E C E D E N T E S</w:t>
      </w:r>
      <w:bookmarkEnd w:id="2"/>
    </w:p>
    <w:p w14:paraId="09B4221B" w14:textId="77777777" w:rsidR="006A7A0B" w:rsidRDefault="006A7A0B" w:rsidP="005E13A5">
      <w:pPr>
        <w:spacing w:line="360" w:lineRule="auto"/>
        <w:contextualSpacing/>
      </w:pPr>
    </w:p>
    <w:p w14:paraId="5E8D2186" w14:textId="77777777" w:rsidR="006A7A0B" w:rsidRPr="00633419" w:rsidRDefault="006A7A0B" w:rsidP="005E13A5">
      <w:pPr>
        <w:pStyle w:val="Ttulo2"/>
        <w:spacing w:before="0" w:after="0" w:line="360" w:lineRule="auto"/>
        <w:contextualSpacing/>
        <w:rPr>
          <w:rFonts w:ascii="Palatino Linotype" w:hAnsi="Palatino Linotype"/>
          <w:b/>
          <w:bCs/>
          <w:color w:val="auto"/>
          <w:sz w:val="22"/>
          <w:szCs w:val="22"/>
        </w:rPr>
      </w:pPr>
      <w:bookmarkStart w:id="3" w:name="_Toc222412295"/>
      <w:r w:rsidRPr="00633419">
        <w:rPr>
          <w:rFonts w:ascii="Palatino Linotype" w:hAnsi="Palatino Linotype"/>
          <w:b/>
          <w:bCs/>
          <w:color w:val="auto"/>
          <w:sz w:val="22"/>
          <w:szCs w:val="22"/>
        </w:rPr>
        <w:t>I. Presentación de la solicitud de información</w:t>
      </w:r>
      <w:bookmarkEnd w:id="3"/>
    </w:p>
    <w:p w14:paraId="674C08F7" w14:textId="77777777" w:rsidR="006A7A0B" w:rsidRDefault="006A7A0B" w:rsidP="005E13A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6B00CC29" w14:textId="201E567B" w:rsidR="006A7A0B" w:rsidRDefault="006A7A0B" w:rsidP="005E13A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once de noviembre de dos mil veinticinco, el Particular presentó una solicitud de acceso a la información pública, a través del Sistema de Acceso a la Información Mexiquense, en lo sucesivo el SAIMEX, ante la Secretaría de Movilidad, mediante la cual requirió lo siguiente:</w:t>
      </w:r>
    </w:p>
    <w:p w14:paraId="18A53855" w14:textId="77777777" w:rsidR="006A7A0B" w:rsidRDefault="006A7A0B" w:rsidP="005E13A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156EDD0A" w14:textId="77777777" w:rsidR="006A7A0B" w:rsidRDefault="006A7A0B" w:rsidP="005E13A5">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59227909" w14:textId="48A01560" w:rsidR="006A7A0B" w:rsidRPr="005C08BB" w:rsidRDefault="006A7A0B" w:rsidP="005E13A5">
      <w:pPr>
        <w:spacing w:line="360" w:lineRule="auto"/>
        <w:ind w:left="567" w:right="567"/>
        <w:contextualSpacing/>
        <w:jc w:val="both"/>
        <w:rPr>
          <w:rFonts w:ascii="Palatino Linotype" w:eastAsia="Palatino Linotype" w:hAnsi="Palatino Linotype" w:cs="Palatino Linotype"/>
          <w:i/>
        </w:rPr>
      </w:pPr>
      <w:r w:rsidRPr="006A7A0B">
        <w:rPr>
          <w:rFonts w:ascii="Palatino Linotype" w:eastAsia="Palatino Linotype" w:hAnsi="Palatino Linotype" w:cs="Palatino Linotype"/>
          <w:i/>
        </w:rPr>
        <w:t>SOLICITO COPIA SIMPLE DIGITALIZADA A TRAVÉS DEL SISTEMA ELECTRÓNICO SAIMEX DE TODAS LAS FACTURAS PAGADAS Y EN PROCESO DE PAGO POR MÁS DE UN MILLÓN DE PESOS GENERADAS ENTRE EL 1 DE ENERO Y EL 10 DE NOVIEMBRE DE 2025</w:t>
      </w:r>
      <w:r>
        <w:rPr>
          <w:rFonts w:ascii="Palatino Linotype" w:eastAsia="Palatino Linotype" w:hAnsi="Palatino Linotype" w:cs="Palatino Linotype"/>
          <w:i/>
        </w:rPr>
        <w:t>.” (Sic).</w:t>
      </w:r>
    </w:p>
    <w:p w14:paraId="1A8A3526" w14:textId="77777777" w:rsidR="006A7A0B" w:rsidRDefault="006A7A0B" w:rsidP="005E13A5">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4325B557" w14:textId="77777777" w:rsidR="006A7A0B" w:rsidRDefault="006A7A0B" w:rsidP="005E13A5">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14:paraId="4F8F66E5" w14:textId="61481014" w:rsidR="006A7A0B" w:rsidRPr="00A77860" w:rsidRDefault="006A7A0B" w:rsidP="005E13A5">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través de SAIMEX”</w:t>
      </w:r>
    </w:p>
    <w:p w14:paraId="64F92E78" w14:textId="77777777" w:rsidR="00A77860" w:rsidRPr="00F93B78" w:rsidRDefault="00A77860" w:rsidP="005E13A5">
      <w:pPr>
        <w:spacing w:line="360" w:lineRule="auto"/>
        <w:contextualSpacing/>
      </w:pPr>
      <w:bookmarkStart w:id="4" w:name="_heading=h.270ugglvhyo" w:colFirst="0" w:colLast="0"/>
      <w:bookmarkEnd w:id="4"/>
    </w:p>
    <w:p w14:paraId="4678933A" w14:textId="3B8ED146" w:rsidR="00A77860" w:rsidRPr="004616B5" w:rsidRDefault="00A77860" w:rsidP="005E13A5">
      <w:pPr>
        <w:tabs>
          <w:tab w:val="left" w:pos="4667"/>
        </w:tabs>
        <w:spacing w:line="360" w:lineRule="auto"/>
        <w:contextualSpacing/>
        <w:jc w:val="both"/>
        <w:rPr>
          <w:rFonts w:ascii="Palatino Linotype" w:eastAsiaTheme="majorEastAsia" w:hAnsi="Palatino Linotype" w:cstheme="majorBidi"/>
          <w:b/>
          <w:bCs/>
          <w:sz w:val="22"/>
          <w:szCs w:val="22"/>
        </w:rPr>
      </w:pPr>
      <w:bookmarkStart w:id="5" w:name="_Hlk207876558"/>
      <w:r w:rsidRPr="00E80D0A">
        <w:rPr>
          <w:rFonts w:ascii="Palatino Linotype" w:eastAsiaTheme="majorEastAsia" w:hAnsi="Palatino Linotype" w:cstheme="majorBidi"/>
          <w:b/>
          <w:bCs/>
          <w:sz w:val="22"/>
          <w:szCs w:val="22"/>
        </w:rPr>
        <w:lastRenderedPageBreak/>
        <w:t>I</w:t>
      </w:r>
      <w:r>
        <w:rPr>
          <w:rFonts w:ascii="Palatino Linotype" w:eastAsiaTheme="majorEastAsia" w:hAnsi="Palatino Linotype" w:cstheme="majorBidi"/>
          <w:b/>
          <w:bCs/>
          <w:sz w:val="22"/>
          <w:szCs w:val="22"/>
        </w:rPr>
        <w:t>I</w:t>
      </w:r>
      <w:r w:rsidRPr="00E80D0A">
        <w:rPr>
          <w:rFonts w:ascii="Palatino Linotype" w:eastAsiaTheme="majorEastAsia" w:hAnsi="Palatino Linotype" w:cstheme="majorBidi"/>
          <w:b/>
          <w:bCs/>
          <w:sz w:val="22"/>
          <w:szCs w:val="22"/>
        </w:rPr>
        <w:t xml:space="preserve">. </w:t>
      </w:r>
      <w:r w:rsidRPr="004616B5">
        <w:rPr>
          <w:rFonts w:ascii="Palatino Linotype" w:eastAsiaTheme="majorEastAsia" w:hAnsi="Palatino Linotype" w:cstheme="majorBidi"/>
          <w:b/>
          <w:bCs/>
          <w:sz w:val="22"/>
          <w:szCs w:val="22"/>
        </w:rPr>
        <w:t>Respuesta del Sujeto Obligado</w:t>
      </w:r>
    </w:p>
    <w:p w14:paraId="1AB4E58C" w14:textId="77777777" w:rsidR="00A77860" w:rsidRDefault="00A77860" w:rsidP="005E13A5">
      <w:pPr>
        <w:tabs>
          <w:tab w:val="left" w:pos="4667"/>
        </w:tabs>
        <w:spacing w:line="360" w:lineRule="auto"/>
        <w:contextualSpacing/>
        <w:jc w:val="both"/>
        <w:rPr>
          <w:rFonts w:ascii="Palatino Linotype" w:eastAsiaTheme="majorEastAsia" w:hAnsi="Palatino Linotype" w:cstheme="majorBidi"/>
          <w:sz w:val="22"/>
          <w:szCs w:val="22"/>
        </w:rPr>
      </w:pPr>
    </w:p>
    <w:p w14:paraId="28D6FEA8" w14:textId="3AE2436C" w:rsidR="00A77860" w:rsidRDefault="00A77860" w:rsidP="005E13A5">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dos de diciembre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 xml:space="preserve">mediante la digitalización de los documentos siguientes: </w:t>
      </w:r>
    </w:p>
    <w:p w14:paraId="5AF441DB" w14:textId="77777777" w:rsidR="00A77860" w:rsidRDefault="00A77860" w:rsidP="005E13A5">
      <w:pPr>
        <w:tabs>
          <w:tab w:val="left" w:pos="4667"/>
        </w:tabs>
        <w:spacing w:line="360" w:lineRule="auto"/>
        <w:contextualSpacing/>
        <w:jc w:val="both"/>
        <w:rPr>
          <w:rFonts w:ascii="Palatino Linotype" w:eastAsiaTheme="majorEastAsia" w:hAnsi="Palatino Linotype" w:cstheme="majorBidi"/>
          <w:sz w:val="22"/>
          <w:szCs w:val="22"/>
        </w:rPr>
      </w:pPr>
    </w:p>
    <w:bookmarkEnd w:id="5"/>
    <w:p w14:paraId="63FBE626" w14:textId="7098EC48" w:rsidR="00A77860" w:rsidRDefault="00A77860" w:rsidP="005E13A5">
      <w:pPr>
        <w:tabs>
          <w:tab w:val="left" w:pos="4667"/>
        </w:tabs>
        <w:spacing w:line="360" w:lineRule="auto"/>
        <w:contextualSpacing/>
        <w:jc w:val="both"/>
        <w:rPr>
          <w:rFonts w:ascii="Palatino Linotype" w:eastAsiaTheme="majorEastAsia" w:hAnsi="Palatino Linotype" w:cstheme="majorBidi"/>
          <w:sz w:val="22"/>
          <w:szCs w:val="22"/>
        </w:rPr>
      </w:pPr>
      <w:r w:rsidRPr="00A77860">
        <w:rPr>
          <w:rFonts w:ascii="Palatino Linotype" w:eastAsiaTheme="majorEastAsia" w:hAnsi="Palatino Linotype" w:cstheme="majorBidi"/>
          <w:sz w:val="22"/>
          <w:szCs w:val="22"/>
        </w:rPr>
        <w:t>i) Oficio número CCT/UT/1363/2025</w:t>
      </w:r>
      <w:r>
        <w:rPr>
          <w:rFonts w:ascii="Palatino Linotype" w:eastAsiaTheme="majorEastAsia" w:hAnsi="Palatino Linotype" w:cstheme="majorBidi"/>
          <w:sz w:val="22"/>
          <w:szCs w:val="22"/>
        </w:rPr>
        <w:t>, de fecha de su presentación, suscrito por la Titular de la Unidad de Transparencia, dirigido al Solicitante, a través del cual manifiesta y expone lo siguiente:</w:t>
      </w:r>
    </w:p>
    <w:p w14:paraId="5B61BC1A" w14:textId="77777777" w:rsidR="00A77860" w:rsidRDefault="00A77860" w:rsidP="005E13A5">
      <w:pPr>
        <w:tabs>
          <w:tab w:val="left" w:pos="4667"/>
        </w:tabs>
        <w:spacing w:line="360" w:lineRule="auto"/>
        <w:contextualSpacing/>
        <w:jc w:val="both"/>
        <w:rPr>
          <w:rFonts w:ascii="Palatino Linotype" w:eastAsiaTheme="majorEastAsia" w:hAnsi="Palatino Linotype" w:cstheme="majorBidi"/>
          <w:sz w:val="22"/>
          <w:szCs w:val="22"/>
        </w:rPr>
      </w:pPr>
    </w:p>
    <w:p w14:paraId="1F0DEE52" w14:textId="3396F4E1" w:rsidR="00A77860" w:rsidRPr="00A77860" w:rsidRDefault="00A77860"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A77860">
        <w:rPr>
          <w:rFonts w:ascii="Palatino Linotype" w:eastAsiaTheme="majorEastAsia" w:hAnsi="Palatino Linotype" w:cstheme="majorBidi"/>
          <w:i/>
          <w:iCs/>
        </w:rPr>
        <w:t xml:space="preserve">“…La Coordinación Administrativa a través de la Subdirección de Finanzas, responde lo siguiente: “...en el ámbito de competencia de esta Subdirección de Finanzas, me permito hacer de su conocimiento que, posterior a realizar una búsqueda exhaustiva y razonable en los documentos que integran el archivo de esta Unidad Administrativa, fue posible identificar un cumulo documental consistente en "122" fojas, las cuales coinciden con los criterios establecidos en la solicitud en comento” (sic) Se anexa en versión pública la información solicitada. </w:t>
      </w:r>
    </w:p>
    <w:p w14:paraId="67169596" w14:textId="77777777" w:rsidR="00A77860" w:rsidRPr="00A77860" w:rsidRDefault="00A77860" w:rsidP="005E13A5">
      <w:pPr>
        <w:tabs>
          <w:tab w:val="left" w:pos="4667"/>
        </w:tabs>
        <w:spacing w:line="360" w:lineRule="auto"/>
        <w:ind w:left="567" w:right="567"/>
        <w:contextualSpacing/>
        <w:jc w:val="both"/>
        <w:rPr>
          <w:rFonts w:ascii="Palatino Linotype" w:eastAsiaTheme="majorEastAsia" w:hAnsi="Palatino Linotype" w:cstheme="majorBidi"/>
          <w:i/>
          <w:iCs/>
        </w:rPr>
      </w:pPr>
    </w:p>
    <w:p w14:paraId="5218D8E2" w14:textId="23FD60B2" w:rsidR="00A77860" w:rsidRPr="009E0F2B" w:rsidRDefault="00A77860"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A77860">
        <w:rPr>
          <w:rFonts w:ascii="Palatino Linotype" w:eastAsiaTheme="majorEastAsia" w:hAnsi="Palatino Linotype" w:cstheme="majorBidi"/>
          <w:i/>
          <w:iCs/>
        </w:rPr>
        <w:t xml:space="preserve">La Dirección General de Vialidad informa que el proceso de pago de facturas por concepto de obra lo realiza la Secretaría de Finanzas del Gobierno del Estado de México, por lo que en aras de garantizar la mayor protección a su derecho humano de acceso a la información pública le informo a usted que puede consultar los datos de la Unidad de Transparencia de la Secretaría de Finanzas, a través del Directorio de Sujetos Obligados que publica el INFOEM en su página web, a través de la siguiente liga: Directorio de Sujetos Obligados, INFOEM. Estado de México, 2025. </w:t>
      </w:r>
      <w:hyperlink r:id="rId7" w:history="1">
        <w:r w:rsidR="009E0F2B" w:rsidRPr="009E0F2B">
          <w:rPr>
            <w:rStyle w:val="Hipervnculo"/>
            <w:rFonts w:ascii="Palatino Linotype" w:eastAsiaTheme="majorEastAsia" w:hAnsi="Palatino Linotype" w:cstheme="majorBidi"/>
            <w:i/>
            <w:iCs/>
            <w:color w:val="auto"/>
          </w:rPr>
          <w:t>https://www.infoem.org.mx/es/contenido/transparencia/directorio-desujetos-obligados</w:t>
        </w:r>
      </w:hyperlink>
      <w:r w:rsidR="009E0F2B" w:rsidRPr="009E0F2B">
        <w:rPr>
          <w:rFonts w:ascii="Palatino Linotype" w:eastAsiaTheme="majorEastAsia" w:hAnsi="Palatino Linotype" w:cstheme="majorBidi"/>
          <w:i/>
          <w:iCs/>
        </w:rPr>
        <w:t xml:space="preserve"> </w:t>
      </w:r>
      <w:r w:rsidRPr="00A77860">
        <w:rPr>
          <w:rFonts w:ascii="Palatino Linotype" w:hAnsi="Palatino Linotype" w:cs="Tahoma"/>
          <w:bCs/>
          <w:i/>
          <w:iCs/>
        </w:rPr>
        <w:t xml:space="preserve">…” </w:t>
      </w:r>
    </w:p>
    <w:p w14:paraId="3C2DD86A" w14:textId="77777777" w:rsidR="00A77860" w:rsidRDefault="00A77860" w:rsidP="005E13A5">
      <w:pPr>
        <w:spacing w:line="360" w:lineRule="auto"/>
        <w:ind w:right="567"/>
        <w:contextualSpacing/>
        <w:rPr>
          <w:rFonts w:ascii="Palatino Linotype" w:hAnsi="Palatino Linotype" w:cs="Tahoma"/>
          <w:bCs/>
          <w:i/>
          <w:iCs/>
        </w:rPr>
      </w:pPr>
    </w:p>
    <w:p w14:paraId="13735245" w14:textId="77777777" w:rsidR="00F01DCA" w:rsidRDefault="00F01DCA" w:rsidP="005E13A5">
      <w:pPr>
        <w:spacing w:line="360" w:lineRule="auto"/>
        <w:ind w:right="567"/>
        <w:contextualSpacing/>
        <w:rPr>
          <w:rFonts w:ascii="Palatino Linotype" w:hAnsi="Palatino Linotype" w:cs="Tahoma"/>
          <w:bCs/>
          <w:i/>
          <w:iCs/>
        </w:rPr>
      </w:pPr>
    </w:p>
    <w:p w14:paraId="4A27D7EA" w14:textId="77777777" w:rsidR="00F01DCA" w:rsidRDefault="00F01DCA" w:rsidP="005E13A5">
      <w:pPr>
        <w:spacing w:line="360" w:lineRule="auto"/>
        <w:ind w:right="567"/>
        <w:contextualSpacing/>
        <w:rPr>
          <w:rFonts w:ascii="Palatino Linotype" w:hAnsi="Palatino Linotype" w:cs="Tahoma"/>
          <w:bCs/>
          <w:i/>
          <w:iCs/>
        </w:rPr>
      </w:pPr>
    </w:p>
    <w:p w14:paraId="04DAEE05" w14:textId="616F69AF" w:rsidR="00A77860" w:rsidRDefault="00A77860" w:rsidP="005E13A5">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lastRenderedPageBreak/>
        <w:t>i</w:t>
      </w:r>
      <w:r w:rsidRPr="00A77860">
        <w:rPr>
          <w:rFonts w:ascii="Palatino Linotype" w:eastAsiaTheme="majorEastAsia" w:hAnsi="Palatino Linotype" w:cstheme="majorBidi"/>
          <w:sz w:val="22"/>
          <w:szCs w:val="22"/>
        </w:rPr>
        <w:t>i) Oficio número 22000012000400S/1593/2025</w:t>
      </w:r>
      <w:r>
        <w:rPr>
          <w:rFonts w:ascii="Palatino Linotype" w:eastAsiaTheme="majorEastAsia" w:hAnsi="Palatino Linotype" w:cstheme="majorBidi"/>
          <w:sz w:val="22"/>
          <w:szCs w:val="22"/>
        </w:rPr>
        <w:t>, del veinticinco de noviembre de dos mil veinticinco, suscrito por la Subdirectora de Finanzas, dirigido al Coordinador Administrativo y Servidor Público Habilitado en materia de Transparencia, a través del cual manifiesta y expone lo siguiente:</w:t>
      </w:r>
    </w:p>
    <w:p w14:paraId="6063868B" w14:textId="77777777" w:rsidR="009E0F2B" w:rsidRDefault="009E0F2B" w:rsidP="005E13A5">
      <w:pPr>
        <w:tabs>
          <w:tab w:val="left" w:pos="4667"/>
        </w:tabs>
        <w:spacing w:line="360" w:lineRule="auto"/>
        <w:contextualSpacing/>
        <w:jc w:val="both"/>
        <w:rPr>
          <w:rFonts w:ascii="Palatino Linotype" w:eastAsiaTheme="majorEastAsia" w:hAnsi="Palatino Linotype" w:cstheme="majorBidi"/>
          <w:sz w:val="22"/>
          <w:szCs w:val="22"/>
        </w:rPr>
      </w:pPr>
    </w:p>
    <w:p w14:paraId="63B34A58" w14:textId="77777777" w:rsidR="00F01DCA"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w:t>
      </w:r>
    </w:p>
    <w:p w14:paraId="75930458" w14:textId="77777777" w:rsidR="00F01DCA" w:rsidRDefault="00F01DCA" w:rsidP="005E13A5">
      <w:pPr>
        <w:tabs>
          <w:tab w:val="left" w:pos="4667"/>
        </w:tabs>
        <w:spacing w:line="360" w:lineRule="auto"/>
        <w:ind w:left="567" w:right="567"/>
        <w:contextualSpacing/>
        <w:jc w:val="both"/>
        <w:rPr>
          <w:rFonts w:ascii="Palatino Linotype" w:eastAsiaTheme="majorEastAsia" w:hAnsi="Palatino Linotype" w:cstheme="majorBidi"/>
          <w:i/>
          <w:iCs/>
        </w:rPr>
      </w:pPr>
    </w:p>
    <w:p w14:paraId="597049E9" w14:textId="70380D39"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 xml:space="preserve">Al respecto, con fundamento en lo dispuesto por los artículos 5 de la Constitución Política del Estado Libre y Soberano de México; 12, 19, 20, 24 fracciones IV, XI, XIV, XXII, XXV y 59 fracciones I, </w:t>
      </w:r>
      <w:proofErr w:type="spellStart"/>
      <w:r w:rsidRPr="009E0F2B">
        <w:rPr>
          <w:rFonts w:ascii="Palatino Linotype" w:eastAsiaTheme="majorEastAsia" w:hAnsi="Palatino Linotype" w:cstheme="majorBidi"/>
          <w:i/>
          <w:iCs/>
        </w:rPr>
        <w:t>Il</w:t>
      </w:r>
      <w:proofErr w:type="spellEnd"/>
      <w:r w:rsidRPr="009E0F2B">
        <w:rPr>
          <w:rFonts w:ascii="Palatino Linotype" w:eastAsiaTheme="majorEastAsia" w:hAnsi="Palatino Linotype" w:cstheme="majorBidi"/>
          <w:i/>
          <w:iCs/>
        </w:rPr>
        <w:t xml:space="preserve"> y </w:t>
      </w:r>
      <w:proofErr w:type="spellStart"/>
      <w:r w:rsidRPr="009E0F2B">
        <w:rPr>
          <w:rFonts w:ascii="Palatino Linotype" w:eastAsiaTheme="majorEastAsia" w:hAnsi="Palatino Linotype" w:cstheme="majorBidi"/>
          <w:i/>
          <w:iCs/>
        </w:rPr>
        <w:t>IIIde</w:t>
      </w:r>
      <w:proofErr w:type="spellEnd"/>
      <w:r w:rsidRPr="009E0F2B">
        <w:rPr>
          <w:rFonts w:ascii="Palatino Linotype" w:eastAsiaTheme="majorEastAsia" w:hAnsi="Palatino Linotype" w:cstheme="majorBidi"/>
          <w:i/>
          <w:iCs/>
        </w:rPr>
        <w:t xml:space="preserve"> la Ley de Transparencia y Acceso a la Información Pública del Estado de México y Municipios; 17 del Reglamento Interior de la Secretaría de Movilidad; y 22000011000400S del Manual General de Organización de la Secretaría de Movilidad, se precisa lo siguiente: </w:t>
      </w:r>
    </w:p>
    <w:p w14:paraId="2A82D5FE"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p>
    <w:p w14:paraId="6DF02D16" w14:textId="17864E8F"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 xml:space="preserve">Posterior al análisis realizado a la solicitud que nos ocupa, en el ámbito de competencia de esta Subdirección de Finanzas, me permito hacer de su conocimiento que, posterior a realizar una búsqueda exhaustiva y razonable en los documentos que integran el archivo de esta Unidad Administrativa, fue posible identificar un cumulo documental consistente en "122" fojas, las cuales coinciden con los criterios establecidos en la solicitud en comento y mismas que fueron enviadas digitalizadas en formato PDF. al correo electrónica </w:t>
      </w:r>
      <w:hyperlink r:id="rId8" w:history="1">
        <w:r w:rsidRPr="009E0F2B">
          <w:rPr>
            <w:rStyle w:val="Hipervnculo"/>
            <w:rFonts w:ascii="Palatino Linotype" w:eastAsiaTheme="majorEastAsia" w:hAnsi="Palatino Linotype" w:cstheme="majorBidi"/>
            <w:i/>
            <w:iCs/>
            <w:color w:val="auto"/>
          </w:rPr>
          <w:t>javierzenteno@edomex.gob.mx</w:t>
        </w:r>
      </w:hyperlink>
      <w:r w:rsidRPr="009E0F2B">
        <w:rPr>
          <w:rFonts w:ascii="Palatino Linotype" w:eastAsiaTheme="majorEastAsia" w:hAnsi="Palatino Linotype" w:cstheme="majorBidi"/>
          <w:i/>
          <w:iCs/>
        </w:rPr>
        <w:t xml:space="preserve">. </w:t>
      </w:r>
    </w:p>
    <w:p w14:paraId="5C945E30"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p>
    <w:p w14:paraId="46FF214D"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 xml:space="preserve">Con base en lo anterior, y conforme a los artículos 102, 103, 106, 115 y 120 de la Ley General de Transparencia y Acceso a la Información Pública (LGTAIP), así como los artículos 122, 128, 132 y 143 de la Ley de Transparencia y Acceso a la Información Pública del Estado de México y Municipios (LTAIPEMM), y los numerales séptimo, octavo y trigésimo octavo, inciso I, de los Lineamientos Generales de Clasificación y Desclasificación de la Información, así como para la elaboración de Versiones Públicas, se exponen las siguientes consideraciones: </w:t>
      </w:r>
    </w:p>
    <w:p w14:paraId="4A877BD0"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p>
    <w:p w14:paraId="50EA11E4"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lastRenderedPageBreak/>
        <w:t xml:space="preserve">1. La documentación entregada se generó a partir de la búsqueda realizada en atención a la solicitud de acceso a la información 00662/SMOV/IP/2025. </w:t>
      </w:r>
    </w:p>
    <w:p w14:paraId="7EBC3589"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 xml:space="preserve">2. La información testada corresponde a datos personales concernientes a personas físicas identificadas o identificables. </w:t>
      </w:r>
    </w:p>
    <w:p w14:paraId="6EB5BC9F"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 xml:space="preserve">3. Al tratarse de información clasificada como confidencial, no se encuentra sujeta a plazo de reserva y sólo podrán acceder a ella sus titulares, sus representantes o servidores públicos facultados. </w:t>
      </w:r>
    </w:p>
    <w:p w14:paraId="47A3E39E"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 xml:space="preserve">4. La versión pública fue elaborada con fecha 25 de noviembre de 2025. </w:t>
      </w:r>
    </w:p>
    <w:p w14:paraId="7F5E53AE"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p>
    <w:p w14:paraId="57BE7783"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 xml:space="preserve">Documentación incluida en versión pública: </w:t>
      </w:r>
    </w:p>
    <w:p w14:paraId="132250AE"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p>
    <w:p w14:paraId="45A783D7"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 xml:space="preserve">1. Facturas a nombre de COSMOCOLOR </w:t>
      </w:r>
    </w:p>
    <w:p w14:paraId="0E422FEA" w14:textId="267DDD82"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2. Factura a nombre de CONCESIONARIA VIALIDAD LAS TORRES</w:t>
      </w:r>
    </w:p>
    <w:p w14:paraId="33319868"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 xml:space="preserve">3. Factura a nombre de CUSAEM Datos testados por contener información confidencial: </w:t>
      </w:r>
    </w:p>
    <w:p w14:paraId="616F2F36"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p>
    <w:p w14:paraId="37AF2973"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 xml:space="preserve">1. Conforme a los artículos 115 de la LGTAIP, 143 de la LTAIPEMM y el lineamiento trigésimo octavo de los Lineamientos Generales: </w:t>
      </w:r>
    </w:p>
    <w:p w14:paraId="7D3D166B"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p>
    <w:p w14:paraId="1B510EF2" w14:textId="77777777" w:rsidR="009E0F2B" w:rsidRPr="009E0F2B" w:rsidRDefault="009E0F2B" w:rsidP="005E13A5">
      <w:pPr>
        <w:pStyle w:val="Prrafodelista"/>
        <w:numPr>
          <w:ilvl w:val="0"/>
          <w:numId w:val="22"/>
        </w:numPr>
        <w:tabs>
          <w:tab w:val="left" w:pos="4667"/>
        </w:tabs>
        <w:spacing w:line="360" w:lineRule="auto"/>
        <w:ind w:right="567"/>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 xml:space="preserve">Firma autógrafa </w:t>
      </w:r>
    </w:p>
    <w:p w14:paraId="7E52926F" w14:textId="77777777" w:rsidR="009E0F2B" w:rsidRPr="009E0F2B" w:rsidRDefault="009E0F2B" w:rsidP="005E13A5">
      <w:pPr>
        <w:pStyle w:val="Prrafodelista"/>
        <w:numPr>
          <w:ilvl w:val="0"/>
          <w:numId w:val="22"/>
        </w:numPr>
        <w:tabs>
          <w:tab w:val="left" w:pos="4667"/>
        </w:tabs>
        <w:spacing w:line="360" w:lineRule="auto"/>
        <w:ind w:right="567"/>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 xml:space="preserve">Nombre </w:t>
      </w:r>
    </w:p>
    <w:p w14:paraId="3AA4F612" w14:textId="77777777"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p>
    <w:p w14:paraId="53F200A3" w14:textId="77777777" w:rsidR="00F01DCA"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Por lo anterior, y con fundamento en las disposiciones normativas citadas, atentamente le solicito, se sirva realizar las gestiones necesarias para que el Comité de Transparencia emita el acuerdo correspondiente, mediante el cual se confirme la procedencia de la clasificación de la información testada como confidencial y, en consecuencia, la validez de la versión pública elaborada</w:t>
      </w:r>
      <w:r w:rsidR="00F01DCA">
        <w:rPr>
          <w:rFonts w:ascii="Palatino Linotype" w:eastAsiaTheme="majorEastAsia" w:hAnsi="Palatino Linotype" w:cstheme="majorBidi"/>
          <w:i/>
          <w:iCs/>
        </w:rPr>
        <w:t>.</w:t>
      </w:r>
    </w:p>
    <w:p w14:paraId="1C75EAE1" w14:textId="060F4915" w:rsidR="009E0F2B" w:rsidRPr="009E0F2B" w:rsidRDefault="009E0F2B" w:rsidP="005E13A5">
      <w:pPr>
        <w:tabs>
          <w:tab w:val="left" w:pos="4667"/>
        </w:tabs>
        <w:spacing w:line="360" w:lineRule="auto"/>
        <w:ind w:left="567" w:right="567"/>
        <w:contextualSpacing/>
        <w:jc w:val="both"/>
        <w:rPr>
          <w:rFonts w:ascii="Palatino Linotype" w:eastAsiaTheme="majorEastAsia" w:hAnsi="Palatino Linotype" w:cstheme="majorBidi"/>
          <w:i/>
          <w:iCs/>
        </w:rPr>
      </w:pPr>
      <w:r w:rsidRPr="009E0F2B">
        <w:rPr>
          <w:rFonts w:ascii="Palatino Linotype" w:eastAsiaTheme="majorEastAsia" w:hAnsi="Palatino Linotype" w:cstheme="majorBidi"/>
          <w:i/>
          <w:iCs/>
        </w:rPr>
        <w:t>…”</w:t>
      </w:r>
    </w:p>
    <w:p w14:paraId="7D189D6B" w14:textId="77777777" w:rsidR="00A77860" w:rsidRPr="00A77860" w:rsidRDefault="00A77860" w:rsidP="005E13A5">
      <w:pPr>
        <w:spacing w:line="360" w:lineRule="auto"/>
        <w:ind w:right="567"/>
        <w:contextualSpacing/>
        <w:rPr>
          <w:rFonts w:ascii="Palatino Linotype" w:hAnsi="Palatino Linotype" w:cs="Tahoma"/>
          <w:bCs/>
        </w:rPr>
      </w:pPr>
    </w:p>
    <w:p w14:paraId="51B91E97" w14:textId="77777777" w:rsidR="00A77860" w:rsidRPr="00AC17E4" w:rsidRDefault="00A77860" w:rsidP="005E13A5">
      <w:pPr>
        <w:pStyle w:val="Ttulo2"/>
        <w:spacing w:before="0" w:after="0" w:line="360" w:lineRule="auto"/>
        <w:contextualSpacing/>
        <w:rPr>
          <w:rFonts w:ascii="Palatino Linotype" w:hAnsi="Palatino Linotype"/>
          <w:b/>
          <w:bCs/>
          <w:color w:val="auto"/>
          <w:sz w:val="22"/>
          <w:szCs w:val="22"/>
        </w:rPr>
      </w:pPr>
      <w:bookmarkStart w:id="6" w:name="_Toc213337139"/>
      <w:bookmarkStart w:id="7" w:name="_Toc222412296"/>
      <w:r>
        <w:rPr>
          <w:rFonts w:ascii="Palatino Linotype" w:hAnsi="Palatino Linotype"/>
          <w:b/>
          <w:bCs/>
          <w:color w:val="auto"/>
          <w:sz w:val="22"/>
          <w:szCs w:val="22"/>
        </w:rPr>
        <w:t>V</w:t>
      </w:r>
      <w:r w:rsidRPr="00AC17E4">
        <w:rPr>
          <w:rFonts w:ascii="Palatino Linotype" w:hAnsi="Palatino Linotype"/>
          <w:b/>
          <w:bCs/>
          <w:color w:val="auto"/>
          <w:sz w:val="22"/>
          <w:szCs w:val="22"/>
        </w:rPr>
        <w:t>. Interposición del Recurso de Revisión</w:t>
      </w:r>
      <w:bookmarkEnd w:id="6"/>
      <w:bookmarkEnd w:id="7"/>
    </w:p>
    <w:p w14:paraId="45D75814" w14:textId="77777777" w:rsidR="00A77860" w:rsidRPr="00AC17E4" w:rsidRDefault="00A77860" w:rsidP="005E13A5">
      <w:pPr>
        <w:autoSpaceDE w:val="0"/>
        <w:autoSpaceDN w:val="0"/>
        <w:adjustRightInd w:val="0"/>
        <w:spacing w:line="360" w:lineRule="auto"/>
        <w:contextualSpacing/>
        <w:jc w:val="both"/>
        <w:rPr>
          <w:rFonts w:ascii="Palatino Linotype" w:hAnsi="Palatino Linotype" w:cs="Tahoma"/>
          <w:sz w:val="22"/>
          <w:szCs w:val="22"/>
        </w:rPr>
      </w:pPr>
    </w:p>
    <w:p w14:paraId="715ACD35" w14:textId="5AF6D0FC" w:rsidR="00A77860" w:rsidRPr="00194C0E" w:rsidRDefault="00A77860" w:rsidP="005E13A5">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lastRenderedPageBreak/>
        <w:t xml:space="preserve">Con fecha </w:t>
      </w:r>
      <w:r w:rsidR="009E0F2B">
        <w:rPr>
          <w:rFonts w:ascii="Palatino Linotype" w:hAnsi="Palatino Linotype" w:cs="Tahoma"/>
          <w:sz w:val="22"/>
          <w:szCs w:val="22"/>
        </w:rPr>
        <w:t xml:space="preserve">doce de diciembre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w:t>
      </w:r>
      <w:r w:rsidRPr="00AC17E4">
        <w:rPr>
          <w:rFonts w:ascii="Palatino Linotype" w:hAnsi="Palatino Linotype" w:cs="Tahoma"/>
          <w:sz w:val="22"/>
          <w:szCs w:val="22"/>
        </w:rPr>
        <w:t xml:space="preserve"> </w:t>
      </w:r>
      <w:r>
        <w:rPr>
          <w:rFonts w:ascii="Palatino Linotype" w:hAnsi="Palatino Linotype" w:cs="Tahoma"/>
          <w:sz w:val="22"/>
          <w:szCs w:val="22"/>
        </w:rPr>
        <w:t>Secretaría de Movilidad</w:t>
      </w:r>
      <w:r w:rsidRPr="00AC17E4">
        <w:rPr>
          <w:rFonts w:ascii="Palatino Linotype" w:hAnsi="Palatino Linotype" w:cs="Tahoma"/>
          <w:sz w:val="22"/>
          <w:szCs w:val="22"/>
        </w:rPr>
        <w:t>, en los siguientes términos</w:t>
      </w:r>
      <w:r w:rsidRPr="00AC17E4">
        <w:rPr>
          <w:rFonts w:ascii="Palatino Linotype" w:hAnsi="Palatino Linotype" w:cs="Tahoma"/>
          <w:sz w:val="22"/>
          <w:szCs w:val="22"/>
          <w:lang w:val="es-ES"/>
        </w:rPr>
        <w:t>:</w:t>
      </w:r>
    </w:p>
    <w:p w14:paraId="437F5135" w14:textId="77777777" w:rsidR="00A77860" w:rsidRDefault="00A77860" w:rsidP="005E13A5">
      <w:pPr>
        <w:autoSpaceDE w:val="0"/>
        <w:autoSpaceDN w:val="0"/>
        <w:adjustRightInd w:val="0"/>
        <w:spacing w:line="360" w:lineRule="auto"/>
        <w:ind w:left="567" w:right="567"/>
        <w:contextualSpacing/>
        <w:jc w:val="both"/>
        <w:rPr>
          <w:rFonts w:ascii="Palatino Linotype" w:hAnsi="Palatino Linotype" w:cs="Tahoma"/>
          <w:b/>
          <w:bCs/>
          <w:i/>
          <w:iCs/>
        </w:rPr>
      </w:pPr>
    </w:p>
    <w:p w14:paraId="065B27EA" w14:textId="77777777" w:rsidR="00A77860" w:rsidRPr="006E20DC" w:rsidRDefault="00A77860" w:rsidP="005E13A5">
      <w:pPr>
        <w:autoSpaceDE w:val="0"/>
        <w:autoSpaceDN w:val="0"/>
        <w:adjustRightInd w:val="0"/>
        <w:spacing w:line="360" w:lineRule="auto"/>
        <w:ind w:left="567" w:right="567"/>
        <w:contextualSpacing/>
        <w:jc w:val="both"/>
        <w:rPr>
          <w:rFonts w:ascii="Palatino Linotype" w:hAnsi="Palatino Linotype" w:cs="Tahoma"/>
          <w:bCs/>
          <w:i/>
          <w:iCs/>
        </w:rPr>
      </w:pPr>
      <w:r w:rsidRPr="006E20DC">
        <w:rPr>
          <w:rFonts w:ascii="Palatino Linotype" w:hAnsi="Palatino Linotype" w:cs="Tahoma"/>
          <w:b/>
          <w:bCs/>
          <w:i/>
          <w:iCs/>
        </w:rPr>
        <w:t>ACTO IMPUGNADO</w:t>
      </w:r>
    </w:p>
    <w:p w14:paraId="725BF755" w14:textId="1F26A56B" w:rsidR="00A77860" w:rsidRPr="006E20DC" w:rsidRDefault="00A77860" w:rsidP="005E13A5">
      <w:pPr>
        <w:spacing w:line="360" w:lineRule="auto"/>
        <w:ind w:left="567" w:right="567"/>
        <w:contextualSpacing/>
        <w:jc w:val="both"/>
        <w:rPr>
          <w:rFonts w:ascii="Palatino Linotype" w:hAnsi="Palatino Linotype"/>
          <w:i/>
          <w:iCs/>
        </w:rPr>
      </w:pPr>
      <w:r w:rsidRPr="006E20DC">
        <w:rPr>
          <w:rFonts w:ascii="Palatino Linotype" w:hAnsi="Palatino Linotype"/>
          <w:i/>
          <w:iCs/>
        </w:rPr>
        <w:t>“</w:t>
      </w:r>
      <w:r w:rsidR="009E0F2B" w:rsidRPr="009E0F2B">
        <w:rPr>
          <w:rFonts w:ascii="Palatino Linotype" w:hAnsi="Palatino Linotype"/>
          <w:i/>
          <w:iCs/>
        </w:rPr>
        <w:t>RESPUESTA A LA SOLICITUD 00662/SMOV/IP/2025</w:t>
      </w:r>
      <w:r w:rsidRPr="006E20DC">
        <w:rPr>
          <w:rFonts w:ascii="Palatino Linotype" w:hAnsi="Palatino Linotype"/>
          <w:i/>
          <w:iCs/>
          <w:color w:val="000000"/>
        </w:rPr>
        <w:t>.</w:t>
      </w:r>
      <w:r w:rsidRPr="006E20DC">
        <w:rPr>
          <w:rFonts w:ascii="Palatino Linotype" w:hAnsi="Palatino Linotype" w:cs="Tahoma"/>
          <w:i/>
          <w:iCs/>
        </w:rPr>
        <w:t xml:space="preserve">” </w:t>
      </w:r>
      <w:r w:rsidR="0000396F">
        <w:rPr>
          <w:rFonts w:ascii="Palatino Linotype" w:hAnsi="Palatino Linotype" w:cs="Tahoma"/>
          <w:i/>
          <w:iCs/>
        </w:rPr>
        <w:t xml:space="preserve"> </w:t>
      </w:r>
      <w:r w:rsidRPr="006E20DC">
        <w:rPr>
          <w:rFonts w:ascii="Palatino Linotype" w:hAnsi="Palatino Linotype" w:cs="Tahoma"/>
          <w:i/>
          <w:iCs/>
        </w:rPr>
        <w:t>(Sic)</w:t>
      </w:r>
    </w:p>
    <w:p w14:paraId="4D2C6859" w14:textId="77777777" w:rsidR="00A77860" w:rsidRPr="006E20DC" w:rsidRDefault="00A77860" w:rsidP="005E13A5">
      <w:pPr>
        <w:autoSpaceDE w:val="0"/>
        <w:autoSpaceDN w:val="0"/>
        <w:adjustRightInd w:val="0"/>
        <w:spacing w:line="360" w:lineRule="auto"/>
        <w:ind w:left="567" w:right="567"/>
        <w:contextualSpacing/>
        <w:jc w:val="both"/>
        <w:rPr>
          <w:rFonts w:ascii="Palatino Linotype" w:hAnsi="Palatino Linotype" w:cs="Tahoma"/>
          <w:i/>
          <w:iCs/>
        </w:rPr>
      </w:pPr>
    </w:p>
    <w:p w14:paraId="3BABEA89" w14:textId="77777777" w:rsidR="00A77860" w:rsidRPr="006E20DC" w:rsidRDefault="00A77860" w:rsidP="005E13A5">
      <w:pPr>
        <w:autoSpaceDE w:val="0"/>
        <w:autoSpaceDN w:val="0"/>
        <w:adjustRightInd w:val="0"/>
        <w:spacing w:line="360" w:lineRule="auto"/>
        <w:ind w:left="567" w:right="567"/>
        <w:contextualSpacing/>
        <w:jc w:val="both"/>
        <w:rPr>
          <w:rFonts w:ascii="Palatino Linotype" w:hAnsi="Palatino Linotype" w:cs="Tahoma"/>
          <w:b/>
          <w:i/>
          <w:iCs/>
        </w:rPr>
      </w:pPr>
      <w:r w:rsidRPr="006E20DC">
        <w:rPr>
          <w:rFonts w:ascii="Palatino Linotype" w:hAnsi="Palatino Linotype" w:cs="Tahoma"/>
          <w:b/>
          <w:i/>
          <w:iCs/>
        </w:rPr>
        <w:t>RAZONES O MOTIVOS DE LA INCONFORMIDAD</w:t>
      </w:r>
    </w:p>
    <w:p w14:paraId="44D79B52" w14:textId="28A4AB2D" w:rsidR="00A77860" w:rsidRDefault="00A77860" w:rsidP="005E13A5">
      <w:pPr>
        <w:spacing w:line="360" w:lineRule="auto"/>
        <w:ind w:left="567" w:right="567"/>
        <w:contextualSpacing/>
        <w:jc w:val="both"/>
        <w:rPr>
          <w:rFonts w:ascii="Palatino Linotype" w:hAnsi="Palatino Linotype" w:cs="Tahoma"/>
          <w:i/>
          <w:iCs/>
        </w:rPr>
      </w:pPr>
      <w:r w:rsidRPr="006E20DC">
        <w:rPr>
          <w:rFonts w:ascii="Palatino Linotype" w:hAnsi="Palatino Linotype"/>
          <w:i/>
          <w:iCs/>
          <w:color w:val="000000"/>
        </w:rPr>
        <w:t>“</w:t>
      </w:r>
      <w:proofErr w:type="spellStart"/>
      <w:r w:rsidR="009E0F2B">
        <w:rPr>
          <w:rFonts w:ascii="Palatino Linotype" w:hAnsi="Palatino Linotype"/>
          <w:i/>
          <w:iCs/>
          <w:color w:val="000000"/>
        </w:rPr>
        <w:t>e</w:t>
      </w:r>
      <w:r w:rsidR="009E0F2B" w:rsidRPr="009E0F2B">
        <w:rPr>
          <w:rFonts w:ascii="Palatino Linotype" w:hAnsi="Palatino Linotype"/>
          <w:i/>
          <w:iCs/>
          <w:color w:val="000000"/>
        </w:rPr>
        <w:t>L</w:t>
      </w:r>
      <w:proofErr w:type="spellEnd"/>
      <w:r w:rsidR="009E0F2B" w:rsidRPr="009E0F2B">
        <w:rPr>
          <w:rFonts w:ascii="Palatino Linotype" w:hAnsi="Palatino Linotype"/>
          <w:i/>
          <w:iCs/>
          <w:color w:val="000000"/>
        </w:rPr>
        <w:t xml:space="preserve"> SUJETO OBLIGADO NO INCLUYE EN SU RESPUESTA LAS 122 FOJAS QUE MENCIONA EN LA MISMA, DE IGUAL MANERA OMITE INCLUIR LAS FACTURAS CORRESPONDIENTES A OBRAS, LO CUAL ES INDEBIDO PUES DICHO CONCEPTO TAMBIÉN ES ABARCADO POR LA SOLICITUD</w:t>
      </w:r>
      <w:r w:rsidRPr="006E20DC">
        <w:rPr>
          <w:rFonts w:ascii="Palatino Linotype" w:hAnsi="Palatino Linotype"/>
          <w:i/>
          <w:iCs/>
          <w:color w:val="000000"/>
        </w:rPr>
        <w:t>.</w:t>
      </w:r>
      <w:r w:rsidRPr="006E20DC">
        <w:rPr>
          <w:rFonts w:ascii="Palatino Linotype" w:hAnsi="Palatino Linotype" w:cs="Tahoma"/>
          <w:i/>
          <w:iCs/>
        </w:rPr>
        <w:t>” (Sic)</w:t>
      </w:r>
    </w:p>
    <w:p w14:paraId="723A68F4" w14:textId="77777777" w:rsidR="009E0F2B" w:rsidRPr="006E20DC" w:rsidRDefault="009E0F2B" w:rsidP="005E13A5">
      <w:pPr>
        <w:spacing w:line="360" w:lineRule="auto"/>
        <w:ind w:left="567" w:right="567"/>
        <w:contextualSpacing/>
        <w:jc w:val="both"/>
        <w:rPr>
          <w:rFonts w:ascii="Palatino Linotype" w:hAnsi="Palatino Linotype" w:cs="Tahoma"/>
          <w:i/>
          <w:iCs/>
        </w:rPr>
      </w:pPr>
    </w:p>
    <w:p w14:paraId="1E6E6F8F" w14:textId="77777777" w:rsidR="00A77860" w:rsidRPr="00AC17E4" w:rsidRDefault="00A77860" w:rsidP="005E13A5">
      <w:pPr>
        <w:pStyle w:val="Ttulo2"/>
        <w:spacing w:before="0" w:after="0" w:line="360" w:lineRule="auto"/>
        <w:contextualSpacing/>
        <w:rPr>
          <w:rFonts w:ascii="Palatino Linotype" w:eastAsia="Batang" w:hAnsi="Palatino Linotype"/>
          <w:b/>
          <w:bCs/>
          <w:color w:val="auto"/>
          <w:sz w:val="22"/>
          <w:szCs w:val="22"/>
        </w:rPr>
      </w:pPr>
      <w:bookmarkStart w:id="8" w:name="_Toc213337140"/>
      <w:bookmarkStart w:id="9" w:name="_Toc222412297"/>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8"/>
      <w:bookmarkEnd w:id="9"/>
    </w:p>
    <w:p w14:paraId="0DBA8177" w14:textId="77777777" w:rsidR="00A77860" w:rsidRPr="00AC17E4" w:rsidRDefault="00A77860" w:rsidP="005E13A5">
      <w:pPr>
        <w:spacing w:line="360" w:lineRule="auto"/>
        <w:contextualSpacing/>
        <w:jc w:val="both"/>
        <w:rPr>
          <w:rFonts w:ascii="Palatino Linotype" w:eastAsia="Batang" w:hAnsi="Palatino Linotype" w:cs="Tahoma"/>
          <w:b/>
          <w:bCs/>
          <w:sz w:val="22"/>
          <w:szCs w:val="22"/>
        </w:rPr>
      </w:pPr>
    </w:p>
    <w:p w14:paraId="470574C4" w14:textId="0F9D2C9A" w:rsidR="00A77860" w:rsidRPr="00AC17E4" w:rsidRDefault="00A77860" w:rsidP="005E13A5">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9E0F2B">
        <w:rPr>
          <w:rFonts w:ascii="Palatino Linotype" w:hAnsi="Palatino Linotype" w:cs="Tahoma"/>
          <w:sz w:val="22"/>
          <w:szCs w:val="22"/>
        </w:rPr>
        <w:t xml:space="preserve">doce de diciembre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1</w:t>
      </w:r>
      <w:r w:rsidR="006D2677">
        <w:rPr>
          <w:rFonts w:ascii="Palatino Linotype" w:eastAsia="Batang" w:hAnsi="Palatino Linotype" w:cs="Tahoma"/>
          <w:b/>
          <w:sz w:val="22"/>
          <w:szCs w:val="22"/>
          <w:lang w:val="es-ES_tradnl"/>
        </w:rPr>
        <w:t>4201</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375D686F" w14:textId="77777777" w:rsidR="00A77860" w:rsidRPr="00AC17E4" w:rsidRDefault="00A77860" w:rsidP="005E13A5">
      <w:pPr>
        <w:spacing w:line="360" w:lineRule="auto"/>
        <w:contextualSpacing/>
        <w:jc w:val="both"/>
        <w:rPr>
          <w:rFonts w:ascii="Palatino Linotype" w:eastAsia="Batang" w:hAnsi="Palatino Linotype" w:cs="Tahoma"/>
          <w:b/>
          <w:bCs/>
          <w:sz w:val="22"/>
          <w:szCs w:val="22"/>
        </w:rPr>
      </w:pPr>
    </w:p>
    <w:p w14:paraId="157C2D03" w14:textId="54834579" w:rsidR="00A77860" w:rsidRPr="00AC17E4" w:rsidRDefault="00A77860" w:rsidP="005E13A5">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6D2677">
        <w:rPr>
          <w:rFonts w:ascii="Palatino Linotype" w:eastAsia="Batang" w:hAnsi="Palatino Linotype" w:cs="Tahoma"/>
          <w:bCs/>
          <w:sz w:val="22"/>
          <w:szCs w:val="22"/>
          <w:lang w:val="es-ES_tradnl"/>
        </w:rPr>
        <w:t xml:space="preserve">diecisiete de diciembre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6D2677">
        <w:rPr>
          <w:rFonts w:ascii="Palatino Linotype" w:eastAsia="Batang" w:hAnsi="Palatino Linotype" w:cs="Tahoma"/>
          <w:bCs/>
          <w:sz w:val="22"/>
          <w:szCs w:val="22"/>
          <w:lang w:val="es-ES_tradnl"/>
        </w:rPr>
        <w:t>dieciocho de dos mil veinticinco</w:t>
      </w:r>
      <w:r w:rsidRPr="00AC17E4">
        <w:rPr>
          <w:rFonts w:ascii="Palatino Linotype" w:eastAsia="Batang" w:hAnsi="Palatino Linotype" w:cs="Tahoma"/>
          <w:bCs/>
          <w:sz w:val="22"/>
          <w:szCs w:val="22"/>
          <w:lang w:val="es-ES_tradnl"/>
        </w:rPr>
        <w:t xml:space="preserve">, a través del SAIMEX, en el que se les otorgó </w:t>
      </w:r>
      <w:r w:rsidRPr="00AC17E4">
        <w:rPr>
          <w:rFonts w:ascii="Palatino Linotype" w:eastAsia="Batang" w:hAnsi="Palatino Linotype" w:cs="Tahoma"/>
          <w:bCs/>
          <w:sz w:val="22"/>
          <w:szCs w:val="22"/>
          <w:lang w:val="es-ES_tradnl"/>
        </w:rPr>
        <w:lastRenderedPageBreak/>
        <w:t>un plazo de siete días hábiles posteriores a la misma, para que manifestaran lo que a su derecho conviniera y formularan alegatos.</w:t>
      </w:r>
    </w:p>
    <w:p w14:paraId="57D798E4" w14:textId="77777777" w:rsidR="00A77860" w:rsidRPr="00AC17E4" w:rsidRDefault="00A77860" w:rsidP="005E13A5">
      <w:pPr>
        <w:spacing w:line="360" w:lineRule="auto"/>
        <w:contextualSpacing/>
        <w:jc w:val="both"/>
        <w:rPr>
          <w:rFonts w:ascii="Palatino Linotype" w:eastAsia="Batang" w:hAnsi="Palatino Linotype" w:cs="Tahoma"/>
          <w:bCs/>
          <w:sz w:val="22"/>
          <w:szCs w:val="22"/>
          <w:lang w:val="es-ES_tradnl"/>
        </w:rPr>
      </w:pPr>
    </w:p>
    <w:p w14:paraId="051143A4" w14:textId="0C37D17F" w:rsidR="00A77860" w:rsidRDefault="00A77860" w:rsidP="005E13A5">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0911EC">
        <w:rPr>
          <w:rFonts w:ascii="Palatino Linotype" w:hAnsi="Palatino Linotype" w:cs="Tahoma"/>
          <w:sz w:val="22"/>
          <w:szCs w:val="22"/>
        </w:rPr>
        <w:t xml:space="preserve">dieciséis de enero </w:t>
      </w:r>
      <w:r w:rsidRPr="00AC17E4">
        <w:rPr>
          <w:rFonts w:ascii="Palatino Linotype" w:hAnsi="Palatino Linotype" w:cs="Tahoma"/>
          <w:sz w:val="22"/>
          <w:szCs w:val="22"/>
        </w:rPr>
        <w:t>de dos mil veinti</w:t>
      </w:r>
      <w:r w:rsidR="00A94AD5">
        <w:rPr>
          <w:rFonts w:ascii="Palatino Linotype" w:hAnsi="Palatino Linotype" w:cs="Tahoma"/>
          <w:sz w:val="22"/>
          <w:szCs w:val="22"/>
        </w:rPr>
        <w:t>séis</w:t>
      </w:r>
      <w:r w:rsidRPr="00AC17E4">
        <w:rPr>
          <w:rFonts w:ascii="Palatino Linotype" w:hAnsi="Palatino Linotype" w:cs="Tahoma"/>
          <w:sz w:val="22"/>
          <w:szCs w:val="22"/>
        </w:rPr>
        <w:t>, se recibió, a través del SAIMEX, el informe justificado</w:t>
      </w:r>
      <w:r>
        <w:rPr>
          <w:rFonts w:ascii="Palatino Linotype" w:hAnsi="Palatino Linotype" w:cs="Tahoma"/>
          <w:sz w:val="22"/>
          <w:szCs w:val="22"/>
        </w:rPr>
        <w:t xml:space="preserve"> del Sujeto Obligado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 los documentos siguientes:</w:t>
      </w:r>
    </w:p>
    <w:p w14:paraId="025C91C5" w14:textId="77777777" w:rsidR="00A77860" w:rsidRDefault="00A77860" w:rsidP="005E13A5">
      <w:pPr>
        <w:autoSpaceDE w:val="0"/>
        <w:autoSpaceDN w:val="0"/>
        <w:adjustRightInd w:val="0"/>
        <w:spacing w:line="360" w:lineRule="auto"/>
        <w:contextualSpacing/>
        <w:jc w:val="both"/>
        <w:rPr>
          <w:rFonts w:ascii="Palatino Linotype" w:hAnsi="Palatino Linotype" w:cs="Tahoma"/>
          <w:sz w:val="22"/>
          <w:szCs w:val="22"/>
        </w:rPr>
      </w:pPr>
    </w:p>
    <w:p w14:paraId="3450E5F8" w14:textId="24A6046C" w:rsidR="00A77860" w:rsidRDefault="00A77860" w:rsidP="005E13A5">
      <w:pPr>
        <w:autoSpaceDE w:val="0"/>
        <w:autoSpaceDN w:val="0"/>
        <w:adjustRightInd w:val="0"/>
        <w:spacing w:line="360" w:lineRule="auto"/>
        <w:contextualSpacing/>
        <w:jc w:val="both"/>
        <w:rPr>
          <w:rFonts w:ascii="Palatino Linotype" w:hAnsi="Palatino Linotype" w:cs="Tahoma"/>
          <w:sz w:val="22"/>
          <w:szCs w:val="22"/>
        </w:rPr>
      </w:pPr>
      <w:r w:rsidRPr="00026A66">
        <w:rPr>
          <w:rFonts w:ascii="Palatino Linotype" w:hAnsi="Palatino Linotype" w:cs="Tahoma"/>
          <w:sz w:val="22"/>
          <w:szCs w:val="22"/>
        </w:rPr>
        <w:t>i)</w:t>
      </w:r>
      <w:r>
        <w:rPr>
          <w:rFonts w:ascii="Palatino Linotype" w:hAnsi="Palatino Linotype" w:cs="Tahoma"/>
          <w:sz w:val="22"/>
          <w:szCs w:val="22"/>
        </w:rPr>
        <w:t xml:space="preserve"> </w:t>
      </w:r>
      <w:r w:rsidRPr="00026A66">
        <w:rPr>
          <w:rFonts w:ascii="Palatino Linotype" w:hAnsi="Palatino Linotype" w:cs="Tahoma"/>
          <w:sz w:val="22"/>
          <w:szCs w:val="22"/>
        </w:rPr>
        <w:t xml:space="preserve">Oficio número </w:t>
      </w:r>
      <w:r w:rsidR="000911EC" w:rsidRPr="000911EC">
        <w:rPr>
          <w:rFonts w:ascii="Palatino Linotype" w:hAnsi="Palatino Linotype" w:cs="Tahoma"/>
          <w:sz w:val="22"/>
          <w:szCs w:val="22"/>
        </w:rPr>
        <w:t>CCT/UT/026/2025</w:t>
      </w:r>
      <w:r w:rsidRPr="00026A66">
        <w:rPr>
          <w:rFonts w:ascii="Palatino Linotype" w:hAnsi="Palatino Linotype" w:cs="Tahoma"/>
          <w:sz w:val="22"/>
          <w:szCs w:val="22"/>
        </w:rPr>
        <w:t xml:space="preserve">, de </w:t>
      </w:r>
      <w:r w:rsidR="000911EC">
        <w:rPr>
          <w:rFonts w:ascii="Palatino Linotype" w:hAnsi="Palatino Linotype" w:cs="Tahoma"/>
          <w:sz w:val="22"/>
          <w:szCs w:val="22"/>
        </w:rPr>
        <w:t>fecha de su presentación</w:t>
      </w:r>
      <w:r w:rsidRPr="00026A66">
        <w:rPr>
          <w:rFonts w:ascii="Palatino Linotype" w:hAnsi="Palatino Linotype" w:cs="Tahoma"/>
          <w:sz w:val="22"/>
          <w:szCs w:val="22"/>
        </w:rPr>
        <w:t>, suscrito por la Titular de la Unidad de Transparencia, dirigido a este Instituto, a través del cual manifiesta y expone esencialmente lo siguiente:</w:t>
      </w:r>
    </w:p>
    <w:p w14:paraId="2EB179E9" w14:textId="77777777" w:rsidR="00A77860" w:rsidRDefault="00A77860" w:rsidP="005E13A5">
      <w:pPr>
        <w:autoSpaceDE w:val="0"/>
        <w:autoSpaceDN w:val="0"/>
        <w:adjustRightInd w:val="0"/>
        <w:spacing w:line="360" w:lineRule="auto"/>
        <w:contextualSpacing/>
        <w:jc w:val="both"/>
        <w:rPr>
          <w:rFonts w:ascii="Palatino Linotype" w:hAnsi="Palatino Linotype" w:cs="Tahoma"/>
          <w:sz w:val="22"/>
          <w:szCs w:val="22"/>
        </w:rPr>
      </w:pPr>
    </w:p>
    <w:p w14:paraId="699EAFBE" w14:textId="77777777" w:rsidR="00A77860" w:rsidRPr="00A80AAB" w:rsidRDefault="00A77860" w:rsidP="005E13A5">
      <w:pPr>
        <w:autoSpaceDE w:val="0"/>
        <w:autoSpaceDN w:val="0"/>
        <w:adjustRightInd w:val="0"/>
        <w:spacing w:line="360" w:lineRule="auto"/>
        <w:ind w:left="567" w:right="567"/>
        <w:contextualSpacing/>
        <w:jc w:val="both"/>
        <w:rPr>
          <w:rFonts w:ascii="Palatino Linotype" w:hAnsi="Palatino Linotype" w:cs="Tahoma"/>
          <w:i/>
          <w:iCs/>
        </w:rPr>
      </w:pPr>
      <w:r w:rsidRPr="00A80AAB">
        <w:rPr>
          <w:rFonts w:ascii="Palatino Linotype" w:hAnsi="Palatino Linotype" w:cs="Tahoma"/>
          <w:i/>
          <w:iCs/>
        </w:rPr>
        <w:t>“…</w:t>
      </w:r>
    </w:p>
    <w:p w14:paraId="5BBD0F58" w14:textId="530A5282" w:rsidR="000911EC" w:rsidRPr="000911EC" w:rsidRDefault="000911EC" w:rsidP="005E13A5">
      <w:pPr>
        <w:autoSpaceDE w:val="0"/>
        <w:autoSpaceDN w:val="0"/>
        <w:adjustRightInd w:val="0"/>
        <w:spacing w:line="360" w:lineRule="auto"/>
        <w:ind w:left="567" w:right="567"/>
        <w:contextualSpacing/>
        <w:jc w:val="center"/>
        <w:rPr>
          <w:rFonts w:ascii="Palatino Linotype" w:hAnsi="Palatino Linotype" w:cs="Tahoma"/>
          <w:i/>
          <w:iCs/>
        </w:rPr>
      </w:pPr>
      <w:r w:rsidRPr="000911EC">
        <w:rPr>
          <w:rFonts w:ascii="Palatino Linotype" w:hAnsi="Palatino Linotype" w:cs="Tahoma"/>
          <w:b/>
          <w:bCs/>
          <w:i/>
          <w:iCs/>
        </w:rPr>
        <w:t>M A N I F E S T A C I O N E S, P R U E B A S Y A L E G A T O S</w:t>
      </w:r>
    </w:p>
    <w:p w14:paraId="4512FE30" w14:textId="77777777" w:rsidR="000911EC" w:rsidRDefault="000911EC" w:rsidP="005E13A5">
      <w:pPr>
        <w:autoSpaceDE w:val="0"/>
        <w:autoSpaceDN w:val="0"/>
        <w:adjustRightInd w:val="0"/>
        <w:spacing w:line="360" w:lineRule="auto"/>
        <w:ind w:left="567" w:right="567"/>
        <w:contextualSpacing/>
        <w:jc w:val="both"/>
        <w:rPr>
          <w:rFonts w:ascii="Palatino Linotype" w:hAnsi="Palatino Linotype" w:cs="Tahoma"/>
          <w:b/>
          <w:bCs/>
          <w:i/>
          <w:iCs/>
        </w:rPr>
      </w:pPr>
    </w:p>
    <w:p w14:paraId="7F028E30" w14:textId="4E0C3325" w:rsidR="000911EC" w:rsidRPr="000911EC" w:rsidRDefault="000911EC" w:rsidP="005E13A5">
      <w:pPr>
        <w:autoSpaceDE w:val="0"/>
        <w:autoSpaceDN w:val="0"/>
        <w:adjustRightInd w:val="0"/>
        <w:spacing w:line="360" w:lineRule="auto"/>
        <w:ind w:left="567" w:right="567"/>
        <w:contextualSpacing/>
        <w:jc w:val="both"/>
        <w:rPr>
          <w:rFonts w:ascii="Palatino Linotype" w:hAnsi="Palatino Linotype" w:cs="Tahoma"/>
          <w:i/>
          <w:iCs/>
        </w:rPr>
      </w:pPr>
      <w:r w:rsidRPr="000911EC">
        <w:rPr>
          <w:rFonts w:ascii="Palatino Linotype" w:hAnsi="Palatino Linotype" w:cs="Tahoma"/>
          <w:b/>
          <w:bCs/>
          <w:i/>
          <w:iCs/>
        </w:rPr>
        <w:t xml:space="preserve">CUARTO. </w:t>
      </w:r>
      <w:r w:rsidRPr="000911EC">
        <w:rPr>
          <w:rFonts w:ascii="Palatino Linotype" w:hAnsi="Palatino Linotype" w:cs="Tahoma"/>
          <w:i/>
          <w:iCs/>
        </w:rPr>
        <w:t xml:space="preserve">La inconformidad del recurrente esencialmente versa en dos vertientes. Por un lado, </w:t>
      </w:r>
    </w:p>
    <w:p w14:paraId="2015C4DF" w14:textId="77777777" w:rsidR="000911EC" w:rsidRPr="000911EC" w:rsidRDefault="000911EC" w:rsidP="005E13A5">
      <w:pPr>
        <w:autoSpaceDE w:val="0"/>
        <w:autoSpaceDN w:val="0"/>
        <w:adjustRightInd w:val="0"/>
        <w:spacing w:line="360" w:lineRule="auto"/>
        <w:ind w:left="567" w:right="567"/>
        <w:contextualSpacing/>
        <w:jc w:val="both"/>
        <w:rPr>
          <w:rFonts w:ascii="Palatino Linotype" w:hAnsi="Palatino Linotype" w:cs="Tahoma"/>
          <w:i/>
          <w:iCs/>
        </w:rPr>
      </w:pPr>
      <w:r w:rsidRPr="000911EC">
        <w:rPr>
          <w:rFonts w:ascii="Palatino Linotype" w:hAnsi="Palatino Linotype" w:cs="Tahoma"/>
          <w:i/>
          <w:iCs/>
        </w:rPr>
        <w:t xml:space="preserve">la presunta falta de 122 fojas adjuntas. Y por el otro, la presunta falta de entrega de facturas de </w:t>
      </w:r>
    </w:p>
    <w:p w14:paraId="7E2E552E" w14:textId="77777777" w:rsidR="000911EC" w:rsidRPr="000911EC" w:rsidRDefault="000911EC" w:rsidP="005E13A5">
      <w:pPr>
        <w:autoSpaceDE w:val="0"/>
        <w:autoSpaceDN w:val="0"/>
        <w:adjustRightInd w:val="0"/>
        <w:spacing w:line="360" w:lineRule="auto"/>
        <w:ind w:left="567" w:right="567"/>
        <w:contextualSpacing/>
        <w:jc w:val="both"/>
        <w:rPr>
          <w:rFonts w:ascii="Palatino Linotype" w:hAnsi="Palatino Linotype" w:cs="Tahoma"/>
          <w:i/>
          <w:iCs/>
        </w:rPr>
      </w:pPr>
      <w:r w:rsidRPr="000911EC">
        <w:rPr>
          <w:rFonts w:ascii="Palatino Linotype" w:hAnsi="Palatino Linotype" w:cs="Tahoma"/>
          <w:i/>
          <w:iCs/>
        </w:rPr>
        <w:t xml:space="preserve">obras. </w:t>
      </w:r>
    </w:p>
    <w:p w14:paraId="2F961546" w14:textId="77777777" w:rsidR="000911EC" w:rsidRDefault="000911EC" w:rsidP="005E13A5">
      <w:pPr>
        <w:autoSpaceDE w:val="0"/>
        <w:autoSpaceDN w:val="0"/>
        <w:adjustRightInd w:val="0"/>
        <w:spacing w:line="360" w:lineRule="auto"/>
        <w:ind w:left="567" w:right="567"/>
        <w:contextualSpacing/>
        <w:jc w:val="both"/>
        <w:rPr>
          <w:rFonts w:ascii="Palatino Linotype" w:hAnsi="Palatino Linotype" w:cs="Tahoma"/>
          <w:b/>
          <w:bCs/>
          <w:i/>
          <w:iCs/>
        </w:rPr>
      </w:pPr>
    </w:p>
    <w:p w14:paraId="35C227C4" w14:textId="546E0031" w:rsidR="000911EC" w:rsidRPr="000911EC" w:rsidRDefault="000911EC" w:rsidP="005E13A5">
      <w:pPr>
        <w:autoSpaceDE w:val="0"/>
        <w:autoSpaceDN w:val="0"/>
        <w:adjustRightInd w:val="0"/>
        <w:spacing w:line="360" w:lineRule="auto"/>
        <w:ind w:left="567" w:right="567"/>
        <w:contextualSpacing/>
        <w:jc w:val="both"/>
        <w:rPr>
          <w:rFonts w:ascii="Palatino Linotype" w:hAnsi="Palatino Linotype" w:cs="Tahoma"/>
          <w:i/>
          <w:iCs/>
        </w:rPr>
      </w:pPr>
      <w:r w:rsidRPr="000911EC">
        <w:rPr>
          <w:rFonts w:ascii="Palatino Linotype" w:hAnsi="Palatino Linotype" w:cs="Tahoma"/>
          <w:b/>
          <w:bCs/>
          <w:i/>
          <w:iCs/>
        </w:rPr>
        <w:t xml:space="preserve">QUINTO. </w:t>
      </w:r>
      <w:r w:rsidRPr="000911EC">
        <w:rPr>
          <w:rFonts w:ascii="Palatino Linotype" w:hAnsi="Palatino Linotype" w:cs="Tahoma"/>
          <w:i/>
          <w:iCs/>
        </w:rPr>
        <w:t xml:space="preserve">En lo que refiere a “EL SUJETO OBLIGADO NO INCLUYE EN SU RESPUESTA LAS 122 FOJAS QUE MENCIONA EN LA MISMA”, me permito señalar que se advirtió que, efectivamente, por un posible error técnico al momento de adjuntar la información en el SAIMEX, no se remitieron al particular los anexos del SAIMEX de la Coordinación Administrativa en versión pública. </w:t>
      </w:r>
    </w:p>
    <w:p w14:paraId="7210A762" w14:textId="77777777" w:rsidR="000911EC" w:rsidRDefault="000911EC" w:rsidP="005E13A5">
      <w:pPr>
        <w:autoSpaceDE w:val="0"/>
        <w:autoSpaceDN w:val="0"/>
        <w:adjustRightInd w:val="0"/>
        <w:spacing w:line="360" w:lineRule="auto"/>
        <w:ind w:left="567" w:right="567"/>
        <w:contextualSpacing/>
        <w:jc w:val="both"/>
        <w:rPr>
          <w:rFonts w:ascii="Palatino Linotype" w:hAnsi="Palatino Linotype" w:cs="Tahoma"/>
          <w:i/>
          <w:iCs/>
        </w:rPr>
      </w:pPr>
    </w:p>
    <w:p w14:paraId="7278C947" w14:textId="77777777" w:rsidR="000911EC" w:rsidRDefault="000911EC" w:rsidP="005E13A5">
      <w:pPr>
        <w:autoSpaceDE w:val="0"/>
        <w:autoSpaceDN w:val="0"/>
        <w:adjustRightInd w:val="0"/>
        <w:spacing w:line="360" w:lineRule="auto"/>
        <w:ind w:left="567" w:right="567"/>
        <w:contextualSpacing/>
        <w:jc w:val="both"/>
        <w:rPr>
          <w:rFonts w:ascii="Palatino Linotype" w:hAnsi="Palatino Linotype" w:cs="Tahoma"/>
          <w:i/>
          <w:iCs/>
        </w:rPr>
      </w:pPr>
      <w:r w:rsidRPr="000911EC">
        <w:rPr>
          <w:rFonts w:ascii="Palatino Linotype" w:hAnsi="Palatino Linotype" w:cs="Tahoma"/>
          <w:i/>
          <w:iCs/>
        </w:rPr>
        <w:t xml:space="preserve">Por ello, este Sujeto Obligado remite adjunto los anexos referidos en respuesta, así como el </w:t>
      </w:r>
      <w:r>
        <w:rPr>
          <w:rFonts w:ascii="Palatino Linotype" w:hAnsi="Palatino Linotype" w:cs="Tahoma"/>
          <w:i/>
          <w:iCs/>
        </w:rPr>
        <w:t xml:space="preserve"> </w:t>
      </w:r>
      <w:r w:rsidRPr="000911EC">
        <w:rPr>
          <w:rFonts w:ascii="Palatino Linotype" w:hAnsi="Palatino Linotype" w:cs="Tahoma"/>
          <w:i/>
          <w:iCs/>
        </w:rPr>
        <w:t xml:space="preserve">Acta de la 26 Sesión Ordinaria, que contiene el Acuerdo </w:t>
      </w:r>
      <w:r w:rsidRPr="000911EC">
        <w:rPr>
          <w:rFonts w:ascii="Palatino Linotype" w:hAnsi="Palatino Linotype" w:cs="Tahoma"/>
          <w:b/>
          <w:bCs/>
          <w:i/>
          <w:iCs/>
        </w:rPr>
        <w:t xml:space="preserve">CT/SM/ORD/26-01/25 </w:t>
      </w:r>
      <w:r w:rsidRPr="000911EC">
        <w:rPr>
          <w:rFonts w:ascii="Palatino Linotype" w:hAnsi="Palatino Linotype" w:cs="Tahoma"/>
          <w:i/>
          <w:iCs/>
        </w:rPr>
        <w:t>mediante el cual</w:t>
      </w:r>
      <w:r>
        <w:rPr>
          <w:rFonts w:ascii="Palatino Linotype" w:hAnsi="Palatino Linotype" w:cs="Tahoma"/>
          <w:i/>
          <w:iCs/>
        </w:rPr>
        <w:t xml:space="preserve"> </w:t>
      </w:r>
      <w:r w:rsidRPr="000911EC">
        <w:rPr>
          <w:rFonts w:ascii="Palatino Linotype" w:hAnsi="Palatino Linotype" w:cs="Tahoma"/>
          <w:i/>
          <w:iCs/>
        </w:rPr>
        <w:t>se aprobó la confidencialidad de los datos que se suprimieron para la elaboración de las versiones públicas.</w:t>
      </w:r>
    </w:p>
    <w:p w14:paraId="7633B30A" w14:textId="77777777" w:rsidR="000911EC" w:rsidRDefault="000911EC" w:rsidP="005E13A5">
      <w:pPr>
        <w:autoSpaceDE w:val="0"/>
        <w:autoSpaceDN w:val="0"/>
        <w:adjustRightInd w:val="0"/>
        <w:spacing w:line="360" w:lineRule="auto"/>
        <w:ind w:left="567" w:right="567"/>
        <w:contextualSpacing/>
        <w:jc w:val="both"/>
        <w:rPr>
          <w:rFonts w:ascii="Palatino Linotype" w:hAnsi="Palatino Linotype" w:cs="Tahoma"/>
          <w:i/>
          <w:iCs/>
        </w:rPr>
      </w:pPr>
    </w:p>
    <w:p w14:paraId="6AA3EB80" w14:textId="77777777" w:rsidR="000911EC" w:rsidRDefault="000911EC" w:rsidP="005E13A5">
      <w:pPr>
        <w:autoSpaceDE w:val="0"/>
        <w:autoSpaceDN w:val="0"/>
        <w:adjustRightInd w:val="0"/>
        <w:spacing w:line="360" w:lineRule="auto"/>
        <w:ind w:left="567" w:right="567"/>
        <w:contextualSpacing/>
        <w:jc w:val="both"/>
        <w:rPr>
          <w:rFonts w:ascii="Palatino Linotype" w:hAnsi="Palatino Linotype" w:cs="Tahoma"/>
          <w:i/>
          <w:iCs/>
        </w:rPr>
      </w:pPr>
      <w:r w:rsidRPr="000911EC">
        <w:rPr>
          <w:rFonts w:ascii="Palatino Linotype" w:hAnsi="Palatino Linotype" w:cs="Tahoma"/>
          <w:b/>
          <w:bCs/>
          <w:i/>
          <w:iCs/>
        </w:rPr>
        <w:t xml:space="preserve">SEXTO. </w:t>
      </w:r>
      <w:r w:rsidRPr="000911EC">
        <w:rPr>
          <w:rFonts w:ascii="Palatino Linotype" w:hAnsi="Palatino Linotype" w:cs="Tahoma"/>
          <w:i/>
          <w:iCs/>
        </w:rPr>
        <w:t>En lo que refiere a “OMITE INCLUIR LAS FACTURAS CORRESPONDIENTES A OBRAS, LO CUAL ES INDEBIDO”, me permito señalar que el anexo remitido por la Coordinación Administrativa contiene las facturas solicitadas en posesión de dicha Unidad Administrativa.</w:t>
      </w:r>
    </w:p>
    <w:p w14:paraId="4C7DF680" w14:textId="77777777" w:rsidR="000911EC" w:rsidRDefault="000911EC" w:rsidP="005E13A5">
      <w:pPr>
        <w:autoSpaceDE w:val="0"/>
        <w:autoSpaceDN w:val="0"/>
        <w:adjustRightInd w:val="0"/>
        <w:spacing w:line="360" w:lineRule="auto"/>
        <w:ind w:left="567" w:right="567"/>
        <w:contextualSpacing/>
        <w:jc w:val="both"/>
        <w:rPr>
          <w:rFonts w:ascii="Palatino Linotype" w:hAnsi="Palatino Linotype" w:cs="Tahoma"/>
          <w:i/>
          <w:iCs/>
        </w:rPr>
      </w:pPr>
    </w:p>
    <w:p w14:paraId="4226F572" w14:textId="12E8FC1F" w:rsidR="00A77860" w:rsidRPr="00A80AAB" w:rsidRDefault="000911EC" w:rsidP="005E13A5">
      <w:pPr>
        <w:autoSpaceDE w:val="0"/>
        <w:autoSpaceDN w:val="0"/>
        <w:adjustRightInd w:val="0"/>
        <w:spacing w:line="360" w:lineRule="auto"/>
        <w:ind w:left="567" w:right="567"/>
        <w:contextualSpacing/>
        <w:jc w:val="both"/>
        <w:rPr>
          <w:rFonts w:ascii="Palatino Linotype" w:hAnsi="Palatino Linotype" w:cs="Tahoma"/>
          <w:i/>
          <w:iCs/>
        </w:rPr>
      </w:pPr>
      <w:r w:rsidRPr="000911EC">
        <w:rPr>
          <w:rFonts w:ascii="Palatino Linotype" w:hAnsi="Palatino Linotype" w:cs="Tahoma"/>
          <w:i/>
          <w:iCs/>
        </w:rPr>
        <w:t>Asimismo, me permito adjuntar la respuesta al requerimiento realizado a la Dirección General</w:t>
      </w:r>
      <w:r>
        <w:rPr>
          <w:rFonts w:ascii="Palatino Linotype" w:hAnsi="Palatino Linotype" w:cs="Tahoma"/>
          <w:i/>
          <w:iCs/>
        </w:rPr>
        <w:t xml:space="preserve"> </w:t>
      </w:r>
      <w:r w:rsidRPr="000911EC">
        <w:rPr>
          <w:rFonts w:ascii="Palatino Linotype" w:hAnsi="Palatino Linotype" w:cs="Tahoma"/>
          <w:i/>
          <w:iCs/>
        </w:rPr>
        <w:t>de Vialidad, mediante la cual el Servidor Público Habilitado de dicha Unidad Administrativa</w:t>
      </w:r>
      <w:r>
        <w:rPr>
          <w:rFonts w:ascii="Palatino Linotype" w:hAnsi="Palatino Linotype" w:cs="Tahoma"/>
          <w:i/>
          <w:iCs/>
        </w:rPr>
        <w:t xml:space="preserve"> </w:t>
      </w:r>
      <w:r w:rsidRPr="000911EC">
        <w:rPr>
          <w:rFonts w:ascii="Palatino Linotype" w:hAnsi="Palatino Linotype" w:cs="Tahoma"/>
          <w:i/>
          <w:iCs/>
        </w:rPr>
        <w:t>señala de forma clara y precisa las razones por las que no se cuenta con la información solicitada</w:t>
      </w:r>
      <w:r>
        <w:rPr>
          <w:rFonts w:ascii="Palatino Linotype" w:hAnsi="Palatino Linotype" w:cs="Tahoma"/>
          <w:i/>
          <w:iCs/>
        </w:rPr>
        <w:t xml:space="preserve"> </w:t>
      </w:r>
      <w:r w:rsidRPr="000911EC">
        <w:rPr>
          <w:rFonts w:ascii="Palatino Linotype" w:hAnsi="Palatino Linotype" w:cs="Tahoma"/>
          <w:i/>
          <w:iCs/>
        </w:rPr>
        <w:t>al nivel de desagregación con la que la solicita el particular</w:t>
      </w:r>
      <w:r w:rsidR="00A77860" w:rsidRPr="00A80AAB">
        <w:rPr>
          <w:rFonts w:ascii="Palatino Linotype" w:hAnsi="Palatino Linotype" w:cs="Tahoma"/>
          <w:i/>
          <w:iCs/>
        </w:rPr>
        <w:t>…”</w:t>
      </w:r>
    </w:p>
    <w:p w14:paraId="604B07AE" w14:textId="77777777" w:rsidR="00A94AD5" w:rsidRDefault="00A94AD5" w:rsidP="005E13A5">
      <w:pPr>
        <w:spacing w:line="360" w:lineRule="auto"/>
        <w:contextualSpacing/>
        <w:jc w:val="both"/>
        <w:rPr>
          <w:rFonts w:ascii="Palatino Linotype" w:hAnsi="Palatino Linotype" w:cs="Tahoma"/>
          <w:bCs/>
          <w:sz w:val="22"/>
          <w:szCs w:val="22"/>
        </w:rPr>
      </w:pPr>
    </w:p>
    <w:p w14:paraId="49DF7891" w14:textId="4C6208F3" w:rsidR="00A94AD5" w:rsidRDefault="00A94AD5" w:rsidP="005E13A5">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i</w:t>
      </w:r>
      <w:r w:rsidR="004E585B">
        <w:rPr>
          <w:rFonts w:ascii="Palatino Linotype" w:hAnsi="Palatino Linotype" w:cs="Tahoma"/>
          <w:bCs/>
          <w:sz w:val="22"/>
          <w:szCs w:val="22"/>
        </w:rPr>
        <w:t>i</w:t>
      </w:r>
      <w:r>
        <w:rPr>
          <w:rFonts w:ascii="Palatino Linotype" w:hAnsi="Palatino Linotype" w:cs="Tahoma"/>
          <w:bCs/>
          <w:sz w:val="22"/>
          <w:szCs w:val="22"/>
        </w:rPr>
        <w:t>) Captura de pantalla de correo de fecha dieciséis de enero de la presente anualidad, dirigido a la Titular de la Unidad de Transparencia, a través del cual se manifiesta y expone esencialmente lo siguiente:</w:t>
      </w:r>
    </w:p>
    <w:p w14:paraId="1F8CD4E8" w14:textId="77777777" w:rsidR="00A94AD5" w:rsidRDefault="00A94AD5" w:rsidP="005E13A5">
      <w:pPr>
        <w:spacing w:line="360" w:lineRule="auto"/>
        <w:contextualSpacing/>
        <w:jc w:val="both"/>
        <w:rPr>
          <w:rFonts w:ascii="Palatino Linotype" w:hAnsi="Palatino Linotype" w:cs="Tahoma"/>
          <w:bCs/>
          <w:sz w:val="22"/>
          <w:szCs w:val="22"/>
        </w:rPr>
      </w:pPr>
    </w:p>
    <w:p w14:paraId="057793BC" w14:textId="77777777" w:rsidR="00A94AD5" w:rsidRPr="00551607" w:rsidRDefault="00A94AD5" w:rsidP="005E13A5">
      <w:pPr>
        <w:spacing w:line="360" w:lineRule="auto"/>
        <w:ind w:left="567" w:right="567"/>
        <w:contextualSpacing/>
        <w:jc w:val="both"/>
        <w:rPr>
          <w:rFonts w:ascii="Palatino Linotype" w:hAnsi="Palatino Linotype" w:cs="Tahoma"/>
          <w:bCs/>
          <w:i/>
          <w:iCs/>
        </w:rPr>
      </w:pPr>
      <w:r w:rsidRPr="00551607">
        <w:rPr>
          <w:rFonts w:ascii="Palatino Linotype" w:hAnsi="Palatino Linotype" w:cs="Tahoma"/>
          <w:bCs/>
          <w:i/>
          <w:iCs/>
        </w:rPr>
        <w:t>“…</w:t>
      </w:r>
    </w:p>
    <w:p w14:paraId="7B3FF0AE" w14:textId="19D08195" w:rsidR="00A94AD5" w:rsidRPr="00551607" w:rsidRDefault="00A94AD5" w:rsidP="005E13A5">
      <w:pPr>
        <w:spacing w:line="360" w:lineRule="auto"/>
        <w:ind w:left="567" w:right="567"/>
        <w:contextualSpacing/>
        <w:jc w:val="both"/>
        <w:rPr>
          <w:rFonts w:ascii="Palatino Linotype" w:hAnsi="Palatino Linotype" w:cs="Tahoma"/>
          <w:bCs/>
          <w:i/>
          <w:iCs/>
        </w:rPr>
      </w:pPr>
      <w:r w:rsidRPr="00551607">
        <w:rPr>
          <w:rFonts w:ascii="Palatino Linotype" w:hAnsi="Palatino Linotype" w:cs="Tahoma"/>
          <w:bCs/>
          <w:i/>
          <w:iCs/>
        </w:rPr>
        <w:t xml:space="preserve">TERCERO. </w:t>
      </w:r>
      <w:r w:rsidR="00E85B80" w:rsidRPr="00551607">
        <w:rPr>
          <w:rFonts w:ascii="Palatino Linotype" w:hAnsi="Palatino Linotype" w:cs="Tahoma"/>
          <w:bCs/>
          <w:i/>
          <w:iCs/>
        </w:rPr>
        <w:t>Al respecto, se modifica la respuesta inicial, señalando de forma clara y precisa que esta Unidad Administrativa no cuenta con la información al nivel de desagregación con la que solicita el particular. Es decir, si bien esta Unidad Administrativa posee facturas diversas de distintos montos de la temporalidad solicitada que podría entregarle en copia simple a través del SAIMEX al ahora recurrente, para ninguna de estas se posee documento alguno que permita determinar si están ´pagadas´ o ´en proceso de pago´.</w:t>
      </w:r>
    </w:p>
    <w:p w14:paraId="1CEB1F35" w14:textId="77777777" w:rsidR="00E85B80" w:rsidRPr="00551607" w:rsidRDefault="00E85B80" w:rsidP="005E13A5">
      <w:pPr>
        <w:spacing w:line="360" w:lineRule="auto"/>
        <w:ind w:left="567" w:right="567"/>
        <w:contextualSpacing/>
        <w:jc w:val="both"/>
        <w:rPr>
          <w:rFonts w:ascii="Palatino Linotype" w:hAnsi="Palatino Linotype" w:cs="Tahoma"/>
          <w:bCs/>
          <w:i/>
          <w:iCs/>
        </w:rPr>
      </w:pPr>
    </w:p>
    <w:p w14:paraId="71B62F7F" w14:textId="77777777" w:rsidR="00E85B80" w:rsidRPr="00551607" w:rsidRDefault="00E85B80" w:rsidP="005E13A5">
      <w:pPr>
        <w:spacing w:line="360" w:lineRule="auto"/>
        <w:ind w:left="567" w:right="567"/>
        <w:contextualSpacing/>
        <w:jc w:val="both"/>
        <w:rPr>
          <w:rFonts w:ascii="Palatino Linotype" w:hAnsi="Palatino Linotype" w:cs="Tahoma"/>
          <w:bCs/>
          <w:i/>
          <w:iCs/>
        </w:rPr>
      </w:pPr>
      <w:r w:rsidRPr="00551607">
        <w:rPr>
          <w:rFonts w:ascii="Palatino Linotype" w:hAnsi="Palatino Linotype" w:cs="Tahoma"/>
          <w:bCs/>
          <w:i/>
          <w:iCs/>
        </w:rPr>
        <w:t xml:space="preserve">El artículo 65 primer párrafo letra c de la sección </w:t>
      </w:r>
      <w:proofErr w:type="spellStart"/>
      <w:r w:rsidRPr="00551607">
        <w:rPr>
          <w:rFonts w:ascii="Palatino Linotype" w:hAnsi="Palatino Linotype" w:cs="Tahoma"/>
          <w:bCs/>
          <w:i/>
          <w:iCs/>
        </w:rPr>
        <w:t>Xl.ii</w:t>
      </w:r>
      <w:proofErr w:type="spellEnd"/>
      <w:r w:rsidRPr="00551607">
        <w:rPr>
          <w:rFonts w:ascii="Palatino Linotype" w:hAnsi="Palatino Linotype" w:cs="Tahoma"/>
          <w:bCs/>
          <w:i/>
          <w:iCs/>
        </w:rPr>
        <w:t xml:space="preserve">. Inversión por Comprobar de las Reglas de Operación del Gasto de Inversión para el Desarrollo del Estado de México establece que corresponde a las Unidades Ejecutoras del Gasto (es decir, a la Secretaría de Movilidad) la remisión a la Dirección General de Inversión de la Subsecretaría de Planeación y Presupuesto de </w:t>
      </w:r>
      <w:r w:rsidRPr="00551607">
        <w:rPr>
          <w:rFonts w:ascii="Palatino Linotype" w:hAnsi="Palatino Linotype" w:cs="Tahoma"/>
          <w:bCs/>
          <w:i/>
          <w:iCs/>
        </w:rPr>
        <w:lastRenderedPageBreak/>
        <w:t>la Secretaría de Finanzas de los Comprobante Fiscal Digital por Internet (factura en términos coloquiales) que nos presentan los contratistas.</w:t>
      </w:r>
    </w:p>
    <w:p w14:paraId="0C5DBBD0" w14:textId="77777777" w:rsidR="00E85B80" w:rsidRPr="00551607" w:rsidRDefault="00E85B80" w:rsidP="005E13A5">
      <w:pPr>
        <w:spacing w:line="360" w:lineRule="auto"/>
        <w:ind w:left="567" w:right="567"/>
        <w:contextualSpacing/>
        <w:jc w:val="both"/>
        <w:rPr>
          <w:rFonts w:ascii="Palatino Linotype" w:hAnsi="Palatino Linotype" w:cs="Tahoma"/>
          <w:bCs/>
          <w:i/>
          <w:iCs/>
        </w:rPr>
      </w:pPr>
    </w:p>
    <w:p w14:paraId="3B3D957B" w14:textId="77777777" w:rsidR="004E585B" w:rsidRPr="00551607" w:rsidRDefault="00E85B80" w:rsidP="005E13A5">
      <w:pPr>
        <w:spacing w:line="360" w:lineRule="auto"/>
        <w:ind w:left="567" w:right="567"/>
        <w:contextualSpacing/>
        <w:jc w:val="both"/>
        <w:rPr>
          <w:rFonts w:ascii="Palatino Linotype" w:hAnsi="Palatino Linotype" w:cs="Tahoma"/>
          <w:bCs/>
          <w:i/>
          <w:iCs/>
        </w:rPr>
      </w:pPr>
      <w:r w:rsidRPr="00551607">
        <w:rPr>
          <w:rFonts w:ascii="Palatino Linotype" w:hAnsi="Palatino Linotype" w:cs="Tahoma"/>
          <w:bCs/>
          <w:i/>
          <w:iCs/>
        </w:rPr>
        <w:t xml:space="preserve">No obstante, la Secretaría de Finanzas es la encargada de realizar el pago correspondiente a dichas facturas, y de programar los pagos autorizados </w:t>
      </w:r>
      <w:r w:rsidR="004E585B" w:rsidRPr="00551607">
        <w:rPr>
          <w:rFonts w:ascii="Palatino Linotype" w:hAnsi="Palatino Linotype" w:cs="Tahoma"/>
          <w:bCs/>
          <w:i/>
          <w:iCs/>
        </w:rPr>
        <w:t>por las unidades ejecutoras del gasto, presumiblemente a través de la su Dirección General de Tesorería, de conformidad con el artículo 29 fracción V del Reglamento Interior de la Secretaría de Finanzas.</w:t>
      </w:r>
    </w:p>
    <w:p w14:paraId="3F8ECB18" w14:textId="77777777" w:rsidR="004E585B" w:rsidRPr="00551607" w:rsidRDefault="004E585B" w:rsidP="005E13A5">
      <w:pPr>
        <w:spacing w:line="360" w:lineRule="auto"/>
        <w:ind w:left="567" w:right="567"/>
        <w:contextualSpacing/>
        <w:jc w:val="both"/>
        <w:rPr>
          <w:rFonts w:ascii="Palatino Linotype" w:hAnsi="Palatino Linotype" w:cs="Tahoma"/>
          <w:bCs/>
          <w:i/>
          <w:iCs/>
        </w:rPr>
      </w:pPr>
    </w:p>
    <w:p w14:paraId="0E6CF04C" w14:textId="77777777" w:rsidR="00551607" w:rsidRDefault="004E585B" w:rsidP="005E13A5">
      <w:pPr>
        <w:spacing w:line="360" w:lineRule="auto"/>
        <w:ind w:left="567" w:right="567"/>
        <w:contextualSpacing/>
        <w:jc w:val="both"/>
        <w:rPr>
          <w:rFonts w:ascii="Palatino Linotype" w:hAnsi="Palatino Linotype" w:cs="Tahoma"/>
          <w:bCs/>
          <w:i/>
          <w:iCs/>
        </w:rPr>
      </w:pPr>
      <w:r w:rsidRPr="00551607">
        <w:rPr>
          <w:rFonts w:ascii="Palatino Linotype" w:hAnsi="Palatino Linotype" w:cs="Tahoma"/>
          <w:bCs/>
          <w:i/>
          <w:iCs/>
        </w:rPr>
        <w:t>Por lo anterior esta Unidad Administrativa podría entregar al ahora recurrente las facturas en posesión de esta Unidad Administrativa que superen al millón de pesos de la temporalidad solicitadas entendidas como Comprobantes Fiscales por Internet, en versión pública, tal y como obren en los archivos del Sujeto Obligado y en el estado que estas se encuentren. No obstante, no se podría entregar la información el nivel de desagregación solicitado al no contar con documentación para poder pronunciarse si ya fueron pagadas o no por la Secretaría de Finanzas</w:t>
      </w:r>
      <w:r w:rsidR="00551607">
        <w:rPr>
          <w:rFonts w:ascii="Palatino Linotype" w:hAnsi="Palatino Linotype" w:cs="Tahoma"/>
          <w:bCs/>
          <w:i/>
          <w:iCs/>
        </w:rPr>
        <w:t>.</w:t>
      </w:r>
    </w:p>
    <w:p w14:paraId="6F78ABD7" w14:textId="4B2CBD74" w:rsidR="00E85B80" w:rsidRPr="00551607" w:rsidRDefault="004E585B" w:rsidP="005E13A5">
      <w:pPr>
        <w:spacing w:line="360" w:lineRule="auto"/>
        <w:ind w:left="567" w:right="567"/>
        <w:contextualSpacing/>
        <w:jc w:val="both"/>
        <w:rPr>
          <w:rFonts w:ascii="Palatino Linotype" w:hAnsi="Palatino Linotype" w:cs="Tahoma"/>
          <w:bCs/>
          <w:i/>
          <w:iCs/>
        </w:rPr>
      </w:pPr>
      <w:r w:rsidRPr="00551607">
        <w:rPr>
          <w:rFonts w:ascii="Palatino Linotype" w:hAnsi="Palatino Linotype" w:cs="Tahoma"/>
          <w:bCs/>
          <w:i/>
          <w:iCs/>
        </w:rPr>
        <w:t xml:space="preserve">…” </w:t>
      </w:r>
      <w:r w:rsidR="00E85B80" w:rsidRPr="00551607">
        <w:rPr>
          <w:rFonts w:ascii="Palatino Linotype" w:hAnsi="Palatino Linotype" w:cs="Tahoma"/>
          <w:bCs/>
          <w:i/>
          <w:iCs/>
        </w:rPr>
        <w:t xml:space="preserve"> </w:t>
      </w:r>
    </w:p>
    <w:p w14:paraId="7FDEC309" w14:textId="77777777" w:rsidR="00A77860" w:rsidRDefault="00A77860" w:rsidP="005E13A5">
      <w:pPr>
        <w:spacing w:line="360" w:lineRule="auto"/>
        <w:contextualSpacing/>
        <w:jc w:val="both"/>
        <w:rPr>
          <w:rFonts w:ascii="Palatino Linotype" w:hAnsi="Palatino Linotype" w:cs="Tahoma"/>
          <w:bCs/>
          <w:sz w:val="22"/>
          <w:szCs w:val="22"/>
        </w:rPr>
      </w:pPr>
    </w:p>
    <w:p w14:paraId="0949816D" w14:textId="411F62AB" w:rsidR="004E585B" w:rsidRDefault="004E585B" w:rsidP="005E13A5">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iii) Acta de la Vigésima Sexta Sesión Ordinaria del Comité de Transparencia de la Secretaría de Movilidad, del veintisiete de noviembre de dos mil veinticinco, por la cual se aprueba la clasificación de las versiones públicas de las facturas proporcionadas.</w:t>
      </w:r>
    </w:p>
    <w:p w14:paraId="63F6EA44" w14:textId="77777777" w:rsidR="004E585B" w:rsidRDefault="004E585B" w:rsidP="005E13A5">
      <w:pPr>
        <w:spacing w:line="360" w:lineRule="auto"/>
        <w:contextualSpacing/>
        <w:jc w:val="both"/>
        <w:rPr>
          <w:rFonts w:ascii="Palatino Linotype" w:hAnsi="Palatino Linotype" w:cs="Tahoma"/>
          <w:bCs/>
          <w:sz w:val="22"/>
          <w:szCs w:val="22"/>
        </w:rPr>
      </w:pPr>
    </w:p>
    <w:p w14:paraId="1FB54CA1" w14:textId="3FAB1341" w:rsidR="004E585B" w:rsidRDefault="004E585B" w:rsidP="005E13A5">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iv) El Sujeto Obligado remitió diversas facturas con valor mayor a un millón de pesos, generadas durante el ejercicio fiscal dos mil veinticinco.</w:t>
      </w:r>
    </w:p>
    <w:p w14:paraId="45356CE1" w14:textId="77777777" w:rsidR="004E585B" w:rsidRPr="00A80AAB" w:rsidRDefault="004E585B" w:rsidP="005E13A5">
      <w:pPr>
        <w:spacing w:line="360" w:lineRule="auto"/>
        <w:contextualSpacing/>
        <w:jc w:val="both"/>
        <w:rPr>
          <w:rFonts w:ascii="Palatino Linotype" w:hAnsi="Palatino Linotype" w:cs="Tahoma"/>
          <w:bCs/>
          <w:sz w:val="22"/>
          <w:szCs w:val="22"/>
        </w:rPr>
      </w:pPr>
    </w:p>
    <w:p w14:paraId="1FED3126" w14:textId="4A12B317" w:rsidR="00A77860" w:rsidRPr="00B569F2" w:rsidRDefault="00A77860" w:rsidP="005E13A5">
      <w:pPr>
        <w:spacing w:line="360" w:lineRule="auto"/>
        <w:contextualSpacing/>
        <w:jc w:val="both"/>
        <w:rPr>
          <w:rFonts w:ascii="Palatino Linotype" w:hAnsi="Palatino Linotype" w:cs="Tahoma"/>
          <w:b/>
          <w:sz w:val="22"/>
          <w:szCs w:val="22"/>
        </w:rPr>
      </w:pPr>
      <w:r w:rsidRPr="006743B8">
        <w:rPr>
          <w:rFonts w:ascii="Palatino Linotype" w:hAnsi="Palatino Linotype" w:cs="Tahoma"/>
          <w:b/>
          <w:sz w:val="22"/>
          <w:szCs w:val="22"/>
        </w:rPr>
        <w:t xml:space="preserve">d) </w:t>
      </w:r>
      <w:r w:rsidRPr="006743B8">
        <w:rPr>
          <w:rFonts w:ascii="Palatino Linotype" w:hAnsi="Palatino Linotype" w:cs="Tahoma"/>
          <w:b/>
          <w:bCs/>
          <w:sz w:val="22"/>
          <w:szCs w:val="22"/>
        </w:rPr>
        <w:t xml:space="preserve">Vista del informe justificado. </w:t>
      </w:r>
      <w:r w:rsidRPr="006743B8">
        <w:rPr>
          <w:rFonts w:ascii="Palatino Linotype" w:hAnsi="Palatino Linotype" w:cs="Tahoma"/>
          <w:sz w:val="22"/>
          <w:szCs w:val="22"/>
        </w:rPr>
        <w:t xml:space="preserve">El </w:t>
      </w:r>
      <w:r w:rsidR="004E585B">
        <w:rPr>
          <w:rFonts w:ascii="Palatino Linotype" w:hAnsi="Palatino Linotype" w:cs="Tahoma"/>
          <w:sz w:val="22"/>
          <w:szCs w:val="22"/>
        </w:rPr>
        <w:t xml:space="preserve">once de febrero </w:t>
      </w:r>
      <w:r w:rsidRPr="006743B8">
        <w:rPr>
          <w:rFonts w:ascii="Palatino Linotype" w:hAnsi="Palatino Linotype" w:cs="Tahoma"/>
          <w:sz w:val="22"/>
          <w:szCs w:val="22"/>
        </w:rPr>
        <w:t>de dos mil veinti</w:t>
      </w:r>
      <w:r w:rsidR="004E585B">
        <w:rPr>
          <w:rFonts w:ascii="Palatino Linotype" w:hAnsi="Palatino Linotype" w:cs="Tahoma"/>
          <w:sz w:val="22"/>
          <w:szCs w:val="22"/>
        </w:rPr>
        <w:t>séis</w:t>
      </w:r>
      <w:r w:rsidRPr="006743B8">
        <w:rPr>
          <w:rFonts w:ascii="Palatino Linotype" w:hAnsi="Palatino Linotype" w:cs="Tahoma"/>
          <w:sz w:val="22"/>
          <w:szCs w:val="22"/>
        </w:rPr>
        <w:t xml:space="preserve">, se dictó acuerdo mediante el cual </w:t>
      </w:r>
      <w:r w:rsidRPr="006743B8">
        <w:rPr>
          <w:rFonts w:ascii="Palatino Linotype" w:hAnsi="Palatino Linotype" w:cs="Tahoma"/>
          <w:bCs/>
          <w:sz w:val="22"/>
          <w:szCs w:val="22"/>
        </w:rPr>
        <w:t>se puso a la vista del Particular, el Informe Justificado</w:t>
      </w:r>
      <w:r w:rsidRPr="006743B8">
        <w:rPr>
          <w:rFonts w:ascii="Palatino Linotype" w:hAnsi="Palatino Linotype" w:cs="Tahoma"/>
          <w:sz w:val="22"/>
          <w:szCs w:val="22"/>
        </w:rPr>
        <w:t xml:space="preserve"> entregado por el Sujeto Obligado, el cual fue notificado, a través del SAIMEX, el mismo día.</w:t>
      </w:r>
      <w:r w:rsidRPr="00AC17E4">
        <w:rPr>
          <w:rFonts w:ascii="Palatino Linotype" w:hAnsi="Palatino Linotype" w:cs="Tahoma"/>
          <w:sz w:val="22"/>
          <w:szCs w:val="22"/>
        </w:rPr>
        <w:t xml:space="preserve"> </w:t>
      </w:r>
    </w:p>
    <w:p w14:paraId="69834276" w14:textId="77777777" w:rsidR="00A77860" w:rsidRPr="00AC17E4" w:rsidRDefault="00A77860" w:rsidP="005E13A5">
      <w:pPr>
        <w:autoSpaceDE w:val="0"/>
        <w:autoSpaceDN w:val="0"/>
        <w:adjustRightInd w:val="0"/>
        <w:spacing w:line="360" w:lineRule="auto"/>
        <w:contextualSpacing/>
        <w:jc w:val="both"/>
        <w:rPr>
          <w:rFonts w:ascii="Palatino Linotype" w:hAnsi="Palatino Linotype" w:cs="Tahoma"/>
          <w:b/>
          <w:sz w:val="22"/>
          <w:szCs w:val="22"/>
        </w:rPr>
      </w:pPr>
    </w:p>
    <w:p w14:paraId="60A4653F" w14:textId="1C630A19" w:rsidR="004E585B" w:rsidRDefault="00A77860" w:rsidP="005E13A5">
      <w:pPr>
        <w:spacing w:line="360" w:lineRule="auto"/>
        <w:contextualSpacing/>
        <w:jc w:val="both"/>
        <w:rPr>
          <w:rFonts w:ascii="Palatino Linotype" w:hAnsi="Palatino Linotype" w:cs="Tahoma"/>
          <w:sz w:val="22"/>
          <w:szCs w:val="22"/>
        </w:rPr>
      </w:pPr>
      <w:bookmarkStart w:id="10" w:name="_Hlk145410441"/>
      <w:r>
        <w:rPr>
          <w:rFonts w:ascii="Palatino Linotype" w:hAnsi="Palatino Linotype" w:cs="Tahoma"/>
          <w:b/>
          <w:bCs/>
          <w:sz w:val="22"/>
          <w:szCs w:val="22"/>
        </w:rPr>
        <w:lastRenderedPageBreak/>
        <w:t>e</w:t>
      </w:r>
      <w:r w:rsidRPr="00723DBE">
        <w:rPr>
          <w:rFonts w:ascii="Palatino Linotype" w:hAnsi="Palatino Linotype" w:cs="Tahoma"/>
          <w:b/>
          <w:bCs/>
          <w:sz w:val="22"/>
          <w:szCs w:val="22"/>
        </w:rPr>
        <w:t xml:space="preserve">) </w:t>
      </w:r>
      <w:r w:rsidR="004E585B">
        <w:rPr>
          <w:rFonts w:ascii="Palatino Linotype" w:hAnsi="Palatino Linotype" w:cs="Tahoma"/>
          <w:b/>
          <w:bCs/>
          <w:sz w:val="22"/>
          <w:szCs w:val="22"/>
        </w:rPr>
        <w:t xml:space="preserve">Manifestaciones. </w:t>
      </w:r>
      <w:r w:rsidR="004E585B">
        <w:rPr>
          <w:rFonts w:ascii="Palatino Linotype" w:hAnsi="Palatino Linotype" w:cs="Tahoma"/>
          <w:sz w:val="22"/>
          <w:szCs w:val="22"/>
        </w:rPr>
        <w:t>El once de febrero de dos mil veintiséis el Recurrente remitió a través del SAIMEX, las manifestaciones siguientes:</w:t>
      </w:r>
    </w:p>
    <w:p w14:paraId="41D5C4F9" w14:textId="77777777" w:rsidR="004E585B" w:rsidRDefault="004E585B" w:rsidP="005E13A5">
      <w:pPr>
        <w:spacing w:line="360" w:lineRule="auto"/>
        <w:contextualSpacing/>
        <w:jc w:val="both"/>
        <w:rPr>
          <w:rFonts w:ascii="Palatino Linotype" w:hAnsi="Palatino Linotype" w:cs="Tahoma"/>
          <w:sz w:val="22"/>
          <w:szCs w:val="22"/>
        </w:rPr>
      </w:pPr>
    </w:p>
    <w:p w14:paraId="582F1A70" w14:textId="77777777" w:rsidR="00551607" w:rsidRDefault="004E585B" w:rsidP="005E13A5">
      <w:pPr>
        <w:spacing w:line="360" w:lineRule="auto"/>
        <w:ind w:left="567" w:right="567"/>
        <w:contextualSpacing/>
        <w:jc w:val="both"/>
        <w:rPr>
          <w:rFonts w:ascii="Palatino Linotype" w:hAnsi="Palatino Linotype" w:cs="Tahoma"/>
          <w:i/>
          <w:iCs/>
        </w:rPr>
      </w:pPr>
      <w:r w:rsidRPr="00551607">
        <w:rPr>
          <w:rFonts w:ascii="Palatino Linotype" w:hAnsi="Palatino Linotype" w:cs="Tahoma"/>
          <w:i/>
          <w:iCs/>
        </w:rPr>
        <w:t>“</w:t>
      </w:r>
      <w:r w:rsidR="00CA65F7" w:rsidRPr="00551607">
        <w:rPr>
          <w:rFonts w:ascii="Palatino Linotype" w:hAnsi="Palatino Linotype" w:cs="Tahoma"/>
          <w:i/>
          <w:iCs/>
        </w:rPr>
        <w:t>…</w:t>
      </w:r>
    </w:p>
    <w:p w14:paraId="423FBC40" w14:textId="77777777" w:rsidR="00551607" w:rsidRDefault="004E585B" w:rsidP="005E13A5">
      <w:pPr>
        <w:spacing w:line="360" w:lineRule="auto"/>
        <w:ind w:left="567" w:right="567"/>
        <w:contextualSpacing/>
        <w:jc w:val="both"/>
        <w:rPr>
          <w:rFonts w:ascii="Palatino Linotype" w:hAnsi="Palatino Linotype" w:cs="Tahoma"/>
          <w:i/>
          <w:iCs/>
        </w:rPr>
      </w:pPr>
      <w:r w:rsidRPr="00551607">
        <w:rPr>
          <w:rFonts w:ascii="Palatino Linotype" w:hAnsi="Palatino Linotype" w:cs="Tahoma"/>
          <w:i/>
          <w:iCs/>
        </w:rPr>
        <w:t>La totalidad de las facturas que obran en poder del sujeto obligado son pagadas o en proceso de pago, debido a que no existe otro estatus</w:t>
      </w:r>
      <w:r w:rsidR="00551607">
        <w:rPr>
          <w:rFonts w:ascii="Palatino Linotype" w:hAnsi="Palatino Linotype" w:cs="Tahoma"/>
          <w:i/>
          <w:iCs/>
        </w:rPr>
        <w:t>.</w:t>
      </w:r>
    </w:p>
    <w:p w14:paraId="2A639A73" w14:textId="451B4556" w:rsidR="004E585B" w:rsidRPr="00551607" w:rsidRDefault="00551607" w:rsidP="005E13A5">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4E585B" w:rsidRPr="00551607">
        <w:rPr>
          <w:rFonts w:ascii="Palatino Linotype" w:hAnsi="Palatino Linotype" w:cs="Tahoma"/>
          <w:i/>
          <w:iCs/>
        </w:rPr>
        <w:t>.”</w:t>
      </w:r>
    </w:p>
    <w:p w14:paraId="011787CB" w14:textId="77777777" w:rsidR="00A77860" w:rsidRDefault="00A77860" w:rsidP="005E13A5">
      <w:pPr>
        <w:spacing w:line="360" w:lineRule="auto"/>
        <w:contextualSpacing/>
        <w:jc w:val="both"/>
        <w:rPr>
          <w:rFonts w:ascii="Palatino Linotype" w:hAnsi="Palatino Linotype" w:cs="Tahoma"/>
          <w:b/>
          <w:bCs/>
          <w:sz w:val="22"/>
          <w:szCs w:val="22"/>
        </w:rPr>
      </w:pPr>
    </w:p>
    <w:p w14:paraId="7EC122E0" w14:textId="19BEE505" w:rsidR="00A77860" w:rsidRPr="00967419" w:rsidRDefault="00A77860" w:rsidP="005E13A5">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sidR="00A606C4">
        <w:rPr>
          <w:rFonts w:ascii="Palatino Linotype" w:hAnsi="Palatino Linotype" w:cs="Tahoma"/>
          <w:bCs/>
          <w:sz w:val="22"/>
          <w:szCs w:val="22"/>
        </w:rPr>
        <w:t>diecisiete</w:t>
      </w:r>
      <w:r>
        <w:rPr>
          <w:rFonts w:ascii="Palatino Linotype" w:hAnsi="Palatino Linotype" w:cs="Tahoma"/>
          <w:bCs/>
          <w:sz w:val="22"/>
          <w:szCs w:val="22"/>
        </w:rPr>
        <w:t xml:space="preserve"> de febrero </w:t>
      </w:r>
      <w:r w:rsidRPr="00AC17E4">
        <w:rPr>
          <w:rFonts w:ascii="Palatino Linotype" w:hAnsi="Palatino Linotype" w:cs="Tahoma"/>
          <w:bCs/>
          <w:sz w:val="22"/>
          <w:szCs w:val="22"/>
        </w:rPr>
        <w:t>de dos mil veinti</w:t>
      </w:r>
      <w:r w:rsidR="00A606C4">
        <w:rPr>
          <w:rFonts w:ascii="Palatino Linotype" w:hAnsi="Palatino Linotype" w:cs="Tahoma"/>
          <w:bCs/>
          <w:sz w:val="22"/>
          <w:szCs w:val="22"/>
        </w:rPr>
        <w:t>séis</w:t>
      </w:r>
      <w:r w:rsidRPr="00AC17E4">
        <w:rPr>
          <w:rFonts w:ascii="Palatino Linotype" w:hAnsi="Palatino Linotype" w:cs="Tahoma"/>
          <w:bCs/>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acto que fue notificado a las partes, mediante el SAIMEX, el</w:t>
      </w:r>
      <w:r>
        <w:rPr>
          <w:rFonts w:ascii="Palatino Linotype" w:hAnsi="Palatino Linotype" w:cs="Tahoma"/>
          <w:bCs/>
          <w:sz w:val="22"/>
          <w:szCs w:val="22"/>
          <w:lang w:val="es-ES"/>
        </w:rPr>
        <w:t xml:space="preserve"> mismo día</w:t>
      </w:r>
      <w:r w:rsidRPr="00AC17E4">
        <w:rPr>
          <w:rFonts w:ascii="Palatino Linotype" w:hAnsi="Palatino Linotype" w:cs="Tahoma"/>
          <w:bCs/>
          <w:sz w:val="22"/>
          <w:szCs w:val="22"/>
          <w:lang w:val="es-ES"/>
        </w:rPr>
        <w:t>.</w:t>
      </w:r>
    </w:p>
    <w:bookmarkEnd w:id="10"/>
    <w:p w14:paraId="5263EB0E" w14:textId="77777777" w:rsidR="00A77860" w:rsidRPr="00AC17E4" w:rsidRDefault="00A77860" w:rsidP="005E13A5">
      <w:pPr>
        <w:autoSpaceDE w:val="0"/>
        <w:autoSpaceDN w:val="0"/>
        <w:adjustRightInd w:val="0"/>
        <w:spacing w:line="360" w:lineRule="auto"/>
        <w:contextualSpacing/>
        <w:jc w:val="both"/>
        <w:rPr>
          <w:rFonts w:ascii="Palatino Linotype" w:hAnsi="Palatino Linotype" w:cs="Tahoma"/>
          <w:b/>
          <w:sz w:val="22"/>
          <w:szCs w:val="22"/>
          <w:lang w:val="es-ES"/>
        </w:rPr>
      </w:pPr>
    </w:p>
    <w:p w14:paraId="5E3D4AE1" w14:textId="77777777" w:rsidR="00A77860" w:rsidRPr="00AC17E4" w:rsidRDefault="00A77860" w:rsidP="005E13A5">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706E8EEC" w14:textId="77777777" w:rsidR="00A77860" w:rsidRPr="00AC17E4" w:rsidRDefault="00A77860" w:rsidP="005E13A5">
      <w:pPr>
        <w:spacing w:line="360" w:lineRule="auto"/>
        <w:contextualSpacing/>
      </w:pPr>
    </w:p>
    <w:p w14:paraId="5C6DF73B" w14:textId="77777777" w:rsidR="00A77860" w:rsidRPr="00AC17E4" w:rsidRDefault="00A77860" w:rsidP="005E13A5">
      <w:pPr>
        <w:pStyle w:val="Ttulo1"/>
        <w:spacing w:before="0" w:after="0" w:line="360" w:lineRule="auto"/>
        <w:contextualSpacing/>
        <w:jc w:val="center"/>
        <w:rPr>
          <w:rFonts w:ascii="Palatino Linotype" w:hAnsi="Palatino Linotype"/>
          <w:b/>
          <w:bCs/>
          <w:color w:val="auto"/>
          <w:sz w:val="22"/>
          <w:szCs w:val="22"/>
        </w:rPr>
      </w:pPr>
      <w:bookmarkStart w:id="11" w:name="_Toc213337141"/>
      <w:bookmarkStart w:id="12" w:name="_Toc222412298"/>
      <w:r w:rsidRPr="00AC17E4">
        <w:rPr>
          <w:rFonts w:ascii="Palatino Linotype" w:hAnsi="Palatino Linotype"/>
          <w:b/>
          <w:bCs/>
          <w:color w:val="auto"/>
          <w:sz w:val="22"/>
          <w:szCs w:val="22"/>
        </w:rPr>
        <w:t>C O N S I D E R A N D O S</w:t>
      </w:r>
      <w:bookmarkEnd w:id="11"/>
      <w:bookmarkEnd w:id="12"/>
    </w:p>
    <w:p w14:paraId="01B28A40" w14:textId="77777777" w:rsidR="00A77860" w:rsidRPr="00AC17E4" w:rsidRDefault="00A77860" w:rsidP="005E13A5">
      <w:pPr>
        <w:spacing w:line="360" w:lineRule="auto"/>
        <w:contextualSpacing/>
      </w:pPr>
    </w:p>
    <w:p w14:paraId="396E575F" w14:textId="77777777" w:rsidR="00A77860" w:rsidRPr="00AC17E4" w:rsidRDefault="00A77860" w:rsidP="005E13A5">
      <w:pPr>
        <w:pStyle w:val="Ttulo2"/>
        <w:spacing w:before="0" w:after="0" w:line="360" w:lineRule="auto"/>
        <w:contextualSpacing/>
        <w:rPr>
          <w:rFonts w:ascii="Palatino Linotype" w:hAnsi="Palatino Linotype"/>
          <w:b/>
          <w:bCs/>
          <w:color w:val="auto"/>
          <w:sz w:val="22"/>
          <w:szCs w:val="22"/>
        </w:rPr>
      </w:pPr>
      <w:bookmarkStart w:id="13" w:name="_Toc213337142"/>
      <w:bookmarkStart w:id="14" w:name="_Toc222412299"/>
      <w:r w:rsidRPr="00AC17E4">
        <w:rPr>
          <w:rFonts w:ascii="Palatino Linotype" w:hAnsi="Palatino Linotype"/>
          <w:b/>
          <w:bCs/>
          <w:color w:val="auto"/>
          <w:sz w:val="22"/>
          <w:szCs w:val="22"/>
        </w:rPr>
        <w:t>PRIMERO. Competencia</w:t>
      </w:r>
      <w:bookmarkEnd w:id="13"/>
      <w:bookmarkEnd w:id="14"/>
    </w:p>
    <w:p w14:paraId="591AB21A" w14:textId="77777777" w:rsidR="00A77860" w:rsidRPr="00AC17E4" w:rsidRDefault="00A77860" w:rsidP="005E13A5">
      <w:pPr>
        <w:spacing w:line="360" w:lineRule="auto"/>
        <w:contextualSpacing/>
        <w:rPr>
          <w:rFonts w:eastAsia="Batang"/>
        </w:rPr>
      </w:pPr>
    </w:p>
    <w:p w14:paraId="702F7113" w14:textId="77777777" w:rsidR="00A77860" w:rsidRDefault="00A77860" w:rsidP="005E13A5">
      <w:pPr>
        <w:spacing w:line="360" w:lineRule="auto"/>
        <w:contextualSpacing/>
        <w:jc w:val="both"/>
        <w:rPr>
          <w:rFonts w:ascii="Palatino Linotype" w:eastAsia="Calibri" w:hAnsi="Palatino Linotype" w:cs="Tahoma"/>
          <w:bCs/>
          <w:color w:val="000000"/>
          <w:sz w:val="22"/>
          <w:szCs w:val="22"/>
          <w:lang w:eastAsia="es-ES_tradnl"/>
        </w:rPr>
      </w:pPr>
      <w:r w:rsidRPr="00B42D21">
        <w:rPr>
          <w:rFonts w:ascii="Palatino Linotype" w:eastAsia="Calibri" w:hAnsi="Palatino Linotype" w:cs="Tahoma"/>
          <w:bCs/>
          <w:color w:val="000000"/>
          <w:sz w:val="22"/>
          <w:szCs w:val="22"/>
          <w:lang w:eastAsia="es-ES_tradnl"/>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w:t>
      </w:r>
      <w:r w:rsidRPr="00B42D21">
        <w:rPr>
          <w:rFonts w:ascii="Palatino Linotype" w:eastAsia="Calibri" w:hAnsi="Palatino Linotype" w:cs="Tahoma"/>
          <w:bCs/>
          <w:color w:val="000000"/>
          <w:sz w:val="22"/>
          <w:szCs w:val="22"/>
          <w:lang w:eastAsia="es-ES_tradnl"/>
        </w:rPr>
        <w:lastRenderedPageBreak/>
        <w:t>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711D9BD" w14:textId="77777777" w:rsidR="00A77860" w:rsidRPr="00AC17E4" w:rsidRDefault="00A77860" w:rsidP="005E13A5">
      <w:pPr>
        <w:spacing w:line="360" w:lineRule="auto"/>
        <w:contextualSpacing/>
        <w:jc w:val="both"/>
        <w:rPr>
          <w:rFonts w:ascii="Palatino Linotype" w:eastAsia="Calibri" w:hAnsi="Palatino Linotype" w:cs="Tahoma"/>
          <w:bCs/>
          <w:color w:val="000000"/>
          <w:sz w:val="22"/>
          <w:szCs w:val="22"/>
          <w:lang w:eastAsia="es-ES_tradnl"/>
        </w:rPr>
      </w:pPr>
    </w:p>
    <w:p w14:paraId="32DB20F8" w14:textId="77777777" w:rsidR="00A77860" w:rsidRPr="00AC17E4" w:rsidRDefault="00A77860" w:rsidP="005E13A5">
      <w:pPr>
        <w:pStyle w:val="Ttulo2"/>
        <w:spacing w:before="0" w:after="0" w:line="360" w:lineRule="auto"/>
        <w:contextualSpacing/>
        <w:rPr>
          <w:rFonts w:ascii="Palatino Linotype" w:hAnsi="Palatino Linotype"/>
          <w:b/>
          <w:bCs/>
          <w:color w:val="auto"/>
          <w:sz w:val="22"/>
          <w:szCs w:val="22"/>
          <w:lang w:val="es-ES"/>
        </w:rPr>
      </w:pPr>
      <w:bookmarkStart w:id="15" w:name="_Toc213337143"/>
      <w:bookmarkStart w:id="16" w:name="_Toc222412300"/>
      <w:r w:rsidRPr="00AC17E4">
        <w:rPr>
          <w:rFonts w:ascii="Palatino Linotype" w:eastAsia="Calibri" w:hAnsi="Palatino Linotype"/>
          <w:b/>
          <w:bCs/>
          <w:color w:val="auto"/>
          <w:sz w:val="22"/>
          <w:szCs w:val="22"/>
          <w:lang w:val="es-ES"/>
        </w:rPr>
        <w:t xml:space="preserve">SEGUNDO. </w:t>
      </w:r>
      <w:r w:rsidRPr="00AC17E4">
        <w:rPr>
          <w:rFonts w:ascii="Palatino Linotype" w:hAnsi="Palatino Linotype"/>
          <w:b/>
          <w:bCs/>
          <w:color w:val="auto"/>
          <w:sz w:val="22"/>
          <w:szCs w:val="22"/>
          <w:lang w:val="es-ES"/>
        </w:rPr>
        <w:t>Causales de improcedencia y sobreseimiento</w:t>
      </w:r>
      <w:bookmarkEnd w:id="15"/>
      <w:bookmarkEnd w:id="16"/>
    </w:p>
    <w:p w14:paraId="1B8CA6DC" w14:textId="77777777" w:rsidR="00A77860" w:rsidRPr="00AC17E4" w:rsidRDefault="00A77860" w:rsidP="005E13A5">
      <w:pPr>
        <w:autoSpaceDE w:val="0"/>
        <w:autoSpaceDN w:val="0"/>
        <w:adjustRightInd w:val="0"/>
        <w:spacing w:line="360" w:lineRule="auto"/>
        <w:contextualSpacing/>
        <w:jc w:val="both"/>
        <w:rPr>
          <w:rFonts w:ascii="Palatino Linotype" w:hAnsi="Palatino Linotype" w:cs="Tahoma"/>
          <w:b/>
          <w:sz w:val="22"/>
          <w:szCs w:val="22"/>
          <w:lang w:val="es-ES"/>
        </w:rPr>
      </w:pPr>
    </w:p>
    <w:p w14:paraId="7DE9F473" w14:textId="77777777" w:rsidR="00A77860" w:rsidRPr="00AC17E4" w:rsidRDefault="00A77860" w:rsidP="005E13A5">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1353D844" w14:textId="77777777" w:rsidR="00A77860" w:rsidRPr="00AC17E4" w:rsidRDefault="00A77860" w:rsidP="005E13A5">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129C5F2E" w14:textId="77777777" w:rsidR="00A77860" w:rsidRPr="00AC17E4" w:rsidRDefault="00A77860" w:rsidP="005E13A5">
      <w:pPr>
        <w:spacing w:line="360" w:lineRule="auto"/>
        <w:contextualSpacing/>
        <w:jc w:val="both"/>
        <w:rPr>
          <w:rFonts w:ascii="Palatino Linotype" w:hAnsi="Palatino Linotype" w:cs="Tahoma"/>
          <w:sz w:val="22"/>
          <w:szCs w:val="22"/>
          <w:lang w:val="es-ES"/>
        </w:rPr>
      </w:pPr>
    </w:p>
    <w:p w14:paraId="13FC1D36" w14:textId="77777777" w:rsidR="00A77860" w:rsidRPr="00AC17E4" w:rsidRDefault="00A77860" w:rsidP="005E13A5">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9F96E9E" w14:textId="77777777" w:rsidR="00A77860" w:rsidRPr="00AC17E4" w:rsidRDefault="00A77860" w:rsidP="005E13A5">
      <w:pPr>
        <w:spacing w:line="360" w:lineRule="auto"/>
        <w:contextualSpacing/>
        <w:jc w:val="both"/>
        <w:rPr>
          <w:rFonts w:ascii="Palatino Linotype" w:hAnsi="Palatino Linotype" w:cs="Tahoma"/>
          <w:sz w:val="22"/>
          <w:szCs w:val="22"/>
          <w:lang w:val="es-ES"/>
        </w:rPr>
      </w:pPr>
    </w:p>
    <w:p w14:paraId="0115809D" w14:textId="77777777" w:rsidR="00A77860" w:rsidRPr="00AC17E4" w:rsidRDefault="00A77860" w:rsidP="005E13A5">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En el presente caso, no se actualiza ninguna de las causales de improcedencia establecidas en el ordenamiento jurídico previamente señalado, toda vez que: el recurso fue presentado </w:t>
      </w:r>
      <w:r w:rsidRPr="00AC17E4">
        <w:rPr>
          <w:rFonts w:ascii="Palatino Linotype" w:hAnsi="Palatino Linotype" w:cs="Tahoma"/>
          <w:sz w:val="22"/>
          <w:szCs w:val="22"/>
          <w:lang w:val="es-ES"/>
        </w:rPr>
        <w:lastRenderedPageBreak/>
        <w:t>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0F3B903" w14:textId="77777777" w:rsidR="00A77860" w:rsidRPr="00AC17E4" w:rsidRDefault="00A77860" w:rsidP="005E13A5">
      <w:pPr>
        <w:spacing w:line="360" w:lineRule="auto"/>
        <w:contextualSpacing/>
        <w:jc w:val="both"/>
        <w:rPr>
          <w:rFonts w:ascii="Palatino Linotype" w:hAnsi="Palatino Linotype" w:cs="Tahoma"/>
          <w:sz w:val="22"/>
          <w:szCs w:val="22"/>
          <w:lang w:val="es-ES"/>
        </w:rPr>
      </w:pPr>
    </w:p>
    <w:p w14:paraId="110D87DA" w14:textId="29991FB4" w:rsidR="00A77860" w:rsidRPr="00586FF7" w:rsidRDefault="00A77860" w:rsidP="005E13A5">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sidR="00A606C4">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w:t>
      </w:r>
      <w:r w:rsidRPr="00586FF7">
        <w:rPr>
          <w:rFonts w:ascii="Palatino Linotype" w:hAnsi="Palatino Linotype" w:cs="Tahoma"/>
          <w:sz w:val="22"/>
          <w:szCs w:val="22"/>
        </w:rPr>
        <w:t xml:space="preserve"> entrega de información </w:t>
      </w:r>
      <w:r w:rsidR="0000396F">
        <w:rPr>
          <w:rFonts w:ascii="Palatino Linotype" w:hAnsi="Palatino Linotype" w:cs="Tahoma"/>
          <w:sz w:val="22"/>
          <w:szCs w:val="22"/>
        </w:rPr>
        <w:t>incompleta.</w:t>
      </w:r>
    </w:p>
    <w:p w14:paraId="4F217A6B" w14:textId="77777777" w:rsidR="00A77860" w:rsidRPr="00AC17E4" w:rsidRDefault="00A77860" w:rsidP="005E13A5">
      <w:pPr>
        <w:spacing w:line="360" w:lineRule="auto"/>
        <w:contextualSpacing/>
        <w:jc w:val="both"/>
        <w:rPr>
          <w:rFonts w:ascii="Palatino Linotype" w:hAnsi="Palatino Linotype" w:cs="Tahoma"/>
          <w:sz w:val="22"/>
          <w:szCs w:val="22"/>
          <w:lang w:val="es-ES"/>
        </w:rPr>
      </w:pPr>
    </w:p>
    <w:p w14:paraId="52623040" w14:textId="77777777" w:rsidR="00A77860" w:rsidRPr="00AC17E4" w:rsidRDefault="00A77860" w:rsidP="005E13A5">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1BE1F373" w14:textId="77777777" w:rsidR="00A77860" w:rsidRPr="00AC17E4" w:rsidRDefault="00A77860" w:rsidP="005E13A5">
      <w:pPr>
        <w:spacing w:line="360" w:lineRule="auto"/>
        <w:contextualSpacing/>
        <w:jc w:val="both"/>
        <w:rPr>
          <w:rFonts w:ascii="Palatino Linotype" w:hAnsi="Palatino Linotype" w:cs="Tahoma"/>
          <w:sz w:val="22"/>
          <w:szCs w:val="22"/>
        </w:rPr>
      </w:pPr>
    </w:p>
    <w:p w14:paraId="46454158" w14:textId="77777777" w:rsidR="00A77860" w:rsidRPr="00AC17E4" w:rsidRDefault="00A77860" w:rsidP="005E13A5">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69E89A25" w14:textId="77777777" w:rsidR="00A77860" w:rsidRPr="00AC17E4" w:rsidRDefault="00A77860" w:rsidP="005E13A5">
      <w:pPr>
        <w:spacing w:line="360" w:lineRule="auto"/>
        <w:contextualSpacing/>
        <w:jc w:val="both"/>
        <w:rPr>
          <w:rFonts w:ascii="Palatino Linotype" w:hAnsi="Palatino Linotype" w:cs="Tahoma"/>
          <w:sz w:val="22"/>
          <w:szCs w:val="22"/>
        </w:rPr>
      </w:pPr>
    </w:p>
    <w:p w14:paraId="1B6E5ABB" w14:textId="77777777" w:rsidR="00A77860" w:rsidRPr="00AC17E4" w:rsidRDefault="00A77860" w:rsidP="005E13A5">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39B70E0" w14:textId="77777777" w:rsidR="00A77860" w:rsidRPr="00AC17E4" w:rsidRDefault="00A77860" w:rsidP="005E13A5">
      <w:pPr>
        <w:spacing w:line="360" w:lineRule="auto"/>
        <w:contextualSpacing/>
        <w:jc w:val="both"/>
        <w:rPr>
          <w:rFonts w:ascii="Palatino Linotype" w:hAnsi="Palatino Linotype" w:cs="Tahoma"/>
          <w:sz w:val="22"/>
          <w:szCs w:val="22"/>
        </w:rPr>
      </w:pPr>
    </w:p>
    <w:p w14:paraId="2D464361" w14:textId="77777777" w:rsidR="00A77860" w:rsidRDefault="00A77860" w:rsidP="005E13A5">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7B939968" w14:textId="77777777" w:rsidR="00A77860" w:rsidRDefault="00A77860" w:rsidP="005E13A5">
      <w:pPr>
        <w:tabs>
          <w:tab w:val="left" w:pos="4962"/>
        </w:tabs>
        <w:spacing w:line="360" w:lineRule="auto"/>
        <w:contextualSpacing/>
        <w:jc w:val="both"/>
        <w:rPr>
          <w:rFonts w:ascii="Palatino Linotype" w:hAnsi="Palatino Linotype" w:cs="Tahoma"/>
          <w:sz w:val="22"/>
          <w:szCs w:val="22"/>
          <w:lang w:val="es-ES"/>
        </w:rPr>
      </w:pPr>
    </w:p>
    <w:p w14:paraId="68711B52" w14:textId="77777777" w:rsidR="00A77860" w:rsidRPr="00591ED8" w:rsidRDefault="00A77860" w:rsidP="005E13A5">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7" w:name="_Toc203518780"/>
      <w:bookmarkStart w:id="18" w:name="_Toc213337144"/>
      <w:bookmarkStart w:id="19" w:name="_Toc222412301"/>
      <w:r w:rsidRPr="00591ED8">
        <w:rPr>
          <w:rFonts w:ascii="Palatino Linotype" w:eastAsia="Calibri" w:hAnsi="Palatino Linotype"/>
          <w:b/>
          <w:bCs/>
          <w:color w:val="auto"/>
          <w:sz w:val="22"/>
          <w:szCs w:val="22"/>
          <w:lang w:val="es-ES" w:eastAsia="es-ES_tradnl"/>
        </w:rPr>
        <w:lastRenderedPageBreak/>
        <w:t>TERCERO. Determinación de la Controversia</w:t>
      </w:r>
      <w:bookmarkEnd w:id="17"/>
      <w:bookmarkEnd w:id="18"/>
      <w:bookmarkEnd w:id="19"/>
    </w:p>
    <w:p w14:paraId="56321266" w14:textId="77777777" w:rsidR="00A77860" w:rsidRPr="00591ED8" w:rsidRDefault="00A77860" w:rsidP="005E13A5">
      <w:pPr>
        <w:spacing w:line="360" w:lineRule="auto"/>
        <w:contextualSpacing/>
        <w:jc w:val="both"/>
        <w:rPr>
          <w:rFonts w:ascii="Palatino Linotype" w:hAnsi="Palatino Linotype" w:cs="Tahoma"/>
          <w:sz w:val="22"/>
          <w:szCs w:val="22"/>
          <w:lang w:val="es-ES"/>
        </w:rPr>
      </w:pPr>
    </w:p>
    <w:p w14:paraId="5FD9CB75" w14:textId="7261F9FB" w:rsidR="00A77860" w:rsidRDefault="00A77860" w:rsidP="005E13A5">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 xml:space="preserve">requirió </w:t>
      </w:r>
      <w:r w:rsidR="00A606C4">
        <w:rPr>
          <w:rFonts w:ascii="Palatino Linotype" w:hAnsi="Palatino Linotype" w:cs="Tahoma"/>
          <w:sz w:val="22"/>
          <w:szCs w:val="22"/>
        </w:rPr>
        <w:t xml:space="preserve">todas las facturas pagadas y en proceso de pago por un valor mayor a un millón de pesos, generadas del primero de enero al diez de noviembre </w:t>
      </w:r>
      <w:r>
        <w:rPr>
          <w:rFonts w:ascii="Palatino Linotype" w:hAnsi="Palatino Linotype" w:cs="Tahoma"/>
          <w:sz w:val="22"/>
          <w:szCs w:val="22"/>
        </w:rPr>
        <w:t>de dos mil veinticinco</w:t>
      </w:r>
      <w:r w:rsidR="00A606C4">
        <w:rPr>
          <w:rFonts w:ascii="Palatino Linotype" w:hAnsi="Palatino Linotype" w:cs="Tahoma"/>
          <w:sz w:val="22"/>
          <w:szCs w:val="22"/>
        </w:rPr>
        <w:t>.</w:t>
      </w:r>
    </w:p>
    <w:p w14:paraId="415F2B02" w14:textId="77777777" w:rsidR="00A77860" w:rsidRPr="009F5E7F" w:rsidRDefault="00A77860" w:rsidP="005E13A5">
      <w:pPr>
        <w:pStyle w:val="Prrafodelista"/>
        <w:spacing w:line="360" w:lineRule="auto"/>
        <w:jc w:val="both"/>
        <w:rPr>
          <w:rFonts w:ascii="Palatino Linotype" w:hAnsi="Palatino Linotype" w:cs="Tahoma"/>
          <w:sz w:val="22"/>
          <w:szCs w:val="22"/>
        </w:rPr>
      </w:pPr>
    </w:p>
    <w:p w14:paraId="7B01CDF4" w14:textId="6C57A6AB" w:rsidR="00A77860" w:rsidRDefault="00A77860" w:rsidP="005E13A5">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En respuesta, el Sujeto Obligado</w:t>
      </w:r>
      <w:r>
        <w:rPr>
          <w:rFonts w:ascii="Palatino Linotype" w:hAnsi="Palatino Linotype"/>
          <w:color w:val="000000"/>
          <w:sz w:val="22"/>
          <w:szCs w:val="22"/>
        </w:rPr>
        <w:t>,</w:t>
      </w:r>
      <w:r w:rsidR="00A606C4">
        <w:rPr>
          <w:rFonts w:ascii="Palatino Linotype" w:hAnsi="Palatino Linotype"/>
          <w:color w:val="000000"/>
          <w:sz w:val="22"/>
          <w:szCs w:val="22"/>
        </w:rPr>
        <w:t xml:space="preserve"> a través de la Subdirección de Finanzas señaló que después de realizar una búsqueda exhaustiva y razonable en sus archivos había identificado </w:t>
      </w:r>
      <w:r w:rsidR="007B45D8">
        <w:rPr>
          <w:rFonts w:ascii="Palatino Linotype" w:hAnsi="Palatino Linotype"/>
          <w:color w:val="000000"/>
          <w:sz w:val="22"/>
          <w:szCs w:val="22"/>
        </w:rPr>
        <w:t>un total de ciento veintidós fojas que daban cuenta de la información solicitada, las cuales se anexaban en versión pública, por lo que hace al proceso de pago era competencia de la Secretaría de Finanzas</w:t>
      </w:r>
      <w:r w:rsidRPr="00E56C68">
        <w:rPr>
          <w:rFonts w:ascii="Palatino Linotype" w:hAnsi="Palatino Linotype" w:cs="Tahoma"/>
          <w:sz w:val="22"/>
          <w:szCs w:val="22"/>
        </w:rPr>
        <w:t>;</w:t>
      </w:r>
      <w:r w:rsidRPr="00E56C68">
        <w:rPr>
          <w:rFonts w:ascii="Palatino Linotype" w:hAnsi="Palatino Linotype"/>
          <w:sz w:val="22"/>
          <w:szCs w:val="22"/>
        </w:rPr>
        <w:t xml:space="preserve"> </w:t>
      </w:r>
      <w:r w:rsidR="0000396F">
        <w:rPr>
          <w:rFonts w:ascii="Palatino Linotype" w:hAnsi="Palatino Linotype"/>
          <w:sz w:val="22"/>
          <w:szCs w:val="22"/>
        </w:rPr>
        <w:t>a</w:t>
      </w:r>
      <w:proofErr w:type="spellStart"/>
      <w:r w:rsidRPr="00E56C68">
        <w:rPr>
          <w:rFonts w:ascii="Palatino Linotype" w:hAnsi="Palatino Linotype" w:cs="Tahoma"/>
          <w:sz w:val="22"/>
          <w:szCs w:val="22"/>
          <w:lang w:val="es-ES"/>
        </w:rPr>
        <w:t>nte</w:t>
      </w:r>
      <w:proofErr w:type="spellEnd"/>
      <w:r w:rsidRPr="00E56C68">
        <w:rPr>
          <w:rFonts w:ascii="Palatino Linotype" w:hAnsi="Palatino Linotype" w:cs="Tahoma"/>
          <w:sz w:val="22"/>
          <w:szCs w:val="22"/>
          <w:lang w:val="es-ES"/>
        </w:rPr>
        <w:t xml:space="preserve"> dicha circunstancia, el Particular se inconformó</w:t>
      </w:r>
      <w:r>
        <w:rPr>
          <w:rFonts w:ascii="Palatino Linotype" w:hAnsi="Palatino Linotype" w:cs="Tahoma"/>
          <w:sz w:val="22"/>
          <w:szCs w:val="22"/>
          <w:lang w:val="es-ES"/>
        </w:rPr>
        <w:t xml:space="preserve"> de la </w:t>
      </w:r>
      <w:r w:rsidRPr="00586FF7">
        <w:rPr>
          <w:rFonts w:ascii="Palatino Linotype" w:hAnsi="Palatino Linotype" w:cs="Tahoma"/>
          <w:sz w:val="22"/>
          <w:szCs w:val="22"/>
        </w:rPr>
        <w:t xml:space="preserve">entrega de información </w:t>
      </w:r>
      <w:r w:rsidR="0000396F">
        <w:rPr>
          <w:rFonts w:ascii="Palatino Linotype" w:hAnsi="Palatino Linotype" w:cs="Tahoma"/>
          <w:sz w:val="22"/>
          <w:szCs w:val="22"/>
        </w:rPr>
        <w:t>incompleta</w:t>
      </w:r>
      <w:r>
        <w:rPr>
          <w:rFonts w:ascii="Palatino Linotype" w:hAnsi="Palatino Linotype" w:cs="Tahoma"/>
          <w:sz w:val="22"/>
          <w:szCs w:val="22"/>
          <w:lang w:val="es-ES"/>
        </w:rPr>
        <w:t xml:space="preserve">, </w:t>
      </w:r>
      <w:r w:rsidR="007B45D8">
        <w:rPr>
          <w:rFonts w:ascii="Palatino Linotype" w:hAnsi="Palatino Linotype" w:cs="Tahoma"/>
          <w:sz w:val="22"/>
          <w:szCs w:val="22"/>
          <w:lang w:val="es-ES"/>
        </w:rPr>
        <w:t xml:space="preserve">al indicar que no le habían proporcionado los documentos señalados en respuesta, además de </w:t>
      </w:r>
      <w:r w:rsidR="00CA65F7">
        <w:rPr>
          <w:rFonts w:ascii="Palatino Linotype" w:hAnsi="Palatino Linotype" w:cs="Tahoma"/>
          <w:sz w:val="22"/>
          <w:szCs w:val="22"/>
          <w:lang w:val="es-ES"/>
        </w:rPr>
        <w:t xml:space="preserve">aquellas facturas que dieran cuenta de las obras pagadas,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p>
    <w:p w14:paraId="0F470EDE" w14:textId="77777777" w:rsidR="00A77860" w:rsidRDefault="00A77860" w:rsidP="005E13A5">
      <w:pPr>
        <w:spacing w:line="360" w:lineRule="auto"/>
        <w:contextualSpacing/>
        <w:jc w:val="both"/>
        <w:rPr>
          <w:rFonts w:ascii="Palatino Linotype" w:hAnsi="Palatino Linotype"/>
          <w:color w:val="0D0D0D"/>
          <w:sz w:val="22"/>
          <w:szCs w:val="22"/>
        </w:rPr>
      </w:pPr>
    </w:p>
    <w:p w14:paraId="34120CA0" w14:textId="36328A3C" w:rsidR="00A77860" w:rsidRDefault="00A77860" w:rsidP="005E13A5">
      <w:pPr>
        <w:spacing w:line="360" w:lineRule="auto"/>
        <w:contextualSpacing/>
        <w:jc w:val="both"/>
        <w:rPr>
          <w:rFonts w:ascii="Palatino Linotype" w:eastAsia="Calibri" w:hAnsi="Palatino Linotype" w:cs="Tahoma"/>
          <w:sz w:val="22"/>
          <w:szCs w:val="22"/>
        </w:rPr>
      </w:pP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proporcionó</w:t>
      </w:r>
      <w:r w:rsidR="007B45D8">
        <w:rPr>
          <w:rFonts w:ascii="Palatino Linotype" w:eastAsia="Calibri" w:hAnsi="Palatino Linotype" w:cs="Tahoma"/>
          <w:sz w:val="22"/>
          <w:szCs w:val="22"/>
        </w:rPr>
        <w:t xml:space="preserve"> diversas facturas con valor a un millón de pesos, generadas durante el ejercicio fiscal dos mil veinticinco</w:t>
      </w:r>
      <w:r>
        <w:rPr>
          <w:rFonts w:ascii="Palatino Linotype" w:eastAsia="Calibri" w:hAnsi="Palatino Linotype" w:cs="Tahoma"/>
          <w:sz w:val="22"/>
          <w:szCs w:val="22"/>
        </w:rPr>
        <w:t>.</w:t>
      </w:r>
      <w:r w:rsidR="00CA65F7">
        <w:rPr>
          <w:rFonts w:ascii="Palatino Linotype" w:eastAsia="Calibri" w:hAnsi="Palatino Linotype" w:cs="Tahoma"/>
          <w:sz w:val="22"/>
          <w:szCs w:val="22"/>
        </w:rPr>
        <w:t xml:space="preserve"> Por su parte el Recurrente indicó que las facturas que obran en poder del Sujeto Obligado son pagadas o en proceso de pago debido a que no existe otro estatus.</w:t>
      </w:r>
    </w:p>
    <w:p w14:paraId="7FAA935E" w14:textId="77777777" w:rsidR="008465A6" w:rsidRDefault="008465A6" w:rsidP="005E13A5">
      <w:pPr>
        <w:spacing w:line="360" w:lineRule="auto"/>
        <w:contextualSpacing/>
        <w:jc w:val="both"/>
        <w:rPr>
          <w:rFonts w:ascii="Palatino Linotype" w:eastAsia="Calibri" w:hAnsi="Palatino Linotype" w:cs="Tahoma"/>
          <w:sz w:val="22"/>
          <w:szCs w:val="22"/>
        </w:rPr>
      </w:pPr>
    </w:p>
    <w:p w14:paraId="071F53C7" w14:textId="7040240C" w:rsidR="008465A6" w:rsidRPr="00FE5EA6" w:rsidRDefault="008465A6" w:rsidP="005E13A5">
      <w:pPr>
        <w:autoSpaceDE w:val="0"/>
        <w:autoSpaceDN w:val="0"/>
        <w:adjustRightInd w:val="0"/>
        <w:spacing w:line="360" w:lineRule="auto"/>
        <w:contextualSpacing/>
        <w:jc w:val="both"/>
        <w:rPr>
          <w:rFonts w:ascii="Palatino Linotype" w:eastAsia="Calibri" w:hAnsi="Palatino Linotype" w:cs="Tahoma"/>
          <w:color w:val="000000"/>
          <w:sz w:val="22"/>
          <w:szCs w:val="22"/>
        </w:rPr>
      </w:pPr>
      <w:r w:rsidRPr="00FE5EA6">
        <w:rPr>
          <w:rFonts w:ascii="Palatino Linotype" w:eastAsia="Calibri" w:hAnsi="Palatino Linotype" w:cs="Tahoma"/>
          <w:color w:val="000000"/>
          <w:sz w:val="22"/>
          <w:szCs w:val="22"/>
        </w:rPr>
        <w:t>Conforme a lo anterior, se logra vislumbrar que el ahora Recurrente no se agravió de</w:t>
      </w:r>
      <w:r>
        <w:rPr>
          <w:rFonts w:ascii="Palatino Linotype" w:eastAsia="Calibri" w:hAnsi="Palatino Linotype" w:cs="Tahoma"/>
          <w:color w:val="000000"/>
          <w:sz w:val="22"/>
          <w:szCs w:val="22"/>
        </w:rPr>
        <w:t xml:space="preserve"> los ciento veintidós documentos que daban cuenta de las facturas señaladas en respuesta</w:t>
      </w:r>
      <w:r w:rsidRPr="00FE5EA6">
        <w:rPr>
          <w:rFonts w:ascii="Palatino Linotype" w:eastAsia="Calibri" w:hAnsi="Palatino Linotype" w:cs="Tahoma"/>
          <w:color w:val="000000"/>
          <w:sz w:val="22"/>
          <w:szCs w:val="22"/>
        </w:rPr>
        <w:t>,</w:t>
      </w:r>
      <w:r w:rsidR="00CA4E98">
        <w:rPr>
          <w:rFonts w:ascii="Palatino Linotype" w:eastAsia="Calibri" w:hAnsi="Palatino Linotype" w:cs="Tahoma"/>
          <w:color w:val="000000"/>
          <w:sz w:val="22"/>
          <w:szCs w:val="22"/>
        </w:rPr>
        <w:t xml:space="preserve"> así </w:t>
      </w:r>
      <w:r w:rsidR="00CA4E98">
        <w:rPr>
          <w:rFonts w:ascii="Palatino Linotype" w:eastAsia="Calibri" w:hAnsi="Palatino Linotype" w:cs="Tahoma"/>
          <w:color w:val="000000"/>
          <w:sz w:val="22"/>
          <w:szCs w:val="22"/>
        </w:rPr>
        <w:lastRenderedPageBreak/>
        <w:t xml:space="preserve">como de la incompetencia para pronunciarse sobre el pago de las mismas, </w:t>
      </w:r>
      <w:r w:rsidRPr="00FE5EA6">
        <w:rPr>
          <w:rFonts w:ascii="Palatino Linotype" w:eastAsia="Calibri" w:hAnsi="Palatino Linotype" w:cs="Tahoma"/>
          <w:color w:val="000000"/>
          <w:sz w:val="22"/>
          <w:szCs w:val="22"/>
        </w:rPr>
        <w:t xml:space="preserve">sino porque </w:t>
      </w:r>
      <w:r>
        <w:rPr>
          <w:rFonts w:ascii="Palatino Linotype" w:eastAsia="Calibri" w:hAnsi="Palatino Linotype" w:cs="Tahoma"/>
          <w:color w:val="000000"/>
          <w:sz w:val="22"/>
          <w:szCs w:val="22"/>
        </w:rPr>
        <w:t>no le habían proporcionado los documentos que dieran cuenta de lo solicitado</w:t>
      </w:r>
      <w:r w:rsidRPr="00FE5EA6">
        <w:rPr>
          <w:rFonts w:ascii="Palatino Linotype" w:eastAsia="Calibri" w:hAnsi="Palatino Linotype" w:cs="Tahoma"/>
          <w:color w:val="000000"/>
          <w:sz w:val="22"/>
          <w:szCs w:val="22"/>
        </w:rPr>
        <w:t xml:space="preserve">;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FE5EA6">
        <w:rPr>
          <w:rFonts w:ascii="Palatino Linotype" w:eastAsia="Calibri" w:hAnsi="Palatino Linotype" w:cs="Tahoma"/>
          <w:b/>
          <w:color w:val="000000"/>
          <w:sz w:val="22"/>
          <w:szCs w:val="22"/>
        </w:rPr>
        <w:t>los actos que se hayan consentido tácitamente,</w:t>
      </w:r>
      <w:r w:rsidRPr="00FE5EA6">
        <w:rPr>
          <w:rFonts w:ascii="Palatino Linotype" w:eastAsia="Calibri" w:hAnsi="Palatino Linotype" w:cs="Tahoma"/>
          <w:color w:val="000000"/>
          <w:sz w:val="22"/>
          <w:szCs w:val="22"/>
        </w:rPr>
        <w:t xml:space="preserve"> entendiéndose por estos cuando el agravio no se haya promovido en el plazo señalado para el efecto.</w:t>
      </w:r>
    </w:p>
    <w:p w14:paraId="57DDB935" w14:textId="77777777" w:rsidR="008465A6" w:rsidRPr="00FE5EA6" w:rsidRDefault="008465A6" w:rsidP="005E13A5">
      <w:pPr>
        <w:autoSpaceDE w:val="0"/>
        <w:autoSpaceDN w:val="0"/>
        <w:adjustRightInd w:val="0"/>
        <w:spacing w:line="360" w:lineRule="auto"/>
        <w:contextualSpacing/>
        <w:jc w:val="both"/>
        <w:rPr>
          <w:rFonts w:ascii="Palatino Linotype" w:eastAsia="Calibri" w:hAnsi="Palatino Linotype" w:cs="Tahoma"/>
          <w:color w:val="000000"/>
          <w:sz w:val="22"/>
          <w:szCs w:val="22"/>
        </w:rPr>
      </w:pPr>
      <w:r w:rsidRPr="00FE5EA6">
        <w:rPr>
          <w:rFonts w:ascii="Palatino Linotype" w:eastAsia="Calibri" w:hAnsi="Palatino Linotype" w:cs="Tahoma"/>
          <w:color w:val="000000"/>
          <w:sz w:val="22"/>
          <w:szCs w:val="22"/>
        </w:rPr>
        <w:t xml:space="preserve"> </w:t>
      </w:r>
    </w:p>
    <w:p w14:paraId="7016FDC4" w14:textId="77777777" w:rsidR="008465A6" w:rsidRPr="00FE5EA6" w:rsidRDefault="008465A6" w:rsidP="005E13A5">
      <w:pPr>
        <w:autoSpaceDE w:val="0"/>
        <w:autoSpaceDN w:val="0"/>
        <w:adjustRightInd w:val="0"/>
        <w:spacing w:line="360" w:lineRule="auto"/>
        <w:contextualSpacing/>
        <w:jc w:val="both"/>
        <w:rPr>
          <w:rFonts w:ascii="Palatino Linotype" w:eastAsia="Calibri" w:hAnsi="Palatino Linotype" w:cs="Tahoma"/>
          <w:color w:val="000000"/>
          <w:sz w:val="22"/>
          <w:szCs w:val="22"/>
        </w:rPr>
      </w:pPr>
      <w:r w:rsidRPr="00FE5EA6">
        <w:rPr>
          <w:rFonts w:ascii="Palatino Linotype" w:eastAsia="Calibri" w:hAnsi="Palatino Linotype" w:cs="Tahoma"/>
          <w:color w:val="000000"/>
          <w:sz w:val="22"/>
          <w:szCs w:val="22"/>
        </w:rPr>
        <w:t xml:space="preserve">De la misma manera resulta aplicable el criterio sostenido por el Poder Judicial de la Federación de rubro </w:t>
      </w:r>
      <w:r w:rsidRPr="00FE5EA6">
        <w:rPr>
          <w:rFonts w:ascii="Palatino Linotype" w:eastAsia="Calibri" w:hAnsi="Palatino Linotype" w:cs="Tahoma"/>
          <w:b/>
          <w:color w:val="000000"/>
          <w:sz w:val="22"/>
          <w:szCs w:val="22"/>
        </w:rPr>
        <w:t>ACTOS CONSENTIDOS TÁCITAMENTE</w:t>
      </w:r>
      <w:r w:rsidRPr="00FE5EA6">
        <w:rPr>
          <w:rFonts w:ascii="Palatino Linotype" w:eastAsia="Calibri" w:hAnsi="Palatino Linotype" w:cs="Tahoma"/>
          <w:color w:val="000000"/>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D124E66" w14:textId="77777777" w:rsidR="008465A6" w:rsidRPr="00FE5EA6" w:rsidRDefault="008465A6" w:rsidP="005E13A5">
      <w:pPr>
        <w:autoSpaceDE w:val="0"/>
        <w:autoSpaceDN w:val="0"/>
        <w:adjustRightInd w:val="0"/>
        <w:spacing w:line="360" w:lineRule="auto"/>
        <w:contextualSpacing/>
        <w:jc w:val="both"/>
        <w:rPr>
          <w:rFonts w:ascii="Palatino Linotype" w:eastAsia="Calibri" w:hAnsi="Palatino Linotype" w:cs="Tahoma"/>
          <w:color w:val="000000"/>
          <w:sz w:val="22"/>
          <w:szCs w:val="22"/>
        </w:rPr>
      </w:pPr>
      <w:r w:rsidRPr="00FE5EA6">
        <w:rPr>
          <w:rFonts w:ascii="Palatino Linotype" w:eastAsia="Calibri" w:hAnsi="Palatino Linotype" w:cs="Tahoma"/>
          <w:color w:val="000000"/>
          <w:sz w:val="22"/>
          <w:szCs w:val="22"/>
        </w:rPr>
        <w:t xml:space="preserve"> </w:t>
      </w:r>
    </w:p>
    <w:p w14:paraId="02568530" w14:textId="77777777" w:rsidR="008465A6" w:rsidRPr="00FE5EA6" w:rsidRDefault="008465A6" w:rsidP="005E13A5">
      <w:pPr>
        <w:autoSpaceDE w:val="0"/>
        <w:autoSpaceDN w:val="0"/>
        <w:adjustRightInd w:val="0"/>
        <w:spacing w:line="360" w:lineRule="auto"/>
        <w:contextualSpacing/>
        <w:jc w:val="both"/>
        <w:rPr>
          <w:rFonts w:ascii="Palatino Linotype" w:eastAsia="Calibri" w:hAnsi="Palatino Linotype" w:cs="Tahoma"/>
          <w:color w:val="000000"/>
          <w:sz w:val="22"/>
          <w:szCs w:val="22"/>
        </w:rPr>
      </w:pPr>
      <w:r w:rsidRPr="00FE5EA6">
        <w:rPr>
          <w:rFonts w:ascii="Palatino Linotype" w:eastAsia="Calibri" w:hAnsi="Palatino Linotype" w:cs="Tahoma"/>
          <w:color w:val="000000"/>
          <w:sz w:val="22"/>
          <w:szCs w:val="22"/>
        </w:rPr>
        <w:t xml:space="preserve">Por lo cual,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4C4025A7" w14:textId="77777777" w:rsidR="008465A6" w:rsidRPr="00FE5EA6" w:rsidRDefault="008465A6" w:rsidP="005E13A5">
      <w:pPr>
        <w:autoSpaceDE w:val="0"/>
        <w:autoSpaceDN w:val="0"/>
        <w:adjustRightInd w:val="0"/>
        <w:spacing w:line="360" w:lineRule="auto"/>
        <w:contextualSpacing/>
        <w:jc w:val="both"/>
        <w:rPr>
          <w:rFonts w:ascii="Palatino Linotype" w:eastAsia="Calibri" w:hAnsi="Palatino Linotype" w:cs="Tahoma"/>
          <w:color w:val="000000"/>
          <w:sz w:val="22"/>
          <w:szCs w:val="22"/>
        </w:rPr>
      </w:pPr>
      <w:r w:rsidRPr="00FE5EA6">
        <w:rPr>
          <w:rFonts w:ascii="Palatino Linotype" w:eastAsia="Calibri" w:hAnsi="Palatino Linotype" w:cs="Tahoma"/>
          <w:color w:val="000000"/>
          <w:sz w:val="22"/>
          <w:szCs w:val="22"/>
        </w:rPr>
        <w:t xml:space="preserve"> </w:t>
      </w:r>
    </w:p>
    <w:p w14:paraId="4F0ED572" w14:textId="2F764EEA" w:rsidR="008465A6" w:rsidRPr="008465A6" w:rsidRDefault="008465A6" w:rsidP="005E13A5">
      <w:pPr>
        <w:autoSpaceDE w:val="0"/>
        <w:autoSpaceDN w:val="0"/>
        <w:adjustRightInd w:val="0"/>
        <w:spacing w:line="360" w:lineRule="auto"/>
        <w:contextualSpacing/>
        <w:jc w:val="both"/>
        <w:rPr>
          <w:rFonts w:ascii="Palatino Linotype" w:eastAsia="Calibri" w:hAnsi="Palatino Linotype" w:cs="Tahoma"/>
          <w:sz w:val="22"/>
          <w:szCs w:val="22"/>
        </w:rPr>
      </w:pPr>
      <w:r w:rsidRPr="00FE5EA6">
        <w:rPr>
          <w:rFonts w:ascii="Palatino Linotype" w:eastAsia="Calibri" w:hAnsi="Palatino Linotype" w:cs="Tahoma"/>
          <w:color w:val="000000"/>
          <w:sz w:val="22"/>
          <w:szCs w:val="22"/>
        </w:rPr>
        <w:t xml:space="preserve">Asimismo, resulta relevante traer a colación el Criterio de Interpretación SO/001/2020, emitido por el Instituto Nacional de Transparencia, Acceso a la Información y Protección de Datos Personales, el cual establece que es improcedente entrar al análisis de las partes de la </w:t>
      </w:r>
      <w:r w:rsidRPr="00FE5EA6">
        <w:rPr>
          <w:rFonts w:ascii="Palatino Linotype" w:eastAsia="Calibri" w:hAnsi="Palatino Linotype" w:cs="Tahoma"/>
          <w:color w:val="000000"/>
          <w:sz w:val="22"/>
          <w:szCs w:val="22"/>
        </w:rPr>
        <w:lastRenderedPageBreak/>
        <w:t>respuesta del Sujeto Obligado que no fueron impugnadas por la parte Recurrente; por lo que, en el presente caso, se tiene por consentida la</w:t>
      </w:r>
      <w:r>
        <w:rPr>
          <w:rFonts w:ascii="Palatino Linotype" w:eastAsia="Calibri" w:hAnsi="Palatino Linotype" w:cs="Tahoma"/>
          <w:color w:val="000000"/>
          <w:sz w:val="22"/>
          <w:szCs w:val="22"/>
        </w:rPr>
        <w:t xml:space="preserve"> cantidad señalada</w:t>
      </w:r>
      <w:r w:rsidRPr="00FE5EA6">
        <w:rPr>
          <w:rFonts w:ascii="Palatino Linotype" w:eastAsia="Calibri" w:hAnsi="Palatino Linotype" w:cs="Tahoma"/>
          <w:color w:val="000000"/>
          <w:sz w:val="22"/>
          <w:szCs w:val="22"/>
        </w:rPr>
        <w:t xml:space="preserve"> </w:t>
      </w:r>
      <w:r>
        <w:rPr>
          <w:rFonts w:ascii="Palatino Linotype" w:eastAsia="Calibri" w:hAnsi="Palatino Linotype" w:cs="Tahoma"/>
          <w:color w:val="000000"/>
          <w:sz w:val="22"/>
          <w:szCs w:val="22"/>
        </w:rPr>
        <w:t xml:space="preserve">en respuesta </w:t>
      </w:r>
      <w:r w:rsidRPr="00FE5EA6">
        <w:rPr>
          <w:rFonts w:ascii="Palatino Linotype" w:eastAsia="Calibri" w:hAnsi="Palatino Linotype" w:cs="Tahoma"/>
          <w:color w:val="000000"/>
          <w:sz w:val="22"/>
          <w:szCs w:val="22"/>
        </w:rPr>
        <w:t>por el Sujeto Obligado, por lo que, únicamente se analiza</w:t>
      </w:r>
      <w:r>
        <w:rPr>
          <w:rFonts w:ascii="Palatino Linotype" w:eastAsia="Calibri" w:hAnsi="Palatino Linotype" w:cs="Tahoma"/>
          <w:color w:val="000000"/>
          <w:sz w:val="22"/>
          <w:szCs w:val="22"/>
        </w:rPr>
        <w:t>rá lo referente a la falta de los documentos señalados</w:t>
      </w:r>
      <w:r w:rsidRPr="00FE5EA6">
        <w:rPr>
          <w:rFonts w:ascii="Palatino Linotype" w:eastAsia="Calibri" w:hAnsi="Palatino Linotype" w:cs="Tahoma"/>
          <w:color w:val="000000"/>
          <w:sz w:val="22"/>
          <w:szCs w:val="22"/>
        </w:rPr>
        <w:t>.</w:t>
      </w:r>
    </w:p>
    <w:p w14:paraId="337B35E2" w14:textId="77777777" w:rsidR="00A77860" w:rsidRDefault="00A77860" w:rsidP="005E13A5">
      <w:pPr>
        <w:spacing w:line="360" w:lineRule="auto"/>
        <w:contextualSpacing/>
        <w:jc w:val="both"/>
        <w:rPr>
          <w:rFonts w:ascii="Palatino Linotype" w:eastAsia="Calibri" w:hAnsi="Palatino Linotype" w:cs="Tahoma"/>
          <w:iCs/>
          <w:sz w:val="22"/>
          <w:szCs w:val="22"/>
          <w:lang w:val="es-ES" w:eastAsia="es-ES_tradnl"/>
        </w:rPr>
      </w:pPr>
    </w:p>
    <w:p w14:paraId="18CEFE30" w14:textId="523BF250" w:rsidR="00A77860" w:rsidRPr="005979FE" w:rsidRDefault="00A77860" w:rsidP="005E13A5">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p>
    <w:p w14:paraId="57FA3E2B" w14:textId="77777777" w:rsidR="00A77860" w:rsidRPr="00B71E3E" w:rsidRDefault="00A77860" w:rsidP="005E13A5">
      <w:pPr>
        <w:spacing w:line="360" w:lineRule="auto"/>
        <w:contextualSpacing/>
        <w:jc w:val="both"/>
        <w:rPr>
          <w:rFonts w:ascii="Palatino Linotype" w:hAnsi="Palatino Linotype"/>
          <w:color w:val="000000"/>
          <w:sz w:val="22"/>
          <w:szCs w:val="22"/>
          <w:lang w:eastAsia="es-ES_tradnl"/>
        </w:rPr>
      </w:pPr>
    </w:p>
    <w:p w14:paraId="362FE372" w14:textId="77777777" w:rsidR="00A77860" w:rsidRPr="00903CC5" w:rsidRDefault="00A77860" w:rsidP="005E13A5">
      <w:pPr>
        <w:pStyle w:val="Ttulo2"/>
        <w:spacing w:before="0" w:after="0" w:line="360" w:lineRule="auto"/>
        <w:contextualSpacing/>
        <w:jc w:val="both"/>
        <w:rPr>
          <w:rFonts w:ascii="Palatino Linotype" w:hAnsi="Palatino Linotype"/>
          <w:b/>
          <w:bCs/>
          <w:color w:val="auto"/>
          <w:sz w:val="22"/>
          <w:szCs w:val="22"/>
        </w:rPr>
      </w:pPr>
      <w:bookmarkStart w:id="20" w:name="_Toc199369391"/>
      <w:bookmarkStart w:id="21" w:name="_Toc203518781"/>
      <w:bookmarkStart w:id="22" w:name="_Toc213337145"/>
      <w:bookmarkStart w:id="23" w:name="_Toc222412302"/>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20"/>
      <w:bookmarkEnd w:id="21"/>
      <w:bookmarkEnd w:id="22"/>
      <w:bookmarkEnd w:id="23"/>
    </w:p>
    <w:p w14:paraId="66354E80" w14:textId="77777777" w:rsidR="00A77860" w:rsidRPr="00B71E3E" w:rsidRDefault="00A77860" w:rsidP="005E13A5">
      <w:pPr>
        <w:widowControl w:val="0"/>
        <w:spacing w:line="360" w:lineRule="auto"/>
        <w:contextualSpacing/>
        <w:jc w:val="both"/>
        <w:rPr>
          <w:rFonts w:ascii="Palatino Linotype" w:hAnsi="Palatino Linotype" w:cs="Tahoma"/>
          <w:sz w:val="22"/>
          <w:szCs w:val="22"/>
        </w:rPr>
      </w:pPr>
    </w:p>
    <w:p w14:paraId="26116649" w14:textId="77777777" w:rsidR="00A77860" w:rsidRPr="00B71E3E" w:rsidRDefault="00A77860" w:rsidP="005E13A5">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48DB393" w14:textId="77777777" w:rsidR="00A77860" w:rsidRPr="00B71E3E" w:rsidRDefault="00A77860" w:rsidP="005E13A5">
      <w:pPr>
        <w:widowControl w:val="0"/>
        <w:spacing w:line="360" w:lineRule="auto"/>
        <w:contextualSpacing/>
        <w:jc w:val="both"/>
        <w:rPr>
          <w:rFonts w:ascii="Palatino Linotype" w:hAnsi="Palatino Linotype" w:cs="Tahoma"/>
          <w:sz w:val="22"/>
          <w:szCs w:val="22"/>
        </w:rPr>
      </w:pPr>
    </w:p>
    <w:p w14:paraId="4B2EB298" w14:textId="77777777" w:rsidR="00A77860" w:rsidRPr="00B71E3E" w:rsidRDefault="00A77860" w:rsidP="005E13A5">
      <w:pPr>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98640CB" w14:textId="77777777" w:rsidR="00A77860" w:rsidRPr="00B71E3E" w:rsidRDefault="00A77860" w:rsidP="005E13A5">
      <w:pPr>
        <w:widowControl w:val="0"/>
        <w:spacing w:line="360" w:lineRule="auto"/>
        <w:contextualSpacing/>
        <w:jc w:val="both"/>
        <w:rPr>
          <w:rFonts w:ascii="Palatino Linotype" w:hAnsi="Palatino Linotype" w:cs="Tahoma"/>
          <w:sz w:val="22"/>
          <w:szCs w:val="22"/>
        </w:rPr>
      </w:pPr>
    </w:p>
    <w:p w14:paraId="0E7081D8" w14:textId="77777777" w:rsidR="00A77860" w:rsidRPr="00B71E3E" w:rsidRDefault="00A77860" w:rsidP="005E13A5">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0D31E3A2" w14:textId="77777777" w:rsidR="00A77860" w:rsidRPr="00B71E3E" w:rsidRDefault="00A77860" w:rsidP="005E13A5">
      <w:pPr>
        <w:widowControl w:val="0"/>
        <w:spacing w:line="360" w:lineRule="auto"/>
        <w:contextualSpacing/>
        <w:jc w:val="both"/>
        <w:rPr>
          <w:rFonts w:ascii="Palatino Linotype" w:hAnsi="Palatino Linotype" w:cs="Tahoma"/>
          <w:sz w:val="22"/>
          <w:szCs w:val="22"/>
        </w:rPr>
      </w:pPr>
    </w:p>
    <w:p w14:paraId="4DF67F1D" w14:textId="77777777" w:rsidR="00A77860" w:rsidRPr="00B71E3E" w:rsidRDefault="00A77860" w:rsidP="005E13A5">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12, que, quienes generen, recopilen, administren, manejen, procesen, archiven o conserven información pública serán responsables de la misma.</w:t>
      </w:r>
    </w:p>
    <w:p w14:paraId="04775D65" w14:textId="77777777" w:rsidR="00A77860" w:rsidRPr="00B71E3E" w:rsidRDefault="00A77860" w:rsidP="005E13A5">
      <w:pPr>
        <w:widowControl w:val="0"/>
        <w:spacing w:line="360" w:lineRule="auto"/>
        <w:contextualSpacing/>
        <w:jc w:val="both"/>
        <w:rPr>
          <w:rFonts w:ascii="Palatino Linotype" w:hAnsi="Palatino Linotype" w:cs="Tahoma"/>
          <w:sz w:val="22"/>
          <w:szCs w:val="22"/>
        </w:rPr>
      </w:pPr>
    </w:p>
    <w:p w14:paraId="7246A7B5" w14:textId="77777777" w:rsidR="00A77860" w:rsidRPr="00B71E3E" w:rsidRDefault="00A77860" w:rsidP="005E13A5">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B9CB78D" w14:textId="77777777" w:rsidR="00A77860" w:rsidRPr="00B71E3E" w:rsidRDefault="00A77860" w:rsidP="005E13A5">
      <w:pPr>
        <w:widowControl w:val="0"/>
        <w:spacing w:line="360" w:lineRule="auto"/>
        <w:contextualSpacing/>
        <w:jc w:val="both"/>
        <w:rPr>
          <w:rFonts w:ascii="Palatino Linotype" w:hAnsi="Palatino Linotype" w:cs="Tahoma"/>
          <w:sz w:val="22"/>
          <w:szCs w:val="22"/>
        </w:rPr>
      </w:pPr>
    </w:p>
    <w:p w14:paraId="663A6C2B" w14:textId="77777777" w:rsidR="00A77860" w:rsidRDefault="00A77860" w:rsidP="005E13A5">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88B8694" w14:textId="77777777" w:rsidR="008465A6" w:rsidRDefault="008465A6" w:rsidP="005E13A5">
      <w:pPr>
        <w:widowControl w:val="0"/>
        <w:spacing w:line="360" w:lineRule="auto"/>
        <w:contextualSpacing/>
        <w:jc w:val="both"/>
        <w:rPr>
          <w:rFonts w:ascii="Palatino Linotype" w:hAnsi="Palatino Linotype" w:cs="Tahoma"/>
          <w:sz w:val="22"/>
          <w:szCs w:val="22"/>
        </w:rPr>
      </w:pPr>
    </w:p>
    <w:p w14:paraId="0B02F140" w14:textId="09172395" w:rsidR="008465A6" w:rsidRDefault="008465A6" w:rsidP="005E13A5">
      <w:pPr>
        <w:widowControl w:val="0"/>
        <w:spacing w:line="360" w:lineRule="auto"/>
        <w:contextualSpacing/>
        <w:jc w:val="both"/>
        <w:rPr>
          <w:rFonts w:ascii="Palatino Linotype" w:hAnsi="Palatino Linotype" w:cs="Tahoma"/>
          <w:sz w:val="22"/>
          <w:szCs w:val="22"/>
        </w:rPr>
      </w:pPr>
      <w:r>
        <w:rPr>
          <w:rFonts w:ascii="Palatino Linotype" w:hAnsi="Palatino Linotype"/>
          <w:sz w:val="22"/>
          <w:szCs w:val="22"/>
        </w:rPr>
        <w:t xml:space="preserve">El </w:t>
      </w:r>
      <w:r w:rsidRPr="003C4218">
        <w:rPr>
          <w:rFonts w:ascii="Palatino Linotype" w:hAnsi="Palatino Linotype"/>
          <w:sz w:val="22"/>
          <w:szCs w:val="22"/>
        </w:rPr>
        <w:t>artículo 92 fracción XXV de la Ley de Transparencia y Acceso a la Información Pública del Estado de México y Municipios, establece que la información financiera sobre el presupuesto asignado</w:t>
      </w:r>
      <w:r>
        <w:rPr>
          <w:rFonts w:ascii="Palatino Linotype" w:hAnsi="Palatino Linotype"/>
          <w:sz w:val="22"/>
          <w:szCs w:val="22"/>
        </w:rPr>
        <w:t>.</w:t>
      </w:r>
    </w:p>
    <w:p w14:paraId="6A54A68E" w14:textId="77777777" w:rsidR="00A77860" w:rsidRPr="00004DA0" w:rsidRDefault="00A77860" w:rsidP="005E13A5">
      <w:pPr>
        <w:widowControl w:val="0"/>
        <w:spacing w:line="360" w:lineRule="auto"/>
        <w:contextualSpacing/>
        <w:jc w:val="both"/>
        <w:rPr>
          <w:rFonts w:ascii="Palatino Linotype" w:hAnsi="Palatino Linotype" w:cs="Tahoma"/>
          <w:sz w:val="22"/>
          <w:szCs w:val="22"/>
        </w:rPr>
      </w:pPr>
    </w:p>
    <w:p w14:paraId="4C8675DE" w14:textId="77777777" w:rsidR="00A77860" w:rsidRPr="00903CC5" w:rsidRDefault="00A77860" w:rsidP="005E13A5">
      <w:pPr>
        <w:pStyle w:val="Ttulo2"/>
        <w:spacing w:before="0" w:after="0" w:line="360" w:lineRule="auto"/>
        <w:contextualSpacing/>
        <w:rPr>
          <w:rFonts w:ascii="Palatino Linotype" w:hAnsi="Palatino Linotype"/>
          <w:b/>
          <w:bCs/>
          <w:color w:val="auto"/>
          <w:sz w:val="22"/>
          <w:szCs w:val="22"/>
          <w:lang w:val="es-ES"/>
        </w:rPr>
      </w:pPr>
      <w:bookmarkStart w:id="24" w:name="_Toc199369392"/>
      <w:bookmarkStart w:id="25" w:name="_Toc203518782"/>
      <w:bookmarkStart w:id="26" w:name="_Toc213337146"/>
      <w:bookmarkStart w:id="27" w:name="_Toc222412303"/>
      <w:r w:rsidRPr="00903CC5">
        <w:rPr>
          <w:rFonts w:ascii="Palatino Linotype" w:hAnsi="Palatino Linotype"/>
          <w:b/>
          <w:bCs/>
          <w:color w:val="auto"/>
          <w:sz w:val="22"/>
          <w:szCs w:val="22"/>
          <w:lang w:val="es-ES"/>
        </w:rPr>
        <w:t>QUINTO. Estudio de Fondo</w:t>
      </w:r>
      <w:bookmarkEnd w:id="24"/>
      <w:bookmarkEnd w:id="25"/>
      <w:bookmarkEnd w:id="26"/>
      <w:bookmarkEnd w:id="27"/>
    </w:p>
    <w:p w14:paraId="5D64AF25" w14:textId="77777777" w:rsidR="00A77860" w:rsidRPr="00B71E3E" w:rsidRDefault="00A77860" w:rsidP="005E13A5">
      <w:pPr>
        <w:spacing w:line="360" w:lineRule="auto"/>
        <w:contextualSpacing/>
        <w:jc w:val="both"/>
        <w:rPr>
          <w:rFonts w:ascii="Palatino Linotype" w:hAnsi="Palatino Linotype" w:cs="Tahoma"/>
          <w:b/>
          <w:sz w:val="22"/>
          <w:szCs w:val="22"/>
          <w:lang w:val="es-ES"/>
        </w:rPr>
      </w:pPr>
    </w:p>
    <w:p w14:paraId="7AA0150D" w14:textId="110FBBD0" w:rsidR="00A77860" w:rsidRDefault="00A77860" w:rsidP="0000396F">
      <w:pPr>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Expuestas las posturas de las partes, se procede a realizar el análisis del agravio hecho valer por el ahora Recurrente, concerniente a la </w:t>
      </w:r>
      <w:r w:rsidRPr="00586FF7">
        <w:rPr>
          <w:rFonts w:ascii="Palatino Linotype" w:hAnsi="Palatino Linotype" w:cs="Tahoma"/>
          <w:sz w:val="22"/>
          <w:szCs w:val="22"/>
        </w:rPr>
        <w:t xml:space="preserve">entrega </w:t>
      </w:r>
      <w:r w:rsidR="00F01DCA">
        <w:rPr>
          <w:rFonts w:ascii="Palatino Linotype" w:hAnsi="Palatino Linotype" w:cs="Tahoma"/>
          <w:sz w:val="22"/>
          <w:szCs w:val="22"/>
        </w:rPr>
        <w:t>de información incompleta</w:t>
      </w:r>
      <w:r w:rsidRPr="0032544D">
        <w:rPr>
          <w:rFonts w:ascii="Palatino Linotype" w:hAnsi="Palatino Linotype" w:cs="Tahoma"/>
          <w:bCs/>
          <w:iCs/>
          <w:sz w:val="22"/>
          <w:szCs w:val="22"/>
        </w:rPr>
        <w:t>, por lo que en principio resulta necesario contextualizar la solicitud de información</w:t>
      </w:r>
      <w:r>
        <w:rPr>
          <w:rFonts w:ascii="Palatino Linotype" w:hAnsi="Palatino Linotype" w:cs="Tahoma"/>
          <w:bCs/>
          <w:iCs/>
          <w:sz w:val="22"/>
          <w:szCs w:val="22"/>
        </w:rPr>
        <w:t xml:space="preserve">, relacionada con </w:t>
      </w:r>
      <w:r w:rsidR="00CA65F7">
        <w:rPr>
          <w:rFonts w:ascii="Palatino Linotype" w:hAnsi="Palatino Linotype" w:cs="Tahoma"/>
          <w:bCs/>
          <w:iCs/>
          <w:sz w:val="22"/>
          <w:szCs w:val="22"/>
        </w:rPr>
        <w:t>las facturas pagadas y en proceso de pago</w:t>
      </w:r>
      <w:r w:rsidRPr="0032544D">
        <w:rPr>
          <w:rFonts w:ascii="Palatino Linotype" w:hAnsi="Palatino Linotype" w:cs="Tahoma"/>
          <w:bCs/>
          <w:iCs/>
          <w:sz w:val="22"/>
          <w:szCs w:val="22"/>
        </w:rPr>
        <w:t>.</w:t>
      </w:r>
    </w:p>
    <w:p w14:paraId="6A54822A" w14:textId="77777777" w:rsidR="00A77860" w:rsidRDefault="00A77860" w:rsidP="005E13A5">
      <w:pPr>
        <w:widowControl w:val="0"/>
        <w:spacing w:line="360" w:lineRule="auto"/>
        <w:contextualSpacing/>
        <w:jc w:val="both"/>
        <w:rPr>
          <w:rFonts w:ascii="Palatino Linotype" w:hAnsi="Palatino Linotype" w:cs="Tahoma"/>
          <w:bCs/>
          <w:iCs/>
          <w:sz w:val="22"/>
          <w:szCs w:val="22"/>
        </w:rPr>
      </w:pPr>
    </w:p>
    <w:p w14:paraId="0ACE71B0" w14:textId="77777777" w:rsidR="002856AC" w:rsidRPr="008A6BEE" w:rsidRDefault="002856AC" w:rsidP="005E13A5">
      <w:pPr>
        <w:spacing w:line="360" w:lineRule="auto"/>
        <w:contextualSpacing/>
        <w:jc w:val="both"/>
        <w:rPr>
          <w:rFonts w:ascii="Palatino Linotype" w:hAnsi="Palatino Linotype"/>
          <w:b/>
          <w:color w:val="0D0D0D"/>
          <w:sz w:val="22"/>
          <w:szCs w:val="22"/>
        </w:rPr>
      </w:pPr>
      <w:r w:rsidRPr="008A6BEE">
        <w:rPr>
          <w:rFonts w:ascii="Palatino Linotype" w:hAnsi="Palatino Linotype"/>
          <w:bCs/>
          <w:color w:val="0D0D0D"/>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vigente a la fecha de la solicitud y 4° de la </w:t>
      </w:r>
      <w:r w:rsidRPr="008A6BEE">
        <w:rPr>
          <w:rFonts w:ascii="Palatino Linotype" w:hAnsi="Palatino Linotype"/>
          <w:color w:val="0D0D0D"/>
          <w:sz w:val="22"/>
          <w:szCs w:val="22"/>
        </w:rPr>
        <w:t xml:space="preserve">Ley </w:t>
      </w:r>
      <w:r w:rsidRPr="008A6BEE">
        <w:rPr>
          <w:rFonts w:ascii="Palatino Linotype" w:hAnsi="Palatino Linotype"/>
          <w:bCs/>
          <w:color w:val="0D0D0D"/>
          <w:sz w:val="22"/>
          <w:szCs w:val="22"/>
        </w:rPr>
        <w:t xml:space="preserve">de Transparencia y Acceso a la Información Pública del Estado de México y Municipios, </w:t>
      </w:r>
      <w:r w:rsidRPr="008A6BEE">
        <w:rPr>
          <w:rFonts w:ascii="Palatino Linotype" w:hAnsi="Palatino Linotype"/>
          <w:b/>
          <w:color w:val="0D0D0D"/>
          <w:sz w:val="22"/>
          <w:szCs w:val="22"/>
        </w:rPr>
        <w:t>toda la información generada, obtenida, adquirida, transformada o en posesión de los sujetos obligados es pública y accesible a cualquier persona.</w:t>
      </w:r>
    </w:p>
    <w:p w14:paraId="2CEC1999" w14:textId="77777777" w:rsidR="002856AC" w:rsidRPr="008A6BEE" w:rsidRDefault="002856AC" w:rsidP="005E13A5">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789EBFF2" w14:textId="77777777" w:rsidR="002856AC" w:rsidRDefault="002856AC" w:rsidP="005E13A5">
      <w:pPr>
        <w:spacing w:line="360" w:lineRule="auto"/>
        <w:contextualSpacing/>
        <w:jc w:val="both"/>
        <w:rPr>
          <w:rFonts w:ascii="Palatino Linotype" w:hAnsi="Palatino Linotype"/>
          <w:color w:val="0D0D0D"/>
          <w:sz w:val="22"/>
          <w:szCs w:val="22"/>
        </w:rPr>
      </w:pPr>
      <w:r w:rsidRPr="008A6BEE">
        <w:rPr>
          <w:rFonts w:ascii="Palatino Linotype" w:hAnsi="Palatino Linotype"/>
          <w:color w:val="0D0D0D"/>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7D369E0C" w14:textId="77777777" w:rsidR="002856AC" w:rsidRPr="008A6BEE" w:rsidRDefault="002856AC" w:rsidP="005E13A5">
      <w:pPr>
        <w:spacing w:line="360" w:lineRule="auto"/>
        <w:contextualSpacing/>
        <w:jc w:val="both"/>
        <w:rPr>
          <w:rFonts w:ascii="Palatino Linotype" w:hAnsi="Palatino Linotype"/>
          <w:color w:val="0D0D0D"/>
          <w:sz w:val="22"/>
          <w:szCs w:val="22"/>
        </w:rPr>
      </w:pPr>
    </w:p>
    <w:p w14:paraId="335A2B5F" w14:textId="77777777" w:rsidR="002856AC" w:rsidRPr="008A6BEE" w:rsidRDefault="002856AC" w:rsidP="005E13A5">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253E9C7A" w14:textId="77777777" w:rsidR="002856AC" w:rsidRPr="008A6BEE" w:rsidRDefault="002856AC" w:rsidP="005E13A5">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6E05BA4D" w14:textId="77777777" w:rsidR="002856AC" w:rsidRPr="008A6BEE" w:rsidRDefault="002856AC" w:rsidP="005E13A5">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6CC90ED6" w14:textId="77777777" w:rsidR="002856AC" w:rsidRPr="008A6BEE" w:rsidRDefault="002856AC" w:rsidP="005E13A5">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784B131C" w14:textId="77777777" w:rsidR="002856AC" w:rsidRPr="008A6BEE" w:rsidRDefault="002856AC" w:rsidP="005E13A5">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lastRenderedPageBreak/>
        <w:t xml:space="preserve">En ese contexto, los diversos 12 y 24 de dicho ordenamiento jurídico, prevén que, </w:t>
      </w:r>
      <w:r w:rsidRPr="008A6BEE">
        <w:rPr>
          <w:rFonts w:ascii="Palatino Linotype" w:hAnsi="Palatino Linotype"/>
          <w:color w:val="0D0D0D"/>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8A6BEE">
        <w:rPr>
          <w:rFonts w:ascii="Palatino Linotype" w:hAnsi="Palatino Linotype"/>
          <w:bCs/>
          <w:color w:val="0D0D0D"/>
          <w:sz w:val="22"/>
          <w:szCs w:val="22"/>
        </w:rPr>
        <w:t>.</w:t>
      </w:r>
    </w:p>
    <w:p w14:paraId="7329249C" w14:textId="77777777" w:rsidR="002856AC" w:rsidRDefault="002856AC" w:rsidP="005E13A5">
      <w:pPr>
        <w:spacing w:line="360" w:lineRule="auto"/>
        <w:contextualSpacing/>
        <w:jc w:val="both"/>
        <w:rPr>
          <w:rFonts w:ascii="Palatino Linotype" w:hAnsi="Palatino Linotype" w:cs="Tahoma"/>
          <w:bCs/>
          <w:iCs/>
          <w:color w:val="000000"/>
          <w:sz w:val="22"/>
          <w:szCs w:val="22"/>
          <w:lang w:val="es-ES"/>
        </w:rPr>
      </w:pPr>
    </w:p>
    <w:p w14:paraId="0C6E763A" w14:textId="0C502FAC" w:rsidR="002856AC" w:rsidRPr="003C4218" w:rsidRDefault="002856AC" w:rsidP="005E13A5">
      <w:pPr>
        <w:spacing w:line="360" w:lineRule="auto"/>
        <w:contextualSpacing/>
        <w:jc w:val="both"/>
        <w:rPr>
          <w:rFonts w:ascii="Palatino Linotype" w:eastAsia="Calibri" w:hAnsi="Palatino Linotype" w:cs="Tahoma"/>
          <w:sz w:val="22"/>
          <w:szCs w:val="22"/>
        </w:rPr>
      </w:pPr>
      <w:r w:rsidRPr="006462A8">
        <w:rPr>
          <w:rFonts w:ascii="Palatino Linotype" w:hAnsi="Palatino Linotype"/>
          <w:bCs/>
          <w:sz w:val="22"/>
          <w:szCs w:val="22"/>
        </w:rPr>
        <w:t xml:space="preserve">Ahora bien, </w:t>
      </w:r>
      <w:r w:rsidRPr="003C4218">
        <w:rPr>
          <w:rFonts w:ascii="Palatino Linotype" w:eastAsia="Calibri" w:hAnsi="Palatino Linotype" w:cs="Tahoma"/>
          <w:sz w:val="22"/>
          <w:szCs w:val="22"/>
        </w:rPr>
        <w:t>resulta necesario traer a colación, la Resolución Miscelánea Fiscal,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04BA44CC" w14:textId="77777777" w:rsidR="002856AC" w:rsidRPr="003C4218" w:rsidRDefault="002856AC" w:rsidP="005E13A5">
      <w:pPr>
        <w:spacing w:line="360" w:lineRule="auto"/>
        <w:contextualSpacing/>
        <w:jc w:val="both"/>
        <w:rPr>
          <w:rFonts w:ascii="Palatino Linotype" w:eastAsia="Calibri" w:hAnsi="Palatino Linotype" w:cs="Tahoma"/>
          <w:sz w:val="22"/>
          <w:szCs w:val="22"/>
        </w:rPr>
      </w:pPr>
    </w:p>
    <w:p w14:paraId="47ACC91A" w14:textId="1E8E49C4" w:rsidR="002856AC" w:rsidRPr="002856AC" w:rsidRDefault="002856AC" w:rsidP="005E13A5">
      <w:pPr>
        <w:widowControl w:val="0"/>
        <w:spacing w:line="360" w:lineRule="auto"/>
        <w:contextualSpacing/>
        <w:jc w:val="both"/>
        <w:rPr>
          <w:rFonts w:ascii="Palatino Linotype" w:hAnsi="Palatino Linotype" w:cs="Tahoma"/>
          <w:bCs/>
          <w:iCs/>
          <w:sz w:val="22"/>
          <w:szCs w:val="22"/>
        </w:rPr>
      </w:pPr>
      <w:r w:rsidRPr="002856AC">
        <w:rPr>
          <w:rFonts w:ascii="Palatino Linotype" w:hAnsi="Palatino Linotype" w:cs="Tahoma"/>
          <w:bCs/>
          <w:iCs/>
          <w:sz w:val="22"/>
          <w:szCs w:val="22"/>
        </w:rPr>
        <w:t>Conforme a lo anterior, se logra advertir que la pretensión del ahora Recurrente es obt</w:t>
      </w:r>
      <w:r>
        <w:rPr>
          <w:rFonts w:ascii="Palatino Linotype" w:hAnsi="Palatino Linotype" w:cs="Tahoma"/>
          <w:bCs/>
          <w:iCs/>
          <w:sz w:val="22"/>
          <w:szCs w:val="22"/>
        </w:rPr>
        <w:t>e</w:t>
      </w:r>
      <w:r w:rsidRPr="002856AC">
        <w:rPr>
          <w:rFonts w:ascii="Palatino Linotype" w:hAnsi="Palatino Linotype" w:cs="Tahoma"/>
          <w:bCs/>
          <w:iCs/>
          <w:sz w:val="22"/>
          <w:szCs w:val="22"/>
        </w:rPr>
        <w:t>ner las facturas pagadas</w:t>
      </w:r>
      <w:r>
        <w:rPr>
          <w:rFonts w:ascii="Palatino Linotype" w:hAnsi="Palatino Linotype" w:cs="Tahoma"/>
          <w:bCs/>
          <w:iCs/>
          <w:sz w:val="22"/>
          <w:szCs w:val="22"/>
        </w:rPr>
        <w:t xml:space="preserve"> y pendientes por pagar</w:t>
      </w:r>
      <w:r w:rsidR="0000396F">
        <w:rPr>
          <w:rFonts w:ascii="Palatino Linotype" w:hAnsi="Palatino Linotype" w:cs="Tahoma"/>
          <w:bCs/>
          <w:iCs/>
          <w:sz w:val="22"/>
          <w:szCs w:val="22"/>
        </w:rPr>
        <w:t xml:space="preserve">, por un </w:t>
      </w:r>
      <w:proofErr w:type="spellStart"/>
      <w:r w:rsidR="0000396F">
        <w:rPr>
          <w:rFonts w:ascii="Palatino Linotype" w:hAnsi="Palatino Linotype" w:cs="Tahoma"/>
          <w:bCs/>
          <w:iCs/>
          <w:sz w:val="22"/>
          <w:szCs w:val="22"/>
        </w:rPr>
        <w:t>motno</w:t>
      </w:r>
      <w:proofErr w:type="spellEnd"/>
      <w:r w:rsidR="0000396F">
        <w:rPr>
          <w:rFonts w:ascii="Palatino Linotype" w:hAnsi="Palatino Linotype" w:cs="Tahoma"/>
          <w:bCs/>
          <w:iCs/>
          <w:sz w:val="22"/>
          <w:szCs w:val="22"/>
        </w:rPr>
        <w:t xml:space="preserve"> mayor a un millón de pesos, </w:t>
      </w:r>
      <w:r w:rsidRPr="002856AC">
        <w:rPr>
          <w:rFonts w:ascii="Palatino Linotype" w:hAnsi="Palatino Linotype" w:cs="Tahoma"/>
          <w:bCs/>
          <w:iCs/>
          <w:sz w:val="22"/>
          <w:szCs w:val="22"/>
        </w:rPr>
        <w:t xml:space="preserve">del </w:t>
      </w:r>
      <w:r>
        <w:rPr>
          <w:rFonts w:ascii="Palatino Linotype" w:hAnsi="Palatino Linotype" w:cs="Tahoma"/>
          <w:bCs/>
          <w:iCs/>
          <w:sz w:val="22"/>
          <w:szCs w:val="22"/>
        </w:rPr>
        <w:t xml:space="preserve">primero de enero </w:t>
      </w:r>
      <w:r w:rsidRPr="002856AC">
        <w:rPr>
          <w:rFonts w:ascii="Palatino Linotype" w:hAnsi="Palatino Linotype" w:cs="Tahoma"/>
          <w:bCs/>
          <w:iCs/>
          <w:sz w:val="22"/>
          <w:szCs w:val="22"/>
        </w:rPr>
        <w:t xml:space="preserve">al </w:t>
      </w:r>
      <w:r>
        <w:rPr>
          <w:rFonts w:ascii="Palatino Linotype" w:hAnsi="Palatino Linotype" w:cs="Tahoma"/>
          <w:bCs/>
          <w:iCs/>
          <w:sz w:val="22"/>
          <w:szCs w:val="22"/>
        </w:rPr>
        <w:t xml:space="preserve">diez de noviembre </w:t>
      </w:r>
      <w:r w:rsidRPr="002856AC">
        <w:rPr>
          <w:rFonts w:ascii="Palatino Linotype" w:hAnsi="Palatino Linotype" w:cs="Tahoma"/>
          <w:bCs/>
          <w:iCs/>
          <w:sz w:val="22"/>
          <w:szCs w:val="22"/>
        </w:rPr>
        <w:t xml:space="preserve">de </w:t>
      </w:r>
      <w:r>
        <w:rPr>
          <w:rFonts w:ascii="Palatino Linotype" w:hAnsi="Palatino Linotype" w:cs="Tahoma"/>
          <w:bCs/>
          <w:iCs/>
          <w:sz w:val="22"/>
          <w:szCs w:val="22"/>
        </w:rPr>
        <w:t>dos mil veinticinco</w:t>
      </w:r>
      <w:r w:rsidRPr="002856AC">
        <w:rPr>
          <w:rFonts w:ascii="Palatino Linotype" w:hAnsi="Palatino Linotype" w:cs="Tahoma"/>
          <w:bCs/>
          <w:iCs/>
          <w:sz w:val="22"/>
          <w:szCs w:val="22"/>
        </w:rPr>
        <w:t>.</w:t>
      </w:r>
    </w:p>
    <w:p w14:paraId="7E32A340" w14:textId="77777777" w:rsidR="00A77860" w:rsidRDefault="00A77860" w:rsidP="005E13A5">
      <w:pPr>
        <w:widowControl w:val="0"/>
        <w:spacing w:line="360" w:lineRule="auto"/>
        <w:contextualSpacing/>
        <w:jc w:val="both"/>
        <w:rPr>
          <w:rFonts w:ascii="Palatino Linotype" w:eastAsia="Palatino Linotype" w:hAnsi="Palatino Linotype" w:cs="Palatino Linotype"/>
          <w:sz w:val="22"/>
          <w:szCs w:val="22"/>
        </w:rPr>
      </w:pPr>
    </w:p>
    <w:p w14:paraId="77ADCBAD" w14:textId="09229D58" w:rsidR="00A77860" w:rsidRDefault="00A77860" w:rsidP="005E13A5">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Ahora bien, de las constancias que obran en el expediente, se logra vislumbrar que el Sujeto Obligado turnó la solicitud de información a la</w:t>
      </w:r>
      <w:r w:rsidR="008465A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Dirección General de Vialidad</w:t>
      </w:r>
      <w:r w:rsidR="008465A6">
        <w:rPr>
          <w:rFonts w:ascii="Palatino Linotype" w:eastAsia="Palatino Linotype" w:hAnsi="Palatino Linotype" w:cs="Palatino Linotype"/>
          <w:sz w:val="22"/>
          <w:szCs w:val="22"/>
        </w:rPr>
        <w:t xml:space="preserve"> y Subdirección de Finanzas</w:t>
      </w:r>
      <w:r>
        <w:rPr>
          <w:rFonts w:ascii="Palatino Linotype" w:eastAsia="Palatino Linotype" w:hAnsi="Palatino Linotype" w:cs="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616BAEBF" w14:textId="77777777" w:rsidR="00A77860" w:rsidRDefault="00A77860" w:rsidP="005E13A5">
      <w:pPr>
        <w:widowControl w:val="0"/>
        <w:spacing w:line="360" w:lineRule="auto"/>
        <w:contextualSpacing/>
        <w:jc w:val="both"/>
        <w:rPr>
          <w:rFonts w:ascii="Palatino Linotype" w:hAnsi="Palatino Linotype" w:cs="Tahoma"/>
          <w:bCs/>
          <w:iCs/>
          <w:sz w:val="22"/>
          <w:szCs w:val="22"/>
          <w:lang w:val="es-ES"/>
        </w:rPr>
      </w:pPr>
    </w:p>
    <w:p w14:paraId="7B1BBBCF" w14:textId="2824C6D3" w:rsidR="00A77860" w:rsidRDefault="00A77860" w:rsidP="005E13A5">
      <w:pPr>
        <w:tabs>
          <w:tab w:val="left" w:pos="4962"/>
        </w:tabs>
        <w:spacing w:line="360" w:lineRule="auto"/>
        <w:contextualSpacing/>
        <w:jc w:val="both"/>
        <w:rPr>
          <w:rFonts w:ascii="Palatino Linotype" w:hAnsi="Palatino Linotype"/>
          <w:bCs/>
          <w:sz w:val="22"/>
          <w:szCs w:val="22"/>
        </w:rPr>
      </w:pPr>
      <w:r>
        <w:rPr>
          <w:rFonts w:ascii="Palatino Linotype" w:hAnsi="Palatino Linotype"/>
          <w:bCs/>
          <w:sz w:val="22"/>
          <w:szCs w:val="22"/>
        </w:rPr>
        <w:t xml:space="preserve">En este contexto, resulta oportuno traer a estudio los numerales, </w:t>
      </w:r>
      <w:r w:rsidRPr="009202BD">
        <w:rPr>
          <w:rFonts w:ascii="Palatino Linotype" w:hAnsi="Palatino Linotype"/>
          <w:bCs/>
          <w:sz w:val="22"/>
          <w:szCs w:val="22"/>
        </w:rPr>
        <w:t>22000001000000L</w:t>
      </w:r>
      <w:r>
        <w:rPr>
          <w:rFonts w:ascii="Palatino Linotype" w:hAnsi="Palatino Linotype"/>
          <w:bCs/>
          <w:sz w:val="22"/>
          <w:szCs w:val="22"/>
        </w:rPr>
        <w:t xml:space="preserve"> y </w:t>
      </w:r>
      <w:r w:rsidRPr="00D93F1B">
        <w:rPr>
          <w:rFonts w:ascii="Palatino Linotype" w:hAnsi="Palatino Linotype"/>
          <w:bCs/>
          <w:sz w:val="22"/>
          <w:szCs w:val="22"/>
        </w:rPr>
        <w:t>22000012000000S</w:t>
      </w:r>
      <w:r>
        <w:rPr>
          <w:rFonts w:ascii="Palatino Linotype" w:hAnsi="Palatino Linotype"/>
          <w:bCs/>
          <w:sz w:val="22"/>
          <w:szCs w:val="22"/>
        </w:rPr>
        <w:t xml:space="preserve"> del Manual General de Organización de la Secretaría de Movilidad, en el cual se establece, que el Sujeto Obligado para el ejercicio de sus atribuciones, contará con diversas unidades administrativas entre otras las siguientes:</w:t>
      </w:r>
    </w:p>
    <w:p w14:paraId="442C4F25" w14:textId="77777777" w:rsidR="00A77860" w:rsidRPr="00891ACB" w:rsidRDefault="00A77860" w:rsidP="005E13A5">
      <w:pPr>
        <w:spacing w:line="360" w:lineRule="auto"/>
        <w:contextualSpacing/>
        <w:jc w:val="both"/>
        <w:rPr>
          <w:rFonts w:ascii="Palatino Linotype" w:eastAsia="Palatino Linotype" w:hAnsi="Palatino Linotype" w:cs="Palatino Linotype"/>
          <w:bCs/>
          <w:iCs/>
          <w:color w:val="000000"/>
          <w:sz w:val="22"/>
          <w:szCs w:val="22"/>
        </w:rPr>
      </w:pPr>
    </w:p>
    <w:p w14:paraId="5CF1E07E" w14:textId="77777777" w:rsidR="00206A1F" w:rsidRPr="00206A1F" w:rsidRDefault="00A77860" w:rsidP="005E13A5">
      <w:pPr>
        <w:pStyle w:val="Prrafodelista"/>
        <w:numPr>
          <w:ilvl w:val="0"/>
          <w:numId w:val="23"/>
        </w:numPr>
        <w:spacing w:line="360" w:lineRule="auto"/>
        <w:jc w:val="both"/>
        <w:rPr>
          <w:rFonts w:ascii="Palatino Linotype" w:eastAsia="Palatino Linotype" w:hAnsi="Palatino Linotype" w:cs="Palatino Linotype"/>
          <w:b/>
          <w:bCs/>
          <w:sz w:val="22"/>
          <w:szCs w:val="22"/>
        </w:rPr>
      </w:pPr>
      <w:r w:rsidRPr="00206A1F">
        <w:rPr>
          <w:rFonts w:ascii="Palatino Linotype" w:eastAsia="Palatino Linotype" w:hAnsi="Palatino Linotype" w:cs="Palatino Linotype"/>
          <w:b/>
          <w:bCs/>
          <w:sz w:val="22"/>
          <w:szCs w:val="22"/>
        </w:rPr>
        <w:t>Coordinación Administrativa:</w:t>
      </w:r>
      <w:r w:rsidRPr="00206A1F">
        <w:rPr>
          <w:rFonts w:ascii="Palatino Linotype" w:eastAsia="Palatino Linotype" w:hAnsi="Palatino Linotype" w:cs="Palatino Linotype"/>
          <w:sz w:val="22"/>
          <w:szCs w:val="22"/>
        </w:rPr>
        <w:t xml:space="preserve"> Planear, programar, organizar, controlar y supervisar el suministro, aprovechamiento y aplicación de los recursos humanos, materiales, financieros y técnicos, operados con gasto corriente, y con los servicios generales requeridos por las unidades administrativas</w:t>
      </w:r>
      <w:r w:rsidR="00206A1F" w:rsidRPr="00206A1F">
        <w:rPr>
          <w:rFonts w:ascii="Palatino Linotype" w:eastAsia="Palatino Linotype" w:hAnsi="Palatino Linotype" w:cs="Palatino Linotype"/>
          <w:sz w:val="22"/>
          <w:szCs w:val="22"/>
        </w:rPr>
        <w:t>,</w:t>
      </w:r>
      <w:r w:rsidRPr="00206A1F">
        <w:rPr>
          <w:rFonts w:ascii="Palatino Linotype" w:eastAsia="Palatino Linotype" w:hAnsi="Palatino Linotype" w:cs="Palatino Linotype"/>
          <w:sz w:val="22"/>
          <w:szCs w:val="22"/>
        </w:rPr>
        <w:t xml:space="preserve"> para desarrollo de sus funciones</w:t>
      </w:r>
      <w:r w:rsidR="00206A1F" w:rsidRPr="00206A1F">
        <w:rPr>
          <w:rFonts w:ascii="Palatino Linotype" w:eastAsia="Palatino Linotype" w:hAnsi="Palatino Linotype" w:cs="Palatino Linotype"/>
          <w:sz w:val="22"/>
          <w:szCs w:val="22"/>
        </w:rPr>
        <w:t xml:space="preserve"> contará con diversas funciones entre otras la </w:t>
      </w:r>
      <w:r w:rsidR="00206A1F" w:rsidRPr="00206A1F">
        <w:rPr>
          <w:rFonts w:ascii="Palatino Linotype" w:eastAsia="Palatino Linotype" w:hAnsi="Palatino Linotype" w:cs="Palatino Linotype"/>
          <w:b/>
          <w:bCs/>
          <w:sz w:val="22"/>
          <w:szCs w:val="22"/>
        </w:rPr>
        <w:t>Subdirección de Finanzas</w:t>
      </w:r>
      <w:r w:rsidRPr="00206A1F">
        <w:rPr>
          <w:rFonts w:ascii="Palatino Linotype" w:eastAsia="Palatino Linotype" w:hAnsi="Palatino Linotype" w:cs="Palatino Linotype"/>
          <w:b/>
          <w:bCs/>
          <w:sz w:val="22"/>
          <w:szCs w:val="22"/>
        </w:rPr>
        <w:t>;</w:t>
      </w:r>
      <w:r w:rsidR="00206A1F" w:rsidRPr="00206A1F">
        <w:rPr>
          <w:rFonts w:ascii="Palatino Linotype" w:eastAsia="Palatino Linotype" w:hAnsi="Palatino Linotype" w:cs="Palatino Linotype"/>
          <w:sz w:val="22"/>
          <w:szCs w:val="22"/>
        </w:rPr>
        <w:t xml:space="preserve"> Encargada de organizar, aprobar y controlar las acciones que en materia presupuestal coadyuven con el cumplimiento de los objetivos institucionales y que incidan en el ejercicio eficiente y transparente de los recursos autorizados a la Secretaría de Movilidad, de acuerdo con la normatividad aplicable, además le corresponderá el ejercicio de las funciones siguientes:</w:t>
      </w:r>
    </w:p>
    <w:p w14:paraId="04BC4B68" w14:textId="77777777" w:rsidR="00206A1F" w:rsidRPr="00206A1F" w:rsidRDefault="00206A1F" w:rsidP="005E13A5">
      <w:pPr>
        <w:pStyle w:val="Prrafodelista"/>
        <w:spacing w:line="360" w:lineRule="auto"/>
        <w:ind w:left="1080"/>
        <w:jc w:val="both"/>
        <w:rPr>
          <w:rFonts w:ascii="Palatino Linotype" w:eastAsia="Palatino Linotype" w:hAnsi="Palatino Linotype" w:cs="Palatino Linotype"/>
          <w:b/>
          <w:bCs/>
          <w:sz w:val="22"/>
          <w:szCs w:val="22"/>
        </w:rPr>
      </w:pPr>
    </w:p>
    <w:p w14:paraId="1B6039CF" w14:textId="63E32FB0" w:rsidR="00206A1F" w:rsidRPr="00206A1F" w:rsidRDefault="00206A1F" w:rsidP="005E13A5">
      <w:pPr>
        <w:pStyle w:val="Prrafodelista"/>
        <w:numPr>
          <w:ilvl w:val="0"/>
          <w:numId w:val="24"/>
        </w:numPr>
        <w:spacing w:line="360" w:lineRule="auto"/>
        <w:jc w:val="both"/>
        <w:rPr>
          <w:rFonts w:ascii="Palatino Linotype" w:eastAsia="Palatino Linotype" w:hAnsi="Palatino Linotype" w:cs="Palatino Linotype"/>
          <w:b/>
          <w:bCs/>
          <w:sz w:val="22"/>
          <w:szCs w:val="22"/>
        </w:rPr>
      </w:pPr>
      <w:r w:rsidRPr="00206A1F">
        <w:rPr>
          <w:rFonts w:ascii="Palatino Linotype" w:eastAsia="Palatino Linotype" w:hAnsi="Palatino Linotype" w:cs="Palatino Linotype"/>
          <w:sz w:val="22"/>
          <w:szCs w:val="22"/>
        </w:rPr>
        <w:t xml:space="preserve">Vigilar y controlar que los recursos presupuestales, así como los bienes y valores de la Secretaría, se manejen en forma adecuada y racional. </w:t>
      </w:r>
    </w:p>
    <w:p w14:paraId="25BB6E5D" w14:textId="77777777" w:rsidR="00206A1F" w:rsidRDefault="00206A1F" w:rsidP="005E13A5">
      <w:pPr>
        <w:pStyle w:val="Prrafodelista"/>
        <w:numPr>
          <w:ilvl w:val="0"/>
          <w:numId w:val="24"/>
        </w:numPr>
        <w:spacing w:line="360" w:lineRule="auto"/>
        <w:jc w:val="both"/>
        <w:rPr>
          <w:rFonts w:ascii="Palatino Linotype" w:eastAsia="Palatino Linotype" w:hAnsi="Palatino Linotype" w:cs="Palatino Linotype"/>
          <w:sz w:val="22"/>
          <w:szCs w:val="22"/>
        </w:rPr>
      </w:pPr>
      <w:r w:rsidRPr="00206A1F">
        <w:rPr>
          <w:rFonts w:ascii="Palatino Linotype" w:eastAsia="Palatino Linotype" w:hAnsi="Palatino Linotype" w:cs="Palatino Linotype"/>
          <w:sz w:val="22"/>
          <w:szCs w:val="22"/>
        </w:rPr>
        <w:t xml:space="preserve">Coordinar la integración del anteproyecto anual de presupuesto de egresos en colaboración con la Dirección de Información, Planeación, Programación y Evaluación y las demás unidades administrativas de la Secretaría, de conformidad con los lineamientos establecidos por la Oficialía Mayor del Gobierno del Estado, para someterlo a la revisión de la persona titular de la Coordinación Administrativa, y remitirlo a la instancia normativa. </w:t>
      </w:r>
    </w:p>
    <w:p w14:paraId="3ECA3EB7" w14:textId="77777777" w:rsidR="00206A1F" w:rsidRDefault="00206A1F" w:rsidP="005E13A5">
      <w:pPr>
        <w:pStyle w:val="Prrafodelista"/>
        <w:numPr>
          <w:ilvl w:val="0"/>
          <w:numId w:val="24"/>
        </w:numPr>
        <w:spacing w:line="360" w:lineRule="auto"/>
        <w:jc w:val="both"/>
        <w:rPr>
          <w:rFonts w:ascii="Palatino Linotype" w:eastAsia="Palatino Linotype" w:hAnsi="Palatino Linotype" w:cs="Palatino Linotype"/>
          <w:sz w:val="22"/>
          <w:szCs w:val="22"/>
        </w:rPr>
      </w:pPr>
      <w:r w:rsidRPr="00206A1F">
        <w:rPr>
          <w:rFonts w:ascii="Palatino Linotype" w:eastAsia="Palatino Linotype" w:hAnsi="Palatino Linotype" w:cs="Palatino Linotype"/>
          <w:sz w:val="22"/>
          <w:szCs w:val="22"/>
        </w:rPr>
        <w:lastRenderedPageBreak/>
        <w:t xml:space="preserve">Coordinar la integración mensual del avance financiero presupuestal y contable, para la revisión de la persona titular de la Coordinación Administrativa, para su envió a la instancia correspondiente y dar así cumplimiento a la normatividad establecida. </w:t>
      </w:r>
    </w:p>
    <w:p w14:paraId="18EDE088" w14:textId="77777777" w:rsidR="00206A1F" w:rsidRDefault="00206A1F" w:rsidP="005E13A5">
      <w:pPr>
        <w:pStyle w:val="Prrafodelista"/>
        <w:numPr>
          <w:ilvl w:val="0"/>
          <w:numId w:val="24"/>
        </w:numPr>
        <w:spacing w:line="360" w:lineRule="auto"/>
        <w:jc w:val="both"/>
        <w:rPr>
          <w:rFonts w:ascii="Palatino Linotype" w:eastAsia="Palatino Linotype" w:hAnsi="Palatino Linotype" w:cs="Palatino Linotype"/>
          <w:sz w:val="22"/>
          <w:szCs w:val="22"/>
        </w:rPr>
      </w:pPr>
      <w:r w:rsidRPr="00206A1F">
        <w:rPr>
          <w:rFonts w:ascii="Palatino Linotype" w:eastAsia="Palatino Linotype" w:hAnsi="Palatino Linotype" w:cs="Palatino Linotype"/>
          <w:sz w:val="22"/>
          <w:szCs w:val="22"/>
        </w:rPr>
        <w:t xml:space="preserve">Informar permanentemente a la persona titular de la Coordinación Administrativa, sobre la situación financiera y el ejercicio de los recursos para la oportuna toma de decisiones en la ejecución del presupuesto autorizado. </w:t>
      </w:r>
    </w:p>
    <w:p w14:paraId="73CE98A0" w14:textId="77777777" w:rsidR="00206A1F" w:rsidRDefault="00206A1F" w:rsidP="005E13A5">
      <w:pPr>
        <w:pStyle w:val="Prrafodelista"/>
        <w:numPr>
          <w:ilvl w:val="0"/>
          <w:numId w:val="24"/>
        </w:numPr>
        <w:spacing w:line="360" w:lineRule="auto"/>
        <w:jc w:val="both"/>
        <w:rPr>
          <w:rFonts w:ascii="Palatino Linotype" w:eastAsia="Palatino Linotype" w:hAnsi="Palatino Linotype" w:cs="Palatino Linotype"/>
          <w:sz w:val="22"/>
          <w:szCs w:val="22"/>
        </w:rPr>
      </w:pPr>
      <w:r w:rsidRPr="00206A1F">
        <w:rPr>
          <w:rFonts w:ascii="Palatino Linotype" w:eastAsia="Palatino Linotype" w:hAnsi="Palatino Linotype" w:cs="Palatino Linotype"/>
          <w:sz w:val="22"/>
          <w:szCs w:val="22"/>
        </w:rPr>
        <w:t xml:space="preserve">Validar la suficiencia presupuestal de los capítulos 1000 “Servicios Personales”, 2000 “Materiales y Suministros”, 3000 “Servicios Generales”, 4000 “Subsidios por carga fiscal” y 5000 “Bienes Muebles, Inmuebles e Intangibles”; a efecto de atender las solicitudes formuladas por las Subdirecciones de la Coordinación Administrativa de la Secretaría, verificando que los montos correspondan a los autorizados por capítulo de gasto y que se encuentre debidamente soportados. </w:t>
      </w:r>
    </w:p>
    <w:p w14:paraId="53B08CC4" w14:textId="77777777" w:rsidR="00206A1F" w:rsidRDefault="00206A1F" w:rsidP="005E13A5">
      <w:pPr>
        <w:pStyle w:val="Prrafodelista"/>
        <w:numPr>
          <w:ilvl w:val="0"/>
          <w:numId w:val="24"/>
        </w:numPr>
        <w:spacing w:line="360" w:lineRule="auto"/>
        <w:jc w:val="both"/>
        <w:rPr>
          <w:rFonts w:ascii="Palatino Linotype" w:eastAsia="Palatino Linotype" w:hAnsi="Palatino Linotype" w:cs="Palatino Linotype"/>
          <w:sz w:val="22"/>
          <w:szCs w:val="22"/>
        </w:rPr>
      </w:pPr>
      <w:r w:rsidRPr="00206A1F">
        <w:rPr>
          <w:rFonts w:ascii="Palatino Linotype" w:eastAsia="Palatino Linotype" w:hAnsi="Palatino Linotype" w:cs="Palatino Linotype"/>
          <w:sz w:val="22"/>
          <w:szCs w:val="22"/>
        </w:rPr>
        <w:t xml:space="preserve">Supervisar, administrar y tramitar el ejercicio del Fondo Fijo de Caja asignado a la Secretaría de Movilidad, así como las conciliaciones bancarias correspondientes. </w:t>
      </w:r>
    </w:p>
    <w:p w14:paraId="1F958C3D" w14:textId="77777777" w:rsidR="00206A1F" w:rsidRDefault="00206A1F" w:rsidP="005E13A5">
      <w:pPr>
        <w:pStyle w:val="Prrafodelista"/>
        <w:numPr>
          <w:ilvl w:val="0"/>
          <w:numId w:val="24"/>
        </w:numPr>
        <w:spacing w:line="360" w:lineRule="auto"/>
        <w:jc w:val="both"/>
        <w:rPr>
          <w:rFonts w:ascii="Palatino Linotype" w:eastAsia="Palatino Linotype" w:hAnsi="Palatino Linotype" w:cs="Palatino Linotype"/>
          <w:sz w:val="22"/>
          <w:szCs w:val="22"/>
        </w:rPr>
      </w:pPr>
      <w:r w:rsidRPr="00206A1F">
        <w:rPr>
          <w:rFonts w:ascii="Palatino Linotype" w:eastAsia="Palatino Linotype" w:hAnsi="Palatino Linotype" w:cs="Palatino Linotype"/>
          <w:sz w:val="22"/>
          <w:szCs w:val="22"/>
        </w:rPr>
        <w:t xml:space="preserve">Gestionar la creación de las Cajas Chicas asignadas a las unidades administrativas de esta Secretaría en estricto apego a la normatividad. </w:t>
      </w:r>
    </w:p>
    <w:p w14:paraId="1EEBCF69" w14:textId="77777777" w:rsidR="00206A1F" w:rsidRDefault="00206A1F" w:rsidP="005E13A5">
      <w:pPr>
        <w:pStyle w:val="Prrafodelista"/>
        <w:numPr>
          <w:ilvl w:val="0"/>
          <w:numId w:val="24"/>
        </w:numPr>
        <w:spacing w:line="360" w:lineRule="auto"/>
        <w:jc w:val="both"/>
        <w:rPr>
          <w:rFonts w:ascii="Palatino Linotype" w:eastAsia="Palatino Linotype" w:hAnsi="Palatino Linotype" w:cs="Palatino Linotype"/>
          <w:sz w:val="22"/>
          <w:szCs w:val="22"/>
        </w:rPr>
      </w:pPr>
      <w:r w:rsidRPr="00206A1F">
        <w:rPr>
          <w:rFonts w:ascii="Palatino Linotype" w:eastAsia="Palatino Linotype" w:hAnsi="Palatino Linotype" w:cs="Palatino Linotype"/>
          <w:sz w:val="22"/>
          <w:szCs w:val="22"/>
        </w:rPr>
        <w:t xml:space="preserve">Gestionar, tramitar y controlar las adecuaciones presupuestales, conforme a la normatividad establecida, ante la Secretaría de Finanzas. </w:t>
      </w:r>
    </w:p>
    <w:p w14:paraId="0B371C67" w14:textId="77777777" w:rsidR="00206A1F" w:rsidRDefault="00206A1F" w:rsidP="005E13A5">
      <w:pPr>
        <w:pStyle w:val="Prrafodelista"/>
        <w:numPr>
          <w:ilvl w:val="0"/>
          <w:numId w:val="24"/>
        </w:numPr>
        <w:spacing w:line="360" w:lineRule="auto"/>
        <w:jc w:val="both"/>
        <w:rPr>
          <w:rFonts w:ascii="Palatino Linotype" w:eastAsia="Palatino Linotype" w:hAnsi="Palatino Linotype" w:cs="Palatino Linotype"/>
          <w:sz w:val="22"/>
          <w:szCs w:val="22"/>
        </w:rPr>
      </w:pPr>
      <w:r w:rsidRPr="00206A1F">
        <w:rPr>
          <w:rFonts w:ascii="Palatino Linotype" w:eastAsia="Palatino Linotype" w:hAnsi="Palatino Linotype" w:cs="Palatino Linotype"/>
          <w:sz w:val="22"/>
          <w:szCs w:val="22"/>
        </w:rPr>
        <w:t xml:space="preserve">Coordinar y tramitar la información financiera correspondiente a la Cuenta Pública, así como presentar las Conciliaciones de Cuenta Corriente de la Secretaría ante la Secretaría de Finanzas, de acuerdo con el calendario y la normatividad aplicable. </w:t>
      </w:r>
    </w:p>
    <w:p w14:paraId="777218F5" w14:textId="77777777" w:rsidR="00206A1F" w:rsidRDefault="00206A1F" w:rsidP="005E13A5">
      <w:pPr>
        <w:pStyle w:val="Prrafodelista"/>
        <w:numPr>
          <w:ilvl w:val="0"/>
          <w:numId w:val="24"/>
        </w:numPr>
        <w:spacing w:line="360" w:lineRule="auto"/>
        <w:jc w:val="both"/>
        <w:rPr>
          <w:rFonts w:ascii="Palatino Linotype" w:eastAsia="Palatino Linotype" w:hAnsi="Palatino Linotype" w:cs="Palatino Linotype"/>
          <w:sz w:val="22"/>
          <w:szCs w:val="22"/>
        </w:rPr>
      </w:pPr>
      <w:r w:rsidRPr="00206A1F">
        <w:rPr>
          <w:rFonts w:ascii="Palatino Linotype" w:eastAsia="Palatino Linotype" w:hAnsi="Palatino Linotype" w:cs="Palatino Linotype"/>
          <w:sz w:val="22"/>
          <w:szCs w:val="22"/>
        </w:rPr>
        <w:t xml:space="preserve">Coordinar, supervisar y ejecutar las acciones necesarias para atender los actos de entrega y recepción de las unidades administrativas de la Secretaría. </w:t>
      </w:r>
    </w:p>
    <w:p w14:paraId="1EFB87A9" w14:textId="77777777" w:rsidR="00206A1F" w:rsidRDefault="00206A1F" w:rsidP="005E13A5">
      <w:pPr>
        <w:pStyle w:val="Prrafodelista"/>
        <w:numPr>
          <w:ilvl w:val="0"/>
          <w:numId w:val="24"/>
        </w:numPr>
        <w:spacing w:line="360" w:lineRule="auto"/>
        <w:jc w:val="both"/>
        <w:rPr>
          <w:rFonts w:ascii="Palatino Linotype" w:eastAsia="Palatino Linotype" w:hAnsi="Palatino Linotype" w:cs="Palatino Linotype"/>
          <w:sz w:val="22"/>
          <w:szCs w:val="22"/>
        </w:rPr>
      </w:pPr>
      <w:r w:rsidRPr="00206A1F">
        <w:rPr>
          <w:rFonts w:ascii="Palatino Linotype" w:eastAsia="Palatino Linotype" w:hAnsi="Palatino Linotype" w:cs="Palatino Linotype"/>
          <w:sz w:val="22"/>
          <w:szCs w:val="22"/>
        </w:rPr>
        <w:t xml:space="preserve">Revisar, validar y tramitar la documentación comprobatoria de la Solicitud de Rembolso para el Fondo Fijo de Caja, Solicitudes de Pagos Diversos y Solicitudes de </w:t>
      </w:r>
      <w:r w:rsidRPr="00206A1F">
        <w:rPr>
          <w:rFonts w:ascii="Palatino Linotype" w:eastAsia="Palatino Linotype" w:hAnsi="Palatino Linotype" w:cs="Palatino Linotype"/>
          <w:sz w:val="22"/>
          <w:szCs w:val="22"/>
        </w:rPr>
        <w:lastRenderedPageBreak/>
        <w:t xml:space="preserve">Gastos a Comprobar ante la Dirección General de Tesorería de la Secretaría de Finanzas. </w:t>
      </w:r>
    </w:p>
    <w:p w14:paraId="5F719192" w14:textId="77777777" w:rsidR="00206A1F" w:rsidRDefault="00206A1F" w:rsidP="005E13A5">
      <w:pPr>
        <w:pStyle w:val="Prrafodelista"/>
        <w:numPr>
          <w:ilvl w:val="0"/>
          <w:numId w:val="24"/>
        </w:numPr>
        <w:spacing w:line="360" w:lineRule="auto"/>
        <w:jc w:val="both"/>
        <w:rPr>
          <w:rFonts w:ascii="Palatino Linotype" w:eastAsia="Palatino Linotype" w:hAnsi="Palatino Linotype" w:cs="Palatino Linotype"/>
          <w:sz w:val="22"/>
          <w:szCs w:val="22"/>
        </w:rPr>
      </w:pPr>
      <w:r w:rsidRPr="00206A1F">
        <w:rPr>
          <w:rFonts w:ascii="Palatino Linotype" w:eastAsia="Palatino Linotype" w:hAnsi="Palatino Linotype" w:cs="Palatino Linotype"/>
          <w:sz w:val="22"/>
          <w:szCs w:val="22"/>
        </w:rPr>
        <w:t xml:space="preserve">Coordinar, gestionar, analizar y controlar las modificaciones al presupuesto, como son las adecuaciones presupuestales, de conformidad con las disposiciones que establezca la Secretaría de Finanzas. </w:t>
      </w:r>
    </w:p>
    <w:p w14:paraId="17C7DB95" w14:textId="667CA2F2" w:rsidR="00206A1F" w:rsidRDefault="00206A1F" w:rsidP="005E13A5">
      <w:pPr>
        <w:pStyle w:val="Prrafodelista"/>
        <w:numPr>
          <w:ilvl w:val="0"/>
          <w:numId w:val="24"/>
        </w:numPr>
        <w:spacing w:line="360" w:lineRule="auto"/>
        <w:jc w:val="both"/>
        <w:rPr>
          <w:rFonts w:ascii="Palatino Linotype" w:eastAsia="Palatino Linotype" w:hAnsi="Palatino Linotype" w:cs="Palatino Linotype"/>
          <w:sz w:val="22"/>
          <w:szCs w:val="22"/>
        </w:rPr>
      </w:pPr>
      <w:r w:rsidRPr="00206A1F">
        <w:rPr>
          <w:rFonts w:ascii="Palatino Linotype" w:eastAsia="Palatino Linotype" w:hAnsi="Palatino Linotype" w:cs="Palatino Linotype"/>
          <w:sz w:val="22"/>
          <w:szCs w:val="22"/>
        </w:rPr>
        <w:t>Supervisar el estado que guardan las obligaciones de transparencia de su competencia, a fin de asegurar el cumplimiento de éstas.</w:t>
      </w:r>
    </w:p>
    <w:p w14:paraId="538F0D4A" w14:textId="77777777" w:rsidR="00206A1F" w:rsidRPr="00206A1F" w:rsidRDefault="00206A1F" w:rsidP="005E13A5">
      <w:pPr>
        <w:spacing w:line="360" w:lineRule="auto"/>
        <w:contextualSpacing/>
        <w:jc w:val="both"/>
        <w:rPr>
          <w:rFonts w:ascii="Palatino Linotype" w:eastAsia="Palatino Linotype" w:hAnsi="Palatino Linotype" w:cs="Palatino Linotype"/>
          <w:sz w:val="22"/>
          <w:szCs w:val="22"/>
        </w:rPr>
      </w:pPr>
    </w:p>
    <w:p w14:paraId="59F2100D" w14:textId="7174621E" w:rsidR="00A77860" w:rsidRDefault="00A77860" w:rsidP="005E13A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observar que el Sujeto Obligado, cumplió con el procedimiento de búsqueda </w:t>
      </w:r>
      <w:r w:rsidR="00206A1F">
        <w:rPr>
          <w:rFonts w:ascii="Palatino Linotype" w:eastAsia="Palatino Linotype" w:hAnsi="Palatino Linotype" w:cs="Palatino Linotype"/>
          <w:sz w:val="22"/>
          <w:szCs w:val="22"/>
        </w:rPr>
        <w:t xml:space="preserve">previamente señalado al remitir la solicitud a la Dirección Administrativa que a través de la Subdirección de Finanzas se </w:t>
      </w:r>
      <w:r>
        <w:rPr>
          <w:rFonts w:ascii="Palatino Linotype" w:eastAsia="Palatino Linotype" w:hAnsi="Palatino Linotype" w:cs="Palatino Linotype"/>
          <w:sz w:val="22"/>
          <w:szCs w:val="22"/>
        </w:rPr>
        <w:t>encarga de conocer sobre lo peticionado, por lo que, se considera que cumplió con el procedimiento de búsqueda establecido en el artículo 162 de la Ley de la materia.</w:t>
      </w:r>
    </w:p>
    <w:p w14:paraId="365EA148" w14:textId="77777777" w:rsidR="00A77860" w:rsidRDefault="00A77860" w:rsidP="005E13A5">
      <w:pPr>
        <w:spacing w:line="360" w:lineRule="auto"/>
        <w:contextualSpacing/>
        <w:jc w:val="both"/>
        <w:rPr>
          <w:rFonts w:ascii="Palatino Linotype" w:eastAsia="Palatino Linotype" w:hAnsi="Palatino Linotype" w:cs="Palatino Linotype"/>
          <w:sz w:val="22"/>
          <w:szCs w:val="22"/>
        </w:rPr>
      </w:pPr>
    </w:p>
    <w:p w14:paraId="1070CE79" w14:textId="77777777" w:rsidR="00F1025D" w:rsidRDefault="00F1025D" w:rsidP="005E13A5">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Ahora bien</w:t>
      </w:r>
      <w:r w:rsidR="00A77860">
        <w:rPr>
          <w:rFonts w:ascii="Palatino Linotype" w:hAnsi="Palatino Linotype" w:cs="Tahoma"/>
          <w:sz w:val="22"/>
          <w:szCs w:val="22"/>
        </w:rPr>
        <w:t>,</w:t>
      </w:r>
      <w:r>
        <w:rPr>
          <w:rFonts w:ascii="Palatino Linotype" w:hAnsi="Palatino Linotype" w:cs="Tahoma"/>
          <w:sz w:val="22"/>
          <w:szCs w:val="22"/>
        </w:rPr>
        <w:t xml:space="preserve"> dicha área</w:t>
      </w:r>
      <w:r w:rsidR="00A77860">
        <w:rPr>
          <w:rFonts w:ascii="Palatino Linotype" w:hAnsi="Palatino Linotype" w:cs="Tahoma"/>
          <w:sz w:val="22"/>
          <w:szCs w:val="22"/>
        </w:rPr>
        <w:t xml:space="preserve"> en respuesta, </w:t>
      </w:r>
      <w:r>
        <w:rPr>
          <w:rFonts w:ascii="Palatino Linotype" w:hAnsi="Palatino Linotype" w:cs="Tahoma"/>
          <w:sz w:val="22"/>
          <w:szCs w:val="22"/>
        </w:rPr>
        <w:t>señaló que derivado de una búsqueda exhaustiva y razonable de la información, había identificado un total de ciento veintidós hojas coincidentes con los criterios solicitados, los cuales se anexaban en versión pública a saber lo siguiente:</w:t>
      </w:r>
    </w:p>
    <w:p w14:paraId="6BA50001" w14:textId="77777777" w:rsidR="00F1025D" w:rsidRDefault="00F1025D" w:rsidP="005E13A5">
      <w:pPr>
        <w:spacing w:line="360" w:lineRule="auto"/>
        <w:ind w:right="-28"/>
        <w:contextualSpacing/>
        <w:jc w:val="both"/>
        <w:rPr>
          <w:rFonts w:ascii="Palatino Linotype" w:hAnsi="Palatino Linotype" w:cs="Tahoma"/>
          <w:sz w:val="22"/>
          <w:szCs w:val="22"/>
        </w:rPr>
      </w:pPr>
    </w:p>
    <w:p w14:paraId="55EF2623" w14:textId="75BDA480" w:rsidR="00F1025D" w:rsidRPr="00F1025D" w:rsidRDefault="00F1025D" w:rsidP="005E13A5">
      <w:pPr>
        <w:pStyle w:val="Prrafodelista"/>
        <w:numPr>
          <w:ilvl w:val="0"/>
          <w:numId w:val="26"/>
        </w:numPr>
        <w:tabs>
          <w:tab w:val="left" w:pos="4667"/>
        </w:tabs>
        <w:spacing w:line="360" w:lineRule="auto"/>
        <w:ind w:left="927" w:right="567"/>
        <w:jc w:val="both"/>
        <w:rPr>
          <w:rFonts w:ascii="Palatino Linotype" w:eastAsiaTheme="majorEastAsia" w:hAnsi="Palatino Linotype" w:cstheme="majorBidi"/>
          <w:sz w:val="22"/>
          <w:szCs w:val="22"/>
        </w:rPr>
      </w:pPr>
      <w:r w:rsidRPr="00F1025D">
        <w:rPr>
          <w:rFonts w:ascii="Palatino Linotype" w:eastAsiaTheme="majorEastAsia" w:hAnsi="Palatino Linotype" w:cstheme="majorBidi"/>
          <w:sz w:val="22"/>
          <w:szCs w:val="22"/>
        </w:rPr>
        <w:t xml:space="preserve">Facturas a nombre de COSMOCOLOR </w:t>
      </w:r>
    </w:p>
    <w:p w14:paraId="5296F2EB" w14:textId="496B96B4" w:rsidR="00F1025D" w:rsidRPr="00F1025D" w:rsidRDefault="00F1025D" w:rsidP="005E13A5">
      <w:pPr>
        <w:pStyle w:val="Prrafodelista"/>
        <w:numPr>
          <w:ilvl w:val="0"/>
          <w:numId w:val="26"/>
        </w:numPr>
        <w:tabs>
          <w:tab w:val="left" w:pos="4667"/>
        </w:tabs>
        <w:spacing w:line="360" w:lineRule="auto"/>
        <w:ind w:left="927" w:right="567"/>
        <w:jc w:val="both"/>
        <w:rPr>
          <w:rFonts w:ascii="Palatino Linotype" w:eastAsiaTheme="majorEastAsia" w:hAnsi="Palatino Linotype" w:cstheme="majorBidi"/>
          <w:sz w:val="22"/>
          <w:szCs w:val="22"/>
        </w:rPr>
      </w:pPr>
      <w:r w:rsidRPr="00F1025D">
        <w:rPr>
          <w:rFonts w:ascii="Palatino Linotype" w:eastAsiaTheme="majorEastAsia" w:hAnsi="Palatino Linotype" w:cstheme="majorBidi"/>
          <w:sz w:val="22"/>
          <w:szCs w:val="22"/>
        </w:rPr>
        <w:t>Factura a nombre de CONCESIONARIA VIALIDAD LAS TORRES</w:t>
      </w:r>
    </w:p>
    <w:p w14:paraId="03F1F1EC" w14:textId="5886100E" w:rsidR="00F1025D" w:rsidRPr="00F1025D" w:rsidRDefault="00F1025D" w:rsidP="005E13A5">
      <w:pPr>
        <w:pStyle w:val="Prrafodelista"/>
        <w:numPr>
          <w:ilvl w:val="0"/>
          <w:numId w:val="26"/>
        </w:numPr>
        <w:tabs>
          <w:tab w:val="left" w:pos="4667"/>
        </w:tabs>
        <w:spacing w:line="360" w:lineRule="auto"/>
        <w:ind w:left="927" w:right="567"/>
        <w:jc w:val="both"/>
        <w:rPr>
          <w:rFonts w:ascii="Palatino Linotype" w:eastAsiaTheme="majorEastAsia" w:hAnsi="Palatino Linotype" w:cstheme="majorBidi"/>
          <w:sz w:val="22"/>
          <w:szCs w:val="22"/>
        </w:rPr>
      </w:pPr>
      <w:r w:rsidRPr="00F1025D">
        <w:rPr>
          <w:rFonts w:ascii="Palatino Linotype" w:eastAsiaTheme="majorEastAsia" w:hAnsi="Palatino Linotype" w:cstheme="majorBidi"/>
          <w:sz w:val="22"/>
          <w:szCs w:val="22"/>
        </w:rPr>
        <w:t xml:space="preserve">Factura a nombre de CUSAEM </w:t>
      </w:r>
    </w:p>
    <w:p w14:paraId="2CF2745E" w14:textId="2A22C7A6" w:rsidR="00A77860" w:rsidRDefault="00F1025D" w:rsidP="005E13A5">
      <w:pPr>
        <w:spacing w:line="360" w:lineRule="auto"/>
        <w:ind w:right="-28"/>
        <w:contextualSpacing/>
        <w:jc w:val="both"/>
        <w:rPr>
          <w:rFonts w:ascii="Palatino Linotype" w:hAnsi="Palatino Linotype"/>
          <w:color w:val="000000"/>
          <w:sz w:val="22"/>
          <w:szCs w:val="22"/>
        </w:rPr>
      </w:pPr>
      <w:r w:rsidRPr="00F1025D">
        <w:rPr>
          <w:rFonts w:ascii="Palatino Linotype" w:hAnsi="Palatino Linotype" w:cs="Tahoma"/>
          <w:sz w:val="22"/>
          <w:szCs w:val="22"/>
        </w:rPr>
        <w:t xml:space="preserve"> </w:t>
      </w:r>
    </w:p>
    <w:p w14:paraId="19860A7E" w14:textId="61925453" w:rsidR="00F1025D" w:rsidRPr="0000396F" w:rsidRDefault="00F1025D" w:rsidP="005E13A5">
      <w:pPr>
        <w:spacing w:line="360" w:lineRule="auto"/>
        <w:ind w:right="-28"/>
        <w:contextualSpacing/>
        <w:jc w:val="both"/>
        <w:rPr>
          <w:rFonts w:ascii="Palatino Linotype" w:eastAsia="Palatino Linotype" w:hAnsi="Palatino Linotype" w:cs="Palatino Linotype"/>
          <w:b/>
          <w:bCs/>
          <w:sz w:val="22"/>
          <w:szCs w:val="22"/>
        </w:rPr>
      </w:pPr>
      <w:r>
        <w:rPr>
          <w:rFonts w:ascii="Palatino Linotype" w:hAnsi="Palatino Linotype"/>
          <w:color w:val="000000"/>
          <w:sz w:val="22"/>
          <w:szCs w:val="22"/>
        </w:rPr>
        <w:t xml:space="preserve">Así, de la revisión de la información, se logró advertir que si bien la unidad administrativa competente indicó que remitía los documentos que daban cuenta de las facturas solicitadas, lo cierto es que omitió la entrega </w:t>
      </w:r>
      <w:r w:rsidR="0000396F">
        <w:rPr>
          <w:rFonts w:ascii="Palatino Linotype" w:hAnsi="Palatino Linotype"/>
          <w:color w:val="000000"/>
          <w:sz w:val="22"/>
          <w:szCs w:val="22"/>
        </w:rPr>
        <w:t>de dichas documentales; a</w:t>
      </w:r>
      <w:r w:rsidR="00083282">
        <w:rPr>
          <w:rFonts w:ascii="Palatino Linotype" w:eastAsia="Palatino Linotype" w:hAnsi="Palatino Linotype" w:cs="Palatino Linotype"/>
          <w:sz w:val="22"/>
          <w:szCs w:val="22"/>
        </w:rPr>
        <w:t xml:space="preserve">l </w:t>
      </w:r>
      <w:r w:rsidR="00083282" w:rsidRPr="00A24BE6">
        <w:rPr>
          <w:rFonts w:ascii="Palatino Linotype" w:eastAsia="Palatino Linotype" w:hAnsi="Palatino Linotype" w:cs="Palatino Linotype"/>
          <w:sz w:val="22"/>
          <w:szCs w:val="22"/>
        </w:rPr>
        <w:t xml:space="preserve">respecto, resulta necesario traer </w:t>
      </w:r>
      <w:r w:rsidR="00083282" w:rsidRPr="00A24BE6">
        <w:rPr>
          <w:rFonts w:ascii="Palatino Linotype" w:eastAsia="Palatino Linotype" w:hAnsi="Palatino Linotype" w:cs="Palatino Linotype"/>
          <w:sz w:val="22"/>
          <w:szCs w:val="22"/>
        </w:rPr>
        <w:lastRenderedPageBreak/>
        <w:t xml:space="preserve">a colación, el Criterio de Interpretación, con clave de control SO/002/2017, de la Segunda Época, emitido por el Instituto Nacional de Transparencia, Acceso a la Información y Protección de Datos Personales, del cual se desprende que todo acto administrativo debe apegarse al </w:t>
      </w:r>
      <w:r w:rsidR="00083282" w:rsidRPr="00A24BE6">
        <w:rPr>
          <w:rFonts w:ascii="Palatino Linotype" w:eastAsia="Palatino Linotype" w:hAnsi="Palatino Linotype" w:cs="Palatino Linotype"/>
          <w:b/>
          <w:sz w:val="22"/>
          <w:szCs w:val="22"/>
        </w:rPr>
        <w:t xml:space="preserve">Principio de Congruencia, </w:t>
      </w:r>
      <w:r w:rsidR="00083282" w:rsidRPr="00A24BE6">
        <w:rPr>
          <w:rFonts w:ascii="Palatino Linotype" w:eastAsia="Palatino Linotype" w:hAnsi="Palatino Linotype" w:cs="Palatino Linotype"/>
          <w:sz w:val="22"/>
          <w:szCs w:val="22"/>
        </w:rPr>
        <w:t>el cual</w:t>
      </w:r>
      <w:r w:rsidR="00083282" w:rsidRPr="00A24BE6">
        <w:rPr>
          <w:rFonts w:ascii="Palatino Linotype" w:eastAsia="Palatino Linotype" w:hAnsi="Palatino Linotype" w:cs="Palatino Linotype"/>
          <w:b/>
          <w:sz w:val="22"/>
          <w:szCs w:val="22"/>
        </w:rPr>
        <w:t xml:space="preserve"> </w:t>
      </w:r>
      <w:r w:rsidR="00083282" w:rsidRPr="00A24BE6">
        <w:rPr>
          <w:rFonts w:ascii="Palatino Linotype" w:eastAsia="Palatino Linotype" w:hAnsi="Palatino Linotype" w:cs="Palatino Linotype"/>
          <w:sz w:val="22"/>
          <w:szCs w:val="22"/>
        </w:rPr>
        <w:t xml:space="preserve">implica que exista concordancia entre el requerimiento formulado y la respuesta entregada; por lo que, el Sujeto Obligado incumplió dicho principio lo cual da como resultado que no se pueda validar </w:t>
      </w:r>
      <w:r w:rsidR="00083282">
        <w:rPr>
          <w:rFonts w:ascii="Palatino Linotype" w:eastAsia="Palatino Linotype" w:hAnsi="Palatino Linotype" w:cs="Palatino Linotype"/>
          <w:sz w:val="22"/>
          <w:szCs w:val="22"/>
        </w:rPr>
        <w:t xml:space="preserve">en su totalidad </w:t>
      </w:r>
      <w:r w:rsidR="00083282" w:rsidRPr="00A24BE6">
        <w:rPr>
          <w:rFonts w:ascii="Palatino Linotype" w:eastAsia="Palatino Linotype" w:hAnsi="Palatino Linotype" w:cs="Palatino Linotype"/>
          <w:sz w:val="22"/>
          <w:szCs w:val="22"/>
        </w:rPr>
        <w:t>la respuesta entregada</w:t>
      </w:r>
      <w:r w:rsidR="0000396F">
        <w:rPr>
          <w:rFonts w:ascii="Palatino Linotype" w:eastAsia="Palatino Linotype" w:hAnsi="Palatino Linotype" w:cs="Palatino Linotype"/>
          <w:sz w:val="22"/>
          <w:szCs w:val="22"/>
        </w:rPr>
        <w:t xml:space="preserve">, lo cual da como resultado que el agravio sea </w:t>
      </w:r>
      <w:r w:rsidR="0000396F">
        <w:rPr>
          <w:rFonts w:ascii="Palatino Linotype" w:eastAsia="Palatino Linotype" w:hAnsi="Palatino Linotype" w:cs="Palatino Linotype"/>
          <w:b/>
          <w:bCs/>
          <w:sz w:val="22"/>
          <w:szCs w:val="22"/>
        </w:rPr>
        <w:t>FUNDADO.</w:t>
      </w:r>
    </w:p>
    <w:p w14:paraId="0DDD1991" w14:textId="77777777" w:rsidR="00083282" w:rsidRDefault="00083282" w:rsidP="005E13A5">
      <w:pPr>
        <w:spacing w:line="360" w:lineRule="auto"/>
        <w:ind w:right="-28"/>
        <w:contextualSpacing/>
        <w:jc w:val="both"/>
        <w:rPr>
          <w:rFonts w:ascii="Palatino Linotype" w:eastAsia="Palatino Linotype" w:hAnsi="Palatino Linotype" w:cs="Palatino Linotype"/>
          <w:sz w:val="22"/>
          <w:szCs w:val="22"/>
        </w:rPr>
      </w:pPr>
    </w:p>
    <w:p w14:paraId="1560FB0E" w14:textId="191CBD86" w:rsidR="00083282" w:rsidRDefault="00083282" w:rsidP="005E13A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obstante, durante la sustanciación del medio de impugnación, el Sujeto Obligado remitió un total de ciento veintidós hojas que daban cuenta de diversas facturas con valor</w:t>
      </w:r>
      <w:r w:rsidR="00CA4E98">
        <w:rPr>
          <w:rFonts w:ascii="Palatino Linotype" w:eastAsia="Palatino Linotype" w:hAnsi="Palatino Linotype" w:cs="Palatino Linotype"/>
          <w:sz w:val="22"/>
          <w:szCs w:val="22"/>
        </w:rPr>
        <w:t xml:space="preserve"> mayor</w:t>
      </w:r>
      <w:r>
        <w:rPr>
          <w:rFonts w:ascii="Palatino Linotype" w:eastAsia="Palatino Linotype" w:hAnsi="Palatino Linotype" w:cs="Palatino Linotype"/>
          <w:sz w:val="22"/>
          <w:szCs w:val="22"/>
        </w:rPr>
        <w:t xml:space="preserve"> a un millón de pesos, generadas de febrero a octubre de dos mil veinticinco, circunstancia que se logra colegir conforme a lo siguiente:</w:t>
      </w:r>
    </w:p>
    <w:p w14:paraId="55738C97" w14:textId="77777777" w:rsidR="00083282" w:rsidRDefault="00083282" w:rsidP="005E13A5">
      <w:pPr>
        <w:spacing w:line="360" w:lineRule="auto"/>
        <w:contextualSpacing/>
        <w:jc w:val="both"/>
        <w:rPr>
          <w:rFonts w:ascii="Palatino Linotype" w:eastAsia="Palatino Linotype" w:hAnsi="Palatino Linotype" w:cs="Palatino Linotype"/>
          <w:sz w:val="22"/>
          <w:szCs w:val="22"/>
        </w:rPr>
      </w:pPr>
    </w:p>
    <w:p w14:paraId="36FCC790" w14:textId="05C318D3" w:rsidR="00083282" w:rsidRDefault="00083282" w:rsidP="00F01DCA">
      <w:pPr>
        <w:spacing w:line="360" w:lineRule="auto"/>
        <w:contextualSpacing/>
        <w:jc w:val="center"/>
        <w:rPr>
          <w:noProof/>
          <w14:ligatures w14:val="standardContextual"/>
        </w:rPr>
      </w:pPr>
      <w:r>
        <w:rPr>
          <w:rFonts w:ascii="Palatino Linotype" w:eastAsia="Palatino Linotype" w:hAnsi="Palatino Linotype" w:cs="Palatino Linotype"/>
          <w:noProof/>
          <w:sz w:val="22"/>
          <w:szCs w:val="22"/>
        </w:rPr>
        <w:drawing>
          <wp:inline distT="0" distB="0" distL="0" distR="0" wp14:anchorId="4BDB6E3F" wp14:editId="37E08A06">
            <wp:extent cx="4774019" cy="1279040"/>
            <wp:effectExtent l="0" t="0" r="7620" b="0"/>
            <wp:docPr id="18217884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8460" cy="1290946"/>
                    </a:xfrm>
                    <a:prstGeom prst="rect">
                      <a:avLst/>
                    </a:prstGeom>
                    <a:noFill/>
                  </pic:spPr>
                </pic:pic>
              </a:graphicData>
            </a:graphic>
          </wp:inline>
        </w:drawing>
      </w:r>
    </w:p>
    <w:p w14:paraId="44DA8704" w14:textId="4F32BA48" w:rsidR="00083282" w:rsidRDefault="00083282" w:rsidP="005E13A5">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67B0C85D" wp14:editId="13EE7B2D">
            <wp:extent cx="4864735" cy="2414270"/>
            <wp:effectExtent l="0" t="0" r="0" b="5080"/>
            <wp:docPr id="2229146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4735" cy="2414270"/>
                    </a:xfrm>
                    <a:prstGeom prst="rect">
                      <a:avLst/>
                    </a:prstGeom>
                    <a:noFill/>
                  </pic:spPr>
                </pic:pic>
              </a:graphicData>
            </a:graphic>
          </wp:inline>
        </w:drawing>
      </w:r>
    </w:p>
    <w:p w14:paraId="59D64B3E" w14:textId="77777777" w:rsidR="00083282" w:rsidRDefault="00083282" w:rsidP="005E13A5">
      <w:pPr>
        <w:spacing w:line="360" w:lineRule="auto"/>
        <w:ind w:right="-28"/>
        <w:contextualSpacing/>
        <w:jc w:val="both"/>
        <w:rPr>
          <w:rFonts w:ascii="Palatino Linotype" w:hAnsi="Palatino Linotype"/>
          <w:color w:val="000000"/>
          <w:sz w:val="22"/>
          <w:szCs w:val="22"/>
        </w:rPr>
      </w:pPr>
    </w:p>
    <w:p w14:paraId="6C66F33E" w14:textId="70C8878B" w:rsidR="00A77860" w:rsidRDefault="00A77860" w:rsidP="005E13A5">
      <w:pPr>
        <w:spacing w:line="360" w:lineRule="auto"/>
        <w:contextualSpacing/>
        <w:jc w:val="both"/>
        <w:rPr>
          <w:rFonts w:ascii="Palatino Linotype" w:hAnsi="Palatino Linotype"/>
          <w:color w:val="000000"/>
          <w:sz w:val="22"/>
          <w:szCs w:val="22"/>
        </w:rPr>
      </w:pPr>
      <w:r>
        <w:rPr>
          <w:rFonts w:ascii="Palatino Linotype" w:hAnsi="Palatino Linotype"/>
          <w:color w:val="000000"/>
          <w:sz w:val="22"/>
          <w:szCs w:val="22"/>
        </w:rPr>
        <w:t>Así, del análisis de los documentos remitidos si bien, se encuentran relacionados con la</w:t>
      </w:r>
      <w:r w:rsidR="00CA4E98">
        <w:rPr>
          <w:rFonts w:ascii="Palatino Linotype" w:hAnsi="Palatino Linotype"/>
          <w:color w:val="000000"/>
          <w:sz w:val="22"/>
          <w:szCs w:val="22"/>
        </w:rPr>
        <w:t>s</w:t>
      </w:r>
      <w:r>
        <w:rPr>
          <w:rFonts w:ascii="Palatino Linotype" w:hAnsi="Palatino Linotype"/>
          <w:color w:val="000000"/>
          <w:sz w:val="22"/>
          <w:szCs w:val="22"/>
        </w:rPr>
        <w:t xml:space="preserve"> </w:t>
      </w:r>
      <w:r w:rsidR="00CA4E98">
        <w:rPr>
          <w:rFonts w:ascii="Palatino Linotype" w:hAnsi="Palatino Linotype"/>
          <w:color w:val="000000"/>
          <w:sz w:val="22"/>
          <w:szCs w:val="22"/>
        </w:rPr>
        <w:t xml:space="preserve">facturas </w:t>
      </w:r>
      <w:r w:rsidR="00ED7A00">
        <w:rPr>
          <w:rFonts w:ascii="Palatino Linotype" w:hAnsi="Palatino Linotype"/>
          <w:color w:val="000000"/>
          <w:sz w:val="22"/>
          <w:szCs w:val="22"/>
        </w:rPr>
        <w:t xml:space="preserve">con valor a un mayor a un millón de pesos </w:t>
      </w:r>
      <w:r w:rsidR="00CA4E98">
        <w:rPr>
          <w:rFonts w:ascii="Palatino Linotype" w:hAnsi="Palatino Linotype"/>
          <w:color w:val="000000"/>
          <w:sz w:val="22"/>
          <w:szCs w:val="22"/>
        </w:rPr>
        <w:t xml:space="preserve">generadas </w:t>
      </w:r>
      <w:r>
        <w:rPr>
          <w:rFonts w:ascii="Palatino Linotype" w:hAnsi="Palatino Linotype"/>
          <w:color w:val="000000"/>
          <w:sz w:val="22"/>
          <w:szCs w:val="22"/>
        </w:rPr>
        <w:t>durante el ejercicio fiscal dos mil veinticinco, lo cierto es que no se puede</w:t>
      </w:r>
      <w:r w:rsidR="00ED7A00">
        <w:rPr>
          <w:rFonts w:ascii="Palatino Linotype" w:hAnsi="Palatino Linotype"/>
          <w:color w:val="000000"/>
          <w:sz w:val="22"/>
          <w:szCs w:val="22"/>
        </w:rPr>
        <w:t>n</w:t>
      </w:r>
      <w:r>
        <w:rPr>
          <w:rFonts w:ascii="Palatino Linotype" w:hAnsi="Palatino Linotype"/>
          <w:color w:val="000000"/>
          <w:sz w:val="22"/>
          <w:szCs w:val="22"/>
        </w:rPr>
        <w:t xml:space="preserve"> valida</w:t>
      </w:r>
      <w:r w:rsidR="00CA4E98">
        <w:rPr>
          <w:rFonts w:ascii="Palatino Linotype" w:hAnsi="Palatino Linotype"/>
          <w:color w:val="000000"/>
          <w:sz w:val="22"/>
          <w:szCs w:val="22"/>
        </w:rPr>
        <w:t>r</w:t>
      </w:r>
      <w:r>
        <w:rPr>
          <w:rFonts w:ascii="Palatino Linotype" w:hAnsi="Palatino Linotype"/>
          <w:color w:val="000000"/>
          <w:sz w:val="22"/>
          <w:szCs w:val="22"/>
        </w:rPr>
        <w:t xml:space="preserve"> en su totalidad</w:t>
      </w:r>
      <w:r w:rsidR="00ED7A00">
        <w:rPr>
          <w:rFonts w:ascii="Palatino Linotype" w:hAnsi="Palatino Linotype"/>
          <w:color w:val="000000"/>
          <w:sz w:val="22"/>
          <w:szCs w:val="22"/>
        </w:rPr>
        <w:t xml:space="preserve"> en virtud de que </w:t>
      </w:r>
      <w:r w:rsidR="00EE2EBD">
        <w:rPr>
          <w:rFonts w:ascii="Palatino Linotype" w:hAnsi="Palatino Linotype"/>
          <w:color w:val="000000"/>
          <w:sz w:val="22"/>
          <w:szCs w:val="22"/>
        </w:rPr>
        <w:t xml:space="preserve">en las versiones públicas proporcionadas clasificó el nombre y firma de </w:t>
      </w:r>
      <w:r w:rsidR="00660BC1">
        <w:rPr>
          <w:rFonts w:ascii="Palatino Linotype" w:hAnsi="Palatino Linotype"/>
          <w:color w:val="000000"/>
          <w:sz w:val="22"/>
          <w:szCs w:val="22"/>
        </w:rPr>
        <w:t xml:space="preserve">proveedores </w:t>
      </w:r>
      <w:r w:rsidR="00EE2EBD">
        <w:rPr>
          <w:rFonts w:ascii="Palatino Linotype" w:hAnsi="Palatino Linotype"/>
          <w:color w:val="000000"/>
          <w:sz w:val="22"/>
          <w:szCs w:val="22"/>
        </w:rPr>
        <w:t>por lo que se procede analizar dicha circunstancia.</w:t>
      </w:r>
      <w:r w:rsidR="00ED7A00">
        <w:rPr>
          <w:rFonts w:ascii="Palatino Linotype" w:hAnsi="Palatino Linotype"/>
          <w:color w:val="000000"/>
          <w:sz w:val="22"/>
          <w:szCs w:val="22"/>
        </w:rPr>
        <w:t xml:space="preserve"> </w:t>
      </w:r>
    </w:p>
    <w:p w14:paraId="4685748A" w14:textId="77777777" w:rsidR="00CA4E98" w:rsidRDefault="00CA4E98" w:rsidP="005E13A5">
      <w:pPr>
        <w:spacing w:line="360" w:lineRule="auto"/>
        <w:contextualSpacing/>
        <w:jc w:val="both"/>
        <w:rPr>
          <w:rFonts w:ascii="Palatino Linotype" w:hAnsi="Palatino Linotype"/>
          <w:color w:val="000000"/>
          <w:sz w:val="22"/>
          <w:szCs w:val="22"/>
        </w:rPr>
      </w:pPr>
    </w:p>
    <w:p w14:paraId="783A9253"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Pr>
          <w:rFonts w:ascii="Palatino Linotype" w:hAnsi="Palatino Linotype" w:cs="Tahoma"/>
          <w:bCs/>
          <w:noProof/>
          <w:color w:val="0D0D0D" w:themeColor="text1" w:themeTint="F2"/>
          <w:sz w:val="22"/>
          <w:szCs w:val="22"/>
        </w:rPr>
        <w:t xml:space="preserve">Al respecto, </w:t>
      </w:r>
      <w:r w:rsidRPr="00AD19E2">
        <w:rPr>
          <w:rFonts w:ascii="Palatino Linotype" w:hAnsi="Palatino Linotype" w:cs="Tahoma"/>
          <w:bCs/>
          <w:noProof/>
          <w:color w:val="0D0D0D" w:themeColor="text1" w:themeTint="F2"/>
          <w:sz w:val="22"/>
          <w:szCs w:val="22"/>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A0C71E2"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A79F57E"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 o bien, la que presenten los particulares con dicho carácter.</w:t>
      </w:r>
    </w:p>
    <w:p w14:paraId="43CBCF7F"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7CE4041D"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w:t>
      </w:r>
      <w:r w:rsidRPr="00AD19E2">
        <w:rPr>
          <w:rFonts w:ascii="Palatino Linotype" w:hAnsi="Palatino Linotype" w:cs="Tahoma"/>
          <w:bCs/>
          <w:noProof/>
          <w:color w:val="0D0D0D" w:themeColor="text1" w:themeTint="F2"/>
          <w:sz w:val="22"/>
          <w:szCs w:val="22"/>
        </w:rPr>
        <w:lastRenderedPageBreak/>
        <w:t>imagen de las personas, será protegida a través de un marco jurídico rígido, de tratamiento y manejo de datos personales.</w:t>
      </w:r>
    </w:p>
    <w:p w14:paraId="527EC997"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650885D6"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30356BC"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022324AC"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En concordancia con lo previo, el artículo 143, fracciones I y III, de la Ley previamente citada, establece que la información privada y los datos personales, concernientes a una persona física o jurídica colectiva identificada o identificables, son confidenciales; así como, aquella presentada por los particulares con dicho carácter.</w:t>
      </w:r>
    </w:p>
    <w:p w14:paraId="19427AB5"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266A2948"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1BE6A20"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10FA2598"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En términos de lo expuesto, la documentación y aquellos datos que se consideren confidenciales, serán una limitante del derecho de acceso a la información, siempre y cuando:</w:t>
      </w:r>
    </w:p>
    <w:p w14:paraId="6780F522"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59490D0A" w14:textId="77777777" w:rsidR="00EE2EBD" w:rsidRDefault="00EE2EBD" w:rsidP="005E13A5">
      <w:pPr>
        <w:numPr>
          <w:ilvl w:val="0"/>
          <w:numId w:val="28"/>
        </w:num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 xml:space="preserve">Se trate de datos personales o información privada; esto es, información concerniente a una persona física o jurídico colectiva y que esta sea identificada o identificable. </w:t>
      </w:r>
    </w:p>
    <w:p w14:paraId="5B1D9389" w14:textId="77777777" w:rsidR="00551607" w:rsidRPr="00AD19E2" w:rsidRDefault="00551607" w:rsidP="00551607">
      <w:pPr>
        <w:spacing w:line="360" w:lineRule="auto"/>
        <w:ind w:left="720"/>
        <w:contextualSpacing/>
        <w:jc w:val="both"/>
        <w:rPr>
          <w:rFonts w:ascii="Palatino Linotype" w:hAnsi="Palatino Linotype" w:cs="Tahoma"/>
          <w:bCs/>
          <w:noProof/>
          <w:color w:val="0D0D0D" w:themeColor="text1" w:themeTint="F2"/>
          <w:sz w:val="22"/>
          <w:szCs w:val="22"/>
        </w:rPr>
      </w:pPr>
    </w:p>
    <w:p w14:paraId="628623DA" w14:textId="77777777" w:rsidR="00EE2EBD" w:rsidRPr="00AD19E2" w:rsidRDefault="00EE2EBD" w:rsidP="005E13A5">
      <w:pPr>
        <w:numPr>
          <w:ilvl w:val="0"/>
          <w:numId w:val="28"/>
        </w:num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Para la difusión de los datos, se requiera el consentimiento del titular. </w:t>
      </w:r>
    </w:p>
    <w:p w14:paraId="4F1A5FA0"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1D35983"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41DCF01"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p>
    <w:p w14:paraId="669B4017" w14:textId="3249D9A6" w:rsidR="00EE2EBD" w:rsidRPr="00AD19E2" w:rsidRDefault="00EE2EBD" w:rsidP="005E13A5">
      <w:pPr>
        <w:numPr>
          <w:ilvl w:val="0"/>
          <w:numId w:val="29"/>
        </w:num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Nombre de persona física</w:t>
      </w:r>
      <w:r w:rsidR="0000396F">
        <w:rPr>
          <w:rFonts w:ascii="Palatino Linotype" w:hAnsi="Palatino Linotype" w:cs="Tahoma"/>
          <w:b/>
          <w:bCs/>
          <w:noProof/>
          <w:color w:val="0D0D0D" w:themeColor="text1" w:themeTint="F2"/>
          <w:sz w:val="22"/>
          <w:szCs w:val="22"/>
        </w:rPr>
        <w:t xml:space="preserve"> </w:t>
      </w:r>
    </w:p>
    <w:p w14:paraId="6CF68D51"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p>
    <w:p w14:paraId="499849E5"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Proveedor</w:t>
      </w:r>
    </w:p>
    <w:p w14:paraId="7257BE90"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2B369B7E"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D19E2">
        <w:rPr>
          <w:rFonts w:ascii="Palatino Linotype" w:hAnsi="Palatino Linotype" w:cs="Tahoma"/>
          <w:bCs/>
          <w:i/>
          <w:noProof/>
          <w:color w:val="0D0D0D" w:themeColor="text1" w:themeTint="F2"/>
          <w:sz w:val="22"/>
          <w:szCs w:val="22"/>
        </w:rPr>
        <w:t>per se</w:t>
      </w:r>
      <w:r w:rsidRPr="00AD19E2">
        <w:rPr>
          <w:rFonts w:ascii="Palatino Linotype" w:hAnsi="Palatino Linotype" w:cs="Tahoma"/>
          <w:bCs/>
          <w:noProof/>
          <w:color w:val="0D0D0D" w:themeColor="text1" w:themeTint="F2"/>
          <w:sz w:val="22"/>
          <w:szCs w:val="22"/>
        </w:rPr>
        <w:t xml:space="preserve"> es un elemento que hace a una persona física identificada o identificable.</w:t>
      </w:r>
    </w:p>
    <w:p w14:paraId="68F7E9F1"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09D6B319"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AD19E2">
        <w:rPr>
          <w:rFonts w:ascii="Palatino Linotype" w:hAnsi="Palatino Linotype" w:cs="Tahoma"/>
          <w:b/>
          <w:bCs/>
          <w:noProof/>
          <w:color w:val="0D0D0D" w:themeColor="text1" w:themeTint="F2"/>
          <w:sz w:val="22"/>
          <w:szCs w:val="22"/>
        </w:rPr>
        <w:t>los nombres de aquellos que reciben recursos públicos (proveedores),</w:t>
      </w:r>
      <w:r w:rsidRPr="00AD19E2">
        <w:rPr>
          <w:rFonts w:ascii="Palatino Linotype" w:hAnsi="Palatino Linotype" w:cs="Tahoma"/>
          <w:bCs/>
          <w:noProof/>
          <w:color w:val="0D0D0D" w:themeColor="text1" w:themeTint="F2"/>
          <w:sz w:val="22"/>
          <w:szCs w:val="22"/>
        </w:rPr>
        <w:t xml:space="preserve"> ya que la difusión de dicho dato constituye una obligación de transparencia por parte de los sujetos obligados.</w:t>
      </w:r>
    </w:p>
    <w:p w14:paraId="0CA172D1"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28BE8043"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Toma sustento con el artículo 92, fracciones XXXI, de la Ley de la materia, el cual establece que los sujetos obligados tienen la obligación de poner a disposición del público y mantener actualizada de acuerdo con sus facultades, atribuciones, funciones u objeto social, según corresponda el </w:t>
      </w:r>
      <w:r w:rsidRPr="00AD19E2">
        <w:rPr>
          <w:rFonts w:ascii="Palatino Linotype" w:hAnsi="Palatino Linotype" w:cs="Tahoma"/>
          <w:b/>
          <w:bCs/>
          <w:noProof/>
          <w:color w:val="0D0D0D" w:themeColor="text1" w:themeTint="F2"/>
          <w:sz w:val="22"/>
          <w:szCs w:val="22"/>
        </w:rPr>
        <w:t>Padrón de proveedores y contratistas.</w:t>
      </w:r>
    </w:p>
    <w:p w14:paraId="2F4B56FE"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78552124"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74E55E3B"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1E5CFCE4"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drawing>
          <wp:inline distT="0" distB="0" distL="0" distR="0" wp14:anchorId="4F4FD7F4" wp14:editId="451C9750">
            <wp:extent cx="5742940" cy="752475"/>
            <wp:effectExtent l="0" t="0" r="0" b="9525"/>
            <wp:docPr id="115694774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940" cy="752475"/>
                    </a:xfrm>
                    <a:prstGeom prst="rect">
                      <a:avLst/>
                    </a:prstGeom>
                    <a:noFill/>
                    <a:ln>
                      <a:noFill/>
                    </a:ln>
                  </pic:spPr>
                </pic:pic>
              </a:graphicData>
            </a:graphic>
          </wp:inline>
        </w:drawing>
      </w:r>
      <w:r w:rsidRPr="00AD19E2">
        <w:rPr>
          <w:rFonts w:ascii="Palatino Linotype" w:hAnsi="Palatino Linotype" w:cs="Tahoma"/>
          <w:b/>
          <w:bCs/>
          <w:noProof/>
          <w:color w:val="0D0D0D" w:themeColor="text1" w:themeTint="F2"/>
          <w:sz w:val="22"/>
          <w:szCs w:val="22"/>
        </w:rPr>
        <w:t xml:space="preserve"> </w:t>
      </w:r>
    </w:p>
    <w:p w14:paraId="705E6941"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drawing>
          <wp:inline distT="0" distB="0" distL="0" distR="0" wp14:anchorId="74E5B293" wp14:editId="2B009B6D">
            <wp:extent cx="5742940" cy="495300"/>
            <wp:effectExtent l="0" t="0" r="0" b="0"/>
            <wp:docPr id="28848118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940" cy="495300"/>
                    </a:xfrm>
                    <a:prstGeom prst="rect">
                      <a:avLst/>
                    </a:prstGeom>
                    <a:noFill/>
                    <a:ln>
                      <a:noFill/>
                    </a:ln>
                  </pic:spPr>
                </pic:pic>
              </a:graphicData>
            </a:graphic>
          </wp:inline>
        </w:drawing>
      </w:r>
      <w:r w:rsidRPr="00AD19E2">
        <w:rPr>
          <w:rFonts w:ascii="Palatino Linotype" w:hAnsi="Palatino Linotype" w:cs="Tahoma"/>
          <w:b/>
          <w:bCs/>
          <w:noProof/>
          <w:color w:val="0D0D0D" w:themeColor="text1" w:themeTint="F2"/>
          <w:sz w:val="22"/>
          <w:szCs w:val="22"/>
        </w:rPr>
        <w:t xml:space="preserve"> </w:t>
      </w:r>
    </w:p>
    <w:p w14:paraId="70F8C5D1"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12C9CFA6"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 xml:space="preserve">Por lo tanto, la Ley de Transparencia y Acceso a la Información Pública del Estado de México y Municipios, considera que </w:t>
      </w:r>
      <w:r w:rsidRPr="00AD19E2">
        <w:rPr>
          <w:rFonts w:ascii="Palatino Linotype" w:hAnsi="Palatino Linotype" w:cs="Tahoma"/>
          <w:b/>
          <w:bCs/>
          <w:noProof/>
          <w:color w:val="0D0D0D" w:themeColor="text1" w:themeTint="F2"/>
          <w:sz w:val="22"/>
          <w:szCs w:val="22"/>
        </w:rPr>
        <w:t xml:space="preserve">los datos de aquellas personas que recibieron recursos públicos, por regla general, </w:t>
      </w:r>
      <w:r w:rsidRPr="00AD19E2">
        <w:rPr>
          <w:rFonts w:ascii="Palatino Linotype" w:hAnsi="Palatino Linotype" w:cs="Tahoma"/>
          <w:bCs/>
          <w:noProof/>
          <w:color w:val="0D0D0D" w:themeColor="text1" w:themeTint="F2"/>
          <w:sz w:val="22"/>
          <w:szCs w:val="22"/>
        </w:rPr>
        <w:t xml:space="preserve">son de naturaleza pública, ya que su publicidad orienta a cumplir los objetivos que persigue la Ley; toda vez, </w:t>
      </w:r>
      <w:r w:rsidRPr="00AD19E2">
        <w:rPr>
          <w:rFonts w:ascii="Palatino Linotype" w:hAnsi="Palatino Linotype" w:cs="Tahoma"/>
          <w:b/>
          <w:bCs/>
          <w:noProof/>
          <w:color w:val="0D0D0D" w:themeColor="text1" w:themeTint="F2"/>
          <w:sz w:val="22"/>
          <w:szCs w:val="22"/>
        </w:rPr>
        <w:t>que ayuda a transparentar a quienes se les han otorgado recursos públicos, así como, porque razones se les otorgaron dichos montos.</w:t>
      </w:r>
    </w:p>
    <w:p w14:paraId="632FDC5C"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3E259315" w14:textId="77777777" w:rsidR="00EE2EBD" w:rsidRPr="00AD19E2" w:rsidRDefault="00EE2EBD" w:rsidP="005E13A5">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Por lo que, se considera que no procede la clasificación del nombre de los proveedores, en términos del artículo 143, fracción I de la Ley de Transparencia y Acceso a la Información Pública del Estado de México y Municipios.</w:t>
      </w:r>
    </w:p>
    <w:p w14:paraId="4288686B"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061A97E8"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Representante legal</w:t>
      </w:r>
    </w:p>
    <w:p w14:paraId="45425A40" w14:textId="77777777" w:rsidR="00EE2EBD" w:rsidRPr="00AD19E2" w:rsidRDefault="00EE2EBD" w:rsidP="005E13A5">
      <w:pPr>
        <w:spacing w:line="360" w:lineRule="auto"/>
        <w:contextualSpacing/>
        <w:jc w:val="both"/>
        <w:rPr>
          <w:rFonts w:ascii="Palatino Linotype" w:hAnsi="Palatino Linotype" w:cs="Tahoma"/>
          <w:b/>
          <w:bCs/>
          <w:noProof/>
          <w:color w:val="0D0D0D" w:themeColor="text1" w:themeTint="F2"/>
          <w:sz w:val="22"/>
          <w:szCs w:val="22"/>
        </w:rPr>
      </w:pPr>
    </w:p>
    <w:p w14:paraId="1D8D2138" w14:textId="77777777" w:rsidR="00EE2EBD" w:rsidRPr="00AD19E2" w:rsidRDefault="00EE2EBD" w:rsidP="005E13A5">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Al respecto, resulta necesario señalar que los proveedores pueden ser representadas mediante personas físicas, debidamente acreditadas para realizar determinados actos a nombre de estos, por lo que, el nombre de dichos individuos no puede ser objeto de clasificación, en virtud de que la representación persigue la finalidad de dar certeza jurídica a los actos que realiza, en el presente caso, aceptar y recibir un permiso de uso de vía pública, a nombre de la persona moral.</w:t>
      </w:r>
    </w:p>
    <w:p w14:paraId="4A401E43" w14:textId="77777777" w:rsidR="00EE2EBD" w:rsidRPr="00AD19E2" w:rsidRDefault="00EE2EBD" w:rsidP="005E13A5">
      <w:pPr>
        <w:spacing w:line="360" w:lineRule="auto"/>
        <w:contextualSpacing/>
        <w:jc w:val="both"/>
        <w:rPr>
          <w:rFonts w:ascii="Palatino Linotype" w:eastAsia="Palatino Linotype" w:hAnsi="Palatino Linotype" w:cs="Palatino Linotype"/>
          <w:color w:val="FF0000"/>
          <w:sz w:val="22"/>
          <w:szCs w:val="22"/>
        </w:rPr>
      </w:pPr>
    </w:p>
    <w:p w14:paraId="18D5BDAB" w14:textId="77777777" w:rsidR="00EE2EBD" w:rsidRPr="00AD19E2" w:rsidRDefault="00EE2EBD" w:rsidP="005E13A5">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5ADA0DFB" w14:textId="77777777" w:rsidR="00EE2EBD" w:rsidRPr="00AD19E2" w:rsidRDefault="00EE2EBD" w:rsidP="005E13A5">
      <w:pPr>
        <w:spacing w:line="360" w:lineRule="auto"/>
        <w:contextualSpacing/>
        <w:jc w:val="both"/>
        <w:rPr>
          <w:rFonts w:ascii="Palatino Linotype" w:eastAsia="Palatino Linotype" w:hAnsi="Palatino Linotype" w:cs="Palatino Linotype"/>
          <w:color w:val="FF0000"/>
          <w:sz w:val="22"/>
          <w:szCs w:val="22"/>
        </w:rPr>
      </w:pPr>
    </w:p>
    <w:p w14:paraId="7A572D3F" w14:textId="77777777" w:rsidR="00EE2EBD" w:rsidRPr="00AD19E2" w:rsidRDefault="00EE2EBD" w:rsidP="005E13A5">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lastRenderedPageBreak/>
        <w:t>En esa tesitura, la representación de las personas se realizará por medio de representantes o apoderados, y en el caso específico de las sociedades mercantiles, dicha representación se otorgará mediante instrumento público.</w:t>
      </w:r>
    </w:p>
    <w:p w14:paraId="7D6FCCA2" w14:textId="77777777" w:rsidR="00EE2EBD" w:rsidRPr="00AD19E2" w:rsidRDefault="00EE2EBD" w:rsidP="005E13A5">
      <w:pPr>
        <w:spacing w:line="360" w:lineRule="auto"/>
        <w:contextualSpacing/>
        <w:jc w:val="both"/>
        <w:rPr>
          <w:rFonts w:ascii="Palatino Linotype" w:eastAsia="Palatino Linotype" w:hAnsi="Palatino Linotype" w:cs="Palatino Linotype"/>
          <w:color w:val="FF0000"/>
          <w:sz w:val="22"/>
          <w:szCs w:val="22"/>
        </w:rPr>
      </w:pPr>
    </w:p>
    <w:p w14:paraId="450A61B5" w14:textId="77777777" w:rsidR="00EE2EBD" w:rsidRPr="00AD19E2" w:rsidRDefault="00EE2EBD" w:rsidP="005E13A5">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3A532429" w14:textId="77777777" w:rsidR="00EE2EBD" w:rsidRPr="00AD19E2" w:rsidRDefault="00EE2EBD" w:rsidP="005E13A5">
      <w:pPr>
        <w:spacing w:line="360" w:lineRule="auto"/>
        <w:contextualSpacing/>
        <w:jc w:val="both"/>
        <w:rPr>
          <w:rFonts w:ascii="Palatino Linotype" w:eastAsia="Palatino Linotype" w:hAnsi="Palatino Linotype" w:cs="Palatino Linotype"/>
          <w:color w:val="FF0000"/>
          <w:sz w:val="22"/>
          <w:szCs w:val="22"/>
        </w:rPr>
      </w:pPr>
    </w:p>
    <w:p w14:paraId="229F16B5" w14:textId="77777777" w:rsidR="00EE2EBD" w:rsidRPr="00AD19E2" w:rsidRDefault="00EE2EBD" w:rsidP="005E13A5">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y firma del apoderado legal de una empresa, </w:t>
      </w:r>
      <w:r w:rsidRPr="00AD19E2">
        <w:rPr>
          <w:rFonts w:ascii="Palatino Linotype" w:eastAsia="Palatino Linotype" w:hAnsi="Palatino Linotype" w:cs="Palatino Linotype"/>
          <w:b/>
          <w:sz w:val="22"/>
          <w:szCs w:val="22"/>
        </w:rPr>
        <w:t xml:space="preserve">es público, </w:t>
      </w:r>
      <w:r w:rsidRPr="00AD19E2">
        <w:rPr>
          <w:rFonts w:ascii="Palatino Linotype" w:eastAsia="Palatino Linotype" w:hAnsi="Palatino Linotype" w:cs="Palatino Linotype"/>
          <w:sz w:val="22"/>
          <w:szCs w:val="22"/>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7066FAB0" w14:textId="77777777" w:rsidR="00EE2EBD" w:rsidRPr="00AD19E2" w:rsidRDefault="00EE2EBD" w:rsidP="005E13A5">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Lo anterior, se robustece con el Criterio de Interpretación, de la Segunda Época, con clave de control SO/001/2019, emitido por el Instituto Nacional de Transparencia, Acceso a la Información y Protección de Datos Personales, que establece lo siguiente:</w:t>
      </w:r>
    </w:p>
    <w:p w14:paraId="39AC1405" w14:textId="77777777" w:rsidR="00EE2EBD" w:rsidRPr="00AD19E2" w:rsidRDefault="00EE2EBD" w:rsidP="005E13A5">
      <w:pPr>
        <w:spacing w:line="360" w:lineRule="auto"/>
        <w:contextualSpacing/>
        <w:jc w:val="both"/>
        <w:rPr>
          <w:rFonts w:ascii="Palatino Linotype" w:eastAsia="Palatino Linotype" w:hAnsi="Palatino Linotype" w:cs="Palatino Linotype"/>
          <w:sz w:val="22"/>
          <w:szCs w:val="22"/>
        </w:rPr>
      </w:pPr>
    </w:p>
    <w:p w14:paraId="1988D4D1" w14:textId="77777777" w:rsidR="00EE2EBD" w:rsidRPr="00AD19E2" w:rsidRDefault="00EE2EBD" w:rsidP="005E13A5">
      <w:pPr>
        <w:spacing w:line="360" w:lineRule="auto"/>
        <w:ind w:left="567" w:right="567"/>
        <w:contextualSpacing/>
        <w:jc w:val="both"/>
        <w:rPr>
          <w:rFonts w:ascii="Palatino Linotype" w:eastAsia="Palatino Linotype" w:hAnsi="Palatino Linotype" w:cs="Palatino Linotype"/>
          <w:i/>
        </w:rPr>
      </w:pPr>
      <w:r w:rsidRPr="00AD19E2">
        <w:rPr>
          <w:rFonts w:ascii="Palatino Linotype" w:eastAsia="Palatino Linotype" w:hAnsi="Palatino Linotype" w:cs="Palatino Linotype"/>
          <w:b/>
          <w:i/>
        </w:rPr>
        <w:t>“Datos de identificación del representante o apoderado legal.</w:t>
      </w:r>
      <w:r w:rsidRPr="00AD19E2">
        <w:rPr>
          <w:rFonts w:ascii="Palatino Linotype" w:eastAsia="Palatino Linotype" w:hAnsi="Palatino Linotype" w:cs="Palatino Linotype"/>
          <w:i/>
        </w:rPr>
        <w:t xml:space="preserve"> </w:t>
      </w:r>
      <w:r w:rsidRPr="00AD19E2">
        <w:rPr>
          <w:rFonts w:ascii="Palatino Linotype" w:eastAsia="Palatino Linotype" w:hAnsi="Palatino Linotype" w:cs="Palatino Linotype"/>
          <w:b/>
          <w:i/>
        </w:rPr>
        <w:t xml:space="preserve">Naturaleza jurídica. </w:t>
      </w:r>
      <w:r w:rsidRPr="00AD19E2">
        <w:rPr>
          <w:rFonts w:ascii="Palatino Linotype" w:eastAsia="Palatino Linotype" w:hAnsi="Palatino Linotype" w:cs="Palatino Linotype"/>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315916F7" w14:textId="77777777" w:rsidR="00EE2EBD" w:rsidRPr="00AD19E2" w:rsidRDefault="00EE2EBD" w:rsidP="005E13A5">
      <w:pPr>
        <w:spacing w:line="360" w:lineRule="auto"/>
        <w:contextualSpacing/>
        <w:jc w:val="both"/>
        <w:rPr>
          <w:rFonts w:ascii="Palatino Linotype" w:eastAsia="Palatino Linotype" w:hAnsi="Palatino Linotype" w:cs="Palatino Linotype"/>
          <w:color w:val="FF0000"/>
          <w:sz w:val="22"/>
          <w:szCs w:val="22"/>
        </w:rPr>
      </w:pPr>
    </w:p>
    <w:p w14:paraId="52534AC9" w14:textId="6CB7A28D" w:rsidR="004273BE" w:rsidRPr="00660BC1" w:rsidRDefault="00EE2EBD" w:rsidP="005E13A5">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lastRenderedPageBreak/>
        <w:t xml:space="preserve">Ante tales situaciones, el nombre del representante legal, de una persona (física o moral) que celebra un contrato con </w:t>
      </w:r>
      <w:r w:rsidR="009B7596">
        <w:rPr>
          <w:rFonts w:ascii="Palatino Linotype" w:eastAsia="Palatino Linotype" w:hAnsi="Palatino Linotype" w:cs="Palatino Linotype"/>
          <w:sz w:val="22"/>
          <w:szCs w:val="22"/>
        </w:rPr>
        <w:t>un ente público</w:t>
      </w:r>
      <w:r w:rsidRPr="00AD19E2">
        <w:rPr>
          <w:rFonts w:ascii="Palatino Linotype" w:eastAsia="Palatino Linotype" w:hAnsi="Palatino Linotype" w:cs="Palatino Linotype"/>
          <w:sz w:val="22"/>
          <w:szCs w:val="22"/>
        </w:rPr>
        <w:t>, no es susceptible de ser clasificado como confidencial, en términos del artículo 143, fracción I, de la Ley Federal de Transparencia y Acceso a la Información Pública.</w:t>
      </w:r>
    </w:p>
    <w:p w14:paraId="29ACDF18" w14:textId="77777777" w:rsidR="00690DEE" w:rsidRDefault="00690DEE" w:rsidP="005E13A5">
      <w:pPr>
        <w:spacing w:line="360" w:lineRule="auto"/>
        <w:contextualSpacing/>
        <w:jc w:val="both"/>
        <w:rPr>
          <w:rFonts w:ascii="Palatino Linotype" w:hAnsi="Palatino Linotype" w:cs="Tahoma"/>
        </w:rPr>
      </w:pPr>
    </w:p>
    <w:p w14:paraId="4EBE5AFB" w14:textId="1F6EE6BC" w:rsidR="00C24754" w:rsidRPr="00C24754" w:rsidRDefault="00C24754" w:rsidP="00C24754">
      <w:pPr>
        <w:numPr>
          <w:ilvl w:val="0"/>
          <w:numId w:val="33"/>
        </w:numPr>
        <w:spacing w:after="160" w:line="360" w:lineRule="auto"/>
        <w:ind w:right="-28"/>
        <w:contextualSpacing/>
        <w:jc w:val="both"/>
        <w:rPr>
          <w:rFonts w:ascii="Palatino Linotype" w:hAnsi="Palatino Linotype"/>
          <w:b/>
          <w:color w:val="000000"/>
          <w:sz w:val="22"/>
          <w:szCs w:val="24"/>
          <w:lang w:eastAsia="es-ES"/>
        </w:rPr>
      </w:pPr>
      <w:r w:rsidRPr="00C24754">
        <w:rPr>
          <w:rFonts w:ascii="Palatino Linotype" w:hAnsi="Palatino Linotype"/>
          <w:b/>
          <w:color w:val="000000"/>
          <w:sz w:val="22"/>
          <w:szCs w:val="24"/>
          <w:lang w:eastAsia="es-ES"/>
        </w:rPr>
        <w:t>Firma del</w:t>
      </w:r>
      <w:r>
        <w:rPr>
          <w:rFonts w:ascii="Palatino Linotype" w:hAnsi="Palatino Linotype"/>
          <w:b/>
          <w:color w:val="000000"/>
          <w:sz w:val="22"/>
          <w:szCs w:val="24"/>
          <w:lang w:eastAsia="es-ES"/>
        </w:rPr>
        <w:t xml:space="preserve"> proveedor,</w:t>
      </w:r>
      <w:r w:rsidRPr="00C24754">
        <w:rPr>
          <w:rFonts w:ascii="Palatino Linotype" w:hAnsi="Palatino Linotype"/>
          <w:b/>
          <w:color w:val="000000"/>
          <w:sz w:val="22"/>
          <w:szCs w:val="24"/>
          <w:lang w:eastAsia="es-ES"/>
        </w:rPr>
        <w:t xml:space="preserve"> contratista o representante legal</w:t>
      </w:r>
    </w:p>
    <w:p w14:paraId="77B51B88" w14:textId="77777777" w:rsidR="00C24754" w:rsidRPr="00C24754" w:rsidRDefault="00C24754" w:rsidP="00C24754">
      <w:pPr>
        <w:spacing w:line="360" w:lineRule="auto"/>
        <w:ind w:right="-28"/>
        <w:jc w:val="both"/>
        <w:rPr>
          <w:rFonts w:ascii="Palatino Linotype" w:eastAsia="Palatino Linotype" w:hAnsi="Palatino Linotype" w:cs="Palatino Linotype"/>
          <w:sz w:val="22"/>
          <w:szCs w:val="22"/>
          <w:lang w:eastAsia="en-US"/>
        </w:rPr>
      </w:pPr>
    </w:p>
    <w:p w14:paraId="79EE3421" w14:textId="20500D83" w:rsidR="00C24754" w:rsidRPr="00C24754" w:rsidRDefault="00C24754" w:rsidP="00C24754">
      <w:pPr>
        <w:spacing w:line="360" w:lineRule="auto"/>
        <w:ind w:right="-28"/>
        <w:jc w:val="both"/>
        <w:rPr>
          <w:rFonts w:ascii="Palatino Linotype" w:eastAsia="Palatino Linotype" w:hAnsi="Palatino Linotype" w:cs="Palatino Linotype"/>
          <w:sz w:val="22"/>
          <w:szCs w:val="22"/>
          <w:lang w:eastAsia="en-US"/>
        </w:rPr>
      </w:pPr>
      <w:r w:rsidRPr="00C24754">
        <w:rPr>
          <w:rFonts w:ascii="Palatino Linotype" w:eastAsia="Palatino Linotype" w:hAnsi="Palatino Linotype" w:cs="Palatino Linotype"/>
          <w:sz w:val="22"/>
          <w:szCs w:val="22"/>
          <w:lang w:eastAsia="en-US"/>
        </w:rPr>
        <w:t xml:space="preserve">Al respecto, la firma es considerada un dato personal, al tratarse de información gráfica a través de la cual su titular exterioriza su voluntad en actos públicos y privados; </w:t>
      </w:r>
      <w:r>
        <w:rPr>
          <w:rFonts w:ascii="Palatino Linotype" w:eastAsia="Palatino Linotype" w:hAnsi="Palatino Linotype" w:cs="Palatino Linotype"/>
          <w:sz w:val="22"/>
          <w:szCs w:val="22"/>
          <w:lang w:eastAsia="en-US"/>
        </w:rPr>
        <w:t xml:space="preserve">sin embargo, en el presente caso, el </w:t>
      </w:r>
      <w:r w:rsidRPr="00C24754">
        <w:rPr>
          <w:rFonts w:ascii="Palatino Linotype" w:eastAsia="Palatino Linotype" w:hAnsi="Palatino Linotype" w:cs="Palatino Linotype"/>
          <w:sz w:val="22"/>
          <w:szCs w:val="22"/>
          <w:lang w:eastAsia="en-US"/>
        </w:rPr>
        <w:t>dato exterioriza la voluntad en un acto público y que lo realiza una persona física identificada o identificable, en su calidad de proveedor</w:t>
      </w:r>
      <w:r>
        <w:rPr>
          <w:rFonts w:ascii="Palatino Linotype" w:eastAsia="Palatino Linotype" w:hAnsi="Palatino Linotype" w:cs="Palatino Linotype"/>
          <w:sz w:val="22"/>
          <w:szCs w:val="22"/>
          <w:lang w:eastAsia="en-US"/>
        </w:rPr>
        <w:t xml:space="preserve">, </w:t>
      </w:r>
      <w:proofErr w:type="spellStart"/>
      <w:r>
        <w:rPr>
          <w:rFonts w:ascii="Palatino Linotype" w:eastAsia="Palatino Linotype" w:hAnsi="Palatino Linotype" w:cs="Palatino Linotype"/>
          <w:sz w:val="22"/>
          <w:szCs w:val="22"/>
          <w:lang w:eastAsia="en-US"/>
        </w:rPr>
        <w:t>contratist</w:t>
      </w:r>
      <w:proofErr w:type="spellEnd"/>
      <w:r w:rsidRPr="00C24754">
        <w:rPr>
          <w:rFonts w:ascii="Palatino Linotype" w:eastAsia="Palatino Linotype" w:hAnsi="Palatino Linotype" w:cs="Palatino Linotype"/>
          <w:sz w:val="22"/>
          <w:szCs w:val="22"/>
          <w:lang w:eastAsia="en-US"/>
        </w:rPr>
        <w:t xml:space="preserve"> o representante legal, por lo que, expresa el consentimiento </w:t>
      </w:r>
      <w:r>
        <w:rPr>
          <w:rFonts w:ascii="Palatino Linotype" w:eastAsia="Palatino Linotype" w:hAnsi="Palatino Linotype" w:cs="Palatino Linotype"/>
          <w:sz w:val="22"/>
          <w:szCs w:val="22"/>
          <w:lang w:eastAsia="en-US"/>
        </w:rPr>
        <w:t>de este</w:t>
      </w:r>
      <w:r w:rsidRPr="00C24754">
        <w:rPr>
          <w:rFonts w:ascii="Palatino Linotype" w:eastAsia="Palatino Linotype" w:hAnsi="Palatino Linotype" w:cs="Palatino Linotype"/>
          <w:sz w:val="22"/>
          <w:szCs w:val="22"/>
          <w:lang w:eastAsia="en-US"/>
        </w:rPr>
        <w:t xml:space="preserve"> para realizar o recibir ciertas obligaciones; además, que le otorga validez a</w:t>
      </w:r>
      <w:r>
        <w:rPr>
          <w:rFonts w:ascii="Palatino Linotype" w:eastAsia="Palatino Linotype" w:hAnsi="Palatino Linotype" w:cs="Palatino Linotype"/>
          <w:sz w:val="22"/>
          <w:szCs w:val="22"/>
          <w:lang w:eastAsia="en-US"/>
        </w:rPr>
        <w:t xml:space="preserve"> las facturas emitidas derivadas de los contratos celebrados con el Sujeto Obligado.</w:t>
      </w:r>
      <w:r w:rsidRPr="00C24754">
        <w:rPr>
          <w:rFonts w:ascii="Palatino Linotype" w:eastAsia="Palatino Linotype" w:hAnsi="Palatino Linotype" w:cs="Palatino Linotype"/>
          <w:sz w:val="22"/>
          <w:szCs w:val="22"/>
          <w:lang w:eastAsia="en-US"/>
        </w:rPr>
        <w:t xml:space="preserve"> </w:t>
      </w:r>
    </w:p>
    <w:p w14:paraId="4252BC44" w14:textId="77777777" w:rsidR="00C24754" w:rsidRPr="00C24754" w:rsidRDefault="00C24754" w:rsidP="00C24754">
      <w:pPr>
        <w:spacing w:line="360" w:lineRule="auto"/>
        <w:ind w:right="-28"/>
        <w:jc w:val="both"/>
        <w:rPr>
          <w:rFonts w:ascii="Palatino Linotype" w:eastAsia="Palatino Linotype" w:hAnsi="Palatino Linotype" w:cs="Palatino Linotype"/>
          <w:sz w:val="22"/>
          <w:szCs w:val="22"/>
          <w:lang w:eastAsia="en-US"/>
        </w:rPr>
      </w:pPr>
    </w:p>
    <w:p w14:paraId="7B0D544B" w14:textId="3B6C3C93" w:rsidR="00C24754" w:rsidRPr="00C24754" w:rsidRDefault="00C24754" w:rsidP="00C24754">
      <w:pPr>
        <w:spacing w:line="360" w:lineRule="auto"/>
        <w:ind w:right="-28"/>
        <w:jc w:val="both"/>
        <w:rPr>
          <w:rFonts w:ascii="Palatino Linotype" w:eastAsia="Palatino Linotype" w:hAnsi="Palatino Linotype" w:cs="Palatino Linotype"/>
          <w:sz w:val="22"/>
          <w:szCs w:val="22"/>
          <w:lang w:eastAsia="en-US"/>
        </w:rPr>
      </w:pPr>
      <w:r w:rsidRPr="00C24754">
        <w:rPr>
          <w:rFonts w:ascii="Palatino Linotype" w:eastAsia="Palatino Linotype" w:hAnsi="Palatino Linotype" w:cs="Palatino Linotype"/>
          <w:sz w:val="22"/>
          <w:szCs w:val="22"/>
          <w:lang w:eastAsia="en-US"/>
        </w:rPr>
        <w:t>Conforme a lo anterior, no procede la clasificación de la firma del proveedor</w:t>
      </w:r>
      <w:r>
        <w:rPr>
          <w:rFonts w:ascii="Palatino Linotype" w:eastAsia="Palatino Linotype" w:hAnsi="Palatino Linotype" w:cs="Palatino Linotype"/>
          <w:sz w:val="22"/>
          <w:szCs w:val="22"/>
          <w:lang w:eastAsia="en-US"/>
        </w:rPr>
        <w:t>, contratista</w:t>
      </w:r>
      <w:r w:rsidRPr="00C24754">
        <w:rPr>
          <w:rFonts w:ascii="Palatino Linotype" w:eastAsia="Palatino Linotype" w:hAnsi="Palatino Linotype" w:cs="Palatino Linotype"/>
          <w:sz w:val="22"/>
          <w:szCs w:val="22"/>
          <w:lang w:eastAsia="en-US"/>
        </w:rPr>
        <w:t xml:space="preserve"> o representante legal, localizados en los documentos que den cuenta de la información solicitada, en términos del artículo 143, fracción I de la Ley de Transparencia y Acceso a la Información Pública del Estado de México y Municipios.</w:t>
      </w:r>
    </w:p>
    <w:p w14:paraId="0506978E" w14:textId="77777777" w:rsidR="0000396F" w:rsidRPr="005A4A25" w:rsidRDefault="0000396F" w:rsidP="005E13A5">
      <w:pPr>
        <w:spacing w:line="360" w:lineRule="auto"/>
        <w:contextualSpacing/>
        <w:jc w:val="both"/>
        <w:rPr>
          <w:rFonts w:ascii="Palatino Linotype" w:hAnsi="Palatino Linotype" w:cs="Tahoma"/>
        </w:rPr>
      </w:pPr>
    </w:p>
    <w:p w14:paraId="790D0E14" w14:textId="77777777" w:rsidR="00C24754" w:rsidRDefault="00690DEE" w:rsidP="005E13A5">
      <w:pPr>
        <w:spacing w:line="360" w:lineRule="auto"/>
        <w:contextualSpacing/>
        <w:jc w:val="both"/>
        <w:rPr>
          <w:rFonts w:ascii="Palatino Linotype" w:hAnsi="Palatino Linotype" w:cs="Tahoma"/>
          <w:sz w:val="22"/>
          <w:szCs w:val="24"/>
        </w:rPr>
      </w:pPr>
      <w:r w:rsidRPr="005A4A25">
        <w:rPr>
          <w:rFonts w:ascii="Palatino Linotype" w:hAnsi="Palatino Linotype" w:cs="Tahoma"/>
          <w:sz w:val="22"/>
          <w:szCs w:val="24"/>
        </w:rPr>
        <w:t xml:space="preserve">Conforme a lo anterior, se logra vislumbrar que el Sujeto Obligado </w:t>
      </w:r>
      <w:r>
        <w:rPr>
          <w:rFonts w:ascii="Palatino Linotype" w:hAnsi="Palatino Linotype" w:cs="Tahoma"/>
          <w:sz w:val="22"/>
          <w:szCs w:val="24"/>
        </w:rPr>
        <w:t xml:space="preserve">si bien, remitió los </w:t>
      </w:r>
      <w:r w:rsidRPr="005A4A25">
        <w:rPr>
          <w:rFonts w:ascii="Palatino Linotype" w:hAnsi="Palatino Linotype" w:cs="Tahoma"/>
          <w:sz w:val="22"/>
          <w:szCs w:val="24"/>
        </w:rPr>
        <w:t>documento</w:t>
      </w:r>
      <w:r>
        <w:rPr>
          <w:rFonts w:ascii="Palatino Linotype" w:hAnsi="Palatino Linotype" w:cs="Tahoma"/>
          <w:sz w:val="22"/>
          <w:szCs w:val="24"/>
        </w:rPr>
        <w:t>s</w:t>
      </w:r>
      <w:r w:rsidRPr="005A4A25">
        <w:rPr>
          <w:rFonts w:ascii="Palatino Linotype" w:hAnsi="Palatino Linotype" w:cs="Tahoma"/>
          <w:sz w:val="22"/>
          <w:szCs w:val="24"/>
        </w:rPr>
        <w:t xml:space="preserve"> que daba</w:t>
      </w:r>
      <w:r>
        <w:rPr>
          <w:rFonts w:ascii="Palatino Linotype" w:hAnsi="Palatino Linotype" w:cs="Tahoma"/>
          <w:sz w:val="22"/>
          <w:szCs w:val="24"/>
        </w:rPr>
        <w:t>n</w:t>
      </w:r>
      <w:r w:rsidRPr="005A4A25">
        <w:rPr>
          <w:rFonts w:ascii="Palatino Linotype" w:hAnsi="Palatino Linotype" w:cs="Tahoma"/>
          <w:sz w:val="22"/>
          <w:szCs w:val="24"/>
        </w:rPr>
        <w:t xml:space="preserve"> cuenta de lo solicitado, </w:t>
      </w:r>
      <w:r>
        <w:rPr>
          <w:rFonts w:ascii="Palatino Linotype" w:hAnsi="Palatino Linotype" w:cs="Tahoma"/>
          <w:sz w:val="22"/>
          <w:szCs w:val="24"/>
        </w:rPr>
        <w:t>lo cierto es que</w:t>
      </w:r>
      <w:r w:rsidRPr="005A4A25">
        <w:rPr>
          <w:rFonts w:ascii="Palatino Linotype" w:hAnsi="Palatino Linotype" w:cs="Tahoma"/>
          <w:sz w:val="22"/>
          <w:szCs w:val="24"/>
        </w:rPr>
        <w:t xml:space="preserve"> clasificó datos de naturaleza pública, concerniente al nombre</w:t>
      </w:r>
      <w:r w:rsidR="009B7596">
        <w:rPr>
          <w:rFonts w:ascii="Palatino Linotype" w:hAnsi="Palatino Linotype" w:cs="Tahoma"/>
          <w:sz w:val="22"/>
          <w:szCs w:val="24"/>
        </w:rPr>
        <w:t xml:space="preserve"> y firma</w:t>
      </w:r>
      <w:r w:rsidRPr="005A4A25">
        <w:rPr>
          <w:rFonts w:ascii="Palatino Linotype" w:hAnsi="Palatino Linotype" w:cs="Tahoma"/>
          <w:sz w:val="22"/>
          <w:szCs w:val="24"/>
        </w:rPr>
        <w:t xml:space="preserve"> de</w:t>
      </w:r>
      <w:r>
        <w:rPr>
          <w:rFonts w:ascii="Palatino Linotype" w:hAnsi="Palatino Linotype" w:cs="Tahoma"/>
          <w:sz w:val="22"/>
          <w:szCs w:val="24"/>
        </w:rPr>
        <w:t xml:space="preserve"> proveedores</w:t>
      </w:r>
      <w:r w:rsidR="00F0549B">
        <w:rPr>
          <w:rFonts w:ascii="Palatino Linotype" w:hAnsi="Palatino Linotype" w:cs="Tahoma"/>
          <w:sz w:val="22"/>
          <w:szCs w:val="24"/>
        </w:rPr>
        <w:t xml:space="preserve">, lo cual da como resultado que el agravio sea </w:t>
      </w:r>
      <w:r w:rsidR="00F0549B" w:rsidRPr="00F0549B">
        <w:rPr>
          <w:rFonts w:ascii="Palatino Linotype" w:hAnsi="Palatino Linotype" w:cs="Tahoma"/>
          <w:b/>
          <w:bCs/>
          <w:sz w:val="22"/>
          <w:szCs w:val="24"/>
        </w:rPr>
        <w:t>FUNDADO</w:t>
      </w:r>
      <w:r w:rsidR="00F0549B">
        <w:rPr>
          <w:rFonts w:ascii="Palatino Linotype" w:hAnsi="Palatino Linotype" w:cs="Tahoma"/>
          <w:sz w:val="22"/>
          <w:szCs w:val="24"/>
        </w:rPr>
        <w:t xml:space="preserve">, </w:t>
      </w:r>
      <w:r w:rsidRPr="005A4A25">
        <w:rPr>
          <w:rFonts w:ascii="Palatino Linotype" w:hAnsi="Palatino Linotype" w:cs="Tahoma"/>
          <w:sz w:val="22"/>
          <w:szCs w:val="24"/>
        </w:rPr>
        <w:t>por lo que, deberá proporcionarlo</w:t>
      </w:r>
      <w:r>
        <w:rPr>
          <w:rFonts w:ascii="Palatino Linotype" w:hAnsi="Palatino Linotype" w:cs="Tahoma"/>
          <w:sz w:val="22"/>
          <w:szCs w:val="24"/>
        </w:rPr>
        <w:t>s</w:t>
      </w:r>
      <w:r w:rsidRPr="005A4A25">
        <w:rPr>
          <w:rFonts w:ascii="Palatino Linotype" w:hAnsi="Palatino Linotype" w:cs="Tahoma"/>
          <w:sz w:val="22"/>
          <w:szCs w:val="24"/>
        </w:rPr>
        <w:t xml:space="preserve"> en </w:t>
      </w:r>
      <w:r>
        <w:rPr>
          <w:rFonts w:ascii="Palatino Linotype" w:hAnsi="Palatino Linotype" w:cs="Tahoma"/>
          <w:sz w:val="22"/>
          <w:szCs w:val="24"/>
        </w:rPr>
        <w:t xml:space="preserve">su caso, en </w:t>
      </w:r>
      <w:r w:rsidRPr="005A4A25">
        <w:rPr>
          <w:rFonts w:ascii="Palatino Linotype" w:hAnsi="Palatino Linotype" w:cs="Tahoma"/>
          <w:sz w:val="22"/>
          <w:szCs w:val="24"/>
        </w:rPr>
        <w:t xml:space="preserve">versión </w:t>
      </w:r>
      <w:r>
        <w:rPr>
          <w:rFonts w:ascii="Palatino Linotype" w:hAnsi="Palatino Linotype" w:cs="Tahoma"/>
          <w:sz w:val="22"/>
          <w:szCs w:val="24"/>
        </w:rPr>
        <w:t>íntegra</w:t>
      </w:r>
      <w:r w:rsidRPr="005A4A25">
        <w:rPr>
          <w:rFonts w:ascii="Palatino Linotype" w:hAnsi="Palatino Linotype" w:cs="Tahoma"/>
          <w:sz w:val="22"/>
          <w:szCs w:val="24"/>
        </w:rPr>
        <w:t>.</w:t>
      </w:r>
      <w:r w:rsidR="00551607">
        <w:rPr>
          <w:rFonts w:ascii="Palatino Linotype" w:hAnsi="Palatino Linotype" w:cs="Tahoma"/>
          <w:sz w:val="22"/>
          <w:szCs w:val="24"/>
        </w:rPr>
        <w:t xml:space="preserve"> </w:t>
      </w:r>
    </w:p>
    <w:p w14:paraId="70D448F6" w14:textId="77777777" w:rsidR="00C24754" w:rsidRDefault="00C24754" w:rsidP="005E13A5">
      <w:pPr>
        <w:spacing w:line="360" w:lineRule="auto"/>
        <w:contextualSpacing/>
        <w:jc w:val="both"/>
        <w:rPr>
          <w:rFonts w:ascii="Palatino Linotype" w:hAnsi="Palatino Linotype" w:cs="Tahoma"/>
          <w:sz w:val="22"/>
          <w:szCs w:val="24"/>
        </w:rPr>
      </w:pPr>
    </w:p>
    <w:p w14:paraId="15F9101A" w14:textId="04E2188B" w:rsidR="00F0549B" w:rsidRPr="00551607" w:rsidRDefault="00F0549B" w:rsidP="005E13A5">
      <w:pPr>
        <w:spacing w:line="360" w:lineRule="auto"/>
        <w:contextualSpacing/>
        <w:jc w:val="both"/>
        <w:rPr>
          <w:rFonts w:ascii="Palatino Linotype" w:hAnsi="Palatino Linotype" w:cs="Tahoma"/>
          <w:sz w:val="22"/>
          <w:szCs w:val="24"/>
        </w:rPr>
      </w:pPr>
      <w:r>
        <w:rPr>
          <w:rFonts w:ascii="Palatino Linotype" w:eastAsia="Calibri" w:hAnsi="Palatino Linotype" w:cs="Tahoma"/>
          <w:iCs/>
          <w:sz w:val="22"/>
          <w:szCs w:val="22"/>
          <w:lang w:eastAsia="es-ES_tradnl"/>
        </w:rPr>
        <w:lastRenderedPageBreak/>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EEB6780" w14:textId="77777777" w:rsidR="00F0549B" w:rsidRDefault="00F0549B" w:rsidP="005E13A5">
      <w:pPr>
        <w:spacing w:line="360" w:lineRule="auto"/>
        <w:contextualSpacing/>
        <w:jc w:val="both"/>
        <w:rPr>
          <w:rFonts w:ascii="Palatino Linotype" w:eastAsia="Calibri" w:hAnsi="Palatino Linotype"/>
          <w:color w:val="FF0000"/>
          <w:sz w:val="22"/>
          <w:szCs w:val="22"/>
        </w:rPr>
      </w:pPr>
    </w:p>
    <w:p w14:paraId="77EE655D" w14:textId="77777777" w:rsidR="00F0549B" w:rsidRDefault="00F0549B" w:rsidP="005E13A5">
      <w:pPr>
        <w:spacing w:line="360" w:lineRule="auto"/>
        <w:contextualSpacing/>
        <w:jc w:val="both"/>
        <w:rPr>
          <w:rFonts w:ascii="Palatino Linotype" w:eastAsia="Calibri" w:hAnsi="Palatino Linotype"/>
          <w:sz w:val="22"/>
          <w:szCs w:val="22"/>
        </w:rPr>
      </w:pPr>
      <w:r>
        <w:rPr>
          <w:rFonts w:ascii="Palatino Linotype" w:eastAsia="Calibri"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eastAsia="Calibri" w:hAnsi="Palatino Linotype"/>
          <w:i/>
          <w:sz w:val="22"/>
          <w:szCs w:val="22"/>
        </w:rPr>
        <w:t>ad hoc</w:t>
      </w:r>
      <w:r>
        <w:rPr>
          <w:rFonts w:ascii="Palatino Linotype" w:eastAsia="Calibri" w:hAnsi="Palatino Linotype"/>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0FB38A66" w14:textId="77777777" w:rsidR="00F0549B" w:rsidRDefault="00F0549B" w:rsidP="005E13A5">
      <w:pPr>
        <w:spacing w:line="360" w:lineRule="auto"/>
        <w:contextualSpacing/>
        <w:jc w:val="both"/>
        <w:rPr>
          <w:rFonts w:ascii="Palatino Linotype" w:eastAsia="Calibri" w:hAnsi="Palatino Linotype"/>
          <w:sz w:val="22"/>
          <w:szCs w:val="22"/>
        </w:rPr>
      </w:pPr>
    </w:p>
    <w:p w14:paraId="5F22A8BF" w14:textId="50090E35" w:rsidR="00F0549B" w:rsidRPr="00F0549B" w:rsidRDefault="00F0549B" w:rsidP="005E13A5">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Pr>
          <w:rFonts w:ascii="Palatino Linotype" w:eastAsia="Calibri" w:hAnsi="Palatino Linotype"/>
          <w:sz w:val="22"/>
          <w:szCs w:val="22"/>
        </w:rPr>
        <w:t>la documentación que contenga las facturas requeridas.</w:t>
      </w:r>
    </w:p>
    <w:p w14:paraId="6EEAE7A7" w14:textId="77777777" w:rsidR="00A77860" w:rsidRDefault="00A77860" w:rsidP="005E13A5">
      <w:pPr>
        <w:spacing w:line="360" w:lineRule="auto"/>
        <w:contextualSpacing/>
        <w:jc w:val="both"/>
        <w:rPr>
          <w:rFonts w:ascii="Palatino Linotype" w:hAnsi="Palatino Linotype"/>
          <w:bCs/>
          <w:iCs/>
          <w:sz w:val="22"/>
          <w:szCs w:val="22"/>
        </w:rPr>
      </w:pPr>
    </w:p>
    <w:p w14:paraId="44C5D58C" w14:textId="77777777" w:rsidR="00A77860" w:rsidRPr="00DE38C7" w:rsidRDefault="00A77860" w:rsidP="005E13A5">
      <w:pPr>
        <w:pStyle w:val="Ttulo2"/>
        <w:spacing w:before="0" w:after="0" w:line="360" w:lineRule="auto"/>
        <w:contextualSpacing/>
        <w:rPr>
          <w:rFonts w:ascii="Palatino Linotype" w:hAnsi="Palatino Linotype"/>
          <w:b/>
          <w:bCs/>
          <w:color w:val="auto"/>
          <w:sz w:val="22"/>
          <w:szCs w:val="22"/>
        </w:rPr>
      </w:pPr>
      <w:bookmarkStart w:id="28" w:name="_Toc203518783"/>
      <w:bookmarkStart w:id="29" w:name="_Toc213337147"/>
      <w:bookmarkStart w:id="30" w:name="_Toc222412304"/>
      <w:r w:rsidRPr="00DE38C7">
        <w:rPr>
          <w:rFonts w:ascii="Palatino Linotype" w:hAnsi="Palatino Linotype"/>
          <w:b/>
          <w:bCs/>
          <w:color w:val="auto"/>
          <w:sz w:val="22"/>
          <w:szCs w:val="22"/>
        </w:rPr>
        <w:t>SEXTO. Decisión</w:t>
      </w:r>
      <w:bookmarkEnd w:id="28"/>
      <w:bookmarkEnd w:id="29"/>
      <w:bookmarkEnd w:id="30"/>
    </w:p>
    <w:p w14:paraId="749E3AA4" w14:textId="77777777" w:rsidR="00A77860" w:rsidRPr="00DE38C7" w:rsidRDefault="00A77860" w:rsidP="005E13A5">
      <w:pPr>
        <w:spacing w:line="360" w:lineRule="auto"/>
        <w:contextualSpacing/>
        <w:jc w:val="both"/>
        <w:rPr>
          <w:rFonts w:ascii="Palatino Linotype" w:eastAsia="Palatino Linotype" w:hAnsi="Palatino Linotype" w:cs="Palatino Linotype"/>
          <w:sz w:val="22"/>
          <w:szCs w:val="22"/>
        </w:rPr>
      </w:pPr>
    </w:p>
    <w:p w14:paraId="753C9D29" w14:textId="4E669E5C" w:rsidR="00A77860" w:rsidRPr="00DE38C7" w:rsidRDefault="00A77860" w:rsidP="005E13A5">
      <w:pPr>
        <w:tabs>
          <w:tab w:val="left" w:pos="4962"/>
        </w:tabs>
        <w:spacing w:line="360" w:lineRule="auto"/>
        <w:contextualSpacing/>
        <w:jc w:val="both"/>
        <w:rPr>
          <w:rFonts w:ascii="Palatino Linotype" w:hAnsi="Palatino Linotype" w:cs="Tahoma"/>
          <w:sz w:val="22"/>
          <w:szCs w:val="22"/>
        </w:rPr>
      </w:pPr>
      <w:r w:rsidRPr="00DE38C7">
        <w:rPr>
          <w:rFonts w:ascii="Palatino Linotype" w:hAnsi="Palatino Linotype" w:cs="Arial"/>
          <w:sz w:val="22"/>
          <w:szCs w:val="22"/>
        </w:rPr>
        <w:t>C</w:t>
      </w:r>
      <w:r w:rsidRPr="00DE38C7">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690DEE">
        <w:rPr>
          <w:rFonts w:ascii="Palatino Linotype" w:hAnsi="Palatino Linotype" w:cs="Tahoma"/>
          <w:b/>
          <w:sz w:val="22"/>
          <w:szCs w:val="22"/>
        </w:rPr>
        <w:t>MODIFI</w:t>
      </w:r>
      <w:r w:rsidRPr="00DE38C7">
        <w:rPr>
          <w:rFonts w:ascii="Palatino Linotype" w:hAnsi="Palatino Linotype" w:cs="Tahoma"/>
          <w:b/>
          <w:sz w:val="22"/>
          <w:szCs w:val="22"/>
        </w:rPr>
        <w:t>CAR</w:t>
      </w:r>
      <w:r w:rsidRPr="00DE38C7">
        <w:rPr>
          <w:rFonts w:ascii="Palatino Linotype" w:hAnsi="Palatino Linotype" w:cs="Tahoma"/>
          <w:sz w:val="22"/>
          <w:szCs w:val="22"/>
        </w:rPr>
        <w:t xml:space="preserve"> la respuesta otorgada a la solicitud de información </w:t>
      </w:r>
      <w:r w:rsidRPr="001C2BDC">
        <w:rPr>
          <w:rFonts w:ascii="Palatino Linotype" w:hAnsi="Palatino Linotype"/>
          <w:b/>
          <w:bCs/>
          <w:sz w:val="22"/>
          <w:szCs w:val="22"/>
        </w:rPr>
        <w:t>00</w:t>
      </w:r>
      <w:r w:rsidR="00690DEE">
        <w:rPr>
          <w:rFonts w:ascii="Palatino Linotype" w:hAnsi="Palatino Linotype"/>
          <w:b/>
          <w:bCs/>
          <w:sz w:val="22"/>
          <w:szCs w:val="22"/>
        </w:rPr>
        <w:t>662</w:t>
      </w:r>
      <w:r w:rsidRPr="001C2BDC">
        <w:rPr>
          <w:rFonts w:ascii="Palatino Linotype" w:hAnsi="Palatino Linotype"/>
          <w:b/>
          <w:bCs/>
          <w:sz w:val="22"/>
          <w:szCs w:val="22"/>
        </w:rPr>
        <w:t>/SMOV/IP/2025</w:t>
      </w:r>
      <w:r w:rsidRPr="00DE38C7">
        <w:rPr>
          <w:rFonts w:ascii="Palatino Linotype" w:hAnsi="Palatino Linotype" w:cs="Tahoma"/>
          <w:bCs/>
          <w:sz w:val="22"/>
          <w:szCs w:val="22"/>
        </w:rPr>
        <w:t>, a efecto de que</w:t>
      </w:r>
      <w:r w:rsidRPr="00DE38C7">
        <w:rPr>
          <w:rFonts w:ascii="Palatino Linotype" w:hAnsi="Palatino Linotype" w:cs="Tahoma"/>
          <w:sz w:val="22"/>
          <w:szCs w:val="22"/>
        </w:rPr>
        <w:t xml:space="preserve"> proporcione </w:t>
      </w:r>
      <w:r>
        <w:rPr>
          <w:rFonts w:ascii="Palatino Linotype" w:hAnsi="Palatino Linotype" w:cs="Tahoma"/>
          <w:sz w:val="22"/>
          <w:szCs w:val="22"/>
        </w:rPr>
        <w:t>la información</w:t>
      </w:r>
      <w:r w:rsidR="00690DEE">
        <w:rPr>
          <w:rFonts w:ascii="Palatino Linotype" w:hAnsi="Palatino Linotype" w:cs="Tahoma"/>
          <w:sz w:val="22"/>
          <w:szCs w:val="22"/>
        </w:rPr>
        <w:t xml:space="preserve"> remitida en informe justificado en versión íntegra</w:t>
      </w:r>
      <w:r w:rsidR="004273BE">
        <w:rPr>
          <w:rFonts w:ascii="Palatino Linotype" w:hAnsi="Palatino Linotype" w:cs="Tahoma"/>
          <w:sz w:val="22"/>
          <w:szCs w:val="22"/>
        </w:rPr>
        <w:t xml:space="preserve"> al no advertirse datos susceptibles de clasificación</w:t>
      </w:r>
      <w:r w:rsidRPr="00DE38C7">
        <w:rPr>
          <w:rFonts w:ascii="Palatino Linotype" w:hAnsi="Palatino Linotype" w:cs="Tahoma"/>
          <w:sz w:val="22"/>
          <w:szCs w:val="22"/>
        </w:rPr>
        <w:t>.</w:t>
      </w:r>
    </w:p>
    <w:p w14:paraId="31662A34" w14:textId="77777777" w:rsidR="00A77860" w:rsidRPr="00DE38C7" w:rsidRDefault="00A77860" w:rsidP="005E13A5">
      <w:pPr>
        <w:spacing w:line="360" w:lineRule="auto"/>
        <w:contextualSpacing/>
        <w:jc w:val="both"/>
        <w:rPr>
          <w:rFonts w:ascii="Palatino Linotype" w:hAnsi="Palatino Linotype"/>
          <w:b/>
          <w:color w:val="000000"/>
          <w:sz w:val="22"/>
          <w:szCs w:val="22"/>
        </w:rPr>
      </w:pPr>
      <w:bookmarkStart w:id="31" w:name="_Toc199369393"/>
    </w:p>
    <w:p w14:paraId="376DCD8E" w14:textId="77777777" w:rsidR="00A77860" w:rsidRPr="00DE38C7" w:rsidRDefault="00A77860" w:rsidP="005E13A5">
      <w:pPr>
        <w:spacing w:line="360" w:lineRule="auto"/>
        <w:contextualSpacing/>
        <w:jc w:val="both"/>
        <w:rPr>
          <w:rFonts w:ascii="Palatino Linotype" w:hAnsi="Palatino Linotype"/>
          <w:b/>
          <w:color w:val="000000"/>
          <w:sz w:val="22"/>
          <w:szCs w:val="22"/>
        </w:rPr>
      </w:pPr>
      <w:r w:rsidRPr="00DE38C7">
        <w:rPr>
          <w:rFonts w:ascii="Palatino Linotype" w:hAnsi="Palatino Linotype"/>
          <w:b/>
          <w:color w:val="000000"/>
          <w:sz w:val="22"/>
          <w:szCs w:val="22"/>
        </w:rPr>
        <w:t>Términos de la Resolución para el Recurrente</w:t>
      </w:r>
    </w:p>
    <w:p w14:paraId="0A739110" w14:textId="77777777" w:rsidR="00A77860" w:rsidRPr="00DE38C7" w:rsidRDefault="00A77860" w:rsidP="005E13A5">
      <w:pPr>
        <w:spacing w:line="360" w:lineRule="auto"/>
        <w:contextualSpacing/>
        <w:jc w:val="both"/>
        <w:rPr>
          <w:rFonts w:ascii="Palatino Linotype" w:hAnsi="Palatino Linotype"/>
          <w:b/>
          <w:color w:val="000000"/>
          <w:sz w:val="22"/>
          <w:szCs w:val="22"/>
        </w:rPr>
      </w:pPr>
    </w:p>
    <w:p w14:paraId="0E90C970" w14:textId="18B1CC6F" w:rsidR="00A77860" w:rsidRDefault="00A77860" w:rsidP="005E13A5">
      <w:pPr>
        <w:spacing w:line="360" w:lineRule="auto"/>
        <w:contextualSpacing/>
        <w:jc w:val="both"/>
        <w:rPr>
          <w:rFonts w:ascii="Palatino Linotype" w:hAnsi="Palatino Linotype"/>
          <w:color w:val="000000"/>
          <w:sz w:val="22"/>
          <w:szCs w:val="22"/>
        </w:rPr>
      </w:pPr>
      <w:r w:rsidRPr="00DE38C7">
        <w:rPr>
          <w:rFonts w:ascii="Palatino Linotype" w:hAnsi="Palatino Linotype"/>
          <w:color w:val="000000"/>
          <w:sz w:val="22"/>
          <w:szCs w:val="22"/>
        </w:rPr>
        <w:t>Se le hace del conocimiento al Particular, que, en el presente caso, se le concede la razón, pues l</w:t>
      </w:r>
      <w:r>
        <w:rPr>
          <w:rFonts w:ascii="Palatino Linotype" w:hAnsi="Palatino Linotype"/>
          <w:color w:val="000000"/>
          <w:sz w:val="22"/>
          <w:szCs w:val="22"/>
        </w:rPr>
        <w:t>a</w:t>
      </w:r>
      <w:r w:rsidRPr="00DE38C7">
        <w:rPr>
          <w:rFonts w:ascii="Palatino Linotype" w:hAnsi="Palatino Linotype"/>
          <w:color w:val="000000"/>
          <w:sz w:val="22"/>
          <w:szCs w:val="22"/>
        </w:rPr>
        <w:t xml:space="preserve"> </w:t>
      </w:r>
      <w:r>
        <w:rPr>
          <w:rFonts w:ascii="Palatino Linotype" w:hAnsi="Palatino Linotype"/>
          <w:color w:val="000000"/>
          <w:sz w:val="22"/>
          <w:szCs w:val="22"/>
        </w:rPr>
        <w:t>Secretaría de Movilidad</w:t>
      </w:r>
      <w:r w:rsidRPr="00DE38C7">
        <w:rPr>
          <w:rFonts w:ascii="Palatino Linotype" w:hAnsi="Palatino Linotype"/>
          <w:color w:val="000000"/>
          <w:sz w:val="22"/>
          <w:szCs w:val="22"/>
        </w:rPr>
        <w:t xml:space="preserve">, si bien, proporcionó diversos </w:t>
      </w:r>
      <w:r>
        <w:rPr>
          <w:rFonts w:ascii="Palatino Linotype" w:hAnsi="Palatino Linotype"/>
          <w:color w:val="000000"/>
          <w:sz w:val="22"/>
          <w:szCs w:val="22"/>
        </w:rPr>
        <w:t>documentos que daban cuenta de lo solicitado</w:t>
      </w:r>
      <w:r w:rsidRPr="00DE38C7">
        <w:rPr>
          <w:rFonts w:ascii="Palatino Linotype" w:hAnsi="Palatino Linotype"/>
          <w:color w:val="000000"/>
          <w:sz w:val="22"/>
          <w:szCs w:val="22"/>
        </w:rPr>
        <w:t xml:space="preserve">, lo cierto es que la proporcionó </w:t>
      </w:r>
      <w:r w:rsidR="004273BE">
        <w:rPr>
          <w:rFonts w:ascii="Palatino Linotype" w:hAnsi="Palatino Linotype"/>
          <w:color w:val="000000"/>
          <w:sz w:val="22"/>
          <w:szCs w:val="22"/>
        </w:rPr>
        <w:t>en versión pública</w:t>
      </w:r>
      <w:r w:rsidRPr="00DE38C7">
        <w:rPr>
          <w:rFonts w:ascii="Palatino Linotype" w:hAnsi="Palatino Linotype"/>
          <w:color w:val="000000"/>
          <w:sz w:val="22"/>
          <w:szCs w:val="22"/>
        </w:rPr>
        <w:t>, por lo que deberá proporcionar los documentos requeridos en</w:t>
      </w:r>
      <w:r>
        <w:rPr>
          <w:rFonts w:ascii="Palatino Linotype" w:hAnsi="Palatino Linotype"/>
          <w:color w:val="000000"/>
          <w:sz w:val="22"/>
          <w:szCs w:val="22"/>
        </w:rPr>
        <w:t xml:space="preserve"> su caso en</w:t>
      </w:r>
      <w:r w:rsidRPr="00DE38C7">
        <w:rPr>
          <w:rFonts w:ascii="Palatino Linotype" w:hAnsi="Palatino Linotype"/>
          <w:color w:val="000000"/>
          <w:sz w:val="22"/>
          <w:szCs w:val="22"/>
        </w:rPr>
        <w:t xml:space="preserve"> versión </w:t>
      </w:r>
      <w:r w:rsidR="004273BE">
        <w:rPr>
          <w:rFonts w:ascii="Palatino Linotype" w:hAnsi="Palatino Linotype"/>
          <w:color w:val="000000"/>
          <w:sz w:val="22"/>
          <w:szCs w:val="22"/>
        </w:rPr>
        <w:t>íntegra</w:t>
      </w:r>
      <w:r w:rsidRPr="00DE38C7">
        <w:rPr>
          <w:rFonts w:ascii="Palatino Linotype" w:hAnsi="Palatino Linotype"/>
          <w:color w:val="000000"/>
          <w:sz w:val="22"/>
          <w:szCs w:val="22"/>
        </w:rPr>
        <w:t>. La labor del Instituto, es apoyar a la población para acceder a la información pública y garantizar la protección de los datos personales.</w:t>
      </w:r>
    </w:p>
    <w:p w14:paraId="7F92C4CA" w14:textId="77777777" w:rsidR="004273BE" w:rsidRPr="00D86ECA" w:rsidRDefault="004273BE" w:rsidP="005E13A5">
      <w:pPr>
        <w:spacing w:line="360" w:lineRule="auto"/>
        <w:contextualSpacing/>
        <w:jc w:val="both"/>
        <w:rPr>
          <w:rFonts w:ascii="Palatino Linotype" w:hAnsi="Palatino Linotype"/>
          <w:color w:val="000000"/>
          <w:sz w:val="22"/>
          <w:szCs w:val="22"/>
        </w:rPr>
      </w:pPr>
    </w:p>
    <w:p w14:paraId="638C911F" w14:textId="77777777" w:rsidR="00A77860" w:rsidRDefault="00A77860" w:rsidP="005E13A5">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22A83E63" w14:textId="77777777" w:rsidR="00A77860" w:rsidRPr="00D86ECA" w:rsidRDefault="00A77860" w:rsidP="005E13A5">
      <w:pPr>
        <w:spacing w:line="360" w:lineRule="auto"/>
        <w:ind w:right="-93"/>
        <w:contextualSpacing/>
        <w:jc w:val="both"/>
        <w:rPr>
          <w:rFonts w:ascii="Palatino Linotype" w:hAnsi="Palatino Linotype"/>
          <w:color w:val="000000"/>
          <w:sz w:val="22"/>
          <w:szCs w:val="22"/>
        </w:rPr>
      </w:pPr>
    </w:p>
    <w:p w14:paraId="2B6E1390" w14:textId="77777777" w:rsidR="00A77860" w:rsidRPr="00903CC5" w:rsidRDefault="00A77860" w:rsidP="005E13A5">
      <w:pPr>
        <w:pStyle w:val="Ttulo1"/>
        <w:spacing w:before="0" w:after="0" w:line="360" w:lineRule="auto"/>
        <w:contextualSpacing/>
        <w:jc w:val="center"/>
        <w:rPr>
          <w:rFonts w:ascii="Palatino Linotype" w:eastAsia="Calibri" w:hAnsi="Palatino Linotype"/>
          <w:b/>
          <w:bCs/>
          <w:color w:val="auto"/>
          <w:sz w:val="22"/>
          <w:szCs w:val="22"/>
        </w:rPr>
      </w:pPr>
      <w:bookmarkStart w:id="32" w:name="_Toc203518784"/>
      <w:bookmarkStart w:id="33" w:name="_Toc213337148"/>
      <w:bookmarkStart w:id="34" w:name="_Toc222412305"/>
      <w:r w:rsidRPr="00903CC5">
        <w:rPr>
          <w:rFonts w:ascii="Palatino Linotype" w:eastAsia="Calibri" w:hAnsi="Palatino Linotype"/>
          <w:b/>
          <w:bCs/>
          <w:color w:val="auto"/>
          <w:sz w:val="22"/>
          <w:szCs w:val="22"/>
        </w:rPr>
        <w:t>R E S U E L V E</w:t>
      </w:r>
      <w:bookmarkEnd w:id="31"/>
      <w:bookmarkEnd w:id="32"/>
      <w:bookmarkEnd w:id="33"/>
      <w:bookmarkEnd w:id="34"/>
    </w:p>
    <w:p w14:paraId="38F14C9C" w14:textId="77777777" w:rsidR="00A77860" w:rsidRPr="00B71E3E" w:rsidRDefault="00A77860" w:rsidP="005E13A5">
      <w:pPr>
        <w:spacing w:line="360" w:lineRule="auto"/>
        <w:ind w:right="-28"/>
        <w:contextualSpacing/>
        <w:jc w:val="both"/>
        <w:rPr>
          <w:rFonts w:ascii="Palatino Linotype" w:hAnsi="Palatino Linotype" w:cs="Tahoma"/>
          <w:b/>
          <w:bCs/>
          <w:sz w:val="22"/>
          <w:szCs w:val="22"/>
        </w:rPr>
      </w:pPr>
    </w:p>
    <w:p w14:paraId="1C14D996" w14:textId="1376326A" w:rsidR="00A77860" w:rsidRPr="00B71E3E" w:rsidRDefault="00A77860" w:rsidP="005E13A5">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004273BE">
        <w:rPr>
          <w:rFonts w:ascii="Palatino Linotype" w:eastAsia="Calibri" w:hAnsi="Palatino Linotype"/>
          <w:b/>
          <w:bCs/>
          <w:sz w:val="22"/>
          <w:szCs w:val="22"/>
        </w:rPr>
        <w:t>MODIFI</w:t>
      </w:r>
      <w:r>
        <w:rPr>
          <w:rFonts w:ascii="Palatino Linotype" w:eastAsia="Calibri" w:hAnsi="Palatino Linotype"/>
          <w:b/>
          <w:bCs/>
          <w:sz w:val="22"/>
          <w:szCs w:val="22"/>
        </w:rPr>
        <w:t>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respuesta entregada por l</w:t>
      </w:r>
      <w:r>
        <w:rPr>
          <w:rFonts w:ascii="Palatino Linotype" w:eastAsia="Calibri" w:hAnsi="Palatino Linotype"/>
          <w:sz w:val="22"/>
          <w:szCs w:val="22"/>
        </w:rPr>
        <w:t>a</w:t>
      </w:r>
      <w:r w:rsidRPr="00B71E3E">
        <w:rPr>
          <w:rFonts w:ascii="Palatino Linotype" w:eastAsia="Calibri" w:hAnsi="Palatino Linotype"/>
          <w:sz w:val="22"/>
          <w:szCs w:val="22"/>
        </w:rPr>
        <w:t xml:space="preserve"> </w:t>
      </w:r>
      <w:r>
        <w:rPr>
          <w:rFonts w:ascii="Palatino Linotype" w:eastAsia="Calibri" w:hAnsi="Palatino Linotype"/>
          <w:sz w:val="22"/>
          <w:szCs w:val="22"/>
        </w:rPr>
        <w:t xml:space="preserve">Secretaría de Movilidad </w:t>
      </w:r>
      <w:r w:rsidRPr="00B71E3E">
        <w:rPr>
          <w:rFonts w:ascii="Palatino Linotype" w:eastAsia="Calibri" w:hAnsi="Palatino Linotype"/>
          <w:sz w:val="22"/>
          <w:szCs w:val="22"/>
        </w:rPr>
        <w:t xml:space="preserve">a la solicitud de </w:t>
      </w:r>
      <w:r w:rsidRPr="00806FE8">
        <w:rPr>
          <w:rFonts w:ascii="Palatino Linotype" w:eastAsia="Calibri" w:hAnsi="Palatino Linotype"/>
          <w:sz w:val="22"/>
          <w:szCs w:val="22"/>
        </w:rPr>
        <w:t xml:space="preserve">información </w:t>
      </w:r>
      <w:r w:rsidRPr="00806FE8">
        <w:rPr>
          <w:rFonts w:ascii="Palatino Linotype" w:hAnsi="Palatino Linotype"/>
          <w:sz w:val="22"/>
          <w:szCs w:val="22"/>
        </w:rPr>
        <w:t>00</w:t>
      </w:r>
      <w:r w:rsidR="004273BE">
        <w:rPr>
          <w:rFonts w:ascii="Palatino Linotype" w:hAnsi="Palatino Linotype"/>
          <w:sz w:val="22"/>
          <w:szCs w:val="22"/>
        </w:rPr>
        <w:t>662</w:t>
      </w:r>
      <w:r w:rsidRPr="00806FE8">
        <w:rPr>
          <w:rFonts w:ascii="Palatino Linotype" w:hAnsi="Palatino Linotype"/>
          <w:sz w:val="22"/>
          <w:szCs w:val="22"/>
        </w:rPr>
        <w:t xml:space="preserve">/SMOV/IP/2025 </w:t>
      </w:r>
      <w:r w:rsidRPr="00806FE8">
        <w:rPr>
          <w:rFonts w:ascii="Palatino Linotype" w:eastAsia="Calibri" w:hAnsi="Palatino Linotype"/>
          <w:sz w:val="22"/>
          <w:szCs w:val="22"/>
        </w:rPr>
        <w:t>por</w:t>
      </w:r>
      <w:r w:rsidRPr="00B71E3E">
        <w:rPr>
          <w:rFonts w:ascii="Palatino Linotype" w:eastAsia="Calibri" w:hAnsi="Palatino Linotype"/>
          <w:sz w:val="22"/>
          <w:szCs w:val="22"/>
        </w:rPr>
        <w:t xml:space="preserve">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66EC0BF5" w14:textId="77777777" w:rsidR="00A77860" w:rsidRPr="00B71E3E" w:rsidRDefault="00A77860" w:rsidP="005E13A5">
      <w:pPr>
        <w:widowControl w:val="0"/>
        <w:spacing w:line="360" w:lineRule="auto"/>
        <w:contextualSpacing/>
        <w:jc w:val="both"/>
        <w:rPr>
          <w:rFonts w:ascii="Palatino Linotype" w:eastAsia="Calibri" w:hAnsi="Palatino Linotype"/>
          <w:sz w:val="22"/>
          <w:szCs w:val="22"/>
        </w:rPr>
      </w:pPr>
    </w:p>
    <w:p w14:paraId="72CEE0D1" w14:textId="7FABA7D1" w:rsidR="00A77860" w:rsidRPr="005E13A5" w:rsidRDefault="00A77860" w:rsidP="00C24754">
      <w:pPr>
        <w:spacing w:line="360" w:lineRule="auto"/>
        <w:contextualSpacing/>
        <w:jc w:val="both"/>
        <w:rPr>
          <w:rFonts w:ascii="Palatino Linotype" w:hAnsi="Palatino Linotype" w:cs="Tahoma"/>
          <w:bCs/>
          <w:iCs/>
          <w:sz w:val="22"/>
          <w:szCs w:val="22"/>
        </w:rPr>
      </w:pPr>
      <w:r w:rsidRPr="00DE38C7">
        <w:rPr>
          <w:rFonts w:ascii="Palatino Linotype" w:hAnsi="Palatino Linotype"/>
          <w:b/>
          <w:sz w:val="22"/>
          <w:szCs w:val="22"/>
        </w:rPr>
        <w:t xml:space="preserve">SEGUNDO. </w:t>
      </w:r>
      <w:r w:rsidRPr="00DE38C7">
        <w:rPr>
          <w:rFonts w:ascii="Palatino Linotype" w:hAnsi="Palatino Linotype"/>
          <w:sz w:val="22"/>
          <w:szCs w:val="22"/>
        </w:rPr>
        <w:t xml:space="preserve">Se </w:t>
      </w:r>
      <w:r w:rsidRPr="00DE38C7">
        <w:rPr>
          <w:rFonts w:ascii="Palatino Linotype" w:hAnsi="Palatino Linotype"/>
          <w:b/>
          <w:sz w:val="22"/>
          <w:szCs w:val="22"/>
        </w:rPr>
        <w:t>ORDENA</w:t>
      </w:r>
      <w:r w:rsidRPr="00DE38C7">
        <w:rPr>
          <w:rFonts w:ascii="Palatino Linotype" w:hAnsi="Palatino Linotype"/>
          <w:sz w:val="22"/>
          <w:szCs w:val="22"/>
        </w:rPr>
        <w:t xml:space="preserve"> al Ente Recurrido</w:t>
      </w:r>
      <w:r w:rsidRPr="00DE38C7">
        <w:rPr>
          <w:rFonts w:ascii="Palatino Linotype" w:hAnsi="Palatino Linotype"/>
          <w:b/>
          <w:sz w:val="22"/>
          <w:szCs w:val="22"/>
        </w:rPr>
        <w:t xml:space="preserve">, </w:t>
      </w:r>
      <w:r w:rsidRPr="00DE38C7">
        <w:rPr>
          <w:rFonts w:ascii="Palatino Linotype" w:hAnsi="Palatino Linotype" w:cs="Tahoma"/>
          <w:sz w:val="22"/>
          <w:szCs w:val="22"/>
        </w:rPr>
        <w:t xml:space="preserve">a efecto de que </w:t>
      </w:r>
      <w:r w:rsidRPr="00DE38C7">
        <w:rPr>
          <w:rFonts w:ascii="Palatino Linotype" w:eastAsia="Calibri" w:hAnsi="Palatino Linotype" w:cs="Tahoma"/>
          <w:sz w:val="22"/>
          <w:szCs w:val="22"/>
        </w:rPr>
        <w:t xml:space="preserve">entregue a través del SAIMEX, </w:t>
      </w:r>
      <w:r w:rsidR="00C24754">
        <w:rPr>
          <w:rFonts w:ascii="Palatino Linotype" w:eastAsia="Calibri" w:hAnsi="Palatino Linotype" w:cs="Tahoma"/>
          <w:sz w:val="22"/>
          <w:szCs w:val="22"/>
        </w:rPr>
        <w:t>en versión íntegra, l</w:t>
      </w:r>
      <w:r w:rsidR="005E13A5" w:rsidRPr="005E13A5">
        <w:rPr>
          <w:rFonts w:ascii="Palatino Linotype" w:hAnsi="Palatino Linotype" w:cs="Tahoma"/>
          <w:bCs/>
          <w:iCs/>
          <w:sz w:val="22"/>
          <w:szCs w:val="22"/>
        </w:rPr>
        <w:t>as facturas</w:t>
      </w:r>
      <w:r w:rsidR="005E13A5">
        <w:rPr>
          <w:rFonts w:ascii="Palatino Linotype" w:hAnsi="Palatino Linotype" w:cs="Tahoma"/>
          <w:bCs/>
          <w:iCs/>
          <w:sz w:val="22"/>
          <w:szCs w:val="22"/>
        </w:rPr>
        <w:t xml:space="preserve"> proporcionadas en informe justificado</w:t>
      </w:r>
      <w:r w:rsidR="005E13A5" w:rsidRPr="005E13A5">
        <w:rPr>
          <w:rFonts w:ascii="Palatino Linotype" w:hAnsi="Palatino Linotype" w:cs="Tahoma"/>
          <w:bCs/>
          <w:iCs/>
          <w:sz w:val="22"/>
          <w:szCs w:val="22"/>
        </w:rPr>
        <w:t>.</w:t>
      </w:r>
    </w:p>
    <w:p w14:paraId="7036FB3E" w14:textId="77777777" w:rsidR="004273BE" w:rsidRDefault="004273BE" w:rsidP="005E13A5">
      <w:pPr>
        <w:spacing w:line="360" w:lineRule="auto"/>
        <w:contextualSpacing/>
        <w:jc w:val="both"/>
        <w:rPr>
          <w:rFonts w:ascii="Palatino Linotype" w:eastAsia="Calibri" w:hAnsi="Palatino Linotype" w:cs="Tahoma"/>
          <w:bCs/>
          <w:iCs/>
          <w:sz w:val="22"/>
          <w:szCs w:val="22"/>
          <w:lang w:val="es-ES" w:eastAsia="en-US"/>
        </w:rPr>
      </w:pPr>
    </w:p>
    <w:p w14:paraId="0593A34C" w14:textId="77777777" w:rsidR="00A77860" w:rsidRDefault="00A77860" w:rsidP="005E13A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B71E3E">
        <w:rPr>
          <w:rFonts w:ascii="Palatino Linotype" w:eastAsia="Calibri" w:hAnsi="Palatino Linotype" w:cs="Tahoma"/>
          <w:iCs/>
          <w:sz w:val="22"/>
          <w:szCs w:val="22"/>
        </w:rPr>
        <w:lastRenderedPageBreak/>
        <w:t>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0BEC4758" w14:textId="77777777" w:rsidR="00A77860" w:rsidRDefault="00A77860" w:rsidP="005E13A5">
      <w:pPr>
        <w:spacing w:line="360" w:lineRule="auto"/>
        <w:contextualSpacing/>
        <w:jc w:val="both"/>
        <w:rPr>
          <w:rFonts w:ascii="Palatino Linotype" w:eastAsia="Calibri" w:hAnsi="Palatino Linotype" w:cs="Tahoma"/>
          <w:iCs/>
          <w:sz w:val="22"/>
          <w:szCs w:val="22"/>
        </w:rPr>
      </w:pPr>
    </w:p>
    <w:p w14:paraId="0279BF4F" w14:textId="77777777" w:rsidR="00A77860" w:rsidRPr="00B71E3E" w:rsidRDefault="00A77860" w:rsidP="005E13A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13ACDFFE" w14:textId="77777777" w:rsidR="00A77860" w:rsidRPr="00B71E3E" w:rsidRDefault="00A77860" w:rsidP="005E13A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6A19BFC8" w14:textId="77777777" w:rsidR="00A77860" w:rsidRDefault="00A77860" w:rsidP="005E13A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DF4873" w14:textId="77777777" w:rsidR="00A77860" w:rsidRDefault="00A77860" w:rsidP="005E13A5">
      <w:pPr>
        <w:spacing w:line="360" w:lineRule="auto"/>
        <w:contextualSpacing/>
        <w:jc w:val="both"/>
        <w:rPr>
          <w:rFonts w:ascii="Palatino Linotype" w:eastAsia="Calibri" w:hAnsi="Palatino Linotype" w:cs="Tahoma"/>
          <w:iCs/>
          <w:sz w:val="22"/>
          <w:szCs w:val="22"/>
        </w:rPr>
      </w:pPr>
    </w:p>
    <w:p w14:paraId="28EB5A17" w14:textId="1AB7D992" w:rsidR="00A77860" w:rsidRDefault="00A77860" w:rsidP="005E13A5">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13A5">
        <w:rPr>
          <w:rFonts w:ascii="Palatino Linotype" w:eastAsia="Calibri" w:hAnsi="Palatino Linotype" w:cs="Tahoma"/>
          <w:iCs/>
          <w:sz w:val="22"/>
          <w:szCs w:val="22"/>
        </w:rPr>
        <w:t xml:space="preserve">SEXTA </w:t>
      </w:r>
      <w:r w:rsidRPr="00B71E3E">
        <w:rPr>
          <w:rFonts w:ascii="Palatino Linotype" w:eastAsia="Calibri" w:hAnsi="Palatino Linotype" w:cs="Tahoma"/>
          <w:iCs/>
          <w:sz w:val="22"/>
          <w:szCs w:val="22"/>
        </w:rPr>
        <w:t xml:space="preserve">SESIÓN ORDINARIA, CELEBRADA EL </w:t>
      </w:r>
      <w:r w:rsidR="005E13A5">
        <w:rPr>
          <w:rFonts w:ascii="Palatino Linotype" w:eastAsia="Calibri" w:hAnsi="Palatino Linotype" w:cs="Tahoma"/>
          <w:iCs/>
          <w:sz w:val="22"/>
          <w:szCs w:val="22"/>
        </w:rPr>
        <w:t xml:space="preserve">DIECIOCHO </w:t>
      </w:r>
      <w:r>
        <w:rPr>
          <w:rFonts w:ascii="Palatino Linotype" w:eastAsia="Calibri" w:hAnsi="Palatino Linotype" w:cs="Tahoma"/>
          <w:iCs/>
          <w:sz w:val="22"/>
          <w:szCs w:val="22"/>
        </w:rPr>
        <w:t xml:space="preserve">DE FEBRERO </w:t>
      </w:r>
      <w:r w:rsidRPr="00B71E3E">
        <w:rPr>
          <w:rFonts w:ascii="Palatino Linotype" w:eastAsia="Calibri" w:hAnsi="Palatino Linotype" w:cs="Tahoma"/>
          <w:iCs/>
          <w:sz w:val="22"/>
          <w:szCs w:val="22"/>
        </w:rPr>
        <w:t>DE DOS MIL VEINTI</w:t>
      </w:r>
      <w:r>
        <w:rPr>
          <w:rFonts w:ascii="Palatino Linotype" w:eastAsia="Calibri" w:hAnsi="Palatino Linotype" w:cs="Tahoma"/>
          <w:iCs/>
          <w:sz w:val="22"/>
          <w:szCs w:val="22"/>
        </w:rPr>
        <w:t>SÉIS</w:t>
      </w:r>
      <w:r w:rsidRPr="00B71E3E">
        <w:rPr>
          <w:rFonts w:ascii="Palatino Linotype" w:eastAsia="Calibri" w:hAnsi="Palatino Linotype" w:cs="Tahoma"/>
          <w:iCs/>
          <w:sz w:val="22"/>
          <w:szCs w:val="22"/>
        </w:rPr>
        <w:t>, ANTE EL SECRETARIO TÉCNICO DEL PLENO, ALEXIS TAPIA RAMÍREZ.</w:t>
      </w:r>
    </w:p>
    <w:p w14:paraId="289FB11C" w14:textId="77777777" w:rsidR="006A7A0B" w:rsidRDefault="006A7A0B" w:rsidP="005E13A5">
      <w:pPr>
        <w:spacing w:line="360" w:lineRule="auto"/>
        <w:contextualSpacing/>
        <w:jc w:val="both"/>
        <w:rPr>
          <w:rFonts w:ascii="Palatino Linotype" w:eastAsia="Palatino Linotype" w:hAnsi="Palatino Linotype" w:cs="Palatino Linotype"/>
          <w:sz w:val="22"/>
          <w:szCs w:val="22"/>
        </w:rPr>
      </w:pPr>
    </w:p>
    <w:p w14:paraId="115A46A8" w14:textId="77777777" w:rsidR="006A7A0B" w:rsidRDefault="006A7A0B" w:rsidP="005E13A5">
      <w:pPr>
        <w:spacing w:line="360" w:lineRule="auto"/>
        <w:contextualSpacing/>
        <w:jc w:val="both"/>
        <w:rPr>
          <w:rFonts w:ascii="Palatino Linotype" w:eastAsia="Palatino Linotype" w:hAnsi="Palatino Linotype" w:cs="Palatino Linotype"/>
          <w:sz w:val="22"/>
          <w:szCs w:val="22"/>
        </w:rPr>
      </w:pPr>
    </w:p>
    <w:p w14:paraId="4F555972" w14:textId="77777777" w:rsidR="006A7A0B" w:rsidRDefault="006A7A0B" w:rsidP="005E13A5">
      <w:pPr>
        <w:spacing w:line="360" w:lineRule="auto"/>
        <w:contextualSpacing/>
        <w:jc w:val="both"/>
        <w:rPr>
          <w:rFonts w:ascii="Palatino Linotype" w:eastAsia="Palatino Linotype" w:hAnsi="Palatino Linotype" w:cs="Palatino Linotype"/>
          <w:sz w:val="22"/>
          <w:szCs w:val="22"/>
        </w:rPr>
      </w:pPr>
    </w:p>
    <w:p w14:paraId="18555005" w14:textId="77777777" w:rsidR="006A7A0B" w:rsidRDefault="006A7A0B" w:rsidP="005E13A5">
      <w:pPr>
        <w:spacing w:line="360" w:lineRule="auto"/>
        <w:contextualSpacing/>
        <w:rPr>
          <w:rFonts w:ascii="Palatino Linotype" w:eastAsia="Palatino Linotype" w:hAnsi="Palatino Linotype" w:cs="Palatino Linotype"/>
        </w:rPr>
      </w:pPr>
    </w:p>
    <w:p w14:paraId="1BEB8EFC" w14:textId="77777777" w:rsidR="006A7A0B" w:rsidRDefault="006A7A0B" w:rsidP="005E13A5">
      <w:pPr>
        <w:spacing w:line="360" w:lineRule="auto"/>
        <w:contextualSpacing/>
        <w:rPr>
          <w:rFonts w:ascii="Palatino Linotype" w:eastAsia="Palatino Linotype" w:hAnsi="Palatino Linotype" w:cs="Palatino Linotype"/>
        </w:rPr>
      </w:pPr>
    </w:p>
    <w:p w14:paraId="36D911BE" w14:textId="77777777" w:rsidR="006A7A0B" w:rsidRDefault="006A7A0B" w:rsidP="005E13A5">
      <w:pPr>
        <w:spacing w:line="360" w:lineRule="auto"/>
        <w:contextualSpacing/>
        <w:rPr>
          <w:rFonts w:ascii="Palatino Linotype" w:eastAsia="Palatino Linotype" w:hAnsi="Palatino Linotype" w:cs="Palatino Linotype"/>
        </w:rPr>
      </w:pPr>
    </w:p>
    <w:p w14:paraId="408A88B4" w14:textId="77777777" w:rsidR="006A7A0B" w:rsidRDefault="006A7A0B" w:rsidP="005E13A5">
      <w:pPr>
        <w:spacing w:line="360" w:lineRule="auto"/>
        <w:contextualSpacing/>
        <w:rPr>
          <w:rFonts w:ascii="Palatino Linotype" w:eastAsia="Palatino Linotype" w:hAnsi="Palatino Linotype" w:cs="Palatino Linotype"/>
        </w:rPr>
      </w:pPr>
    </w:p>
    <w:p w14:paraId="1DAB43B3" w14:textId="77777777" w:rsidR="006A7A0B" w:rsidRDefault="006A7A0B" w:rsidP="005E13A5">
      <w:pPr>
        <w:spacing w:line="360" w:lineRule="auto"/>
        <w:contextualSpacing/>
        <w:rPr>
          <w:rFonts w:ascii="Palatino Linotype" w:eastAsia="Palatino Linotype" w:hAnsi="Palatino Linotype" w:cs="Palatino Linotype"/>
        </w:rPr>
      </w:pPr>
    </w:p>
    <w:p w14:paraId="4E50E97E" w14:textId="77777777" w:rsidR="006A7A0B" w:rsidRDefault="006A7A0B" w:rsidP="005E13A5">
      <w:pPr>
        <w:spacing w:line="360" w:lineRule="auto"/>
        <w:contextualSpacing/>
        <w:rPr>
          <w:rFonts w:ascii="Palatino Linotype" w:eastAsia="Palatino Linotype" w:hAnsi="Palatino Linotype" w:cs="Palatino Linotype"/>
        </w:rPr>
      </w:pPr>
    </w:p>
    <w:p w14:paraId="111A5AD9" w14:textId="77777777" w:rsidR="006A7A0B" w:rsidRDefault="006A7A0B" w:rsidP="005E13A5">
      <w:pPr>
        <w:spacing w:line="360" w:lineRule="auto"/>
        <w:contextualSpacing/>
        <w:rPr>
          <w:rFonts w:ascii="Palatino Linotype" w:eastAsia="Palatino Linotype" w:hAnsi="Palatino Linotype" w:cs="Palatino Linotype"/>
        </w:rPr>
      </w:pPr>
    </w:p>
    <w:p w14:paraId="3B1BE2AA" w14:textId="77777777" w:rsidR="006A7A0B" w:rsidRDefault="006A7A0B" w:rsidP="005E13A5">
      <w:pPr>
        <w:spacing w:line="360" w:lineRule="auto"/>
        <w:contextualSpacing/>
        <w:rPr>
          <w:rFonts w:ascii="Palatino Linotype" w:eastAsia="Palatino Linotype" w:hAnsi="Palatino Linotype" w:cs="Palatino Linotype"/>
        </w:rPr>
      </w:pPr>
    </w:p>
    <w:p w14:paraId="37D37790" w14:textId="77777777" w:rsidR="006A7A0B" w:rsidRDefault="006A7A0B" w:rsidP="005E13A5">
      <w:pPr>
        <w:spacing w:line="360" w:lineRule="auto"/>
        <w:contextualSpacing/>
        <w:rPr>
          <w:rFonts w:ascii="Palatino Linotype" w:eastAsia="Palatino Linotype" w:hAnsi="Palatino Linotype" w:cs="Palatino Linotype"/>
        </w:rPr>
      </w:pPr>
    </w:p>
    <w:p w14:paraId="469EA70E" w14:textId="77777777" w:rsidR="006A7A0B" w:rsidRDefault="006A7A0B" w:rsidP="005E13A5">
      <w:pPr>
        <w:spacing w:line="360" w:lineRule="auto"/>
        <w:contextualSpacing/>
        <w:rPr>
          <w:rFonts w:ascii="Palatino Linotype" w:eastAsia="Palatino Linotype" w:hAnsi="Palatino Linotype" w:cs="Palatino Linotype"/>
        </w:rPr>
      </w:pPr>
    </w:p>
    <w:p w14:paraId="4F7B9276" w14:textId="77777777" w:rsidR="006A7A0B" w:rsidRDefault="006A7A0B" w:rsidP="005E13A5">
      <w:pPr>
        <w:spacing w:line="360" w:lineRule="auto"/>
        <w:contextualSpacing/>
        <w:rPr>
          <w:rFonts w:ascii="Palatino Linotype" w:eastAsia="Palatino Linotype" w:hAnsi="Palatino Linotype" w:cs="Palatino Linotype"/>
        </w:rPr>
      </w:pPr>
    </w:p>
    <w:p w14:paraId="52AE928E" w14:textId="77777777" w:rsidR="006A7A0B" w:rsidRDefault="006A7A0B" w:rsidP="005E13A5">
      <w:pPr>
        <w:spacing w:line="360" w:lineRule="auto"/>
        <w:contextualSpacing/>
        <w:rPr>
          <w:rFonts w:ascii="Palatino Linotype" w:eastAsia="Palatino Linotype" w:hAnsi="Palatino Linotype" w:cs="Palatino Linotype"/>
        </w:rPr>
      </w:pPr>
    </w:p>
    <w:p w14:paraId="0E393BB0" w14:textId="77777777" w:rsidR="006A7A0B" w:rsidRDefault="006A7A0B" w:rsidP="005E13A5">
      <w:pPr>
        <w:spacing w:line="360" w:lineRule="auto"/>
        <w:contextualSpacing/>
        <w:rPr>
          <w:rFonts w:ascii="Palatino Linotype" w:eastAsia="Palatino Linotype" w:hAnsi="Palatino Linotype" w:cs="Palatino Linotype"/>
        </w:rPr>
      </w:pPr>
    </w:p>
    <w:p w14:paraId="44B38A35" w14:textId="77777777" w:rsidR="006A7A0B" w:rsidRDefault="006A7A0B" w:rsidP="005E13A5">
      <w:pPr>
        <w:spacing w:line="360" w:lineRule="auto"/>
        <w:contextualSpacing/>
        <w:rPr>
          <w:rFonts w:ascii="Palatino Linotype" w:eastAsia="Palatino Linotype" w:hAnsi="Palatino Linotype" w:cs="Palatino Linotype"/>
        </w:rPr>
      </w:pPr>
    </w:p>
    <w:p w14:paraId="36C9E0BB" w14:textId="77777777" w:rsidR="006A7A0B" w:rsidRDefault="006A7A0B" w:rsidP="005E13A5">
      <w:pPr>
        <w:spacing w:line="360" w:lineRule="auto"/>
        <w:contextualSpacing/>
      </w:pPr>
    </w:p>
    <w:p w14:paraId="79BF38BA" w14:textId="77777777" w:rsidR="006A7A0B" w:rsidRDefault="006A7A0B" w:rsidP="005E13A5">
      <w:pPr>
        <w:spacing w:line="360" w:lineRule="auto"/>
        <w:contextualSpacing/>
      </w:pPr>
    </w:p>
    <w:p w14:paraId="37F02CC2" w14:textId="77777777" w:rsidR="006A7A0B" w:rsidRDefault="006A7A0B" w:rsidP="005E13A5">
      <w:pPr>
        <w:spacing w:line="360" w:lineRule="auto"/>
        <w:contextualSpacing/>
      </w:pPr>
    </w:p>
    <w:p w14:paraId="13F1EB9E" w14:textId="77777777" w:rsidR="006A7A0B" w:rsidRDefault="006A7A0B" w:rsidP="005E13A5">
      <w:pPr>
        <w:spacing w:line="360" w:lineRule="auto"/>
        <w:contextualSpacing/>
      </w:pPr>
    </w:p>
    <w:p w14:paraId="42E8B768" w14:textId="77777777" w:rsidR="006A7A0B" w:rsidRDefault="006A7A0B" w:rsidP="005E13A5">
      <w:pPr>
        <w:spacing w:line="360" w:lineRule="auto"/>
        <w:contextualSpacing/>
      </w:pPr>
    </w:p>
    <w:p w14:paraId="74D0F4A8" w14:textId="77777777" w:rsidR="006A7A0B" w:rsidRDefault="006A7A0B" w:rsidP="005E13A5">
      <w:pPr>
        <w:spacing w:line="360" w:lineRule="auto"/>
        <w:contextualSpacing/>
      </w:pPr>
    </w:p>
    <w:bookmarkEnd w:id="0"/>
    <w:p w14:paraId="0F46D61B" w14:textId="77777777" w:rsidR="006A7A0B" w:rsidRDefault="006A7A0B" w:rsidP="005E13A5">
      <w:pPr>
        <w:spacing w:line="360" w:lineRule="auto"/>
        <w:contextualSpacing/>
      </w:pPr>
    </w:p>
    <w:p w14:paraId="2B909410" w14:textId="77777777" w:rsidR="006A7A0B" w:rsidRDefault="006A7A0B" w:rsidP="005E13A5">
      <w:pPr>
        <w:spacing w:line="360" w:lineRule="auto"/>
        <w:contextualSpacing/>
      </w:pPr>
    </w:p>
    <w:p w14:paraId="648D03E0" w14:textId="77777777" w:rsidR="006A7A0B" w:rsidRDefault="006A7A0B" w:rsidP="005E13A5">
      <w:pPr>
        <w:spacing w:line="360" w:lineRule="auto"/>
        <w:contextualSpacing/>
      </w:pPr>
    </w:p>
    <w:p w14:paraId="10DA8EF4" w14:textId="77777777" w:rsidR="006A7A0B" w:rsidRDefault="006A7A0B" w:rsidP="005E13A5">
      <w:pPr>
        <w:spacing w:line="360" w:lineRule="auto"/>
        <w:contextualSpacing/>
      </w:pPr>
    </w:p>
    <w:p w14:paraId="2BAAF3AB" w14:textId="77777777" w:rsidR="006A7A0B" w:rsidRDefault="006A7A0B" w:rsidP="005E13A5">
      <w:pPr>
        <w:spacing w:line="360" w:lineRule="auto"/>
        <w:contextualSpacing/>
      </w:pPr>
    </w:p>
    <w:p w14:paraId="5852B678" w14:textId="77777777" w:rsidR="006A7A0B" w:rsidRDefault="006A7A0B" w:rsidP="005E13A5">
      <w:pPr>
        <w:spacing w:line="360" w:lineRule="auto"/>
        <w:contextualSpacing/>
      </w:pPr>
    </w:p>
    <w:p w14:paraId="782F0124" w14:textId="77777777" w:rsidR="006A7A0B" w:rsidRDefault="006A7A0B" w:rsidP="005E13A5">
      <w:pPr>
        <w:spacing w:line="360" w:lineRule="auto"/>
        <w:contextualSpacing/>
      </w:pPr>
    </w:p>
    <w:p w14:paraId="3E4BC354" w14:textId="77777777" w:rsidR="006A7A0B" w:rsidRDefault="006A7A0B" w:rsidP="005E13A5">
      <w:pPr>
        <w:spacing w:line="360" w:lineRule="auto"/>
        <w:contextualSpacing/>
      </w:pPr>
    </w:p>
    <w:p w14:paraId="7B915417" w14:textId="77777777" w:rsidR="006A7A0B" w:rsidRDefault="006A7A0B" w:rsidP="005E13A5">
      <w:pPr>
        <w:spacing w:line="360" w:lineRule="auto"/>
        <w:contextualSpacing/>
      </w:pPr>
    </w:p>
    <w:p w14:paraId="5AF76249" w14:textId="77777777" w:rsidR="00B01980" w:rsidRDefault="00B01980" w:rsidP="005E13A5">
      <w:pPr>
        <w:spacing w:line="360" w:lineRule="auto"/>
        <w:contextualSpacing/>
      </w:pPr>
    </w:p>
    <w:sectPr w:rsidR="00B01980" w:rsidSect="006A7A0B">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D147" w14:textId="77777777" w:rsidR="001F2C4B" w:rsidRDefault="001F2C4B" w:rsidP="006A7A0B">
      <w:r>
        <w:separator/>
      </w:r>
    </w:p>
  </w:endnote>
  <w:endnote w:type="continuationSeparator" w:id="0">
    <w:p w14:paraId="06737414" w14:textId="77777777" w:rsidR="001F2C4B" w:rsidRDefault="001F2C4B" w:rsidP="006A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0F90" w14:textId="77777777" w:rsidR="006A7A0B" w:rsidRDefault="006A7A0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F759EE">
      <w:rPr>
        <w:rFonts w:ascii="Palatino Linotype" w:eastAsia="Palatino Linotype" w:hAnsi="Palatino Linotype" w:cs="Palatino Linotype"/>
        <w:b/>
        <w:noProof/>
        <w:color w:val="000000"/>
        <w:sz w:val="22"/>
        <w:szCs w:val="22"/>
      </w:rPr>
      <w:t>33</w:t>
    </w:r>
    <w:r>
      <w:rPr>
        <w:rFonts w:ascii="Palatino Linotype" w:eastAsia="Palatino Linotype" w:hAnsi="Palatino Linotype" w:cs="Palatino Linotype"/>
        <w:b/>
        <w:color w:val="000000"/>
        <w:sz w:val="22"/>
        <w:szCs w:val="22"/>
      </w:rPr>
      <w:fldChar w:fldCharType="end"/>
    </w:r>
  </w:p>
  <w:p w14:paraId="4440E92B" w14:textId="77777777" w:rsidR="006A7A0B" w:rsidRDefault="006A7A0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61CC" w14:textId="77777777" w:rsidR="006A7A0B" w:rsidRDefault="006A7A0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F759EE">
      <w:rPr>
        <w:rFonts w:ascii="Palatino Linotype" w:eastAsia="Palatino Linotype" w:hAnsi="Palatino Linotype" w:cs="Palatino Linotype"/>
        <w:b/>
        <w:noProof/>
        <w:color w:val="000000"/>
        <w:sz w:val="22"/>
        <w:szCs w:val="22"/>
      </w:rPr>
      <w:t>32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F759EE">
      <w:rPr>
        <w:rFonts w:ascii="Palatino Linotype" w:eastAsia="Palatino Linotype" w:hAnsi="Palatino Linotype" w:cs="Palatino Linotype"/>
        <w:b/>
        <w:noProof/>
        <w:color w:val="000000"/>
        <w:sz w:val="22"/>
        <w:szCs w:val="22"/>
      </w:rPr>
      <w:t>33</w:t>
    </w:r>
    <w:r>
      <w:rPr>
        <w:rFonts w:ascii="Palatino Linotype" w:eastAsia="Palatino Linotype" w:hAnsi="Palatino Linotype" w:cs="Palatino Linotype"/>
        <w:b/>
        <w:color w:val="000000"/>
        <w:sz w:val="22"/>
        <w:szCs w:val="22"/>
      </w:rPr>
      <w:fldChar w:fldCharType="end"/>
    </w:r>
  </w:p>
  <w:p w14:paraId="23629F0F" w14:textId="77777777" w:rsidR="006A7A0B" w:rsidRDefault="006A7A0B">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F3D7" w14:textId="77777777" w:rsidR="006A7A0B" w:rsidRDefault="006A7A0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F759EE">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F759EE">
      <w:rPr>
        <w:rFonts w:ascii="Palatino Linotype" w:eastAsia="Palatino Linotype" w:hAnsi="Palatino Linotype" w:cs="Palatino Linotype"/>
        <w:b/>
        <w:noProof/>
        <w:color w:val="000000"/>
        <w:sz w:val="22"/>
        <w:szCs w:val="22"/>
      </w:rPr>
      <w:t>33</w:t>
    </w:r>
    <w:r>
      <w:rPr>
        <w:rFonts w:ascii="Palatino Linotype" w:eastAsia="Palatino Linotype" w:hAnsi="Palatino Linotype" w:cs="Palatino Linotype"/>
        <w:b/>
        <w:color w:val="000000"/>
        <w:sz w:val="22"/>
        <w:szCs w:val="22"/>
      </w:rPr>
      <w:fldChar w:fldCharType="end"/>
    </w:r>
  </w:p>
  <w:p w14:paraId="00745B45" w14:textId="77777777" w:rsidR="006A7A0B" w:rsidRDefault="006A7A0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2AA1" w14:textId="77777777" w:rsidR="001F2C4B" w:rsidRDefault="001F2C4B" w:rsidP="006A7A0B">
      <w:r>
        <w:separator/>
      </w:r>
    </w:p>
  </w:footnote>
  <w:footnote w:type="continuationSeparator" w:id="0">
    <w:p w14:paraId="461108BE" w14:textId="77777777" w:rsidR="001F2C4B" w:rsidRDefault="001F2C4B" w:rsidP="006A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FADA" w14:textId="77777777" w:rsidR="006A7A0B" w:rsidRDefault="006A7A0B">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6A7A0B" w14:paraId="177D1D9F" w14:textId="77777777">
      <w:trPr>
        <w:trHeight w:val="1435"/>
      </w:trPr>
      <w:tc>
        <w:tcPr>
          <w:tcW w:w="2972" w:type="dxa"/>
        </w:tcPr>
        <w:p w14:paraId="7D5431B7" w14:textId="77777777" w:rsidR="006A7A0B" w:rsidRDefault="006A7A0B">
          <w:pPr>
            <w:tabs>
              <w:tab w:val="right" w:pos="4273"/>
            </w:tabs>
            <w:spacing w:line="256" w:lineRule="auto"/>
            <w:rPr>
              <w:rFonts w:ascii="Garamond" w:eastAsia="Garamond" w:hAnsi="Garamond" w:cs="Garamond"/>
              <w:sz w:val="22"/>
              <w:szCs w:val="22"/>
            </w:rPr>
          </w:pPr>
        </w:p>
      </w:tc>
      <w:tc>
        <w:tcPr>
          <w:tcW w:w="6733" w:type="dxa"/>
        </w:tcPr>
        <w:p w14:paraId="22044659" w14:textId="77777777" w:rsidR="006A7A0B" w:rsidRDefault="006A7A0B">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6A7A0B" w14:paraId="39F10649" w14:textId="77777777">
            <w:trPr>
              <w:trHeight w:val="144"/>
            </w:trPr>
            <w:tc>
              <w:tcPr>
                <w:tcW w:w="2447" w:type="dxa"/>
              </w:tcPr>
              <w:p w14:paraId="190B8A65" w14:textId="77777777" w:rsidR="006A7A0B" w:rsidRDefault="006A7A0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6AC8F1CC" w14:textId="77777777" w:rsidR="006A7A0B" w:rsidRDefault="006A7A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6A7A0B" w14:paraId="07FF1E55" w14:textId="77777777">
            <w:trPr>
              <w:trHeight w:val="283"/>
            </w:trPr>
            <w:tc>
              <w:tcPr>
                <w:tcW w:w="2447" w:type="dxa"/>
              </w:tcPr>
              <w:p w14:paraId="6E8AFD00" w14:textId="77777777" w:rsidR="006A7A0B" w:rsidRDefault="006A7A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6518EB13" w14:textId="77777777" w:rsidR="006A7A0B" w:rsidRDefault="006A7A0B">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6A7A0B" w14:paraId="080292CF" w14:textId="77777777">
            <w:trPr>
              <w:trHeight w:val="283"/>
            </w:trPr>
            <w:tc>
              <w:tcPr>
                <w:tcW w:w="2447" w:type="dxa"/>
              </w:tcPr>
              <w:p w14:paraId="613B61F8" w14:textId="77777777" w:rsidR="006A7A0B" w:rsidRDefault="006A7A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3E2A3EAF" w14:textId="77777777" w:rsidR="006A7A0B" w:rsidRDefault="006A7A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75B3A65F" w14:textId="77777777" w:rsidR="006A7A0B" w:rsidRDefault="006A7A0B">
                <w:pPr>
                  <w:tabs>
                    <w:tab w:val="right" w:pos="8838"/>
                  </w:tabs>
                  <w:ind w:left="-74" w:right="-105"/>
                  <w:jc w:val="both"/>
                  <w:rPr>
                    <w:rFonts w:ascii="Palatino Linotype" w:eastAsia="Palatino Linotype" w:hAnsi="Palatino Linotype" w:cs="Palatino Linotype"/>
                    <w:b/>
                    <w:sz w:val="22"/>
                    <w:szCs w:val="22"/>
                  </w:rPr>
                </w:pPr>
              </w:p>
            </w:tc>
          </w:tr>
        </w:tbl>
        <w:p w14:paraId="65C6D242" w14:textId="77777777" w:rsidR="006A7A0B" w:rsidRDefault="006A7A0B">
          <w:pPr>
            <w:tabs>
              <w:tab w:val="right" w:pos="8838"/>
            </w:tabs>
            <w:spacing w:line="256" w:lineRule="auto"/>
            <w:ind w:left="-28"/>
            <w:jc w:val="both"/>
            <w:rPr>
              <w:rFonts w:ascii="Arial" w:eastAsia="Arial" w:hAnsi="Arial" w:cs="Arial"/>
              <w:b/>
              <w:sz w:val="22"/>
              <w:szCs w:val="22"/>
            </w:rPr>
          </w:pPr>
        </w:p>
      </w:tc>
    </w:tr>
  </w:tbl>
  <w:p w14:paraId="35E628F7" w14:textId="77777777" w:rsidR="006A7A0B" w:rsidRDefault="006A7A0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76BBD5AF" wp14:editId="1F0197B5">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BB6B" w14:textId="77777777" w:rsidR="006A7A0B" w:rsidRDefault="006A7A0B">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6A7A0B" w14:paraId="6701EA70" w14:textId="77777777">
      <w:trPr>
        <w:trHeight w:val="1435"/>
      </w:trPr>
      <w:tc>
        <w:tcPr>
          <w:tcW w:w="1985" w:type="dxa"/>
        </w:tcPr>
        <w:p w14:paraId="1193C859" w14:textId="77777777" w:rsidR="006A7A0B" w:rsidRDefault="006A7A0B">
          <w:pPr>
            <w:tabs>
              <w:tab w:val="right" w:pos="4273"/>
            </w:tabs>
            <w:spacing w:line="256" w:lineRule="auto"/>
            <w:rPr>
              <w:rFonts w:ascii="Garamond" w:eastAsia="Garamond" w:hAnsi="Garamond" w:cs="Garamond"/>
              <w:sz w:val="22"/>
              <w:szCs w:val="22"/>
            </w:rPr>
          </w:pPr>
        </w:p>
      </w:tc>
      <w:tc>
        <w:tcPr>
          <w:tcW w:w="7371" w:type="dxa"/>
        </w:tcPr>
        <w:p w14:paraId="6D79B4F4" w14:textId="77777777" w:rsidR="006A7A0B" w:rsidRDefault="006A7A0B">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700"/>
            <w:gridCol w:w="3118"/>
            <w:gridCol w:w="2254"/>
          </w:tblGrid>
          <w:tr w:rsidR="006A7A0B" w14:paraId="16FEF724" w14:textId="77777777" w:rsidTr="00052BAA">
            <w:trPr>
              <w:trHeight w:val="194"/>
            </w:trPr>
            <w:tc>
              <w:tcPr>
                <w:tcW w:w="2700" w:type="dxa"/>
              </w:tcPr>
              <w:p w14:paraId="711FDE70" w14:textId="5A383D77" w:rsidR="006A7A0B" w:rsidRDefault="006A7A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118" w:type="dxa"/>
              </w:tcPr>
              <w:p w14:paraId="6EA55ACE" w14:textId="7A0AA7EE" w:rsidR="006A7A0B" w:rsidRDefault="006A7A0B" w:rsidP="00C56AE9">
                <w:pPr>
                  <w:tabs>
                    <w:tab w:val="right" w:pos="8838"/>
                  </w:tabs>
                  <w:ind w:left="-57"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14201/INFOEM/IP/RR/2025</w:t>
                </w:r>
              </w:p>
            </w:tc>
            <w:tc>
              <w:tcPr>
                <w:tcW w:w="2254" w:type="dxa"/>
              </w:tcPr>
              <w:p w14:paraId="5899953C" w14:textId="77777777" w:rsidR="006A7A0B" w:rsidRDefault="006A7A0B">
                <w:pPr>
                  <w:tabs>
                    <w:tab w:val="right" w:pos="8838"/>
                  </w:tabs>
                  <w:ind w:left="-114" w:right="-105"/>
                  <w:jc w:val="both"/>
                  <w:rPr>
                    <w:rFonts w:ascii="Palatino Linotype" w:eastAsia="Palatino Linotype" w:hAnsi="Palatino Linotype" w:cs="Palatino Linotype"/>
                    <w:sz w:val="22"/>
                    <w:szCs w:val="22"/>
                  </w:rPr>
                </w:pPr>
              </w:p>
            </w:tc>
          </w:tr>
          <w:tr w:rsidR="006A7A0B" w14:paraId="25D60D65" w14:textId="77777777" w:rsidTr="00052BAA">
            <w:trPr>
              <w:trHeight w:val="88"/>
            </w:trPr>
            <w:tc>
              <w:tcPr>
                <w:tcW w:w="2700" w:type="dxa"/>
              </w:tcPr>
              <w:p w14:paraId="4E5BD979" w14:textId="46CDA4CE" w:rsidR="006A7A0B" w:rsidRDefault="006A7A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118" w:type="dxa"/>
              </w:tcPr>
              <w:p w14:paraId="34B2D60B" w14:textId="6FEE6858" w:rsidR="006A7A0B" w:rsidRPr="00FE651E" w:rsidRDefault="006A7A0B" w:rsidP="00C56AE9">
                <w:pPr>
                  <w:tabs>
                    <w:tab w:val="left" w:pos="2834"/>
                    <w:tab w:val="right" w:pos="8838"/>
                  </w:tabs>
                  <w:ind w:left="-57"/>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 xml:space="preserve">Secretaría de Movilidad  </w:t>
                </w:r>
              </w:p>
            </w:tc>
            <w:tc>
              <w:tcPr>
                <w:tcW w:w="2254" w:type="dxa"/>
              </w:tcPr>
              <w:p w14:paraId="4BCA2ABA" w14:textId="77777777" w:rsidR="006A7A0B" w:rsidRDefault="006A7A0B">
                <w:pPr>
                  <w:tabs>
                    <w:tab w:val="left" w:pos="2834"/>
                    <w:tab w:val="right" w:pos="8838"/>
                  </w:tabs>
                  <w:ind w:left="-114"/>
                  <w:jc w:val="both"/>
                  <w:rPr>
                    <w:rFonts w:ascii="Palatino Linotype" w:eastAsia="Palatino Linotype" w:hAnsi="Palatino Linotype" w:cs="Palatino Linotype"/>
                    <w:sz w:val="22"/>
                    <w:szCs w:val="22"/>
                  </w:rPr>
                </w:pPr>
              </w:p>
            </w:tc>
          </w:tr>
          <w:tr w:rsidR="006A7A0B" w14:paraId="4C97B6FB" w14:textId="77777777" w:rsidTr="00052BAA">
            <w:trPr>
              <w:trHeight w:val="383"/>
            </w:trPr>
            <w:tc>
              <w:tcPr>
                <w:tcW w:w="2700" w:type="dxa"/>
              </w:tcPr>
              <w:p w14:paraId="1FCC9DC8" w14:textId="5D6A01A3" w:rsidR="006A7A0B" w:rsidRDefault="006A7A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118" w:type="dxa"/>
              </w:tcPr>
              <w:p w14:paraId="07CDBD14" w14:textId="77777777" w:rsidR="006A7A0B" w:rsidRDefault="006A7A0B" w:rsidP="00C56AE9">
                <w:pPr>
                  <w:tabs>
                    <w:tab w:val="right" w:pos="8838"/>
                  </w:tabs>
                  <w:ind w:left="-57"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254" w:type="dxa"/>
              </w:tcPr>
              <w:p w14:paraId="7ADB5D50" w14:textId="77777777" w:rsidR="006A7A0B" w:rsidRDefault="006A7A0B">
                <w:pPr>
                  <w:tabs>
                    <w:tab w:val="right" w:pos="8838"/>
                  </w:tabs>
                  <w:ind w:left="-114" w:right="-105"/>
                  <w:jc w:val="both"/>
                  <w:rPr>
                    <w:rFonts w:ascii="Palatino Linotype" w:eastAsia="Palatino Linotype" w:hAnsi="Palatino Linotype" w:cs="Palatino Linotype"/>
                    <w:sz w:val="22"/>
                    <w:szCs w:val="22"/>
                  </w:rPr>
                </w:pPr>
              </w:p>
            </w:tc>
          </w:tr>
        </w:tbl>
        <w:p w14:paraId="73538AD4" w14:textId="77777777" w:rsidR="006A7A0B" w:rsidRDefault="006A7A0B">
          <w:pPr>
            <w:tabs>
              <w:tab w:val="right" w:pos="8838"/>
            </w:tabs>
            <w:spacing w:line="256" w:lineRule="auto"/>
            <w:ind w:left="-28"/>
            <w:jc w:val="both"/>
            <w:rPr>
              <w:rFonts w:ascii="Arial" w:eastAsia="Arial" w:hAnsi="Arial" w:cs="Arial"/>
              <w:b/>
              <w:sz w:val="22"/>
              <w:szCs w:val="22"/>
            </w:rPr>
          </w:pPr>
        </w:p>
      </w:tc>
    </w:tr>
  </w:tbl>
  <w:p w14:paraId="4F8BBB9B" w14:textId="77777777" w:rsidR="006A7A0B" w:rsidRDefault="006A7A0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7360CC31" wp14:editId="638668B0">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0596" w14:textId="77777777" w:rsidR="006A7A0B" w:rsidRDefault="006A7A0B">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6A7A0B" w14:paraId="2C52439A" w14:textId="77777777">
      <w:trPr>
        <w:trHeight w:val="1435"/>
      </w:trPr>
      <w:tc>
        <w:tcPr>
          <w:tcW w:w="1560" w:type="dxa"/>
        </w:tcPr>
        <w:p w14:paraId="2ACAF561" w14:textId="77777777" w:rsidR="006A7A0B" w:rsidRDefault="006A7A0B">
          <w:pPr>
            <w:tabs>
              <w:tab w:val="right" w:pos="4273"/>
            </w:tabs>
            <w:spacing w:line="256" w:lineRule="auto"/>
            <w:rPr>
              <w:rFonts w:ascii="Garamond" w:eastAsia="Garamond" w:hAnsi="Garamond" w:cs="Garamond"/>
              <w:sz w:val="22"/>
              <w:szCs w:val="22"/>
            </w:rPr>
          </w:pPr>
        </w:p>
      </w:tc>
      <w:tc>
        <w:tcPr>
          <w:tcW w:w="7654" w:type="dxa"/>
        </w:tcPr>
        <w:p w14:paraId="47345252" w14:textId="77777777" w:rsidR="006A7A0B" w:rsidRDefault="006A7A0B">
          <w:pPr>
            <w:widowControl w:val="0"/>
            <w:pBdr>
              <w:top w:val="nil"/>
              <w:left w:val="nil"/>
              <w:bottom w:val="nil"/>
              <w:right w:val="nil"/>
              <w:between w:val="nil"/>
            </w:pBdr>
            <w:spacing w:line="276" w:lineRule="auto"/>
            <w:rPr>
              <w:rFonts w:ascii="Garamond" w:eastAsia="Garamond" w:hAnsi="Garamond" w:cs="Garamond"/>
              <w:sz w:val="22"/>
              <w:szCs w:val="22"/>
            </w:rPr>
          </w:pPr>
        </w:p>
        <w:tbl>
          <w:tblPr>
            <w:tblW w:w="6650"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5"/>
            <w:gridCol w:w="2835"/>
          </w:tblGrid>
          <w:tr w:rsidR="006A7A0B" w14:paraId="07388FF0" w14:textId="77777777" w:rsidTr="006A7A0B">
            <w:trPr>
              <w:trHeight w:val="155"/>
            </w:trPr>
            <w:tc>
              <w:tcPr>
                <w:tcW w:w="3815" w:type="dxa"/>
              </w:tcPr>
              <w:p w14:paraId="3D46E397" w14:textId="21D1845C" w:rsidR="006A7A0B" w:rsidRDefault="006A7A0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6395DC7D" w14:textId="7B5A9DDC" w:rsidR="006A7A0B" w:rsidRDefault="006A7A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014201/INFOEM/IP/RR/2025 </w:t>
                </w:r>
              </w:p>
            </w:tc>
          </w:tr>
          <w:tr w:rsidR="006A7A0B" w14:paraId="2D6F2998" w14:textId="77777777" w:rsidTr="006A7A0B">
            <w:trPr>
              <w:trHeight w:val="155"/>
            </w:trPr>
            <w:tc>
              <w:tcPr>
                <w:tcW w:w="3815" w:type="dxa"/>
              </w:tcPr>
              <w:p w14:paraId="1FF6AC94" w14:textId="495E01CB" w:rsidR="006A7A0B" w:rsidRDefault="006A7A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55475AB1" w14:textId="73974D87" w:rsidR="006A7A0B" w:rsidRDefault="00FD6959">
                <w:pPr>
                  <w:tabs>
                    <w:tab w:val="left" w:pos="3122"/>
                    <w:tab w:val="right" w:pos="8838"/>
                  </w:tabs>
                  <w:ind w:left="-74" w:right="-105"/>
                  <w:jc w:val="both"/>
                  <w:rPr>
                    <w:rFonts w:ascii="Palatino Linotype" w:eastAsia="Palatino Linotype" w:hAnsi="Palatino Linotype" w:cs="Palatino Linotype"/>
                    <w:sz w:val="22"/>
                    <w:szCs w:val="22"/>
                  </w:rPr>
                </w:pPr>
                <w:r w:rsidRPr="00FD6959">
                  <w:rPr>
                    <w:rFonts w:ascii="Palatino Linotype" w:eastAsia="Palatino Linotype" w:hAnsi="Palatino Linotype" w:cs="Palatino Linotype"/>
                    <w:sz w:val="22"/>
                    <w:szCs w:val="22"/>
                    <w:highlight w:val="black"/>
                  </w:rPr>
                  <w:t>XXXXXXXXXXXXXXX</w:t>
                </w:r>
              </w:p>
            </w:tc>
          </w:tr>
          <w:tr w:rsidR="006A7A0B" w14:paraId="2B7EC5C5" w14:textId="77777777" w:rsidTr="006A7A0B">
            <w:trPr>
              <w:trHeight w:val="309"/>
            </w:trPr>
            <w:tc>
              <w:tcPr>
                <w:tcW w:w="3815" w:type="dxa"/>
              </w:tcPr>
              <w:p w14:paraId="1C9B7846" w14:textId="735D97D4" w:rsidR="006A7A0B" w:rsidRDefault="006A7A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1361D6EC" w14:textId="7B3FC6C9" w:rsidR="006A7A0B" w:rsidRPr="00FE651E" w:rsidRDefault="006A7A0B">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Secretaría de Movilidad</w:t>
                </w:r>
              </w:p>
            </w:tc>
          </w:tr>
          <w:tr w:rsidR="006A7A0B" w14:paraId="737BFE1A" w14:textId="77777777" w:rsidTr="006A7A0B">
            <w:trPr>
              <w:trHeight w:val="309"/>
            </w:trPr>
            <w:tc>
              <w:tcPr>
                <w:tcW w:w="3815" w:type="dxa"/>
              </w:tcPr>
              <w:p w14:paraId="3975EC96" w14:textId="2082406E" w:rsidR="006A7A0B" w:rsidRDefault="006A7A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7C01FE0C" w14:textId="77777777" w:rsidR="006A7A0B" w:rsidRDefault="006A7A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76D03370" w14:textId="77777777" w:rsidR="006A7A0B" w:rsidRDefault="006A7A0B">
          <w:pPr>
            <w:tabs>
              <w:tab w:val="right" w:pos="8838"/>
            </w:tabs>
            <w:spacing w:line="256" w:lineRule="auto"/>
            <w:ind w:left="-28"/>
            <w:jc w:val="both"/>
            <w:rPr>
              <w:rFonts w:ascii="Arial" w:eastAsia="Arial" w:hAnsi="Arial" w:cs="Arial"/>
              <w:b/>
              <w:sz w:val="22"/>
              <w:szCs w:val="22"/>
            </w:rPr>
          </w:pPr>
        </w:p>
      </w:tc>
    </w:tr>
  </w:tbl>
  <w:p w14:paraId="6AF844C8" w14:textId="77777777" w:rsidR="006A7A0B" w:rsidRDefault="0000000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6505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7CC"/>
    <w:multiLevelType w:val="hybridMultilevel"/>
    <w:tmpl w:val="7A7420E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67B406F"/>
    <w:multiLevelType w:val="hybridMultilevel"/>
    <w:tmpl w:val="253AA76E"/>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9923D1"/>
    <w:multiLevelType w:val="hybridMultilevel"/>
    <w:tmpl w:val="0804DC7C"/>
    <w:lvl w:ilvl="0" w:tplc="BF34A8E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F6D0761"/>
    <w:multiLevelType w:val="hybridMultilevel"/>
    <w:tmpl w:val="0D6AFB90"/>
    <w:lvl w:ilvl="0" w:tplc="FA7E7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94365A"/>
    <w:multiLevelType w:val="hybridMultilevel"/>
    <w:tmpl w:val="03F29D64"/>
    <w:lvl w:ilvl="0" w:tplc="EEC2223E">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E2600D"/>
    <w:multiLevelType w:val="hybridMultilevel"/>
    <w:tmpl w:val="A63CCAA0"/>
    <w:lvl w:ilvl="0" w:tplc="5F3E20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487A85"/>
    <w:multiLevelType w:val="hybridMultilevel"/>
    <w:tmpl w:val="21DEA4D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92307AE"/>
    <w:multiLevelType w:val="hybridMultilevel"/>
    <w:tmpl w:val="45E27EBC"/>
    <w:lvl w:ilvl="0" w:tplc="6CB02B0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A04848"/>
    <w:multiLevelType w:val="hybridMultilevel"/>
    <w:tmpl w:val="5DF045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3F57E7"/>
    <w:multiLevelType w:val="multilevel"/>
    <w:tmpl w:val="FBAC7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F0140A"/>
    <w:multiLevelType w:val="hybridMultilevel"/>
    <w:tmpl w:val="0464C9BA"/>
    <w:lvl w:ilvl="0" w:tplc="453A47E0">
      <w:start w:val="1"/>
      <w:numFmt w:val="upperRoman"/>
      <w:lvlText w:val="%1."/>
      <w:lvlJc w:val="left"/>
      <w:pPr>
        <w:ind w:left="1080" w:hanging="720"/>
      </w:pPr>
      <w:rPr>
        <w:rFonts w:hint="default"/>
      </w:rPr>
    </w:lvl>
    <w:lvl w:ilvl="1" w:tplc="665A030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01068A"/>
    <w:multiLevelType w:val="hybridMultilevel"/>
    <w:tmpl w:val="1E38A1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1C94F9D"/>
    <w:multiLevelType w:val="hybridMultilevel"/>
    <w:tmpl w:val="C39E359C"/>
    <w:lvl w:ilvl="0" w:tplc="F2844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4A20B7"/>
    <w:multiLevelType w:val="multilevel"/>
    <w:tmpl w:val="9DC28E2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15:restartNumberingAfterBreak="0">
    <w:nsid w:val="2742475D"/>
    <w:multiLevelType w:val="hybridMultilevel"/>
    <w:tmpl w:val="B19E6A98"/>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7572F1"/>
    <w:multiLevelType w:val="hybridMultilevel"/>
    <w:tmpl w:val="91B8A584"/>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15:restartNumberingAfterBreak="0">
    <w:nsid w:val="29A42361"/>
    <w:multiLevelType w:val="hybridMultilevel"/>
    <w:tmpl w:val="5DF045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8576A6"/>
    <w:multiLevelType w:val="hybridMultilevel"/>
    <w:tmpl w:val="2CBEE8EA"/>
    <w:lvl w:ilvl="0" w:tplc="26C8098A">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FD69DD"/>
    <w:multiLevelType w:val="hybridMultilevel"/>
    <w:tmpl w:val="20BE907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FF2E86"/>
    <w:multiLevelType w:val="multilevel"/>
    <w:tmpl w:val="7996F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8723AD"/>
    <w:multiLevelType w:val="hybridMultilevel"/>
    <w:tmpl w:val="D7DA8974"/>
    <w:lvl w:ilvl="0" w:tplc="78E0C78E">
      <w:start w:val="1"/>
      <w:numFmt w:val="decimal"/>
      <w:lvlText w:val="%1."/>
      <w:lvlJc w:val="left"/>
      <w:pPr>
        <w:ind w:left="720" w:hanging="360"/>
      </w:pPr>
      <w:rPr>
        <w:rFonts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F06D9D"/>
    <w:multiLevelType w:val="hybridMultilevel"/>
    <w:tmpl w:val="7106742E"/>
    <w:lvl w:ilvl="0" w:tplc="99F6E748">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EE0D29"/>
    <w:multiLevelType w:val="hybridMultilevel"/>
    <w:tmpl w:val="3342BC82"/>
    <w:lvl w:ilvl="0" w:tplc="87DEB2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7774AD"/>
    <w:multiLevelType w:val="hybridMultilevel"/>
    <w:tmpl w:val="FC54A6D8"/>
    <w:lvl w:ilvl="0" w:tplc="B35A06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EB1088"/>
    <w:multiLevelType w:val="multilevel"/>
    <w:tmpl w:val="DADA8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BA3356"/>
    <w:multiLevelType w:val="hybridMultilevel"/>
    <w:tmpl w:val="8EBC602E"/>
    <w:lvl w:ilvl="0" w:tplc="E8F81A62">
      <w:start w:val="1"/>
      <w:numFmt w:val="bullet"/>
      <w:lvlText w:val="-"/>
      <w:lvlJc w:val="left"/>
      <w:pPr>
        <w:ind w:left="720" w:hanging="360"/>
      </w:pPr>
      <w:rPr>
        <w:rFonts w:ascii="Palatino Linotype" w:eastAsiaTheme="majorEastAsia"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871A21"/>
    <w:multiLevelType w:val="hybridMultilevel"/>
    <w:tmpl w:val="9746C46A"/>
    <w:lvl w:ilvl="0" w:tplc="59C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CD40DCB"/>
    <w:multiLevelType w:val="hybridMultilevel"/>
    <w:tmpl w:val="A49EDB58"/>
    <w:lvl w:ilvl="0" w:tplc="5EE03C8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2A0DDF"/>
    <w:multiLevelType w:val="hybridMultilevel"/>
    <w:tmpl w:val="AEC8D390"/>
    <w:lvl w:ilvl="0" w:tplc="EEC2223E">
      <w:start w:val="9"/>
      <w:numFmt w:val="bullet"/>
      <w:lvlText w:val="-"/>
      <w:lvlJc w:val="left"/>
      <w:pPr>
        <w:ind w:left="1287" w:hanging="360"/>
      </w:pPr>
      <w:rPr>
        <w:rFonts w:ascii="Palatino Linotype" w:eastAsia="Times New Roman" w:hAnsi="Palatino Linotype" w:cs="Times New Roman"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66896904"/>
    <w:multiLevelType w:val="multilevel"/>
    <w:tmpl w:val="F5F2CC96"/>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324A03"/>
    <w:multiLevelType w:val="hybridMultilevel"/>
    <w:tmpl w:val="8E0ABE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A641363"/>
    <w:multiLevelType w:val="hybridMultilevel"/>
    <w:tmpl w:val="FD8455F4"/>
    <w:lvl w:ilvl="0" w:tplc="1870CD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05192002">
    <w:abstractNumId w:val="17"/>
  </w:num>
  <w:num w:numId="2" w16cid:durableId="148402278">
    <w:abstractNumId w:val="10"/>
  </w:num>
  <w:num w:numId="3" w16cid:durableId="637881809">
    <w:abstractNumId w:val="14"/>
  </w:num>
  <w:num w:numId="4" w16cid:durableId="31655277">
    <w:abstractNumId w:val="1"/>
  </w:num>
  <w:num w:numId="5" w16cid:durableId="736778404">
    <w:abstractNumId w:val="20"/>
  </w:num>
  <w:num w:numId="6" w16cid:durableId="1250113224">
    <w:abstractNumId w:val="0"/>
  </w:num>
  <w:num w:numId="7" w16cid:durableId="1627393869">
    <w:abstractNumId w:val="21"/>
  </w:num>
  <w:num w:numId="8" w16cid:durableId="903101897">
    <w:abstractNumId w:val="18"/>
  </w:num>
  <w:num w:numId="9" w16cid:durableId="310838032">
    <w:abstractNumId w:val="4"/>
  </w:num>
  <w:num w:numId="10" w16cid:durableId="873464811">
    <w:abstractNumId w:val="12"/>
  </w:num>
  <w:num w:numId="11" w16cid:durableId="850530768">
    <w:abstractNumId w:val="5"/>
  </w:num>
  <w:num w:numId="12" w16cid:durableId="1235165920">
    <w:abstractNumId w:val="26"/>
  </w:num>
  <w:num w:numId="13" w16cid:durableId="94904581">
    <w:abstractNumId w:val="3"/>
  </w:num>
  <w:num w:numId="14" w16cid:durableId="926766940">
    <w:abstractNumId w:val="23"/>
  </w:num>
  <w:num w:numId="15" w16cid:durableId="2084253521">
    <w:abstractNumId w:val="32"/>
  </w:num>
  <w:num w:numId="16" w16cid:durableId="1559390013">
    <w:abstractNumId w:val="22"/>
  </w:num>
  <w:num w:numId="17" w16cid:durableId="844173198">
    <w:abstractNumId w:val="24"/>
  </w:num>
  <w:num w:numId="18" w16cid:durableId="1064644770">
    <w:abstractNumId w:val="16"/>
  </w:num>
  <w:num w:numId="19" w16cid:durableId="1467428115">
    <w:abstractNumId w:val="8"/>
  </w:num>
  <w:num w:numId="20" w16cid:durableId="1119298888">
    <w:abstractNumId w:val="28"/>
  </w:num>
  <w:num w:numId="21" w16cid:durableId="294797885">
    <w:abstractNumId w:val="25"/>
  </w:num>
  <w:num w:numId="22" w16cid:durableId="1618831480">
    <w:abstractNumId w:val="15"/>
  </w:num>
  <w:num w:numId="23" w16cid:durableId="1999767621">
    <w:abstractNumId w:val="6"/>
  </w:num>
  <w:num w:numId="24" w16cid:durableId="1051853416">
    <w:abstractNumId w:val="7"/>
  </w:num>
  <w:num w:numId="25" w16cid:durableId="1972784242">
    <w:abstractNumId w:val="11"/>
  </w:num>
  <w:num w:numId="26" w16cid:durableId="1452016971">
    <w:abstractNumId w:val="29"/>
  </w:num>
  <w:num w:numId="27" w16cid:durableId="7492515">
    <w:abstractNumId w:val="2"/>
  </w:num>
  <w:num w:numId="28" w16cid:durableId="1065758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3504796">
    <w:abstractNumId w:val="30"/>
  </w:num>
  <w:num w:numId="30" w16cid:durableId="308634689">
    <w:abstractNumId w:val="9"/>
  </w:num>
  <w:num w:numId="31" w16cid:durableId="1682707886">
    <w:abstractNumId w:val="31"/>
  </w:num>
  <w:num w:numId="32" w16cid:durableId="436565798">
    <w:abstractNumId w:val="19"/>
  </w:num>
  <w:num w:numId="33" w16cid:durableId="9158203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A0B"/>
    <w:rsid w:val="0000396F"/>
    <w:rsid w:val="00083282"/>
    <w:rsid w:val="000911EC"/>
    <w:rsid w:val="00183EE3"/>
    <w:rsid w:val="001A54DC"/>
    <w:rsid w:val="001F2C4B"/>
    <w:rsid w:val="00206A1F"/>
    <w:rsid w:val="002856AC"/>
    <w:rsid w:val="00426652"/>
    <w:rsid w:val="004273BE"/>
    <w:rsid w:val="004E585B"/>
    <w:rsid w:val="00543563"/>
    <w:rsid w:val="00551607"/>
    <w:rsid w:val="00562CA4"/>
    <w:rsid w:val="005E13A5"/>
    <w:rsid w:val="00627A3C"/>
    <w:rsid w:val="00660BC1"/>
    <w:rsid w:val="00690DEE"/>
    <w:rsid w:val="006A7A0B"/>
    <w:rsid w:val="006D2677"/>
    <w:rsid w:val="007B45D8"/>
    <w:rsid w:val="008465A6"/>
    <w:rsid w:val="008F16CF"/>
    <w:rsid w:val="009A4AAE"/>
    <w:rsid w:val="009B7596"/>
    <w:rsid w:val="009D51D3"/>
    <w:rsid w:val="009E0F2B"/>
    <w:rsid w:val="00A606C4"/>
    <w:rsid w:val="00A77860"/>
    <w:rsid w:val="00A94AD5"/>
    <w:rsid w:val="00B01980"/>
    <w:rsid w:val="00BF2520"/>
    <w:rsid w:val="00C24754"/>
    <w:rsid w:val="00CA4E98"/>
    <w:rsid w:val="00CA65F7"/>
    <w:rsid w:val="00D95502"/>
    <w:rsid w:val="00E85B80"/>
    <w:rsid w:val="00ED7A00"/>
    <w:rsid w:val="00EE2EBD"/>
    <w:rsid w:val="00F01DCA"/>
    <w:rsid w:val="00F0549B"/>
    <w:rsid w:val="00F1025D"/>
    <w:rsid w:val="00F759EE"/>
    <w:rsid w:val="00FD6217"/>
    <w:rsid w:val="00FD69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6777A"/>
  <w15:chartTrackingRefBased/>
  <w15:docId w15:val="{D29A7D53-4C06-4FE3-847D-5991CEDD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7A0B"/>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uiPriority w:val="9"/>
    <w:qFormat/>
    <w:rsid w:val="006A7A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A7A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A7A0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A7A0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A7A0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A7A0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7A0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7A0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7A0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7A0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A7A0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A7A0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A7A0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A7A0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A7A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7A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7A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7A0B"/>
    <w:rPr>
      <w:rFonts w:eastAsiaTheme="majorEastAsia" w:cstheme="majorBidi"/>
      <w:color w:val="272727" w:themeColor="text1" w:themeTint="D8"/>
    </w:rPr>
  </w:style>
  <w:style w:type="paragraph" w:styleId="Ttulo">
    <w:name w:val="Title"/>
    <w:basedOn w:val="Normal"/>
    <w:next w:val="Normal"/>
    <w:link w:val="TtuloCar"/>
    <w:uiPriority w:val="10"/>
    <w:qFormat/>
    <w:rsid w:val="006A7A0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7A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7A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7A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7A0B"/>
    <w:pPr>
      <w:spacing w:before="160"/>
      <w:jc w:val="center"/>
    </w:pPr>
    <w:rPr>
      <w:i/>
      <w:iCs/>
      <w:color w:val="404040" w:themeColor="text1" w:themeTint="BF"/>
    </w:rPr>
  </w:style>
  <w:style w:type="character" w:customStyle="1" w:styleId="CitaCar">
    <w:name w:val="Cita Car"/>
    <w:basedOn w:val="Fuentedeprrafopredeter"/>
    <w:link w:val="Cita"/>
    <w:uiPriority w:val="29"/>
    <w:rsid w:val="006A7A0B"/>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A7A0B"/>
    <w:pPr>
      <w:ind w:left="720"/>
      <w:contextualSpacing/>
    </w:pPr>
  </w:style>
  <w:style w:type="character" w:styleId="nfasisintenso">
    <w:name w:val="Intense Emphasis"/>
    <w:basedOn w:val="Fuentedeprrafopredeter"/>
    <w:uiPriority w:val="21"/>
    <w:qFormat/>
    <w:rsid w:val="006A7A0B"/>
    <w:rPr>
      <w:i/>
      <w:iCs/>
      <w:color w:val="2F5496" w:themeColor="accent1" w:themeShade="BF"/>
    </w:rPr>
  </w:style>
  <w:style w:type="paragraph" w:styleId="Citadestacada">
    <w:name w:val="Intense Quote"/>
    <w:basedOn w:val="Normal"/>
    <w:next w:val="Normal"/>
    <w:link w:val="CitadestacadaCar"/>
    <w:uiPriority w:val="30"/>
    <w:qFormat/>
    <w:rsid w:val="006A7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A7A0B"/>
    <w:rPr>
      <w:i/>
      <w:iCs/>
      <w:color w:val="2F5496" w:themeColor="accent1" w:themeShade="BF"/>
    </w:rPr>
  </w:style>
  <w:style w:type="character" w:styleId="Referenciaintensa">
    <w:name w:val="Intense Reference"/>
    <w:basedOn w:val="Fuentedeprrafopredeter"/>
    <w:uiPriority w:val="32"/>
    <w:qFormat/>
    <w:rsid w:val="006A7A0B"/>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6A7A0B"/>
    <w:rPr>
      <w:color w:val="0563C1" w:themeColor="hyperlink"/>
      <w:u w:val="single"/>
    </w:rPr>
  </w:style>
  <w:style w:type="paragraph" w:styleId="TtuloTDC">
    <w:name w:val="TOC Heading"/>
    <w:basedOn w:val="Ttulo1"/>
    <w:next w:val="Normal"/>
    <w:uiPriority w:val="39"/>
    <w:unhideWhenUsed/>
    <w:qFormat/>
    <w:rsid w:val="006A7A0B"/>
    <w:pPr>
      <w:spacing w:before="240" w:after="0"/>
      <w:outlineLvl w:val="9"/>
    </w:pPr>
    <w:rPr>
      <w:sz w:val="32"/>
      <w:szCs w:val="32"/>
    </w:rPr>
  </w:style>
  <w:style w:type="paragraph" w:styleId="TDC1">
    <w:name w:val="toc 1"/>
    <w:basedOn w:val="Normal"/>
    <w:next w:val="Normal"/>
    <w:autoRedefine/>
    <w:uiPriority w:val="39"/>
    <w:unhideWhenUsed/>
    <w:rsid w:val="006A7A0B"/>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6A7A0B"/>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A7A0B"/>
  </w:style>
  <w:style w:type="table" w:styleId="Tablaconcuadrcula">
    <w:name w:val="Table Grid"/>
    <w:basedOn w:val="Tablanormal"/>
    <w:uiPriority w:val="39"/>
    <w:rsid w:val="006A7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E0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ierzenteno@edomex.gob.m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nfoem.org.mx/es/contenido/transparencia/directorio-desujetos-obligados" TargetMode="Externa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7899</Words>
  <Characters>43445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2026-02-20T01:00:00Z</cp:lastPrinted>
  <dcterms:created xsi:type="dcterms:W3CDTF">2026-02-20T01:00:00Z</dcterms:created>
  <dcterms:modified xsi:type="dcterms:W3CDTF">2026-04-09T23:25:00Z</dcterms:modified>
</cp:coreProperties>
</file>