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E69" w:rsidRDefault="006B1E69">
      <w:pPr>
        <w:widowControl w:val="0"/>
        <w:pBdr>
          <w:top w:val="nil"/>
          <w:left w:val="nil"/>
          <w:bottom w:val="nil"/>
          <w:right w:val="nil"/>
          <w:between w:val="nil"/>
        </w:pBdr>
        <w:spacing w:after="0" w:line="276" w:lineRule="auto"/>
        <w:jc w:val="left"/>
      </w:pPr>
      <w:bookmarkStart w:id="0" w:name="_GoBack"/>
      <w:bookmarkEnd w:id="0"/>
    </w:p>
    <w:p w:rsidR="006B1E69" w:rsidRPr="00D74DDC" w:rsidRDefault="00D74DDC" w:rsidP="00D74DDC">
      <w:pPr>
        <w:keepNext/>
        <w:keepLines/>
        <w:pBdr>
          <w:top w:val="nil"/>
          <w:left w:val="nil"/>
          <w:bottom w:val="nil"/>
          <w:right w:val="nil"/>
          <w:between w:val="nil"/>
        </w:pBdr>
        <w:spacing w:after="0" w:line="360" w:lineRule="auto"/>
        <w:jc w:val="center"/>
        <w:rPr>
          <w:color w:val="000000"/>
          <w:sz w:val="20"/>
          <w:szCs w:val="20"/>
        </w:rPr>
      </w:pPr>
      <w:r>
        <w:rPr>
          <w:color w:val="000000"/>
          <w:sz w:val="20"/>
          <w:szCs w:val="20"/>
        </w:rPr>
        <w:t xml:space="preserve">  </w:t>
      </w:r>
    </w:p>
    <w:p w:rsidR="006B1E69" w:rsidRDefault="00053235">
      <w:pPr>
        <w:tabs>
          <w:tab w:val="left" w:pos="8931"/>
        </w:tabs>
        <w:spacing w:after="0" w:line="360" w:lineRule="auto"/>
        <w:rPr>
          <w:color w:val="000000"/>
        </w:rPr>
      </w:pPr>
      <w:r>
        <w:rPr>
          <w:color w:val="000000"/>
        </w:rPr>
        <w:t xml:space="preserve">Resolución del Pleno del Instituto de Transparencia, Acceso a la Información Pública y Protección de Datos Personales del Estado de México y Municipios, con domicilio en Metepec, Estado de México, de fecha cinco de marzo de dos mil veintiséis. </w:t>
      </w:r>
    </w:p>
    <w:p w:rsidR="006B1E69" w:rsidRDefault="00053235">
      <w:pPr>
        <w:tabs>
          <w:tab w:val="left" w:pos="2340"/>
        </w:tabs>
        <w:spacing w:after="0" w:line="360" w:lineRule="auto"/>
        <w:rPr>
          <w:b/>
          <w:bCs/>
          <w:color w:val="FF0000"/>
        </w:rPr>
      </w:pPr>
      <w:r>
        <w:rPr>
          <w:b/>
          <w:bCs/>
          <w:color w:val="FF0000"/>
        </w:rPr>
        <w:tab/>
      </w:r>
    </w:p>
    <w:p w:rsidR="006B1E69" w:rsidRDefault="00053235">
      <w:pPr>
        <w:tabs>
          <w:tab w:val="right" w:pos="8838"/>
        </w:tabs>
        <w:spacing w:line="360" w:lineRule="auto"/>
        <w:ind w:left="-113" w:right="-32"/>
      </w:pPr>
      <w:r>
        <w:rPr>
          <w:b/>
          <w:bCs/>
          <w:color w:val="000000"/>
        </w:rPr>
        <w:t xml:space="preserve">VISTO </w:t>
      </w:r>
      <w:r>
        <w:rPr>
          <w:color w:val="000000"/>
        </w:rPr>
        <w:t xml:space="preserve">el expediente electrónico conformado con motivo del Recurso de Revisión </w:t>
      </w:r>
      <w:r>
        <w:rPr>
          <w:b/>
          <w:bCs/>
          <w:color w:val="000000"/>
        </w:rPr>
        <w:t>12391/INFOEM/IP/RR/2025</w:t>
      </w:r>
      <w:r>
        <w:rPr>
          <w:color w:val="000000"/>
        </w:rPr>
        <w:t xml:space="preserve">, en contra de la respuesta del Sujeto Obligado, </w:t>
      </w:r>
      <w:r>
        <w:rPr>
          <w:b/>
          <w:bCs/>
          <w:color w:val="000000"/>
        </w:rPr>
        <w:t>Consejo Estatal para el Desarrollo Integral de Los Pueblos Indígenas del Estado de México</w:t>
      </w:r>
      <w:r>
        <w:rPr>
          <w:color w:val="000000"/>
        </w:rPr>
        <w:t xml:space="preserve"> a la solicitud de acceso a la información pública </w:t>
      </w:r>
      <w:r>
        <w:t xml:space="preserve">00075/CEDIPIEM/IP/2025 </w:t>
      </w:r>
      <w:r>
        <w:rPr>
          <w:color w:val="000000"/>
        </w:rPr>
        <w:t>se emite la presente Resolución, con base en los Antecedentes y Considerandos que se exponen a continuación:</w:t>
      </w:r>
    </w:p>
    <w:p w:rsidR="006B1E69" w:rsidRDefault="00053235">
      <w:pPr>
        <w:tabs>
          <w:tab w:val="left" w:pos="1965"/>
        </w:tabs>
        <w:spacing w:after="0" w:line="360" w:lineRule="auto"/>
        <w:rPr>
          <w:b/>
          <w:bCs/>
          <w:color w:val="FF0000"/>
        </w:rPr>
      </w:pPr>
      <w:r>
        <w:rPr>
          <w:b/>
          <w:bCs/>
          <w:color w:val="FF0000"/>
        </w:rPr>
        <w:tab/>
      </w:r>
    </w:p>
    <w:p w:rsidR="006B1E69" w:rsidRDefault="00053235">
      <w:pPr>
        <w:pStyle w:val="Ttulo1"/>
        <w:spacing w:before="0" w:line="360" w:lineRule="auto"/>
        <w:jc w:val="center"/>
        <w:rPr>
          <w:rFonts w:ascii="Palatino Linotype" w:eastAsia="Palatino Linotype" w:hAnsi="Palatino Linotype" w:cs="Palatino Linotype"/>
          <w:b/>
          <w:bCs/>
          <w:color w:val="000000"/>
          <w:sz w:val="22"/>
          <w:szCs w:val="22"/>
        </w:rPr>
      </w:pPr>
      <w:bookmarkStart w:id="1" w:name="_heading=h.z7esz7k941y5" w:colFirst="0" w:colLast="0"/>
      <w:bookmarkEnd w:id="1"/>
      <w:r>
        <w:rPr>
          <w:rFonts w:ascii="Palatino Linotype" w:eastAsia="Palatino Linotype" w:hAnsi="Palatino Linotype" w:cs="Palatino Linotype"/>
          <w:b/>
          <w:bCs/>
          <w:color w:val="000000"/>
          <w:sz w:val="22"/>
          <w:szCs w:val="22"/>
        </w:rPr>
        <w:t>A N T E C E D E N T E S</w:t>
      </w:r>
    </w:p>
    <w:p w:rsidR="006B1E69" w:rsidRDefault="006B1E69">
      <w:pPr>
        <w:spacing w:after="0" w:line="360" w:lineRule="auto"/>
        <w:jc w:val="center"/>
        <w:rPr>
          <w:b/>
          <w:bCs/>
          <w:color w:val="000000"/>
        </w:rPr>
      </w:pPr>
    </w:p>
    <w:p w:rsidR="006B1E69" w:rsidRDefault="00053235">
      <w:pPr>
        <w:pStyle w:val="Ttulo2"/>
        <w:spacing w:before="0" w:line="360" w:lineRule="auto"/>
        <w:rPr>
          <w:rFonts w:ascii="Palatino Linotype" w:eastAsia="Palatino Linotype" w:hAnsi="Palatino Linotype" w:cs="Palatino Linotype"/>
          <w:b/>
          <w:bCs/>
          <w:color w:val="000000"/>
          <w:sz w:val="22"/>
          <w:szCs w:val="22"/>
        </w:rPr>
      </w:pPr>
      <w:bookmarkStart w:id="2" w:name="_heading=h.gy7rm4k7w15t" w:colFirst="0" w:colLast="0"/>
      <w:bookmarkEnd w:id="2"/>
      <w:r>
        <w:rPr>
          <w:rFonts w:ascii="Palatino Linotype" w:eastAsia="Palatino Linotype" w:hAnsi="Palatino Linotype" w:cs="Palatino Linotype"/>
          <w:b/>
          <w:bCs/>
          <w:color w:val="000000"/>
          <w:sz w:val="22"/>
          <w:szCs w:val="22"/>
        </w:rPr>
        <w:t>I. Presentación de la solicitud de información</w:t>
      </w:r>
    </w:p>
    <w:p w:rsidR="006B1E69" w:rsidRDefault="006B1E69">
      <w:pPr>
        <w:spacing w:after="0" w:line="360" w:lineRule="auto"/>
        <w:rPr>
          <w:b/>
          <w:bCs/>
          <w:color w:val="000000"/>
        </w:rPr>
      </w:pPr>
    </w:p>
    <w:p w:rsidR="006B1E69" w:rsidRDefault="00053235">
      <w:pPr>
        <w:spacing w:after="0" w:line="360" w:lineRule="auto"/>
        <w:rPr>
          <w:color w:val="000000"/>
        </w:rPr>
      </w:pPr>
      <w:r>
        <w:rPr>
          <w:color w:val="000000"/>
        </w:rPr>
        <w:t>Con fecha veintidós de septiembre de dos mil veinticinco, la persona Solicitante presentó un requerimiento de acceso a la información (ya que si bien se recibió el veinte de septiembre de dicho año, tan bien es que, fue día inhábil), a través del Sistema de Acceso a la Información Mexiquense (SAIMEX), ante el Consejo Estatal para el Desarrollo Integral de Los Pueblos Indígenas del Estado de México,</w:t>
      </w:r>
      <w:r>
        <w:rPr>
          <w:b/>
          <w:bCs/>
          <w:color w:val="000000"/>
        </w:rPr>
        <w:t xml:space="preserve"> </w:t>
      </w:r>
      <w:r>
        <w:rPr>
          <w:color w:val="000000"/>
        </w:rPr>
        <w:t>en los siguientes términos:</w:t>
      </w:r>
    </w:p>
    <w:p w:rsidR="006B1E69" w:rsidRDefault="006B1E69">
      <w:pPr>
        <w:tabs>
          <w:tab w:val="left" w:pos="4667"/>
        </w:tabs>
        <w:spacing w:after="0" w:line="360" w:lineRule="auto"/>
        <w:ind w:right="567"/>
        <w:rPr>
          <w:b/>
          <w:bCs/>
          <w:i/>
          <w:iCs/>
          <w:color w:val="FF0000"/>
        </w:rPr>
      </w:pPr>
    </w:p>
    <w:p w:rsidR="006B1E69" w:rsidRDefault="00053235">
      <w:pPr>
        <w:spacing w:after="0" w:line="360" w:lineRule="auto"/>
        <w:ind w:left="567" w:right="567"/>
        <w:rPr>
          <w:b/>
          <w:bCs/>
          <w:i/>
          <w:iCs/>
          <w:color w:val="000000"/>
          <w:sz w:val="20"/>
          <w:szCs w:val="20"/>
        </w:rPr>
      </w:pPr>
      <w:r>
        <w:rPr>
          <w:b/>
          <w:bCs/>
          <w:i/>
          <w:iCs/>
          <w:color w:val="000000"/>
          <w:sz w:val="20"/>
          <w:szCs w:val="20"/>
        </w:rPr>
        <w:t>“DESCRIPCIÓN CLARA Y PRECISA DE LA INFORMACIÓN SOLICITADA.</w:t>
      </w:r>
    </w:p>
    <w:p w:rsidR="006B1E69" w:rsidRDefault="00053235">
      <w:pPr>
        <w:spacing w:after="0" w:line="360" w:lineRule="auto"/>
        <w:ind w:left="567" w:right="567"/>
        <w:rPr>
          <w:i/>
          <w:iCs/>
          <w:color w:val="000000"/>
          <w:sz w:val="20"/>
          <w:szCs w:val="20"/>
        </w:rPr>
      </w:pPr>
      <w:r>
        <w:rPr>
          <w:i/>
          <w:iCs/>
          <w:color w:val="000000"/>
          <w:sz w:val="20"/>
          <w:szCs w:val="20"/>
        </w:rPr>
        <w:lastRenderedPageBreak/>
        <w:t xml:space="preserve">Solicito listado de comunidades y personas beneficiarias, con monto y tipo de apoyo recibido Desarrollo Indígena con Bienestar del año 2024 (Sic) </w:t>
      </w:r>
    </w:p>
    <w:p w:rsidR="006B1E69" w:rsidRDefault="00053235">
      <w:pPr>
        <w:spacing w:after="0" w:line="360" w:lineRule="auto"/>
        <w:ind w:right="567"/>
        <w:rPr>
          <w:i/>
          <w:iCs/>
          <w:color w:val="000000"/>
          <w:sz w:val="20"/>
          <w:szCs w:val="20"/>
        </w:rPr>
      </w:pPr>
      <w:r>
        <w:rPr>
          <w:i/>
          <w:iCs/>
          <w:color w:val="000000"/>
          <w:sz w:val="20"/>
          <w:szCs w:val="20"/>
        </w:rPr>
        <w:t xml:space="preserve">   </w:t>
      </w:r>
    </w:p>
    <w:p w:rsidR="006B1E69" w:rsidRDefault="00053235">
      <w:pPr>
        <w:spacing w:after="0" w:line="360" w:lineRule="auto"/>
        <w:ind w:left="567" w:right="567"/>
        <w:rPr>
          <w:b/>
          <w:bCs/>
          <w:i/>
          <w:iCs/>
          <w:color w:val="000000"/>
          <w:sz w:val="20"/>
          <w:szCs w:val="20"/>
        </w:rPr>
      </w:pPr>
      <w:r>
        <w:rPr>
          <w:b/>
          <w:bCs/>
          <w:i/>
          <w:iCs/>
          <w:color w:val="000000"/>
          <w:sz w:val="20"/>
          <w:szCs w:val="20"/>
        </w:rPr>
        <w:t>“MODALIDAD DE ENTREGA</w:t>
      </w:r>
    </w:p>
    <w:p w:rsidR="006B1E69" w:rsidRDefault="00053235">
      <w:pPr>
        <w:spacing w:after="0" w:line="360" w:lineRule="auto"/>
        <w:ind w:left="567" w:right="567"/>
        <w:rPr>
          <w:i/>
          <w:iCs/>
          <w:color w:val="000000"/>
          <w:sz w:val="20"/>
          <w:szCs w:val="20"/>
        </w:rPr>
      </w:pPr>
      <w:r>
        <w:rPr>
          <w:i/>
          <w:iCs/>
          <w:color w:val="000000"/>
          <w:sz w:val="20"/>
          <w:szCs w:val="20"/>
        </w:rPr>
        <w:t>A través del SAIMEX”</w:t>
      </w:r>
    </w:p>
    <w:p w:rsidR="006B1E69" w:rsidRDefault="006B1E69">
      <w:pPr>
        <w:spacing w:after="0" w:line="360" w:lineRule="auto"/>
        <w:ind w:left="567" w:right="567"/>
        <w:rPr>
          <w:i/>
          <w:iCs/>
          <w:color w:val="000000"/>
          <w:sz w:val="20"/>
          <w:szCs w:val="20"/>
        </w:rPr>
      </w:pPr>
    </w:p>
    <w:p w:rsidR="006B1E69" w:rsidRDefault="00053235">
      <w:pPr>
        <w:keepNext/>
        <w:keepLines/>
        <w:spacing w:after="0" w:line="360" w:lineRule="auto"/>
        <w:rPr>
          <w:color w:val="000000"/>
        </w:rPr>
      </w:pPr>
      <w:bookmarkStart w:id="3" w:name="_heading=h.1mavr7fxgme" w:colFirst="0" w:colLast="0"/>
      <w:bookmarkEnd w:id="3"/>
      <w:r>
        <w:rPr>
          <w:b/>
          <w:bCs/>
          <w:color w:val="000000"/>
        </w:rPr>
        <w:t xml:space="preserve">II. Prórroga para atender las solicitudes de información </w:t>
      </w:r>
    </w:p>
    <w:p w:rsidR="006B1E69" w:rsidRDefault="006B1E69">
      <w:pPr>
        <w:spacing w:after="0" w:line="360" w:lineRule="auto"/>
        <w:rPr>
          <w:b/>
          <w:bCs/>
          <w:color w:val="000000"/>
        </w:rPr>
      </w:pPr>
    </w:p>
    <w:p w:rsidR="006B1E69" w:rsidRDefault="00053235">
      <w:pPr>
        <w:spacing w:after="0" w:line="360" w:lineRule="auto"/>
        <w:rPr>
          <w:color w:val="000000"/>
        </w:rPr>
      </w:pPr>
      <w:r>
        <w:rPr>
          <w:color w:val="000000"/>
        </w:rPr>
        <w:t xml:space="preserve">El trece de octubre de dos mil veinticinco, el Sujeto Obligado, notificó a través del Sistema de Acceso a la Información Mexiquense (SAIMEX), notificó una prórroga, mediante la cual aprueba la ampliación de término para atender la solicitud de información, de conformidad con lo siguiente </w:t>
      </w:r>
    </w:p>
    <w:p w:rsidR="006B1E69" w:rsidRDefault="006B1E69">
      <w:pPr>
        <w:spacing w:after="0" w:line="360" w:lineRule="auto"/>
        <w:rPr>
          <w:color w:val="000000"/>
        </w:rPr>
      </w:pPr>
    </w:p>
    <w:p w:rsidR="006B1E69" w:rsidRDefault="00053235">
      <w:pPr>
        <w:spacing w:after="0" w:line="360" w:lineRule="auto"/>
        <w:ind w:left="567" w:right="567"/>
        <w:rPr>
          <w:color w:val="000000"/>
        </w:rPr>
      </w:pPr>
      <w:r>
        <w:rPr>
          <w:i/>
          <w:iCs/>
        </w:rPr>
        <w:t xml:space="preserve">“En virtud de que la Servidora Pública Habilitada del Departamento de Operación y Seguimiento de proyectos “A”, está </w:t>
      </w:r>
      <w:proofErr w:type="spellStart"/>
      <w:r>
        <w:rPr>
          <w:i/>
          <w:iCs/>
        </w:rPr>
        <w:t>concentranda</w:t>
      </w:r>
      <w:proofErr w:type="spellEnd"/>
      <w:r>
        <w:rPr>
          <w:i/>
          <w:iCs/>
        </w:rPr>
        <w:t xml:space="preserve"> y revisando la información, el cual requiere de un plazo adicional para recabar la información, por lo que es necesario contar con 7 días hábiles más, contados a partir del día 13 de octubre del año en curso, para entregarle la información solicitada y dar cumplimiento a lo dispuesto por el artículo 49 de la Ley de Transparencia y Acceso a la Información Pública del Estado de México y Municipios.”</w:t>
      </w:r>
    </w:p>
    <w:p w:rsidR="006B1E69" w:rsidRDefault="006B1E69">
      <w:pPr>
        <w:spacing w:after="0" w:line="360" w:lineRule="auto"/>
        <w:rPr>
          <w:b/>
          <w:bCs/>
          <w:color w:val="000000"/>
        </w:rPr>
      </w:pPr>
    </w:p>
    <w:p w:rsidR="006B1E69" w:rsidRDefault="00053235">
      <w:pPr>
        <w:pStyle w:val="Ttulo2"/>
        <w:spacing w:before="0" w:line="360" w:lineRule="auto"/>
        <w:rPr>
          <w:rFonts w:ascii="Palatino Linotype" w:eastAsia="Palatino Linotype" w:hAnsi="Palatino Linotype" w:cs="Palatino Linotype"/>
          <w:b/>
          <w:bCs/>
          <w:color w:val="000000"/>
          <w:sz w:val="22"/>
          <w:szCs w:val="22"/>
        </w:rPr>
      </w:pPr>
      <w:bookmarkStart w:id="4" w:name="_heading=h.uu38hete0bzi" w:colFirst="0" w:colLast="0"/>
      <w:bookmarkEnd w:id="4"/>
      <w:r>
        <w:rPr>
          <w:rFonts w:ascii="Palatino Linotype" w:eastAsia="Palatino Linotype" w:hAnsi="Palatino Linotype" w:cs="Palatino Linotype"/>
          <w:b/>
          <w:bCs/>
          <w:color w:val="000000"/>
          <w:sz w:val="22"/>
          <w:szCs w:val="22"/>
        </w:rPr>
        <w:t>III. Respuesta del Sujeto Obligado</w:t>
      </w:r>
    </w:p>
    <w:p w:rsidR="006B1E69" w:rsidRDefault="00053235">
      <w:pPr>
        <w:spacing w:after="0" w:line="360" w:lineRule="auto"/>
        <w:rPr>
          <w:b/>
          <w:bCs/>
          <w:color w:val="FF0000"/>
        </w:rPr>
      </w:pPr>
      <w:r>
        <w:rPr>
          <w:b/>
          <w:bCs/>
          <w:color w:val="FF0000"/>
        </w:rPr>
        <w:t xml:space="preserve">  </w:t>
      </w:r>
    </w:p>
    <w:p w:rsidR="006B1E69" w:rsidRDefault="00053235">
      <w:pPr>
        <w:spacing w:after="0" w:line="360" w:lineRule="auto"/>
        <w:rPr>
          <w:color w:val="000000"/>
        </w:rPr>
      </w:pPr>
      <w:bookmarkStart w:id="5" w:name="_heading=h.7e7kr0aflcj8" w:colFirst="0" w:colLast="0"/>
      <w:bookmarkEnd w:id="5"/>
      <w:r>
        <w:rPr>
          <w:color w:val="000000"/>
        </w:rPr>
        <w:lastRenderedPageBreak/>
        <w:t>Con fecha veintidós de octubre de dos mil veinticinco, el Sujeto Obligado, notificó la respuesta a la solicitud, a través del Sistema de Acceso a la Información Mexiquense (SAIMEX), mediante la digitalización de los siguientes documentos:</w:t>
      </w:r>
    </w:p>
    <w:p w:rsidR="006B1E69" w:rsidRDefault="006B1E69">
      <w:pPr>
        <w:spacing w:after="0" w:line="360" w:lineRule="auto"/>
        <w:rPr>
          <w:color w:val="FF0000"/>
        </w:rPr>
      </w:pPr>
    </w:p>
    <w:p w:rsidR="006B1E69" w:rsidRDefault="00053235">
      <w:pPr>
        <w:spacing w:after="0" w:line="360" w:lineRule="auto"/>
        <w:rPr>
          <w:color w:val="000000"/>
        </w:rPr>
      </w:pPr>
      <w:r>
        <w:rPr>
          <w:color w:val="000000"/>
        </w:rPr>
        <w:t xml:space="preserve">i) Oficio número 229C0101000300S/764/2025, del veintiuno de octubre de dos mil veinticinco, suscrito por el Jefe de la Unidad de Información, Planeación, Programación y Evaluación y Titular de la Unidad de transparencia y dirigido al Solicitante, por medio del cual precisó  enviar la información proporcionada que obra en los archivos del Departamento de Operación y Seguimiento de Proyectos “A” adscritos a la Subdirección Operativa del Consejo Estatal para el Desarrollo Integral de los Pueblos Indígenas del Estado de México (CEDIPIEM), en formato PDF, que contiene el listado de comunidades y personas beneficiarias, con monto y tipo de apoyo recibido del programa de desarrollo social “Desarrollo Indígena con Bienestar” del periodo 2024. </w:t>
      </w:r>
    </w:p>
    <w:p w:rsidR="006B1E69" w:rsidRDefault="006B1E69">
      <w:pPr>
        <w:pBdr>
          <w:top w:val="nil"/>
          <w:left w:val="nil"/>
          <w:bottom w:val="nil"/>
          <w:right w:val="nil"/>
          <w:between w:val="nil"/>
        </w:pBdr>
        <w:spacing w:after="0" w:line="360" w:lineRule="auto"/>
        <w:ind w:left="1080"/>
        <w:rPr>
          <w:i/>
          <w:iCs/>
          <w:color w:val="000000"/>
          <w:sz w:val="20"/>
          <w:szCs w:val="20"/>
        </w:rPr>
      </w:pPr>
    </w:p>
    <w:p w:rsidR="006B1E69" w:rsidRDefault="006B1E69">
      <w:pPr>
        <w:spacing w:after="0" w:line="360" w:lineRule="auto"/>
        <w:rPr>
          <w:color w:val="000000"/>
        </w:rPr>
      </w:pPr>
    </w:p>
    <w:p w:rsidR="006B1E69" w:rsidRDefault="00053235">
      <w:pPr>
        <w:spacing w:after="0" w:line="360" w:lineRule="auto"/>
        <w:rPr>
          <w:color w:val="000000"/>
        </w:rPr>
      </w:pPr>
      <w:r>
        <w:rPr>
          <w:color w:val="000000"/>
        </w:rPr>
        <w:t xml:space="preserve">iii) Adjuntó la digitalización del Listado de Beneficiarios del Programa de Desarrollo Social “Desarrollo Indígena con Bienestar” de 2024, que contiene la comunidad, nombre del proyecto, solicitante y monto. </w:t>
      </w:r>
    </w:p>
    <w:p w:rsidR="006B1E69" w:rsidRDefault="006B1E69">
      <w:pPr>
        <w:spacing w:after="0" w:line="360" w:lineRule="auto"/>
        <w:ind w:right="567"/>
        <w:rPr>
          <w:color w:val="FF0000"/>
        </w:rPr>
      </w:pPr>
    </w:p>
    <w:p w:rsidR="006B1E69" w:rsidRDefault="00D74DDC">
      <w:pPr>
        <w:pStyle w:val="Ttulo2"/>
        <w:spacing w:before="0" w:line="360" w:lineRule="auto"/>
        <w:rPr>
          <w:rFonts w:ascii="Palatino Linotype" w:eastAsia="Palatino Linotype" w:hAnsi="Palatino Linotype" w:cs="Palatino Linotype"/>
          <w:b/>
          <w:bCs/>
          <w:color w:val="000000"/>
          <w:sz w:val="22"/>
          <w:szCs w:val="22"/>
        </w:rPr>
      </w:pPr>
      <w:bookmarkStart w:id="6" w:name="_heading=h.vit4p3ol6cq2" w:colFirst="0" w:colLast="0"/>
      <w:bookmarkEnd w:id="6"/>
      <w:r>
        <w:rPr>
          <w:rFonts w:ascii="Palatino Linotype" w:eastAsia="Palatino Linotype" w:hAnsi="Palatino Linotype" w:cs="Palatino Linotype"/>
          <w:b/>
          <w:bCs/>
          <w:color w:val="000000"/>
          <w:sz w:val="22"/>
          <w:szCs w:val="22"/>
        </w:rPr>
        <w:t>IV</w:t>
      </w:r>
      <w:r w:rsidR="00053235">
        <w:rPr>
          <w:rFonts w:ascii="Palatino Linotype" w:eastAsia="Palatino Linotype" w:hAnsi="Palatino Linotype" w:cs="Palatino Linotype"/>
          <w:b/>
          <w:bCs/>
          <w:color w:val="000000"/>
          <w:sz w:val="22"/>
          <w:szCs w:val="22"/>
        </w:rPr>
        <w:t>. Interposición del Recurso de Revisión</w:t>
      </w:r>
    </w:p>
    <w:p w:rsidR="006B1E69" w:rsidRDefault="00053235">
      <w:pPr>
        <w:spacing w:after="0" w:line="360" w:lineRule="auto"/>
        <w:rPr>
          <w:color w:val="FF0000"/>
        </w:rPr>
      </w:pPr>
      <w:r>
        <w:rPr>
          <w:color w:val="FF0000"/>
        </w:rPr>
        <w:t xml:space="preserve"> </w:t>
      </w:r>
    </w:p>
    <w:p w:rsidR="006B1E69" w:rsidRDefault="00053235">
      <w:pPr>
        <w:widowControl w:val="0"/>
        <w:spacing w:after="0" w:line="360" w:lineRule="auto"/>
        <w:rPr>
          <w:color w:val="000000"/>
        </w:rPr>
      </w:pPr>
      <w:r>
        <w:rPr>
          <w:color w:val="000000"/>
        </w:rPr>
        <w:t>Con fecha treinta de octubre de dos mil veinticinco, se recibió en este Instituto, a través del Sistema de Acceso a la Información Mexiquense (SAIMEX), el Recurso de Revisión interpuesto por la parte Recurrente, en contra de la respuesta del Sujeto Obligado, en los siguientes términos:</w:t>
      </w:r>
    </w:p>
    <w:p w:rsidR="006B1E69" w:rsidRDefault="006B1E69">
      <w:pPr>
        <w:tabs>
          <w:tab w:val="left" w:pos="4667"/>
        </w:tabs>
        <w:spacing w:after="0" w:line="360" w:lineRule="auto"/>
        <w:ind w:left="567" w:right="567"/>
        <w:rPr>
          <w:b/>
          <w:bCs/>
          <w:i/>
          <w:iCs/>
          <w:color w:val="FF0000"/>
          <w:sz w:val="20"/>
          <w:szCs w:val="20"/>
        </w:rPr>
      </w:pPr>
    </w:p>
    <w:p w:rsidR="006B1E69" w:rsidRDefault="00053235">
      <w:pPr>
        <w:tabs>
          <w:tab w:val="left" w:pos="4667"/>
        </w:tabs>
        <w:spacing w:after="0" w:line="360" w:lineRule="auto"/>
        <w:ind w:left="567" w:right="567"/>
        <w:rPr>
          <w:b/>
          <w:bCs/>
          <w:i/>
          <w:iCs/>
          <w:color w:val="000000"/>
          <w:sz w:val="20"/>
          <w:szCs w:val="20"/>
        </w:rPr>
      </w:pPr>
      <w:r>
        <w:rPr>
          <w:b/>
          <w:bCs/>
          <w:i/>
          <w:iCs/>
          <w:color w:val="000000"/>
          <w:sz w:val="20"/>
          <w:szCs w:val="20"/>
        </w:rPr>
        <w:t>“ACTO IMPUGNADO</w:t>
      </w:r>
    </w:p>
    <w:p w:rsidR="006B1E69" w:rsidRDefault="00053235">
      <w:pPr>
        <w:tabs>
          <w:tab w:val="left" w:pos="4667"/>
        </w:tabs>
        <w:spacing w:after="0" w:line="360" w:lineRule="auto"/>
        <w:ind w:left="567" w:right="567"/>
        <w:rPr>
          <w:i/>
          <w:iCs/>
          <w:color w:val="000000"/>
          <w:sz w:val="20"/>
          <w:szCs w:val="20"/>
        </w:rPr>
      </w:pPr>
      <w:proofErr w:type="gramStart"/>
      <w:r>
        <w:rPr>
          <w:i/>
          <w:iCs/>
          <w:color w:val="000000"/>
          <w:sz w:val="20"/>
          <w:szCs w:val="20"/>
        </w:rPr>
        <w:t>el</w:t>
      </w:r>
      <w:proofErr w:type="gramEnd"/>
      <w:r>
        <w:rPr>
          <w:i/>
          <w:iCs/>
          <w:color w:val="000000"/>
          <w:sz w:val="20"/>
          <w:szCs w:val="20"/>
        </w:rPr>
        <w:t xml:space="preserve"> Sujeto Obligado emitió respuesta mediante la cual remitió un archivo en formato PDF que contiene el listado de beneficiarios y montos, sin embargo, omitió incluir el tipo de apoyo recibido, información expresamente requerida en la solicitud.” (Sic.)</w:t>
      </w:r>
    </w:p>
    <w:p w:rsidR="006B1E69" w:rsidRDefault="006B1E69">
      <w:pPr>
        <w:tabs>
          <w:tab w:val="left" w:pos="4667"/>
        </w:tabs>
        <w:spacing w:after="0" w:line="360" w:lineRule="auto"/>
        <w:ind w:left="567" w:right="567"/>
        <w:rPr>
          <w:i/>
          <w:iCs/>
          <w:color w:val="FF0000"/>
          <w:sz w:val="20"/>
          <w:szCs w:val="20"/>
        </w:rPr>
      </w:pPr>
    </w:p>
    <w:p w:rsidR="006B1E69" w:rsidRDefault="00053235">
      <w:pPr>
        <w:tabs>
          <w:tab w:val="left" w:pos="4667"/>
        </w:tabs>
        <w:spacing w:after="0" w:line="360" w:lineRule="auto"/>
        <w:ind w:left="567" w:right="567"/>
        <w:rPr>
          <w:b/>
          <w:bCs/>
          <w:i/>
          <w:iCs/>
          <w:color w:val="000000"/>
          <w:sz w:val="20"/>
          <w:szCs w:val="20"/>
        </w:rPr>
      </w:pPr>
      <w:r>
        <w:rPr>
          <w:b/>
          <w:bCs/>
          <w:i/>
          <w:iCs/>
          <w:color w:val="000000"/>
          <w:sz w:val="20"/>
          <w:szCs w:val="20"/>
        </w:rPr>
        <w:t>“RAZONES O MOTIVOS DE LA INCONFORMIDAD</w:t>
      </w:r>
    </w:p>
    <w:p w:rsidR="006B1E69" w:rsidRDefault="00053235">
      <w:pPr>
        <w:tabs>
          <w:tab w:val="left" w:pos="4667"/>
        </w:tabs>
        <w:spacing w:after="0" w:line="360" w:lineRule="auto"/>
        <w:ind w:left="567" w:right="567"/>
        <w:jc w:val="left"/>
        <w:rPr>
          <w:i/>
          <w:iCs/>
          <w:color w:val="000000"/>
          <w:sz w:val="20"/>
          <w:szCs w:val="20"/>
        </w:rPr>
      </w:pPr>
      <w:r>
        <w:rPr>
          <w:i/>
          <w:iCs/>
          <w:color w:val="000000"/>
          <w:sz w:val="20"/>
          <w:szCs w:val="20"/>
        </w:rPr>
        <w:t>No satisface en su totalidad la solicitud presentada, ya que n</w:t>
      </w:r>
      <w:r>
        <w:rPr>
          <w:i/>
          <w:iCs/>
          <w:color w:val="000000"/>
          <w:sz w:val="20"/>
          <w:szCs w:val="20"/>
          <w:u w:val="single"/>
        </w:rPr>
        <w:t>o proporciona el tipo o descripción del apoyo entregado a cada beneficiario.</w:t>
      </w:r>
      <w:r>
        <w:rPr>
          <w:i/>
          <w:iCs/>
          <w:color w:val="000000"/>
          <w:sz w:val="20"/>
          <w:szCs w:val="20"/>
        </w:rPr>
        <w:t xml:space="preserve"> La respuesta no está debidamente fundada ni motivada respecto de la inexistencia o reserva de la información omitida. Dado que el programa social implica recursos públicos, el tipo de apoyo otorgado constituye información de carácter público conforme a los principios de máxima publicidad y rendición de cuentas.” (Sic.)</w:t>
      </w:r>
    </w:p>
    <w:p w:rsidR="006B1E69" w:rsidRDefault="006B1E69">
      <w:pPr>
        <w:tabs>
          <w:tab w:val="left" w:pos="4667"/>
        </w:tabs>
        <w:spacing w:after="0" w:line="360" w:lineRule="auto"/>
        <w:ind w:right="567"/>
        <w:rPr>
          <w:i/>
          <w:iCs/>
          <w:color w:val="000000"/>
          <w:sz w:val="20"/>
          <w:szCs w:val="20"/>
        </w:rPr>
      </w:pPr>
    </w:p>
    <w:p w:rsidR="006B1E69" w:rsidRDefault="00053235">
      <w:pPr>
        <w:pStyle w:val="Ttulo2"/>
        <w:spacing w:before="0" w:line="360" w:lineRule="auto"/>
        <w:rPr>
          <w:rFonts w:ascii="Palatino Linotype" w:eastAsia="Palatino Linotype" w:hAnsi="Palatino Linotype" w:cs="Palatino Linotype"/>
          <w:b/>
          <w:bCs/>
          <w:color w:val="000000"/>
          <w:sz w:val="22"/>
          <w:szCs w:val="22"/>
        </w:rPr>
      </w:pPr>
      <w:bookmarkStart w:id="7" w:name="_heading=h.rkp7s29h3elm" w:colFirst="0" w:colLast="0"/>
      <w:bookmarkEnd w:id="7"/>
      <w:r>
        <w:rPr>
          <w:rFonts w:ascii="Palatino Linotype" w:eastAsia="Palatino Linotype" w:hAnsi="Palatino Linotype" w:cs="Palatino Linotype"/>
          <w:b/>
          <w:bCs/>
          <w:color w:val="000000"/>
          <w:sz w:val="22"/>
          <w:szCs w:val="22"/>
        </w:rPr>
        <w:t>V. Trámite del Recurso de Revisión ante este Instituto</w:t>
      </w:r>
    </w:p>
    <w:p w:rsidR="006B1E69" w:rsidRDefault="006B1E69">
      <w:pPr>
        <w:spacing w:after="0" w:line="360" w:lineRule="auto"/>
        <w:rPr>
          <w:b/>
          <w:bCs/>
          <w:color w:val="FF0000"/>
        </w:rPr>
      </w:pPr>
    </w:p>
    <w:p w:rsidR="006B1E69" w:rsidRDefault="00053235">
      <w:pPr>
        <w:spacing w:after="0" w:line="360" w:lineRule="auto"/>
        <w:rPr>
          <w:b/>
          <w:bCs/>
          <w:color w:val="000000"/>
        </w:rPr>
      </w:pPr>
      <w:bookmarkStart w:id="8" w:name="_heading=h.377xscl2sx2j" w:colFirst="0" w:colLast="0"/>
      <w:bookmarkEnd w:id="8"/>
      <w:r>
        <w:rPr>
          <w:b/>
          <w:bCs/>
          <w:color w:val="000000"/>
        </w:rPr>
        <w:t>a) Turno del Medio de Impugnación.</w:t>
      </w:r>
      <w:r>
        <w:rPr>
          <w:b/>
          <w:bCs/>
        </w:rPr>
        <w:t xml:space="preserve"> </w:t>
      </w:r>
      <w:r>
        <w:rPr>
          <w:color w:val="000000"/>
        </w:rPr>
        <w:t xml:space="preserve">El treinta de octubre de dos mil veinticinco, el Sistema de Acceso a la Información Mexiquense (SAIMEX), asignó el número de expediente </w:t>
      </w:r>
      <w:r>
        <w:rPr>
          <w:b/>
          <w:bCs/>
          <w:color w:val="000000"/>
        </w:rPr>
        <w:t>12391/INFOEM/IP/RR/2025</w:t>
      </w:r>
      <w:r>
        <w:rPr>
          <w:color w:val="000000"/>
        </w:rPr>
        <w:t xml:space="preserve">, al Medio de Impugnación que nos ocupa, con base en el sistema aprobado por el Pleno de este Órgano Garante y lo turnó al </w:t>
      </w:r>
      <w:r>
        <w:rPr>
          <w:b/>
          <w:bCs/>
          <w:color w:val="000000"/>
        </w:rPr>
        <w:t>Comisionado Ponente Luis Gustavo Parra Noriega</w:t>
      </w:r>
      <w:r>
        <w:rPr>
          <w:color w:val="000000"/>
        </w:rPr>
        <w:t>, para los efectos del artículo 185, fracción I de la Ley de Transparencia y Acceso a la Información Pública del Estado de México y Municipios.</w:t>
      </w:r>
    </w:p>
    <w:p w:rsidR="006B1E69" w:rsidRDefault="006B1E69">
      <w:pPr>
        <w:spacing w:after="0" w:line="360" w:lineRule="auto"/>
        <w:rPr>
          <w:color w:val="FF0000"/>
        </w:rPr>
      </w:pPr>
    </w:p>
    <w:p w:rsidR="006B1E69" w:rsidRDefault="00053235">
      <w:pPr>
        <w:spacing w:after="0" w:line="360" w:lineRule="auto"/>
        <w:rPr>
          <w:color w:val="000000"/>
        </w:rPr>
      </w:pPr>
      <w:bookmarkStart w:id="9" w:name="_heading=h.e3yl40pc15bw" w:colFirst="0" w:colLast="0"/>
      <w:bookmarkEnd w:id="9"/>
      <w:r>
        <w:rPr>
          <w:b/>
          <w:bCs/>
          <w:color w:val="000000"/>
        </w:rPr>
        <w:t>b) Admisión del Recurso de Revisión.</w:t>
      </w:r>
      <w:r>
        <w:rPr>
          <w:b/>
          <w:bCs/>
        </w:rPr>
        <w:t xml:space="preserve"> </w:t>
      </w:r>
      <w:r>
        <w:rPr>
          <w:color w:val="000000"/>
        </w:rPr>
        <w:t xml:space="preserve">El cuatro de noviembre de dos mil veinticinco, se acordó la admisión del Recurso de Revisión interpuesto por el Recurrente en contra del Sujeto Obligado, en términos del artículo 185, fracciones I y II de la Ley de Transparencia y Acceso a la Información Pública del Estado de México y Municipios, el cual fue debidamente </w:t>
      </w:r>
      <w:r>
        <w:rPr>
          <w:color w:val="000000"/>
        </w:rPr>
        <w:lastRenderedPageBreak/>
        <w:t xml:space="preserve">notificado a las partes, el mismo día, a través del Sistema de Acceso a la Información Mexiquense (SAIMEX), en el que se les otorgó un plazo de siete días hábiles posteriores a la misma, para que manifestaran lo que a su derecho conviniera y formularan alegatos. </w:t>
      </w:r>
    </w:p>
    <w:p w:rsidR="006B1E69" w:rsidRDefault="006B1E69">
      <w:pPr>
        <w:spacing w:after="0" w:line="360" w:lineRule="auto"/>
        <w:rPr>
          <w:b/>
          <w:bCs/>
          <w:color w:val="000000"/>
        </w:rPr>
      </w:pPr>
    </w:p>
    <w:p w:rsidR="006B1E69" w:rsidRDefault="00053235">
      <w:pPr>
        <w:tabs>
          <w:tab w:val="left" w:pos="3261"/>
        </w:tabs>
        <w:spacing w:after="0" w:line="360" w:lineRule="auto"/>
        <w:rPr>
          <w:color w:val="000000"/>
        </w:rPr>
      </w:pPr>
      <w:bookmarkStart w:id="10" w:name="_heading=h.mchwllkegcnh" w:colFirst="0" w:colLast="0"/>
      <w:bookmarkEnd w:id="10"/>
      <w:r>
        <w:rPr>
          <w:b/>
          <w:bCs/>
          <w:color w:val="000000"/>
        </w:rPr>
        <w:t>c) Informe Justificado.</w:t>
      </w:r>
      <w:r>
        <w:t xml:space="preserve"> </w:t>
      </w:r>
      <w:r>
        <w:rPr>
          <w:color w:val="000000"/>
        </w:rPr>
        <w:t xml:space="preserve">El catorce de noviembre de dos mil veinticinco, a través del Sistema de Acceso a la Información Mexiquense (SAIMEX), se recibió en este Instituto el informe justificado por parte del Sujeto Obligado, a través de un oficio sin número, suscrito por el Titular de la Unidad de Transparencia y dirigido al Comisionado Ponente, por medio del cual ratificó la respuesta, de conformidad con lo siguiente: </w:t>
      </w:r>
    </w:p>
    <w:p w:rsidR="006B1E69" w:rsidRDefault="006B1E69">
      <w:pPr>
        <w:tabs>
          <w:tab w:val="left" w:pos="3261"/>
        </w:tabs>
        <w:spacing w:after="0" w:line="360" w:lineRule="auto"/>
        <w:rPr>
          <w:color w:val="000000"/>
        </w:rPr>
      </w:pPr>
    </w:p>
    <w:p w:rsidR="006B1E69" w:rsidRDefault="00053235">
      <w:pPr>
        <w:tabs>
          <w:tab w:val="left" w:pos="3261"/>
        </w:tabs>
        <w:spacing w:after="0" w:line="360" w:lineRule="auto"/>
        <w:ind w:left="567" w:right="567"/>
        <w:rPr>
          <w:i/>
          <w:iCs/>
          <w:color w:val="000000"/>
          <w:sz w:val="20"/>
          <w:szCs w:val="20"/>
        </w:rPr>
      </w:pPr>
      <w:r>
        <w:rPr>
          <w:i/>
          <w:iCs/>
          <w:color w:val="000000"/>
          <w:sz w:val="20"/>
          <w:szCs w:val="20"/>
        </w:rPr>
        <w:t>“…</w:t>
      </w:r>
    </w:p>
    <w:p w:rsidR="006B1E69" w:rsidRDefault="00053235">
      <w:pPr>
        <w:tabs>
          <w:tab w:val="left" w:pos="3261"/>
        </w:tabs>
        <w:spacing w:after="0" w:line="360" w:lineRule="auto"/>
        <w:ind w:left="567" w:right="567"/>
        <w:rPr>
          <w:i/>
          <w:iCs/>
          <w:color w:val="000000"/>
          <w:sz w:val="20"/>
          <w:szCs w:val="20"/>
        </w:rPr>
      </w:pPr>
      <w:r>
        <w:rPr>
          <w:i/>
          <w:iCs/>
          <w:color w:val="000000"/>
          <w:sz w:val="20"/>
          <w:szCs w:val="20"/>
        </w:rPr>
        <w:t>En este sentido, el Consejo Estatal para el Desarrollo Integral de los Pueblos Indígenas del Estado de México (CEDIPIEM), como Sujeto Obligado no omitió ningún dato en su respuesta, por lo que no puede considerarse que el derecho de acceso a la información del que es titular el recurrente haya sido negado, limitado o restringido al no recibir la información que, en su opinión, debió habérsele entregado.</w:t>
      </w:r>
    </w:p>
    <w:p w:rsidR="006B1E69" w:rsidRDefault="00053235">
      <w:pPr>
        <w:tabs>
          <w:tab w:val="left" w:pos="3261"/>
        </w:tabs>
        <w:spacing w:after="0" w:line="360" w:lineRule="auto"/>
        <w:ind w:left="567" w:right="567"/>
        <w:rPr>
          <w:i/>
          <w:iCs/>
          <w:color w:val="000000"/>
          <w:sz w:val="20"/>
          <w:szCs w:val="20"/>
        </w:rPr>
      </w:pPr>
      <w:r>
        <w:rPr>
          <w:i/>
          <w:iCs/>
          <w:color w:val="000000"/>
          <w:sz w:val="20"/>
          <w:szCs w:val="20"/>
        </w:rPr>
        <w:t>…</w:t>
      </w:r>
    </w:p>
    <w:p w:rsidR="006B1E69" w:rsidRDefault="00053235">
      <w:pPr>
        <w:tabs>
          <w:tab w:val="left" w:pos="3261"/>
        </w:tabs>
        <w:spacing w:after="0" w:line="360" w:lineRule="auto"/>
        <w:ind w:left="567" w:right="567"/>
        <w:rPr>
          <w:i/>
          <w:iCs/>
          <w:color w:val="000000"/>
          <w:sz w:val="20"/>
          <w:szCs w:val="20"/>
        </w:rPr>
      </w:pPr>
      <w:r>
        <w:rPr>
          <w:b/>
          <w:bCs/>
          <w:i/>
          <w:iCs/>
          <w:color w:val="000000"/>
          <w:sz w:val="20"/>
          <w:szCs w:val="20"/>
        </w:rPr>
        <w:t>SEGUNDO:</w:t>
      </w:r>
      <w:r>
        <w:rPr>
          <w:i/>
          <w:iCs/>
          <w:color w:val="000000"/>
          <w:sz w:val="20"/>
          <w:szCs w:val="20"/>
        </w:rPr>
        <w:t xml:space="preserve"> Se resuelva a favor de este organismo y de declare el sobreseimiento del presente </w:t>
      </w:r>
      <w:r>
        <w:rPr>
          <w:b/>
          <w:bCs/>
          <w:i/>
          <w:iCs/>
          <w:color w:val="000000"/>
          <w:sz w:val="20"/>
          <w:szCs w:val="20"/>
        </w:rPr>
        <w:t>Recurso de Revisión</w:t>
      </w:r>
      <w:r>
        <w:rPr>
          <w:i/>
          <w:iCs/>
          <w:color w:val="000000"/>
          <w:sz w:val="20"/>
          <w:szCs w:val="20"/>
        </w:rPr>
        <w:t xml:space="preserve"> o en su caso se confirme la respuesta objeto del presente </w:t>
      </w:r>
      <w:r>
        <w:rPr>
          <w:b/>
          <w:bCs/>
          <w:i/>
          <w:iCs/>
          <w:color w:val="000000"/>
          <w:sz w:val="20"/>
          <w:szCs w:val="20"/>
        </w:rPr>
        <w:t>Recurso de Revisión</w:t>
      </w:r>
      <w:r>
        <w:rPr>
          <w:i/>
          <w:iCs/>
          <w:color w:val="000000"/>
          <w:sz w:val="20"/>
          <w:szCs w:val="20"/>
        </w:rPr>
        <w:t>, de acuerdo con las facultades que la Ley de Transparencia y Acceso a la Información Pública del Estado de México y Municipios, le otorga al Consejo Estatal para el Desarrollo Integral de los Pueblos Indígenas del Estado de México (CEDIPIEM) como Sujeto Obligado, tal y como se indica en el cuerpo de este escrito.</w:t>
      </w:r>
    </w:p>
    <w:p w:rsidR="006B1E69" w:rsidRDefault="00053235">
      <w:pPr>
        <w:tabs>
          <w:tab w:val="left" w:pos="3261"/>
        </w:tabs>
        <w:spacing w:after="0" w:line="360" w:lineRule="auto"/>
        <w:ind w:left="567" w:right="567"/>
        <w:rPr>
          <w:i/>
          <w:iCs/>
          <w:color w:val="000000"/>
          <w:sz w:val="20"/>
          <w:szCs w:val="20"/>
        </w:rPr>
      </w:pPr>
      <w:r>
        <w:rPr>
          <w:i/>
          <w:iCs/>
          <w:color w:val="000000"/>
          <w:sz w:val="20"/>
          <w:szCs w:val="20"/>
        </w:rPr>
        <w:t>…”</w:t>
      </w:r>
    </w:p>
    <w:p w:rsidR="006B1E69" w:rsidRDefault="006B1E69">
      <w:pPr>
        <w:tabs>
          <w:tab w:val="left" w:pos="3261"/>
        </w:tabs>
        <w:spacing w:after="0" w:line="360" w:lineRule="auto"/>
        <w:rPr>
          <w:color w:val="000000"/>
        </w:rPr>
      </w:pPr>
    </w:p>
    <w:p w:rsidR="006B1E69" w:rsidRDefault="00053235">
      <w:pPr>
        <w:spacing w:after="0" w:line="360" w:lineRule="auto"/>
      </w:pPr>
      <w:r>
        <w:rPr>
          <w:b/>
          <w:bCs/>
        </w:rPr>
        <w:lastRenderedPageBreak/>
        <w:t>d) Ampliación de plazo para resolver.</w:t>
      </w:r>
      <w:r>
        <w:t xml:space="preserve"> El veintitrés de febrero de dos mil veintiséis, el Comisionado Ponente, con fundamento en lo dispuesto por el artículo 181, párrafo tercero, de la Ley de Transparencia y Acceso a la Información Pública del Estado de México y Municipios, acordó ampliar por un plazo razonable, el plazo para resolver el Recurso de Revisión que nos ocupa; acto que fue notificado a las partes el día hábil </w:t>
      </w:r>
      <w:proofErr w:type="spellStart"/>
      <w:r>
        <w:t>siguinte</w:t>
      </w:r>
      <w:proofErr w:type="spellEnd"/>
      <w:r>
        <w:t>, mediante el Sistema de Acceso a la Información Mexiquense (SAIMEX)</w:t>
      </w:r>
    </w:p>
    <w:p w:rsidR="006B1E69" w:rsidRDefault="006B1E69">
      <w:pPr>
        <w:tabs>
          <w:tab w:val="left" w:pos="3261"/>
        </w:tabs>
        <w:spacing w:after="0" w:line="360" w:lineRule="auto"/>
        <w:rPr>
          <w:color w:val="000000"/>
        </w:rPr>
      </w:pPr>
    </w:p>
    <w:p w:rsidR="006B1E69" w:rsidRDefault="00053235">
      <w:pPr>
        <w:spacing w:after="0" w:line="360" w:lineRule="auto"/>
        <w:rPr>
          <w:b/>
          <w:bCs/>
          <w:color w:val="000000"/>
        </w:rPr>
      </w:pPr>
      <w:r>
        <w:rPr>
          <w:b/>
          <w:bCs/>
          <w:color w:val="000000"/>
        </w:rPr>
        <w:t xml:space="preserve">e) Vista del Informe Justificado. </w:t>
      </w:r>
      <w:r>
        <w:rPr>
          <w:color w:val="000000"/>
        </w:rPr>
        <w:t xml:space="preserve">El veinticuatro de febrero de dos mil veintiséis, se dictó acuerdo por medio del cual se puso a la vista de la persona Recurrente el Informe Justificado entregado por el Sujeto Obligado, el cual fue notificado a las partes, el mismo día, a través del Sistema de Acceso a la Información Mexiquense (SAIMEX). </w:t>
      </w:r>
      <w:r>
        <w:rPr>
          <w:b/>
          <w:bCs/>
          <w:color w:val="000000"/>
        </w:rPr>
        <w:t>Cabe señalar que el Particular fue omiso en realizar manifestación alguna.</w:t>
      </w:r>
    </w:p>
    <w:p w:rsidR="006B1E69" w:rsidRDefault="006B1E69">
      <w:pPr>
        <w:spacing w:after="0" w:line="360" w:lineRule="auto"/>
        <w:rPr>
          <w:b/>
          <w:bCs/>
          <w:color w:val="000000"/>
        </w:rPr>
      </w:pPr>
    </w:p>
    <w:p w:rsidR="006B1E69" w:rsidRDefault="00053235">
      <w:pPr>
        <w:spacing w:after="0" w:line="360" w:lineRule="auto"/>
        <w:ind w:right="-28"/>
        <w:rPr>
          <w:color w:val="000000"/>
        </w:rPr>
      </w:pPr>
      <w:bookmarkStart w:id="11" w:name="_heading=h.7th8g8ost7lb" w:colFirst="0" w:colLast="0"/>
      <w:bookmarkEnd w:id="11"/>
      <w:r>
        <w:rPr>
          <w:b/>
          <w:bCs/>
          <w:color w:val="000000"/>
        </w:rPr>
        <w:t>f) Cierre de instrucción.</w:t>
      </w:r>
      <w:r>
        <w:rPr>
          <w:color w:val="000000"/>
        </w:rPr>
        <w:t xml:space="preserve"> El tres de marzo de dos mil veintiséis, al no existir diligencias pendientes por desahogar, se emitió el acuerdo por medio del cual se declaró cerrada la instrucción y se determinó pasar los expedientes a resolución, en términos de lo dispuesto e n los artículos 185, fracciones VI y VIII, de la Ley de Transparencia y Acceso a la Información Pública del Estado de México y Municipios, mismo que fue notificado a las partes el dieciocho del mismo mes y año, a través del Sistema de Acceso a la Información Mexiquense (SAIMEX). </w:t>
      </w:r>
    </w:p>
    <w:p w:rsidR="006B1E69" w:rsidRDefault="006B1E69">
      <w:pPr>
        <w:spacing w:after="0" w:line="360" w:lineRule="auto"/>
        <w:rPr>
          <w:color w:val="000000"/>
        </w:rPr>
      </w:pPr>
    </w:p>
    <w:p w:rsidR="006B1E69" w:rsidRDefault="00053235">
      <w:pPr>
        <w:spacing w:after="0" w:line="360" w:lineRule="auto"/>
        <w:rPr>
          <w:color w:val="000000"/>
        </w:rPr>
      </w:pPr>
      <w:r>
        <w:rPr>
          <w:color w:val="000000"/>
        </w:rPr>
        <w:t>En razón de que fue debidamente sustanciado e integrado el expediente electrónico y no existe diligencia pendiente de desahogo, se emite la resolución que conforme a Derecho proceda, de acuerdo a los siguientes:</w:t>
      </w:r>
    </w:p>
    <w:p w:rsidR="006B1E69" w:rsidRDefault="006B1E69">
      <w:pPr>
        <w:spacing w:after="0" w:line="360" w:lineRule="auto"/>
        <w:rPr>
          <w:color w:val="000000"/>
        </w:rPr>
      </w:pPr>
    </w:p>
    <w:p w:rsidR="006B1E69" w:rsidRDefault="00053235">
      <w:pPr>
        <w:pStyle w:val="Ttulo1"/>
        <w:spacing w:before="0" w:line="360" w:lineRule="auto"/>
        <w:jc w:val="center"/>
        <w:rPr>
          <w:rFonts w:ascii="Palatino Linotype" w:eastAsia="Palatino Linotype" w:hAnsi="Palatino Linotype" w:cs="Palatino Linotype"/>
          <w:b/>
          <w:bCs/>
          <w:color w:val="000000"/>
          <w:sz w:val="22"/>
          <w:szCs w:val="22"/>
        </w:rPr>
      </w:pPr>
      <w:bookmarkStart w:id="12" w:name="_heading=h.8n8tc1s2ade9" w:colFirst="0" w:colLast="0"/>
      <w:bookmarkEnd w:id="12"/>
      <w:r>
        <w:rPr>
          <w:rFonts w:ascii="Palatino Linotype" w:eastAsia="Palatino Linotype" w:hAnsi="Palatino Linotype" w:cs="Palatino Linotype"/>
          <w:b/>
          <w:bCs/>
          <w:color w:val="000000"/>
          <w:sz w:val="22"/>
          <w:szCs w:val="22"/>
        </w:rPr>
        <w:lastRenderedPageBreak/>
        <w:t>C O N S I D E R A N D O S</w:t>
      </w:r>
    </w:p>
    <w:p w:rsidR="006B1E69" w:rsidRDefault="006B1E69">
      <w:pPr>
        <w:spacing w:after="0" w:line="360" w:lineRule="auto"/>
        <w:jc w:val="center"/>
        <w:rPr>
          <w:b/>
          <w:bCs/>
          <w:color w:val="000000"/>
        </w:rPr>
      </w:pPr>
    </w:p>
    <w:p w:rsidR="006B1E69" w:rsidRDefault="00053235">
      <w:pPr>
        <w:pStyle w:val="Ttulo2"/>
        <w:spacing w:before="0" w:line="360" w:lineRule="auto"/>
        <w:rPr>
          <w:rFonts w:ascii="Palatino Linotype" w:eastAsia="Palatino Linotype" w:hAnsi="Palatino Linotype" w:cs="Palatino Linotype"/>
          <w:b/>
          <w:bCs/>
          <w:color w:val="000000"/>
          <w:sz w:val="22"/>
          <w:szCs w:val="22"/>
        </w:rPr>
      </w:pPr>
      <w:bookmarkStart w:id="13" w:name="_heading=h.wu2ida9o25lq" w:colFirst="0" w:colLast="0"/>
      <w:bookmarkEnd w:id="13"/>
      <w:r>
        <w:rPr>
          <w:rFonts w:ascii="Palatino Linotype" w:eastAsia="Palatino Linotype" w:hAnsi="Palatino Linotype" w:cs="Palatino Linotype"/>
          <w:b/>
          <w:bCs/>
          <w:color w:val="000000"/>
          <w:sz w:val="22"/>
          <w:szCs w:val="22"/>
        </w:rPr>
        <w:t>PRIMERO. Competencia</w:t>
      </w:r>
    </w:p>
    <w:p w:rsidR="006B1E69" w:rsidRDefault="006B1E69">
      <w:pPr>
        <w:spacing w:after="0" w:line="360" w:lineRule="auto"/>
        <w:rPr>
          <w:b/>
          <w:bCs/>
          <w:color w:val="FF0000"/>
        </w:rPr>
      </w:pPr>
    </w:p>
    <w:p w:rsidR="006B1E69" w:rsidRDefault="00053235">
      <w:pPr>
        <w:spacing w:after="0" w:line="360" w:lineRule="auto"/>
        <w:rPr>
          <w:color w:val="000000"/>
        </w:rPr>
      </w:pPr>
      <w:r>
        <w:rPr>
          <w:color w:val="000000"/>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rsidR="006B1E69" w:rsidRDefault="006B1E69">
      <w:pPr>
        <w:spacing w:after="0" w:line="360" w:lineRule="auto"/>
        <w:rPr>
          <w:b/>
          <w:bCs/>
          <w:color w:val="000000"/>
        </w:rPr>
      </w:pPr>
    </w:p>
    <w:p w:rsidR="006B1E69" w:rsidRDefault="00053235">
      <w:pPr>
        <w:pStyle w:val="Ttulo2"/>
        <w:spacing w:before="0" w:line="360" w:lineRule="auto"/>
        <w:rPr>
          <w:rFonts w:ascii="Palatino Linotype" w:eastAsia="Palatino Linotype" w:hAnsi="Palatino Linotype" w:cs="Palatino Linotype"/>
          <w:b/>
          <w:bCs/>
          <w:color w:val="000000"/>
          <w:sz w:val="22"/>
          <w:szCs w:val="22"/>
        </w:rPr>
      </w:pPr>
      <w:bookmarkStart w:id="14" w:name="_heading=h.8zqrpnbzi1ue" w:colFirst="0" w:colLast="0"/>
      <w:bookmarkEnd w:id="14"/>
      <w:r>
        <w:rPr>
          <w:rFonts w:ascii="Palatino Linotype" w:eastAsia="Palatino Linotype" w:hAnsi="Palatino Linotype" w:cs="Palatino Linotype"/>
          <w:b/>
          <w:bCs/>
          <w:color w:val="000000"/>
          <w:sz w:val="22"/>
          <w:szCs w:val="22"/>
        </w:rPr>
        <w:t xml:space="preserve">SEGUNDO. Causales de improcedencia y sobreseimiento </w:t>
      </w:r>
    </w:p>
    <w:p w:rsidR="006B1E69" w:rsidRDefault="006B1E69">
      <w:pPr>
        <w:spacing w:after="0" w:line="360" w:lineRule="auto"/>
        <w:rPr>
          <w:color w:val="000000"/>
        </w:rPr>
      </w:pPr>
    </w:p>
    <w:p w:rsidR="006B1E69" w:rsidRDefault="00053235">
      <w:pPr>
        <w:spacing w:after="0" w:line="360" w:lineRule="auto"/>
        <w:rPr>
          <w:color w:val="000000"/>
        </w:rPr>
      </w:pPr>
      <w:r>
        <w:rPr>
          <w:color w:val="000000"/>
        </w:rPr>
        <w:t xml:space="preserve">De las constancias que forma parte del Recurso de Revisión que se analiza, se advierte que previo al estudio del fondo de la </w:t>
      </w:r>
      <w:proofErr w:type="spellStart"/>
      <w:r>
        <w:rPr>
          <w:i/>
          <w:iCs/>
          <w:color w:val="000000"/>
        </w:rPr>
        <w:t>litis</w:t>
      </w:r>
      <w:proofErr w:type="spellEnd"/>
      <w:r>
        <w:rPr>
          <w:color w:val="000000"/>
        </w:rPr>
        <w:t>, es necesario estudiar las causales de improcedencia y sobreseimiento que se adviertan, para determinar lo que en Derecho proceda.</w:t>
      </w:r>
    </w:p>
    <w:p w:rsidR="006B1E69" w:rsidRDefault="006B1E69">
      <w:pPr>
        <w:spacing w:after="0" w:line="360" w:lineRule="auto"/>
        <w:rPr>
          <w:b/>
          <w:bCs/>
          <w:color w:val="000000"/>
        </w:rPr>
      </w:pPr>
    </w:p>
    <w:p w:rsidR="006B1E69" w:rsidRDefault="00053235">
      <w:pPr>
        <w:spacing w:after="0" w:line="360" w:lineRule="auto"/>
        <w:rPr>
          <w:b/>
          <w:bCs/>
          <w:color w:val="000000"/>
        </w:rPr>
      </w:pPr>
      <w:r>
        <w:rPr>
          <w:b/>
          <w:bCs/>
          <w:color w:val="000000"/>
        </w:rPr>
        <w:t>Causales de improcedencia</w:t>
      </w:r>
    </w:p>
    <w:p w:rsidR="006B1E69" w:rsidRDefault="006B1E69">
      <w:pPr>
        <w:spacing w:after="0" w:line="360" w:lineRule="auto"/>
        <w:rPr>
          <w:color w:val="000000"/>
        </w:rPr>
      </w:pPr>
    </w:p>
    <w:p w:rsidR="006B1E69" w:rsidRDefault="00053235">
      <w:pPr>
        <w:spacing w:after="0" w:line="360" w:lineRule="auto"/>
        <w:rPr>
          <w:color w:val="000000"/>
        </w:rPr>
      </w:pPr>
      <w:r>
        <w:rPr>
          <w:color w:val="000000"/>
        </w:rPr>
        <w:lastRenderedPageBreak/>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rsidR="006B1E69" w:rsidRDefault="006B1E69">
      <w:pPr>
        <w:spacing w:after="0" w:line="360" w:lineRule="auto"/>
        <w:rPr>
          <w:color w:val="000000"/>
        </w:rPr>
      </w:pPr>
    </w:p>
    <w:p w:rsidR="006B1E69" w:rsidRDefault="00053235">
      <w:pPr>
        <w:spacing w:after="0" w:line="360" w:lineRule="auto"/>
        <w:rPr>
          <w:color w:val="000000"/>
        </w:rPr>
      </w:pPr>
      <w:r>
        <w:rPr>
          <w:color w:val="000000"/>
        </w:rPr>
        <w:t>En el presente caso, </w:t>
      </w:r>
      <w:r>
        <w:rPr>
          <w:b/>
          <w:bCs/>
          <w:color w:val="000000"/>
        </w:rPr>
        <w:t>no se actualiza ninguna de las causales de improcedencia</w:t>
      </w:r>
      <w:r>
        <w:rPr>
          <w:color w:val="000000"/>
        </w:rPr>
        <w:t> establecidas en el ordenamiento jurídico previamente señalado, toda vez que: este Instituto no tiene conocimiento de que se encuentre en trámite algún medio de defensa presentado por la Recurrente ante otra instancia; no existió prevención alguna; la veracidad de la respuesta no formó parte del agravio; ni se realizó una consulta o ampliación a los alcances del requerimiento informativo.</w:t>
      </w:r>
    </w:p>
    <w:p w:rsidR="006B1E69" w:rsidRDefault="006B1E69">
      <w:pPr>
        <w:spacing w:after="0" w:line="360" w:lineRule="auto"/>
        <w:rPr>
          <w:color w:val="000000"/>
        </w:rPr>
      </w:pPr>
    </w:p>
    <w:p w:rsidR="006B1E69" w:rsidRDefault="00053235">
      <w:pPr>
        <w:spacing w:after="0" w:line="360" w:lineRule="auto"/>
        <w:rPr>
          <w:color w:val="000000"/>
        </w:rPr>
      </w:pPr>
      <w:r>
        <w:rPr>
          <w:color w:val="000000"/>
        </w:rPr>
        <w:t xml:space="preserve">Conforme a lo anterior, se actualiza la causal de procedencia señalada en el artículo 179, fracción V, de la Ley de la materia, toda vez que el Solicitante se inconformó con la entrega de información incompleta. </w:t>
      </w:r>
    </w:p>
    <w:p w:rsidR="006B1E69" w:rsidRDefault="006B1E69">
      <w:pPr>
        <w:spacing w:after="0" w:line="360" w:lineRule="auto"/>
        <w:rPr>
          <w:color w:val="000000"/>
        </w:rPr>
      </w:pPr>
    </w:p>
    <w:p w:rsidR="006B1E69" w:rsidRDefault="00053235">
      <w:pPr>
        <w:spacing w:after="0" w:line="360" w:lineRule="auto"/>
        <w:rPr>
          <w:color w:val="0D0D0D"/>
        </w:rPr>
      </w:pPr>
      <w:r>
        <w:rPr>
          <w:b/>
          <w:bCs/>
          <w:color w:val="0D0D0D"/>
        </w:rPr>
        <w:t>Causales de sobreseimiento</w:t>
      </w:r>
    </w:p>
    <w:p w:rsidR="006B1E69" w:rsidRDefault="006B1E69">
      <w:pPr>
        <w:spacing w:after="0" w:line="360" w:lineRule="auto"/>
        <w:rPr>
          <w:color w:val="0D0D0D"/>
        </w:rPr>
      </w:pPr>
    </w:p>
    <w:p w:rsidR="006B1E69" w:rsidRDefault="00053235">
      <w:pPr>
        <w:spacing w:after="0" w:line="360" w:lineRule="auto"/>
        <w:rPr>
          <w:color w:val="0D0D0D"/>
        </w:rPr>
      </w:pPr>
      <w:r>
        <w:rPr>
          <w:color w:val="0D0D0D"/>
        </w:rPr>
        <w:t>Por ser de previo y especial pronunciamiento, este Instituto analiza si se actualiza alguna causal de sobreseimiento.</w:t>
      </w:r>
    </w:p>
    <w:p w:rsidR="006B1E69" w:rsidRDefault="006B1E69">
      <w:pPr>
        <w:spacing w:after="0" w:line="360" w:lineRule="auto"/>
        <w:rPr>
          <w:color w:val="0D0D0D"/>
        </w:rPr>
      </w:pPr>
    </w:p>
    <w:p w:rsidR="006B1E69" w:rsidRDefault="00053235">
      <w:pPr>
        <w:spacing w:after="0" w:line="360" w:lineRule="auto"/>
        <w:rPr>
          <w:color w:val="000000"/>
        </w:rPr>
      </w:pPr>
      <w:r>
        <w:rPr>
          <w:color w:val="0D0D0D"/>
        </w:rPr>
        <w:lastRenderedPageBreak/>
        <w:t>Sobre el tema, e</w:t>
      </w:r>
      <w:r>
        <w:rPr>
          <w:color w:val="000000"/>
        </w:rPr>
        <w:t>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p>
    <w:p w:rsidR="006B1E69" w:rsidRDefault="006B1E69">
      <w:pPr>
        <w:spacing w:after="0" w:line="360" w:lineRule="auto"/>
        <w:rPr>
          <w:color w:val="000000"/>
        </w:rPr>
      </w:pPr>
    </w:p>
    <w:p w:rsidR="006B1E69" w:rsidRDefault="00053235">
      <w:pPr>
        <w:spacing w:after="0" w:line="360" w:lineRule="auto"/>
        <w:rPr>
          <w:color w:val="0D0D0D"/>
        </w:rPr>
      </w:pPr>
      <w:r>
        <w:rPr>
          <w:color w:val="0D0D0D"/>
        </w:rPr>
        <w:t xml:space="preserve">Por tales motivos, se considera procedente entrar al fondo del presente asunto. </w:t>
      </w:r>
    </w:p>
    <w:p w:rsidR="006B1E69" w:rsidRDefault="006B1E69">
      <w:pPr>
        <w:spacing w:after="0" w:line="360" w:lineRule="auto"/>
        <w:rPr>
          <w:b/>
          <w:bCs/>
          <w:color w:val="000000"/>
        </w:rPr>
      </w:pPr>
    </w:p>
    <w:p w:rsidR="006B1E69" w:rsidRDefault="00053235">
      <w:pPr>
        <w:pStyle w:val="Ttulo2"/>
        <w:spacing w:before="0" w:line="360" w:lineRule="auto"/>
        <w:rPr>
          <w:rFonts w:ascii="Palatino Linotype" w:eastAsia="Palatino Linotype" w:hAnsi="Palatino Linotype" w:cs="Palatino Linotype"/>
          <w:b/>
          <w:bCs/>
          <w:color w:val="000000"/>
          <w:sz w:val="22"/>
          <w:szCs w:val="22"/>
        </w:rPr>
      </w:pPr>
      <w:bookmarkStart w:id="15" w:name="_heading=h.2uuyytcoy6ok" w:colFirst="0" w:colLast="0"/>
      <w:bookmarkEnd w:id="15"/>
      <w:r>
        <w:rPr>
          <w:rFonts w:ascii="Palatino Linotype" w:eastAsia="Palatino Linotype" w:hAnsi="Palatino Linotype" w:cs="Palatino Linotype"/>
          <w:b/>
          <w:bCs/>
          <w:color w:val="000000"/>
          <w:sz w:val="22"/>
          <w:szCs w:val="22"/>
        </w:rPr>
        <w:t>TERCERO. Determinación de la Controversia</w:t>
      </w:r>
    </w:p>
    <w:p w:rsidR="006B1E69" w:rsidRDefault="006B1E69">
      <w:pPr>
        <w:spacing w:after="0" w:line="360" w:lineRule="auto"/>
        <w:rPr>
          <w:color w:val="FF0000"/>
        </w:rPr>
      </w:pPr>
    </w:p>
    <w:p w:rsidR="006B1E69" w:rsidRDefault="00053235">
      <w:pPr>
        <w:spacing w:after="0" w:line="360" w:lineRule="auto"/>
        <w:rPr>
          <w:color w:val="000000"/>
        </w:rPr>
      </w:pPr>
      <w:r>
        <w:rPr>
          <w:color w:val="000000"/>
        </w:rPr>
        <w:t xml:space="preserve">Una vez realizado el estudio de las constancias que integran el expediente en que se actúa, se desprende que el Recurrente requirió el listado de beneficiarios con monto, tipo de apoyo, persona beneficiaria y comunidad del apoyo recibido al “Desarrollo Indígena con Bienestar” de dos mil veinticuatro. </w:t>
      </w:r>
    </w:p>
    <w:p w:rsidR="006B1E69" w:rsidRDefault="006B1E69">
      <w:pPr>
        <w:spacing w:after="0" w:line="360" w:lineRule="auto"/>
        <w:rPr>
          <w:color w:val="000000"/>
        </w:rPr>
      </w:pPr>
    </w:p>
    <w:p w:rsidR="006B1E69" w:rsidRDefault="00053235">
      <w:pPr>
        <w:spacing w:after="0" w:line="360" w:lineRule="auto"/>
        <w:rPr>
          <w:color w:val="0D0D0D"/>
        </w:rPr>
      </w:pPr>
      <w:r>
        <w:rPr>
          <w:color w:val="000000"/>
        </w:rPr>
        <w:t xml:space="preserve">En respuesta, el Sujeto Obligado, a través del Departamento de Operación y Seguimiento de Proyectos “A” proporcionó el listado de Beneficiarios del Programa de Desarrollo Social “Desarrollo Indígena con Bienestar” de 2024, que contiene la comunidad, nombre del proyecto, solicitante y monto; ante dicha circunstancia, el Particular se inconformó de la entrega de información incompleta, al mencionar que no proporcionaron el tipo de apoyo entregado a cada beneficiario, lo cual actualiza la causal de procedencia prevista en la </w:t>
      </w:r>
      <w:r>
        <w:rPr>
          <w:color w:val="000000"/>
        </w:rPr>
        <w:lastRenderedPageBreak/>
        <w:t>fracción V, del artículo 179 de la Ley de Transparencia y Acceso a la Información Pública del Estado de México y Municipios</w:t>
      </w:r>
      <w:r>
        <w:rPr>
          <w:color w:val="0D0D0D"/>
        </w:rPr>
        <w:t xml:space="preserve">. </w:t>
      </w:r>
    </w:p>
    <w:p w:rsidR="006B1E69" w:rsidRDefault="006B1E69">
      <w:pPr>
        <w:spacing w:after="0" w:line="360" w:lineRule="auto"/>
        <w:rPr>
          <w:color w:val="0D0D0D"/>
        </w:rPr>
      </w:pPr>
    </w:p>
    <w:p w:rsidR="006B1E69" w:rsidRDefault="00053235">
      <w:pPr>
        <w:spacing w:after="0" w:line="360" w:lineRule="auto"/>
        <w:rPr>
          <w:color w:val="000000"/>
        </w:rPr>
      </w:pPr>
      <w:r>
        <w:rPr>
          <w:color w:val="000000"/>
        </w:rPr>
        <w:t>Conforme a lo anterior, se logra vislumbrar que la persona Recurrente no se agravió del listado entregado, sino del tipo de apoyo proporcionado; por lo que, no se hará pronunciamiento alguno, respecto a la información entregada, de conformidad con el artículo 195 de la Ley de Transparencia y Acceso a la Información Pública del Estado de México y Municipios, en relación con el diverso 195, fracción IV, de Código de Procedimientos Administrativos del Estado de México, que establece que será improcedente el recurso contra </w:t>
      </w:r>
      <w:r>
        <w:rPr>
          <w:b/>
          <w:bCs/>
          <w:color w:val="000000"/>
        </w:rPr>
        <w:t>los actos que se hayan consentido tácitamente,</w:t>
      </w:r>
      <w:r>
        <w:rPr>
          <w:color w:val="000000"/>
        </w:rPr>
        <w:t> entendiéndose por estos cuando el agravio no se haya promovido en el plazo señalado para el efecto.</w:t>
      </w:r>
    </w:p>
    <w:p w:rsidR="006B1E69" w:rsidRDefault="00053235">
      <w:pPr>
        <w:spacing w:after="0" w:line="360" w:lineRule="auto"/>
        <w:rPr>
          <w:color w:val="000000"/>
        </w:rPr>
      </w:pPr>
      <w:r>
        <w:rPr>
          <w:color w:val="000000"/>
        </w:rPr>
        <w:t> </w:t>
      </w:r>
    </w:p>
    <w:p w:rsidR="006B1E69" w:rsidRDefault="00053235">
      <w:pPr>
        <w:spacing w:after="0" w:line="360" w:lineRule="auto"/>
        <w:rPr>
          <w:color w:val="000000"/>
        </w:rPr>
      </w:pPr>
      <w:r>
        <w:rPr>
          <w:color w:val="000000"/>
        </w:rPr>
        <w:t>De la misma manera resulta aplicable el criterio sostenido por el Poder Judicial de la Federación de rubro </w:t>
      </w:r>
      <w:r>
        <w:rPr>
          <w:b/>
          <w:bCs/>
          <w:color w:val="000000"/>
        </w:rPr>
        <w:t>ACTOS CONSENTIDOS TÁCITAMENTE</w:t>
      </w:r>
      <w:r>
        <w:rPr>
          <w:color w:val="000000"/>
        </w:rPr>
        <w:t>, Tesis VI.2o. J/21, emitida en la novena época, por el Segundo Tribunal Colegiado del Sexto Circuito, publicada en la Gaceta del Semanario Judicial de la Federación en agosto de 1995, página 291, número de registro 204707, del que se desprende que cuando no se reclaman los actos de autoridad en la vía y plazos establecidos en la Ley, se presume que el Particular está conforme con los mismos.</w:t>
      </w:r>
    </w:p>
    <w:p w:rsidR="006B1E69" w:rsidRDefault="00053235">
      <w:pPr>
        <w:spacing w:after="0" w:line="360" w:lineRule="auto"/>
        <w:rPr>
          <w:color w:val="000000"/>
        </w:rPr>
      </w:pPr>
      <w:r>
        <w:rPr>
          <w:color w:val="000000"/>
        </w:rPr>
        <w:t> </w:t>
      </w:r>
    </w:p>
    <w:p w:rsidR="006B1E69" w:rsidRDefault="00053235">
      <w:pPr>
        <w:spacing w:after="0" w:line="360" w:lineRule="auto"/>
        <w:rPr>
          <w:color w:val="000000"/>
        </w:rPr>
      </w:pPr>
      <w:r>
        <w:rPr>
          <w:color w:val="000000"/>
        </w:rPr>
        <w:t>Conforme a lo previo, en el caso de que el Solicitante no haya manifestado su inconformidad en contra del acto en su totalidad o en cualquiera de sus partes, se tendrá por consentido al no haber realizado argumento alguno que formulara un agravio en su contra, por lo que, en la especie, se válida la respuesta respecto de los puntos no controvertidos y se arriba a la conclusión de que estos quedaron firmes. </w:t>
      </w:r>
    </w:p>
    <w:p w:rsidR="006B1E69" w:rsidRDefault="006B1E69">
      <w:pPr>
        <w:spacing w:after="0" w:line="360" w:lineRule="auto"/>
        <w:rPr>
          <w:color w:val="000000"/>
        </w:rPr>
      </w:pPr>
    </w:p>
    <w:p w:rsidR="006B1E69" w:rsidRDefault="00053235">
      <w:pPr>
        <w:spacing w:after="0" w:line="360" w:lineRule="auto"/>
        <w:rPr>
          <w:color w:val="0D0D0D"/>
        </w:rPr>
      </w:pPr>
      <w:r>
        <w:rPr>
          <w:color w:val="000000"/>
        </w:rPr>
        <w:t> Asimismo, resulta relevante traer a colación el Criterio Orientador, de la Segunda Época, con número de registro SO/001/2020, emitido por el entonces Instituto Nacional de Transparencia, Acceso a la Información y Protección de Datos Personales vigente a la fecha de la solicitud, el cual establece que es improcedente entrar al análisis de las partes de la respuesta del Sujeto Obligado que no fueron impugnadas por la persona Recurrente; por lo que, en el presente caso, se tienen por consentida la información entregada y únicamente se entrará al análisis del tipo de apoyo proporcionado.</w:t>
      </w:r>
      <w:r>
        <w:rPr>
          <w:color w:val="0D0D0D"/>
        </w:rPr>
        <w:t xml:space="preserve"> </w:t>
      </w:r>
      <w:r>
        <w:rPr>
          <w:color w:val="000000"/>
        </w:rPr>
        <w:t xml:space="preserve">Así, las cosas, una vez admitido y notificado el Recurso de Revisión a las partes, el Sujeto Obligado ratificó su respuesta. </w:t>
      </w:r>
    </w:p>
    <w:p w:rsidR="006B1E69" w:rsidRDefault="006B1E69">
      <w:pPr>
        <w:spacing w:after="0" w:line="360" w:lineRule="auto"/>
        <w:rPr>
          <w:color w:val="000000"/>
        </w:rPr>
      </w:pPr>
    </w:p>
    <w:p w:rsidR="006B1E69" w:rsidRDefault="00053235">
      <w:pPr>
        <w:tabs>
          <w:tab w:val="left" w:pos="4962"/>
        </w:tabs>
        <w:spacing w:after="0" w:line="360" w:lineRule="auto"/>
        <w:rPr>
          <w:color w:val="000000"/>
        </w:rPr>
      </w:pPr>
      <w:r>
        <w:rPr>
          <w:color w:val="000000"/>
        </w:rPr>
        <w:t xml:space="preserve">Lo anterior, se desprende de las documentales que obran en el expediente de referencia, materia de la presente resolución, consistente en: la solicitud de acceso a la información; la respuesta entregada, el escrito </w:t>
      </w:r>
      <w:proofErr w:type="spellStart"/>
      <w:r>
        <w:rPr>
          <w:color w:val="000000"/>
        </w:rPr>
        <w:t>recursal</w:t>
      </w:r>
      <w:proofErr w:type="spellEnd"/>
      <w:r>
        <w:rPr>
          <w:color w:val="000000"/>
        </w:rPr>
        <w:t xml:space="preserve"> y el Informe Justificado; instrumentales que se toman en cuenta a efecto de resolver el presente medio de impugnación, conforme a lo dispuesto por el artículo 185, fracción IV, de la Ley de Transparencia y Acceso a la Información Pública del Estado de México y Municipios.</w:t>
      </w:r>
    </w:p>
    <w:p w:rsidR="006B1E69" w:rsidRDefault="006B1E69">
      <w:pPr>
        <w:spacing w:after="0" w:line="360" w:lineRule="auto"/>
        <w:rPr>
          <w:b/>
          <w:bCs/>
          <w:color w:val="000000"/>
        </w:rPr>
      </w:pPr>
    </w:p>
    <w:p w:rsidR="006B1E69" w:rsidRDefault="00053235">
      <w:pPr>
        <w:pStyle w:val="Ttulo2"/>
        <w:spacing w:before="0" w:line="360" w:lineRule="auto"/>
        <w:rPr>
          <w:rFonts w:ascii="Palatino Linotype" w:eastAsia="Palatino Linotype" w:hAnsi="Palatino Linotype" w:cs="Palatino Linotype"/>
          <w:b/>
          <w:bCs/>
          <w:color w:val="000000"/>
          <w:sz w:val="22"/>
          <w:szCs w:val="22"/>
        </w:rPr>
      </w:pPr>
      <w:bookmarkStart w:id="16" w:name="_heading=h.9n05eivbtpd2" w:colFirst="0" w:colLast="0"/>
      <w:bookmarkEnd w:id="16"/>
      <w:r>
        <w:rPr>
          <w:rFonts w:ascii="Palatino Linotype" w:eastAsia="Palatino Linotype" w:hAnsi="Palatino Linotype" w:cs="Palatino Linotype"/>
          <w:b/>
          <w:bCs/>
          <w:color w:val="000000"/>
          <w:sz w:val="22"/>
          <w:szCs w:val="22"/>
        </w:rPr>
        <w:t>CUARTO. Marco normativo aplicable en materia de transparencia y acceso a la información pública</w:t>
      </w:r>
    </w:p>
    <w:p w:rsidR="006B1E69" w:rsidRDefault="006B1E69">
      <w:pPr>
        <w:spacing w:after="0" w:line="360" w:lineRule="auto"/>
        <w:rPr>
          <w:color w:val="FF0000"/>
        </w:rPr>
      </w:pPr>
    </w:p>
    <w:p w:rsidR="006B1E69" w:rsidRDefault="00053235">
      <w:pPr>
        <w:spacing w:after="0" w:line="360" w:lineRule="auto"/>
        <w:rPr>
          <w:color w:val="000000"/>
        </w:rPr>
      </w:pPr>
      <w:r>
        <w:rPr>
          <w:color w:val="000000"/>
        </w:rPr>
        <w:t>El artículo 6°, Apartado A), fracción I de la Constitución Política de los Estados Unidos Mexicanos, establece que toda la información en posesión de cualquier autoridad, es pública y sólo podrá ser reservada temporalmente por razones de interés público.</w:t>
      </w:r>
    </w:p>
    <w:p w:rsidR="006B1E69" w:rsidRDefault="006B1E69">
      <w:pPr>
        <w:spacing w:after="0" w:line="360" w:lineRule="auto"/>
        <w:rPr>
          <w:color w:val="000000"/>
        </w:rPr>
      </w:pPr>
    </w:p>
    <w:p w:rsidR="006B1E69" w:rsidRDefault="00053235">
      <w:pPr>
        <w:spacing w:after="0" w:line="360" w:lineRule="auto"/>
        <w:rPr>
          <w:color w:val="000000"/>
        </w:rPr>
      </w:pPr>
      <w:r>
        <w:rPr>
          <w:color w:val="000000"/>
        </w:rPr>
        <w:lastRenderedPageBreak/>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rsidR="006B1E69" w:rsidRDefault="006B1E69">
      <w:pPr>
        <w:spacing w:after="0" w:line="360" w:lineRule="auto"/>
        <w:rPr>
          <w:color w:val="000000"/>
        </w:rPr>
      </w:pPr>
    </w:p>
    <w:p w:rsidR="006B1E69" w:rsidRDefault="00053235">
      <w:pPr>
        <w:spacing w:after="0" w:line="360" w:lineRule="auto"/>
        <w:rPr>
          <w:color w:val="000000"/>
        </w:rPr>
      </w:pPr>
      <w:r>
        <w:rPr>
          <w:color w:val="000000"/>
        </w:rPr>
        <w:t>Por su parte, la Ley de Transparencia y Acceso a la Información Pública del Estado de México y Municipios (Reglamentaria del artículo 5° de la Constitución Local), establece lo siguiente:</w:t>
      </w:r>
    </w:p>
    <w:p w:rsidR="006B1E69" w:rsidRDefault="006B1E69">
      <w:pPr>
        <w:spacing w:after="0" w:line="360" w:lineRule="auto"/>
        <w:rPr>
          <w:color w:val="000000"/>
        </w:rPr>
      </w:pPr>
    </w:p>
    <w:p w:rsidR="006B1E69" w:rsidRDefault="00053235">
      <w:pPr>
        <w:spacing w:after="0" w:line="360" w:lineRule="auto"/>
        <w:rPr>
          <w:color w:val="000000"/>
        </w:rPr>
      </w:pPr>
      <w:r>
        <w:rPr>
          <w:color w:val="000000"/>
        </w:rPr>
        <w:t>El artículo 12, que, quienes generen, recopilen, administren, manejen, procesen, archiven o conserven información pública serán responsables de la misma.</w:t>
      </w:r>
    </w:p>
    <w:p w:rsidR="006B1E69" w:rsidRDefault="006B1E69">
      <w:pPr>
        <w:spacing w:after="0" w:line="360" w:lineRule="auto"/>
        <w:rPr>
          <w:color w:val="000000"/>
        </w:rPr>
      </w:pPr>
    </w:p>
    <w:p w:rsidR="006B1E69" w:rsidRDefault="00053235">
      <w:pPr>
        <w:widowControl w:val="0"/>
        <w:spacing w:after="0" w:line="360" w:lineRule="auto"/>
        <w:rPr>
          <w:color w:val="000000"/>
        </w:rPr>
      </w:pPr>
      <w:r>
        <w:rPr>
          <w:color w:val="000000"/>
        </w:rPr>
        <w:t>El artículo 18, que, los Sujetos Obligados deberán documentar todo acto que derive del ejercicio de sus facultades, competencias o funciones, considerando desde su origen la eventual publicidad y reutilización de la información que generen.</w:t>
      </w:r>
    </w:p>
    <w:p w:rsidR="006B1E69" w:rsidRDefault="006B1E69">
      <w:pPr>
        <w:spacing w:after="0" w:line="360" w:lineRule="auto"/>
        <w:rPr>
          <w:color w:val="000000"/>
        </w:rPr>
      </w:pPr>
    </w:p>
    <w:p w:rsidR="006B1E69" w:rsidRDefault="00053235">
      <w:pPr>
        <w:spacing w:after="0" w:line="360" w:lineRule="auto"/>
        <w:rPr>
          <w:color w:val="000000"/>
        </w:rPr>
      </w:pPr>
      <w:r>
        <w:rPr>
          <w:color w:val="000000"/>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6B1E69" w:rsidRDefault="006B1E69">
      <w:pPr>
        <w:spacing w:after="0" w:line="360" w:lineRule="auto"/>
        <w:rPr>
          <w:color w:val="FF0000"/>
        </w:rPr>
      </w:pPr>
    </w:p>
    <w:p w:rsidR="006B1E69" w:rsidRDefault="00053235">
      <w:pPr>
        <w:pStyle w:val="Ttulo2"/>
        <w:spacing w:before="0" w:line="360" w:lineRule="auto"/>
        <w:rPr>
          <w:rFonts w:ascii="Palatino Linotype" w:eastAsia="Palatino Linotype" w:hAnsi="Palatino Linotype" w:cs="Palatino Linotype"/>
          <w:b/>
          <w:bCs/>
          <w:color w:val="000000"/>
          <w:sz w:val="22"/>
          <w:szCs w:val="22"/>
        </w:rPr>
      </w:pPr>
      <w:bookmarkStart w:id="17" w:name="_heading=h.cb9ba7dfmo8b" w:colFirst="0" w:colLast="0"/>
      <w:bookmarkEnd w:id="17"/>
      <w:r>
        <w:rPr>
          <w:rFonts w:ascii="Palatino Linotype" w:eastAsia="Palatino Linotype" w:hAnsi="Palatino Linotype" w:cs="Palatino Linotype"/>
          <w:b/>
          <w:bCs/>
          <w:color w:val="000000"/>
          <w:sz w:val="22"/>
          <w:szCs w:val="22"/>
        </w:rPr>
        <w:t>QUINTO. Estudio de Fondo</w:t>
      </w:r>
    </w:p>
    <w:p w:rsidR="006B1E69" w:rsidRDefault="006B1E69">
      <w:pPr>
        <w:spacing w:after="0" w:line="360" w:lineRule="auto"/>
        <w:rPr>
          <w:b/>
          <w:bCs/>
          <w:color w:val="000000"/>
        </w:rPr>
      </w:pPr>
    </w:p>
    <w:p w:rsidR="006B1E69" w:rsidRDefault="00053235">
      <w:pPr>
        <w:spacing w:after="0" w:line="360" w:lineRule="auto"/>
        <w:rPr>
          <w:color w:val="000000"/>
        </w:rPr>
      </w:pPr>
      <w:r>
        <w:rPr>
          <w:color w:val="000000"/>
        </w:rPr>
        <w:lastRenderedPageBreak/>
        <w:t xml:space="preserve">Expuestas las posturas de las partes, se procede al análisis del agravio hecho valer por el Recurrente, concerniente a la entrega de información incompleta, para lo cual en principio resulta necesario contextualizar la solicitud de información. </w:t>
      </w:r>
    </w:p>
    <w:p w:rsidR="006B1E69" w:rsidRDefault="006B1E69">
      <w:pPr>
        <w:spacing w:after="0" w:line="360" w:lineRule="auto"/>
        <w:rPr>
          <w:color w:val="000000"/>
        </w:rPr>
      </w:pPr>
    </w:p>
    <w:p w:rsidR="006B1E69" w:rsidRDefault="00053235">
      <w:pPr>
        <w:spacing w:after="0" w:line="360" w:lineRule="auto"/>
        <w:rPr>
          <w:color w:val="000000"/>
        </w:rPr>
      </w:pPr>
      <w:r>
        <w:rPr>
          <w:color w:val="000000"/>
        </w:rPr>
        <w:t xml:space="preserve">Al respecto, conforme a la página de la Secretaría de Desarrollo Social, en su apartado Programas Sociales (consultada en la liga electrónica </w:t>
      </w:r>
      <w:hyperlink r:id="rId8">
        <w:r>
          <w:rPr>
            <w:color w:val="0000FF"/>
            <w:u w:val="single"/>
          </w:rPr>
          <w:t>https://sedesem.edomex.gob.mx/programas_sociales</w:t>
        </w:r>
      </w:hyperlink>
      <w:r>
        <w:rPr>
          <w:color w:val="000000"/>
        </w:rPr>
        <w:t>), el Gobierno del Estado de México, tiene como propósito reducir la pobreza, marginación y vulnerabilidad de las personas, por medio de la ejecución de programas sociales que buscan reducir la pobreza alimentaria, apoyar a menores en condiciones de pobreza y combatir la marginación en comunidades de la entidad.</w:t>
      </w:r>
    </w:p>
    <w:p w:rsidR="006B1E69" w:rsidRDefault="006B1E69">
      <w:pPr>
        <w:spacing w:after="0" w:line="360" w:lineRule="auto"/>
        <w:rPr>
          <w:color w:val="000000"/>
        </w:rPr>
      </w:pPr>
    </w:p>
    <w:p w:rsidR="006B1E69" w:rsidRDefault="00053235">
      <w:pPr>
        <w:spacing w:after="0" w:line="360" w:lineRule="auto"/>
        <w:rPr>
          <w:color w:val="000000"/>
        </w:rPr>
      </w:pPr>
      <w:r>
        <w:rPr>
          <w:color w:val="000000"/>
        </w:rPr>
        <w:t>Asimismo, los artículos 3°, fracción III y 11 de la Ley de Desarrollo Social del Estado de México, precisan que un programa de desarrollo social es la acción gubernamental, dirigida a modificar la condición de desigualdad social mediante la entrega de un bien o transferencia de recursos; dichos programas podrán ser para lo siguiente:</w:t>
      </w:r>
    </w:p>
    <w:p w:rsidR="006B1E69" w:rsidRDefault="006B1E69">
      <w:pPr>
        <w:spacing w:after="0" w:line="360" w:lineRule="auto"/>
        <w:rPr>
          <w:color w:val="000000"/>
        </w:rPr>
      </w:pPr>
    </w:p>
    <w:p w:rsidR="006B1E69" w:rsidRDefault="00053235">
      <w:pPr>
        <w:numPr>
          <w:ilvl w:val="0"/>
          <w:numId w:val="1"/>
        </w:numPr>
        <w:spacing w:after="0" w:line="360" w:lineRule="auto"/>
        <w:ind w:left="851"/>
        <w:rPr>
          <w:color w:val="000000"/>
        </w:rPr>
      </w:pPr>
      <w:r>
        <w:rPr>
          <w:color w:val="000000"/>
        </w:rPr>
        <w:t>Educación;</w:t>
      </w:r>
    </w:p>
    <w:p w:rsidR="006B1E69" w:rsidRDefault="00053235">
      <w:pPr>
        <w:numPr>
          <w:ilvl w:val="0"/>
          <w:numId w:val="1"/>
        </w:numPr>
        <w:spacing w:after="0" w:line="360" w:lineRule="auto"/>
        <w:ind w:left="851"/>
        <w:rPr>
          <w:color w:val="000000"/>
        </w:rPr>
      </w:pPr>
      <w:r>
        <w:rPr>
          <w:color w:val="000000"/>
        </w:rPr>
        <w:t>Salud;</w:t>
      </w:r>
    </w:p>
    <w:p w:rsidR="006B1E69" w:rsidRDefault="00053235">
      <w:pPr>
        <w:numPr>
          <w:ilvl w:val="0"/>
          <w:numId w:val="1"/>
        </w:numPr>
        <w:spacing w:after="0" w:line="360" w:lineRule="auto"/>
        <w:ind w:left="851"/>
        <w:rPr>
          <w:color w:val="000000"/>
        </w:rPr>
      </w:pPr>
      <w:r>
        <w:rPr>
          <w:color w:val="000000"/>
        </w:rPr>
        <w:t>Generación, conservación y capacitación para el trabajo y aumento de competitividad;</w:t>
      </w:r>
    </w:p>
    <w:p w:rsidR="006B1E69" w:rsidRDefault="00053235">
      <w:pPr>
        <w:numPr>
          <w:ilvl w:val="0"/>
          <w:numId w:val="1"/>
        </w:numPr>
        <w:spacing w:after="0" w:line="360" w:lineRule="auto"/>
        <w:ind w:left="851"/>
        <w:rPr>
          <w:color w:val="000000"/>
        </w:rPr>
      </w:pPr>
      <w:r>
        <w:rPr>
          <w:color w:val="000000"/>
        </w:rPr>
        <w:t>Alimentación, nutrición y abasto social;</w:t>
      </w:r>
    </w:p>
    <w:p w:rsidR="006B1E69" w:rsidRDefault="00053235">
      <w:pPr>
        <w:numPr>
          <w:ilvl w:val="0"/>
          <w:numId w:val="1"/>
        </w:numPr>
        <w:spacing w:after="0" w:line="360" w:lineRule="auto"/>
        <w:ind w:left="851"/>
        <w:rPr>
          <w:color w:val="000000"/>
        </w:rPr>
      </w:pPr>
      <w:r>
        <w:rPr>
          <w:color w:val="000000"/>
        </w:rPr>
        <w:t>Vivienda;</w:t>
      </w:r>
    </w:p>
    <w:p w:rsidR="006B1E69" w:rsidRDefault="00053235">
      <w:pPr>
        <w:numPr>
          <w:ilvl w:val="0"/>
          <w:numId w:val="1"/>
        </w:numPr>
        <w:spacing w:after="0" w:line="360" w:lineRule="auto"/>
        <w:ind w:left="851"/>
        <w:rPr>
          <w:color w:val="000000"/>
        </w:rPr>
      </w:pPr>
      <w:r>
        <w:rPr>
          <w:color w:val="000000"/>
        </w:rPr>
        <w:lastRenderedPageBreak/>
        <w:t>Superación de la pobreza, marginación y exclusión, y</w:t>
      </w:r>
    </w:p>
    <w:p w:rsidR="006B1E69" w:rsidRDefault="00053235">
      <w:pPr>
        <w:numPr>
          <w:ilvl w:val="0"/>
          <w:numId w:val="1"/>
        </w:numPr>
        <w:spacing w:after="0" w:line="360" w:lineRule="auto"/>
        <w:ind w:left="851"/>
        <w:rPr>
          <w:color w:val="000000"/>
        </w:rPr>
      </w:pPr>
      <w:r>
        <w:rPr>
          <w:color w:val="000000"/>
        </w:rPr>
        <w:t>Obras de infraestructura social.</w:t>
      </w:r>
    </w:p>
    <w:p w:rsidR="006B1E69" w:rsidRDefault="006B1E69">
      <w:pPr>
        <w:spacing w:after="0" w:line="360" w:lineRule="auto"/>
        <w:rPr>
          <w:color w:val="000000"/>
        </w:rPr>
      </w:pPr>
    </w:p>
    <w:p w:rsidR="006B1E69" w:rsidRDefault="00053235">
      <w:pPr>
        <w:spacing w:after="0" w:line="360" w:lineRule="auto"/>
        <w:rPr>
          <w:color w:val="000000"/>
        </w:rPr>
      </w:pPr>
      <w:r>
        <w:rPr>
          <w:color w:val="000000"/>
        </w:rPr>
        <w:t xml:space="preserve">Así, conforme al Manual General de Organización del Consejo Estatal para el Desarrollo Integral  de los Pueblos Indígenas del Estado de México, se advierte que para el ejercicio de sus funciones y atribuciones contará con diversas unidades administrativas, tal como el Departamento de Operación y Seguimiento de Proyectos “A”, encargada de elaborar los expedientes técnicos de los programas, proyectos y acciones de desarrollo de las comunidades indígenas, elaborar y remitir los informes relativos a la evaluación y seguimiento de los programas y proyectos de operación a su cargo, así como analizar la ejecución de los programas y proyectos de atención a los pueblos indígenas y proponer alternativas para su mejoramiento. </w:t>
      </w:r>
    </w:p>
    <w:p w:rsidR="006B1E69" w:rsidRDefault="006B1E69">
      <w:pPr>
        <w:spacing w:after="0" w:line="360" w:lineRule="auto"/>
        <w:rPr>
          <w:color w:val="000000"/>
        </w:rPr>
      </w:pPr>
    </w:p>
    <w:p w:rsidR="006B1E69" w:rsidRDefault="00053235">
      <w:pPr>
        <w:spacing w:after="0" w:line="360" w:lineRule="auto"/>
        <w:rPr>
          <w:color w:val="000000"/>
        </w:rPr>
      </w:pPr>
      <w:r>
        <w:rPr>
          <w:color w:val="000000"/>
        </w:rPr>
        <w:t xml:space="preserve">Asimismo, este Instituto realizó una búsqueda en la página oficial del Consejo Estatal para el Desarrollo Integral de los Pueblos Indígenas (consultado en la liga electrónica </w:t>
      </w:r>
      <w:hyperlink r:id="rId9">
        <w:r>
          <w:rPr>
            <w:color w:val="0000FF"/>
            <w:u w:val="single"/>
          </w:rPr>
          <w:t>https://cedipiem.edomex.gob.mx/2024-sea</w:t>
        </w:r>
      </w:hyperlink>
      <w:r>
        <w:rPr>
          <w:color w:val="000000"/>
        </w:rPr>
        <w:t xml:space="preserve">), del cual se logró vislumbrar los Programas de Desarrollo social que ofrece el organismo descentralizado, tal como el programa de “Desarrollo Indígena con Bienestar” tal como se muestra a continuación: </w:t>
      </w:r>
    </w:p>
    <w:p w:rsidR="006B1E69" w:rsidRDefault="006B1E69">
      <w:pPr>
        <w:spacing w:after="0" w:line="360" w:lineRule="auto"/>
        <w:rPr>
          <w:color w:val="000000"/>
        </w:rPr>
      </w:pPr>
    </w:p>
    <w:p w:rsidR="006B1E69" w:rsidRDefault="00053235">
      <w:pPr>
        <w:spacing w:after="0" w:line="360" w:lineRule="auto"/>
        <w:jc w:val="center"/>
        <w:rPr>
          <w:color w:val="000000"/>
        </w:rPr>
      </w:pPr>
      <w:r>
        <w:rPr>
          <w:noProof/>
        </w:rPr>
        <w:drawing>
          <wp:inline distT="0" distB="0" distL="0" distR="0">
            <wp:extent cx="5189670" cy="1409822"/>
            <wp:effectExtent l="0" t="0" r="0" b="0"/>
            <wp:docPr id="1679676918" name="image2.png" descr="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2.png" descr="Texto&#10;&#10;El contenido generado por IA puede ser incorrecto."/>
                    <pic:cNvPicPr preferRelativeResize="0"/>
                  </pic:nvPicPr>
                  <pic:blipFill>
                    <a:blip r:embed="rId10"/>
                    <a:srcRect/>
                    <a:stretch>
                      <a:fillRect/>
                    </a:stretch>
                  </pic:blipFill>
                  <pic:spPr>
                    <a:xfrm>
                      <a:off x="0" y="0"/>
                      <a:ext cx="5189670" cy="1409822"/>
                    </a:xfrm>
                    <a:prstGeom prst="rect">
                      <a:avLst/>
                    </a:prstGeom>
                    <a:ln/>
                  </pic:spPr>
                </pic:pic>
              </a:graphicData>
            </a:graphic>
          </wp:inline>
        </w:drawing>
      </w:r>
    </w:p>
    <w:p w:rsidR="006B1E69" w:rsidRDefault="006B1E69">
      <w:pPr>
        <w:spacing w:after="0" w:line="360" w:lineRule="auto"/>
        <w:rPr>
          <w:color w:val="000000"/>
        </w:rPr>
      </w:pPr>
    </w:p>
    <w:p w:rsidR="006B1E69" w:rsidRDefault="00053235">
      <w:pPr>
        <w:spacing w:after="0" w:line="360" w:lineRule="auto"/>
        <w:rPr>
          <w:color w:val="000000"/>
        </w:rPr>
      </w:pPr>
      <w:r>
        <w:rPr>
          <w:color w:val="000000"/>
        </w:rPr>
        <w:t xml:space="preserve">Además, conforme al numeral 7 de las Reglas de Operación del Programa de Desarrollo Social “Desarrollo Indígena con Bienestar”, se proporcionará el </w:t>
      </w:r>
      <w:r>
        <w:rPr>
          <w:b/>
          <w:bCs/>
          <w:color w:val="000000"/>
        </w:rPr>
        <w:t>apoyo en especie</w:t>
      </w:r>
      <w:r>
        <w:rPr>
          <w:color w:val="000000"/>
        </w:rPr>
        <w:t xml:space="preserve">, de bienes maquinaria, equipo y/o materia prima no perecedera para el desarrollo de Proyectos Productivos de acuerdo con la disponibilidad presupuestal, con recursos de hasta $90,000.00 (noventa mil pesos 00/100 M.N.) </w:t>
      </w:r>
    </w:p>
    <w:p w:rsidR="006B1E69" w:rsidRDefault="006B1E69">
      <w:pPr>
        <w:spacing w:after="0" w:line="360" w:lineRule="auto"/>
        <w:rPr>
          <w:color w:val="000000"/>
        </w:rPr>
      </w:pPr>
    </w:p>
    <w:p w:rsidR="006B1E69" w:rsidRDefault="00053235">
      <w:pPr>
        <w:spacing w:after="0" w:line="360" w:lineRule="auto"/>
      </w:pPr>
      <w:r>
        <w:t xml:space="preserve">Conforme a lo anterior, se logra vislumbrar que la pretensión del ahora Recurrente es obtener el documento donde conste el tipo de apoyo brindado a los beneficiarios del Programa Social “Desarrollo Indígenas con Bienestar” del año 2024. </w:t>
      </w:r>
    </w:p>
    <w:p w:rsidR="006B1E69" w:rsidRDefault="006B1E69">
      <w:pPr>
        <w:spacing w:after="0" w:line="360" w:lineRule="auto"/>
        <w:rPr>
          <w:color w:val="000000"/>
        </w:rPr>
      </w:pPr>
    </w:p>
    <w:p w:rsidR="006B1E69" w:rsidRDefault="00053235">
      <w:pPr>
        <w:spacing w:after="0" w:line="360" w:lineRule="auto"/>
        <w:rPr>
          <w:color w:val="000000"/>
        </w:rPr>
      </w:pPr>
      <w:r>
        <w:rPr>
          <w:color w:val="000000"/>
        </w:rPr>
        <w:t>Establecida dicha circunstancia, se procede analizar la respuesta entregada, para lo cual, es de señalar que de las constancias que obran en el expediente, se logra vislumbrar que el Sujeto Obligado turno la solicitud de información al Departamento de Operación y Seguimiento de Proyectos “A”; así, resulta necesario hacer referencia al procedimiento de búsqueda que deben seguir los Sujetos Obligados para localizar la información,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w:t>
      </w:r>
    </w:p>
    <w:p w:rsidR="006B1E69" w:rsidRDefault="006B1E69">
      <w:pPr>
        <w:spacing w:after="0" w:line="360" w:lineRule="auto"/>
        <w:rPr>
          <w:color w:val="000000"/>
        </w:rPr>
      </w:pPr>
    </w:p>
    <w:p w:rsidR="006B1E69" w:rsidRDefault="00053235">
      <w:pPr>
        <w:spacing w:after="0" w:line="360" w:lineRule="auto"/>
        <w:rPr>
          <w:color w:val="000000"/>
        </w:rPr>
      </w:pPr>
      <w:r>
        <w:rPr>
          <w:color w:val="000000"/>
        </w:rPr>
        <w:t xml:space="preserve">Así, conforme a lo expuesto, se advierte que el Sujeto Obligado, cumplir con el procedimiento de búsqueda previsto en el artículo 162 de la Ley de Transparencia y Acceso a la Información </w:t>
      </w:r>
      <w:r>
        <w:rPr>
          <w:color w:val="000000"/>
        </w:rPr>
        <w:lastRenderedPageBreak/>
        <w:t xml:space="preserve">Pública del Estado de México y Municipios, toda vez que gestionó la solicitud de información al área competente para conocer del apoyo solicitado. </w:t>
      </w:r>
    </w:p>
    <w:p w:rsidR="006B1E69" w:rsidRDefault="006B1E69">
      <w:pPr>
        <w:spacing w:after="0" w:line="360" w:lineRule="auto"/>
        <w:rPr>
          <w:color w:val="000000"/>
        </w:rPr>
      </w:pPr>
    </w:p>
    <w:p w:rsidR="006B1E69" w:rsidRDefault="00053235">
      <w:pPr>
        <w:spacing w:after="0" w:line="360" w:lineRule="auto"/>
        <w:rPr>
          <w:color w:val="0D0D0D"/>
        </w:rPr>
      </w:pPr>
      <w:r>
        <w:rPr>
          <w:color w:val="000000"/>
        </w:rPr>
        <w:t xml:space="preserve">Ahora bien, en respuesta dicha área </w:t>
      </w:r>
      <w:r>
        <w:rPr>
          <w:color w:val="0D0D0D"/>
        </w:rPr>
        <w:t xml:space="preserve">precisó proporcionó el listado de beneficios con el tipo de apoyo proporcionado a los beneficiarios, tal como se muestra en la siguiente imagen ilustrativa: </w:t>
      </w:r>
    </w:p>
    <w:p w:rsidR="006B1E69" w:rsidRDefault="006B1E69">
      <w:pPr>
        <w:spacing w:after="0" w:line="360" w:lineRule="auto"/>
        <w:rPr>
          <w:color w:val="0D0D0D"/>
        </w:rPr>
      </w:pPr>
    </w:p>
    <w:p w:rsidR="006B1E69" w:rsidRDefault="00053235">
      <w:pPr>
        <w:spacing w:after="0" w:line="360" w:lineRule="auto"/>
        <w:rPr>
          <w:color w:val="0D0D0D"/>
        </w:rPr>
      </w:pPr>
      <w:r>
        <w:rPr>
          <w:noProof/>
          <w:color w:val="0D0D0D"/>
        </w:rPr>
        <w:drawing>
          <wp:inline distT="0" distB="0" distL="0" distR="0">
            <wp:extent cx="5671185" cy="3389630"/>
            <wp:effectExtent l="0" t="0" r="0" b="0"/>
            <wp:docPr id="1679676919" name="image1.png" descr="Tabl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png" descr="Tabla&#10;&#10;El contenido generado por IA puede ser incorrecto."/>
                    <pic:cNvPicPr preferRelativeResize="0"/>
                  </pic:nvPicPr>
                  <pic:blipFill>
                    <a:blip r:embed="rId11"/>
                    <a:srcRect/>
                    <a:stretch>
                      <a:fillRect/>
                    </a:stretch>
                  </pic:blipFill>
                  <pic:spPr>
                    <a:xfrm>
                      <a:off x="0" y="0"/>
                      <a:ext cx="5671185" cy="3389630"/>
                    </a:xfrm>
                    <a:prstGeom prst="rect">
                      <a:avLst/>
                    </a:prstGeom>
                    <a:ln/>
                  </pic:spPr>
                </pic:pic>
              </a:graphicData>
            </a:graphic>
          </wp:inline>
        </w:drawing>
      </w:r>
    </w:p>
    <w:p w:rsidR="006B1E69" w:rsidRDefault="006B1E69">
      <w:pPr>
        <w:spacing w:after="0" w:line="360" w:lineRule="auto"/>
        <w:rPr>
          <w:color w:val="0D0D0D"/>
        </w:rPr>
      </w:pPr>
    </w:p>
    <w:p w:rsidR="006B1E69" w:rsidRDefault="00053235">
      <w:pPr>
        <w:spacing w:after="0" w:line="360" w:lineRule="auto"/>
        <w:rPr>
          <w:color w:val="000000"/>
        </w:rPr>
      </w:pPr>
      <w:r>
        <w:rPr>
          <w:color w:val="000000"/>
        </w:rPr>
        <w:t xml:space="preserve">De lo anterior, se logra vislumbrar, que el Sujeto Obligado entregó la información solicitada tal y como obraba en sus archivos, pues se precisa que el nombre del proyecto es por la adquisición y suministro de mobiliario, equipo y maquinaria para el Desarrollo de los Proyectos de los beneficiarios y la cantidad que se ocupó por dicha adquisición. </w:t>
      </w:r>
    </w:p>
    <w:p w:rsidR="006B1E69" w:rsidRDefault="006B1E69">
      <w:pPr>
        <w:spacing w:after="0" w:line="360" w:lineRule="auto"/>
        <w:rPr>
          <w:color w:val="000000"/>
        </w:rPr>
      </w:pPr>
    </w:p>
    <w:p w:rsidR="006B1E69" w:rsidRDefault="00053235">
      <w:pPr>
        <w:spacing w:after="0" w:line="360" w:lineRule="auto"/>
        <w:rPr>
          <w:color w:val="000000"/>
        </w:rPr>
      </w:pPr>
      <w:r>
        <w:t>Por lo cual, se logra vislumbrar que desde respuesta el área competente proporcionó la información solicitada; dicha determinación toma relevancia, pues conforme al artículo 12 de la Ley de Transparencia y Acceso a la Información Pública del Estado de México y Municipios, los sujetos obligados sólo están constreñidos a proporcionar la 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w:t>
      </w:r>
    </w:p>
    <w:p w:rsidR="006B1E69" w:rsidRDefault="006B1E69">
      <w:pPr>
        <w:spacing w:after="0" w:line="360" w:lineRule="auto"/>
      </w:pPr>
    </w:p>
    <w:p w:rsidR="006B1E69" w:rsidRDefault="00053235">
      <w:pPr>
        <w:spacing w:after="0" w:line="360" w:lineRule="auto"/>
      </w:pPr>
      <w:r>
        <w:t>De esta manera, el derecho de acceso a la información pública se satisface en aquellos casos en que se entregue el soporte documental en el que conste la información solicitada, sin necesidad de elaborar documentos ad hoc, situación que toma sustento en el artículo 160 de la Ley de Transparencia y Acceso a la Información Pública del Estado de México y Municipios, el cual refiere que los sujetos obligados únicamente deberán entregar la información que obre en sus archivos.</w:t>
      </w:r>
    </w:p>
    <w:p w:rsidR="006B1E69" w:rsidRDefault="006B1E69">
      <w:pPr>
        <w:spacing w:after="0" w:line="360" w:lineRule="auto"/>
      </w:pPr>
    </w:p>
    <w:p w:rsidR="006B1E69" w:rsidRDefault="00053235">
      <w:pPr>
        <w:spacing w:after="0" w:line="360" w:lineRule="auto"/>
        <w:rPr>
          <w:b/>
          <w:bCs/>
          <w:color w:val="000000"/>
        </w:rPr>
      </w:pPr>
      <w:r>
        <w:t xml:space="preserve">De tales circunstancias, se concluye que los sujetos obligados únicamente se encuentran constreñidos a proporcionar los documentos que den cuenta de la información solicitada, como obren en sus archivos, sin tener que elaborarlos a las necesidades del Recurrente; lo cual aconteció pues se logró vislumbrar que el tipo de apoyo promocionado fue en especio por la adquisición de mobiliario, equipos y maquinaria para el desarrollo de los proyectos de los beneficiarios del programa de desarrollo social </w:t>
      </w:r>
      <w:proofErr w:type="spellStart"/>
      <w:r>
        <w:t>solictado</w:t>
      </w:r>
      <w:proofErr w:type="spellEnd"/>
      <w:r>
        <w:rPr>
          <w:color w:val="000000"/>
        </w:rPr>
        <w:t xml:space="preserve">, lo cual da como resultado que el agravio sea </w:t>
      </w:r>
      <w:r>
        <w:rPr>
          <w:b/>
          <w:bCs/>
          <w:color w:val="000000"/>
        </w:rPr>
        <w:t>INFUNDADO.</w:t>
      </w:r>
    </w:p>
    <w:p w:rsidR="006B1E69" w:rsidRDefault="006B1E69">
      <w:pPr>
        <w:spacing w:after="0" w:line="360" w:lineRule="auto"/>
        <w:rPr>
          <w:color w:val="000000"/>
        </w:rPr>
      </w:pPr>
    </w:p>
    <w:p w:rsidR="006B1E69" w:rsidRDefault="006B1E69">
      <w:pPr>
        <w:spacing w:after="0" w:line="360" w:lineRule="auto"/>
        <w:rPr>
          <w:color w:val="000000"/>
        </w:rPr>
      </w:pPr>
    </w:p>
    <w:p w:rsidR="006B1E69" w:rsidRDefault="00053235">
      <w:pPr>
        <w:pStyle w:val="Ttulo2"/>
        <w:spacing w:before="0" w:line="360" w:lineRule="auto"/>
        <w:rPr>
          <w:rFonts w:ascii="Palatino Linotype" w:eastAsia="Palatino Linotype" w:hAnsi="Palatino Linotype" w:cs="Palatino Linotype"/>
          <w:b/>
          <w:bCs/>
          <w:color w:val="000000"/>
          <w:sz w:val="22"/>
          <w:szCs w:val="22"/>
        </w:rPr>
      </w:pPr>
      <w:bookmarkStart w:id="18" w:name="_heading=h.xaxpwyczq9r7" w:colFirst="0" w:colLast="0"/>
      <w:bookmarkEnd w:id="18"/>
      <w:r>
        <w:rPr>
          <w:rFonts w:ascii="Palatino Linotype" w:eastAsia="Palatino Linotype" w:hAnsi="Palatino Linotype" w:cs="Palatino Linotype"/>
          <w:b/>
          <w:bCs/>
          <w:color w:val="000000"/>
          <w:sz w:val="22"/>
          <w:szCs w:val="22"/>
        </w:rPr>
        <w:t xml:space="preserve">SEXTO. Decisión. </w:t>
      </w:r>
    </w:p>
    <w:p w:rsidR="006B1E69" w:rsidRDefault="006B1E69">
      <w:pPr>
        <w:spacing w:after="0" w:line="360" w:lineRule="auto"/>
        <w:rPr>
          <w:b/>
          <w:bCs/>
          <w:color w:val="000000"/>
        </w:rPr>
      </w:pPr>
    </w:p>
    <w:p w:rsidR="006B1E69" w:rsidRDefault="00053235">
      <w:pPr>
        <w:spacing w:after="0" w:line="360" w:lineRule="auto"/>
        <w:rPr>
          <w:color w:val="000000"/>
        </w:rPr>
      </w:pPr>
      <w:r>
        <w:rPr>
          <w:color w:val="000000"/>
        </w:rPr>
        <w:t xml:space="preserve">Con fundamento en el artículo 186, fracción II, de la Ley de Transparencia y Acceso a la Información Pública del Estado de México y Municipios, este Instituto considera procedente </w:t>
      </w:r>
      <w:r>
        <w:rPr>
          <w:b/>
          <w:bCs/>
          <w:color w:val="000000"/>
        </w:rPr>
        <w:t xml:space="preserve">CONFIRMAR </w:t>
      </w:r>
      <w:r>
        <w:rPr>
          <w:color w:val="000000"/>
        </w:rPr>
        <w:t>la respuesta del Consejo Estatal para el Desarrollo Integral de Los Pueblos Indígenas del Estado de México a la solicitud de información 00075/CEDIPIEM/IP/2025.</w:t>
      </w:r>
    </w:p>
    <w:p w:rsidR="006B1E69" w:rsidRDefault="006B1E69">
      <w:pPr>
        <w:spacing w:after="0" w:line="360" w:lineRule="auto"/>
        <w:rPr>
          <w:color w:val="000000"/>
        </w:rPr>
      </w:pPr>
    </w:p>
    <w:p w:rsidR="006B1E69" w:rsidRDefault="00053235">
      <w:pPr>
        <w:spacing w:after="0" w:line="360" w:lineRule="auto"/>
        <w:rPr>
          <w:b/>
          <w:bCs/>
          <w:color w:val="000000"/>
        </w:rPr>
      </w:pPr>
      <w:r>
        <w:rPr>
          <w:b/>
          <w:bCs/>
          <w:color w:val="000000"/>
        </w:rPr>
        <w:t>Términos de la Resolución p</w:t>
      </w:r>
      <w:r w:rsidR="00D74DDC">
        <w:rPr>
          <w:b/>
          <w:bCs/>
          <w:color w:val="000000"/>
        </w:rPr>
        <w:t>ara conocimiento del Particular</w:t>
      </w:r>
    </w:p>
    <w:p w:rsidR="006B1E69" w:rsidRDefault="006B1E69">
      <w:pPr>
        <w:spacing w:after="0" w:line="360" w:lineRule="auto"/>
        <w:rPr>
          <w:b/>
          <w:bCs/>
          <w:color w:val="000000"/>
        </w:rPr>
      </w:pPr>
    </w:p>
    <w:p w:rsidR="006B1E69" w:rsidRDefault="00053235">
      <w:pPr>
        <w:widowControl w:val="0"/>
        <w:spacing w:after="0" w:line="360" w:lineRule="auto"/>
        <w:rPr>
          <w:color w:val="000000"/>
        </w:rPr>
      </w:pPr>
      <w:r>
        <w:rPr>
          <w:color w:val="000000"/>
        </w:rPr>
        <w:t>Se le hace del conocimiento al Particular, que, en el presente caso, no se le da la razón, pues el Sujeto Obligado desde respuesta entrego la información obra en sus archivos, con lo cual dio atención cabal a los requerimientos de información. Finalmente, se le hace de su conocimiento que la labor del Instituto de Transparencia, Acceso a la Información Pública y Protección de Datos Personales del Estado de México y Municipios, es apoyar a la población a acceder a la información pública y garantizar la protección de sus datos personales.</w:t>
      </w:r>
    </w:p>
    <w:p w:rsidR="006B1E69" w:rsidRDefault="006B1E69">
      <w:pPr>
        <w:spacing w:after="0" w:line="360" w:lineRule="auto"/>
      </w:pPr>
    </w:p>
    <w:p w:rsidR="006B1E69" w:rsidRDefault="00053235">
      <w:pPr>
        <w:spacing w:after="0" w:line="360" w:lineRule="auto"/>
        <w:rPr>
          <w:color w:val="000000"/>
        </w:rPr>
      </w:pPr>
      <w:r>
        <w:rPr>
          <w:color w:val="000000"/>
        </w:rPr>
        <w:t>Por lo expuesto y fundado, este Pleno:</w:t>
      </w:r>
    </w:p>
    <w:p w:rsidR="006B1E69" w:rsidRDefault="006B1E69">
      <w:pPr>
        <w:spacing w:after="0" w:line="360" w:lineRule="auto"/>
        <w:rPr>
          <w:color w:val="000000"/>
        </w:rPr>
      </w:pPr>
    </w:p>
    <w:p w:rsidR="006B1E69" w:rsidRDefault="00D74DDC">
      <w:pPr>
        <w:pStyle w:val="Ttulo1"/>
        <w:spacing w:before="0" w:line="360" w:lineRule="auto"/>
        <w:jc w:val="center"/>
        <w:rPr>
          <w:rFonts w:ascii="Palatino Linotype" w:eastAsia="Palatino Linotype" w:hAnsi="Palatino Linotype" w:cs="Palatino Linotype"/>
          <w:b/>
          <w:bCs/>
          <w:color w:val="000000"/>
          <w:sz w:val="22"/>
          <w:szCs w:val="22"/>
        </w:rPr>
      </w:pPr>
      <w:bookmarkStart w:id="19" w:name="_heading=h.453ch48tnabd" w:colFirst="0" w:colLast="0"/>
      <w:bookmarkEnd w:id="19"/>
      <w:r>
        <w:rPr>
          <w:rFonts w:ascii="Palatino Linotype" w:eastAsia="Palatino Linotype" w:hAnsi="Palatino Linotype" w:cs="Palatino Linotype"/>
          <w:b/>
          <w:bCs/>
          <w:color w:val="000000"/>
          <w:sz w:val="22"/>
          <w:szCs w:val="22"/>
        </w:rPr>
        <w:t>R E S U E L V E</w:t>
      </w:r>
    </w:p>
    <w:p w:rsidR="006B1E69" w:rsidRDefault="006B1E69">
      <w:pPr>
        <w:spacing w:after="0" w:line="360" w:lineRule="auto"/>
        <w:ind w:right="-91"/>
        <w:jc w:val="center"/>
        <w:rPr>
          <w:b/>
          <w:bCs/>
          <w:color w:val="000000"/>
        </w:rPr>
      </w:pPr>
    </w:p>
    <w:p w:rsidR="006B1E69" w:rsidRDefault="00053235">
      <w:pPr>
        <w:spacing w:after="0" w:line="360" w:lineRule="auto"/>
        <w:rPr>
          <w:color w:val="000000"/>
        </w:rPr>
      </w:pPr>
      <w:r>
        <w:rPr>
          <w:b/>
          <w:bCs/>
          <w:color w:val="000000"/>
        </w:rPr>
        <w:t xml:space="preserve">PRIMERO. </w:t>
      </w:r>
      <w:r>
        <w:rPr>
          <w:color w:val="000000"/>
        </w:rPr>
        <w:t xml:space="preserve">Se </w:t>
      </w:r>
      <w:r>
        <w:rPr>
          <w:b/>
          <w:bCs/>
          <w:color w:val="000000"/>
        </w:rPr>
        <w:t xml:space="preserve">CONFIRMA </w:t>
      </w:r>
      <w:r>
        <w:rPr>
          <w:color w:val="000000"/>
        </w:rPr>
        <w:t xml:space="preserve">la respuesta entregada por el Consejo Estatal para el Desarrollo Integral de Los Pueblos Indígenas del Estado de México, a la solicitud de información 00075/CEDIPIEM/IP/2025, por resultar </w:t>
      </w:r>
      <w:r>
        <w:rPr>
          <w:b/>
          <w:bCs/>
          <w:color w:val="000000"/>
        </w:rPr>
        <w:t xml:space="preserve">INFUNDADAS </w:t>
      </w:r>
      <w:r>
        <w:rPr>
          <w:color w:val="000000"/>
        </w:rPr>
        <w:t xml:space="preserve">las razones o motivos de </w:t>
      </w:r>
      <w:r>
        <w:rPr>
          <w:color w:val="000000"/>
        </w:rPr>
        <w:lastRenderedPageBreak/>
        <w:t>inconformidad hechos valer por la persona Recurrente, en términos de los considerandos QUINTO y SEXTO de la presente Resolución.</w:t>
      </w:r>
    </w:p>
    <w:p w:rsidR="006B1E69" w:rsidRDefault="006B1E69">
      <w:pPr>
        <w:spacing w:after="0" w:line="360" w:lineRule="auto"/>
        <w:rPr>
          <w:color w:val="000000"/>
        </w:rPr>
      </w:pPr>
    </w:p>
    <w:p w:rsidR="006B1E69" w:rsidRDefault="00053235">
      <w:pPr>
        <w:spacing w:after="0" w:line="360" w:lineRule="auto"/>
        <w:rPr>
          <w:b/>
          <w:bCs/>
          <w:color w:val="000000"/>
        </w:rPr>
      </w:pPr>
      <w:r>
        <w:rPr>
          <w:b/>
          <w:bCs/>
          <w:color w:val="000000"/>
        </w:rPr>
        <w:t xml:space="preserve">SEGUNDO. NOTIFÍQUESE POR SAIMEX </w:t>
      </w:r>
      <w:r>
        <w:rPr>
          <w:color w:val="000000"/>
        </w:rPr>
        <w:t>la presente Resolución, al Titular de la Unidad de Transparencia del Sujeto Obligado.</w:t>
      </w:r>
    </w:p>
    <w:p w:rsidR="006B1E69" w:rsidRDefault="006B1E69">
      <w:pPr>
        <w:spacing w:after="0" w:line="360" w:lineRule="auto"/>
        <w:rPr>
          <w:color w:val="000000"/>
        </w:rPr>
      </w:pPr>
    </w:p>
    <w:p w:rsidR="006B1E69" w:rsidRDefault="00053235">
      <w:pPr>
        <w:spacing w:after="0" w:line="360" w:lineRule="auto"/>
        <w:rPr>
          <w:b/>
          <w:bCs/>
          <w:color w:val="000000"/>
        </w:rPr>
      </w:pPr>
      <w:r>
        <w:rPr>
          <w:b/>
          <w:bCs/>
          <w:color w:val="000000"/>
        </w:rPr>
        <w:t xml:space="preserve">TERCERO. NOTIFÍQUESE POR SAIMEX </w:t>
      </w:r>
      <w:r>
        <w:rPr>
          <w:color w:val="000000"/>
        </w:rPr>
        <w:t>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rsidR="006B1E69" w:rsidRDefault="006B1E69">
      <w:pPr>
        <w:spacing w:after="0" w:line="360" w:lineRule="auto"/>
        <w:rPr>
          <w:b/>
          <w:bCs/>
          <w:color w:val="000000"/>
        </w:rPr>
      </w:pPr>
    </w:p>
    <w:p w:rsidR="006B1E69" w:rsidRDefault="00053235">
      <w:pPr>
        <w:spacing w:after="0" w:line="360" w:lineRule="auto"/>
        <w:rPr>
          <w:color w:val="000000"/>
        </w:rPr>
      </w:pPr>
      <w:r>
        <w:rPr>
          <w:color w:val="000000"/>
        </w:rPr>
        <w:t>ASÍ LO RESUELVE, POR </w:t>
      </w:r>
      <w:r>
        <w:rPr>
          <w:b/>
          <w:bCs/>
          <w:color w:val="000000"/>
        </w:rPr>
        <w:t>UNANIMIDAD</w:t>
      </w:r>
      <w:r>
        <w:rPr>
          <w:color w:val="000000"/>
        </w:rPr>
        <w:t>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p>
    <w:p w:rsidR="006B1E69" w:rsidRDefault="006B1E69">
      <w:pPr>
        <w:spacing w:after="0" w:line="360" w:lineRule="auto"/>
        <w:rPr>
          <w:color w:val="FF0000"/>
        </w:rPr>
      </w:pPr>
    </w:p>
    <w:p w:rsidR="006B1E69" w:rsidRDefault="006B1E69">
      <w:pPr>
        <w:spacing w:after="0" w:line="360" w:lineRule="auto"/>
        <w:rPr>
          <w:color w:val="FF0000"/>
        </w:rPr>
      </w:pPr>
    </w:p>
    <w:p w:rsidR="006B1E69" w:rsidRDefault="006B1E69">
      <w:pPr>
        <w:spacing w:after="0" w:line="360" w:lineRule="auto"/>
        <w:rPr>
          <w:color w:val="FF0000"/>
        </w:rPr>
      </w:pPr>
    </w:p>
    <w:p w:rsidR="006B1E69" w:rsidRDefault="006B1E69">
      <w:pPr>
        <w:spacing w:after="0" w:line="360" w:lineRule="auto"/>
        <w:rPr>
          <w:color w:val="FF0000"/>
        </w:rPr>
      </w:pPr>
    </w:p>
    <w:p w:rsidR="006B1E69" w:rsidRDefault="006B1E69">
      <w:pPr>
        <w:spacing w:after="0" w:line="360" w:lineRule="auto"/>
        <w:rPr>
          <w:color w:val="FF0000"/>
        </w:rPr>
      </w:pPr>
    </w:p>
    <w:p w:rsidR="006B1E69" w:rsidRDefault="006B1E69">
      <w:pPr>
        <w:spacing w:after="0" w:line="360" w:lineRule="auto"/>
        <w:rPr>
          <w:color w:val="FF0000"/>
        </w:rPr>
      </w:pPr>
    </w:p>
    <w:p w:rsidR="006B1E69" w:rsidRDefault="006B1E69">
      <w:pPr>
        <w:spacing w:after="0" w:line="360" w:lineRule="auto"/>
        <w:rPr>
          <w:color w:val="FF0000"/>
        </w:rPr>
      </w:pPr>
    </w:p>
    <w:p w:rsidR="006B1E69" w:rsidRDefault="006B1E69">
      <w:pPr>
        <w:spacing w:after="0" w:line="360" w:lineRule="auto"/>
        <w:rPr>
          <w:color w:val="FF0000"/>
        </w:rPr>
      </w:pPr>
    </w:p>
    <w:p w:rsidR="006B1E69" w:rsidRDefault="006B1E69">
      <w:pPr>
        <w:spacing w:after="0" w:line="360" w:lineRule="auto"/>
        <w:rPr>
          <w:color w:val="FF0000"/>
        </w:rPr>
      </w:pPr>
    </w:p>
    <w:p w:rsidR="006B1E69" w:rsidRDefault="006B1E69">
      <w:pPr>
        <w:spacing w:after="0" w:line="360" w:lineRule="auto"/>
        <w:rPr>
          <w:color w:val="FF0000"/>
        </w:rPr>
      </w:pPr>
    </w:p>
    <w:p w:rsidR="006B1E69" w:rsidRDefault="006B1E69">
      <w:pPr>
        <w:spacing w:after="0" w:line="360" w:lineRule="auto"/>
        <w:rPr>
          <w:color w:val="FF0000"/>
        </w:rPr>
      </w:pPr>
    </w:p>
    <w:sectPr w:rsidR="006B1E69">
      <w:headerReference w:type="even" r:id="rId12"/>
      <w:headerReference w:type="default" r:id="rId13"/>
      <w:footerReference w:type="even" r:id="rId14"/>
      <w:footerReference w:type="default" r:id="rId15"/>
      <w:headerReference w:type="first" r:id="rId16"/>
      <w:footerReference w:type="first" r:id="rId17"/>
      <w:pgSz w:w="12240" w:h="15840"/>
      <w:pgMar w:top="2410" w:right="1608" w:bottom="1560" w:left="1701" w:header="993"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6A2A" w:rsidRDefault="002F6A2A">
      <w:pPr>
        <w:spacing w:after="0" w:line="240" w:lineRule="auto"/>
      </w:pPr>
      <w:r>
        <w:separator/>
      </w:r>
    </w:p>
  </w:endnote>
  <w:endnote w:type="continuationSeparator" w:id="0">
    <w:p w:rsidR="002F6A2A" w:rsidRDefault="002F6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embedRegular r:id="rId1" w:fontKey="{9DC79D7B-2B08-41D5-B9BB-537C1D1BB6A5}"/>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0209D521-FAF7-42EE-86BD-B274356B522E}"/>
    <w:embedBold r:id="rId3" w:fontKey="{BA4F885E-78EC-4F72-BB4C-D39DA10084F8}"/>
    <w:embedItalic r:id="rId4" w:fontKey="{AC5DEAD2-CA85-441A-9974-DFF9E65E3B10}"/>
    <w:embedBoldItalic r:id="rId5" w:fontKey="{7BD9B3DE-5035-4D66-89FC-8A76D3EA8C72}"/>
  </w:font>
  <w:font w:name="Calibri">
    <w:panose1 w:val="020F0502020204030204"/>
    <w:charset w:val="00"/>
    <w:family w:val="swiss"/>
    <w:pitch w:val="variable"/>
    <w:sig w:usb0="E4002EFF" w:usb1="C200247B" w:usb2="00000009" w:usb3="00000000" w:csb0="000001FF" w:csb1="00000000"/>
    <w:embedRegular r:id="rId6" w:fontKey="{EEB63CCD-2885-4B5C-8E68-C68123B23613}"/>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7" w:fontKey="{60F26C61-9C8A-4539-B35E-2C79D9705553}"/>
  </w:font>
  <w:font w:name="Georgia">
    <w:panose1 w:val="02040502050405020303"/>
    <w:charset w:val="00"/>
    <w:family w:val="roman"/>
    <w:pitch w:val="variable"/>
    <w:sig w:usb0="00000287" w:usb1="00000000" w:usb2="00000000" w:usb3="00000000" w:csb0="0000009F" w:csb1="00000000"/>
    <w:embedItalic r:id="rId8" w:fontKey="{09D24D6C-9625-47AA-8233-019F86AA913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E69" w:rsidRDefault="00053235">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sidR="002F7E79">
      <w:rPr>
        <w:b/>
        <w:bCs/>
        <w:color w:val="000000"/>
        <w:sz w:val="24"/>
        <w:szCs w:val="24"/>
      </w:rPr>
      <w:fldChar w:fldCharType="separate"/>
    </w:r>
    <w:r w:rsidR="002F7E79">
      <w:rPr>
        <w:b/>
        <w:bCs/>
        <w:noProof/>
        <w:color w:val="000000"/>
        <w:sz w:val="24"/>
        <w:szCs w:val="24"/>
      </w:rPr>
      <w:t>20</w:t>
    </w:r>
    <w:r>
      <w:rPr>
        <w:b/>
        <w:bCs/>
        <w:color w:val="000000"/>
        <w:sz w:val="24"/>
        <w:szCs w:val="24"/>
      </w:rPr>
      <w:fldChar w:fldCharType="end"/>
    </w:r>
  </w:p>
  <w:p w:rsidR="006B1E69" w:rsidRDefault="006B1E69">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E69" w:rsidRDefault="00053235">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2F7E79">
      <w:rPr>
        <w:b/>
        <w:bCs/>
        <w:noProof/>
        <w:color w:val="000000"/>
        <w:sz w:val="24"/>
        <w:szCs w:val="24"/>
      </w:rPr>
      <w:t>19</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2F7E79">
      <w:rPr>
        <w:b/>
        <w:bCs/>
        <w:noProof/>
        <w:color w:val="000000"/>
        <w:sz w:val="24"/>
        <w:szCs w:val="24"/>
      </w:rPr>
      <w:t>20</w:t>
    </w:r>
    <w:r>
      <w:rPr>
        <w:b/>
        <w:bCs/>
        <w:color w:val="000000"/>
        <w:sz w:val="24"/>
        <w:szCs w:val="24"/>
      </w:rPr>
      <w:fldChar w:fldCharType="end"/>
    </w:r>
  </w:p>
  <w:p w:rsidR="006B1E69" w:rsidRDefault="006B1E69">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E69" w:rsidRDefault="00053235">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2F7E79">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2F7E79">
      <w:rPr>
        <w:b/>
        <w:bCs/>
        <w:noProof/>
        <w:color w:val="000000"/>
        <w:sz w:val="24"/>
        <w:szCs w:val="24"/>
      </w:rPr>
      <w:t>20</w:t>
    </w:r>
    <w:r>
      <w:rPr>
        <w:b/>
        <w:bCs/>
        <w:color w:val="000000"/>
        <w:sz w:val="24"/>
        <w:szCs w:val="24"/>
      </w:rPr>
      <w:fldChar w:fldCharType="end"/>
    </w:r>
  </w:p>
  <w:p w:rsidR="006B1E69" w:rsidRDefault="006B1E69">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6A2A" w:rsidRDefault="002F6A2A">
      <w:pPr>
        <w:spacing w:after="0" w:line="240" w:lineRule="auto"/>
      </w:pPr>
      <w:r>
        <w:separator/>
      </w:r>
    </w:p>
  </w:footnote>
  <w:footnote w:type="continuationSeparator" w:id="0">
    <w:p w:rsidR="002F6A2A" w:rsidRDefault="002F6A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E69" w:rsidRDefault="006B1E69">
    <w:pPr>
      <w:widowControl w:val="0"/>
      <w:pBdr>
        <w:top w:val="nil"/>
        <w:left w:val="nil"/>
        <w:bottom w:val="nil"/>
        <w:right w:val="nil"/>
        <w:between w:val="nil"/>
      </w:pBdr>
      <w:spacing w:after="0" w:line="276" w:lineRule="auto"/>
      <w:jc w:val="left"/>
      <w:rPr>
        <w:color w:val="FF0000"/>
      </w:rPr>
    </w:pPr>
  </w:p>
  <w:tbl>
    <w:tblPr>
      <w:tblStyle w:val="a"/>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6B1E69">
      <w:trPr>
        <w:trHeight w:val="132"/>
      </w:trPr>
      <w:tc>
        <w:tcPr>
          <w:tcW w:w="0" w:type="auto"/>
        </w:tcPr>
        <w:p w:rsidR="006B1E69" w:rsidRDefault="00053235">
          <w:pPr>
            <w:tabs>
              <w:tab w:val="right" w:pos="8838"/>
            </w:tabs>
            <w:ind w:right="-105"/>
            <w:rPr>
              <w:b/>
              <w:bCs/>
            </w:rPr>
          </w:pPr>
          <w:r>
            <w:rPr>
              <w:b/>
              <w:bCs/>
            </w:rPr>
            <w:t>Recurso de Revisión:</w:t>
          </w:r>
        </w:p>
      </w:tc>
      <w:tc>
        <w:tcPr>
          <w:tcW w:w="0" w:type="auto"/>
        </w:tcPr>
        <w:p w:rsidR="006B1E69" w:rsidRDefault="00053235">
          <w:pPr>
            <w:tabs>
              <w:tab w:val="right" w:pos="8838"/>
            </w:tabs>
            <w:ind w:left="-28" w:right="-32"/>
          </w:pPr>
          <w:r>
            <w:t>03846/INFOEM/IP/RR/2020</w:t>
          </w:r>
        </w:p>
      </w:tc>
    </w:tr>
    <w:tr w:rsidR="006B1E69">
      <w:trPr>
        <w:trHeight w:val="261"/>
      </w:trPr>
      <w:tc>
        <w:tcPr>
          <w:tcW w:w="0" w:type="auto"/>
        </w:tcPr>
        <w:p w:rsidR="006B1E69" w:rsidRDefault="00053235">
          <w:pPr>
            <w:tabs>
              <w:tab w:val="right" w:pos="8838"/>
            </w:tabs>
            <w:ind w:right="-105"/>
            <w:rPr>
              <w:b/>
              <w:bCs/>
            </w:rPr>
          </w:pPr>
          <w:r>
            <w:rPr>
              <w:b/>
              <w:bCs/>
            </w:rPr>
            <w:t>Sujeto Obligado:</w:t>
          </w:r>
        </w:p>
      </w:tc>
      <w:tc>
        <w:tcPr>
          <w:tcW w:w="0" w:type="auto"/>
        </w:tcPr>
        <w:p w:rsidR="006B1E69" w:rsidRDefault="00053235">
          <w:pPr>
            <w:tabs>
              <w:tab w:val="right" w:pos="8838"/>
            </w:tabs>
            <w:ind w:right="-32"/>
          </w:pPr>
          <w:r>
            <w:t xml:space="preserve">Ayuntamiento de </w:t>
          </w:r>
          <w:proofErr w:type="spellStart"/>
          <w:r>
            <w:t>Temascalcingo</w:t>
          </w:r>
          <w:proofErr w:type="spellEnd"/>
        </w:p>
      </w:tc>
    </w:tr>
    <w:tr w:rsidR="006B1E69">
      <w:trPr>
        <w:trHeight w:val="261"/>
      </w:trPr>
      <w:tc>
        <w:tcPr>
          <w:tcW w:w="0" w:type="auto"/>
        </w:tcPr>
        <w:p w:rsidR="006B1E69" w:rsidRDefault="00053235">
          <w:pPr>
            <w:tabs>
              <w:tab w:val="right" w:pos="8838"/>
            </w:tabs>
            <w:ind w:right="-105"/>
            <w:rPr>
              <w:b/>
              <w:bCs/>
            </w:rPr>
          </w:pPr>
          <w:r>
            <w:rPr>
              <w:b/>
              <w:bCs/>
            </w:rPr>
            <w:t>Comisionado Ponente:</w:t>
          </w:r>
        </w:p>
      </w:tc>
      <w:tc>
        <w:tcPr>
          <w:tcW w:w="0" w:type="auto"/>
        </w:tcPr>
        <w:p w:rsidR="006B1E69" w:rsidRDefault="00053235">
          <w:pPr>
            <w:tabs>
              <w:tab w:val="right" w:pos="8838"/>
            </w:tabs>
            <w:ind w:right="-32"/>
            <w:rPr>
              <w:b/>
              <w:bCs/>
            </w:rPr>
          </w:pPr>
          <w:r>
            <w:t>Luis Gustavo Parra Noriega</w:t>
          </w:r>
        </w:p>
      </w:tc>
    </w:tr>
  </w:tbl>
  <w:p w:rsidR="006B1E69" w:rsidRDefault="002F6A2A">
    <w:pPr>
      <w:pBdr>
        <w:top w:val="nil"/>
        <w:left w:val="nil"/>
        <w:bottom w:val="nil"/>
        <w:right w:val="nil"/>
        <w:between w:val="nil"/>
      </w:pBdr>
      <w:tabs>
        <w:tab w:val="center" w:pos="4419"/>
        <w:tab w:val="right" w:pos="8838"/>
      </w:tabs>
      <w:spacing w:after="0" w:line="240" w:lineRule="auto"/>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MARCA DE AGUA - HOJA RESOLUCIÓN" style="position:absolute;left:0;text-align:left;margin-left:0;margin-top:0;width:663.5pt;height:12in;z-index:-251657728;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E69" w:rsidRDefault="00053235">
    <w:pPr>
      <w:tabs>
        <w:tab w:val="left" w:pos="3913"/>
      </w:tabs>
      <w:rPr>
        <w:sz w:val="2"/>
        <w:szCs w:val="2"/>
      </w:rPr>
    </w:pPr>
    <w:r>
      <w:tab/>
    </w:r>
  </w:p>
  <w:tbl>
    <w:tblPr>
      <w:tblStyle w:val="a0"/>
      <w:tblW w:w="6803" w:type="dxa"/>
      <w:tblInd w:w="3544" w:type="dxa"/>
      <w:tblBorders>
        <w:top w:val="nil"/>
        <w:left w:val="nil"/>
        <w:bottom w:val="nil"/>
        <w:right w:val="nil"/>
        <w:insideH w:val="nil"/>
        <w:insideV w:val="nil"/>
      </w:tblBorders>
      <w:tblLayout w:type="fixed"/>
      <w:tblLook w:val="0400" w:firstRow="0" w:lastRow="0" w:firstColumn="0" w:lastColumn="0" w:noHBand="0" w:noVBand="1"/>
    </w:tblPr>
    <w:tblGrid>
      <w:gridCol w:w="2551"/>
      <w:gridCol w:w="4252"/>
    </w:tblGrid>
    <w:tr w:rsidR="006B1E69">
      <w:trPr>
        <w:trHeight w:val="138"/>
      </w:trPr>
      <w:tc>
        <w:tcPr>
          <w:tcW w:w="2551" w:type="dxa"/>
          <w:vAlign w:val="center"/>
        </w:tcPr>
        <w:p w:rsidR="006B1E69" w:rsidRDefault="00053235">
          <w:pPr>
            <w:tabs>
              <w:tab w:val="right" w:pos="8838"/>
            </w:tabs>
            <w:ind w:right="-105"/>
            <w:jc w:val="left"/>
            <w:rPr>
              <w:b/>
              <w:bCs/>
            </w:rPr>
          </w:pPr>
          <w:r>
            <w:rPr>
              <w:b/>
              <w:bCs/>
            </w:rPr>
            <w:t>Recurso de Revisión:</w:t>
          </w:r>
        </w:p>
      </w:tc>
      <w:tc>
        <w:tcPr>
          <w:tcW w:w="4252" w:type="dxa"/>
        </w:tcPr>
        <w:p w:rsidR="006B1E69" w:rsidRDefault="00053235">
          <w:pPr>
            <w:tabs>
              <w:tab w:val="right" w:pos="8838"/>
            </w:tabs>
            <w:ind w:left="-113" w:right="57"/>
          </w:pPr>
          <w:r>
            <w:rPr>
              <w:color w:val="000000"/>
            </w:rPr>
            <w:t>12391/INFOEM/IP/RR/2025</w:t>
          </w:r>
        </w:p>
      </w:tc>
    </w:tr>
    <w:tr w:rsidR="006B1E69">
      <w:trPr>
        <w:trHeight w:val="273"/>
      </w:trPr>
      <w:tc>
        <w:tcPr>
          <w:tcW w:w="2551" w:type="dxa"/>
        </w:tcPr>
        <w:p w:rsidR="006B1E69" w:rsidRDefault="00053235">
          <w:pPr>
            <w:tabs>
              <w:tab w:val="right" w:pos="8838"/>
            </w:tabs>
            <w:ind w:right="-105"/>
            <w:rPr>
              <w:b/>
              <w:bCs/>
            </w:rPr>
          </w:pPr>
          <w:r>
            <w:rPr>
              <w:b/>
              <w:bCs/>
            </w:rPr>
            <w:t>Sujeto Obligado:</w:t>
          </w:r>
        </w:p>
      </w:tc>
      <w:tc>
        <w:tcPr>
          <w:tcW w:w="4252" w:type="dxa"/>
        </w:tcPr>
        <w:p w:rsidR="006B1E69" w:rsidRDefault="00053235">
          <w:pPr>
            <w:tabs>
              <w:tab w:val="left" w:pos="2728"/>
              <w:tab w:val="right" w:pos="8838"/>
            </w:tabs>
            <w:ind w:left="-113" w:right="1314"/>
          </w:pPr>
          <w:r>
            <w:rPr>
              <w:color w:val="000000"/>
            </w:rPr>
            <w:t>Consejo Estatal para el Desarrollo Integral de Los Pueblos Indígenas del Estado de México</w:t>
          </w:r>
        </w:p>
      </w:tc>
    </w:tr>
    <w:tr w:rsidR="006B1E69">
      <w:trPr>
        <w:trHeight w:val="273"/>
      </w:trPr>
      <w:tc>
        <w:tcPr>
          <w:tcW w:w="2551" w:type="dxa"/>
        </w:tcPr>
        <w:p w:rsidR="006B1E69" w:rsidRDefault="00053235">
          <w:pPr>
            <w:tabs>
              <w:tab w:val="right" w:pos="8838"/>
            </w:tabs>
            <w:ind w:right="-105"/>
            <w:rPr>
              <w:b/>
              <w:bCs/>
            </w:rPr>
          </w:pPr>
          <w:r>
            <w:rPr>
              <w:b/>
              <w:bCs/>
            </w:rPr>
            <w:t>Comisionado Ponente:</w:t>
          </w:r>
        </w:p>
      </w:tc>
      <w:tc>
        <w:tcPr>
          <w:tcW w:w="4252" w:type="dxa"/>
        </w:tcPr>
        <w:p w:rsidR="006B1E69" w:rsidRDefault="00053235">
          <w:pPr>
            <w:tabs>
              <w:tab w:val="right" w:pos="8838"/>
            </w:tabs>
            <w:ind w:left="-113" w:right="-170"/>
            <w:rPr>
              <w:b/>
              <w:bCs/>
            </w:rPr>
          </w:pPr>
          <w:r>
            <w:t>Luis Gustavo Parra Noriega</w:t>
          </w:r>
        </w:p>
      </w:tc>
    </w:tr>
  </w:tbl>
  <w:p w:rsidR="006B1E69" w:rsidRDefault="002F6A2A">
    <w:pPr>
      <w:pBdr>
        <w:top w:val="nil"/>
        <w:left w:val="nil"/>
        <w:bottom w:val="nil"/>
        <w:right w:val="nil"/>
        <w:between w:val="nil"/>
      </w:pBdr>
      <w:tabs>
        <w:tab w:val="center" w:pos="4419"/>
        <w:tab w:val="right" w:pos="8838"/>
      </w:tabs>
      <w:spacing w:after="0" w:line="240" w:lineRule="auto"/>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MARCA DE AGUA - HOJA RESOLUCIÓN" style="position:absolute;left:0;text-align:left;margin-left:-90.6pt;margin-top:-122.05pt;width:663.5pt;height:12in;z-index:-251659776;mso-position-horizontal:absolute;mso-position-horizontal-relative:margin;mso-position-vertical:absolute;mso-position-vertical-relative:margin">
          <v:imagedata r:id="rId1" o:title="image3"/>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E69" w:rsidRDefault="006B1E69">
    <w:pPr>
      <w:widowControl w:val="0"/>
      <w:pBdr>
        <w:top w:val="nil"/>
        <w:left w:val="nil"/>
        <w:bottom w:val="nil"/>
        <w:right w:val="nil"/>
        <w:between w:val="nil"/>
      </w:pBdr>
      <w:spacing w:after="0" w:line="276" w:lineRule="auto"/>
      <w:jc w:val="left"/>
      <w:rPr>
        <w:color w:val="000000"/>
      </w:rPr>
    </w:pPr>
  </w:p>
  <w:tbl>
    <w:tblPr>
      <w:tblStyle w:val="a1"/>
      <w:tblW w:w="5528" w:type="dxa"/>
      <w:tblInd w:w="3544" w:type="dxa"/>
      <w:tblBorders>
        <w:top w:val="nil"/>
        <w:left w:val="nil"/>
        <w:bottom w:val="nil"/>
        <w:right w:val="nil"/>
        <w:insideH w:val="nil"/>
        <w:insideV w:val="nil"/>
      </w:tblBorders>
      <w:tblLayout w:type="fixed"/>
      <w:tblLook w:val="0400" w:firstRow="0" w:lastRow="0" w:firstColumn="0" w:lastColumn="0" w:noHBand="0" w:noVBand="1"/>
    </w:tblPr>
    <w:tblGrid>
      <w:gridCol w:w="2551"/>
      <w:gridCol w:w="2977"/>
    </w:tblGrid>
    <w:tr w:rsidR="006B1E69">
      <w:trPr>
        <w:trHeight w:val="132"/>
      </w:trPr>
      <w:tc>
        <w:tcPr>
          <w:tcW w:w="2551" w:type="dxa"/>
        </w:tcPr>
        <w:p w:rsidR="006B1E69" w:rsidRDefault="00053235">
          <w:pPr>
            <w:tabs>
              <w:tab w:val="right" w:pos="8838"/>
            </w:tabs>
            <w:ind w:right="-105"/>
            <w:rPr>
              <w:b/>
              <w:bCs/>
            </w:rPr>
          </w:pPr>
          <w:r>
            <w:rPr>
              <w:b/>
              <w:bCs/>
            </w:rPr>
            <w:t>Recurso de Revisión:</w:t>
          </w:r>
        </w:p>
      </w:tc>
      <w:tc>
        <w:tcPr>
          <w:tcW w:w="2977" w:type="dxa"/>
        </w:tcPr>
        <w:p w:rsidR="006B1E69" w:rsidRDefault="00053235">
          <w:pPr>
            <w:tabs>
              <w:tab w:val="right" w:pos="8838"/>
            </w:tabs>
            <w:ind w:left="-113" w:right="-32"/>
          </w:pPr>
          <w:r>
            <w:rPr>
              <w:color w:val="000000"/>
            </w:rPr>
            <w:t>12391/INFOEM/IP/RR/2025</w:t>
          </w:r>
        </w:p>
      </w:tc>
    </w:tr>
    <w:tr w:rsidR="006B1E69">
      <w:trPr>
        <w:trHeight w:val="132"/>
      </w:trPr>
      <w:tc>
        <w:tcPr>
          <w:tcW w:w="2551" w:type="dxa"/>
        </w:tcPr>
        <w:p w:rsidR="006B1E69" w:rsidRDefault="00053235">
          <w:pPr>
            <w:tabs>
              <w:tab w:val="left" w:pos="1875"/>
            </w:tabs>
            <w:ind w:right="-105"/>
            <w:rPr>
              <w:b/>
              <w:bCs/>
            </w:rPr>
          </w:pPr>
          <w:r>
            <w:rPr>
              <w:b/>
              <w:bCs/>
            </w:rPr>
            <w:t>Recurrente:</w:t>
          </w:r>
          <w:r>
            <w:rPr>
              <w:b/>
              <w:bCs/>
            </w:rPr>
            <w:tab/>
          </w:r>
        </w:p>
      </w:tc>
      <w:tc>
        <w:tcPr>
          <w:tcW w:w="2977" w:type="dxa"/>
        </w:tcPr>
        <w:p w:rsidR="006B1E69" w:rsidRDefault="006B1E69">
          <w:pPr>
            <w:tabs>
              <w:tab w:val="right" w:pos="8838"/>
            </w:tabs>
            <w:ind w:hanging="114"/>
          </w:pPr>
        </w:p>
      </w:tc>
    </w:tr>
    <w:tr w:rsidR="006B1E69">
      <w:trPr>
        <w:trHeight w:val="261"/>
      </w:trPr>
      <w:tc>
        <w:tcPr>
          <w:tcW w:w="2551" w:type="dxa"/>
        </w:tcPr>
        <w:p w:rsidR="006B1E69" w:rsidRDefault="00053235">
          <w:pPr>
            <w:tabs>
              <w:tab w:val="right" w:pos="8838"/>
            </w:tabs>
            <w:ind w:right="-105"/>
            <w:rPr>
              <w:b/>
              <w:bCs/>
            </w:rPr>
          </w:pPr>
          <w:r>
            <w:rPr>
              <w:b/>
              <w:bCs/>
            </w:rPr>
            <w:t>Sujeto Obligado:</w:t>
          </w:r>
        </w:p>
      </w:tc>
      <w:tc>
        <w:tcPr>
          <w:tcW w:w="2977" w:type="dxa"/>
        </w:tcPr>
        <w:p w:rsidR="006B1E69" w:rsidRDefault="00053235">
          <w:pPr>
            <w:tabs>
              <w:tab w:val="right" w:pos="8838"/>
            </w:tabs>
            <w:ind w:left="-113" w:right="-32"/>
          </w:pPr>
          <w:r>
            <w:rPr>
              <w:color w:val="000000"/>
            </w:rPr>
            <w:t>Consejo Estatal para el Desarrollo Integral de Los Pueblos Indígenas del Estado de México</w:t>
          </w:r>
        </w:p>
      </w:tc>
    </w:tr>
    <w:tr w:rsidR="006B1E69">
      <w:trPr>
        <w:trHeight w:val="261"/>
      </w:trPr>
      <w:tc>
        <w:tcPr>
          <w:tcW w:w="2551" w:type="dxa"/>
        </w:tcPr>
        <w:p w:rsidR="006B1E69" w:rsidRDefault="00053235">
          <w:pPr>
            <w:tabs>
              <w:tab w:val="right" w:pos="8838"/>
            </w:tabs>
            <w:ind w:right="-105"/>
            <w:rPr>
              <w:b/>
              <w:bCs/>
            </w:rPr>
          </w:pPr>
          <w:r>
            <w:rPr>
              <w:b/>
              <w:bCs/>
            </w:rPr>
            <w:t>Comisionado Ponente:</w:t>
          </w:r>
        </w:p>
      </w:tc>
      <w:tc>
        <w:tcPr>
          <w:tcW w:w="2977" w:type="dxa"/>
        </w:tcPr>
        <w:p w:rsidR="006B1E69" w:rsidRDefault="00053235">
          <w:pPr>
            <w:tabs>
              <w:tab w:val="right" w:pos="8838"/>
            </w:tabs>
            <w:ind w:left="-113" w:right="-32"/>
            <w:rPr>
              <w:b/>
              <w:bCs/>
            </w:rPr>
          </w:pPr>
          <w:r>
            <w:t>Luis Gustavo Parra Noriega</w:t>
          </w:r>
        </w:p>
      </w:tc>
    </w:tr>
  </w:tbl>
  <w:p w:rsidR="006B1E69" w:rsidRDefault="002F6A2A">
    <w:pPr>
      <w:pBdr>
        <w:top w:val="nil"/>
        <w:left w:val="nil"/>
        <w:bottom w:val="nil"/>
        <w:right w:val="nil"/>
        <w:between w:val="nil"/>
      </w:pBdr>
      <w:tabs>
        <w:tab w:val="center" w:pos="4419"/>
        <w:tab w:val="right" w:pos="8838"/>
        <w:tab w:val="left" w:pos="5812"/>
      </w:tabs>
      <w:spacing w:after="0" w:line="240" w:lineRule="auto"/>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MARCA DE AGUA - HOJA RESOLUCIÓN" style="position:absolute;left:0;text-align:left;margin-left:-89.1pt;margin-top:-123.5pt;width:663.5pt;height:12in;z-index:-251658752;mso-position-horizontal:absolute;mso-position-horizontal-relative:margin;mso-position-vertical:absolute;mso-position-vertical-relative:margin">
          <v:imagedata r:id="rId1" o:title="image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32379A"/>
    <w:multiLevelType w:val="multilevel"/>
    <w:tmpl w:val="BCC460D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E69"/>
    <w:rsid w:val="00053235"/>
    <w:rsid w:val="0005548B"/>
    <w:rsid w:val="002F6A2A"/>
    <w:rsid w:val="002F7E79"/>
    <w:rsid w:val="006B1E69"/>
    <w:rsid w:val="00D74D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51136B4E-0B5D-4A05-A564-701EEF5F0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after="0"/>
      <w:outlineLvl w:val="0"/>
    </w:pPr>
    <w:rPr>
      <w:rFonts w:ascii="Calibri" w:eastAsia="Calibri" w:hAnsi="Calibri" w:cs="Calibri"/>
      <w:color w:val="2F5496"/>
      <w:sz w:val="32"/>
      <w:szCs w:val="32"/>
    </w:rPr>
  </w:style>
  <w:style w:type="paragraph" w:styleId="Ttulo2">
    <w:name w:val="heading 2"/>
    <w:basedOn w:val="Normal"/>
    <w:next w:val="Normal"/>
    <w:pPr>
      <w:keepNext/>
      <w:keepLines/>
      <w:spacing w:before="40" w:after="0"/>
      <w:outlineLvl w:val="1"/>
    </w:pPr>
    <w:rPr>
      <w:rFonts w:ascii="Calibri" w:eastAsia="Calibri" w:hAnsi="Calibri" w:cs="Calibri"/>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Encabezado">
    <w:name w:val="header"/>
    <w:basedOn w:val="Normal"/>
    <w:link w:val="EncabezadoCar"/>
    <w:uiPriority w:val="99"/>
    <w:unhideWhenUsed/>
    <w:rsid w:val="00DB3DC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3DC5"/>
    <w:rPr>
      <w:rFonts w:ascii="Palatino Linotype" w:hAnsi="Palatino Linotype"/>
      <w:color w:val="000000" w:themeColor="text1"/>
      <w:kern w:val="0"/>
    </w:rPr>
  </w:style>
  <w:style w:type="paragraph" w:styleId="Piedepgina">
    <w:name w:val="footer"/>
    <w:basedOn w:val="Normal"/>
    <w:link w:val="PiedepginaCar"/>
    <w:uiPriority w:val="99"/>
    <w:unhideWhenUsed/>
    <w:rsid w:val="00DB3DC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3DC5"/>
    <w:rPr>
      <w:rFonts w:ascii="Palatino Linotype" w:hAnsi="Palatino Linotype"/>
      <w:color w:val="000000" w:themeColor="text1"/>
      <w:kern w:val="0"/>
    </w:rPr>
  </w:style>
  <w:style w:type="table" w:styleId="Tablaconcuadrcula">
    <w:name w:val="Table Grid"/>
    <w:basedOn w:val="Tablanormal"/>
    <w:uiPriority w:val="59"/>
    <w:qFormat/>
    <w:rsid w:val="00DB3DC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B3DC5"/>
    <w:rPr>
      <w:rFonts w:ascii="Times New Roman" w:hAnsi="Times New Roman" w:cs="Times New Roman"/>
      <w:sz w:val="24"/>
      <w:szCs w:val="24"/>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B3DC5"/>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DB3DC5"/>
    <w:rPr>
      <w:rFonts w:ascii="Palatino Linotype" w:hAnsi="Palatino Linotype"/>
      <w:color w:val="000000" w:themeColor="text1"/>
      <w:kern w:val="0"/>
    </w:rPr>
  </w:style>
  <w:style w:type="character" w:styleId="Hipervnculo">
    <w:name w:val="Hyperlink"/>
    <w:aliases w:val="Hipervínculo1,Hipervínculo11,Hipervínculo12,Hipervínculo13,Hipervínculo14,Hipervínculo15"/>
    <w:basedOn w:val="Fuentedeprrafopredeter"/>
    <w:uiPriority w:val="99"/>
    <w:unhideWhenUsed/>
    <w:qFormat/>
    <w:rsid w:val="004500E2"/>
    <w:rPr>
      <w:color w:val="0563C1" w:themeColor="hyperlink"/>
      <w:u w:val="single"/>
    </w:rPr>
  </w:style>
  <w:style w:type="character" w:customStyle="1" w:styleId="Mencinsinresolver1">
    <w:name w:val="Mención sin resolver1"/>
    <w:basedOn w:val="Fuentedeprrafopredeter"/>
    <w:uiPriority w:val="99"/>
    <w:semiHidden/>
    <w:unhideWhenUsed/>
    <w:rsid w:val="004500E2"/>
    <w:rPr>
      <w:color w:val="605E5C"/>
      <w:shd w:val="clear" w:color="auto" w:fill="E1DFDD"/>
    </w:rPr>
  </w:style>
  <w:style w:type="character" w:styleId="Hipervnculovisitado">
    <w:name w:val="FollowedHyperlink"/>
    <w:basedOn w:val="Fuentedeprrafopredeter"/>
    <w:uiPriority w:val="99"/>
    <w:semiHidden/>
    <w:unhideWhenUsed/>
    <w:rsid w:val="00254F36"/>
    <w:rPr>
      <w:color w:val="954F72" w:themeColor="followedHyperlink"/>
      <w:u w:val="single"/>
    </w:rPr>
  </w:style>
  <w:style w:type="table" w:customStyle="1" w:styleId="Tablaconcuadrcula3">
    <w:name w:val="Tabla con cuadrícula3"/>
    <w:basedOn w:val="Tablanormal"/>
    <w:next w:val="Tablaconcuadrcula"/>
    <w:uiPriority w:val="59"/>
    <w:rsid w:val="00837B92"/>
    <w:pPr>
      <w:spacing w:after="0" w:line="240" w:lineRule="auto"/>
    </w:pPr>
    <w:rPr>
      <w:rFonts w:ascii="Calibri" w:eastAsia="Calibri" w:hAnsi="Calibri" w:cs="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uiPriority w:val="9"/>
    <w:rsid w:val="00076681"/>
    <w:rPr>
      <w:rFonts w:asciiTheme="majorHAnsi" w:eastAsiaTheme="majorEastAsia" w:hAnsiTheme="majorHAnsi" w:cstheme="majorBidi"/>
      <w:color w:val="2F5496" w:themeColor="accent1" w:themeShade="BF"/>
      <w:kern w:val="0"/>
      <w:sz w:val="32"/>
      <w:szCs w:val="32"/>
    </w:rPr>
  </w:style>
  <w:style w:type="paragraph" w:styleId="TtulodeTDC">
    <w:name w:val="TOC Heading"/>
    <w:next w:val="Normal"/>
    <w:uiPriority w:val="39"/>
    <w:unhideWhenUsed/>
    <w:qFormat/>
    <w:rsid w:val="00076681"/>
    <w:pPr>
      <w:jc w:val="left"/>
    </w:pPr>
  </w:style>
  <w:style w:type="paragraph" w:styleId="TDC1">
    <w:name w:val="toc 1"/>
    <w:basedOn w:val="Normal"/>
    <w:next w:val="Normal"/>
    <w:autoRedefine/>
    <w:uiPriority w:val="39"/>
    <w:unhideWhenUsed/>
    <w:rsid w:val="00076681"/>
    <w:pPr>
      <w:tabs>
        <w:tab w:val="right" w:leader="dot" w:pos="9072"/>
      </w:tabs>
      <w:spacing w:after="100" w:line="360" w:lineRule="auto"/>
    </w:pPr>
    <w:rPr>
      <w:rFonts w:ascii="Times New Roman" w:eastAsia="Times New Roman" w:hAnsi="Times New Roman" w:cs="Times New Roman"/>
      <w:sz w:val="20"/>
      <w:szCs w:val="20"/>
      <w:lang w:eastAsia="es-ES"/>
    </w:rPr>
  </w:style>
  <w:style w:type="paragraph" w:styleId="TDC2">
    <w:name w:val="toc 2"/>
    <w:basedOn w:val="Normal"/>
    <w:next w:val="Normal"/>
    <w:autoRedefine/>
    <w:uiPriority w:val="39"/>
    <w:unhideWhenUsed/>
    <w:rsid w:val="00076681"/>
    <w:pPr>
      <w:spacing w:after="100" w:line="240" w:lineRule="auto"/>
      <w:ind w:left="200"/>
      <w:jc w:val="left"/>
    </w:pPr>
    <w:rPr>
      <w:rFonts w:ascii="Times New Roman" w:eastAsia="Times New Roman" w:hAnsi="Times New Roman" w:cs="Times New Roman"/>
      <w:sz w:val="20"/>
      <w:szCs w:val="20"/>
      <w:lang w:eastAsia="es-ES"/>
    </w:rPr>
  </w:style>
  <w:style w:type="character" w:customStyle="1" w:styleId="Ttulo2Car">
    <w:name w:val="Título 2 Car"/>
    <w:basedOn w:val="Fuentedeprrafopredeter"/>
    <w:uiPriority w:val="9"/>
    <w:rsid w:val="00076681"/>
    <w:rPr>
      <w:rFonts w:asciiTheme="majorHAnsi" w:eastAsiaTheme="majorEastAsia" w:hAnsiTheme="majorHAnsi" w:cstheme="majorBidi"/>
      <w:color w:val="2F5496" w:themeColor="accent1" w:themeShade="BF"/>
      <w:kern w:val="0"/>
      <w:sz w:val="26"/>
      <w:szCs w:val="26"/>
    </w:rPr>
  </w:style>
  <w:style w:type="character" w:customStyle="1" w:styleId="Mencinsinresolver2">
    <w:name w:val="Mención sin resolver2"/>
    <w:basedOn w:val="Fuentedeprrafopredeter"/>
    <w:uiPriority w:val="99"/>
    <w:semiHidden/>
    <w:unhideWhenUsed/>
    <w:rsid w:val="00B417C3"/>
    <w:rPr>
      <w:color w:val="605E5C"/>
      <w:shd w:val="clear" w:color="auto" w:fill="E1DFDD"/>
    </w:rPr>
  </w:style>
  <w:style w:type="character" w:customStyle="1" w:styleId="Mencinsinresolver3">
    <w:name w:val="Mención sin resolver3"/>
    <w:basedOn w:val="Fuentedeprrafopredeter"/>
    <w:uiPriority w:val="99"/>
    <w:semiHidden/>
    <w:unhideWhenUsed/>
    <w:rsid w:val="009A627C"/>
    <w:rPr>
      <w:color w:val="605E5C"/>
      <w:shd w:val="clear" w:color="auto" w:fill="E1DFDD"/>
    </w:rPr>
  </w:style>
  <w:style w:type="character" w:customStyle="1" w:styleId="Mencinsinresolver4">
    <w:name w:val="Mención sin resolver4"/>
    <w:basedOn w:val="Fuentedeprrafopredeter"/>
    <w:uiPriority w:val="99"/>
    <w:semiHidden/>
    <w:unhideWhenUsed/>
    <w:rsid w:val="00655864"/>
    <w:rPr>
      <w:color w:val="605E5C"/>
      <w:shd w:val="clear" w:color="auto" w:fill="E1DFDD"/>
    </w:rPr>
  </w:style>
  <w:style w:type="character" w:customStyle="1" w:styleId="Mencinsinresolver5">
    <w:name w:val="Mención sin resolver5"/>
    <w:basedOn w:val="Fuentedeprrafopredeter"/>
    <w:uiPriority w:val="99"/>
    <w:semiHidden/>
    <w:unhideWhenUsed/>
    <w:rsid w:val="00417921"/>
    <w:rPr>
      <w:color w:val="605E5C"/>
      <w:shd w:val="clear" w:color="auto" w:fill="E1DFDD"/>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sedesem.edomex.gob.mx/programas_sociale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edipiem.edomex.gob.mx/2024-sea"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S/bcrBPEREiCCRhlA/xknKFgVA==">CgMxLjAyDmguejdlc3o3azk0MXk1Mg5oLmd5N3JtNGs3dzE1dDINaC4xbWF2cjdmeGdtZTIOaC51dTM4aGV0ZTBiemkyDmguN2U3a3IwYWZsY2o4Mg5oLnZpdDRwM29sNmNxMjIOaC5ya3A3czI5aDNlbG0yDmguMzc3eHNjbDJzeDJqMg5oLmUzeWw0MHBjMTVidzIOaC5tY2h3bGxrZWdjbmgyDmguN3RoOGc4b3N0N2xiMg5oLjhuOHRjMXMyYWRlOTIOaC53dTJpZGE5bzI1bHEyDmguOHpxcnBuYnppMXVlMg5oLjJ1dXl5dGNveTZvazIOaC45bjA1ZWl2YnRwZDIyDmguY2I5YmE3ZGZtbzhiMg5oLnhheHB3eWN6cTlyNzIOaC40NTNjaDQ4dG5hYmQ4AHIhMUthWHRmYTVxX1hybGxqM2ZkcmpySzJlQ2FYdVo4V2t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4181</Words>
  <Characters>22999</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27126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PEÑA VARA</dc:creator>
  <cp:lastModifiedBy>USUARIO</cp:lastModifiedBy>
  <cp:revision>3</cp:revision>
  <cp:lastPrinted>2026-03-06T20:12:00Z</cp:lastPrinted>
  <dcterms:created xsi:type="dcterms:W3CDTF">2026-03-06T20:12:00Z</dcterms:created>
  <dcterms:modified xsi:type="dcterms:W3CDTF">2026-03-06T20:12:00Z</dcterms:modified>
</cp:coreProperties>
</file>