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FA4" w:rsidRDefault="000A4E9E">
      <w:pPr>
        <w:spacing w:line="360" w:lineRule="auto"/>
        <w:ind w:right="-876"/>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spacing w:line="360" w:lineRule="auto"/>
        <w:ind w:right="-876"/>
        <w:jc w:val="both"/>
        <w:rPr>
          <w:rFonts w:ascii="Palatino Linotype" w:eastAsia="Palatino Linotype" w:hAnsi="Palatino Linotype" w:cs="Palatino Linotype"/>
        </w:rPr>
      </w:pPr>
      <w:bookmarkStart w:id="1" w:name="_heading=h.wluafaaoo7ef" w:colFirst="0" w:colLast="0"/>
      <w:bookmarkEnd w:id="1"/>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12303/INFOEM/IP/RR/2025, </w:t>
      </w:r>
      <w:r>
        <w:rPr>
          <w:rFonts w:ascii="Palatino Linotype" w:eastAsia="Palatino Linotype" w:hAnsi="Palatino Linotype" w:cs="Palatino Linotype"/>
        </w:rPr>
        <w:t xml:space="preserve">promovido por </w:t>
      </w:r>
      <w:r>
        <w:rPr>
          <w:rFonts w:ascii="Palatino Linotype" w:eastAsia="Palatino Linotype" w:hAnsi="Palatino Linotype" w:cs="Palatino Linotype"/>
          <w:b/>
          <w:bCs/>
        </w:rPr>
        <w:t>un usuario que no proporcionó nombre para ser identificado,</w:t>
      </w:r>
      <w:r>
        <w:rPr>
          <w:rFonts w:ascii="Palatino Linotype" w:eastAsia="Palatino Linotype" w:hAnsi="Palatino Linotype" w:cs="Palatino Linotype"/>
        </w:rPr>
        <w:t xml:space="preserve"> a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por lo que se procede a dictar la presente resolución, con base en los siguientes: </w:t>
      </w:r>
    </w:p>
    <w:p w:rsidR="001E3FA4" w:rsidRDefault="001E3FA4">
      <w:pPr>
        <w:spacing w:line="360" w:lineRule="auto"/>
        <w:ind w:right="-876"/>
        <w:jc w:val="both"/>
        <w:rPr>
          <w:rFonts w:ascii="Palatino Linotype" w:eastAsia="Palatino Linotype" w:hAnsi="Palatino Linotype" w:cs="Palatino Linotype"/>
          <w:b/>
          <w:bCs/>
        </w:rPr>
      </w:pPr>
    </w:p>
    <w:p w:rsidR="001E3FA4" w:rsidRDefault="000A4E9E">
      <w:pPr>
        <w:keepNext/>
        <w:keepLines/>
        <w:spacing w:line="360" w:lineRule="auto"/>
        <w:ind w:right="-876"/>
        <w:jc w:val="center"/>
        <w:rPr>
          <w:rFonts w:ascii="Palatino Linotype" w:eastAsia="Palatino Linotype" w:hAnsi="Palatino Linotype" w:cs="Palatino Linotype"/>
          <w:b/>
          <w:bCs/>
        </w:rPr>
      </w:pPr>
      <w:bookmarkStart w:id="2" w:name="_heading=h.gjdgxs" w:colFirst="0" w:colLast="0"/>
      <w:bookmarkEnd w:id="2"/>
      <w:r>
        <w:rPr>
          <w:rFonts w:ascii="Palatino Linotype" w:eastAsia="Palatino Linotype" w:hAnsi="Palatino Linotype" w:cs="Palatino Linotype"/>
          <w:b/>
          <w:bCs/>
        </w:rPr>
        <w:t>A N T E C E D E N T E S</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tres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Pr>
          <w:rFonts w:ascii="Palatino Linotype" w:eastAsia="Palatino Linotype" w:hAnsi="Palatino Linotype" w:cs="Palatino Linotype"/>
          <w:b/>
          <w:bCs/>
          <w:color w:val="000000"/>
        </w:rPr>
        <w:t xml:space="preserve">04913/TOLUCA/IP/2025, </w:t>
      </w:r>
      <w:r>
        <w:rPr>
          <w:rFonts w:ascii="Palatino Linotype" w:eastAsia="Palatino Linotype" w:hAnsi="Palatino Linotype" w:cs="Palatino Linotype"/>
        </w:rPr>
        <w:t>en la que se</w:t>
      </w:r>
      <w:r>
        <w:rPr>
          <w:rFonts w:ascii="Palatino Linotype" w:eastAsia="Palatino Linotype" w:hAnsi="Palatino Linotype" w:cs="Palatino Linotype"/>
          <w:color w:val="000000"/>
        </w:rPr>
        <w:t xml:space="preserve"> solicitó lo siguiente:</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pBdr>
          <w:top w:val="nil"/>
          <w:left w:val="nil"/>
          <w:bottom w:val="nil"/>
          <w:right w:val="nil"/>
          <w:between w:val="nil"/>
        </w:pBdr>
        <w:spacing w:line="360" w:lineRule="auto"/>
        <w:ind w:left="720"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nombre y dependencia o institución a la que pertenece de todas las personas que participaron en la inauguración de la feria del alfeñique 2025” (Sic) </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señaló como modalidad de entrega a través de SAIMEX.</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tres de octubre de dos mil veinticinco</w:t>
      </w:r>
      <w:r>
        <w:rPr>
          <w:rFonts w:ascii="Palatino Linotype" w:eastAsia="Palatino Linotype" w:hAnsi="Palatino Linotype" w:cs="Palatino Linotype"/>
          <w:color w:val="000000"/>
        </w:rPr>
        <w:t xml:space="preserve">, se realizó un requerimiento al servidor público habilitado. </w:t>
      </w:r>
    </w:p>
    <w:p w:rsidR="001E3FA4" w:rsidRDefault="001E3FA4">
      <w:pPr>
        <w:pBdr>
          <w:top w:val="nil"/>
          <w:left w:val="nil"/>
          <w:bottom w:val="nil"/>
          <w:right w:val="nil"/>
          <w:between w:val="nil"/>
        </w:pBdr>
        <w:ind w:left="720"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veinticuatro de octubre de dos mil veinticinco</w:t>
      </w:r>
      <w:r>
        <w:rPr>
          <w:rFonts w:ascii="Palatino Linotype" w:eastAsia="Palatino Linotype" w:hAnsi="Palatino Linotype" w:cs="Palatino Linotype"/>
          <w:color w:val="000000"/>
        </w:rPr>
        <w:t>, el Sujeto Obligado dio respuesta a la solicitud de información en los siguientes términos:</w:t>
      </w:r>
    </w:p>
    <w:tbl>
      <w:tblPr>
        <w:tblStyle w:val="a"/>
        <w:tblW w:w="7500" w:type="dxa"/>
        <w:jc w:val="center"/>
        <w:tblInd w:w="0" w:type="dxa"/>
        <w:tblLayout w:type="fixed"/>
        <w:tblLook w:val="0400" w:firstRow="0" w:lastRow="0" w:firstColumn="0" w:lastColumn="0" w:noHBand="0" w:noVBand="1"/>
      </w:tblPr>
      <w:tblGrid>
        <w:gridCol w:w="7500"/>
      </w:tblGrid>
      <w:tr w:rsidR="001E3FA4">
        <w:trPr>
          <w:trHeight w:val="279"/>
          <w:jc w:val="center"/>
        </w:trPr>
        <w:tc>
          <w:tcPr>
            <w:tcW w:w="7500" w:type="dxa"/>
            <w:vAlign w:val="center"/>
          </w:tcPr>
          <w:p w:rsidR="001E3FA4" w:rsidRDefault="000A4E9E">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br/>
              <w:t>“Toluca, México a 24 de Octubre de 2025</w:t>
            </w:r>
          </w:p>
        </w:tc>
      </w:tr>
      <w:tr w:rsidR="001E3FA4">
        <w:trPr>
          <w:trHeight w:val="279"/>
          <w:jc w:val="center"/>
        </w:trPr>
        <w:tc>
          <w:tcPr>
            <w:tcW w:w="7500" w:type="dxa"/>
            <w:vAlign w:val="center"/>
          </w:tcPr>
          <w:p w:rsidR="001E3FA4" w:rsidRDefault="000A4E9E">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t>Nombre del solicitante: C. Solicitante</w:t>
            </w:r>
          </w:p>
        </w:tc>
      </w:tr>
      <w:tr w:rsidR="001E3FA4">
        <w:trPr>
          <w:trHeight w:val="279"/>
          <w:jc w:val="center"/>
        </w:trPr>
        <w:tc>
          <w:tcPr>
            <w:tcW w:w="7500" w:type="dxa"/>
            <w:vAlign w:val="center"/>
          </w:tcPr>
          <w:p w:rsidR="001E3FA4" w:rsidRDefault="000A4E9E">
            <w:pPr>
              <w:ind w:right="-876"/>
              <w:jc w:val="right"/>
              <w:rPr>
                <w:rFonts w:ascii="Palatino Linotype" w:eastAsia="Palatino Linotype" w:hAnsi="Palatino Linotype" w:cs="Palatino Linotype"/>
                <w:i/>
                <w:iCs/>
              </w:rPr>
            </w:pPr>
            <w:r>
              <w:rPr>
                <w:rFonts w:ascii="Palatino Linotype" w:eastAsia="Palatino Linotype" w:hAnsi="Palatino Linotype" w:cs="Palatino Linotype"/>
                <w:i/>
                <w:iCs/>
              </w:rPr>
              <w:t>Folio de la solicitud: 04913/TOLUCA/IP/2025</w:t>
            </w:r>
          </w:p>
        </w:tc>
      </w:tr>
      <w:tr w:rsidR="001E3FA4">
        <w:trPr>
          <w:trHeight w:val="418"/>
          <w:jc w:val="center"/>
        </w:trPr>
        <w:tc>
          <w:tcPr>
            <w:tcW w:w="7500" w:type="dxa"/>
            <w:vAlign w:val="center"/>
          </w:tcPr>
          <w:p w:rsidR="001E3FA4" w:rsidRDefault="001E3FA4">
            <w:pPr>
              <w:ind w:right="-876"/>
              <w:jc w:val="right"/>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0A4E9E">
            <w:pPr>
              <w:ind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1E3FA4">
        <w:trPr>
          <w:trHeight w:val="348"/>
          <w:jc w:val="center"/>
        </w:trPr>
        <w:tc>
          <w:tcPr>
            <w:tcW w:w="7500" w:type="dxa"/>
            <w:vAlign w:val="center"/>
          </w:tcPr>
          <w:p w:rsidR="001E3FA4" w:rsidRDefault="001E3FA4">
            <w:pPr>
              <w:ind w:right="-876"/>
              <w:jc w:val="both"/>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0A4E9E">
            <w:pPr>
              <w:ind w:right="-876"/>
              <w:jc w:val="both"/>
              <w:rPr>
                <w:rFonts w:ascii="Palatino Linotype" w:eastAsia="Palatino Linotype" w:hAnsi="Palatino Linotype" w:cs="Palatino Linotype"/>
                <w:i/>
                <w:iCs/>
              </w:rPr>
            </w:pPr>
            <w:r>
              <w:rPr>
                <w:rFonts w:ascii="Palatino Linotype" w:eastAsia="Palatino Linotype" w:hAnsi="Palatino Linotype" w:cs="Palatino Linotype"/>
                <w:i/>
                <w:iCs/>
              </w:rPr>
              <w:t>En atención a la solicitud con folio 04913/TOLUCA/IP/2025, me permito adjuntar al presente la respuesta correspondiente, Sin más por el momento, reciba un saludo.</w:t>
            </w:r>
          </w:p>
        </w:tc>
      </w:tr>
      <w:tr w:rsidR="001E3FA4">
        <w:trPr>
          <w:trHeight w:val="348"/>
          <w:jc w:val="center"/>
        </w:trPr>
        <w:tc>
          <w:tcPr>
            <w:tcW w:w="7500" w:type="dxa"/>
            <w:vAlign w:val="center"/>
          </w:tcPr>
          <w:p w:rsidR="001E3FA4" w:rsidRDefault="001E3FA4">
            <w:pPr>
              <w:ind w:right="-876"/>
              <w:jc w:val="both"/>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1E3FA4">
            <w:pPr>
              <w:ind w:right="-876"/>
              <w:jc w:val="center"/>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1E3FA4">
            <w:pPr>
              <w:ind w:right="-876"/>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0A4E9E">
            <w:pPr>
              <w:ind w:right="-876"/>
              <w:rPr>
                <w:rFonts w:ascii="Palatino Linotype" w:eastAsia="Palatino Linotype" w:hAnsi="Palatino Linotype" w:cs="Palatino Linotype"/>
                <w:i/>
                <w:iCs/>
              </w:rPr>
            </w:pPr>
            <w:r>
              <w:rPr>
                <w:rFonts w:ascii="Palatino Linotype" w:eastAsia="Palatino Linotype" w:hAnsi="Palatino Linotype" w:cs="Palatino Linotype"/>
                <w:i/>
                <w:iCs/>
              </w:rPr>
              <w:t>ATENTAMENTE</w:t>
            </w:r>
          </w:p>
        </w:tc>
      </w:tr>
      <w:tr w:rsidR="001E3FA4">
        <w:trPr>
          <w:trHeight w:val="209"/>
          <w:jc w:val="center"/>
        </w:trPr>
        <w:tc>
          <w:tcPr>
            <w:tcW w:w="7500" w:type="dxa"/>
            <w:vAlign w:val="center"/>
          </w:tcPr>
          <w:p w:rsidR="001E3FA4" w:rsidRDefault="001E3FA4">
            <w:pPr>
              <w:ind w:right="-876"/>
              <w:rPr>
                <w:rFonts w:ascii="Palatino Linotype" w:eastAsia="Palatino Linotype" w:hAnsi="Palatino Linotype" w:cs="Palatino Linotype"/>
                <w:i/>
                <w:iCs/>
              </w:rPr>
            </w:pPr>
          </w:p>
        </w:tc>
      </w:tr>
      <w:tr w:rsidR="001E3FA4">
        <w:trPr>
          <w:trHeight w:val="139"/>
          <w:jc w:val="center"/>
        </w:trPr>
        <w:tc>
          <w:tcPr>
            <w:tcW w:w="7500" w:type="dxa"/>
            <w:vAlign w:val="center"/>
          </w:tcPr>
          <w:p w:rsidR="001E3FA4" w:rsidRDefault="000A4E9E">
            <w:pPr>
              <w:ind w:right="-876"/>
              <w:rPr>
                <w:rFonts w:ascii="Palatino Linotype" w:eastAsia="Palatino Linotype" w:hAnsi="Palatino Linotype" w:cs="Palatino Linotype"/>
                <w:i/>
                <w:iCs/>
              </w:rPr>
            </w:pPr>
            <w:r>
              <w:rPr>
                <w:rFonts w:ascii="Palatino Linotype" w:eastAsia="Palatino Linotype" w:hAnsi="Palatino Linotype" w:cs="Palatino Linotype"/>
                <w:i/>
                <w:iCs/>
              </w:rPr>
              <w:t>Dr. Nahum Miguel Mendoza Morales”</w:t>
            </w:r>
          </w:p>
        </w:tc>
      </w:tr>
    </w:tbl>
    <w:p w:rsidR="001E3FA4" w:rsidRDefault="001E3FA4">
      <w:pPr>
        <w:spacing w:line="360" w:lineRule="auto"/>
        <w:ind w:right="-876"/>
        <w:jc w:val="both"/>
        <w:rPr>
          <w:rFonts w:ascii="Palatino Linotype" w:eastAsia="Palatino Linotype" w:hAnsi="Palatino Linotype" w:cs="Palatino Linotype"/>
        </w:rPr>
      </w:pPr>
    </w:p>
    <w:p w:rsidR="001E3FA4" w:rsidRDefault="000A4E9E">
      <w:pPr>
        <w:numPr>
          <w:ilvl w:val="0"/>
          <w:numId w:val="3"/>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 la respuesta, el Sujeto Obligado adjuntó los archivos que se describen enseguida:</w:t>
      </w:r>
    </w:p>
    <w:p w:rsidR="001E3FA4" w:rsidRDefault="001E3FA4">
      <w:pPr>
        <w:pBdr>
          <w:top w:val="nil"/>
          <w:left w:val="nil"/>
          <w:bottom w:val="nil"/>
          <w:right w:val="nil"/>
          <w:between w:val="nil"/>
        </w:pBdr>
        <w:spacing w:line="360" w:lineRule="auto"/>
        <w:ind w:left="720" w:right="-876"/>
        <w:jc w:val="both"/>
        <w:rPr>
          <w:rFonts w:ascii="Palatino Linotype" w:eastAsia="Palatino Linotype" w:hAnsi="Palatino Linotype" w:cs="Palatino Linotype"/>
        </w:rPr>
      </w:pP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8">
        <w:r w:rsidR="000A4E9E">
          <w:rPr>
            <w:rFonts w:ascii="Palatino Linotype" w:eastAsia="Palatino Linotype" w:hAnsi="Palatino Linotype" w:cs="Palatino Linotype"/>
            <w:b/>
            <w:bCs/>
            <w:color w:val="000000"/>
            <w:u w:val="single"/>
          </w:rPr>
          <w:t>Respuesta al folio 04913.pdf</w:t>
        </w:r>
      </w:hyperlink>
      <w:r w:rsidR="000A4E9E">
        <w:rPr>
          <w:rFonts w:ascii="Palatino Linotype" w:eastAsia="Palatino Linotype" w:hAnsi="Palatino Linotype" w:cs="Palatino Linotype"/>
          <w:color w:val="000000"/>
        </w:rPr>
        <w:t xml:space="preserve">: oficio de la Directora General en el que señaló que derivado de sus funciones no genera la información.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9">
        <w:r w:rsidR="000A4E9E">
          <w:rPr>
            <w:rFonts w:ascii="Palatino Linotype" w:eastAsia="Palatino Linotype" w:hAnsi="Palatino Linotype" w:cs="Palatino Linotype"/>
            <w:b/>
            <w:bCs/>
            <w:color w:val="000000"/>
            <w:u w:val="single"/>
          </w:rPr>
          <w:t>4913.pdf</w:t>
        </w:r>
      </w:hyperlink>
      <w:r w:rsidR="000A4E9E">
        <w:rPr>
          <w:rFonts w:ascii="Palatino Linotype" w:eastAsia="Palatino Linotype" w:hAnsi="Palatino Linotype" w:cs="Palatino Linotype"/>
          <w:color w:val="000000"/>
        </w:rPr>
        <w:t>: Oficio de la Síndica Municipal que señaló que en sus archivos no se encuentra la información solicitada.</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0">
        <w:r w:rsidR="000A4E9E">
          <w:rPr>
            <w:rFonts w:ascii="Palatino Linotype" w:eastAsia="Palatino Linotype" w:hAnsi="Palatino Linotype" w:cs="Palatino Linotype"/>
            <w:b/>
            <w:bCs/>
            <w:color w:val="000000"/>
            <w:u w:val="single"/>
          </w:rPr>
          <w:t>SOLICITUD 04913.pdf</w:t>
        </w:r>
      </w:hyperlink>
      <w:r w:rsidR="000A4E9E">
        <w:rPr>
          <w:rFonts w:ascii="Palatino Linotype" w:eastAsia="Palatino Linotype" w:hAnsi="Palatino Linotype" w:cs="Palatino Linotype"/>
          <w:color w:val="000000"/>
        </w:rPr>
        <w:t xml:space="preserve">: Oficio de la décima regidora en el que señaló que ella sí asistió a la inauguración.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1">
        <w:r w:rsidR="000A4E9E">
          <w:rPr>
            <w:rFonts w:ascii="Palatino Linotype" w:eastAsia="Palatino Linotype" w:hAnsi="Palatino Linotype" w:cs="Palatino Linotype"/>
            <w:b/>
            <w:bCs/>
            <w:color w:val="000000"/>
            <w:u w:val="single"/>
          </w:rPr>
          <w:t>4913.pdf</w:t>
        </w:r>
      </w:hyperlink>
      <w:r w:rsidR="000A4E9E">
        <w:rPr>
          <w:rFonts w:ascii="Palatino Linotype" w:eastAsia="Palatino Linotype" w:hAnsi="Palatino Linotype" w:cs="Palatino Linotype"/>
          <w:color w:val="000000"/>
        </w:rPr>
        <w:t>: oficio del Tesorero Municipal, quien informó que no cuenta de la información solicitada, debido a que no forma parte de sus atribuciones:</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2">
        <w:r w:rsidR="000A4E9E">
          <w:rPr>
            <w:rFonts w:ascii="Palatino Linotype" w:eastAsia="Palatino Linotype" w:hAnsi="Palatino Linotype" w:cs="Palatino Linotype"/>
            <w:b/>
            <w:bCs/>
            <w:color w:val="000000"/>
            <w:u w:val="single"/>
          </w:rPr>
          <w:t>04913-TOLUCA-IP-2025.pdf</w:t>
        </w:r>
      </w:hyperlink>
      <w:r w:rsidR="000A4E9E">
        <w:rPr>
          <w:rFonts w:ascii="Palatino Linotype" w:eastAsia="Palatino Linotype" w:hAnsi="Palatino Linotype" w:cs="Palatino Linotype"/>
          <w:color w:val="000000"/>
        </w:rPr>
        <w:t xml:space="preserve">: oficio de la novena regidora, quien señaló no cuenta con la información requerida, por no ser parte de sus atribuciones.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3">
        <w:r w:rsidR="000A4E9E">
          <w:rPr>
            <w:rFonts w:ascii="Palatino Linotype" w:eastAsia="Palatino Linotype" w:hAnsi="Palatino Linotype" w:cs="Palatino Linotype"/>
            <w:b/>
            <w:bCs/>
            <w:color w:val="000000"/>
            <w:u w:val="single"/>
          </w:rPr>
          <w:t>NOTIF. CIUDADANO S. 4913.pdf</w:t>
        </w:r>
      </w:hyperlink>
      <w:r w:rsidR="000A4E9E">
        <w:rPr>
          <w:rFonts w:ascii="Palatino Linotype" w:eastAsia="Palatino Linotype" w:hAnsi="Palatino Linotype" w:cs="Palatino Linotype"/>
          <w:color w:val="000000"/>
        </w:rPr>
        <w:t xml:space="preserve">: oficio de la Directora General de Administración, quien señaló que se remite respuesta de la Dirección de Recursos Humanos; oficio de la Directora de Recursos Humanos, quien señaló que no se encontró registro del personal que participó en la inauguración.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4">
        <w:r w:rsidR="000A4E9E">
          <w:rPr>
            <w:rFonts w:ascii="Palatino Linotype" w:eastAsia="Palatino Linotype" w:hAnsi="Palatino Linotype" w:cs="Palatino Linotype"/>
            <w:b/>
            <w:bCs/>
            <w:color w:val="000000"/>
            <w:u w:val="single"/>
          </w:rPr>
          <w:t>RESPUESTA SAIMEX 4943-2025.pdf</w:t>
        </w:r>
      </w:hyperlink>
      <w:r w:rsidR="000A4E9E">
        <w:rPr>
          <w:rFonts w:ascii="Palatino Linotype" w:eastAsia="Palatino Linotype" w:hAnsi="Palatino Linotype" w:cs="Palatino Linotype"/>
          <w:color w:val="000000"/>
        </w:rPr>
        <w:t xml:space="preserve">: oficio del Director General de </w:t>
      </w:r>
      <w:r w:rsidR="000A4E9E">
        <w:rPr>
          <w:rFonts w:ascii="Palatino Linotype" w:eastAsia="Palatino Linotype" w:hAnsi="Palatino Linotype" w:cs="Palatino Linotype"/>
        </w:rPr>
        <w:t>Innovación</w:t>
      </w:r>
      <w:r w:rsidR="000A4E9E">
        <w:rPr>
          <w:rFonts w:ascii="Palatino Linotype" w:eastAsia="Palatino Linotype" w:hAnsi="Palatino Linotype" w:cs="Palatino Linotype"/>
          <w:color w:val="000000"/>
        </w:rPr>
        <w:t>, Planeación y Gestión Urbana, quien señaló que no encontró documento con la información solicitada.</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5">
        <w:r w:rsidR="000A4E9E">
          <w:rPr>
            <w:rFonts w:ascii="Palatino Linotype" w:eastAsia="Palatino Linotype" w:hAnsi="Palatino Linotype" w:cs="Palatino Linotype"/>
            <w:b/>
            <w:bCs/>
            <w:color w:val="000000"/>
            <w:u w:val="single"/>
          </w:rPr>
          <w:t>saimex.04913.pdf</w:t>
        </w:r>
      </w:hyperlink>
      <w:r w:rsidR="000A4E9E">
        <w:rPr>
          <w:rFonts w:ascii="Palatino Linotype" w:eastAsia="Palatino Linotype" w:hAnsi="Palatino Linotype" w:cs="Palatino Linotype"/>
          <w:color w:val="000000"/>
        </w:rPr>
        <w:t xml:space="preserve">: oficio de la Séptima Regidora quien señaló quien señaló que asistió a la inauguración de la feria del alfeñique.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6">
        <w:r w:rsidR="000A4E9E">
          <w:rPr>
            <w:rFonts w:ascii="Palatino Linotype" w:eastAsia="Palatino Linotype" w:hAnsi="Palatino Linotype" w:cs="Palatino Linotype"/>
            <w:b/>
            <w:bCs/>
            <w:color w:val="000000"/>
            <w:u w:val="single"/>
          </w:rPr>
          <w:t>4913.pdf</w:t>
        </w:r>
      </w:hyperlink>
      <w:r w:rsidR="000A4E9E">
        <w:rPr>
          <w:rFonts w:ascii="Palatino Linotype" w:eastAsia="Palatino Linotype" w:hAnsi="Palatino Linotype" w:cs="Palatino Linotype"/>
          <w:color w:val="000000"/>
        </w:rPr>
        <w:t xml:space="preserve">: oficio del Coordinador General, quien señaló que no cuenta con la información solicitada por no ser parte de sus atribuciones.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7">
        <w:r w:rsidR="000A4E9E">
          <w:rPr>
            <w:rFonts w:ascii="Palatino Linotype" w:eastAsia="Palatino Linotype" w:hAnsi="Palatino Linotype" w:cs="Palatino Linotype"/>
            <w:b/>
            <w:bCs/>
            <w:color w:val="000000"/>
            <w:u w:val="single"/>
          </w:rPr>
          <w:t>04913.pdf</w:t>
        </w:r>
      </w:hyperlink>
      <w:r w:rsidR="000A4E9E">
        <w:rPr>
          <w:rFonts w:ascii="Palatino Linotype" w:eastAsia="Palatino Linotype" w:hAnsi="Palatino Linotype" w:cs="Palatino Linotype"/>
          <w:color w:val="000000"/>
        </w:rPr>
        <w:t xml:space="preserve">.: oficio del Segundo Síndico, quien </w:t>
      </w:r>
      <w:r w:rsidR="000A4E9E">
        <w:rPr>
          <w:rFonts w:ascii="Palatino Linotype" w:eastAsia="Palatino Linotype" w:hAnsi="Palatino Linotype" w:cs="Palatino Linotype"/>
        </w:rPr>
        <w:t>señaló</w:t>
      </w:r>
      <w:r w:rsidR="000A4E9E">
        <w:rPr>
          <w:rFonts w:ascii="Palatino Linotype" w:eastAsia="Palatino Linotype" w:hAnsi="Palatino Linotype" w:cs="Palatino Linotype"/>
          <w:color w:val="000000"/>
        </w:rPr>
        <w:t xml:space="preserve"> que no posee la información por no ser parte de sus atribuciones.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8">
        <w:r w:rsidR="000A4E9E">
          <w:rPr>
            <w:rFonts w:ascii="Palatino Linotype" w:eastAsia="Palatino Linotype" w:hAnsi="Palatino Linotype" w:cs="Palatino Linotype"/>
            <w:b/>
            <w:bCs/>
            <w:color w:val="000000"/>
            <w:u w:val="single"/>
          </w:rPr>
          <w:t>Folio 4913.pdf</w:t>
        </w:r>
      </w:hyperlink>
      <w:r w:rsidR="000A4E9E">
        <w:rPr>
          <w:rFonts w:ascii="Palatino Linotype" w:eastAsia="Palatino Linotype" w:hAnsi="Palatino Linotype" w:cs="Palatino Linotype"/>
          <w:color w:val="000000"/>
        </w:rPr>
        <w:t xml:space="preserve">: oficio de la Décima Segunda Regidora, quien señaló que </w:t>
      </w:r>
      <w:r w:rsidR="000A4E9E">
        <w:rPr>
          <w:rFonts w:ascii="Palatino Linotype" w:eastAsia="Palatino Linotype" w:hAnsi="Palatino Linotype" w:cs="Palatino Linotype"/>
        </w:rPr>
        <w:t>asistió a la inauguración</w:t>
      </w:r>
      <w:r w:rsidR="000A4E9E">
        <w:rPr>
          <w:rFonts w:ascii="Palatino Linotype" w:eastAsia="Palatino Linotype" w:hAnsi="Palatino Linotype" w:cs="Palatino Linotype"/>
          <w:color w:val="000000"/>
        </w:rPr>
        <w:t xml:space="preserve">.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19">
        <w:r w:rsidR="000A4E9E">
          <w:rPr>
            <w:rFonts w:ascii="Palatino Linotype" w:eastAsia="Palatino Linotype" w:hAnsi="Palatino Linotype" w:cs="Palatino Linotype"/>
            <w:b/>
            <w:bCs/>
            <w:color w:val="000000"/>
            <w:u w:val="single"/>
          </w:rPr>
          <w:t>Respuesta Saimex 04913.pdf</w:t>
        </w:r>
      </w:hyperlink>
      <w:r w:rsidR="000A4E9E">
        <w:rPr>
          <w:rFonts w:ascii="Palatino Linotype" w:eastAsia="Palatino Linotype" w:hAnsi="Palatino Linotype" w:cs="Palatino Linotype"/>
          <w:color w:val="000000"/>
        </w:rPr>
        <w:t xml:space="preserve">: oficio del Director General de Obras Pública, quien señaló que no localizó la información solicitada por no generarla ni administrarla.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0">
        <w:r w:rsidR="000A4E9E">
          <w:rPr>
            <w:rFonts w:ascii="Palatino Linotype" w:eastAsia="Palatino Linotype" w:hAnsi="Palatino Linotype" w:cs="Palatino Linotype"/>
            <w:b/>
            <w:bCs/>
            <w:color w:val="000000"/>
            <w:u w:val="single"/>
          </w:rPr>
          <w:t>Respsol</w:t>
        </w:r>
      </w:hyperlink>
      <w:hyperlink r:id="rId21">
        <w:r w:rsidR="000A4E9E">
          <w:rPr>
            <w:rFonts w:ascii="Palatino Linotype" w:eastAsia="Palatino Linotype" w:hAnsi="Palatino Linotype" w:cs="Palatino Linotype"/>
            <w:b/>
            <w:bCs/>
            <w:color w:val="000000"/>
            <w:u w:val="single"/>
          </w:rPr>
          <w:t xml:space="preserve"> 4913-2025.pdf</w:t>
        </w:r>
      </w:hyperlink>
      <w:r w:rsidR="000A4E9E">
        <w:rPr>
          <w:rFonts w:ascii="Palatino Linotype" w:eastAsia="Palatino Linotype" w:hAnsi="Palatino Linotype" w:cs="Palatino Linotype"/>
          <w:color w:val="000000"/>
        </w:rPr>
        <w:t xml:space="preserve"> y </w:t>
      </w:r>
      <w:hyperlink r:id="rId22">
        <w:r w:rsidR="000A4E9E">
          <w:rPr>
            <w:rFonts w:ascii="Palatino Linotype" w:eastAsia="Palatino Linotype" w:hAnsi="Palatino Linotype" w:cs="Palatino Linotype"/>
            <w:b/>
            <w:bCs/>
            <w:color w:val="000000"/>
            <w:u w:val="single"/>
          </w:rPr>
          <w:t>Respsol</w:t>
        </w:r>
      </w:hyperlink>
      <w:hyperlink r:id="rId23">
        <w:r w:rsidR="000A4E9E">
          <w:rPr>
            <w:rFonts w:ascii="Palatino Linotype" w:eastAsia="Palatino Linotype" w:hAnsi="Palatino Linotype" w:cs="Palatino Linotype"/>
            <w:b/>
            <w:bCs/>
            <w:color w:val="000000"/>
            <w:u w:val="single"/>
          </w:rPr>
          <w:t xml:space="preserve"> 4913-2025.pdf</w:t>
        </w:r>
      </w:hyperlink>
      <w:r w:rsidR="000A4E9E">
        <w:rPr>
          <w:rFonts w:ascii="Palatino Linotype" w:eastAsia="Palatino Linotype" w:hAnsi="Palatino Linotype" w:cs="Palatino Linotype"/>
          <w:color w:val="000000"/>
        </w:rPr>
        <w:t>: oficio del Instituto Municipal de la Mujer, quien señaló que no tiene injerencia en la inauguración.</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4">
        <w:r w:rsidR="000A4E9E">
          <w:rPr>
            <w:rFonts w:ascii="Palatino Linotype" w:eastAsia="Palatino Linotype" w:hAnsi="Palatino Linotype" w:cs="Palatino Linotype"/>
            <w:b/>
            <w:bCs/>
            <w:color w:val="000000"/>
            <w:u w:val="single"/>
          </w:rPr>
          <w:t>SOLICITUD 04913.pdf</w:t>
        </w:r>
      </w:hyperlink>
      <w:r w:rsidR="000A4E9E">
        <w:rPr>
          <w:rFonts w:ascii="Palatino Linotype" w:eastAsia="Palatino Linotype" w:hAnsi="Palatino Linotype" w:cs="Palatino Linotype"/>
          <w:color w:val="000000"/>
        </w:rPr>
        <w:t xml:space="preserve">: oficio de la Sexta Regidora quien </w:t>
      </w:r>
      <w:r w:rsidR="000A4E9E">
        <w:rPr>
          <w:rFonts w:ascii="Palatino Linotype" w:eastAsia="Palatino Linotype" w:hAnsi="Palatino Linotype" w:cs="Palatino Linotype"/>
        </w:rPr>
        <w:t>señaló que no genera</w:t>
      </w:r>
      <w:r w:rsidR="000A4E9E">
        <w:rPr>
          <w:rFonts w:ascii="Palatino Linotype" w:eastAsia="Palatino Linotype" w:hAnsi="Palatino Linotype" w:cs="Palatino Linotype"/>
          <w:color w:val="000000"/>
        </w:rPr>
        <w:t xml:space="preserve"> dicha información al no ser de su competencia.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5">
        <w:r w:rsidR="000A4E9E">
          <w:rPr>
            <w:rFonts w:ascii="Palatino Linotype" w:eastAsia="Palatino Linotype" w:hAnsi="Palatino Linotype" w:cs="Palatino Linotype"/>
            <w:b/>
            <w:bCs/>
            <w:color w:val="000000"/>
            <w:u w:val="single"/>
          </w:rPr>
          <w:t>SAIMEX 04913.pdf</w:t>
        </w:r>
      </w:hyperlink>
      <w:r w:rsidR="000A4E9E">
        <w:rPr>
          <w:rFonts w:ascii="Palatino Linotype" w:eastAsia="Palatino Linotype" w:hAnsi="Palatino Linotype" w:cs="Palatino Linotype"/>
          <w:color w:val="000000"/>
        </w:rPr>
        <w:t xml:space="preserve">: oficio del Director Operativo quien señaló que no posee la información solicitada; oficio del Director de Inteligencia quien señaló que el acudió a </w:t>
      </w:r>
      <w:r w:rsidR="000A4E9E">
        <w:rPr>
          <w:rFonts w:ascii="Palatino Linotype" w:eastAsia="Palatino Linotype" w:hAnsi="Palatino Linotype" w:cs="Palatino Linotype"/>
          <w:color w:val="000000"/>
        </w:rPr>
        <w:lastRenderedPageBreak/>
        <w:t xml:space="preserve">dicha inauguración; y oficio del Director de Sustentabilidad quien señaló no cuenta con la información solicitada por no ser parte de sus atribuciones.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6">
        <w:r w:rsidR="000A4E9E">
          <w:rPr>
            <w:rFonts w:ascii="Palatino Linotype" w:eastAsia="Palatino Linotype" w:hAnsi="Palatino Linotype" w:cs="Palatino Linotype"/>
            <w:b/>
            <w:bCs/>
            <w:color w:val="000000"/>
            <w:u w:val="single"/>
          </w:rPr>
          <w:t>4913.pdf</w:t>
        </w:r>
      </w:hyperlink>
      <w:r w:rsidR="000A4E9E">
        <w:rPr>
          <w:rFonts w:ascii="Palatino Linotype" w:eastAsia="Palatino Linotype" w:hAnsi="Palatino Linotype" w:cs="Palatino Linotype"/>
          <w:color w:val="000000"/>
        </w:rPr>
        <w:t xml:space="preserve">: oficio del Quinto Regidor quien señaló que no cuenta con la información solicitada.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7">
        <w:r w:rsidR="000A4E9E">
          <w:rPr>
            <w:rFonts w:ascii="Palatino Linotype" w:eastAsia="Palatino Linotype" w:hAnsi="Palatino Linotype" w:cs="Palatino Linotype"/>
            <w:b/>
            <w:bCs/>
            <w:color w:val="000000"/>
            <w:u w:val="single"/>
          </w:rPr>
          <w:t>Oficio_502</w:t>
        </w:r>
      </w:hyperlink>
      <w:hyperlink r:id="rId28">
        <w:r w:rsidR="000A4E9E">
          <w:rPr>
            <w:rFonts w:ascii="Palatino Linotype" w:eastAsia="Palatino Linotype" w:hAnsi="Palatino Linotype" w:cs="Palatino Linotype"/>
            <w:b/>
            <w:bCs/>
            <w:color w:val="000000"/>
            <w:u w:val="single"/>
          </w:rPr>
          <w:t xml:space="preserve"> - SAIMEX 04913.pdf</w:t>
        </w:r>
      </w:hyperlink>
      <w:r w:rsidR="000A4E9E">
        <w:rPr>
          <w:rFonts w:ascii="Palatino Linotype" w:eastAsia="Palatino Linotype" w:hAnsi="Palatino Linotype" w:cs="Palatino Linotype"/>
          <w:color w:val="000000"/>
        </w:rPr>
        <w:t xml:space="preserve">: oficio del Secretario Técnico quien señaló que derivado de búsqueda no localizó la información solicitada.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29">
        <w:r w:rsidR="000A4E9E">
          <w:rPr>
            <w:rFonts w:ascii="Palatino Linotype" w:eastAsia="Palatino Linotype" w:hAnsi="Palatino Linotype" w:cs="Palatino Linotype"/>
            <w:b/>
            <w:bCs/>
            <w:color w:val="000000"/>
            <w:u w:val="single"/>
          </w:rPr>
          <w:t>func. UIPPE.pdf</w:t>
        </w:r>
      </w:hyperlink>
      <w:r w:rsidR="000A4E9E">
        <w:rPr>
          <w:rFonts w:ascii="Palatino Linotype" w:eastAsia="Palatino Linotype" w:hAnsi="Palatino Linotype" w:cs="Palatino Linotype"/>
          <w:color w:val="000000"/>
        </w:rPr>
        <w:t>: documento con el objetivo y funciones de la Unidad de Información, Planeación, Programación y Evaluación.</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0">
        <w:r w:rsidR="000A4E9E">
          <w:rPr>
            <w:rFonts w:ascii="Palatino Linotype" w:eastAsia="Palatino Linotype" w:hAnsi="Palatino Linotype" w:cs="Palatino Linotype"/>
            <w:b/>
            <w:bCs/>
            <w:color w:val="000000"/>
            <w:u w:val="single"/>
          </w:rPr>
          <w:t>2025-OFI-3611-SMX-4913.pdf</w:t>
        </w:r>
      </w:hyperlink>
      <w:r w:rsidR="000A4E9E">
        <w:rPr>
          <w:rFonts w:ascii="Palatino Linotype" w:eastAsia="Palatino Linotype" w:hAnsi="Palatino Linotype" w:cs="Palatino Linotype"/>
          <w:color w:val="000000"/>
        </w:rPr>
        <w:t xml:space="preserve">: oficio del Titular del Órgano Interno de Control quien señaló que no se encontró lo solicitado, por no generar, poseer o administrar la información solicitada.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1">
        <w:r w:rsidR="000A4E9E">
          <w:rPr>
            <w:rFonts w:ascii="Palatino Linotype" w:eastAsia="Palatino Linotype" w:hAnsi="Palatino Linotype" w:cs="Palatino Linotype"/>
            <w:b/>
            <w:bCs/>
            <w:color w:val="000000"/>
            <w:u w:val="single"/>
          </w:rPr>
          <w:t>1539-2025.pdf</w:t>
        </w:r>
      </w:hyperlink>
      <w:r w:rsidR="000A4E9E">
        <w:rPr>
          <w:rFonts w:ascii="Palatino Linotype" w:eastAsia="Palatino Linotype" w:hAnsi="Palatino Linotype" w:cs="Palatino Linotype"/>
          <w:color w:val="000000"/>
        </w:rPr>
        <w:t xml:space="preserve">: oficio de la Unidad de Asuntos Internos, quien señaló que no cuenta con la información.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2">
        <w:r w:rsidR="000A4E9E">
          <w:rPr>
            <w:rFonts w:ascii="Palatino Linotype" w:eastAsia="Palatino Linotype" w:hAnsi="Palatino Linotype" w:cs="Palatino Linotype"/>
            <w:b/>
            <w:bCs/>
            <w:color w:val="000000"/>
            <w:u w:val="single"/>
          </w:rPr>
          <w:t>4913_2.pdf</w:t>
        </w:r>
      </w:hyperlink>
      <w:r w:rsidR="000A4E9E">
        <w:rPr>
          <w:rFonts w:ascii="Palatino Linotype" w:eastAsia="Palatino Linotype" w:hAnsi="Palatino Linotype" w:cs="Palatino Linotype"/>
          <w:color w:val="000000"/>
        </w:rPr>
        <w:t xml:space="preserve"> y </w:t>
      </w:r>
      <w:hyperlink r:id="rId33">
        <w:r w:rsidR="000A4E9E">
          <w:rPr>
            <w:rFonts w:ascii="Palatino Linotype" w:eastAsia="Palatino Linotype" w:hAnsi="Palatino Linotype" w:cs="Palatino Linotype"/>
            <w:b/>
            <w:bCs/>
            <w:color w:val="000000"/>
            <w:u w:val="single"/>
          </w:rPr>
          <w:t>solicitud 4913.pdf</w:t>
        </w:r>
      </w:hyperlink>
      <w:r w:rsidR="000A4E9E">
        <w:rPr>
          <w:rFonts w:ascii="Palatino Linotype" w:eastAsia="Palatino Linotype" w:hAnsi="Palatino Linotype" w:cs="Palatino Linotype"/>
          <w:color w:val="000000"/>
        </w:rPr>
        <w:t xml:space="preserve">: oficio de la Directora General de Educación, Cultura y Turismo, quien señaló que las personas que participaron en la inauguración de la Feria del Alfeñique pertenecen al H. Ayuntamiento de Toluca, integrado por el Cabildo y Gabinete Municipal, por lo que sus nombres y dependencias pueden ser consultados de manera pública en el Directorio Municipal.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4">
        <w:r w:rsidR="000A4E9E">
          <w:rPr>
            <w:rFonts w:ascii="Palatino Linotype" w:eastAsia="Palatino Linotype" w:hAnsi="Palatino Linotype" w:cs="Palatino Linotype"/>
            <w:b/>
            <w:bCs/>
            <w:color w:val="000000"/>
            <w:u w:val="single"/>
          </w:rPr>
          <w:t>SAIMEX 4913.pdf</w:t>
        </w:r>
      </w:hyperlink>
      <w:r w:rsidR="000A4E9E">
        <w:rPr>
          <w:rFonts w:ascii="Palatino Linotype" w:eastAsia="Palatino Linotype" w:hAnsi="Palatino Linotype" w:cs="Palatino Linotype"/>
          <w:color w:val="000000"/>
        </w:rPr>
        <w:t xml:space="preserve">. Oficio del Director General de Servicios Públicos, quien señaló que no tiene atribuciones para dar respuesta a la solicitud.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5">
        <w:r w:rsidR="000A4E9E">
          <w:rPr>
            <w:rFonts w:ascii="Palatino Linotype" w:eastAsia="Palatino Linotype" w:hAnsi="Palatino Linotype" w:cs="Palatino Linotype"/>
            <w:b/>
            <w:bCs/>
            <w:color w:val="000000"/>
            <w:u w:val="single"/>
          </w:rPr>
          <w:t>RESPUESTA_SAIMEX_04913_TOLUCA_IP_2025.pdf</w:t>
        </w:r>
      </w:hyperlink>
      <w:r w:rsidR="000A4E9E">
        <w:rPr>
          <w:rFonts w:ascii="Palatino Linotype" w:eastAsia="Palatino Linotype" w:hAnsi="Palatino Linotype" w:cs="Palatino Linotype"/>
          <w:color w:val="000000"/>
        </w:rPr>
        <w:t xml:space="preserve">: oficio de la Directora General del Medio Ambiente, quien señaló que no genera la información; oficio del Coordinador de Apoyo Técnico de la Dirección General de Medio Ambiente quien señaló que el evento fue presidido por el Presidente Municipal, que fue abierto al público y no acudió personal de su área.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6">
        <w:r w:rsidR="000A4E9E">
          <w:rPr>
            <w:rFonts w:ascii="Palatino Linotype" w:eastAsia="Palatino Linotype" w:hAnsi="Palatino Linotype" w:cs="Palatino Linotype"/>
            <w:b/>
            <w:bCs/>
            <w:color w:val="000000"/>
            <w:u w:val="single"/>
          </w:rPr>
          <w:t>4REG-TOL-0625-2025.pdf</w:t>
        </w:r>
      </w:hyperlink>
      <w:r w:rsidR="000A4E9E">
        <w:rPr>
          <w:rFonts w:ascii="Palatino Linotype" w:eastAsia="Palatino Linotype" w:hAnsi="Palatino Linotype" w:cs="Palatino Linotype"/>
          <w:color w:val="000000"/>
        </w:rPr>
        <w:t xml:space="preserve">: oficio </w:t>
      </w:r>
      <w:r w:rsidR="000A4E9E">
        <w:rPr>
          <w:rFonts w:ascii="Palatino Linotype" w:eastAsia="Palatino Linotype" w:hAnsi="Palatino Linotype" w:cs="Palatino Linotype"/>
        </w:rPr>
        <w:t>de la</w:t>
      </w:r>
      <w:r w:rsidR="000A4E9E">
        <w:rPr>
          <w:rFonts w:ascii="Palatino Linotype" w:eastAsia="Palatino Linotype" w:hAnsi="Palatino Linotype" w:cs="Palatino Linotype"/>
          <w:color w:val="000000"/>
        </w:rPr>
        <w:t xml:space="preserve"> Cuarta Regidora quien señaló que la información solicitada no forma parte de sus funciones.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7">
        <w:r w:rsidR="000A4E9E">
          <w:rPr>
            <w:rFonts w:ascii="Palatino Linotype" w:eastAsia="Palatino Linotype" w:hAnsi="Palatino Linotype" w:cs="Palatino Linotype"/>
            <w:b/>
            <w:bCs/>
            <w:color w:val="000000"/>
            <w:u w:val="single"/>
          </w:rPr>
          <w:t>Respuesta solicitud 04913-TOLUCA-IP-2025.pdf</w:t>
        </w:r>
      </w:hyperlink>
      <w:r w:rsidR="000A4E9E">
        <w:rPr>
          <w:rFonts w:ascii="Palatino Linotype" w:eastAsia="Palatino Linotype" w:hAnsi="Palatino Linotype" w:cs="Palatino Linotype"/>
          <w:color w:val="000000"/>
        </w:rPr>
        <w:t xml:space="preserve">: oficio del Defensor Municipal, quien señaló que no se localizó la información solicitada.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8">
        <w:r w:rsidR="000A4E9E">
          <w:rPr>
            <w:rFonts w:ascii="Palatino Linotype" w:eastAsia="Palatino Linotype" w:hAnsi="Palatino Linotype" w:cs="Palatino Linotype"/>
            <w:b/>
            <w:bCs/>
            <w:color w:val="000000"/>
            <w:u w:val="single"/>
          </w:rPr>
          <w:t>RESPUESTA SAIMEX 4913.pdf</w:t>
        </w:r>
      </w:hyperlink>
      <w:r w:rsidR="000A4E9E">
        <w:rPr>
          <w:rFonts w:ascii="Palatino Linotype" w:eastAsia="Palatino Linotype" w:hAnsi="Palatino Linotype" w:cs="Palatino Linotype"/>
          <w:color w:val="000000"/>
        </w:rPr>
        <w:t xml:space="preserve">: oficio del Director General quien señaló que no genera, administra o posee la información.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39">
        <w:r w:rsidR="000A4E9E">
          <w:rPr>
            <w:rFonts w:ascii="Palatino Linotype" w:eastAsia="Palatino Linotype" w:hAnsi="Palatino Linotype" w:cs="Palatino Linotype"/>
            <w:b/>
            <w:bCs/>
            <w:color w:val="000000"/>
            <w:u w:val="single"/>
          </w:rPr>
          <w:t>Of3623_Sol4913.pdf</w:t>
        </w:r>
      </w:hyperlink>
      <w:r w:rsidR="000A4E9E">
        <w:rPr>
          <w:rFonts w:ascii="Palatino Linotype" w:eastAsia="Palatino Linotype" w:hAnsi="Palatino Linotype" w:cs="Palatino Linotype"/>
          <w:color w:val="000000"/>
        </w:rPr>
        <w:t xml:space="preserve">: oficio del Secretario Particular de la Presidencia, quien señaló que se anexa la información. Anexo en el que se advierte el nombre del Presidente Municipal de Toluca y de la Presidenta Honoraría del DIF. </w:t>
      </w:r>
    </w:p>
    <w:p w:rsidR="001E3FA4" w:rsidRDefault="00B828D2">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0">
        <w:r w:rsidR="000A4E9E">
          <w:rPr>
            <w:rFonts w:ascii="Palatino Linotype" w:eastAsia="Palatino Linotype" w:hAnsi="Palatino Linotype" w:cs="Palatino Linotype"/>
            <w:b/>
            <w:bCs/>
            <w:color w:val="000000"/>
            <w:u w:val="single"/>
          </w:rPr>
          <w:t>r. 04913. 2025.pdf</w:t>
        </w:r>
      </w:hyperlink>
      <w:r w:rsidR="000A4E9E">
        <w:rPr>
          <w:rFonts w:ascii="Palatino Linotype" w:eastAsia="Palatino Linotype" w:hAnsi="Palatino Linotype" w:cs="Palatino Linotype"/>
          <w:color w:val="000000"/>
        </w:rPr>
        <w:t xml:space="preserve">: Oficio del Titular de la Unidad de Transparencia quien señaló la respuesta de la Secretaría del Ayuntamiento, la Dirección General de Gobierno, Unidad de Información, Planeación Programación y Evaluación, Unidad de Transparencia y Primera Regiduría, quienes señalaron que no es parte de sus atribuciones generar la información solicitada. </w:t>
      </w:r>
    </w:p>
    <w:p w:rsidR="001E3FA4" w:rsidRDefault="001E3FA4">
      <w:pPr>
        <w:pBdr>
          <w:top w:val="nil"/>
          <w:left w:val="nil"/>
          <w:bottom w:val="nil"/>
          <w:right w:val="nil"/>
          <w:between w:val="nil"/>
        </w:pBdr>
        <w:spacing w:line="360" w:lineRule="auto"/>
        <w:ind w:left="720"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octubre de dos mil veinticinco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interpuso el recurso de revisión, en contra de la respuesta, señalando como:</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1"/>
        </w:numPr>
        <w:spacing w:line="360" w:lineRule="auto"/>
        <w:ind w:left="851"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“La unidad de transparencia negando la información con su estrategia que ya se va el infoem ya no entrega nada eso dicen se solicita se cumpla el derecho de información y que se vea que no es cierto que dicen tiene trato con los del infoem y no les ordena entregar" (Sic)</w:t>
      </w:r>
    </w:p>
    <w:p w:rsidR="001E3FA4" w:rsidRDefault="001E3FA4">
      <w:pPr>
        <w:spacing w:line="360" w:lineRule="auto"/>
        <w:ind w:left="851" w:right="-876"/>
        <w:jc w:val="both"/>
        <w:rPr>
          <w:rFonts w:ascii="Palatino Linotype" w:eastAsia="Palatino Linotype" w:hAnsi="Palatino Linotype" w:cs="Palatino Linotype"/>
        </w:rPr>
      </w:pPr>
    </w:p>
    <w:p w:rsidR="001E3FA4" w:rsidRDefault="000A4E9E">
      <w:pPr>
        <w:numPr>
          <w:ilvl w:val="0"/>
          <w:numId w:val="1"/>
        </w:numPr>
        <w:spacing w:line="360" w:lineRule="auto"/>
        <w:ind w:left="851"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 xml:space="preserve">Razones o Motivos de inconformidad: </w:t>
      </w:r>
      <w:r>
        <w:rPr>
          <w:rFonts w:ascii="Palatino Linotype" w:eastAsia="Palatino Linotype" w:hAnsi="Palatino Linotype" w:cs="Palatino Linotype"/>
          <w:i/>
          <w:iCs/>
        </w:rPr>
        <w:t xml:space="preserve">"La unidad de transparencia negando la información con su estrategia que ya se va el infoem ya no entrega nada eso dicen se solicita se </w:t>
      </w:r>
      <w:r>
        <w:rPr>
          <w:rFonts w:ascii="Palatino Linotype" w:eastAsia="Palatino Linotype" w:hAnsi="Palatino Linotype" w:cs="Palatino Linotype"/>
          <w:i/>
          <w:iCs/>
        </w:rPr>
        <w:lastRenderedPageBreak/>
        <w:t>cumpla el derecho de información y que se vea que no es cierto que dicen tiene trato con los del infoem y no les ordena entregar" (Sic)</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rPr>
        <w:t>turna</w:t>
      </w:r>
      <w:r>
        <w:rPr>
          <w:rFonts w:ascii="Palatino Linotype" w:eastAsia="Palatino Linotype" w:hAnsi="Palatino Linotype" w:cs="Palatino Linotype"/>
          <w:color w:val="000000"/>
        </w:rPr>
        <w:t xml:space="preserve"> a la </w:t>
      </w:r>
      <w:r>
        <w:rPr>
          <w:rFonts w:ascii="Palatino Linotype" w:eastAsia="Palatino Linotype" w:hAnsi="Palatino Linotype" w:cs="Palatino Linotype"/>
          <w:b/>
          <w:bCs/>
          <w:color w:val="000000"/>
        </w:rPr>
        <w:t xml:space="preserve">Comisionada María del Rosario Mejía Ayala, </w:t>
      </w:r>
      <w:r>
        <w:rPr>
          <w:rFonts w:ascii="Palatino Linotype" w:eastAsia="Palatino Linotype" w:hAnsi="Palatino Linotype" w:cs="Palatino Linotype"/>
        </w:rPr>
        <w:t xml:space="preserve">para </w:t>
      </w:r>
      <w:r>
        <w:rPr>
          <w:rFonts w:ascii="Palatino Linotype" w:eastAsia="Palatino Linotype" w:hAnsi="Palatino Linotype" w:cs="Palatino Linotype"/>
          <w:color w:val="000000"/>
        </w:rPr>
        <w:t xml:space="preserve">su análisis. </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Comisionad</w:t>
      </w:r>
      <w:r>
        <w:rPr>
          <w:rFonts w:ascii="Palatino Linotype" w:eastAsia="Palatino Linotype" w:hAnsi="Palatino Linotype" w:cs="Palatino Linotype"/>
        </w:rPr>
        <w: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w:t>
      </w:r>
      <w:r>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treinta de octubre de dos mil veinticinco</w:t>
      </w:r>
      <w:r>
        <w:rPr>
          <w:rFonts w:ascii="Palatino Linotype" w:eastAsia="Palatino Linotype" w:hAnsi="Palatino Linotype" w:cs="Palatino Linotype"/>
          <w:color w:val="000000"/>
        </w:rPr>
        <w:t xml:space="preserve">, puso a disposición de las partes el expediente electrónico vía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 </w:t>
      </w:r>
    </w:p>
    <w:p w:rsidR="001E3FA4" w:rsidRDefault="001E3FA4">
      <w:pPr>
        <w:pBdr>
          <w:top w:val="nil"/>
          <w:left w:val="nil"/>
          <w:bottom w:val="nil"/>
          <w:right w:val="nil"/>
          <w:between w:val="nil"/>
        </w:pBdr>
        <w:ind w:left="720"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por su parte, el Sujeto Obligado entregó informe justificado el </w:t>
      </w:r>
      <w:r>
        <w:rPr>
          <w:rFonts w:ascii="Palatino Linotype" w:eastAsia="Palatino Linotype" w:hAnsi="Palatino Linotype" w:cs="Palatino Linotype"/>
          <w:b/>
          <w:bCs/>
          <w:color w:val="000000"/>
        </w:rPr>
        <w:t>siete, once, trece, catorce y dieciocho de noviembre de dos mil veinticinco</w:t>
      </w:r>
      <w:r>
        <w:rPr>
          <w:rFonts w:ascii="Palatino Linotype" w:eastAsia="Palatino Linotype" w:hAnsi="Palatino Linotype" w:cs="Palatino Linotype"/>
          <w:color w:val="000000"/>
        </w:rPr>
        <w:t xml:space="preserve">, mismo que se puso a la vista del Recurrente el </w:t>
      </w:r>
      <w:r>
        <w:rPr>
          <w:rFonts w:ascii="Palatino Linotype" w:eastAsia="Palatino Linotype" w:hAnsi="Palatino Linotype" w:cs="Palatino Linotype"/>
          <w:b/>
          <w:bCs/>
          <w:color w:val="000000"/>
        </w:rPr>
        <w:t>veintiséis de mayo de dos mil veintiséis</w:t>
      </w:r>
      <w:r>
        <w:rPr>
          <w:rFonts w:ascii="Palatino Linotype" w:eastAsia="Palatino Linotype" w:hAnsi="Palatino Linotype" w:cs="Palatino Linotype"/>
          <w:color w:val="000000"/>
        </w:rPr>
        <w:t xml:space="preserve"> y que consta de los archivos que se describen enseguida:</w:t>
      </w:r>
    </w:p>
    <w:p w:rsidR="001E3FA4" w:rsidRDefault="000A4E9E">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recurso.revision.012303.pdf:</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Oficio de la Séptima Regidora quien señaló que estuvo presente en la inauguración. </w:t>
      </w:r>
    </w:p>
    <w:p w:rsidR="001E3FA4" w:rsidRDefault="000A4E9E">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u w:val="single"/>
        </w:rPr>
        <w:t>Ratificación 12303.pdf</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Oficio del Titular de la Unidad de Transparencia, quien ratificó las </w:t>
      </w:r>
      <w:r>
        <w:rPr>
          <w:rFonts w:ascii="Palatino Linotype" w:eastAsia="Palatino Linotype" w:hAnsi="Palatino Linotype" w:cs="Palatino Linotype"/>
        </w:rPr>
        <w:t>respuestas</w:t>
      </w:r>
      <w:r>
        <w:rPr>
          <w:rFonts w:ascii="Palatino Linotype" w:eastAsia="Palatino Linotype" w:hAnsi="Palatino Linotype" w:cs="Palatino Linotype"/>
          <w:color w:val="000000"/>
        </w:rPr>
        <w:t xml:space="preserve">. </w:t>
      </w:r>
    </w:p>
    <w:p w:rsidR="001E3FA4" w:rsidRDefault="00B828D2">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1">
        <w:r w:rsidR="000A4E9E">
          <w:rPr>
            <w:rFonts w:ascii="Palatino Linotype" w:eastAsia="Palatino Linotype" w:hAnsi="Palatino Linotype" w:cs="Palatino Linotype"/>
            <w:b/>
            <w:bCs/>
            <w:color w:val="000000"/>
            <w:u w:val="single"/>
          </w:rPr>
          <w:t>ANEXOS 12303-2025.pdf</w:t>
        </w:r>
      </w:hyperlink>
      <w:r w:rsidR="000A4E9E">
        <w:rPr>
          <w:rFonts w:ascii="Palatino Linotype" w:eastAsia="Palatino Linotype" w:hAnsi="Palatino Linotype" w:cs="Palatino Linotype"/>
          <w:color w:val="000000"/>
        </w:rPr>
        <w:t xml:space="preserve">: Oficio de los diversos servidores públicos habilitados quienes ratificaron sus respuestas, asimismo, se adjuntó un oficio del Secretario Particular de Presidencia, quien señaló </w:t>
      </w:r>
      <w:r w:rsidR="000A4E9E">
        <w:rPr>
          <w:rFonts w:ascii="Palatino Linotype" w:eastAsia="Palatino Linotype" w:hAnsi="Palatino Linotype" w:cs="Palatino Linotype"/>
          <w:i/>
          <w:iCs/>
          <w:color w:val="000000"/>
        </w:rPr>
        <w:t>“…se realizó una nueva búsqueda de información de la cual desprende el Anexo 1, adjunto a la presente, correspondiente con el listado de asistentes registrados por la Coordinación de Giras, Logística y Eventos Especiales en el evento de interés del solicitante</w:t>
      </w:r>
      <w:r w:rsidR="000A4E9E">
        <w:rPr>
          <w:rFonts w:ascii="Palatino Linotype" w:eastAsia="Palatino Linotype" w:hAnsi="Palatino Linotype" w:cs="Palatino Linotype"/>
          <w:color w:val="000000"/>
        </w:rPr>
        <w:t xml:space="preserve">”. </w:t>
      </w:r>
    </w:p>
    <w:p w:rsidR="001E3FA4" w:rsidRDefault="000A4E9E">
      <w:pPr>
        <w:numPr>
          <w:ilvl w:val="0"/>
          <w:numId w:val="4"/>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archivo se adjuntó el documento denominado “Anexo 1 Inauguración de Feria y Festival del Dulce Tradicional del Alfeñique” en el que se encuentra </w:t>
      </w:r>
      <w:r>
        <w:rPr>
          <w:rFonts w:ascii="Palatino Linotype" w:eastAsia="Palatino Linotype" w:hAnsi="Palatino Linotype" w:cs="Palatino Linotype"/>
        </w:rPr>
        <w:t>una lista</w:t>
      </w:r>
      <w:r>
        <w:rPr>
          <w:rFonts w:ascii="Palatino Linotype" w:eastAsia="Palatino Linotype" w:hAnsi="Palatino Linotype" w:cs="Palatino Linotype"/>
          <w:color w:val="000000"/>
        </w:rPr>
        <w:t xml:space="preserve"> con el nombre y cargo de cada servidor público. </w:t>
      </w:r>
    </w:p>
    <w:p w:rsidR="001E3FA4" w:rsidRDefault="00B828D2">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2">
        <w:r w:rsidR="000A4E9E">
          <w:rPr>
            <w:rFonts w:ascii="Palatino Linotype" w:eastAsia="Palatino Linotype" w:hAnsi="Palatino Linotype" w:cs="Palatino Linotype"/>
            <w:b/>
            <w:bCs/>
            <w:color w:val="000000"/>
            <w:u w:val="single"/>
          </w:rPr>
          <w:t>12303-2025-ANEXOS.pdf</w:t>
        </w:r>
      </w:hyperlink>
      <w:r w:rsidR="000A4E9E">
        <w:rPr>
          <w:rFonts w:ascii="Palatino Linotype" w:eastAsia="Palatino Linotype" w:hAnsi="Palatino Linotype" w:cs="Palatino Linotype"/>
          <w:color w:val="000000"/>
        </w:rPr>
        <w:t xml:space="preserve">: Oficio del Tercer Regidor quien señaló que </w:t>
      </w:r>
      <w:r w:rsidR="000A4E9E">
        <w:rPr>
          <w:rFonts w:ascii="Palatino Linotype" w:eastAsia="Palatino Linotype" w:hAnsi="Palatino Linotype" w:cs="Palatino Linotype"/>
        </w:rPr>
        <w:t>sí asistió</w:t>
      </w:r>
      <w:r w:rsidR="000A4E9E">
        <w:rPr>
          <w:rFonts w:ascii="Palatino Linotype" w:eastAsia="Palatino Linotype" w:hAnsi="Palatino Linotype" w:cs="Palatino Linotype"/>
          <w:color w:val="000000"/>
        </w:rPr>
        <w:t xml:space="preserve"> a la inauguración. </w:t>
      </w:r>
    </w:p>
    <w:p w:rsidR="001E3FA4" w:rsidRDefault="00B828D2">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3">
        <w:r w:rsidR="000A4E9E">
          <w:rPr>
            <w:rFonts w:ascii="Palatino Linotype" w:eastAsia="Palatino Linotype" w:hAnsi="Palatino Linotype" w:cs="Palatino Linotype"/>
            <w:b/>
            <w:bCs/>
            <w:color w:val="000000"/>
            <w:u w:val="single"/>
          </w:rPr>
          <w:t>12303-2025-ANEXOS.pdf</w:t>
        </w:r>
      </w:hyperlink>
      <w:r w:rsidR="000A4E9E">
        <w:rPr>
          <w:rFonts w:ascii="Palatino Linotype" w:eastAsia="Palatino Linotype" w:hAnsi="Palatino Linotype" w:cs="Palatino Linotype"/>
          <w:color w:val="000000"/>
        </w:rPr>
        <w:t xml:space="preserve">: Oficio de la Directora General, quien ratificó su respuesta. </w:t>
      </w:r>
    </w:p>
    <w:p w:rsidR="001E3FA4" w:rsidRDefault="00B828D2">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4">
        <w:r w:rsidR="000A4E9E">
          <w:rPr>
            <w:rFonts w:ascii="Palatino Linotype" w:eastAsia="Palatino Linotype" w:hAnsi="Palatino Linotype" w:cs="Palatino Linotype"/>
            <w:b/>
            <w:bCs/>
            <w:color w:val="000000"/>
            <w:u w:val="single"/>
          </w:rPr>
          <w:t>012303-2025-ANEXOS_3R.pdf</w:t>
        </w:r>
      </w:hyperlink>
      <w:r w:rsidR="000A4E9E">
        <w:rPr>
          <w:rFonts w:ascii="Palatino Linotype" w:eastAsia="Palatino Linotype" w:hAnsi="Palatino Linotype" w:cs="Palatino Linotype"/>
          <w:color w:val="000000"/>
        </w:rPr>
        <w:t xml:space="preserve">: Oficio del Tercer Regidor quien señaló que si asistió al evento. </w:t>
      </w:r>
    </w:p>
    <w:p w:rsidR="001E3FA4" w:rsidRDefault="00B828D2">
      <w:pPr>
        <w:numPr>
          <w:ilvl w:val="0"/>
          <w:numId w:val="5"/>
        </w:num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hyperlink r:id="rId45">
        <w:r w:rsidR="000A4E9E">
          <w:rPr>
            <w:rFonts w:ascii="Palatino Linotype" w:eastAsia="Palatino Linotype" w:hAnsi="Palatino Linotype" w:cs="Palatino Linotype"/>
            <w:b/>
            <w:bCs/>
            <w:color w:val="000000"/>
            <w:u w:val="single"/>
          </w:rPr>
          <w:t>12303-2S.pdf</w:t>
        </w:r>
      </w:hyperlink>
      <w:r w:rsidR="000A4E9E">
        <w:rPr>
          <w:rFonts w:ascii="Palatino Linotype" w:eastAsia="Palatino Linotype" w:hAnsi="Palatino Linotype" w:cs="Palatino Linotype"/>
          <w:color w:val="000000"/>
        </w:rPr>
        <w:t xml:space="preserve">: Oficios del Síndico quien ratificó su respuesta. </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diez de abril de dos mil veintiséis</w:t>
      </w:r>
      <w:r>
        <w:rPr>
          <w:rFonts w:ascii="Palatino Linotype" w:eastAsia="Palatino Linotype" w:hAnsi="Palatino Linotype" w:cs="Palatino Linotype"/>
          <w:color w:val="000000"/>
        </w:rPr>
        <w:t xml:space="preserve">, se notificó el acuerdo mediante el cual se aprobó la ampliación de plazo para emitir resolución. </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Pr="004B66E7"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decretó el cierre de instrucción mediante el acuerdo del </w:t>
      </w:r>
      <w:r>
        <w:rPr>
          <w:rFonts w:ascii="Palatino Linotype" w:eastAsia="Palatino Linotype" w:hAnsi="Palatino Linotype" w:cs="Palatino Linotype"/>
          <w:b/>
          <w:bCs/>
          <w:color w:val="000000"/>
        </w:rPr>
        <w:t>primero de junio de dos mil veintiséis.</w:t>
      </w:r>
      <w:r w:rsidR="004B66E7">
        <w:rPr>
          <w:rFonts w:ascii="Palatino Linotype" w:eastAsia="Palatino Linotype" w:hAnsi="Palatino Linotype" w:cs="Palatino Linotype"/>
          <w:b/>
          <w:bCs/>
          <w:color w:val="000000"/>
        </w:rPr>
        <w:t xml:space="preserve"> ----------------------------------------------------------------------</w:t>
      </w:r>
    </w:p>
    <w:p w:rsidR="004B66E7" w:rsidRDefault="004B66E7" w:rsidP="004B66E7">
      <w:pPr>
        <w:pStyle w:val="Prrafodelista"/>
        <w:rPr>
          <w:rFonts w:ascii="Palatino Linotype" w:eastAsia="Palatino Linotype" w:hAnsi="Palatino Linotype" w:cs="Palatino Linotype"/>
          <w:color w:val="000000"/>
        </w:rPr>
      </w:pPr>
    </w:p>
    <w:p w:rsidR="004B66E7" w:rsidRDefault="004B66E7" w:rsidP="004B66E7">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1E3FA4">
      <w:pPr>
        <w:spacing w:line="360" w:lineRule="auto"/>
        <w:ind w:right="-876"/>
        <w:jc w:val="center"/>
        <w:rPr>
          <w:rFonts w:ascii="Palatino Linotype" w:eastAsia="Palatino Linotype" w:hAnsi="Palatino Linotype" w:cs="Palatino Linotype"/>
        </w:rPr>
      </w:pPr>
    </w:p>
    <w:p w:rsidR="001E3FA4" w:rsidRDefault="000A4E9E">
      <w:pPr>
        <w:spacing w:line="360" w:lineRule="auto"/>
        <w:ind w:right="-876"/>
        <w:jc w:val="center"/>
        <w:rPr>
          <w:rFonts w:ascii="Palatino Linotype" w:eastAsia="Palatino Linotype" w:hAnsi="Palatino Linotype" w:cs="Palatino Linotype"/>
        </w:rPr>
      </w:pPr>
      <w:bookmarkStart w:id="3" w:name="_heading=h.1fob9te" w:colFirst="0" w:colLast="0"/>
      <w:bookmarkEnd w:id="3"/>
      <w:r>
        <w:rPr>
          <w:rFonts w:ascii="Palatino Linotype" w:eastAsia="Palatino Linotype" w:hAnsi="Palatino Linotype" w:cs="Palatino Linotype"/>
          <w:b/>
          <w:bCs/>
        </w:rPr>
        <w:lastRenderedPageBreak/>
        <w:t>C O N S I D E R A N D O</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spacing w:line="360" w:lineRule="auto"/>
        <w:ind w:right="-876"/>
        <w:jc w:val="both"/>
        <w:rPr>
          <w:rFonts w:ascii="Palatino Linotype" w:eastAsia="Palatino Linotype" w:hAnsi="Palatino Linotype" w:cs="Palatino Linotype"/>
          <w:b/>
          <w:bCs/>
        </w:rPr>
      </w:pPr>
      <w:bookmarkStart w:id="4" w:name="_heading=h.3znysh7" w:colFirst="0" w:colLast="0"/>
      <w:bookmarkEnd w:id="4"/>
      <w:r>
        <w:rPr>
          <w:rFonts w:ascii="Palatino Linotype" w:eastAsia="Palatino Linotype" w:hAnsi="Palatino Linotype" w:cs="Palatino Linotype"/>
          <w:b/>
          <w:bCs/>
        </w:rPr>
        <w:t>PRIMERO. De la competencia</w:t>
      </w:r>
    </w:p>
    <w:p w:rsidR="001E3FA4" w:rsidRDefault="000A4E9E">
      <w:pPr>
        <w:numPr>
          <w:ilvl w:val="0"/>
          <w:numId w:val="2"/>
        </w:numPr>
        <w:pBdr>
          <w:top w:val="nil"/>
          <w:left w:val="nil"/>
          <w:bottom w:val="nil"/>
          <w:right w:val="nil"/>
          <w:between w:val="nil"/>
        </w:pBdr>
        <w:spacing w:before="240"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1E3FA4" w:rsidRDefault="001E3FA4">
      <w:pPr>
        <w:pBdr>
          <w:top w:val="nil"/>
          <w:left w:val="nil"/>
          <w:bottom w:val="nil"/>
          <w:right w:val="nil"/>
          <w:between w:val="nil"/>
        </w:pBdr>
        <w:spacing w:before="240" w:line="360" w:lineRule="auto"/>
        <w:ind w:right="-876"/>
        <w:jc w:val="both"/>
        <w:rPr>
          <w:rFonts w:ascii="Palatino Linotype" w:eastAsia="Palatino Linotype" w:hAnsi="Palatino Linotype" w:cs="Palatino Linotype"/>
          <w:color w:val="000000"/>
        </w:rPr>
      </w:pPr>
    </w:p>
    <w:p w:rsidR="001E3FA4" w:rsidRDefault="000A4E9E">
      <w:pPr>
        <w:keepNext/>
        <w:keepLines/>
        <w:spacing w:line="360" w:lineRule="auto"/>
        <w:ind w:right="-876"/>
        <w:jc w:val="both"/>
        <w:rPr>
          <w:rFonts w:ascii="Palatino Linotype" w:eastAsia="Palatino Linotype" w:hAnsi="Palatino Linotype" w:cs="Palatino Linotype"/>
          <w:b/>
          <w:bCs/>
        </w:rPr>
      </w:pPr>
      <w:bookmarkStart w:id="5" w:name="_heading=h.2et92p0" w:colFirst="0" w:colLast="0"/>
      <w:bookmarkEnd w:id="5"/>
      <w:r>
        <w:rPr>
          <w:rFonts w:ascii="Palatino Linotype" w:eastAsia="Palatino Linotype" w:hAnsi="Palatino Linotype" w:cs="Palatino Linotype"/>
          <w:b/>
          <w:bCs/>
        </w:rPr>
        <w:t>SEGUNDO. De la oportunidad y procedencia.</w:t>
      </w: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respuesta a la solicitud el </w:t>
      </w:r>
      <w:r>
        <w:rPr>
          <w:rFonts w:ascii="Palatino Linotype" w:eastAsia="Palatino Linotype" w:hAnsi="Palatino Linotype" w:cs="Palatino Linotype"/>
          <w:b/>
          <w:bCs/>
          <w:color w:val="000000"/>
        </w:rPr>
        <w:t>veinticuatro de octubre de dos mil veinticinco</w:t>
      </w:r>
      <w:r>
        <w:rPr>
          <w:rFonts w:ascii="Palatino Linotype" w:eastAsia="Palatino Linotype" w:hAnsi="Palatino Linotype" w:cs="Palatino Linotype"/>
          <w:color w:val="000000"/>
        </w:rPr>
        <w:t>, de tal forma que el plazo para interponer el recurso de revisión transcurrió del</w:t>
      </w:r>
      <w:r>
        <w:rPr>
          <w:rFonts w:ascii="Palatino Linotype" w:eastAsia="Palatino Linotype" w:hAnsi="Palatino Linotype" w:cs="Palatino Linotype"/>
          <w:b/>
          <w:bCs/>
          <w:color w:val="000000"/>
        </w:rPr>
        <w:t xml:space="preserve"> veintisiete de octubre al catorce de noviembre de dos mil veinticinco</w:t>
      </w:r>
      <w:r>
        <w:rPr>
          <w:rFonts w:ascii="Palatino Linotype" w:eastAsia="Palatino Linotype" w:hAnsi="Palatino Linotype" w:cs="Palatino Linotype"/>
          <w:color w:val="000000"/>
        </w:rPr>
        <w:t xml:space="preserve">; en consecuencia, presentó su inconformidad el día </w:t>
      </w:r>
      <w:r>
        <w:rPr>
          <w:rFonts w:ascii="Palatino Linotype" w:eastAsia="Palatino Linotype" w:hAnsi="Palatino Linotype" w:cs="Palatino Linotype"/>
          <w:b/>
          <w:bCs/>
          <w:color w:val="000000"/>
        </w:rPr>
        <w:t>veintiocho de octubre de dos mil veinticinco</w:t>
      </w:r>
      <w:r>
        <w:rPr>
          <w:rFonts w:ascii="Palatino Linotype" w:eastAsia="Palatino Linotype" w:hAnsi="Palatino Linotype" w:cs="Palatino Linotype"/>
          <w:color w:val="000000"/>
        </w:rPr>
        <w:t xml:space="preserve">, por lo que se encuentra dentro de los márgenes temporales previstos en el artículo 178 de la </w:t>
      </w:r>
      <w:r>
        <w:rPr>
          <w:rFonts w:ascii="Palatino Linotype" w:eastAsia="Palatino Linotype" w:hAnsi="Palatino Linotype" w:cs="Palatino Linotype"/>
          <w:b/>
          <w:bCs/>
          <w:color w:val="000000"/>
        </w:rPr>
        <w:t xml:space="preserve">Ley de Transparencia y Acceso a la Información Pública del Estado de México y Municipios </w:t>
      </w:r>
      <w:r>
        <w:rPr>
          <w:rFonts w:ascii="Palatino Linotype" w:eastAsia="Palatino Linotype" w:hAnsi="Palatino Linotype" w:cs="Palatino Linotype"/>
          <w:color w:val="000000"/>
        </w:rPr>
        <w:t>vigente.</w:t>
      </w:r>
    </w:p>
    <w:p w:rsidR="001E3FA4" w:rsidRDefault="000A4E9E">
      <w:pPr>
        <w:numPr>
          <w:ilvl w:val="0"/>
          <w:numId w:val="2"/>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Por otra parte, de la revisión al expediente electrónico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4B66E7" w:rsidRDefault="004B66E7" w:rsidP="004B66E7">
      <w:pPr>
        <w:spacing w:line="360" w:lineRule="auto"/>
        <w:ind w:right="-876"/>
        <w:jc w:val="both"/>
        <w:rPr>
          <w:rFonts w:ascii="Palatino Linotype" w:eastAsia="Palatino Linotype" w:hAnsi="Palatino Linotype" w:cs="Palatino Linotype"/>
        </w:rPr>
      </w:pPr>
    </w:p>
    <w:p w:rsidR="001E3FA4" w:rsidRDefault="000A4E9E">
      <w:pPr>
        <w:numPr>
          <w:ilvl w:val="0"/>
          <w:numId w:val="2"/>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1E3FA4" w:rsidRDefault="001E3FA4">
      <w:pPr>
        <w:pBdr>
          <w:top w:val="nil"/>
          <w:left w:val="nil"/>
          <w:bottom w:val="nil"/>
          <w:right w:val="nil"/>
          <w:between w:val="nil"/>
        </w:pBdr>
        <w:ind w:right="-876"/>
        <w:jc w:val="both"/>
        <w:rPr>
          <w:rFonts w:ascii="Palatino Linotype" w:eastAsia="Palatino Linotype" w:hAnsi="Palatino Linotype" w:cs="Palatino Linotype"/>
          <w:color w:val="000000"/>
        </w:rPr>
      </w:pPr>
    </w:p>
    <w:p w:rsidR="001E3FA4" w:rsidRDefault="000A4E9E">
      <w:pPr>
        <w:numPr>
          <w:ilvl w:val="0"/>
          <w:numId w:val="2"/>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1E3FA4" w:rsidRDefault="000A4E9E">
      <w:pPr>
        <w:numPr>
          <w:ilvl w:val="0"/>
          <w:numId w:val="2"/>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1E3FA4" w:rsidRDefault="001E3FA4">
      <w:pPr>
        <w:pBdr>
          <w:top w:val="nil"/>
          <w:left w:val="nil"/>
          <w:bottom w:val="nil"/>
          <w:right w:val="nil"/>
          <w:between w:val="nil"/>
        </w:pBdr>
        <w:ind w:right="-876"/>
        <w:jc w:val="both"/>
        <w:rPr>
          <w:rFonts w:ascii="Palatino Linotype" w:eastAsia="Palatino Linotype" w:hAnsi="Palatino Linotype" w:cs="Palatino Linotype"/>
          <w:color w:val="000000"/>
        </w:rPr>
      </w:pPr>
    </w:p>
    <w:p w:rsidR="001E3FA4" w:rsidRDefault="000A4E9E">
      <w:pPr>
        <w:numPr>
          <w:ilvl w:val="0"/>
          <w:numId w:val="2"/>
        </w:numPr>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Por lo que el nombre del solicitante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1E3FA4" w:rsidRDefault="001E3FA4">
      <w:pPr>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1E3FA4" w:rsidRDefault="000A4E9E">
      <w:pPr>
        <w:pStyle w:val="Ttulo1"/>
        <w:spacing w:line="360" w:lineRule="auto"/>
        <w:ind w:right="-876"/>
        <w:jc w:val="both"/>
        <w:rPr>
          <w:rFonts w:ascii="Palatino Linotype" w:eastAsia="Palatino Linotype" w:hAnsi="Palatino Linotype" w:cs="Palatino Linotype"/>
          <w:b/>
          <w:bCs/>
          <w:color w:val="000000"/>
          <w:sz w:val="24"/>
          <w:szCs w:val="24"/>
        </w:rPr>
      </w:pPr>
      <w:r>
        <w:rPr>
          <w:rFonts w:ascii="Palatino Linotype" w:eastAsia="Palatino Linotype" w:hAnsi="Palatino Linotype" w:cs="Palatino Linotype"/>
          <w:b/>
          <w:bCs/>
          <w:color w:val="000000"/>
          <w:sz w:val="24"/>
          <w:szCs w:val="24"/>
        </w:rPr>
        <w:t>TERCERO. Causales de Sobreseimiento</w:t>
      </w:r>
    </w:p>
    <w:p w:rsidR="001E3FA4" w:rsidRDefault="000A4E9E">
      <w:pPr>
        <w:numPr>
          <w:ilvl w:val="0"/>
          <w:numId w:val="2"/>
        </w:numPr>
        <w:pBdr>
          <w:top w:val="nil"/>
          <w:left w:val="nil"/>
          <w:bottom w:val="nil"/>
          <w:right w:val="nil"/>
          <w:between w:val="nil"/>
        </w:pBdr>
        <w:tabs>
          <w:tab w:val="left" w:pos="426"/>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Pr>
          <w:rFonts w:ascii="Palatino Linotype" w:eastAsia="Palatino Linotype" w:hAnsi="Palatino Linotype" w:cs="Palatino Linotype"/>
          <w:b/>
          <w:bCs/>
          <w:color w:val="000000"/>
          <w:u w:val="single"/>
        </w:rPr>
        <w:t>sobreseimiento</w:t>
      </w:r>
      <w:r>
        <w:rPr>
          <w:rFonts w:ascii="Palatino Linotype" w:eastAsia="Palatino Linotype" w:hAnsi="Palatino Linotype" w:cs="Palatino Linotype"/>
          <w:color w:val="000000"/>
        </w:rPr>
        <w:t xml:space="preserve">; y en su caso ordenar la entrega de la información con respecto a la respuesta emitida por el </w:t>
      </w:r>
      <w:r>
        <w:rPr>
          <w:rFonts w:ascii="Palatino Linotype" w:eastAsia="Palatino Linotype" w:hAnsi="Palatino Linotype" w:cs="Palatino Linotype"/>
          <w:b/>
          <w:bCs/>
          <w:color w:val="000000"/>
        </w:rPr>
        <w:t>SUJETO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OBLIGADO</w:t>
      </w:r>
      <w:r>
        <w:rPr>
          <w:rFonts w:ascii="Palatino Linotype" w:eastAsia="Palatino Linotype" w:hAnsi="Palatino Linotype" w:cs="Palatino Linotype"/>
          <w:color w:val="000000"/>
        </w:rPr>
        <w:t>.</w:t>
      </w:r>
    </w:p>
    <w:p w:rsidR="001E3FA4" w:rsidRDefault="001E3FA4">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426"/>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acuerdo al precepto legal contenido en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el recurso será sobreseído, en todo o en parte, cuando una vez admitido, el sujeto obligado responsable del acto lo modifique o revoque de tal manera que el recurso de revisión quede </w:t>
      </w:r>
      <w:r>
        <w:rPr>
          <w:rFonts w:ascii="Palatino Linotype" w:eastAsia="Palatino Linotype" w:hAnsi="Palatino Linotype" w:cs="Palatino Linotype"/>
          <w:color w:val="000000"/>
        </w:rPr>
        <w:lastRenderedPageBreak/>
        <w:t>sin materia; de ahí que la actualización de alguno de éste trae como consecuencia que el medio de impugnación se concluya sin que se analice el objeto de estudio planteado, es decir se sobresea.</w:t>
      </w:r>
    </w:p>
    <w:p w:rsidR="001E3FA4" w:rsidRDefault="001E3FA4">
      <w:pPr>
        <w:pBdr>
          <w:top w:val="nil"/>
          <w:left w:val="nil"/>
          <w:bottom w:val="nil"/>
          <w:right w:val="nil"/>
          <w:between w:val="nil"/>
        </w:pBdr>
        <w:ind w:right="-876"/>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426"/>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Para los efectos de esta resolución, es oportuno precisar los alcances jurídicos de la fracción III de la disposición legal transcrita. Así, procede el sobreseimiento del recurso de revisión cuando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p>
    <w:p w:rsidR="001E3FA4" w:rsidRDefault="000A4E9E">
      <w:pPr>
        <w:numPr>
          <w:ilvl w:val="0"/>
          <w:numId w:val="6"/>
        </w:numPr>
        <w:spacing w:line="360" w:lineRule="auto"/>
        <w:ind w:left="567"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1E3FA4" w:rsidRDefault="000A4E9E">
      <w:pPr>
        <w:numPr>
          <w:ilvl w:val="0"/>
          <w:numId w:val="6"/>
        </w:numPr>
        <w:spacing w:line="360" w:lineRule="auto"/>
        <w:ind w:left="567"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numPr>
          <w:ilvl w:val="0"/>
          <w:numId w:val="2"/>
        </w:numPr>
        <w:pBdr>
          <w:top w:val="nil"/>
          <w:left w:val="nil"/>
          <w:bottom w:val="nil"/>
          <w:right w:val="nil"/>
          <w:between w:val="nil"/>
        </w:pBdr>
        <w:tabs>
          <w:tab w:val="left" w:pos="284"/>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1E3FA4" w:rsidRDefault="001E3FA4">
      <w:pPr>
        <w:pBdr>
          <w:top w:val="nil"/>
          <w:left w:val="nil"/>
          <w:bottom w:val="nil"/>
          <w:right w:val="nil"/>
          <w:between w:val="nil"/>
        </w:pBdr>
        <w:tabs>
          <w:tab w:val="left" w:pos="284"/>
          <w:tab w:val="left" w:pos="567"/>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Recordemos que el Recurrente solicitó el nombre y dependencia o institución a la que pertenecen las personas que participaron en la inauguración de la feria del alfeñique 2025, cabe señalar que el Sujeto Obligado remitió en respuesta la información de diversos servidores públicos, quienes señalaron que la información solicitada no está dentro de sus atribuciones, asimismo, la Décima Regidora, la Décima Segunda Regidora, el Director de Inteligencia, el </w:t>
      </w:r>
      <w:r>
        <w:rPr>
          <w:rFonts w:ascii="Palatino Linotype" w:eastAsia="Palatino Linotype" w:hAnsi="Palatino Linotype" w:cs="Palatino Linotype"/>
          <w:color w:val="000000"/>
        </w:rPr>
        <w:lastRenderedPageBreak/>
        <w:t xml:space="preserve">Presidente Municipal y la Presidenta Honoraria del DIF, señalaron que sí acudieron a la inauguración; posteriormente, a través de informe justificado el Secretario Particular de Presidencia señaló que se realizó una nueva búsqueda exhaustiva en los archivos de la Coordinación de Giras, Logística y Eventos Especiales, señaló que se localizó la información solicitada y anexó un documento con la lista de los servidores públicos y el área a la que pertenecen. </w:t>
      </w:r>
    </w:p>
    <w:p w:rsidR="001E3FA4" w:rsidRDefault="001E3FA4">
      <w:pPr>
        <w:pBdr>
          <w:top w:val="nil"/>
          <w:left w:val="nil"/>
          <w:bottom w:val="nil"/>
          <w:right w:val="nil"/>
          <w:between w:val="nil"/>
        </w:pBdr>
        <w:ind w:left="720" w:right="-876"/>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primeramente es menester hacer referencia a lo establecido en los artículos 50, 53 fracciones II, IV y V, 58, 59 fracciones I y II, y 162 de la Ley de Transparencia y Acceso a la Información del Estado de México y Municipios, que a la letra estipulan lo siguiente:</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50. </w:t>
      </w:r>
      <w:r>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1E3FA4" w:rsidRDefault="001E3FA4">
      <w:pPr>
        <w:ind w:left="567" w:right="-876"/>
        <w:jc w:val="both"/>
        <w:rPr>
          <w:rFonts w:ascii="Palatino Linotype" w:eastAsia="Palatino Linotype" w:hAnsi="Palatino Linotype" w:cs="Palatino Linotype"/>
          <w:i/>
          <w:iCs/>
        </w:rPr>
      </w:pP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53. </w:t>
      </w:r>
      <w:r>
        <w:rPr>
          <w:rFonts w:ascii="Palatino Linotype" w:eastAsia="Palatino Linotype" w:hAnsi="Palatino Linotype" w:cs="Palatino Linotype"/>
          <w:i/>
          <w:iCs/>
        </w:rPr>
        <w:t>Las Unidades de Transparencia tendrán las siguientes funciones:</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Recibir, tramitar y dar respuesta a las solicitudes de acceso a la información;</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IV.</w:t>
      </w:r>
      <w:r>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V.</w:t>
      </w:r>
      <w:r>
        <w:rPr>
          <w:rFonts w:ascii="Palatino Linotype" w:eastAsia="Palatino Linotype" w:hAnsi="Palatino Linotype" w:cs="Palatino Linotype"/>
          <w:i/>
          <w:iCs/>
        </w:rPr>
        <w:t xml:space="preserve"> Entregar, en su caso, a los particulares la información solicitada;</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E3FA4" w:rsidRDefault="001E3FA4">
      <w:pPr>
        <w:ind w:left="567" w:right="-876"/>
        <w:jc w:val="both"/>
        <w:rPr>
          <w:rFonts w:ascii="Palatino Linotype" w:eastAsia="Palatino Linotype" w:hAnsi="Palatino Linotype" w:cs="Palatino Linotype"/>
          <w:i/>
          <w:iCs/>
        </w:rPr>
      </w:pP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58. </w:t>
      </w:r>
      <w:r>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1E3FA4" w:rsidRDefault="001E3FA4">
      <w:pPr>
        <w:ind w:left="567" w:right="-876"/>
        <w:jc w:val="both"/>
        <w:rPr>
          <w:rFonts w:ascii="Palatino Linotype" w:eastAsia="Palatino Linotype" w:hAnsi="Palatino Linotype" w:cs="Palatino Linotype"/>
          <w:i/>
          <w:iCs/>
        </w:rPr>
      </w:pP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59. </w:t>
      </w:r>
      <w:r>
        <w:rPr>
          <w:rFonts w:ascii="Palatino Linotype" w:eastAsia="Palatino Linotype" w:hAnsi="Palatino Linotype" w:cs="Palatino Linotype"/>
          <w:i/>
          <w:iCs/>
        </w:rPr>
        <w:t>Los servidores públicos habilitados tendrán las funciones siguientes:</w:t>
      </w:r>
    </w:p>
    <w:p w:rsidR="001E3FA4" w:rsidRDefault="001E3FA4">
      <w:pPr>
        <w:ind w:left="567" w:right="-876"/>
        <w:jc w:val="both"/>
        <w:rPr>
          <w:rFonts w:ascii="Palatino Linotype" w:eastAsia="Palatino Linotype" w:hAnsi="Palatino Linotype" w:cs="Palatino Linotype"/>
          <w:i/>
          <w:iCs/>
        </w:rPr>
      </w:pP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w:t>
      </w:r>
      <w:r>
        <w:rPr>
          <w:rFonts w:ascii="Palatino Linotype" w:eastAsia="Palatino Linotype" w:hAnsi="Palatino Linotype" w:cs="Palatino Linotype"/>
          <w:i/>
          <w:iCs/>
        </w:rPr>
        <w:t xml:space="preserve"> Localizar la información que le solicite la Unidad de Transparencia;</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II.</w:t>
      </w:r>
      <w:r>
        <w:rPr>
          <w:rFonts w:ascii="Palatino Linotype" w:eastAsia="Palatino Linotype" w:hAnsi="Palatino Linotype" w:cs="Palatino Linotype"/>
          <w:i/>
          <w:iCs/>
        </w:rPr>
        <w:t xml:space="preserve"> Proporcionar la información que obre en los archivos y que le sea solicitada por la Unidad de Transparencia;</w:t>
      </w: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E3FA4" w:rsidRDefault="001E3FA4">
      <w:pPr>
        <w:ind w:left="567" w:right="-876"/>
        <w:jc w:val="both"/>
        <w:rPr>
          <w:rFonts w:ascii="Palatino Linotype" w:eastAsia="Palatino Linotype" w:hAnsi="Palatino Linotype" w:cs="Palatino Linotype"/>
          <w:i/>
          <w:iCs/>
        </w:rPr>
      </w:pPr>
    </w:p>
    <w:p w:rsidR="001E3FA4" w:rsidRDefault="000A4E9E">
      <w:pPr>
        <w:ind w:left="567"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 xml:space="preserve">Artículo 162. </w:t>
      </w:r>
      <w:r>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1E3FA4" w:rsidRDefault="001E3FA4">
      <w:pPr>
        <w:spacing w:line="360" w:lineRule="auto"/>
        <w:ind w:right="-876"/>
        <w:jc w:val="both"/>
        <w:rPr>
          <w:rFonts w:ascii="Palatino Linotype" w:eastAsia="Palatino Linotype" w:hAnsi="Palatino Linotype" w:cs="Palatino Linotype"/>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los artículos citados se desprende que las Unidades de Transparencia de los sujetos obligados son las encargadas de tramitar internamente 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w:t>
      </w:r>
      <w:r>
        <w:rPr>
          <w:rFonts w:ascii="Palatino Linotype" w:eastAsia="Palatino Linotype" w:hAnsi="Palatino Linotype" w:cs="Palatino Linotype"/>
        </w:rPr>
        <w:t>auxiliará</w:t>
      </w:r>
      <w:r>
        <w:rPr>
          <w:rFonts w:ascii="Palatino Linotype" w:eastAsia="Palatino Linotype" w:hAnsi="Palatino Linotype" w:cs="Palatino Linotype"/>
          <w:color w:val="000000"/>
        </w:rPr>
        <w:t xml:space="preserve">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w:t>
      </w:r>
    </w:p>
    <w:p w:rsidR="004B66E7" w:rsidRDefault="004B66E7" w:rsidP="004B66E7">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el caso particular, la respuesta la emitió la Coordinación de Giras, Logística y Eventos Especiales, quien tiene el siguiente objetivo y funciones de acuerdo al Manual de Organización de Presidencia Municipal:</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“200030000 Coordinación de Giras, Logística y Eventos Especiales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lastRenderedPageBreak/>
        <w:t xml:space="preserve">Objetivo </w:t>
      </w:r>
      <w:r>
        <w:rPr>
          <w:rFonts w:ascii="Palatino Linotype" w:eastAsia="Palatino Linotype" w:hAnsi="Palatino Linotype" w:cs="Palatino Linotype"/>
          <w:i/>
          <w:iCs/>
          <w:color w:val="000000"/>
        </w:rPr>
        <w:t xml:space="preserve">Coordinar la logística de giras de trabajo, eventos oficiales y actividades protocolarias en los que participe el titular de la Presidencia Municipal, optimizando recursos y tiempos, asegurando una comunicación continua con las dependencias y organismos de los tres niveles de gobierno, así como con el sector privado y social.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Funciones:</w:t>
      </w:r>
      <w:r>
        <w:rPr>
          <w:rFonts w:ascii="Palatino Linotype" w:eastAsia="Palatino Linotype" w:hAnsi="Palatino Linotype" w:cs="Palatino Linotype"/>
          <w:i/>
          <w:iCs/>
          <w:color w:val="000000"/>
        </w:rPr>
        <w:t xml:space="preserve">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 Establecer comunicación constante con la Secretaría Particular para la actualización y ajuste de la agenda de actividades públicas y privadas del titular de la presidencia municipal, para una programación eficiente y el cumplimiento de los compromisos institucionales;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2. Analizar y verificar la información técnica contenida en el formato ejecutivo de eventos requisitado por la dependencia u organismo solicitante, asegurando que cumpla con los requisitos establecidos y sea pertinente para la ejecución del evento;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3. Revisar y, en su caso, ajustar el orden del día, especificando a los integrantes del presídium, del H. Cabildo y a los invitados especiales;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4. Programar, convocar y ejecutar pre-gira, con las dependencias y organismos involucrados a efecto de evaluar la viabilidad y pertinencia física de los lugares propuestos;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5. Determinar y planificar la ruta más eficiente hacia el lugar del evento, evaluando los tiempos de traslado, condiciones del tráfico, accesibilidad y seguridad;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6. Realizar check list de los requerimientos necesarios para el montaje del evento;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7. Supervisar y coordinar previamente los trabajos de montaje, así como los servicios solicitados en pre-gira;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8. Verificar que la iluminación, ventilación y el sistema de sonido funcionen adecuadamente, así como verificar el estado y operatividad de las pantallas con el propósito de que todas las presentaciones o videos se reproduzcan sin inconveniente;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9. Efectuar las operaciones logísticas necesarias a efecto de contar con todo lo necesario antes, durante y después del evento;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10. Supervisar el desarrollo de los eventos, asegurando el cumplimiento del orden del día establecido, la correcta implementación de los recursos técnicos y humanos, y la atención oportuna a cualquier incidencia; y </w:t>
      </w:r>
    </w:p>
    <w:p w:rsidR="001E3FA4" w:rsidRDefault="000A4E9E">
      <w:pPr>
        <w:pBdr>
          <w:top w:val="nil"/>
          <w:left w:val="nil"/>
          <w:bottom w:val="nil"/>
          <w:right w:val="nil"/>
          <w:between w:val="nil"/>
        </w:pBdr>
        <w:spacing w:line="360" w:lineRule="auto"/>
        <w:ind w:left="851" w:right="-8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11. Ejecutar las demás funciones que, por la naturaleza del área y su ámbito de competencia, le sean asignadas y resulten inherentes a su campo de conocimiento”. </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advierte, el área que emitió respuesta es la encargada de coordinar los eventos a los que acude el Presidente Municipal, es decir, la respuesta fue emitida por el servidor público con facultades para generar, poseer o administrar la información solicitada. </w:t>
      </w:r>
    </w:p>
    <w:p w:rsidR="001E3FA4" w:rsidRDefault="001E3FA4">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rPr>
      </w:pPr>
    </w:p>
    <w:p w:rsidR="001E3FA4" w:rsidRDefault="000A4E9E">
      <w:pPr>
        <w:numPr>
          <w:ilvl w:val="0"/>
          <w:numId w:val="2"/>
        </w:numPr>
        <w:pBdr>
          <w:top w:val="nil"/>
          <w:left w:val="nil"/>
          <w:bottom w:val="nil"/>
          <w:right w:val="nil"/>
          <w:between w:val="nil"/>
        </w:pBdr>
        <w:tabs>
          <w:tab w:val="left" w:pos="0"/>
        </w:tabs>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t>En ese contexto, recordemos que el servidor público habilitado remitió la lista con el nombre y cargo de los servidores públicos que acudieron a la inauguración de la feria del alfeñique 2025, asimismo, el Séptimo Regidor y Tercer Regidor señalaron que acudieron al evento, por lo que este Órgano Garante no está facultado para pronunciarse de la información que se remitió. Así mismo, la Ley de Transparencia y Acceso a la Información Pública del Estado de México y Municipios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1E3FA4" w:rsidRDefault="000A4E9E">
      <w:pPr>
        <w:pBdr>
          <w:top w:val="nil"/>
          <w:left w:val="nil"/>
          <w:bottom w:val="nil"/>
          <w:right w:val="nil"/>
          <w:between w:val="nil"/>
        </w:pBdr>
        <w:tabs>
          <w:tab w:val="left" w:pos="851"/>
        </w:tabs>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“Artículo 4.- </w:t>
      </w:r>
    </w:p>
    <w:p w:rsidR="001E3FA4" w:rsidRDefault="000A4E9E">
      <w:pPr>
        <w:pBdr>
          <w:top w:val="nil"/>
          <w:left w:val="nil"/>
          <w:bottom w:val="nil"/>
          <w:right w:val="nil"/>
          <w:between w:val="nil"/>
        </w:pBdr>
        <w:tabs>
          <w:tab w:val="left" w:pos="851"/>
        </w:tabs>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1E3FA4" w:rsidRDefault="000A4E9E">
      <w:pPr>
        <w:pBdr>
          <w:top w:val="nil"/>
          <w:left w:val="nil"/>
          <w:bottom w:val="nil"/>
          <w:right w:val="nil"/>
          <w:between w:val="nil"/>
        </w:pBdr>
        <w:tabs>
          <w:tab w:val="left" w:pos="851"/>
        </w:tabs>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1E3FA4" w:rsidRDefault="000A4E9E">
      <w:pPr>
        <w:numPr>
          <w:ilvl w:val="0"/>
          <w:numId w:val="2"/>
        </w:numPr>
        <w:pBdr>
          <w:top w:val="nil"/>
          <w:left w:val="nil"/>
          <w:bottom w:val="nil"/>
          <w:right w:val="nil"/>
          <w:between w:val="nil"/>
        </w:pBdr>
        <w:tabs>
          <w:tab w:val="left" w:pos="567"/>
        </w:tabs>
        <w:spacing w:line="360" w:lineRule="auto"/>
        <w:ind w:left="0" w:right="-876"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Numerales que compelen al SUJETO OBLIGADO a apegarse en todo momento a los criterios ya expuestos, impidiendo a este Órgano Colegiado cuestionar la veracidad de la información. </w:t>
      </w:r>
    </w:p>
    <w:p w:rsidR="001E3FA4" w:rsidRDefault="001E3FA4">
      <w:pPr>
        <w:pBdr>
          <w:top w:val="nil"/>
          <w:left w:val="nil"/>
          <w:bottom w:val="nil"/>
          <w:right w:val="nil"/>
          <w:between w:val="nil"/>
        </w:pBdr>
        <w:tabs>
          <w:tab w:val="left" w:pos="284"/>
          <w:tab w:val="left" w:pos="567"/>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advierte, la información remitida en informe justificado colma el requerimiento referente. Así, </w:t>
      </w:r>
      <w:r>
        <w:rPr>
          <w:rFonts w:ascii="Palatino Linotype" w:eastAsia="Palatino Linotype" w:hAnsi="Palatino Linotype" w:cs="Palatino Linotype"/>
        </w:rPr>
        <w:t xml:space="preserve">este Pleno advierte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modificó </w:t>
      </w:r>
      <w:r>
        <w:rPr>
          <w:rFonts w:ascii="Palatino Linotype" w:eastAsia="Palatino Linotype" w:hAnsi="Palatino Linotype" w:cs="Palatino Linotype"/>
        </w:rPr>
        <w:t xml:space="preserve">el acto que le dio origen a al recurso de revisión y que, a través de informe justificado entregó </w:t>
      </w:r>
      <w:r w:rsidR="008D3288">
        <w:rPr>
          <w:rFonts w:ascii="Palatino Linotype" w:eastAsia="Palatino Linotype" w:hAnsi="Palatino Linotype" w:cs="Palatino Linotype"/>
        </w:rPr>
        <w:t>la información solicitada</w:t>
      </w:r>
      <w:r>
        <w:rPr>
          <w:rFonts w:ascii="Palatino Linotype" w:eastAsia="Palatino Linotype" w:hAnsi="Palatino Linotype" w:cs="Palatino Linotype"/>
        </w:rPr>
        <w:t>, lo que trae como consecuencia que el mismo quede sin materia, actualizándose de este modo, la hipótesis jurídica contenida en la fracción III del artículo 192 de la Ley de Transparencia Local.</w:t>
      </w:r>
    </w:p>
    <w:p w:rsidR="001E3FA4" w:rsidRDefault="001E3FA4">
      <w:pPr>
        <w:pBdr>
          <w:top w:val="nil"/>
          <w:left w:val="nil"/>
          <w:bottom w:val="nil"/>
          <w:right w:val="nil"/>
          <w:between w:val="nil"/>
        </w:pBdr>
        <w:ind w:left="720" w:right="-876"/>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la respuesta de información proporcionada por los </w:t>
      </w:r>
      <w:r>
        <w:rPr>
          <w:rFonts w:ascii="Palatino Linotype" w:eastAsia="Palatino Linotype" w:hAnsi="Palatino Linotype" w:cs="Palatino Linotype"/>
          <w:b/>
          <w:bCs/>
        </w:rPr>
        <w:t>SUJETOS OBLIGADOS</w:t>
      </w:r>
      <w:r>
        <w:rPr>
          <w:rFonts w:ascii="Palatino Linotype" w:eastAsia="Palatino Linotype" w:hAnsi="Palatino Linotype" w:cs="Palatino Linotype"/>
        </w:rPr>
        <w:t xml:space="preserve"> o la negativa de entrega de esta, derivada de la solicitud de información pública.</w:t>
      </w:r>
    </w:p>
    <w:p w:rsidR="001E3FA4" w:rsidRDefault="001E3FA4">
      <w:pPr>
        <w:pBdr>
          <w:top w:val="nil"/>
          <w:left w:val="nil"/>
          <w:bottom w:val="nil"/>
          <w:right w:val="nil"/>
          <w:between w:val="nil"/>
        </w:pBdr>
        <w:ind w:left="720" w:right="-876"/>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 xml:space="preserve">este modo, cuando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1E3FA4" w:rsidRDefault="001E3FA4">
      <w:pPr>
        <w:pBdr>
          <w:top w:val="nil"/>
          <w:left w:val="nil"/>
          <w:bottom w:val="nil"/>
          <w:right w:val="nil"/>
          <w:between w:val="nil"/>
        </w:pBdr>
        <w:ind w:left="720" w:right="-876"/>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Sirve </w:t>
      </w:r>
      <w:r>
        <w:rPr>
          <w:rFonts w:ascii="Palatino Linotype" w:eastAsia="Palatino Linotype" w:hAnsi="Palatino Linotype" w:cs="Palatino Linotype"/>
        </w:rPr>
        <w:t>de sustento a lo anterior la siguiente jurisprudencia por contradicción, cuyo rubro, texto y datos de identificación son los siguientes:</w:t>
      </w:r>
    </w:p>
    <w:p w:rsidR="001E3FA4" w:rsidRDefault="000A4E9E">
      <w:pPr>
        <w:pBdr>
          <w:top w:val="nil"/>
          <w:left w:val="nil"/>
          <w:bottom w:val="nil"/>
          <w:right w:val="nil"/>
          <w:between w:val="nil"/>
        </w:pBdr>
        <w:tabs>
          <w:tab w:val="left" w:pos="709"/>
          <w:tab w:val="left" w:pos="851"/>
        </w:tabs>
        <w:spacing w:line="360" w:lineRule="auto"/>
        <w:ind w:left="851" w:right="-876"/>
        <w:jc w:val="both"/>
        <w:rPr>
          <w:rFonts w:ascii="Palatino Linotype" w:eastAsia="Palatino Linotype" w:hAnsi="Palatino Linotype" w:cs="Palatino Linotype"/>
          <w:color w:val="000000"/>
        </w:rPr>
      </w:pPr>
      <w:r>
        <w:rPr>
          <w:rFonts w:ascii="Palatino Linotype" w:eastAsia="Palatino Linotype" w:hAnsi="Palatino Linotype" w:cs="Palatino Linotype"/>
          <w:b/>
          <w:bCs/>
          <w:i/>
          <w:iCs/>
          <w:color w:val="000000"/>
        </w:rPr>
        <w:lastRenderedPageBreak/>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Pr>
          <w:rFonts w:ascii="Palatino Linotype" w:eastAsia="Palatino Linotype" w:hAnsi="Palatino Linotype" w:cs="Palatino Linotype"/>
          <w:i/>
          <w:iCs/>
          <w:color w:val="000000"/>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1E3FA4" w:rsidRDefault="001E3FA4">
      <w:pPr>
        <w:pBdr>
          <w:top w:val="nil"/>
          <w:left w:val="nil"/>
          <w:bottom w:val="nil"/>
          <w:right w:val="nil"/>
          <w:between w:val="nil"/>
        </w:pBdr>
        <w:tabs>
          <w:tab w:val="left" w:pos="284"/>
          <w:tab w:val="left" w:pos="567"/>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 w:val="left" w:pos="567"/>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anterior jurisprudencia resulta aplicable al presente asunto, en dos aspectos: </w:t>
      </w:r>
    </w:p>
    <w:p w:rsidR="001E3FA4" w:rsidRDefault="000A4E9E">
      <w:pPr>
        <w:numPr>
          <w:ilvl w:val="0"/>
          <w:numId w:val="7"/>
        </w:numPr>
        <w:spacing w:line="360" w:lineRule="auto"/>
        <w:ind w:left="567"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w:t>
      </w:r>
      <w:r>
        <w:rPr>
          <w:rFonts w:ascii="Palatino Linotype" w:eastAsia="Palatino Linotype" w:hAnsi="Palatino Linotype" w:cs="Palatino Linotype"/>
        </w:rPr>
        <w:lastRenderedPageBreak/>
        <w:t>impugnación que lo deja sin materia; es decir, cesan los efectos de éste y el derecho de acceso a la información pública se encuentra satisfecho.</w:t>
      </w:r>
    </w:p>
    <w:p w:rsidR="001E3FA4" w:rsidRDefault="000A4E9E">
      <w:pPr>
        <w:numPr>
          <w:ilvl w:val="0"/>
          <w:numId w:val="7"/>
        </w:numPr>
        <w:spacing w:line="360" w:lineRule="auto"/>
        <w:ind w:left="567" w:right="-876" w:firstLine="0"/>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1E3FA4" w:rsidRDefault="001E3FA4">
      <w:pPr>
        <w:pBdr>
          <w:top w:val="nil"/>
          <w:left w:val="nil"/>
          <w:bottom w:val="nil"/>
          <w:right w:val="nil"/>
          <w:between w:val="nil"/>
        </w:pBdr>
        <w:tabs>
          <w:tab w:val="left" w:pos="426"/>
          <w:tab w:val="left" w:pos="567"/>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Eduardo Pallares, en su artículo </w:t>
      </w:r>
      <w:r>
        <w:rPr>
          <w:rFonts w:ascii="Palatino Linotype" w:eastAsia="Palatino Linotype" w:hAnsi="Palatino Linotype" w:cs="Palatino Linotype"/>
          <w:i/>
          <w:iCs/>
          <w:color w:val="000000"/>
        </w:rPr>
        <w:t>“La caducidad y el sobreseimiento en el amparo”</w:t>
      </w:r>
      <w:r>
        <w:rPr>
          <w:rFonts w:ascii="Palatino Linotype" w:eastAsia="Palatino Linotype" w:hAnsi="Palatino Linotype" w:cs="Palatino Linotype"/>
          <w:color w:val="000000"/>
        </w:rPr>
        <w:t xml:space="preserve">, cita la definición de Aguilera Paz, aduciendo que se </w:t>
      </w:r>
      <w:r>
        <w:rPr>
          <w:rFonts w:ascii="Palatino Linotype" w:eastAsia="Palatino Linotype" w:hAnsi="Palatino Linotype" w:cs="Palatino Linotype"/>
          <w:i/>
          <w:iCs/>
          <w:color w:val="000000"/>
        </w:rPr>
        <w:t>“...entiende por sobreseimiento en el tecnicismo forense, el hecho de cesar en el procedimiento o curso de la causa, por no existir méritos bastantes para entrar en un juicio o para entablar la contienda judicial que debe ser objeto del mismo...”</w:t>
      </w:r>
      <w:r>
        <w:rPr>
          <w:rFonts w:ascii="Palatino Linotype" w:eastAsia="Palatino Linotype" w:hAnsi="Palatino Linotype" w:cs="Palatino Linotype"/>
          <w:color w:val="000000"/>
        </w:rPr>
        <w:t>. Asimismo, señala que existe el sobreseimiento provisional y el definitivo</w:t>
      </w:r>
      <w:r>
        <w:rPr>
          <w:rFonts w:ascii="Palatino Linotype" w:eastAsia="Palatino Linotype" w:hAnsi="Palatino Linotype" w:cs="Palatino Linotype"/>
          <w:i/>
          <w:iCs/>
          <w:color w:val="000000"/>
        </w:rPr>
        <w:t>: “...el definitivo es una verdadera sentencia que pone fin al juicio, y que una vez dictada, produce cosa juzgada, mientras que el provisorio tiene por efectos suspender la prosecución de la causa...”</w:t>
      </w:r>
    </w:p>
    <w:p w:rsidR="001E3FA4" w:rsidRDefault="001E3FA4">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para la doctrina el sobreseimiento provoca que un procedimiento se suspenda o se resuelva en definitiva </w:t>
      </w:r>
      <w:r>
        <w:rPr>
          <w:rFonts w:ascii="Palatino Linotype" w:eastAsia="Palatino Linotype" w:hAnsi="Palatino Linotype" w:cs="Palatino Linotype"/>
          <w:b/>
          <w:bCs/>
          <w:color w:val="000000"/>
          <w:u w:val="single"/>
        </w:rPr>
        <w:t xml:space="preserve">sin que se entre al estudio de los agravios o motivos de inconformidad. </w:t>
      </w:r>
      <w:r>
        <w:rPr>
          <w:rFonts w:ascii="Palatino Linotype" w:eastAsia="Palatino Linotype" w:hAnsi="Palatino Linotype" w:cs="Palatino Linotype"/>
          <w:color w:val="000000"/>
        </w:rPr>
        <w:t>Este mismo criterio es compartido por el más alto tribunal del país en múltiples jurisprudencias, por lo que a continuación se agrega una de ellas que sirve como orientador en esta resolución:</w:t>
      </w:r>
    </w:p>
    <w:p w:rsidR="001E3FA4" w:rsidRDefault="000A4E9E">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b/>
          <w:bCs/>
          <w:i/>
          <w:iCs/>
        </w:rPr>
        <w:t>SOBRESEIMIENTO EN EL JUICIO DE AMPARO DIRECTO. IMPIDE EL ESTUDIO DE LAS VIOLACIONES PROCESALES PLANTEADAS EN LOS CONCEPTOS DE VIOLACIÓN. El sobreseimiento</w:t>
      </w:r>
      <w:r>
        <w:rPr>
          <w:rFonts w:ascii="Palatino Linotype" w:eastAsia="Palatino Linotype" w:hAnsi="Palatino Linotype" w:cs="Palatino Linotype"/>
          <w:i/>
          <w:iCs/>
        </w:rPr>
        <w:t xml:space="preserve"> en el juicio de amparo directo </w:t>
      </w:r>
      <w:r>
        <w:rPr>
          <w:rFonts w:ascii="Palatino Linotype" w:eastAsia="Palatino Linotype" w:hAnsi="Palatino Linotype" w:cs="Palatino Linotype"/>
          <w:b/>
          <w:bCs/>
          <w:i/>
          <w:iCs/>
        </w:rPr>
        <w:t xml:space="preserve">provoca la terminación de </w:t>
      </w:r>
      <w:r>
        <w:rPr>
          <w:rFonts w:ascii="Palatino Linotype" w:eastAsia="Palatino Linotype" w:hAnsi="Palatino Linotype" w:cs="Palatino Linotype"/>
          <w:b/>
          <w:bCs/>
          <w:i/>
          <w:iCs/>
        </w:rPr>
        <w:lastRenderedPageBreak/>
        <w:t>la controversia planteada</w:t>
      </w:r>
      <w:r>
        <w:rPr>
          <w:rFonts w:ascii="Palatino Linotype" w:eastAsia="Palatino Linotype" w:hAnsi="Palatino Linotype" w:cs="Palatino Linotype"/>
          <w:i/>
          <w:iCs/>
        </w:rPr>
        <w:t xml:space="preserve"> por el quejoso en la demanda de amparo</w:t>
      </w:r>
      <w:r>
        <w:rPr>
          <w:rFonts w:ascii="Palatino Linotype" w:eastAsia="Palatino Linotype" w:hAnsi="Palatino Linotype" w:cs="Palatino Linotype"/>
          <w:b/>
          <w:bCs/>
          <w:i/>
          <w:iCs/>
        </w:rPr>
        <w:t>, sin hacer un pronunciamiento de fondo sobre la legalidad o ilegalidad de la sentencia reclamada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Pr>
          <w:rFonts w:ascii="Palatino Linotype" w:eastAsia="Palatino Linotype" w:hAnsi="Palatino Linotype" w:cs="Palatino Linotype"/>
          <w:i/>
          <w:iCs/>
        </w:rPr>
        <w:t>.</w:t>
      </w:r>
    </w:p>
    <w:p w:rsidR="001E3FA4" w:rsidRDefault="000A4E9E">
      <w:pPr>
        <w:spacing w:line="360" w:lineRule="auto"/>
        <w:ind w:left="851" w:right="-876"/>
        <w:jc w:val="both"/>
        <w:rPr>
          <w:rFonts w:ascii="Palatino Linotype" w:eastAsia="Palatino Linotype" w:hAnsi="Palatino Linotype" w:cs="Palatino Linotype"/>
          <w:i/>
          <w:iCs/>
        </w:rPr>
      </w:pPr>
      <w:r>
        <w:rPr>
          <w:rFonts w:ascii="Palatino Linotype" w:eastAsia="Palatino Linotype" w:hAnsi="Palatino Linotype" w:cs="Palatino Linotype"/>
          <w:i/>
          <w:iCs/>
        </w:rPr>
        <w:t>SÉPTIMO TRIBUNAL COLEGIADO EN MATERIA CIVIL DEL PRIMER CIRCUITO.</w:t>
      </w:r>
    </w:p>
    <w:p w:rsidR="001E3FA4" w:rsidRDefault="000A4E9E">
      <w:pPr>
        <w:spacing w:line="360" w:lineRule="auto"/>
        <w:ind w:left="851" w:right="-876"/>
        <w:jc w:val="both"/>
        <w:rPr>
          <w:rFonts w:ascii="Palatino Linotype" w:eastAsia="Palatino Linotype" w:hAnsi="Palatino Linotype" w:cs="Palatino Linotype"/>
          <w:b/>
          <w:bCs/>
          <w:i/>
          <w:iCs/>
        </w:rPr>
      </w:pPr>
      <w:r>
        <w:rPr>
          <w:rFonts w:ascii="Palatino Linotype" w:eastAsia="Palatino Linotype" w:hAnsi="Palatino Linotype" w:cs="Palatino Linotype"/>
          <w:i/>
          <w:iCs/>
        </w:rPr>
        <w:t>Amparo directo 699/2008. Mariana Leticia González Steele. 13 de noviembre de 2008. Unanimidad de votos. Ponente: Sara Judith Montalvo Trejo. Secretario: Arnulfo Mateos García.</w:t>
      </w:r>
    </w:p>
    <w:p w:rsidR="001E3FA4" w:rsidRDefault="001E3FA4">
      <w:pPr>
        <w:spacing w:line="360" w:lineRule="auto"/>
        <w:ind w:right="-876"/>
        <w:jc w:val="both"/>
        <w:rPr>
          <w:rFonts w:ascii="Palatino Linotype" w:eastAsia="Palatino Linotype" w:hAnsi="Palatino Linotype" w:cs="Palatino Linotype"/>
          <w:b/>
          <w:bCs/>
          <w:i/>
          <w:iCs/>
        </w:rPr>
      </w:pPr>
    </w:p>
    <w:p w:rsidR="001E3FA4" w:rsidRDefault="000A4E9E">
      <w:pPr>
        <w:numPr>
          <w:ilvl w:val="0"/>
          <w:numId w:val="2"/>
        </w:numPr>
        <w:pBdr>
          <w:top w:val="nil"/>
          <w:left w:val="nil"/>
          <w:bottom w:val="nil"/>
          <w:right w:val="nil"/>
          <w:between w:val="nil"/>
        </w:pBdr>
        <w:tabs>
          <w:tab w:val="left" w:pos="284"/>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Consecuentemente, por lo que hace a los motivos de inconformidad, los mismos devienen inatendibles por actualizarse la figura del sobreseimiento, misma que impide el estudio de los agravios planteados, máxime que se ha dado cumplimiento al derecho de acceso a la información.</w:t>
      </w:r>
    </w:p>
    <w:p w:rsidR="001E3FA4" w:rsidRDefault="001E3FA4">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Bajo ese tenor y en términos del artículo 186 fracción I este Pleno determina el </w:t>
      </w:r>
      <w:r>
        <w:rPr>
          <w:rFonts w:ascii="Palatino Linotype" w:eastAsia="Palatino Linotype" w:hAnsi="Palatino Linotype" w:cs="Palatino Linotype"/>
          <w:b/>
          <w:bCs/>
          <w:color w:val="000000"/>
        </w:rPr>
        <w:t xml:space="preserve">SOBRESEIMIENTO </w:t>
      </w:r>
      <w:r>
        <w:rPr>
          <w:rFonts w:ascii="Palatino Linotype" w:eastAsia="Palatino Linotype" w:hAnsi="Palatino Linotype" w:cs="Palatino Linotype"/>
          <w:color w:val="000000"/>
        </w:rPr>
        <w:t xml:space="preserve">del recurso de revisión </w:t>
      </w:r>
      <w:r w:rsidR="0056610B">
        <w:rPr>
          <w:rFonts w:ascii="Palatino Linotype" w:eastAsia="Palatino Linotype" w:hAnsi="Palatino Linotype" w:cs="Palatino Linotype"/>
          <w:b/>
          <w:bCs/>
          <w:color w:val="000000"/>
        </w:rPr>
        <w:t>12303</w:t>
      </w:r>
      <w:r>
        <w:rPr>
          <w:rFonts w:ascii="Palatino Linotype" w:eastAsia="Palatino Linotype" w:hAnsi="Palatino Linotype" w:cs="Palatino Linotype"/>
          <w:b/>
          <w:bCs/>
          <w:color w:val="000000"/>
        </w:rPr>
        <w:t>/INFOEM/IP/RR/2025</w:t>
      </w:r>
      <w:r>
        <w:rPr>
          <w:rFonts w:ascii="Palatino Linotype" w:eastAsia="Palatino Linotype" w:hAnsi="Palatino Linotype" w:cs="Palatino Linotype"/>
          <w:color w:val="000000"/>
        </w:rPr>
        <w:t>, toda vez que la afectación al derecho de acceso a la información pública establecido constitucionalmente a favor del Particular ha sido resarcida.</w:t>
      </w:r>
    </w:p>
    <w:p w:rsidR="001E3FA4" w:rsidRDefault="001E3FA4">
      <w:pPr>
        <w:pBdr>
          <w:top w:val="nil"/>
          <w:left w:val="nil"/>
          <w:bottom w:val="nil"/>
          <w:right w:val="nil"/>
          <w:between w:val="nil"/>
        </w:pBdr>
        <w:shd w:val="clear" w:color="auto" w:fill="FFFFFF"/>
        <w:tabs>
          <w:tab w:val="left" w:pos="284"/>
        </w:tabs>
        <w:spacing w:line="360" w:lineRule="auto"/>
        <w:ind w:right="-876"/>
        <w:jc w:val="both"/>
        <w:rPr>
          <w:rFonts w:ascii="Palatino Linotype" w:eastAsia="Palatino Linotype" w:hAnsi="Palatino Linotype" w:cs="Palatino Linotype"/>
          <w:color w:val="000000"/>
        </w:rPr>
      </w:pPr>
    </w:p>
    <w:p w:rsidR="001E3FA4" w:rsidRDefault="000A4E9E">
      <w:pPr>
        <w:numPr>
          <w:ilvl w:val="0"/>
          <w:numId w:val="2"/>
        </w:numPr>
        <w:pBdr>
          <w:top w:val="nil"/>
          <w:left w:val="nil"/>
          <w:bottom w:val="nil"/>
          <w:right w:val="nil"/>
          <w:between w:val="nil"/>
        </w:pBdr>
        <w:tabs>
          <w:tab w:val="left" w:pos="284"/>
        </w:tabs>
        <w:spacing w:line="360" w:lineRule="auto"/>
        <w:ind w:left="0" w:right="-876"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lo anteriormente expuesto y fundado,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sidR="004B66E7">
        <w:rPr>
          <w:rFonts w:ascii="Palatino Linotype" w:eastAsia="Palatino Linotype" w:hAnsi="Palatino Linotype" w:cs="Palatino Linotype"/>
          <w:color w:val="000000"/>
        </w:rPr>
        <w:t xml:space="preserve"> -------------------------------------------------------------------------------------------------------------</w:t>
      </w:r>
    </w:p>
    <w:p w:rsidR="001E3FA4" w:rsidRDefault="001E3FA4">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color w:val="000000"/>
        </w:rPr>
      </w:pPr>
    </w:p>
    <w:p w:rsidR="001E3FA4" w:rsidRDefault="000A4E9E">
      <w:pPr>
        <w:spacing w:line="360" w:lineRule="auto"/>
        <w:ind w:right="-876"/>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R E S O L U T I V O S</w:t>
      </w: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0A4E9E">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rPr>
        <w:t xml:space="preserve">12303/INFOEM/IP/RR/2025 </w:t>
      </w:r>
      <w:r>
        <w:rPr>
          <w:rFonts w:ascii="Palatino Linotype" w:eastAsia="Palatino Linotype" w:hAnsi="Palatino Linotype" w:cs="Palatino Linotype"/>
        </w:rPr>
        <w:t>conforme al artículo 192 fracción III</w:t>
      </w:r>
      <w:r w:rsidR="0056610B">
        <w:rPr>
          <w:rFonts w:ascii="Palatino Linotype" w:eastAsia="Palatino Linotype" w:hAnsi="Palatino Linotype" w:cs="Palatino Linotype"/>
        </w:rPr>
        <w:t>,</w:t>
      </w:r>
      <w:r>
        <w:rPr>
          <w:rFonts w:ascii="Palatino Linotype" w:eastAsia="Palatino Linotype" w:hAnsi="Palatino Linotype" w:cs="Palatino Linotype"/>
        </w:rPr>
        <w:t xml:space="preserve"> de la Ley de Transparencia y Acceso a la Información Pública del Estado de México y Municipios, porque al </w:t>
      </w:r>
      <w:r>
        <w:rPr>
          <w:rFonts w:ascii="Palatino Linotype" w:eastAsia="Palatino Linotype" w:hAnsi="Palatino Linotype" w:cs="Palatino Linotype"/>
          <w:b/>
          <w:bCs/>
        </w:rPr>
        <w:t>modificar la respuesta a través del informe justificado y atender lo solicitado</w:t>
      </w:r>
      <w:r>
        <w:rPr>
          <w:rFonts w:ascii="Palatino Linotype" w:eastAsia="Palatino Linotype" w:hAnsi="Palatino Linotype" w:cs="Palatino Linotype"/>
        </w:rPr>
        <w:t xml:space="preserve">, el recurso de revisión quedó sin materia en términos del Considerando </w:t>
      </w:r>
      <w:r>
        <w:rPr>
          <w:rFonts w:ascii="Palatino Linotype" w:eastAsia="Palatino Linotype" w:hAnsi="Palatino Linotype" w:cs="Palatino Linotype"/>
          <w:b/>
          <w:bCs/>
        </w:rPr>
        <w:t>TERCERO</w:t>
      </w:r>
      <w:r>
        <w:rPr>
          <w:rFonts w:ascii="Palatino Linotype" w:eastAsia="Palatino Linotype" w:hAnsi="Palatino Linotype" w:cs="Palatino Linotype"/>
        </w:rPr>
        <w:t xml:space="preserve"> de la presente resolución.</w:t>
      </w:r>
    </w:p>
    <w:p w:rsidR="001E3FA4" w:rsidRDefault="001E3FA4">
      <w:pPr>
        <w:spacing w:line="360" w:lineRule="auto"/>
        <w:ind w:right="-876"/>
        <w:jc w:val="both"/>
        <w:rPr>
          <w:rFonts w:ascii="Palatino Linotype" w:eastAsia="Palatino Linotype" w:hAnsi="Palatino Linotype" w:cs="Palatino Linotype"/>
        </w:rPr>
      </w:pPr>
    </w:p>
    <w:p w:rsidR="001E3FA4" w:rsidRDefault="0056610B">
      <w:pPr>
        <w:spacing w:line="360" w:lineRule="auto"/>
        <w:ind w:right="-876"/>
        <w:jc w:val="both"/>
        <w:rPr>
          <w:rFonts w:ascii="Palatino Linotype" w:eastAsia="Palatino Linotype" w:hAnsi="Palatino Linotype" w:cs="Palatino Linotype"/>
          <w:b/>
          <w:bCs/>
        </w:rPr>
      </w:pPr>
      <w:r>
        <w:rPr>
          <w:rFonts w:ascii="Palatino Linotype" w:eastAsia="Palatino Linotype" w:hAnsi="Palatino Linotype" w:cs="Palatino Linotype"/>
          <w:b/>
          <w:bCs/>
        </w:rPr>
        <w:t>SEGUNDO. Notifíquese</w:t>
      </w:r>
      <w:r w:rsidR="000A4E9E">
        <w:rPr>
          <w:rFonts w:ascii="Palatino Linotype" w:eastAsia="Palatino Linotype" w:hAnsi="Palatino Linotype" w:cs="Palatino Linotype"/>
          <w:b/>
          <w:bCs/>
        </w:rPr>
        <w:t xml:space="preserve"> </w:t>
      </w:r>
      <w:r w:rsidR="000A4E9E">
        <w:rPr>
          <w:rFonts w:ascii="Palatino Linotype" w:eastAsia="Palatino Linotype" w:hAnsi="Palatino Linotype" w:cs="Palatino Linotype"/>
        </w:rPr>
        <w:t xml:space="preserve">a través del Sistema de Acceso a la Información Mexiquense </w:t>
      </w:r>
      <w:r w:rsidR="000A4E9E">
        <w:rPr>
          <w:rFonts w:ascii="Palatino Linotype" w:eastAsia="Palatino Linotype" w:hAnsi="Palatino Linotype" w:cs="Palatino Linotype"/>
          <w:b/>
          <w:bCs/>
        </w:rPr>
        <w:t xml:space="preserve">(SAIMEX) </w:t>
      </w:r>
      <w:r w:rsidR="000A4E9E">
        <w:rPr>
          <w:rFonts w:ascii="Palatino Linotype" w:eastAsia="Palatino Linotype" w:hAnsi="Palatino Linotype" w:cs="Palatino Linotype"/>
        </w:rPr>
        <w:t>la presente resolución al Titular de la Unidad de Transparencia del</w:t>
      </w:r>
      <w:r w:rsidR="000A4E9E">
        <w:rPr>
          <w:rFonts w:ascii="Palatino Linotype" w:eastAsia="Palatino Linotype" w:hAnsi="Palatino Linotype" w:cs="Palatino Linotype"/>
          <w:b/>
          <w:bCs/>
        </w:rPr>
        <w:t xml:space="preserve"> SUJETO OBLIGADO. </w:t>
      </w:r>
    </w:p>
    <w:p w:rsidR="001E3FA4" w:rsidRDefault="000A4E9E">
      <w:pPr>
        <w:tabs>
          <w:tab w:val="left" w:pos="3263"/>
        </w:tabs>
        <w:spacing w:line="360" w:lineRule="auto"/>
        <w:ind w:right="-876"/>
        <w:jc w:val="both"/>
        <w:rPr>
          <w:rFonts w:ascii="Palatino Linotype" w:eastAsia="Palatino Linotype" w:hAnsi="Palatino Linotype" w:cs="Palatino Linotype"/>
          <w:b/>
          <w:bCs/>
        </w:rPr>
      </w:pPr>
      <w:r>
        <w:rPr>
          <w:rFonts w:ascii="Palatino Linotype" w:eastAsia="Palatino Linotype" w:hAnsi="Palatino Linotype" w:cs="Palatino Linotype"/>
          <w:b/>
          <w:bCs/>
        </w:rPr>
        <w:tab/>
      </w:r>
    </w:p>
    <w:p w:rsidR="001E3FA4" w:rsidRDefault="000A4E9E">
      <w:pPr>
        <w:spacing w:line="360" w:lineRule="auto"/>
        <w:ind w:right="-876"/>
        <w:jc w:val="both"/>
        <w:rPr>
          <w:rFonts w:ascii="Palatino Linotype" w:eastAsia="Palatino Linotype" w:hAnsi="Palatino Linotype" w:cs="Palatino Linotype"/>
          <w:color w:val="222222"/>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vía SAIMEX.</w:t>
      </w:r>
    </w:p>
    <w:p w:rsidR="001E3FA4" w:rsidRDefault="001E3FA4">
      <w:pPr>
        <w:spacing w:line="360" w:lineRule="auto"/>
        <w:ind w:right="-876"/>
        <w:jc w:val="both"/>
        <w:rPr>
          <w:rFonts w:ascii="Palatino Linotype" w:eastAsia="Palatino Linotype" w:hAnsi="Palatino Linotype" w:cs="Palatino Linotype"/>
          <w:color w:val="222222"/>
        </w:rPr>
      </w:pPr>
    </w:p>
    <w:p w:rsidR="001E3FA4" w:rsidRDefault="000A4E9E">
      <w:pPr>
        <w:spacing w:line="360" w:lineRule="auto"/>
        <w:ind w:right="-876"/>
        <w:jc w:val="both"/>
        <w:rPr>
          <w:rFonts w:ascii="Palatino Linotype" w:eastAsia="Palatino Linotype" w:hAnsi="Palatino Linotype" w:cs="Palatino Linotype"/>
        </w:rPr>
      </w:pPr>
      <w:r>
        <w:rPr>
          <w:rFonts w:ascii="Palatino Linotype" w:eastAsia="Palatino Linotype" w:hAnsi="Palatino Linotype" w:cs="Palatino Linotype"/>
          <w:b/>
          <w:bCs/>
        </w:rPr>
        <w:t>CUARTO.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56610B" w:rsidRPr="003E2295" w:rsidRDefault="0056610B" w:rsidP="0056610B">
      <w:pPr>
        <w:spacing w:before="240" w:after="240" w:line="360" w:lineRule="auto"/>
        <w:ind w:right="-879" w:firstLine="1"/>
        <w:jc w:val="both"/>
        <w:rPr>
          <w:rFonts w:ascii="Palatino Linotype" w:hAnsi="Palatino Linotype"/>
        </w:rPr>
      </w:pPr>
      <w:bookmarkStart w:id="6"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 xml:space="preserve">RDINARIA, CELEBRADA EL </w:t>
      </w:r>
      <w:r>
        <w:rPr>
          <w:rFonts w:ascii="Palatino Linotype" w:hAnsi="Palatino Linotype" w:cs="Palatino Linotype"/>
        </w:rPr>
        <w:lastRenderedPageBreak/>
        <w:t>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6"/>
    <w:p w:rsidR="001E3FA4" w:rsidRDefault="001E3FA4" w:rsidP="0056610B">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rPr>
      </w:pPr>
    </w:p>
    <w:p w:rsidR="001E3FA4" w:rsidRDefault="001E3FA4" w:rsidP="0056610B">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rPr>
      </w:pPr>
    </w:p>
    <w:p w:rsidR="001E3FA4" w:rsidRDefault="001E3FA4" w:rsidP="0056610B">
      <w:pPr>
        <w:pBdr>
          <w:top w:val="nil"/>
          <w:left w:val="nil"/>
          <w:bottom w:val="nil"/>
          <w:right w:val="nil"/>
          <w:between w:val="nil"/>
        </w:pBdr>
        <w:tabs>
          <w:tab w:val="left" w:pos="284"/>
        </w:tabs>
        <w:spacing w:line="360" w:lineRule="auto"/>
        <w:ind w:right="-879"/>
        <w:jc w:val="both"/>
        <w:rPr>
          <w:rFonts w:ascii="Palatino Linotype" w:eastAsia="Palatino Linotype" w:hAnsi="Palatino Linotype" w:cs="Palatino Linotype"/>
        </w:rPr>
      </w:pPr>
    </w:p>
    <w:p w:rsidR="001E3FA4" w:rsidRDefault="001E3FA4">
      <w:pPr>
        <w:pBdr>
          <w:top w:val="nil"/>
          <w:left w:val="nil"/>
          <w:bottom w:val="nil"/>
          <w:right w:val="nil"/>
          <w:between w:val="nil"/>
        </w:pBdr>
        <w:tabs>
          <w:tab w:val="left" w:pos="284"/>
        </w:tabs>
        <w:spacing w:line="360" w:lineRule="auto"/>
        <w:ind w:right="-876"/>
        <w:jc w:val="both"/>
        <w:rPr>
          <w:rFonts w:ascii="Palatino Linotype" w:eastAsia="Palatino Linotype" w:hAnsi="Palatino Linotype" w:cs="Palatino Linotype"/>
        </w:rPr>
      </w:pP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1E3FA4">
      <w:pPr>
        <w:pBdr>
          <w:top w:val="nil"/>
          <w:left w:val="nil"/>
          <w:bottom w:val="nil"/>
          <w:right w:val="nil"/>
          <w:between w:val="nil"/>
        </w:pBdr>
        <w:ind w:left="720" w:right="-876"/>
        <w:jc w:val="both"/>
        <w:rPr>
          <w:rFonts w:ascii="Palatino Linotype" w:eastAsia="Palatino Linotype" w:hAnsi="Palatino Linotype" w:cs="Palatino Linotype"/>
          <w:color w:val="000000"/>
        </w:rPr>
      </w:pPr>
    </w:p>
    <w:p w:rsidR="001E3FA4" w:rsidRDefault="001E3FA4">
      <w:pPr>
        <w:pBdr>
          <w:top w:val="nil"/>
          <w:left w:val="nil"/>
          <w:bottom w:val="nil"/>
          <w:right w:val="nil"/>
          <w:between w:val="nil"/>
        </w:pBdr>
        <w:spacing w:line="360" w:lineRule="auto"/>
        <w:ind w:right="-876"/>
        <w:jc w:val="both"/>
        <w:rPr>
          <w:rFonts w:ascii="Palatino Linotype" w:eastAsia="Palatino Linotype" w:hAnsi="Palatino Linotype" w:cs="Palatino Linotype"/>
          <w:color w:val="000000"/>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1E3FA4" w:rsidRDefault="001E3FA4">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4B66E7" w:rsidRDefault="004B66E7">
      <w:pPr>
        <w:ind w:right="-876"/>
        <w:jc w:val="both"/>
        <w:rPr>
          <w:rFonts w:ascii="Palatino Linotype" w:eastAsia="Palatino Linotype" w:hAnsi="Palatino Linotype" w:cs="Palatino Linotype"/>
        </w:rPr>
      </w:pPr>
    </w:p>
    <w:p w:rsidR="001E3FA4" w:rsidRDefault="001E3FA4">
      <w:pPr>
        <w:ind w:right="-876"/>
      </w:pPr>
    </w:p>
    <w:p w:rsidR="001E3FA4" w:rsidRDefault="001E3FA4">
      <w:pPr>
        <w:ind w:right="-876"/>
      </w:pPr>
    </w:p>
    <w:sectPr w:rsidR="001E3FA4">
      <w:headerReference w:type="even" r:id="rId46"/>
      <w:headerReference w:type="default" r:id="rId47"/>
      <w:footerReference w:type="default" r:id="rId48"/>
      <w:headerReference w:type="first" r:id="rId49"/>
      <w:footerReference w:type="first" r:id="rId50"/>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28D2" w:rsidRDefault="00B828D2">
      <w:r>
        <w:separator/>
      </w:r>
    </w:p>
  </w:endnote>
  <w:endnote w:type="continuationSeparator" w:id="0">
    <w:p w:rsidR="00B828D2" w:rsidRDefault="00B82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637B13B7-020E-415D-97DC-0B23B2360486}"/>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332C916E-5DED-47FF-BEC9-9BBB4CC8DFA4}"/>
    <w:embedBold r:id="rId3" w:fontKey="{C5CF5CA0-6C0D-4F42-B5BB-A65962D19C45}"/>
    <w:embedItalic r:id="rId4" w:fontKey="{53CBB555-CCD5-42C2-B048-355F77A575C1}"/>
    <w:embedBoldItalic r:id="rId5" w:fontKey="{A0CF5628-CC4D-4E87-87F7-D9A41E2CE907}"/>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A9630736-6FC8-4CC0-AA2F-DC2618DD174E}"/>
  </w:font>
  <w:font w:name="Georgia">
    <w:panose1 w:val="02040502050405020303"/>
    <w:charset w:val="00"/>
    <w:family w:val="roman"/>
    <w:pitch w:val="variable"/>
    <w:sig w:usb0="00000287" w:usb1="00000000" w:usb2="00000000" w:usb3="00000000" w:csb0="0000009F" w:csb1="00000000"/>
    <w:embedItalic r:id="rId7" w:fontKey="{2699B0B9-EB25-4FB6-877D-C34439C4F1DB}"/>
  </w:font>
  <w:font w:name="Garamond">
    <w:panose1 w:val="02020404030301010803"/>
    <w:charset w:val="00"/>
    <w:family w:val="roman"/>
    <w:pitch w:val="variable"/>
    <w:sig w:usb0="00000287" w:usb1="00000000" w:usb2="00000000" w:usb3="00000000" w:csb0="0000009F" w:csb1="00000000"/>
    <w:embedRegular r:id="rId8" w:fontKey="{7F5297A0-2EEA-4FCF-A51C-560403A91D2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9F6CEB1D-E625-4D7D-83DB-F366ECA6A6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FA4" w:rsidRDefault="000A4E9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B66E7">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B66E7">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1E3FA4" w:rsidRDefault="001E3FA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FA4" w:rsidRDefault="000A4E9E">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B66E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B66E7">
      <w:rPr>
        <w:rFonts w:ascii="Palatino Linotype" w:eastAsia="Palatino Linotype" w:hAnsi="Palatino Linotype" w:cs="Palatino Linotype"/>
        <w:b/>
        <w:bCs/>
        <w:noProof/>
        <w:color w:val="000000"/>
        <w:sz w:val="22"/>
        <w:szCs w:val="22"/>
      </w:rPr>
      <w:t>22</w:t>
    </w:r>
    <w:r>
      <w:rPr>
        <w:rFonts w:ascii="Palatino Linotype" w:eastAsia="Palatino Linotype" w:hAnsi="Palatino Linotype" w:cs="Palatino Linotype"/>
        <w:b/>
        <w:bCs/>
        <w:color w:val="000000"/>
        <w:sz w:val="22"/>
        <w:szCs w:val="22"/>
      </w:rPr>
      <w:fldChar w:fldCharType="end"/>
    </w:r>
  </w:p>
  <w:p w:rsidR="001E3FA4" w:rsidRDefault="001E3FA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28D2" w:rsidRDefault="00B828D2">
      <w:r>
        <w:separator/>
      </w:r>
    </w:p>
  </w:footnote>
  <w:footnote w:type="continuationSeparator" w:id="0">
    <w:p w:rsidR="00B828D2" w:rsidRDefault="00B828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3FA4" w:rsidRDefault="00B828D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5"/>
      <w:gridCol w:w="8225"/>
    </w:tblGrid>
    <w:tr w:rsidR="001E3FA4" w:rsidTr="004B66E7">
      <w:trPr>
        <w:trHeight w:val="1435"/>
      </w:trPr>
      <w:tc>
        <w:tcPr>
          <w:tcW w:w="2265" w:type="dxa"/>
          <w:shd w:val="clear" w:color="auto" w:fill="auto"/>
        </w:tcPr>
        <w:p w:rsidR="001E3FA4" w:rsidRDefault="001E3FA4">
          <w:pPr>
            <w:tabs>
              <w:tab w:val="right" w:pos="4273"/>
            </w:tabs>
            <w:rPr>
              <w:rFonts w:ascii="Garamond" w:eastAsia="Garamond" w:hAnsi="Garamond" w:cs="Garamond"/>
              <w:sz w:val="16"/>
              <w:szCs w:val="16"/>
            </w:rPr>
          </w:pPr>
        </w:p>
      </w:tc>
      <w:tc>
        <w:tcPr>
          <w:tcW w:w="8225" w:type="dxa"/>
          <w:shd w:val="clear" w:color="auto" w:fill="auto"/>
        </w:tcPr>
        <w:tbl>
          <w:tblPr>
            <w:tblStyle w:val="a1"/>
            <w:tblW w:w="7513" w:type="dxa"/>
            <w:tblInd w:w="739" w:type="dxa"/>
            <w:tblLayout w:type="fixed"/>
            <w:tblLook w:val="0400" w:firstRow="0" w:lastRow="0" w:firstColumn="0" w:lastColumn="0" w:noHBand="0" w:noVBand="1"/>
          </w:tblPr>
          <w:tblGrid>
            <w:gridCol w:w="3497"/>
            <w:gridCol w:w="4016"/>
          </w:tblGrid>
          <w:tr w:rsidR="001E3FA4" w:rsidTr="004B66E7">
            <w:trPr>
              <w:trHeight w:val="150"/>
            </w:trPr>
            <w:tc>
              <w:tcPr>
                <w:tcW w:w="3497" w:type="dxa"/>
                <w:shd w:val="clear" w:color="auto" w:fill="auto"/>
              </w:tcPr>
              <w:p w:rsidR="001E3FA4" w:rsidRDefault="000A4E9E">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016" w:type="dxa"/>
                <w:shd w:val="clear" w:color="auto" w:fill="auto"/>
              </w:tcPr>
              <w:p w:rsidR="001E3FA4" w:rsidRDefault="000A4E9E">
                <w:pPr>
                  <w:ind w:right="-1090"/>
                  <w:jc w:val="both"/>
                  <w:rPr>
                    <w:rFonts w:ascii="Palatino Linotype" w:eastAsia="Palatino Linotype" w:hAnsi="Palatino Linotype" w:cs="Palatino Linotype"/>
                  </w:rPr>
                </w:pPr>
                <w:r>
                  <w:rPr>
                    <w:rFonts w:ascii="Palatino Linotype" w:eastAsia="Palatino Linotype" w:hAnsi="Palatino Linotype" w:cs="Palatino Linotype"/>
                  </w:rPr>
                  <w:t>12303/INFOEM/IP/RR/2025</w:t>
                </w:r>
                <w:r>
                  <w:rPr>
                    <w:rFonts w:ascii="Palatino Linotype" w:eastAsia="Palatino Linotype" w:hAnsi="Palatino Linotype" w:cs="Palatino Linotype"/>
                    <w:b/>
                    <w:bCs/>
                  </w:rPr>
                  <w:t xml:space="preserve"> </w:t>
                </w:r>
              </w:p>
            </w:tc>
          </w:tr>
          <w:tr w:rsidR="001E3FA4" w:rsidTr="004B66E7">
            <w:trPr>
              <w:trHeight w:val="295"/>
            </w:trPr>
            <w:tc>
              <w:tcPr>
                <w:tcW w:w="3497" w:type="dxa"/>
                <w:shd w:val="clear" w:color="auto" w:fill="auto"/>
              </w:tcPr>
              <w:p w:rsidR="001E3FA4" w:rsidRDefault="000A4E9E">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016" w:type="dxa"/>
                <w:shd w:val="clear" w:color="auto" w:fill="auto"/>
              </w:tcPr>
              <w:p w:rsidR="001E3FA4" w:rsidRDefault="000A4E9E">
                <w:pPr>
                  <w:tabs>
                    <w:tab w:val="left" w:pos="2834"/>
                    <w:tab w:val="right" w:pos="8838"/>
                  </w:tabs>
                  <w:ind w:right="-1090"/>
                  <w:jc w:val="both"/>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1E3FA4" w:rsidTr="004B66E7">
            <w:trPr>
              <w:trHeight w:val="295"/>
            </w:trPr>
            <w:tc>
              <w:tcPr>
                <w:tcW w:w="3497" w:type="dxa"/>
                <w:shd w:val="clear" w:color="auto" w:fill="auto"/>
              </w:tcPr>
              <w:p w:rsidR="001E3FA4" w:rsidRDefault="000A4E9E">
                <w:pPr>
                  <w:tabs>
                    <w:tab w:val="right" w:pos="8838"/>
                  </w:tabs>
                  <w:ind w:left="708"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016" w:type="dxa"/>
                <w:shd w:val="clear" w:color="auto" w:fill="auto"/>
              </w:tcPr>
              <w:p w:rsidR="001E3FA4" w:rsidRDefault="000A4E9E">
                <w:pPr>
                  <w:tabs>
                    <w:tab w:val="right" w:pos="8838"/>
                  </w:tabs>
                  <w:ind w:right="-1090"/>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1E3FA4" w:rsidRDefault="001E3FA4">
                <w:pPr>
                  <w:tabs>
                    <w:tab w:val="right" w:pos="8838"/>
                  </w:tabs>
                  <w:ind w:right="-1090"/>
                  <w:jc w:val="both"/>
                  <w:rPr>
                    <w:rFonts w:ascii="Palatino Linotype" w:eastAsia="Palatino Linotype" w:hAnsi="Palatino Linotype" w:cs="Palatino Linotype"/>
                    <w:b/>
                    <w:bCs/>
                  </w:rPr>
                </w:pPr>
              </w:p>
            </w:tc>
          </w:tr>
        </w:tbl>
        <w:p w:rsidR="001E3FA4" w:rsidRDefault="001E3FA4">
          <w:pPr>
            <w:tabs>
              <w:tab w:val="right" w:pos="8838"/>
            </w:tabs>
            <w:ind w:left="-28"/>
            <w:jc w:val="both"/>
            <w:rPr>
              <w:rFonts w:ascii="Arial" w:eastAsia="Arial" w:hAnsi="Arial" w:cs="Arial"/>
              <w:b/>
              <w:bCs/>
              <w:sz w:val="22"/>
              <w:szCs w:val="22"/>
            </w:rPr>
          </w:pPr>
        </w:p>
      </w:tc>
    </w:tr>
  </w:tbl>
  <w:p w:rsidR="001E3FA4" w:rsidRDefault="00B828D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020" w:type="dxa"/>
      <w:tblInd w:w="0" w:type="dxa"/>
      <w:tblLayout w:type="fixed"/>
      <w:tblLook w:val="0400" w:firstRow="0" w:lastRow="0" w:firstColumn="0" w:lastColumn="0" w:noHBand="0" w:noVBand="1"/>
    </w:tblPr>
    <w:tblGrid>
      <w:gridCol w:w="2265"/>
      <w:gridCol w:w="7755"/>
    </w:tblGrid>
    <w:tr w:rsidR="001E3FA4">
      <w:trPr>
        <w:trHeight w:val="1435"/>
      </w:trPr>
      <w:tc>
        <w:tcPr>
          <w:tcW w:w="2265" w:type="dxa"/>
          <w:shd w:val="clear" w:color="auto" w:fill="auto"/>
        </w:tcPr>
        <w:p w:rsidR="001E3FA4" w:rsidRDefault="001E3FA4">
          <w:pPr>
            <w:tabs>
              <w:tab w:val="right" w:pos="4273"/>
            </w:tabs>
            <w:rPr>
              <w:rFonts w:ascii="Garamond" w:eastAsia="Garamond" w:hAnsi="Garamond" w:cs="Garamond"/>
              <w:sz w:val="22"/>
              <w:szCs w:val="22"/>
            </w:rPr>
          </w:pPr>
        </w:p>
      </w:tc>
      <w:tc>
        <w:tcPr>
          <w:tcW w:w="7755" w:type="dxa"/>
          <w:shd w:val="clear" w:color="auto" w:fill="auto"/>
        </w:tcPr>
        <w:tbl>
          <w:tblPr>
            <w:tblStyle w:val="a3"/>
            <w:tblW w:w="7395" w:type="dxa"/>
            <w:tblInd w:w="739" w:type="dxa"/>
            <w:tblLayout w:type="fixed"/>
            <w:tblLook w:val="0400" w:firstRow="0" w:lastRow="0" w:firstColumn="0" w:lastColumn="0" w:noHBand="0" w:noVBand="1"/>
          </w:tblPr>
          <w:tblGrid>
            <w:gridCol w:w="3512"/>
            <w:gridCol w:w="3883"/>
          </w:tblGrid>
          <w:tr w:rsidR="001E3FA4" w:rsidTr="00603F54">
            <w:trPr>
              <w:trHeight w:val="144"/>
            </w:trPr>
            <w:tc>
              <w:tcPr>
                <w:tcW w:w="3512" w:type="dxa"/>
                <w:shd w:val="clear" w:color="auto" w:fill="auto"/>
              </w:tcPr>
              <w:p w:rsidR="001E3FA4" w:rsidRDefault="000A4E9E">
                <w:pPr>
                  <w:tabs>
                    <w:tab w:val="right" w:pos="8838"/>
                  </w:tabs>
                  <w:ind w:left="850"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883" w:type="dxa"/>
                <w:shd w:val="clear" w:color="auto" w:fill="auto"/>
              </w:tcPr>
              <w:p w:rsidR="001E3FA4" w:rsidRDefault="000A4E9E">
                <w:pPr>
                  <w:tabs>
                    <w:tab w:val="right" w:pos="8838"/>
                  </w:tabs>
                  <w:ind w:right="-1269"/>
                  <w:rPr>
                    <w:rFonts w:ascii="Palatino Linotype" w:eastAsia="Palatino Linotype" w:hAnsi="Palatino Linotype" w:cs="Palatino Linotype"/>
                  </w:rPr>
                </w:pPr>
                <w:r>
                  <w:rPr>
                    <w:rFonts w:ascii="Palatino Linotype" w:eastAsia="Palatino Linotype" w:hAnsi="Palatino Linotype" w:cs="Palatino Linotype"/>
                  </w:rPr>
                  <w:t>12303/INFOEM/IP/RR/2025</w:t>
                </w:r>
              </w:p>
            </w:tc>
          </w:tr>
          <w:tr w:rsidR="001E3FA4" w:rsidTr="00603F54">
            <w:trPr>
              <w:trHeight w:val="144"/>
            </w:trPr>
            <w:tc>
              <w:tcPr>
                <w:tcW w:w="3512" w:type="dxa"/>
                <w:shd w:val="clear" w:color="auto" w:fill="auto"/>
              </w:tcPr>
              <w:p w:rsidR="001E3FA4" w:rsidRDefault="000A4E9E">
                <w:pPr>
                  <w:tabs>
                    <w:tab w:val="right" w:pos="8838"/>
                  </w:tabs>
                  <w:ind w:left="850"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883" w:type="dxa"/>
                <w:shd w:val="clear" w:color="auto" w:fill="auto"/>
              </w:tcPr>
              <w:p w:rsidR="001E3FA4" w:rsidRDefault="000A4E9E">
                <w:pPr>
                  <w:tabs>
                    <w:tab w:val="left" w:pos="3122"/>
                    <w:tab w:val="right" w:pos="8838"/>
                  </w:tabs>
                  <w:ind w:right="-1269"/>
                  <w:rPr>
                    <w:rFonts w:ascii="Palatino Linotype" w:eastAsia="Palatino Linotype" w:hAnsi="Palatino Linotype" w:cs="Palatino Linotype"/>
                  </w:rPr>
                </w:pPr>
                <w:r>
                  <w:rPr>
                    <w:rFonts w:ascii="Palatino Linotype" w:eastAsia="Palatino Linotype" w:hAnsi="Palatino Linotype" w:cs="Palatino Linotype"/>
                    <w:b/>
                    <w:bCs/>
                  </w:rPr>
                  <w:t> </w:t>
                </w:r>
              </w:p>
            </w:tc>
          </w:tr>
          <w:tr w:rsidR="001E3FA4" w:rsidTr="00603F54">
            <w:trPr>
              <w:trHeight w:val="283"/>
            </w:trPr>
            <w:tc>
              <w:tcPr>
                <w:tcW w:w="3512" w:type="dxa"/>
                <w:shd w:val="clear" w:color="auto" w:fill="auto"/>
              </w:tcPr>
              <w:p w:rsidR="001E3FA4" w:rsidRDefault="000A4E9E">
                <w:pPr>
                  <w:tabs>
                    <w:tab w:val="right" w:pos="8838"/>
                  </w:tabs>
                  <w:ind w:left="850"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883" w:type="dxa"/>
                <w:shd w:val="clear" w:color="auto" w:fill="auto"/>
              </w:tcPr>
              <w:p w:rsidR="001E3FA4" w:rsidRDefault="000A4E9E">
                <w:pPr>
                  <w:tabs>
                    <w:tab w:val="left" w:pos="2834"/>
                    <w:tab w:val="right" w:pos="8838"/>
                  </w:tabs>
                  <w:ind w:right="-1269"/>
                  <w:rPr>
                    <w:rFonts w:ascii="Palatino Linotype" w:eastAsia="Palatino Linotype" w:hAnsi="Palatino Linotype" w:cs="Palatino Linotype"/>
                  </w:rPr>
                </w:pPr>
                <w:r>
                  <w:rPr>
                    <w:rFonts w:ascii="Palatino Linotype" w:eastAsia="Palatino Linotype" w:hAnsi="Palatino Linotype" w:cs="Palatino Linotype"/>
                  </w:rPr>
                  <w:t>Ayuntamiento de Toluca</w:t>
                </w:r>
              </w:p>
            </w:tc>
          </w:tr>
          <w:tr w:rsidR="001E3FA4" w:rsidTr="00603F54">
            <w:trPr>
              <w:trHeight w:val="283"/>
            </w:trPr>
            <w:tc>
              <w:tcPr>
                <w:tcW w:w="3512" w:type="dxa"/>
                <w:shd w:val="clear" w:color="auto" w:fill="auto"/>
              </w:tcPr>
              <w:p w:rsidR="001E3FA4" w:rsidRDefault="000A4E9E">
                <w:pPr>
                  <w:tabs>
                    <w:tab w:val="right" w:pos="8838"/>
                  </w:tabs>
                  <w:ind w:left="850" w:right="-105"/>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3883" w:type="dxa"/>
                <w:shd w:val="clear" w:color="auto" w:fill="auto"/>
              </w:tcPr>
              <w:p w:rsidR="001E3FA4" w:rsidRDefault="000A4E9E">
                <w:pPr>
                  <w:tabs>
                    <w:tab w:val="right" w:pos="8838"/>
                  </w:tabs>
                  <w:ind w:right="-1269"/>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1E3FA4" w:rsidRDefault="001E3FA4">
                <w:pPr>
                  <w:tabs>
                    <w:tab w:val="right" w:pos="8838"/>
                  </w:tabs>
                  <w:ind w:right="-1269"/>
                  <w:rPr>
                    <w:rFonts w:ascii="Palatino Linotype" w:eastAsia="Palatino Linotype" w:hAnsi="Palatino Linotype" w:cs="Palatino Linotype"/>
                    <w:b/>
                    <w:bCs/>
                  </w:rPr>
                </w:pPr>
              </w:p>
            </w:tc>
          </w:tr>
        </w:tbl>
        <w:p w:rsidR="001E3FA4" w:rsidRDefault="001E3FA4">
          <w:pPr>
            <w:tabs>
              <w:tab w:val="right" w:pos="8838"/>
            </w:tabs>
            <w:ind w:left="-28"/>
            <w:jc w:val="both"/>
            <w:rPr>
              <w:rFonts w:ascii="Arial" w:eastAsia="Arial" w:hAnsi="Arial" w:cs="Arial"/>
              <w:b/>
              <w:bCs/>
              <w:sz w:val="22"/>
              <w:szCs w:val="22"/>
            </w:rPr>
          </w:pPr>
        </w:p>
      </w:tc>
    </w:tr>
  </w:tbl>
  <w:p w:rsidR="001E3FA4" w:rsidRDefault="00603F54">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4pt;margin-top:-122.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596"/>
    <w:multiLevelType w:val="multilevel"/>
    <w:tmpl w:val="A9500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AB640C"/>
    <w:multiLevelType w:val="multilevel"/>
    <w:tmpl w:val="CF06B04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24A61AFF"/>
    <w:multiLevelType w:val="multilevel"/>
    <w:tmpl w:val="CA525FC2"/>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3" w15:restartNumberingAfterBreak="0">
    <w:nsid w:val="2CC36269"/>
    <w:multiLevelType w:val="multilevel"/>
    <w:tmpl w:val="50868F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9D6205"/>
    <w:multiLevelType w:val="multilevel"/>
    <w:tmpl w:val="51D6EC14"/>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B16474E"/>
    <w:multiLevelType w:val="multilevel"/>
    <w:tmpl w:val="8BBAFA4E"/>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BB813C2"/>
    <w:multiLevelType w:val="multilevel"/>
    <w:tmpl w:val="66B6C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A4"/>
    <w:rsid w:val="000A4E9E"/>
    <w:rsid w:val="001B3DC2"/>
    <w:rsid w:val="001E3FA4"/>
    <w:rsid w:val="004B66E7"/>
    <w:rsid w:val="0053694D"/>
    <w:rsid w:val="0056610B"/>
    <w:rsid w:val="00603F54"/>
    <w:rsid w:val="008D3288"/>
    <w:rsid w:val="00AA3B7B"/>
    <w:rsid w:val="00B828D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410CAC0-DE9D-4D93-90C6-D93225BC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603F54"/>
    <w:pPr>
      <w:tabs>
        <w:tab w:val="center" w:pos="4419"/>
        <w:tab w:val="right" w:pos="8838"/>
      </w:tabs>
    </w:pPr>
  </w:style>
  <w:style w:type="character" w:customStyle="1" w:styleId="PiedepginaCar">
    <w:name w:val="Pie de página Car"/>
    <w:basedOn w:val="Fuentedeprrafopredeter"/>
    <w:link w:val="Piedepgina"/>
    <w:uiPriority w:val="99"/>
    <w:rsid w:val="00603F54"/>
  </w:style>
  <w:style w:type="paragraph" w:styleId="Prrafodelista">
    <w:name w:val="List Paragraph"/>
    <w:basedOn w:val="Normal"/>
    <w:uiPriority w:val="34"/>
    <w:qFormat/>
    <w:rsid w:val="004B66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imex.org.mx/saimex/solicitud/downloadAttach/2585602.page" TargetMode="External"/><Relationship Id="rId18" Type="http://schemas.openxmlformats.org/officeDocument/2006/relationships/hyperlink" Target="https://www.saimex.org.mx/saimex/solicitud/downloadAttach/2589016.page" TargetMode="External"/><Relationship Id="rId26" Type="http://schemas.openxmlformats.org/officeDocument/2006/relationships/hyperlink" Target="https://www.saimex.org.mx/saimex/solicitud/downloadAttach/2594817.page" TargetMode="External"/><Relationship Id="rId39" Type="http://schemas.openxmlformats.org/officeDocument/2006/relationships/hyperlink" Target="https://www.saimex.org.mx/saimex/solicitud/downloadAttach/2601341.page" TargetMode="External"/><Relationship Id="rId21" Type="http://schemas.openxmlformats.org/officeDocument/2006/relationships/hyperlink" Target="https://www.saimex.org.mx/saimex/solicitud/downloadAttach/2591289.page" TargetMode="External"/><Relationship Id="rId34" Type="http://schemas.openxmlformats.org/officeDocument/2006/relationships/hyperlink" Target="https://www.saimex.org.mx/saimex/solicitud/downloadAttach/2599286.page" TargetMode="External"/><Relationship Id="rId42" Type="http://schemas.openxmlformats.org/officeDocument/2006/relationships/hyperlink" Target="https://www.saimex.org.mx/saimex/solicitud/downloadAttach/2618377.page" TargetMode="External"/><Relationship Id="rId47" Type="http://schemas.openxmlformats.org/officeDocument/2006/relationships/header" Target="header2.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aimex.org.mx/saimex/solicitud/downloadAttach/2587738.page" TargetMode="External"/><Relationship Id="rId29" Type="http://schemas.openxmlformats.org/officeDocument/2006/relationships/hyperlink" Target="https://www.saimex.org.mx/saimex/solicitud/downloadAttach/2595565.page" TargetMode="External"/><Relationship Id="rId11" Type="http://schemas.openxmlformats.org/officeDocument/2006/relationships/hyperlink" Target="https://www.saimex.org.mx/saimex/solicitud/downloadAttach/2585250.page" TargetMode="External"/><Relationship Id="rId24" Type="http://schemas.openxmlformats.org/officeDocument/2006/relationships/hyperlink" Target="https://www.saimex.org.mx/saimex/solicitud/downloadAttach/2591300.page" TargetMode="External"/><Relationship Id="rId32" Type="http://schemas.openxmlformats.org/officeDocument/2006/relationships/hyperlink" Target="https://www.saimex.org.mx/saimex/solicitud/downloadAttach/2599255.page" TargetMode="External"/><Relationship Id="rId37" Type="http://schemas.openxmlformats.org/officeDocument/2006/relationships/hyperlink" Target="https://www.saimex.org.mx/saimex/solicitud/downloadAttach/2600460.page" TargetMode="External"/><Relationship Id="rId40" Type="http://schemas.openxmlformats.org/officeDocument/2006/relationships/hyperlink" Target="https://www.saimex.org.mx/saimex/solicitud/downloadAttach/2601654.page" TargetMode="External"/><Relationship Id="rId45" Type="http://schemas.openxmlformats.org/officeDocument/2006/relationships/hyperlink" Target="https://www.saimex.org.mx/saimex/solicitud/downloadAttach/2621377.page" TargetMode="External"/><Relationship Id="rId5" Type="http://schemas.openxmlformats.org/officeDocument/2006/relationships/webSettings" Target="webSettings.xml"/><Relationship Id="rId15" Type="http://schemas.openxmlformats.org/officeDocument/2006/relationships/hyperlink" Target="https://www.saimex.org.mx/saimex/solicitud/downloadAttach/2587382.page" TargetMode="External"/><Relationship Id="rId23" Type="http://schemas.openxmlformats.org/officeDocument/2006/relationships/hyperlink" Target="https://www.saimex.org.mx/saimex/solicitud/downloadAttach/2591290.page" TargetMode="External"/><Relationship Id="rId28" Type="http://schemas.openxmlformats.org/officeDocument/2006/relationships/hyperlink" Target="https://www.saimex.org.mx/saimex/solicitud/downloadAttach/2595238.page" TargetMode="External"/><Relationship Id="rId36" Type="http://schemas.openxmlformats.org/officeDocument/2006/relationships/hyperlink" Target="https://www.saimex.org.mx/saimex/solicitud/downloadAttach/2600164.page" TargetMode="External"/><Relationship Id="rId49" Type="http://schemas.openxmlformats.org/officeDocument/2006/relationships/header" Target="header3.xml"/><Relationship Id="rId10" Type="http://schemas.openxmlformats.org/officeDocument/2006/relationships/hyperlink" Target="https://www.saimex.org.mx/saimex/solicitud/downloadAttach/2585128.page" TargetMode="External"/><Relationship Id="rId19" Type="http://schemas.openxmlformats.org/officeDocument/2006/relationships/hyperlink" Target="https://www.saimex.org.mx/saimex/solicitud/downloadAttach/2590629.page" TargetMode="External"/><Relationship Id="rId31" Type="http://schemas.openxmlformats.org/officeDocument/2006/relationships/hyperlink" Target="https://www.saimex.org.mx/saimex/solicitud/downloadAttach/2598848.page" TargetMode="External"/><Relationship Id="rId44" Type="http://schemas.openxmlformats.org/officeDocument/2006/relationships/hyperlink" Target="https://www.saimex.org.mx/saimex/solicitud/downloadAttach/2619785.pag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imex.org.mx/saimex/solicitud/downloadAttach/2585057.page" TargetMode="External"/><Relationship Id="rId14" Type="http://schemas.openxmlformats.org/officeDocument/2006/relationships/hyperlink" Target="https://www.saimex.org.mx/saimex/solicitud/downloadAttach/2586040.page" TargetMode="External"/><Relationship Id="rId22" Type="http://schemas.openxmlformats.org/officeDocument/2006/relationships/hyperlink" Target="https://www.saimex.org.mx/saimex/solicitud/downloadAttach/2591290.page" TargetMode="External"/><Relationship Id="rId27" Type="http://schemas.openxmlformats.org/officeDocument/2006/relationships/hyperlink" Target="https://www.saimex.org.mx/saimex/solicitud/downloadAttach/2595238.page" TargetMode="External"/><Relationship Id="rId30" Type="http://schemas.openxmlformats.org/officeDocument/2006/relationships/hyperlink" Target="https://www.saimex.org.mx/saimex/solicitud/downloadAttach/2598755.page" TargetMode="External"/><Relationship Id="rId35" Type="http://schemas.openxmlformats.org/officeDocument/2006/relationships/hyperlink" Target="https://www.saimex.org.mx/saimex/solicitud/downloadAttach/2599421.page" TargetMode="External"/><Relationship Id="rId43" Type="http://schemas.openxmlformats.org/officeDocument/2006/relationships/hyperlink" Target="https://www.saimex.org.mx/saimex/solicitud/downloadAttach/2619782.page" TargetMode="External"/><Relationship Id="rId48" Type="http://schemas.openxmlformats.org/officeDocument/2006/relationships/footer" Target="footer1.xml"/><Relationship Id="rId8" Type="http://schemas.openxmlformats.org/officeDocument/2006/relationships/hyperlink" Target="https://www.saimex.org.mx/saimex/solicitud/downloadAttach/2584600.page"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saimex.org.mx/saimex/solicitud/downloadAttach/2585454.page" TargetMode="External"/><Relationship Id="rId17" Type="http://schemas.openxmlformats.org/officeDocument/2006/relationships/hyperlink" Target="https://www.saimex.org.mx/saimex/solicitud/downloadAttach/2588402.page" TargetMode="External"/><Relationship Id="rId25" Type="http://schemas.openxmlformats.org/officeDocument/2006/relationships/hyperlink" Target="https://www.saimex.org.mx/saimex/solicitud/downloadAttach/2591931.page" TargetMode="External"/><Relationship Id="rId33" Type="http://schemas.openxmlformats.org/officeDocument/2006/relationships/hyperlink" Target="https://www.saimex.org.mx/saimex/solicitud/downloadAttach/2599256.page" TargetMode="External"/><Relationship Id="rId38" Type="http://schemas.openxmlformats.org/officeDocument/2006/relationships/hyperlink" Target="https://www.saimex.org.mx/saimex/solicitud/downloadAttach/2601121.page" TargetMode="External"/><Relationship Id="rId46" Type="http://schemas.openxmlformats.org/officeDocument/2006/relationships/header" Target="header1.xml"/><Relationship Id="rId20" Type="http://schemas.openxmlformats.org/officeDocument/2006/relationships/hyperlink" Target="https://www.saimex.org.mx/saimex/solicitud/downloadAttach/2591289.page" TargetMode="External"/><Relationship Id="rId41" Type="http://schemas.openxmlformats.org/officeDocument/2006/relationships/hyperlink" Target="https://www.saimex.org.mx/saimex/solicitud/downloadAttach/2616164.page"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dDOfxe+mCYQUS9vZt6/geYE0KA==">CgMxLjAyDmgud2x1YWZhYW9vN2VmMghoLmdqZGd4czIJaC4xZm9iOXRlMgloLjN6bnlzaDcyCWguMmV0OTJwMDgAciExUVRpeENJaEwtV05ZVHE0WFNZaGI0eWZRYnJycEYwNkQ=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5660</Words>
  <Characters>31134</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2026-06-05T16:49:00Z</cp:lastPrinted>
  <dcterms:created xsi:type="dcterms:W3CDTF">2026-06-03T21:04:00Z</dcterms:created>
  <dcterms:modified xsi:type="dcterms:W3CDTF">2026-06-09T17:21:00Z</dcterms:modified>
</cp:coreProperties>
</file>