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5E1" w:rsidRDefault="00FB05E1">
      <w:pPr>
        <w:widowControl w:val="0"/>
        <w:pBdr>
          <w:top w:val="nil"/>
          <w:left w:val="nil"/>
          <w:bottom w:val="nil"/>
          <w:right w:val="nil"/>
          <w:between w:val="nil"/>
        </w:pBdr>
        <w:spacing w:line="276" w:lineRule="auto"/>
      </w:pPr>
    </w:p>
    <w:p w:rsidR="00FB05E1" w:rsidRDefault="00FA47E9">
      <w:pPr>
        <w:tabs>
          <w:tab w:val="left" w:pos="3465"/>
        </w:tabs>
        <w:spacing w:line="360" w:lineRule="auto"/>
        <w:ind w:right="-787"/>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sidR="00AE0017">
        <w:rPr>
          <w:rFonts w:ascii="Palatino Linotype" w:eastAsia="Palatino Linotype" w:hAnsi="Palatino Linotype" w:cs="Palatino Linotype"/>
        </w:rPr>
        <w:t xml:space="preserve"> veinticinco</w:t>
      </w:r>
      <w:r>
        <w:rPr>
          <w:rFonts w:ascii="Palatino Linotype" w:eastAsia="Palatino Linotype" w:hAnsi="Palatino Linotype" w:cs="Palatino Linotype"/>
        </w:rPr>
        <w:t xml:space="preserve"> de marzo de dos mil veintiséis.</w:t>
      </w:r>
    </w:p>
    <w:p w:rsidR="00FB05E1" w:rsidRDefault="00FB05E1">
      <w:pPr>
        <w:tabs>
          <w:tab w:val="left" w:pos="3465"/>
        </w:tabs>
        <w:spacing w:line="360" w:lineRule="auto"/>
        <w:ind w:right="-787"/>
        <w:jc w:val="both"/>
        <w:rPr>
          <w:rFonts w:ascii="Palatino Linotype" w:eastAsia="Palatino Linotype" w:hAnsi="Palatino Linotype" w:cs="Palatino Linotype"/>
        </w:rPr>
      </w:pPr>
    </w:p>
    <w:p w:rsidR="00FB05E1" w:rsidRDefault="00FA47E9">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 xml:space="preserve">VISTAS </w:t>
      </w:r>
      <w:r>
        <w:rPr>
          <w:rFonts w:ascii="Palatino Linotype" w:eastAsia="Palatino Linotype" w:hAnsi="Palatino Linotype" w:cs="Palatino Linotype"/>
        </w:rPr>
        <w:t xml:space="preserve">las constancias para resolver </w:t>
      </w:r>
      <w:r>
        <w:rPr>
          <w:rFonts w:ascii="Palatino Linotype" w:eastAsia="Palatino Linotype" w:hAnsi="Palatino Linotype" w:cs="Palatino Linotype"/>
          <w:color w:val="000000"/>
        </w:rPr>
        <w:t xml:space="preserve">el Recurso de Revisión </w:t>
      </w:r>
      <w:r>
        <w:rPr>
          <w:rFonts w:ascii="Palatino Linotype" w:eastAsia="Palatino Linotype" w:hAnsi="Palatino Linotype" w:cs="Palatino Linotype"/>
          <w:b/>
          <w:bCs/>
          <w:color w:val="000000"/>
        </w:rPr>
        <w:t>11413/INFOEM/IP/RR/2025</w:t>
      </w:r>
      <w:r>
        <w:rPr>
          <w:rFonts w:ascii="Palatino Linotype" w:eastAsia="Palatino Linotype" w:hAnsi="Palatino Linotype" w:cs="Palatino Linotype"/>
          <w:color w:val="000000"/>
        </w:rPr>
        <w:t>, promovido por una persona que no registró nombre,</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otorgada a la solicitud de información </w:t>
      </w:r>
      <w:r>
        <w:rPr>
          <w:rFonts w:ascii="Palatino Linotype" w:eastAsia="Palatino Linotype" w:hAnsi="Palatino Linotype" w:cs="Palatino Linotype"/>
          <w:b/>
          <w:bCs/>
        </w:rPr>
        <w:t>00036/CEDIPIEM/IP/2025</w:t>
      </w:r>
      <w:r>
        <w:rPr>
          <w:rFonts w:ascii="Palatino Linotype" w:eastAsia="Palatino Linotype" w:hAnsi="Palatino Linotype" w:cs="Palatino Linotype"/>
        </w:rPr>
        <w:t xml:space="preserve">, por parte del </w:t>
      </w:r>
      <w:r>
        <w:rPr>
          <w:rFonts w:ascii="Palatino Linotype" w:eastAsia="Palatino Linotype" w:hAnsi="Palatino Linotype" w:cs="Palatino Linotype"/>
          <w:b/>
          <w:bCs/>
        </w:rPr>
        <w:t xml:space="preserve">Consejo Estatal para el Desarrollo Integral de Los Pueblos Indígenas del Estado de México,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se emite la presente resolución con base en los siguientes:</w:t>
      </w:r>
    </w:p>
    <w:p w:rsidR="00FB05E1" w:rsidRDefault="00FB05E1">
      <w:pPr>
        <w:spacing w:line="360" w:lineRule="auto"/>
        <w:ind w:right="-787"/>
        <w:jc w:val="both"/>
        <w:rPr>
          <w:rFonts w:ascii="Palatino Linotype" w:eastAsia="Palatino Linotype" w:hAnsi="Palatino Linotype" w:cs="Palatino Linotype"/>
        </w:rPr>
      </w:pPr>
    </w:p>
    <w:p w:rsidR="00FB05E1" w:rsidRDefault="00FA47E9">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1" w:name="_heading=h.gjdgxs" w:colFirst="0" w:colLast="0"/>
      <w:bookmarkEnd w:id="1"/>
      <w:r>
        <w:rPr>
          <w:rFonts w:ascii="Palatino Linotype" w:eastAsia="Palatino Linotype" w:hAnsi="Palatino Linotype" w:cs="Palatino Linotype"/>
          <w:b/>
          <w:bCs/>
          <w:color w:val="000000"/>
          <w:sz w:val="24"/>
          <w:szCs w:val="24"/>
        </w:rPr>
        <w:t>A N T E C E D E N T E S</w:t>
      </w:r>
    </w:p>
    <w:p w:rsidR="00FB05E1" w:rsidRDefault="00FB05E1">
      <w:pPr>
        <w:pBdr>
          <w:top w:val="nil"/>
          <w:left w:val="nil"/>
          <w:bottom w:val="nil"/>
          <w:right w:val="nil"/>
          <w:between w:val="nil"/>
        </w:pBdr>
        <w:spacing w:line="360" w:lineRule="auto"/>
        <w:ind w:left="720" w:right="-787"/>
        <w:jc w:val="both"/>
        <w:rPr>
          <w:rFonts w:ascii="Palatino Linotype" w:eastAsia="Palatino Linotype" w:hAnsi="Palatino Linotype" w:cs="Palatino Linotype"/>
          <w:b/>
          <w:bCs/>
          <w:color w:val="000000"/>
          <w:u w:val="single"/>
        </w:rPr>
      </w:pPr>
    </w:p>
    <w:p w:rsidR="00FB05E1" w:rsidRDefault="00FA47E9">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ocho de septiembre de dos mil veinticinco</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Pr>
          <w:rFonts w:ascii="Palatino Linotype" w:eastAsia="Palatino Linotype" w:hAnsi="Palatino Linotype" w:cs="Palatino Linotype"/>
          <w:b/>
          <w:bCs/>
          <w:color w:val="000000"/>
        </w:rPr>
        <w:t>solicitud de información pública</w:t>
      </w:r>
      <w:r>
        <w:rPr>
          <w:rFonts w:ascii="Palatino Linotype" w:eastAsia="Palatino Linotype" w:hAnsi="Palatino Linotype" w:cs="Palatino Linotype"/>
          <w:color w:val="000000"/>
        </w:rPr>
        <w:t>:</w:t>
      </w:r>
    </w:p>
    <w:p w:rsidR="00FB05E1" w:rsidRDefault="00FB05E1">
      <w:pPr>
        <w:pBdr>
          <w:top w:val="nil"/>
          <w:left w:val="nil"/>
          <w:bottom w:val="nil"/>
          <w:right w:val="nil"/>
          <w:between w:val="nil"/>
        </w:pBdr>
        <w:ind w:right="-788"/>
        <w:jc w:val="both"/>
        <w:rPr>
          <w:rFonts w:ascii="Palatino Linotype" w:eastAsia="Palatino Linotype" w:hAnsi="Palatino Linotype" w:cs="Palatino Linotype"/>
          <w:color w:val="000000"/>
        </w:rPr>
      </w:pPr>
    </w:p>
    <w:p w:rsidR="00FB05E1" w:rsidRDefault="00FA47E9">
      <w:pPr>
        <w:pBdr>
          <w:top w:val="nil"/>
          <w:left w:val="nil"/>
          <w:bottom w:val="nil"/>
          <w:right w:val="nil"/>
          <w:between w:val="nil"/>
        </w:pBdr>
        <w:ind w:left="567" w:right="-5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“Solicito el acta de adquisición del programa Bienestar Cultural Indígena” (Sic)</w:t>
      </w:r>
    </w:p>
    <w:p w:rsidR="00FB05E1" w:rsidRDefault="00FB05E1">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FB05E1" w:rsidRDefault="00FA47E9">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bCs/>
          <w:color w:val="000000"/>
        </w:rPr>
        <w:t>SAIMEX.</w:t>
      </w:r>
    </w:p>
    <w:p w:rsidR="00FB05E1" w:rsidRDefault="00FB05E1">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FB05E1" w:rsidRDefault="00FA47E9">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treinta de septiembre de dos mil veinticinco</w:t>
      </w:r>
      <w:r>
        <w:rPr>
          <w:rFonts w:ascii="Palatino Linotype" w:eastAsia="Palatino Linotype" w:hAnsi="Palatino Linotype" w:cs="Palatino Linotype"/>
          <w:color w:val="000000"/>
        </w:rPr>
        <w:t>, el Sujeto Obligado</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dio </w:t>
      </w:r>
      <w:r>
        <w:rPr>
          <w:rFonts w:ascii="Palatino Linotype" w:eastAsia="Palatino Linotype" w:hAnsi="Palatino Linotype" w:cs="Palatino Linotype"/>
          <w:b/>
          <w:bCs/>
          <w:color w:val="000000"/>
        </w:rPr>
        <w:t>respuesta</w:t>
      </w:r>
      <w:r>
        <w:rPr>
          <w:rFonts w:ascii="Palatino Linotype" w:eastAsia="Palatino Linotype" w:hAnsi="Palatino Linotype" w:cs="Palatino Linotype"/>
          <w:color w:val="000000"/>
        </w:rPr>
        <w:t xml:space="preserve"> a través del siguiente archivo electrónico</w:t>
      </w:r>
      <w:r>
        <w:rPr>
          <w:rFonts w:ascii="Palatino Linotype" w:eastAsia="Palatino Linotype" w:hAnsi="Palatino Linotype" w:cs="Palatino Linotype"/>
          <w:b/>
          <w:bCs/>
          <w:i/>
          <w:iCs/>
          <w:color w:val="000000"/>
        </w:rPr>
        <w:t>:</w:t>
      </w:r>
    </w:p>
    <w:p w:rsidR="00FB05E1" w:rsidRDefault="00FB05E1">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FB05E1" w:rsidRDefault="00FA47E9">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OTUT-36.pdf</w:t>
      </w:r>
    </w:p>
    <w:p w:rsidR="00FB05E1" w:rsidRDefault="00FA47E9">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Oficio No. 229C0101000300S/526/2025 de fecha 30 de septiembre de 2025, firmado por el Jefe de la Unidad de Información, Planeación, Programación y Evaluación y Titular de la Unidad de Transparencia, refiere que de la información proporcionada por la Unidad de Apoyo Administrativo, adjunta el </w:t>
      </w:r>
      <w:r>
        <w:rPr>
          <w:rFonts w:ascii="Palatino Linotype" w:eastAsia="Palatino Linotype" w:hAnsi="Palatino Linotype" w:cs="Palatino Linotype"/>
          <w:b/>
          <w:bCs/>
          <w:color w:val="000000"/>
          <w:sz w:val="22"/>
          <w:szCs w:val="22"/>
        </w:rPr>
        <w:t>Acta del Acto de Presentación y Apertura de Propuestas del Procedimiento de Licitación Pública Nacional Presencial Número CED-LPNP-001-2025 Cooperaciones y Ayudas</w:t>
      </w:r>
      <w:r>
        <w:rPr>
          <w:rFonts w:ascii="Palatino Linotype" w:eastAsia="Palatino Linotype" w:hAnsi="Palatino Linotype" w:cs="Palatino Linotype"/>
          <w:color w:val="000000"/>
          <w:sz w:val="22"/>
          <w:szCs w:val="22"/>
        </w:rPr>
        <w:t>, correspondiente al programa de desarrollo social "</w:t>
      </w:r>
      <w:r>
        <w:rPr>
          <w:rFonts w:ascii="Palatino Linotype" w:eastAsia="Palatino Linotype" w:hAnsi="Palatino Linotype" w:cs="Palatino Linotype"/>
          <w:b/>
          <w:bCs/>
          <w:color w:val="000000"/>
          <w:sz w:val="22"/>
          <w:szCs w:val="22"/>
        </w:rPr>
        <w:t>Bienestar Cultural Indígena</w:t>
      </w:r>
      <w:r>
        <w:rPr>
          <w:rFonts w:ascii="Palatino Linotype" w:eastAsia="Palatino Linotype" w:hAnsi="Palatino Linotype" w:cs="Palatino Linotype"/>
          <w:color w:val="000000"/>
          <w:sz w:val="22"/>
          <w:szCs w:val="22"/>
        </w:rPr>
        <w:t>".</w:t>
      </w:r>
    </w:p>
    <w:p w:rsidR="00FB05E1" w:rsidRDefault="00FB05E1">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p>
    <w:p w:rsidR="00FB05E1" w:rsidRDefault="00FA47E9">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ACTA DEL ACTO DE PRESENTACIÓN Y APERTURA DE PROPUESTAS DEL PROCEDIMIENTO DE LICITACIÓN PÚBLICA NACIONAL PRESENCIAL NÚMERO CED-LPNP-001-2025, COOPERACIONES Y AYUDAS.</w:t>
      </w:r>
    </w:p>
    <w:p w:rsidR="00FB05E1" w:rsidRDefault="00FB05E1">
      <w:pPr>
        <w:pBdr>
          <w:top w:val="nil"/>
          <w:left w:val="nil"/>
          <w:bottom w:val="nil"/>
          <w:right w:val="nil"/>
          <w:between w:val="nil"/>
        </w:pBdr>
        <w:tabs>
          <w:tab w:val="left" w:pos="567"/>
        </w:tabs>
        <w:ind w:right="62"/>
        <w:jc w:val="both"/>
        <w:rPr>
          <w:rFonts w:ascii="Palatino Linotype" w:eastAsia="Palatino Linotype" w:hAnsi="Palatino Linotype" w:cs="Palatino Linotype"/>
          <w:b/>
          <w:bCs/>
          <w:sz w:val="22"/>
          <w:szCs w:val="22"/>
        </w:rPr>
      </w:pPr>
    </w:p>
    <w:p w:rsidR="00FB05E1" w:rsidRDefault="00FA47E9">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seis de octubre de dos mil veinticinco</w:t>
      </w:r>
      <w:r>
        <w:rPr>
          <w:rFonts w:ascii="Palatino Linotype" w:eastAsia="Palatino Linotype" w:hAnsi="Palatino Linotype" w:cs="Palatino Linotype"/>
          <w:color w:val="000000"/>
        </w:rPr>
        <w:t xml:space="preserve">, el particular interpuso el </w:t>
      </w:r>
      <w:r>
        <w:rPr>
          <w:rFonts w:ascii="Palatino Linotype" w:eastAsia="Palatino Linotype" w:hAnsi="Palatino Linotype" w:cs="Palatino Linotype"/>
          <w:b/>
          <w:bCs/>
          <w:color w:val="000000"/>
        </w:rPr>
        <w:t>recurso de revisión</w:t>
      </w:r>
      <w:r>
        <w:rPr>
          <w:rFonts w:ascii="Palatino Linotype" w:eastAsia="Palatino Linotype" w:hAnsi="Palatino Linotype" w:cs="Palatino Linotype"/>
          <w:color w:val="000000"/>
        </w:rPr>
        <w:t xml:space="preserve"> al que se le asignó el folio </w:t>
      </w:r>
      <w:r>
        <w:rPr>
          <w:rFonts w:ascii="Palatino Linotype" w:eastAsia="Palatino Linotype" w:hAnsi="Palatino Linotype" w:cs="Palatino Linotype"/>
          <w:b/>
          <w:bCs/>
          <w:color w:val="000000"/>
        </w:rPr>
        <w:t xml:space="preserve">11413/INFOEM/IP/RR/2025 </w:t>
      </w:r>
      <w:r>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FB05E1" w:rsidRDefault="00FB05E1">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sz w:val="22"/>
          <w:szCs w:val="22"/>
        </w:rPr>
      </w:pPr>
    </w:p>
    <w:p w:rsidR="00FB05E1" w:rsidRDefault="00FA47E9">
      <w:pPr>
        <w:pBdr>
          <w:top w:val="nil"/>
          <w:left w:val="nil"/>
          <w:bottom w:val="nil"/>
          <w:right w:val="nil"/>
          <w:between w:val="nil"/>
        </w:pBdr>
        <w:ind w:left="851" w:right="-780"/>
        <w:jc w:val="both"/>
        <w:rPr>
          <w:rFonts w:ascii="Palatino Linotype" w:eastAsia="Palatino Linotype" w:hAnsi="Palatino Linotype" w:cs="Palatino Linotype"/>
          <w:i/>
          <w:iCs/>
          <w:color w:val="000000"/>
          <w:sz w:val="22"/>
          <w:szCs w:val="22"/>
        </w:rPr>
      </w:pPr>
      <w:bookmarkStart w:id="2" w:name="_heading=h.30j0zll" w:colFirst="0" w:colLast="0"/>
      <w:bookmarkEnd w:id="2"/>
      <w:r>
        <w:rPr>
          <w:rFonts w:ascii="Palatino Linotype" w:eastAsia="Palatino Linotype" w:hAnsi="Palatino Linotype" w:cs="Palatino Linotype"/>
          <w:b/>
          <w:bCs/>
          <w:color w:val="000000"/>
          <w:sz w:val="22"/>
          <w:szCs w:val="22"/>
        </w:rPr>
        <w:t xml:space="preserve">Acto impugnado: </w:t>
      </w:r>
      <w:r>
        <w:rPr>
          <w:rFonts w:ascii="Palatino Linotype" w:eastAsia="Palatino Linotype" w:hAnsi="Palatino Linotype" w:cs="Palatino Linotype"/>
          <w:i/>
          <w:iCs/>
          <w:color w:val="000000"/>
          <w:sz w:val="22"/>
          <w:szCs w:val="22"/>
        </w:rPr>
        <w:t>“El cedipiem remitió en copia simple y en formato PDF el documento denominado “Acta del Acto de Presentación y Apertura de Propuestas del Procedimiento de Licitación Pública Nacional Presencial Número CED-LPNP-001-2025, Cooperaciones y Ayudas”, correspondiente al programa mencionado, pero icho documento fue entregado sin los anexos que forman parte integral del acta y que resultan indispensables para su análisis y comprensión” (Sic)</w:t>
      </w:r>
    </w:p>
    <w:p w:rsidR="00FB05E1" w:rsidRDefault="00FB05E1">
      <w:pPr>
        <w:pBdr>
          <w:top w:val="nil"/>
          <w:left w:val="nil"/>
          <w:bottom w:val="nil"/>
          <w:right w:val="nil"/>
          <w:between w:val="nil"/>
        </w:pBdr>
        <w:ind w:left="851" w:right="-780"/>
        <w:jc w:val="both"/>
        <w:rPr>
          <w:rFonts w:ascii="Palatino Linotype" w:eastAsia="Palatino Linotype" w:hAnsi="Palatino Linotype" w:cs="Palatino Linotype"/>
          <w:i/>
          <w:iCs/>
          <w:color w:val="000000"/>
          <w:sz w:val="22"/>
          <w:szCs w:val="22"/>
        </w:rPr>
      </w:pPr>
    </w:p>
    <w:p w:rsidR="00FB05E1" w:rsidRDefault="00FA47E9">
      <w:pPr>
        <w:pBdr>
          <w:top w:val="nil"/>
          <w:left w:val="nil"/>
          <w:bottom w:val="nil"/>
          <w:right w:val="nil"/>
          <w:between w:val="nil"/>
        </w:pBdr>
        <w:ind w:left="851" w:right="-780"/>
        <w:jc w:val="both"/>
        <w:rPr>
          <w:rFonts w:ascii="Palatino Linotype" w:eastAsia="Palatino Linotype" w:hAnsi="Palatino Linotype" w:cs="Palatino Linotype"/>
          <w:i/>
          <w:iCs/>
          <w:color w:val="000000"/>
          <w:sz w:val="22"/>
          <w:szCs w:val="22"/>
        </w:rPr>
      </w:pPr>
      <w:bookmarkStart w:id="3" w:name="_heading=h.1fob9te" w:colFirst="0" w:colLast="0"/>
      <w:bookmarkEnd w:id="3"/>
      <w:r>
        <w:rPr>
          <w:rFonts w:ascii="Palatino Linotype" w:eastAsia="Palatino Linotype" w:hAnsi="Palatino Linotype" w:cs="Palatino Linotype"/>
          <w:b/>
          <w:bCs/>
          <w:color w:val="000000"/>
          <w:sz w:val="22"/>
          <w:szCs w:val="22"/>
        </w:rPr>
        <w:t xml:space="preserve">Razones o Motivos de inconformidad: </w:t>
      </w:r>
      <w:r>
        <w:rPr>
          <w:rFonts w:ascii="Palatino Linotype" w:eastAsia="Palatino Linotype" w:hAnsi="Palatino Linotype" w:cs="Palatino Linotype"/>
          <w:i/>
          <w:iCs/>
          <w:color w:val="000000"/>
          <w:sz w:val="22"/>
          <w:szCs w:val="22"/>
        </w:rPr>
        <w:t xml:space="preserve">“El acta proporcionada carece de los anexos que son parte del expediente de licitación y que constituyen información pública obligatoria, y al entregar únicamente una parte del documento, el sujeto obligado restringe el ejercicio pleno del derecho de acceso a la información, ya que los anexos contienen información esencial sobre el procedimiento y los participantes.” </w:t>
      </w:r>
      <w:r>
        <w:rPr>
          <w:rFonts w:ascii="Palatino Linotype" w:eastAsia="Palatino Linotype" w:hAnsi="Palatino Linotype" w:cs="Palatino Linotype"/>
          <w:color w:val="000000"/>
          <w:sz w:val="22"/>
          <w:szCs w:val="22"/>
        </w:rPr>
        <w:t>(Sic)</w:t>
      </w:r>
    </w:p>
    <w:p w:rsidR="00FB05E1" w:rsidRDefault="00FB05E1">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FB05E1" w:rsidRDefault="00FA47E9">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bCs/>
          <w:color w:val="000000"/>
        </w:rPr>
        <w:t xml:space="preserve">seis de octubre de dos </w:t>
      </w:r>
      <w:r>
        <w:rPr>
          <w:rFonts w:ascii="Palatino Linotype" w:eastAsia="Palatino Linotype" w:hAnsi="Palatino Linotype" w:cs="Palatino Linotype"/>
          <w:b/>
          <w:bCs/>
          <w:color w:val="000000"/>
        </w:rPr>
        <w:lastRenderedPageBreak/>
        <w:t xml:space="preserve">mil veinticinco,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presentara</w:t>
      </w:r>
      <w:r>
        <w:rPr>
          <w:rFonts w:ascii="Palatino Linotype" w:eastAsia="Palatino Linotype" w:hAnsi="Palatino Linotype" w:cs="Palatino Linotype"/>
          <w:color w:val="000000"/>
        </w:rPr>
        <w:t xml:space="preserve"> el Informe Justificado procedente.</w:t>
      </w:r>
    </w:p>
    <w:p w:rsidR="00FB05E1" w:rsidRDefault="00FB05E1">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FB05E1" w:rsidRDefault="00FA47E9">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Recurrente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dejó de realizar manifestaciones que a su derecho conviniera y asistiera. Por su parte, el Sujeto Obligado,</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no</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presentó informe justificado tal como se muestra en la imagen siguiente: </w:t>
      </w:r>
    </w:p>
    <w:p w:rsidR="00FB05E1" w:rsidRDefault="00FB05E1">
      <w:pPr>
        <w:pBdr>
          <w:top w:val="nil"/>
          <w:left w:val="nil"/>
          <w:bottom w:val="nil"/>
          <w:right w:val="nil"/>
          <w:between w:val="nil"/>
        </w:pBdr>
        <w:ind w:left="426" w:right="-79"/>
        <w:jc w:val="both"/>
        <w:rPr>
          <w:rFonts w:ascii="Palatino Linotype" w:eastAsia="Palatino Linotype" w:hAnsi="Palatino Linotype" w:cs="Palatino Linotype"/>
          <w:b/>
          <w:bCs/>
          <w:color w:val="000000"/>
          <w:sz w:val="22"/>
          <w:szCs w:val="22"/>
        </w:rPr>
      </w:pPr>
    </w:p>
    <w:p w:rsidR="00FB05E1" w:rsidRDefault="00FA47E9">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ab/>
      </w:r>
      <w:r>
        <w:rPr>
          <w:rFonts w:ascii="Palatino Linotype" w:eastAsia="Palatino Linotype" w:hAnsi="Palatino Linotype" w:cs="Palatino Linotype"/>
          <w:b/>
          <w:bCs/>
          <w:i/>
          <w:iCs/>
          <w:noProof/>
          <w:color w:val="000000"/>
          <w:sz w:val="22"/>
          <w:szCs w:val="22"/>
          <w:lang w:val="es-MX"/>
        </w:rPr>
        <w:drawing>
          <wp:inline distT="0" distB="0" distL="0" distR="0">
            <wp:extent cx="5756275" cy="15252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6275" cy="1525270"/>
                    </a:xfrm>
                    <a:prstGeom prst="rect">
                      <a:avLst/>
                    </a:prstGeom>
                    <a:ln/>
                  </pic:spPr>
                </pic:pic>
              </a:graphicData>
            </a:graphic>
          </wp:inline>
        </w:drawing>
      </w:r>
    </w:p>
    <w:p w:rsidR="00FB05E1" w:rsidRDefault="00FB05E1">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rPr>
      </w:pPr>
    </w:p>
    <w:p w:rsidR="00FB05E1" w:rsidRDefault="00FA47E9">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4" w:name="_heading=h.3znysh7" w:colFirst="0" w:colLast="0"/>
      <w:bookmarkEnd w:id="4"/>
      <w:r>
        <w:rPr>
          <w:rFonts w:ascii="Palatino Linotype" w:eastAsia="Palatino Linotype" w:hAnsi="Palatino Linotype" w:cs="Palatino Linotype"/>
          <w:color w:val="000000"/>
        </w:rPr>
        <w:t>En fecha</w:t>
      </w:r>
      <w:r>
        <w:rPr>
          <w:rFonts w:ascii="Palatino Linotype" w:eastAsia="Palatino Linotype" w:hAnsi="Palatino Linotype" w:cs="Palatino Linotype"/>
          <w:b/>
          <w:bCs/>
          <w:color w:val="000000"/>
        </w:rPr>
        <w:t xml:space="preserve"> dieciocho de noviembre de dos mil veinticinco</w:t>
      </w:r>
      <w:r>
        <w:rPr>
          <w:rFonts w:ascii="Palatino Linotype" w:eastAsia="Palatino Linotype" w:hAnsi="Palatino Linotype" w:cs="Palatino Linotype"/>
          <w:color w:val="000000"/>
        </w:rPr>
        <w:t xml:space="preserve">, se acordó ampliar el </w:t>
      </w:r>
      <w:r>
        <w:rPr>
          <w:rFonts w:ascii="Palatino Linotype" w:eastAsia="Palatino Linotype" w:hAnsi="Palatino Linotype" w:cs="Palatino Linotype"/>
        </w:rPr>
        <w:t>plazo</w:t>
      </w:r>
      <w:r>
        <w:rPr>
          <w:rFonts w:ascii="Palatino Linotype" w:eastAsia="Palatino Linotype" w:hAnsi="Palatino Linotype" w:cs="Palatino Linotype"/>
          <w:color w:val="000000"/>
        </w:rPr>
        <w:t xml:space="preserve"> para resolver el presente Recurso de Revisión.</w:t>
      </w:r>
    </w:p>
    <w:p w:rsidR="00FB05E1" w:rsidRDefault="00FB05E1">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rsidR="00FB05E1" w:rsidRDefault="00FA47E9">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Seguidamente, en fecha </w:t>
      </w:r>
      <w:r>
        <w:rPr>
          <w:rFonts w:ascii="Palatino Linotype" w:eastAsia="Palatino Linotype" w:hAnsi="Palatino Linotype" w:cs="Palatino Linotype"/>
          <w:b/>
          <w:bCs/>
          <w:color w:val="000000"/>
        </w:rPr>
        <w:t>doce de marzo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bCs/>
          <w:color w:val="000000"/>
        </w:rPr>
        <w:t>cierre del periodo de instrucción</w:t>
      </w:r>
      <w:r>
        <w:rPr>
          <w:rFonts w:ascii="Palatino Linotype" w:eastAsia="Palatino Linotype" w:hAnsi="Palatino Linotype" w:cs="Palatino Linotype"/>
          <w:color w:val="000000"/>
        </w:rPr>
        <w:t xml:space="preserve"> y, ordenó la resolución que conforme a Derecho proceda:</w:t>
      </w:r>
    </w:p>
    <w:p w:rsidR="00FB05E1" w:rsidRDefault="00FB05E1">
      <w:pPr>
        <w:pBdr>
          <w:top w:val="nil"/>
          <w:left w:val="nil"/>
          <w:bottom w:val="nil"/>
          <w:right w:val="nil"/>
          <w:between w:val="nil"/>
        </w:pBdr>
        <w:ind w:left="720" w:right="-787"/>
        <w:rPr>
          <w:rFonts w:ascii="Palatino Linotype" w:eastAsia="Palatino Linotype" w:hAnsi="Palatino Linotype" w:cs="Palatino Linotype"/>
          <w:b/>
          <w:bCs/>
          <w:color w:val="000000"/>
        </w:rPr>
      </w:pPr>
    </w:p>
    <w:p w:rsidR="00FB05E1" w:rsidRDefault="00FA47E9">
      <w:pPr>
        <w:keepNext/>
        <w:keepLines/>
        <w:spacing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 xml:space="preserve">C O N S I D E R A N D O </w:t>
      </w:r>
    </w:p>
    <w:p w:rsidR="00FB05E1" w:rsidRDefault="00FB05E1">
      <w:pPr>
        <w:spacing w:line="360" w:lineRule="auto"/>
        <w:rPr>
          <w:rFonts w:ascii="Palatino Linotype" w:eastAsia="Palatino Linotype" w:hAnsi="Palatino Linotype" w:cs="Palatino Linotype"/>
        </w:rPr>
      </w:pPr>
    </w:p>
    <w:p w:rsidR="00FB05E1" w:rsidRDefault="00FA47E9">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lastRenderedPageBreak/>
        <w:t>PRIMERO. De la competencia</w:t>
      </w:r>
    </w:p>
    <w:p w:rsidR="00FB05E1" w:rsidRDefault="00FA47E9">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FB05E1" w:rsidRDefault="00FB05E1">
      <w:pPr>
        <w:tabs>
          <w:tab w:val="left" w:pos="426"/>
        </w:tabs>
        <w:spacing w:line="360" w:lineRule="auto"/>
        <w:jc w:val="both"/>
        <w:rPr>
          <w:rFonts w:ascii="Palatino Linotype" w:eastAsia="Palatino Linotype" w:hAnsi="Palatino Linotype" w:cs="Palatino Linotype"/>
          <w:color w:val="000000"/>
        </w:rPr>
      </w:pPr>
    </w:p>
    <w:p w:rsidR="00FB05E1" w:rsidRDefault="00FA47E9">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SEGUNDO. De la oportunidad y procedencia.</w:t>
      </w:r>
    </w:p>
    <w:p w:rsidR="00FB05E1" w:rsidRDefault="00FA47E9">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bCs/>
        </w:rPr>
        <w:t>treinta de septiembre de dos mil veinticinco</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bCs/>
        </w:rPr>
        <w:t xml:space="preserve">uno al veintiuno de octubre de dos mil veinticinco,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bCs/>
        </w:rPr>
        <w:t>PARTICULAR</w:t>
      </w:r>
      <w:r>
        <w:rPr>
          <w:rFonts w:ascii="Palatino Linotype" w:eastAsia="Palatino Linotype" w:hAnsi="Palatino Linotype" w:cs="Palatino Linotype"/>
        </w:rPr>
        <w:t xml:space="preserve"> presentó su inconformidad el </w:t>
      </w:r>
      <w:r>
        <w:rPr>
          <w:rFonts w:ascii="Palatino Linotype" w:eastAsia="Palatino Linotype" w:hAnsi="Palatino Linotype" w:cs="Palatino Linotype"/>
          <w:b/>
          <w:bCs/>
        </w:rPr>
        <w:t>seis de octubre de dos mil veinticinco</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FB05E1" w:rsidRDefault="00FB05E1">
      <w:pPr>
        <w:spacing w:line="360" w:lineRule="auto"/>
        <w:ind w:right="49"/>
        <w:jc w:val="both"/>
        <w:rPr>
          <w:rFonts w:ascii="Palatino Linotype" w:eastAsia="Palatino Linotype" w:hAnsi="Palatino Linotype" w:cs="Palatino Linotype"/>
        </w:rPr>
      </w:pPr>
      <w:bookmarkStart w:id="5" w:name="_heading=h.2et92p0" w:colFirst="0" w:colLast="0"/>
      <w:bookmarkEnd w:id="5"/>
    </w:p>
    <w:p w:rsidR="00FB05E1" w:rsidRDefault="00FA47E9">
      <w:pPr>
        <w:pStyle w:val="Ttulo2"/>
        <w:rPr>
          <w:rFonts w:ascii="Palatino Linotype" w:eastAsia="Palatino Linotype" w:hAnsi="Palatino Linotype" w:cs="Palatino Linotype"/>
          <w:b/>
          <w:bCs/>
          <w:i/>
          <w:iCs/>
          <w:color w:val="000000"/>
          <w:sz w:val="24"/>
          <w:szCs w:val="24"/>
        </w:rPr>
      </w:pPr>
      <w:bookmarkStart w:id="6" w:name="_heading=h.2dqcip5nhyd4" w:colFirst="0" w:colLast="0"/>
      <w:bookmarkEnd w:id="6"/>
      <w:r>
        <w:rPr>
          <w:rFonts w:ascii="Palatino Linotype" w:eastAsia="Palatino Linotype" w:hAnsi="Palatino Linotype" w:cs="Palatino Linotype"/>
          <w:b/>
          <w:bCs/>
          <w:color w:val="000000"/>
          <w:sz w:val="24"/>
          <w:szCs w:val="24"/>
        </w:rPr>
        <w:lastRenderedPageBreak/>
        <w:t xml:space="preserve">TERCERO. Del planteamiento de la </w:t>
      </w:r>
      <w:r>
        <w:rPr>
          <w:rFonts w:ascii="Palatino Linotype" w:eastAsia="Palatino Linotype" w:hAnsi="Palatino Linotype" w:cs="Palatino Linotype"/>
          <w:b/>
          <w:bCs/>
          <w:i/>
          <w:iCs/>
          <w:color w:val="000000"/>
          <w:sz w:val="24"/>
          <w:szCs w:val="24"/>
        </w:rPr>
        <w:t>Litis.</w:t>
      </w: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rsidR="00FB05E1" w:rsidRDefault="00FA47E9">
      <w:pPr>
        <w:numPr>
          <w:ilvl w:val="0"/>
          <w:numId w:val="4"/>
        </w:numPr>
        <w:pBdr>
          <w:top w:val="nil"/>
          <w:left w:val="nil"/>
          <w:bottom w:val="nil"/>
          <w:right w:val="nil"/>
          <w:between w:val="nil"/>
        </w:pBdr>
        <w:ind w:left="1418" w:right="-788"/>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Acta de adquisición del programa Bienestar Cultural Indígena</w:t>
      </w:r>
    </w:p>
    <w:p w:rsidR="00FB05E1" w:rsidRDefault="00FB05E1">
      <w:pPr>
        <w:pBdr>
          <w:top w:val="nil"/>
          <w:left w:val="nil"/>
          <w:bottom w:val="nil"/>
          <w:right w:val="nil"/>
          <w:between w:val="nil"/>
        </w:pBdr>
        <w:ind w:left="720" w:right="-788"/>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remitió el archivo ya descritos en el anterior párrafo 2, inconforme con la respuesta, se interpuso recurso de revisión argumentando sustancialmente que </w:t>
      </w:r>
      <w:r>
        <w:rPr>
          <w:rFonts w:ascii="Palatino Linotype" w:eastAsia="Palatino Linotype" w:hAnsi="Palatino Linotype" w:cs="Palatino Linotype"/>
          <w:i/>
          <w:iCs/>
        </w:rPr>
        <w:t>El acta proporcionada carece de los anexos que son parte del expediente de licitación</w:t>
      </w:r>
      <w:r>
        <w:rPr>
          <w:rFonts w:ascii="Palatino Linotype" w:eastAsia="Palatino Linotype" w:hAnsi="Palatino Linotype" w:cs="Palatino Linotype"/>
        </w:rPr>
        <w:t>.</w:t>
      </w:r>
    </w:p>
    <w:p w:rsidR="00FB05E1" w:rsidRDefault="00FB05E1">
      <w:pPr>
        <w:ind w:left="720" w:right="-788"/>
        <w:jc w:val="both"/>
        <w:rPr>
          <w:rFonts w:ascii="Palatino Linotype" w:eastAsia="Palatino Linotype" w:hAnsi="Palatino Linotype" w:cs="Palatino Linotype"/>
          <w:i/>
          <w:iCs/>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Pr>
          <w:rFonts w:ascii="Palatino Linotype" w:eastAsia="Palatino Linotype" w:hAnsi="Palatino Linotype" w:cs="Palatino Linotype"/>
          <w:b/>
          <w:bCs/>
        </w:rPr>
        <w:t>179, fracción V, de la 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relativa a </w:t>
      </w:r>
      <w:r>
        <w:rPr>
          <w:rFonts w:ascii="Palatino Linotype" w:eastAsia="Palatino Linotype" w:hAnsi="Palatino Linotype" w:cs="Palatino Linotype"/>
          <w:b/>
          <w:bCs/>
          <w:color w:val="000000"/>
        </w:rPr>
        <w:t>la entrega de información incompleta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contexto del cual se dolió el Recurrente 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señalada.</w:t>
      </w:r>
    </w:p>
    <w:p w:rsidR="00FB05E1" w:rsidRDefault="00FB05E1">
      <w:pPr>
        <w:spacing w:line="360" w:lineRule="auto"/>
        <w:ind w:right="-787"/>
        <w:rPr>
          <w:rFonts w:ascii="Palatino Linotype" w:eastAsia="Palatino Linotype" w:hAnsi="Palatino Linotype" w:cs="Palatino Linotype"/>
        </w:rPr>
      </w:pPr>
    </w:p>
    <w:p w:rsidR="00FB05E1" w:rsidRDefault="00FA47E9">
      <w:pPr>
        <w:pStyle w:val="Ttulo2"/>
        <w:rPr>
          <w:rFonts w:ascii="Palatino Linotype" w:eastAsia="Palatino Linotype" w:hAnsi="Palatino Linotype" w:cs="Palatino Linotype"/>
          <w:b/>
          <w:bCs/>
          <w:color w:val="000000"/>
          <w:sz w:val="24"/>
          <w:szCs w:val="24"/>
        </w:rPr>
      </w:pPr>
      <w:bookmarkStart w:id="7" w:name="_heading=h.1t3h5sf" w:colFirst="0" w:colLast="0"/>
      <w:bookmarkEnd w:id="7"/>
      <w:r>
        <w:rPr>
          <w:rFonts w:ascii="Palatino Linotype" w:eastAsia="Palatino Linotype" w:hAnsi="Palatino Linotype" w:cs="Palatino Linotype"/>
          <w:b/>
          <w:bCs/>
          <w:color w:val="000000"/>
          <w:sz w:val="24"/>
          <w:szCs w:val="24"/>
        </w:rPr>
        <w:t>CUARTO. Del estudio y resolución del asunto.</w:t>
      </w: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w:t>
      </w:r>
      <w:r>
        <w:rPr>
          <w:rFonts w:ascii="Palatino Linotype" w:eastAsia="Palatino Linotype" w:hAnsi="Palatino Linotype" w:cs="Palatino Linotype"/>
        </w:rPr>
        <w:lastRenderedPageBreak/>
        <w:t>funciones desde su origen la eventual publicidad y reutilización de la información que generen.</w:t>
      </w:r>
    </w:p>
    <w:p w:rsidR="00FB05E1" w:rsidRDefault="00FB05E1">
      <w:pPr>
        <w:spacing w:line="360" w:lineRule="auto"/>
        <w:ind w:right="-787"/>
        <w:jc w:val="both"/>
        <w:rPr>
          <w:rFonts w:ascii="Palatino Linotype" w:eastAsia="Palatino Linotype" w:hAnsi="Palatino Linotype" w:cs="Palatino Linotype"/>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B05E1" w:rsidRDefault="00FB05E1">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FB05E1" w:rsidRDefault="00FB05E1">
      <w:pPr>
        <w:spacing w:line="360" w:lineRule="auto"/>
        <w:ind w:right="-787"/>
        <w:jc w:val="both"/>
        <w:rPr>
          <w:rFonts w:ascii="Palatino Linotype" w:eastAsia="Palatino Linotype" w:hAnsi="Palatino Linotype" w:cs="Palatino Linotype"/>
        </w:rPr>
      </w:pPr>
    </w:p>
    <w:p w:rsidR="00FB05E1" w:rsidRDefault="00FA47E9">
      <w:pPr>
        <w:numPr>
          <w:ilvl w:val="0"/>
          <w:numId w:val="2"/>
        </w:num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Del Sujeto Obligado.</w:t>
      </w:r>
    </w:p>
    <w:p w:rsidR="00FB05E1" w:rsidRDefault="00FA47E9">
      <w:pPr>
        <w:numPr>
          <w:ilvl w:val="0"/>
          <w:numId w:val="3"/>
        </w:numPr>
        <w:spacing w:line="360" w:lineRule="auto"/>
        <w:ind w:left="0" w:right="-787" w:firstLine="0"/>
        <w:jc w:val="both"/>
      </w:pPr>
      <w:r>
        <w:rPr>
          <w:rFonts w:ascii="Palatino Linotype" w:eastAsia="Palatino Linotype" w:hAnsi="Palatino Linotype" w:cs="Palatino Linotype"/>
        </w:rPr>
        <w:t xml:space="preserve">El CEDIPIEM tiene como objeto definir, orientar, coordinar, promover, ejecutar, evaluar y dar seguimiento a las políticas, programas, estrategias y acciones para el desarrollo </w:t>
      </w:r>
      <w:r>
        <w:rPr>
          <w:rFonts w:ascii="Palatino Linotype" w:eastAsia="Palatino Linotype" w:hAnsi="Palatino Linotype" w:cs="Palatino Linotype"/>
        </w:rPr>
        <w:lastRenderedPageBreak/>
        <w:t>integral de los pueblos indígenas, y dentro de sus estructura orgánica cuenta con la Unidad de Apoyo Administrativo, misma que tiene el objetivo y funciones siguientes, de conformidad con el Manual General de Organización del Consejo Estatal:</w:t>
      </w:r>
    </w:p>
    <w:p w:rsidR="00FB05E1" w:rsidRDefault="00FA47E9">
      <w:pPr>
        <w:ind w:left="567" w:right="-220"/>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MANUAL GENERAL DE ORGANIZACIÓN DEL</w:t>
      </w:r>
    </w:p>
    <w:p w:rsidR="00FB05E1" w:rsidRDefault="00FA47E9">
      <w:pPr>
        <w:ind w:left="567" w:right="-220"/>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CONSEJO ESTATAL PARA EL DESARROLLO INTEGRAL</w:t>
      </w:r>
    </w:p>
    <w:p w:rsidR="00FB05E1" w:rsidRDefault="00FA47E9">
      <w:pPr>
        <w:ind w:left="567" w:right="-220"/>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LOS PUEBLOS INDÍGENAS DEL ESTADO DE MÉXICO</w:t>
      </w:r>
    </w:p>
    <w:p w:rsidR="00FB05E1" w:rsidRDefault="00FB05E1">
      <w:pPr>
        <w:ind w:left="567" w:right="-220"/>
        <w:jc w:val="center"/>
        <w:rPr>
          <w:rFonts w:ascii="Palatino Linotype" w:eastAsia="Palatino Linotype" w:hAnsi="Palatino Linotype" w:cs="Palatino Linotype"/>
          <w:b/>
          <w:bCs/>
          <w:i/>
          <w:iCs/>
          <w:sz w:val="22"/>
          <w:szCs w:val="22"/>
        </w:rPr>
      </w:pPr>
    </w:p>
    <w:p w:rsidR="00FB05E1" w:rsidRDefault="00FA47E9">
      <w:pPr>
        <w:ind w:left="567" w:right="-788"/>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211C0101000200S UNIDAD DE APOYO ADMINISTRATIVO </w:t>
      </w:r>
    </w:p>
    <w:p w:rsidR="00FB05E1" w:rsidRDefault="00FA47E9">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OBJETIVO: </w:t>
      </w:r>
      <w:r>
        <w:rPr>
          <w:rFonts w:ascii="Palatino Linotype" w:eastAsia="Palatino Linotype" w:hAnsi="Palatino Linotype" w:cs="Palatino Linotype"/>
          <w:i/>
          <w:iCs/>
          <w:sz w:val="22"/>
          <w:szCs w:val="22"/>
        </w:rPr>
        <w:t xml:space="preserve">Programar, dirigir y controlar las actividades relacionadas con el manejo de los recursos humanos, materiales y financieros, así como la prestación de servicios generales que requieran las unidades administrativas del Consejo Estatal para el Desarrollo Integral de los Pueblos Indígenas del Estado de México, para el cumplimiento de sus funciones. </w:t>
      </w:r>
    </w:p>
    <w:p w:rsidR="00FB05E1" w:rsidRDefault="00FB05E1">
      <w:pPr>
        <w:ind w:left="567" w:right="-788"/>
        <w:jc w:val="both"/>
        <w:rPr>
          <w:rFonts w:ascii="Palatino Linotype" w:eastAsia="Palatino Linotype" w:hAnsi="Palatino Linotype" w:cs="Palatino Linotype"/>
          <w:i/>
          <w:iCs/>
          <w:sz w:val="22"/>
          <w:szCs w:val="22"/>
        </w:rPr>
      </w:pPr>
    </w:p>
    <w:p w:rsidR="00FB05E1" w:rsidRDefault="00FA47E9">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FUNCIONES</w:t>
      </w:r>
      <w:r>
        <w:rPr>
          <w:rFonts w:ascii="Palatino Linotype" w:eastAsia="Palatino Linotype" w:hAnsi="Palatino Linotype" w:cs="Palatino Linotype"/>
          <w:i/>
          <w:iCs/>
          <w:sz w:val="22"/>
          <w:szCs w:val="22"/>
        </w:rPr>
        <w:t xml:space="preserve">: </w:t>
      </w:r>
    </w:p>
    <w:p w:rsidR="00FB05E1" w:rsidRDefault="00FA47E9">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Integrar el Programa Anual de Adquisiciones, Arrendamientos y Servicios, así como el proyecto de presupuesto de ingresos y egresos del CEDIPIEM. </w:t>
      </w:r>
    </w:p>
    <w:p w:rsidR="00FB05E1" w:rsidRDefault="00FA47E9">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Participar en los comités de adquisiciones y servicios, arrendamientos, adquisiciones de inmuebles y enajenaciones del Consejo Estatal para el Desarrollo Integral de los Pueblos Indígenas del Estado de México. </w:t>
      </w:r>
    </w:p>
    <w:p w:rsidR="00FB05E1" w:rsidRDefault="00FA47E9">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Establecer los lineamientos para el suministro de recursos materiales, la liberación de recursos financieros y la prestación de servicios generales que requieran las unidades administrativas del Consejo Estatal para el Desarrollo Integral de los Pueblos Indígenas del Estado de México.</w:t>
      </w:r>
    </w:p>
    <w:p w:rsidR="00FB05E1" w:rsidRDefault="00FA47E9">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FB05E1" w:rsidRDefault="00FA47E9">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Supervisar y participar en los procesos de adquisición, almacenamiento, suministro y control de recursos materiales, así como en la contratación de los servicios que se requieran, con base en el Programa Anual de Adquisiciones, Arrendamientos y Servicios y en la normatividad en la materia</w:t>
      </w:r>
    </w:p>
    <w:p w:rsidR="00FB05E1" w:rsidRDefault="00FA47E9">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FB05E1" w:rsidRDefault="00FB05E1">
      <w:pPr>
        <w:spacing w:line="360" w:lineRule="auto"/>
        <w:ind w:left="567" w:right="-787"/>
        <w:jc w:val="both"/>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bCs/>
        </w:rPr>
        <w:t>Unidad de Apoyo Administrativo</w:t>
      </w:r>
      <w:r>
        <w:rPr>
          <w:rFonts w:ascii="Palatino Linotype" w:eastAsia="Palatino Linotype" w:hAnsi="Palatino Linotype" w:cs="Palatino Linotype"/>
        </w:rPr>
        <w:t>, es la unidad administrativa responsable de los procesos de adquisiciones de bienes y servicios.</w:t>
      </w:r>
    </w:p>
    <w:p w:rsidR="00FB05E1" w:rsidRDefault="00FB05E1">
      <w:pPr>
        <w:spacing w:line="360" w:lineRule="auto"/>
        <w:ind w:right="-787"/>
        <w:jc w:val="both"/>
      </w:pPr>
    </w:p>
    <w:p w:rsidR="00FB05E1" w:rsidRDefault="00FA47E9">
      <w:pPr>
        <w:numPr>
          <w:ilvl w:val="0"/>
          <w:numId w:val="3"/>
        </w:numPr>
        <w:spacing w:line="360" w:lineRule="auto"/>
        <w:ind w:left="0" w:right="-787" w:firstLine="0"/>
        <w:jc w:val="both"/>
      </w:pPr>
      <w:r>
        <w:rPr>
          <w:rFonts w:ascii="Palatino Linotype" w:eastAsia="Palatino Linotype" w:hAnsi="Palatino Linotype" w:cs="Palatino Linotype"/>
        </w:rPr>
        <w:t xml:space="preserve">De lo expuesto es de precisar que la respuesta fue emitida por la </w:t>
      </w:r>
      <w:r>
        <w:rPr>
          <w:rFonts w:ascii="Palatino Linotype" w:eastAsia="Palatino Linotype" w:hAnsi="Palatino Linotype" w:cs="Palatino Linotype"/>
          <w:b/>
          <w:bCs/>
        </w:rPr>
        <w:t>Unidad de Apoyo Administrativo</w:t>
      </w:r>
      <w:r>
        <w:rPr>
          <w:rFonts w:ascii="Palatino Linotype" w:eastAsia="Palatino Linotype" w:hAnsi="Palatino Linotype" w:cs="Palatino Linotype"/>
        </w:rPr>
        <w:t xml:space="preserve">, por lo que podemos advertir que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 xml:space="preserve">siguió el </w:t>
      </w:r>
      <w:r>
        <w:rPr>
          <w:rFonts w:ascii="Palatino Linotype" w:eastAsia="Palatino Linotype" w:hAnsi="Palatino Linotype" w:cs="Palatino Linotype"/>
        </w:rPr>
        <w:lastRenderedPageBreak/>
        <w:t>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FB05E1" w:rsidRDefault="00FB05E1">
      <w:pPr>
        <w:spacing w:line="360" w:lineRule="auto"/>
        <w:ind w:right="-787"/>
        <w:jc w:val="both"/>
      </w:pPr>
    </w:p>
    <w:p w:rsidR="00FB05E1" w:rsidRDefault="00FA47E9">
      <w:pPr>
        <w:ind w:left="567" w:right="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XXXIX.</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Servidor público habilitado</w:t>
      </w:r>
      <w:r>
        <w:rPr>
          <w:rFonts w:ascii="Palatino Linotype" w:eastAsia="Palatino Linotype" w:hAnsi="Palatino Linotype" w:cs="Palatino Linotype"/>
          <w:i/>
          <w:iCs/>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B05E1" w:rsidRDefault="00FB05E1">
      <w:pPr>
        <w:spacing w:line="360" w:lineRule="auto"/>
        <w:ind w:left="708" w:right="62"/>
        <w:jc w:val="both"/>
        <w:rPr>
          <w:rFonts w:ascii="Palatino Linotype" w:eastAsia="Palatino Linotype" w:hAnsi="Palatino Linotype" w:cs="Palatino Linotype"/>
          <w:sz w:val="22"/>
          <w:szCs w:val="22"/>
        </w:rPr>
      </w:pPr>
    </w:p>
    <w:p w:rsidR="00FB05E1" w:rsidRDefault="00FA47E9">
      <w:pPr>
        <w:numPr>
          <w:ilvl w:val="0"/>
          <w:numId w:val="3"/>
        </w:numPr>
        <w:spacing w:line="360" w:lineRule="auto"/>
        <w:ind w:left="0" w:right="-787" w:firstLine="0"/>
        <w:jc w:val="both"/>
      </w:pPr>
      <w:r>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FB05E1" w:rsidRDefault="00FB05E1">
      <w:pPr>
        <w:ind w:right="-788"/>
        <w:jc w:val="both"/>
      </w:pPr>
    </w:p>
    <w:p w:rsidR="00FB05E1" w:rsidRDefault="00FA47E9">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162.</w:t>
      </w:r>
      <w:r>
        <w:rPr>
          <w:rFonts w:ascii="Palatino Linotype" w:eastAsia="Palatino Linotype" w:hAnsi="Palatino Linotype" w:cs="Palatino Linotype"/>
          <w:i/>
          <w:iCs/>
          <w:sz w:val="22"/>
          <w:szCs w:val="22"/>
        </w:rPr>
        <w:t xml:space="preserve"> Las unidades de transparencia deberán garantizar que las solicitudes se turnen a </w:t>
      </w:r>
      <w:r>
        <w:rPr>
          <w:rFonts w:ascii="Palatino Linotype" w:eastAsia="Palatino Linotype" w:hAnsi="Palatino Linotype" w:cs="Palatino Linotype"/>
          <w:b/>
          <w:bCs/>
          <w:i/>
          <w:iCs/>
          <w:sz w:val="22"/>
          <w:szCs w:val="22"/>
        </w:rPr>
        <w:t>todas las Áreas competentes</w:t>
      </w:r>
      <w:r>
        <w:rPr>
          <w:rFonts w:ascii="Palatino Linotype" w:eastAsia="Palatino Linotype" w:hAnsi="Palatino Linotype" w:cs="Palatino Linotype"/>
          <w:i/>
          <w:iCs/>
          <w:sz w:val="22"/>
          <w:szCs w:val="22"/>
        </w:rPr>
        <w:t xml:space="preserve"> que cuenten con la información o deban tenerla de acuerdo a sus facultades, competencias y funciones, con el objeto de que realicen una búsqueda exhaustiva y razonable de la información solicitada.”</w:t>
      </w:r>
    </w:p>
    <w:p w:rsidR="00FB05E1" w:rsidRDefault="00FB05E1">
      <w:pPr>
        <w:spacing w:line="360" w:lineRule="auto"/>
        <w:ind w:right="-787"/>
        <w:jc w:val="both"/>
        <w:rPr>
          <w:rFonts w:ascii="Palatino Linotype" w:eastAsia="Palatino Linotype" w:hAnsi="Palatino Linotype" w:cs="Palatino Linotype"/>
          <w:color w:val="000000"/>
          <w:sz w:val="22"/>
          <w:szCs w:val="22"/>
        </w:rPr>
      </w:pPr>
    </w:p>
    <w:p w:rsidR="00FB05E1" w:rsidRDefault="00FA47E9">
      <w:pPr>
        <w:numPr>
          <w:ilvl w:val="0"/>
          <w:numId w:val="3"/>
        </w:numPr>
        <w:spacing w:line="360" w:lineRule="auto"/>
        <w:ind w:left="0" w:right="-787" w:firstLine="0"/>
        <w:jc w:val="both"/>
        <w:rPr>
          <w:color w:val="000000"/>
        </w:rPr>
      </w:pPr>
      <w:r>
        <w:rPr>
          <w:rFonts w:ascii="Palatino Linotype" w:eastAsia="Palatino Linotype" w:hAnsi="Palatino Linotype" w:cs="Palatino Linotype"/>
        </w:rPr>
        <w:t>Es</w:t>
      </w:r>
      <w:r>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w:t>
      </w:r>
      <w:r>
        <w:rPr>
          <w:rFonts w:ascii="Palatino Linotype" w:eastAsia="Palatino Linotype" w:hAnsi="Palatino Linotype" w:cs="Palatino Linotype"/>
          <w:color w:val="000000"/>
        </w:rPr>
        <w:lastRenderedPageBreak/>
        <w:t xml:space="preserve">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B05E1" w:rsidRDefault="00FB05E1">
      <w:pPr>
        <w:spacing w:line="360" w:lineRule="auto"/>
        <w:ind w:right="-787"/>
        <w:jc w:val="both"/>
        <w:rPr>
          <w:color w:val="000000"/>
        </w:rPr>
      </w:pPr>
    </w:p>
    <w:p w:rsidR="00FB05E1" w:rsidRDefault="00FA47E9">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 xml:space="preserve">Artículo 3. </w:t>
      </w:r>
      <w:r>
        <w:rPr>
          <w:rFonts w:ascii="Palatino Linotype" w:eastAsia="Palatino Linotype" w:hAnsi="Palatino Linotype" w:cs="Palatino Linotype"/>
          <w:i/>
          <w:iCs/>
          <w:color w:val="000000"/>
          <w:sz w:val="22"/>
          <w:szCs w:val="22"/>
        </w:rPr>
        <w:t>Para los efectos de la presente Ley se entenderá por:</w:t>
      </w:r>
    </w:p>
    <w:p w:rsidR="00FB05E1" w:rsidRDefault="00FA47E9">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FB05E1" w:rsidRDefault="00FA47E9">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XI. Documento:</w:t>
      </w:r>
      <w:r>
        <w:rPr>
          <w:rFonts w:ascii="Palatino Linotype" w:eastAsia="Palatino Linotype" w:hAnsi="Palatino Linotype" w:cs="Palatino Linotype"/>
          <w:i/>
          <w:iCs/>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B05E1" w:rsidRDefault="00FA47E9">
      <w:pPr>
        <w:spacing w:line="360" w:lineRule="auto"/>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FB05E1" w:rsidRDefault="00FB05E1">
      <w:pPr>
        <w:ind w:right="-787"/>
        <w:jc w:val="both"/>
        <w:rPr>
          <w:rFonts w:ascii="Palatino Linotype" w:eastAsia="Palatino Linotype" w:hAnsi="Palatino Linotype" w:cs="Palatino Linotype"/>
        </w:rPr>
      </w:pPr>
    </w:p>
    <w:p w:rsidR="00FB05E1" w:rsidRDefault="00FA47E9">
      <w:pPr>
        <w:numPr>
          <w:ilvl w:val="0"/>
          <w:numId w:val="3"/>
        </w:numPr>
        <w:spacing w:line="360" w:lineRule="auto"/>
        <w:ind w:left="0" w:right="-787" w:firstLine="0"/>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FB05E1" w:rsidRDefault="00FB05E1">
      <w:pPr>
        <w:spacing w:line="360" w:lineRule="auto"/>
        <w:ind w:right="-787"/>
        <w:jc w:val="both"/>
        <w:rPr>
          <w:color w:val="000000"/>
        </w:rPr>
      </w:pPr>
    </w:p>
    <w:p w:rsidR="00FB05E1" w:rsidRDefault="00FA47E9">
      <w:pPr>
        <w:ind w:left="567" w:right="-22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CRITERIO 0002-11</w:t>
      </w:r>
    </w:p>
    <w:p w:rsidR="00FB05E1" w:rsidRDefault="00FA47E9">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B05E1" w:rsidRDefault="00FA47E9">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FB05E1" w:rsidRDefault="00FA47E9">
      <w:pPr>
        <w:ind w:left="567" w:right="-22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 xml:space="preserve">1) </w:t>
      </w:r>
      <w:r>
        <w:rPr>
          <w:rFonts w:ascii="Palatino Linotype" w:eastAsia="Palatino Linotype" w:hAnsi="Palatino Linotype" w:cs="Palatino Linotype"/>
          <w:b/>
          <w:bCs/>
          <w:i/>
          <w:iCs/>
          <w:sz w:val="22"/>
          <w:szCs w:val="22"/>
          <w:u w:val="single"/>
        </w:rPr>
        <w:t>Que se trate de información registrada en cualquier soporte documental, que en ejercicio de las atribuciones conferidas, sea generada por los Sujetos Obligados;</w:t>
      </w:r>
    </w:p>
    <w:p w:rsidR="00FB05E1" w:rsidRDefault="00FA47E9">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rsidR="00FB05E1" w:rsidRDefault="00FA47E9">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rsidR="00FB05E1" w:rsidRDefault="00FA47E9">
      <w:pPr>
        <w:tabs>
          <w:tab w:val="left" w:pos="851"/>
        </w:tabs>
        <w:spacing w:line="360" w:lineRule="auto"/>
        <w:ind w:left="567" w:right="-22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FB05E1" w:rsidRDefault="00FB05E1">
      <w:pPr>
        <w:pBdr>
          <w:top w:val="nil"/>
          <w:left w:val="nil"/>
          <w:bottom w:val="nil"/>
          <w:right w:val="nil"/>
          <w:between w:val="nil"/>
        </w:pBdr>
        <w:ind w:right="-787"/>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color w:val="000000"/>
        </w:rPr>
      </w:pPr>
      <w:r>
        <w:rPr>
          <w:rFonts w:ascii="Palatino Linotype" w:eastAsia="Palatino Linotype" w:hAnsi="Palatino Linotype" w:cs="Palatino Linotype"/>
          <w:color w:val="000000"/>
        </w:rPr>
        <w:t>Por su parte los artículos 160 y 166, de la Ley local en la materia, que se reproduce de la siguiente forma:</w:t>
      </w:r>
    </w:p>
    <w:p w:rsidR="00FB05E1" w:rsidRDefault="00FB05E1">
      <w:pPr>
        <w:spacing w:line="360" w:lineRule="auto"/>
        <w:ind w:right="-787"/>
        <w:jc w:val="both"/>
        <w:rPr>
          <w:color w:val="000000"/>
        </w:rPr>
      </w:pPr>
    </w:p>
    <w:p w:rsidR="00FB05E1" w:rsidRDefault="00FA47E9">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160.</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i/>
          <w:iCs/>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sz w:val="22"/>
          <w:szCs w:val="22"/>
        </w:rPr>
        <w:t>.</w:t>
      </w:r>
    </w:p>
    <w:p w:rsidR="00FB05E1" w:rsidRDefault="00FB05E1">
      <w:pPr>
        <w:ind w:left="566" w:right="-220"/>
        <w:jc w:val="both"/>
        <w:rPr>
          <w:rFonts w:ascii="Palatino Linotype" w:eastAsia="Palatino Linotype" w:hAnsi="Palatino Linotype" w:cs="Palatino Linotype"/>
          <w:i/>
          <w:iCs/>
          <w:sz w:val="22"/>
          <w:szCs w:val="22"/>
        </w:rPr>
      </w:pPr>
    </w:p>
    <w:p w:rsidR="00FB05E1" w:rsidRDefault="00FA47E9">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caso que la información solicitada consista en bases de datos se deberá privilegiar la entrega de la misma en formatos abiertos.</w:t>
      </w:r>
    </w:p>
    <w:p w:rsidR="00FB05E1" w:rsidRDefault="00FA47E9">
      <w:pPr>
        <w:ind w:left="566" w:right="-220"/>
        <w:jc w:val="both"/>
        <w:rPr>
          <w:rFonts w:ascii="Palatino Linotype" w:eastAsia="Palatino Linotype" w:hAnsi="Palatino Linotype" w:cs="Palatino Linotype"/>
          <w:i/>
          <w:iCs/>
          <w:sz w:val="22"/>
          <w:szCs w:val="22"/>
          <w:u w:val="single"/>
        </w:rPr>
      </w:pPr>
      <w:r>
        <w:rPr>
          <w:rFonts w:ascii="Palatino Linotype" w:eastAsia="Palatino Linotype" w:hAnsi="Palatino Linotype" w:cs="Palatino Linotype"/>
          <w:b/>
          <w:bCs/>
          <w:i/>
          <w:iCs/>
          <w:sz w:val="22"/>
          <w:szCs w:val="22"/>
        </w:rPr>
        <w:t>Artículo 166.</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i/>
          <w:iCs/>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FB05E1" w:rsidRDefault="00FA47E9">
      <w:pPr>
        <w:spacing w:line="360" w:lineRule="auto"/>
        <w:ind w:left="566"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FB05E1" w:rsidRDefault="00FB05E1">
      <w:pPr>
        <w:ind w:right="-787"/>
        <w:jc w:val="both"/>
        <w:rPr>
          <w:rFonts w:ascii="Palatino Linotype" w:eastAsia="Palatino Linotype" w:hAnsi="Palatino Linotype" w:cs="Palatino Linotype"/>
        </w:rPr>
      </w:pPr>
    </w:p>
    <w:p w:rsidR="00FB05E1" w:rsidRDefault="00FA47E9">
      <w:pPr>
        <w:numPr>
          <w:ilvl w:val="0"/>
          <w:numId w:val="3"/>
        </w:numPr>
        <w:spacing w:line="360" w:lineRule="auto"/>
        <w:ind w:left="0" w:right="-787" w:firstLine="0"/>
        <w:jc w:val="both"/>
        <w:rPr>
          <w:color w:val="000000"/>
        </w:rPr>
      </w:pPr>
      <w:r>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FB05E1" w:rsidRDefault="00FB05E1">
      <w:pPr>
        <w:spacing w:line="360" w:lineRule="auto"/>
        <w:ind w:right="-787"/>
        <w:jc w:val="both"/>
        <w:rPr>
          <w:color w:val="000000"/>
        </w:rPr>
      </w:pPr>
    </w:p>
    <w:p w:rsidR="00FB05E1" w:rsidRDefault="00FA47E9">
      <w:pPr>
        <w:numPr>
          <w:ilvl w:val="0"/>
          <w:numId w:val="5"/>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De la naturaleza de la información solicitada. </w:t>
      </w: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 </w:t>
      </w:r>
      <w:r>
        <w:rPr>
          <w:rFonts w:ascii="Palatino Linotype" w:eastAsia="Palatino Linotype" w:hAnsi="Palatino Linotype" w:cs="Palatino Linotype"/>
          <w:color w:val="000000"/>
        </w:rPr>
        <w:t>precisa</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que</w:t>
      </w:r>
      <w:r>
        <w:rPr>
          <w:rFonts w:ascii="Palatino Linotype" w:eastAsia="Palatino Linotype" w:hAnsi="Palatino Linotype" w:cs="Palatino Linotype"/>
        </w:rPr>
        <w:t xml:space="preserve"> se obvia el análisis de la competencia por parte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para generar, administrar o poseer la información solicitada, dado que éste ha asumido la misma, en razón que en respuesta admitió contar con dicha información, tan es así que remitió el </w:t>
      </w:r>
      <w:r>
        <w:rPr>
          <w:rFonts w:ascii="Palatino Linotype" w:eastAsia="Palatino Linotype" w:hAnsi="Palatino Linotype" w:cs="Palatino Linotype"/>
          <w:b/>
          <w:bCs/>
          <w:color w:val="000000"/>
          <w:sz w:val="22"/>
          <w:szCs w:val="22"/>
        </w:rPr>
        <w:t>Acta del Acto de Presentación y Apertura de Propuestas del Procedimiento de Licitación Pública Nacional Presencial Número CED-LPNP-001-2025 Cooperaciones y Ayudas</w:t>
      </w:r>
      <w:r>
        <w:rPr>
          <w:rFonts w:ascii="Palatino Linotype" w:eastAsia="Palatino Linotype" w:hAnsi="Palatino Linotype" w:cs="Palatino Linotype"/>
          <w:color w:val="000000"/>
          <w:sz w:val="22"/>
          <w:szCs w:val="22"/>
        </w:rPr>
        <w:t>, correspondiente al programa de desarrollo social "</w:t>
      </w:r>
      <w:r>
        <w:rPr>
          <w:rFonts w:ascii="Palatino Linotype" w:eastAsia="Palatino Linotype" w:hAnsi="Palatino Linotype" w:cs="Palatino Linotype"/>
          <w:b/>
          <w:bCs/>
          <w:color w:val="000000"/>
          <w:sz w:val="22"/>
          <w:szCs w:val="22"/>
        </w:rPr>
        <w:t>Bienestar Cultural Indígena</w:t>
      </w:r>
      <w:r>
        <w:rPr>
          <w:rFonts w:ascii="Palatino Linotype" w:eastAsia="Palatino Linotype" w:hAnsi="Palatino Linotype" w:cs="Palatino Linotype"/>
        </w:rPr>
        <w:t>.</w:t>
      </w:r>
    </w:p>
    <w:p w:rsidR="00FB05E1" w:rsidRDefault="00FB05E1">
      <w:pPr>
        <w:tabs>
          <w:tab w:val="left" w:pos="0"/>
          <w:tab w:val="left" w:pos="567"/>
        </w:tabs>
        <w:spacing w:line="360" w:lineRule="auto"/>
        <w:ind w:left="-566" w:right="-787"/>
        <w:jc w:val="both"/>
        <w:rPr>
          <w:rFonts w:ascii="Palatino Linotype" w:eastAsia="Palatino Linotype" w:hAnsi="Palatino Linotype" w:cs="Palatino Linotype"/>
        </w:rPr>
      </w:pPr>
    </w:p>
    <w:p w:rsidR="00FB05E1" w:rsidRDefault="00FA47E9">
      <w:pPr>
        <w:numPr>
          <w:ilvl w:val="0"/>
          <w:numId w:val="3"/>
        </w:numPr>
        <w:spacing w:line="360" w:lineRule="auto"/>
        <w:ind w:left="0" w:right="-787" w:firstLine="0"/>
        <w:jc w:val="both"/>
      </w:pPr>
      <w:bookmarkStart w:id="8" w:name="_heading=h.2s8eyo1" w:colFirst="0" w:colLast="0"/>
      <w:bookmarkEnd w:id="8"/>
      <w:r>
        <w:rPr>
          <w:rFonts w:ascii="Palatino Linotype" w:eastAsia="Palatino Linotype" w:hAnsi="Palatino Linotype" w:cs="Palatino Linotype"/>
        </w:rPr>
        <w:t xml:space="preserve">En efecto, el </w:t>
      </w:r>
      <w:r>
        <w:rPr>
          <w:rFonts w:ascii="Palatino Linotype" w:eastAsia="Palatino Linotype" w:hAnsi="Palatino Linotype" w:cs="Palatino Linotype"/>
          <w:color w:val="000000"/>
        </w:rPr>
        <w:t>hecho</w:t>
      </w:r>
      <w:r>
        <w:rPr>
          <w:rFonts w:ascii="Palatino Linotype" w:eastAsia="Palatino Linotype" w:hAnsi="Palatino Linotype" w:cs="Palatino Linotype"/>
        </w:rPr>
        <w:t xml:space="preserve"> de que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FB05E1" w:rsidRDefault="00FB05E1">
      <w:pPr>
        <w:spacing w:line="360" w:lineRule="auto"/>
        <w:ind w:right="-787"/>
        <w:jc w:val="both"/>
      </w:pPr>
    </w:p>
    <w:p w:rsidR="00FB05E1" w:rsidRDefault="00FA47E9">
      <w:pPr>
        <w:tabs>
          <w:tab w:val="left" w:pos="8505"/>
        </w:tabs>
        <w:ind w:left="709"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12.</w:t>
      </w:r>
      <w:r>
        <w:rPr>
          <w:rFonts w:ascii="Palatino Linotype" w:eastAsia="Palatino Linotype" w:hAnsi="Palatino Linotype" w:cs="Palatino Linotype"/>
          <w:i/>
          <w:iCs/>
          <w:sz w:val="22"/>
          <w:szCs w:val="22"/>
        </w:rPr>
        <w:t> Quienes generen, recopilen, administren, manejen, procesen, archiven o conserven información pública serán responsables de la misma en los términos de las disposiciones jurídicas aplicables.</w:t>
      </w:r>
    </w:p>
    <w:p w:rsidR="00FB05E1" w:rsidRDefault="00FB05E1">
      <w:pPr>
        <w:tabs>
          <w:tab w:val="left" w:pos="8505"/>
        </w:tabs>
        <w:ind w:left="709" w:right="-858"/>
        <w:jc w:val="both"/>
        <w:rPr>
          <w:rFonts w:ascii="Palatino Linotype" w:eastAsia="Palatino Linotype" w:hAnsi="Palatino Linotype" w:cs="Palatino Linotype"/>
          <w:i/>
          <w:iCs/>
          <w:sz w:val="22"/>
          <w:szCs w:val="22"/>
        </w:rPr>
      </w:pPr>
    </w:p>
    <w:p w:rsidR="00FB05E1" w:rsidRDefault="00FA47E9">
      <w:pPr>
        <w:tabs>
          <w:tab w:val="left" w:pos="8505"/>
        </w:tabs>
        <w:ind w:left="709"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B05E1" w:rsidRDefault="00FB05E1">
      <w:pPr>
        <w:tabs>
          <w:tab w:val="left" w:pos="8505"/>
        </w:tabs>
        <w:ind w:left="709" w:right="-858"/>
        <w:jc w:val="both"/>
        <w:rPr>
          <w:rFonts w:ascii="Palatino Linotype" w:eastAsia="Palatino Linotype" w:hAnsi="Palatino Linotype" w:cs="Palatino Linotype"/>
          <w:i/>
          <w:iCs/>
          <w:sz w:val="22"/>
          <w:szCs w:val="22"/>
        </w:rPr>
      </w:pPr>
    </w:p>
    <w:p w:rsidR="00FB05E1" w:rsidRDefault="00FB05E1">
      <w:pPr>
        <w:pBdr>
          <w:top w:val="nil"/>
          <w:left w:val="nil"/>
          <w:bottom w:val="nil"/>
          <w:right w:val="nil"/>
          <w:between w:val="nil"/>
        </w:pBdr>
        <w:ind w:left="-566" w:right="-787"/>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color w:val="000000"/>
        </w:rPr>
      </w:pPr>
      <w:r>
        <w:rPr>
          <w:rFonts w:ascii="Palatino Linotype" w:eastAsia="Palatino Linotype" w:hAnsi="Palatino Linotype" w:cs="Palatino Linotype"/>
        </w:rPr>
        <w:t xml:space="preserve">Así, el estudio de </w:t>
      </w:r>
      <w:r>
        <w:rPr>
          <w:rFonts w:ascii="Palatino Linotype" w:eastAsia="Palatino Linotype" w:hAnsi="Palatino Linotype" w:cs="Palatino Linotype"/>
          <w:color w:val="000000"/>
        </w:rPr>
        <w:t>la</w:t>
      </w:r>
      <w:r>
        <w:rPr>
          <w:rFonts w:ascii="Palatino Linotype" w:eastAsia="Palatino Linotype" w:hAnsi="Palatino Linotype" w:cs="Palatino Linotype"/>
        </w:rPr>
        <w:t xml:space="preserve"> naturaleza jurídica de la información pública solicitada, tiene por objeto determinar si ésta la genera, posee o administra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sin embargo, en aquellos casos en que éste la asume, a nada práctico nos conduciría su estudio, ya que se insiste, dicha información, fue admitida por el mismo; por lo que, la genera, posee y </w:t>
      </w:r>
      <w:r>
        <w:rPr>
          <w:rFonts w:ascii="Palatino Linotype" w:eastAsia="Palatino Linotype" w:hAnsi="Palatino Linotype" w:cs="Palatino Linotype"/>
        </w:rPr>
        <w:lastRenderedPageBreak/>
        <w:t>administra, en ejercicio de sus funciones de derecho público, motivo por el cual, se actualiza el supuesto jurídico, previsto en el artículo 12 de la Ley de la materia, anteriormente referido.</w:t>
      </w:r>
    </w:p>
    <w:p w:rsidR="00FB05E1" w:rsidRDefault="00FB05E1">
      <w:pPr>
        <w:spacing w:line="360" w:lineRule="auto"/>
        <w:ind w:right="-787"/>
        <w:jc w:val="both"/>
        <w:rPr>
          <w:rFonts w:ascii="Palatino Linotype" w:eastAsia="Palatino Linotype" w:hAnsi="Palatino Linotype" w:cs="Palatino Linotype"/>
          <w:color w:val="000000"/>
          <w:sz w:val="22"/>
          <w:szCs w:val="22"/>
        </w:rPr>
      </w:pPr>
    </w:p>
    <w:p w:rsidR="00FB05E1" w:rsidRDefault="00FA47E9">
      <w:pPr>
        <w:numPr>
          <w:ilvl w:val="0"/>
          <w:numId w:val="3"/>
        </w:numPr>
        <w:spacing w:line="360" w:lineRule="auto"/>
        <w:ind w:left="0" w:right="-787" w:firstLine="0"/>
        <w:jc w:val="both"/>
        <w:rPr>
          <w:color w:val="000000"/>
        </w:rPr>
      </w:pPr>
      <w:r>
        <w:rPr>
          <w:rFonts w:ascii="Palatino Linotype" w:eastAsia="Palatino Linotype" w:hAnsi="Palatino Linotype" w:cs="Palatino Linotype"/>
        </w:rPr>
        <w:t xml:space="preserve">Ahora bien, es de precisar que el particular requirió </w:t>
      </w:r>
      <w:r>
        <w:rPr>
          <w:rFonts w:ascii="Palatino Linotype" w:eastAsia="Palatino Linotype" w:hAnsi="Palatino Linotype" w:cs="Palatino Linotype"/>
          <w:i/>
          <w:iCs/>
          <w:color w:val="000000"/>
          <w:u w:val="single"/>
        </w:rPr>
        <w:t>el acta de adquisición del programa Bienestar Cultural Indígena,</w:t>
      </w:r>
      <w:r>
        <w:rPr>
          <w:rFonts w:ascii="Palatino Linotype" w:eastAsia="Palatino Linotype" w:hAnsi="Palatino Linotype" w:cs="Palatino Linotype"/>
          <w:color w:val="000000"/>
        </w:rPr>
        <w:t xml:space="preserve"> en respuesta, el Sujeto Obligado remitió el </w:t>
      </w:r>
      <w:r>
        <w:rPr>
          <w:rFonts w:ascii="Palatino Linotype" w:eastAsia="Palatino Linotype" w:hAnsi="Palatino Linotype" w:cs="Palatino Linotype"/>
          <w:b/>
          <w:bCs/>
          <w:color w:val="000000"/>
        </w:rPr>
        <w:t>Acta del Acto de Presentación y Apertura de Propuestas del Procedimiento de Licitación Pública Nacional Presencial Número CED-LPNP-001-2025 Cooperaciones y Ayudas</w:t>
      </w:r>
      <w:r>
        <w:rPr>
          <w:rFonts w:ascii="Palatino Linotype" w:eastAsia="Palatino Linotype" w:hAnsi="Palatino Linotype" w:cs="Palatino Linotype"/>
          <w:color w:val="000000"/>
        </w:rPr>
        <w:t>, correspondiente al programa de desarrollo social "</w:t>
      </w:r>
      <w:r>
        <w:rPr>
          <w:rFonts w:ascii="Palatino Linotype" w:eastAsia="Palatino Linotype" w:hAnsi="Palatino Linotype" w:cs="Palatino Linotype"/>
          <w:b/>
          <w:bCs/>
          <w:color w:val="000000"/>
        </w:rPr>
        <w:t>Bienestar Cultural Indígena</w:t>
      </w:r>
      <w:r>
        <w:rPr>
          <w:rFonts w:ascii="Palatino Linotype" w:eastAsia="Palatino Linotype" w:hAnsi="Palatino Linotype" w:cs="Palatino Linotype"/>
          <w:color w:val="000000"/>
        </w:rPr>
        <w:t>", en consecuencia, el particular se dolió de la respuesta proporcionada al referir que “</w:t>
      </w:r>
      <w:r>
        <w:rPr>
          <w:rFonts w:ascii="Palatino Linotype" w:eastAsia="Palatino Linotype" w:hAnsi="Palatino Linotype" w:cs="Palatino Linotype"/>
          <w:i/>
          <w:iCs/>
          <w:color w:val="000000"/>
        </w:rPr>
        <w:t>El acta proporcionada carece de los anexos que son parte del expediente de licitación …, ya que los anexos contienen información esencial sobre el procedimiento y los participantes”</w:t>
      </w:r>
      <w:r>
        <w:rPr>
          <w:rFonts w:ascii="Palatino Linotype" w:eastAsia="Palatino Linotype" w:hAnsi="Palatino Linotype" w:cs="Palatino Linotype"/>
          <w:color w:val="000000"/>
        </w:rPr>
        <w:t>.</w:t>
      </w:r>
    </w:p>
    <w:p w:rsidR="00FB05E1" w:rsidRDefault="00FB05E1">
      <w:pPr>
        <w:spacing w:line="360" w:lineRule="auto"/>
        <w:ind w:right="-787"/>
        <w:jc w:val="both"/>
        <w:rPr>
          <w:rFonts w:ascii="Palatino Linotype" w:eastAsia="Palatino Linotype" w:hAnsi="Palatino Linotype" w:cs="Palatino Linotype"/>
          <w:color w:val="000000"/>
          <w:sz w:val="22"/>
          <w:szCs w:val="22"/>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es de mencionar que </w:t>
      </w:r>
      <w:r>
        <w:rPr>
          <w:rFonts w:ascii="Palatino Linotype" w:eastAsia="Palatino Linotype" w:hAnsi="Palatino Linotype" w:cs="Palatino Linotype"/>
          <w:color w:val="000000"/>
        </w:rPr>
        <w:t xml:space="preserve">los artículos 1, fracción I, y 4 de la Ley de la de Contratación Pública del Estado de México y Municipios, especifica que las secretarías y las unidades administrativas del Poder Ejecutivo del Estados, serán los encargados de realizar los actos relativos a la planeación, programación, presupuestación, ejecución y control de la adquisición (bienes muebles e inmuebles), arrendamiento (bienes muebles e inmuebles), y la contratación de servicios de cualquier naturaleza. </w:t>
      </w:r>
    </w:p>
    <w:p w:rsidR="00FB05E1" w:rsidRDefault="00FB05E1">
      <w:pPr>
        <w:ind w:right="-787"/>
        <w:jc w:val="both"/>
        <w:rPr>
          <w:rFonts w:ascii="Palatino Linotype" w:eastAsia="Palatino Linotype" w:hAnsi="Palatino Linotype" w:cs="Palatino Linotype"/>
          <w:color w:val="000000"/>
        </w:rPr>
      </w:pPr>
    </w:p>
    <w:p w:rsidR="00FB05E1" w:rsidRDefault="00FA47E9">
      <w:pPr>
        <w:ind w:left="567" w:right="-85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4.- </w:t>
      </w:r>
      <w:r>
        <w:rPr>
          <w:rFonts w:ascii="Palatino Linotype" w:eastAsia="Palatino Linotype" w:hAnsi="Palatino Linotype" w:cs="Palatino Linotype"/>
          <w:i/>
          <w:iCs/>
          <w:sz w:val="22"/>
          <w:szCs w:val="22"/>
        </w:rPr>
        <w:t>Para los efectos de esta Ley, en las adquisiciones, enajenaciones, arrendamientos y servicios, quedan comprendidos:</w:t>
      </w:r>
    </w:p>
    <w:p w:rsidR="00FB05E1" w:rsidRDefault="00FB05E1">
      <w:pPr>
        <w:ind w:left="567" w:right="-856"/>
        <w:jc w:val="both"/>
        <w:rPr>
          <w:rFonts w:ascii="Palatino Linotype" w:eastAsia="Palatino Linotype" w:hAnsi="Palatino Linotype" w:cs="Palatino Linotype"/>
          <w:i/>
          <w:iCs/>
          <w:sz w:val="22"/>
          <w:szCs w:val="22"/>
        </w:rPr>
      </w:pPr>
    </w:p>
    <w:p w:rsidR="00FB05E1" w:rsidRDefault="00FA47E9">
      <w:pPr>
        <w:ind w:left="567" w:right="-85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 </w:t>
      </w:r>
      <w:r>
        <w:rPr>
          <w:rFonts w:ascii="Palatino Linotype" w:eastAsia="Palatino Linotype" w:hAnsi="Palatino Linotype" w:cs="Palatino Linotype"/>
          <w:i/>
          <w:iCs/>
          <w:sz w:val="22"/>
          <w:szCs w:val="22"/>
        </w:rPr>
        <w:t xml:space="preserve">La contratación de los servicios, relacionados con bienes muebles que se encuentran incorporados o adheridos a bienes inmuebles, cuya instalación o mantenimiento no implique modificación al bien inmueble. </w:t>
      </w:r>
    </w:p>
    <w:p w:rsidR="00FB05E1" w:rsidRDefault="00FB05E1">
      <w:pPr>
        <w:ind w:left="567" w:right="-856"/>
        <w:jc w:val="both"/>
        <w:rPr>
          <w:rFonts w:ascii="Palatino Linotype" w:eastAsia="Palatino Linotype" w:hAnsi="Palatino Linotype" w:cs="Palatino Linotype"/>
          <w:i/>
          <w:iCs/>
          <w:sz w:val="22"/>
          <w:szCs w:val="22"/>
        </w:rPr>
      </w:pPr>
    </w:p>
    <w:p w:rsidR="00FB05E1" w:rsidRDefault="00FA47E9">
      <w:pPr>
        <w:ind w:left="567" w:right="-85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 La contratación de los servicios de reconstrucción y mantenimiento de bienes muebles. </w:t>
      </w:r>
    </w:p>
    <w:p w:rsidR="00FB05E1" w:rsidRDefault="00FB05E1">
      <w:pPr>
        <w:ind w:left="567" w:right="-856"/>
        <w:jc w:val="both"/>
        <w:rPr>
          <w:rFonts w:ascii="Palatino Linotype" w:eastAsia="Palatino Linotype" w:hAnsi="Palatino Linotype" w:cs="Palatino Linotype"/>
          <w:i/>
          <w:iCs/>
          <w:sz w:val="22"/>
          <w:szCs w:val="22"/>
        </w:rPr>
      </w:pPr>
    </w:p>
    <w:p w:rsidR="00FB05E1" w:rsidRDefault="00FA47E9">
      <w:pPr>
        <w:ind w:left="567" w:right="-85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VII. La contratación de los servicios de maquila, seguros y transportación, así como de los de limpieza y vigilancia de bienes inmuebles.</w:t>
      </w:r>
    </w:p>
    <w:p w:rsidR="00FB05E1" w:rsidRDefault="00FA47E9">
      <w:pPr>
        <w:ind w:left="567" w:right="-85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FB05E1" w:rsidRDefault="00FB05E1">
      <w:pPr>
        <w:ind w:left="567" w:right="-856"/>
        <w:jc w:val="both"/>
        <w:rPr>
          <w:rFonts w:ascii="Palatino Linotype" w:eastAsia="Palatino Linotype" w:hAnsi="Palatino Linotype" w:cs="Palatino Linotype"/>
          <w:i/>
          <w:iCs/>
          <w:sz w:val="22"/>
          <w:szCs w:val="22"/>
        </w:rPr>
      </w:pPr>
    </w:p>
    <w:p w:rsidR="00FB05E1" w:rsidRDefault="00FA47E9">
      <w:pPr>
        <w:ind w:left="567" w:right="-85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En general, otros actos que impliquen la contratación de servicios de cualquier naturaleza.</w:t>
      </w:r>
    </w:p>
    <w:p w:rsidR="00FB05E1" w:rsidRDefault="00FA47E9">
      <w:pPr>
        <w:ind w:left="567" w:right="-856"/>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sz w:val="22"/>
          <w:szCs w:val="22"/>
        </w:rPr>
        <w:t>…</w:t>
      </w:r>
    </w:p>
    <w:p w:rsidR="00FB05E1" w:rsidRDefault="00FB05E1">
      <w:pPr>
        <w:pBdr>
          <w:top w:val="nil"/>
          <w:left w:val="nil"/>
          <w:bottom w:val="nil"/>
          <w:right w:val="nil"/>
          <w:between w:val="nil"/>
        </w:pBdr>
        <w:spacing w:line="360" w:lineRule="auto"/>
        <w:ind w:left="644"/>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las adquisiciones, arrendamientos y servicios, se adjudicarán a través de procedimientos de licitación pública, invitación restringida y adjudicación directa.</w:t>
      </w:r>
    </w:p>
    <w:p w:rsidR="00FB05E1" w:rsidRDefault="00FB05E1">
      <w:pPr>
        <w:spacing w:line="360" w:lineRule="auto"/>
        <w:ind w:right="-787"/>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este orden de ideas, la Ley de Contratación Pública del Estado de México prevé que las adquisiciones, arrendamientos y servicios se adjudicarán mediante licitación pública, esto previa emisión de una convocatoria pública; invitación restringida o adjudicación directa.</w:t>
      </w:r>
    </w:p>
    <w:p w:rsidR="00FB05E1" w:rsidRDefault="00FB05E1">
      <w:pPr>
        <w:spacing w:line="360" w:lineRule="auto"/>
        <w:ind w:right="-787"/>
        <w:jc w:val="both"/>
        <w:rPr>
          <w:rFonts w:ascii="Palatino Linotype" w:eastAsia="Palatino Linotype" w:hAnsi="Palatino Linotype" w:cs="Palatino Linotype"/>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Asimismo la legislación en análisis regula el procedimiento de licitación pública, en los términos siguientes: </w:t>
      </w:r>
    </w:p>
    <w:p w:rsidR="00FB05E1" w:rsidRDefault="00FB05E1">
      <w:pPr>
        <w:spacing w:line="360" w:lineRule="auto"/>
        <w:ind w:right="-787"/>
        <w:jc w:val="both"/>
        <w:rPr>
          <w:rFonts w:ascii="Palatino Linotype" w:eastAsia="Palatino Linotype" w:hAnsi="Palatino Linotype" w:cs="Palatino Linotype"/>
        </w:rPr>
      </w:pP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35.- </w:t>
      </w:r>
      <w:r>
        <w:rPr>
          <w:rFonts w:ascii="Palatino Linotype" w:eastAsia="Palatino Linotype" w:hAnsi="Palatino Linotype" w:cs="Palatino Linotype"/>
          <w:i/>
          <w:iCs/>
          <w:sz w:val="22"/>
          <w:szCs w:val="22"/>
        </w:rPr>
        <w:t xml:space="preserve">En los </w:t>
      </w:r>
      <w:r>
        <w:rPr>
          <w:rFonts w:ascii="Palatino Linotype" w:eastAsia="Palatino Linotype" w:hAnsi="Palatino Linotype" w:cs="Palatino Linotype"/>
          <w:b/>
          <w:bCs/>
          <w:i/>
          <w:iCs/>
          <w:sz w:val="22"/>
          <w:szCs w:val="22"/>
        </w:rPr>
        <w:t>procedimientos de licitación pública</w:t>
      </w:r>
      <w:r>
        <w:rPr>
          <w:rFonts w:ascii="Palatino Linotype" w:eastAsia="Palatino Linotype" w:hAnsi="Palatino Linotype" w:cs="Palatino Linotype"/>
          <w:i/>
          <w:iCs/>
          <w:sz w:val="22"/>
          <w:szCs w:val="22"/>
        </w:rPr>
        <w:t xml:space="preserve"> se observará lo siguiente:</w:t>
      </w:r>
    </w:p>
    <w:p w:rsidR="00FB05E1" w:rsidRDefault="00FB05E1">
      <w:pPr>
        <w:ind w:left="567" w:right="-858"/>
        <w:jc w:val="both"/>
        <w:rPr>
          <w:rFonts w:ascii="Palatino Linotype" w:eastAsia="Palatino Linotype" w:hAnsi="Palatino Linotype" w:cs="Palatino Linotype"/>
          <w:i/>
          <w:iCs/>
          <w:sz w:val="22"/>
          <w:szCs w:val="22"/>
        </w:rPr>
      </w:pP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i/>
          <w:iCs/>
          <w:sz w:val="22"/>
          <w:szCs w:val="22"/>
        </w:rPr>
        <w:t xml:space="preserve">El acto de presentación y apertura de propuestas se llevará a cabo por el servidor público que designe la convocante, conforme al procedimiento que se establezca en el reglamento de esta Ley. </w:t>
      </w:r>
    </w:p>
    <w:p w:rsidR="00FB05E1" w:rsidRDefault="00FA47E9">
      <w:pPr>
        <w:ind w:left="567" w:right="-858"/>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b/>
          <w:bCs/>
          <w:i/>
          <w:iCs/>
          <w:sz w:val="22"/>
          <w:szCs w:val="22"/>
        </w:rPr>
        <w:t xml:space="preserve">II. </w:t>
      </w:r>
      <w:r>
        <w:rPr>
          <w:rFonts w:ascii="Palatino Linotype" w:eastAsia="Palatino Linotype" w:hAnsi="Palatino Linotype" w:cs="Palatino Linotype"/>
          <w:i/>
          <w:iCs/>
          <w:sz w:val="22"/>
          <w:szCs w:val="22"/>
        </w:rPr>
        <w:t>El comité de adquisiciones y servicios evaluará y analizará las propuestas técnicas y económicas presentadas por los licitantes en el ámbito de las respectivas competencias de sus integrantes, y emitirá el dictamen de adjudicación.</w:t>
      </w:r>
      <w:r>
        <w:rPr>
          <w:rFonts w:ascii="Palatino Linotype" w:eastAsia="Palatino Linotype" w:hAnsi="Palatino Linotype" w:cs="Palatino Linotype"/>
          <w:b/>
          <w:bCs/>
          <w:i/>
          <w:iCs/>
          <w:sz w:val="22"/>
          <w:szCs w:val="22"/>
          <w:u w:val="single"/>
        </w:rPr>
        <w:t xml:space="preserve">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III. </w:t>
      </w:r>
      <w:r>
        <w:rPr>
          <w:rFonts w:ascii="Palatino Linotype" w:eastAsia="Palatino Linotype" w:hAnsi="Palatino Linotype" w:cs="Palatino Linotype"/>
          <w:i/>
          <w:iCs/>
          <w:sz w:val="22"/>
          <w:szCs w:val="22"/>
        </w:rPr>
        <w:t xml:space="preserve">Las bases de licitación se pondrán a la venta a partir de la fecha de publicación de la convocatoria y hasta el día hábil anterior a la fecha de celebración de la junta de aclaraciones o, en su defecto, del acto de presentación y apertura de propuestas.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IV. </w:t>
      </w:r>
      <w:r>
        <w:rPr>
          <w:rFonts w:ascii="Palatino Linotype" w:eastAsia="Palatino Linotype" w:hAnsi="Palatino Linotype" w:cs="Palatino Linotype"/>
          <w:i/>
          <w:iCs/>
          <w:sz w:val="22"/>
          <w:szCs w:val="22"/>
        </w:rPr>
        <w:t>Las convocantes podrán modificar los plazos y términos establecidos en la convocatoria o en las bases de licitación, hasta cinco días hábiles anteriores a la fecha de la celebración del acto de presentación y apertura de propuestas.</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 xml:space="preserve">V. </w:t>
      </w:r>
      <w:r>
        <w:rPr>
          <w:rFonts w:ascii="Palatino Linotype" w:eastAsia="Palatino Linotype" w:hAnsi="Palatino Linotype" w:cs="Palatino Linotype"/>
          <w:i/>
          <w:iCs/>
          <w:sz w:val="22"/>
          <w:szCs w:val="22"/>
        </w:rPr>
        <w:t xml:space="preserve">Las modificaciones no podrán limitar el número de licitantes, sustituir o variar sustancialmente los bienes o servicios convocados originalmente, ni adicionar otros distintos.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VI. </w:t>
      </w:r>
      <w:r>
        <w:rPr>
          <w:rFonts w:ascii="Palatino Linotype" w:eastAsia="Palatino Linotype" w:hAnsi="Palatino Linotype" w:cs="Palatino Linotype"/>
          <w:i/>
          <w:iCs/>
          <w:sz w:val="22"/>
          <w:szCs w:val="22"/>
        </w:rPr>
        <w:t xml:space="preserve">Las modificaciones a la convocatoria o a las bases se harán del conocimiento de los interesados hasta tres días hábiles antes de la fecha señalada para el acto de presentación y apertura de propuestas.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VII. </w:t>
      </w:r>
      <w:r>
        <w:rPr>
          <w:rFonts w:ascii="Palatino Linotype" w:eastAsia="Palatino Linotype" w:hAnsi="Palatino Linotype" w:cs="Palatino Linotype"/>
          <w:i/>
          <w:iCs/>
          <w:sz w:val="22"/>
          <w:szCs w:val="22"/>
        </w:rPr>
        <w:t xml:space="preserve">Se emitirá el fallo dentro de los 15 días hábiles siguientes a la publicación de la convocatoria.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VIII. </w:t>
      </w:r>
      <w:r>
        <w:rPr>
          <w:rFonts w:ascii="Palatino Linotype" w:eastAsia="Palatino Linotype" w:hAnsi="Palatino Linotype" w:cs="Palatino Linotype"/>
          <w:i/>
          <w:iCs/>
          <w:sz w:val="22"/>
          <w:szCs w:val="22"/>
        </w:rPr>
        <w:t>Los licitantes se podrán registrar hasta el día y la hora fijados para el acto de presentación y apertura de propuestas.</w:t>
      </w:r>
    </w:p>
    <w:p w:rsidR="00FB05E1" w:rsidRDefault="00FB05E1">
      <w:pPr>
        <w:ind w:left="567" w:right="-858"/>
        <w:jc w:val="both"/>
        <w:rPr>
          <w:rFonts w:ascii="Palatino Linotype" w:eastAsia="Palatino Linotype" w:hAnsi="Palatino Linotype" w:cs="Palatino Linotype"/>
          <w:i/>
          <w:iCs/>
          <w:sz w:val="22"/>
          <w:szCs w:val="22"/>
        </w:rPr>
      </w:pPr>
    </w:p>
    <w:p w:rsidR="00FB05E1" w:rsidRDefault="00FA47E9">
      <w:pPr>
        <w:ind w:left="567" w:right="-858"/>
        <w:jc w:val="center"/>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“TÍTULO SEXTO</w:t>
      </w:r>
    </w:p>
    <w:p w:rsidR="00FB05E1" w:rsidRDefault="00FA47E9">
      <w:pPr>
        <w:ind w:left="567" w:right="-858"/>
        <w:jc w:val="center"/>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DE LOS PROCEDIMIENTOS DE ADQUISICIÓN</w:t>
      </w:r>
    </w:p>
    <w:p w:rsidR="00FB05E1" w:rsidRDefault="00FA47E9">
      <w:pPr>
        <w:ind w:left="567" w:right="-858"/>
        <w:jc w:val="center"/>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CAPÍTULO PRIMERO</w:t>
      </w:r>
    </w:p>
    <w:p w:rsidR="00FB05E1" w:rsidRDefault="00FA47E9">
      <w:pPr>
        <w:ind w:left="567" w:right="-858"/>
        <w:jc w:val="center"/>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DE LA LICITACIÓN PÚBLICA</w:t>
      </w:r>
    </w:p>
    <w:p w:rsidR="00FB05E1" w:rsidRDefault="00FA47E9">
      <w:pPr>
        <w:ind w:left="567" w:right="-858"/>
        <w:jc w:val="center"/>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SECCIÓN PRIMERA</w:t>
      </w:r>
    </w:p>
    <w:p w:rsidR="00FB05E1" w:rsidRDefault="00FA47E9">
      <w:pPr>
        <w:ind w:left="567" w:right="-858"/>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GENERALIDADES</w:t>
      </w:r>
    </w:p>
    <w:p w:rsidR="00FB05E1" w:rsidRDefault="00FB05E1">
      <w:pPr>
        <w:ind w:left="567" w:right="-858"/>
        <w:rPr>
          <w:rFonts w:ascii="Palatino Linotype" w:eastAsia="Palatino Linotype" w:hAnsi="Palatino Linotype" w:cs="Palatino Linotype"/>
          <w:i/>
          <w:iCs/>
          <w:sz w:val="22"/>
          <w:szCs w:val="22"/>
        </w:rPr>
      </w:pP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61.- </w:t>
      </w:r>
      <w:r>
        <w:rPr>
          <w:rFonts w:ascii="Palatino Linotype" w:eastAsia="Palatino Linotype" w:hAnsi="Palatino Linotype" w:cs="Palatino Linotype"/>
          <w:i/>
          <w:iCs/>
          <w:sz w:val="22"/>
          <w:szCs w:val="22"/>
        </w:rPr>
        <w:t xml:space="preserve">La Secretaría, organismos auxiliares, tribunales administrativos y municipios podrán realizar licitaciones públicas, para la adquisición, arrendamiento de bienes y la contratación de servicios de cualquier naturaleza, conforme a las previsiones y disposiciones presupuestarias respectivas. </w:t>
      </w:r>
    </w:p>
    <w:p w:rsidR="00FB05E1" w:rsidRDefault="00FB05E1">
      <w:pPr>
        <w:ind w:left="567" w:right="-858"/>
        <w:jc w:val="both"/>
        <w:rPr>
          <w:rFonts w:ascii="Palatino Linotype" w:eastAsia="Palatino Linotype" w:hAnsi="Palatino Linotype" w:cs="Palatino Linotype"/>
          <w:b/>
          <w:bCs/>
          <w:i/>
          <w:iCs/>
          <w:sz w:val="22"/>
          <w:szCs w:val="22"/>
        </w:rPr>
      </w:pP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FB05E1" w:rsidRDefault="00FA47E9">
      <w:pPr>
        <w:ind w:left="567" w:right="-858"/>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67.- El procedimiento de licitación pública comprende las siguientes fases:</w:t>
      </w:r>
    </w:p>
    <w:p w:rsidR="00FB05E1" w:rsidRDefault="00FB05E1">
      <w:pPr>
        <w:ind w:left="567" w:right="-858"/>
        <w:jc w:val="both"/>
        <w:rPr>
          <w:rFonts w:ascii="Palatino Linotype" w:eastAsia="Palatino Linotype" w:hAnsi="Palatino Linotype" w:cs="Palatino Linotype"/>
          <w:i/>
          <w:iCs/>
          <w:sz w:val="22"/>
          <w:szCs w:val="22"/>
        </w:rPr>
      </w:pP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 Publicación de la convocatoria;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Venta de las bases de licitación;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Visita, en su caso, al sitio donde se vayan a suministrar los bienes o a prestar los servicios;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IV. Junta de aclaraciones, en su caso;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 Acto de presentación y apertura de propuestas;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 Análisis y evaluación de propuestas;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VII. Dictamen de adjudicación;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VIII. Fallo;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IX. Suscripción del contrato; y </w:t>
      </w:r>
    </w:p>
    <w:p w:rsidR="00FB05E1" w:rsidRDefault="00FA47E9">
      <w:pPr>
        <w:ind w:left="567" w:right="-85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X. Suministro de los bienes o inicio de la prestación del servicio. </w:t>
      </w:r>
    </w:p>
    <w:p w:rsidR="00FB05E1" w:rsidRDefault="00FB05E1">
      <w:pPr>
        <w:ind w:left="567" w:right="-858"/>
        <w:jc w:val="both"/>
        <w:rPr>
          <w:rFonts w:ascii="Palatino Linotype" w:eastAsia="Palatino Linotype" w:hAnsi="Palatino Linotype" w:cs="Palatino Linotype"/>
          <w:i/>
          <w:iCs/>
          <w:sz w:val="22"/>
          <w:szCs w:val="22"/>
        </w:rPr>
      </w:pPr>
    </w:p>
    <w:p w:rsidR="00FB05E1" w:rsidRDefault="00FB05E1">
      <w:pPr>
        <w:pBdr>
          <w:top w:val="nil"/>
          <w:left w:val="nil"/>
          <w:bottom w:val="nil"/>
          <w:right w:val="nil"/>
          <w:between w:val="nil"/>
        </w:pBdr>
        <w:spacing w:line="360" w:lineRule="auto"/>
        <w:rPr>
          <w:rFonts w:ascii="Palatino Linotype" w:eastAsia="Palatino Linotype" w:hAnsi="Palatino Linotype" w:cs="Palatino Linotype"/>
          <w:color w:val="000000"/>
          <w:highlight w:val="cyan"/>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análisis de la normatividad en estudio se advierte que el procedimiento de licitación comprende diversas etapas, desde la publicación de la convocatoria hasta el </w:t>
      </w:r>
      <w:r>
        <w:rPr>
          <w:rFonts w:ascii="Palatino Linotype" w:eastAsia="Palatino Linotype" w:hAnsi="Palatino Linotype" w:cs="Palatino Linotype"/>
          <w:color w:val="000000"/>
        </w:rPr>
        <w:lastRenderedPageBreak/>
        <w:t>Suministro de los bienes o inicio de la prestación del servicio, documentales que forman parte de un expediente del procedimiento de licitación.</w:t>
      </w:r>
    </w:p>
    <w:p w:rsidR="00FB05E1" w:rsidRDefault="00FB05E1">
      <w:pPr>
        <w:spacing w:line="360" w:lineRule="auto"/>
        <w:ind w:right="-787"/>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la Ley de Transparencia Local establece como obligación de transparencia común la entrega de la información sobre los procesos y resultados sobre procedimientos de adjudicación directa, invitación restringida y licitación de cualquier naturaleza, incluyendo la versión pública del expediente respectivo.</w:t>
      </w:r>
    </w:p>
    <w:p w:rsidR="00FB05E1" w:rsidRDefault="00FB05E1">
      <w:pPr>
        <w:spacing w:line="360" w:lineRule="auto"/>
        <w:ind w:right="-787"/>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color w:val="000000"/>
        </w:rPr>
      </w:pPr>
      <w:r>
        <w:rPr>
          <w:rFonts w:ascii="Palatino Linotype" w:eastAsia="Palatino Linotype" w:hAnsi="Palatino Linotype" w:cs="Palatino Linotype"/>
          <w:color w:val="000000"/>
        </w:rPr>
        <w:t xml:space="preserve">De ello, se puede advertir que el particular </w:t>
      </w:r>
      <w:r>
        <w:rPr>
          <w:rFonts w:ascii="Palatino Linotype" w:eastAsia="Palatino Linotype" w:hAnsi="Palatino Linotype" w:cs="Palatino Linotype"/>
        </w:rPr>
        <w:t xml:space="preserve">requirió </w:t>
      </w:r>
      <w:r>
        <w:rPr>
          <w:rFonts w:ascii="Palatino Linotype" w:eastAsia="Palatino Linotype" w:hAnsi="Palatino Linotype" w:cs="Palatino Linotype"/>
          <w:i/>
          <w:iCs/>
          <w:color w:val="000000"/>
          <w:u w:val="single"/>
        </w:rPr>
        <w:t>el acta de adquisición del programa Bienestar Cultural Indígena,</w:t>
      </w:r>
      <w:r>
        <w:rPr>
          <w:rFonts w:ascii="Palatino Linotype" w:eastAsia="Palatino Linotype" w:hAnsi="Palatino Linotype" w:cs="Palatino Linotype"/>
          <w:color w:val="000000"/>
        </w:rPr>
        <w:t xml:space="preserve"> en respuesta, el Sujeto Obligado remitió el </w:t>
      </w:r>
      <w:r>
        <w:rPr>
          <w:rFonts w:ascii="Palatino Linotype" w:eastAsia="Palatino Linotype" w:hAnsi="Palatino Linotype" w:cs="Palatino Linotype"/>
          <w:b/>
          <w:bCs/>
          <w:color w:val="000000"/>
        </w:rPr>
        <w:t>Acta del Acto de Presentación y Apertura de Propuestas del Procedimiento de Licitación Pública Nacional Presencial Número CED-LPNP-001-2025 Cooperaciones y Ayudas</w:t>
      </w:r>
      <w:r>
        <w:rPr>
          <w:rFonts w:ascii="Palatino Linotype" w:eastAsia="Palatino Linotype" w:hAnsi="Palatino Linotype" w:cs="Palatino Linotype"/>
          <w:color w:val="000000"/>
        </w:rPr>
        <w:t>, correspondiente al programa de desarrollo social "</w:t>
      </w:r>
      <w:r>
        <w:rPr>
          <w:rFonts w:ascii="Palatino Linotype" w:eastAsia="Palatino Linotype" w:hAnsi="Palatino Linotype" w:cs="Palatino Linotype"/>
          <w:b/>
          <w:bCs/>
          <w:color w:val="000000"/>
        </w:rPr>
        <w:t>Bienestar Cultural Indígena</w:t>
      </w:r>
      <w:r>
        <w:rPr>
          <w:rFonts w:ascii="Palatino Linotype" w:eastAsia="Palatino Linotype" w:hAnsi="Palatino Linotype" w:cs="Palatino Linotype"/>
          <w:color w:val="000000"/>
        </w:rPr>
        <w:t>", en consecuencia, el particular se dolió de la respuesta proporcionada al referir que “</w:t>
      </w:r>
      <w:r>
        <w:rPr>
          <w:rFonts w:ascii="Palatino Linotype" w:eastAsia="Palatino Linotype" w:hAnsi="Palatino Linotype" w:cs="Palatino Linotype"/>
          <w:i/>
          <w:iCs/>
          <w:color w:val="000000"/>
        </w:rPr>
        <w:t>El acta proporcionada carece de los anexos que son parte del expediente de licitación …, ya que los anexos contienen información esencial sobre el procedimiento y los participantes”</w:t>
      </w:r>
      <w:r>
        <w:rPr>
          <w:rFonts w:ascii="Palatino Linotype" w:eastAsia="Palatino Linotype" w:hAnsi="Palatino Linotype" w:cs="Palatino Linotype"/>
          <w:color w:val="000000"/>
        </w:rPr>
        <w:t>.</w:t>
      </w:r>
    </w:p>
    <w:p w:rsidR="00FB05E1" w:rsidRDefault="00FB05E1">
      <w:pPr>
        <w:spacing w:line="360" w:lineRule="auto"/>
        <w:ind w:right="-787"/>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Por tanto </w:t>
      </w:r>
      <w:r>
        <w:rPr>
          <w:rFonts w:ascii="Palatino Linotype" w:eastAsia="Palatino Linotype" w:hAnsi="Palatino Linotype" w:cs="Palatino Linotype"/>
          <w:b/>
          <w:bCs/>
        </w:rPr>
        <w:t>los</w:t>
      </w:r>
      <w:r>
        <w:rPr>
          <w:rFonts w:ascii="Palatino Linotype" w:eastAsia="Palatino Linotype" w:hAnsi="Palatino Linotype" w:cs="Palatino Linotype"/>
          <w:b/>
          <w:bCs/>
          <w:color w:val="000000"/>
        </w:rPr>
        <w:t xml:space="preserve"> motivos de inconformidad constituyen en su totalidad nuevos requerimientos de información</w:t>
      </w:r>
      <w:r>
        <w:rPr>
          <w:rFonts w:ascii="Palatino Linotype" w:eastAsia="Palatino Linotype" w:hAnsi="Palatino Linotype" w:cs="Palatino Linotype"/>
          <w:color w:val="000000"/>
        </w:rPr>
        <w:t xml:space="preserve">, configurándose así lo que se conoce como </w:t>
      </w:r>
      <w:r>
        <w:rPr>
          <w:rFonts w:ascii="Palatino Linotype" w:eastAsia="Palatino Linotype" w:hAnsi="Palatino Linotype" w:cs="Palatino Linotype"/>
          <w:b/>
          <w:bCs/>
          <w:i/>
          <w:iCs/>
          <w:color w:val="000000"/>
        </w:rPr>
        <w:t xml:space="preserve">plus petitio, </w:t>
      </w:r>
      <w:r>
        <w:rPr>
          <w:rFonts w:ascii="Palatino Linotype" w:eastAsia="Palatino Linotype" w:hAnsi="Palatino Linotype" w:cs="Palatino Linotype"/>
          <w:color w:val="000000"/>
        </w:rPr>
        <w:t xml:space="preserve">que consiste en una ampliación a su solicitud de información, argumentos que no son susceptibles de ser valorados en términos de la fracción VII, del Artículo 191, de la Ley de Transparencia y Acceso a la Información Pública del Estado de México y Municipios, el cual señala la improcedencia cuando </w:t>
      </w:r>
      <w:r>
        <w:rPr>
          <w:rFonts w:ascii="Palatino Linotype" w:eastAsia="Palatino Linotype" w:hAnsi="Palatino Linotype" w:cs="Palatino Linotype"/>
          <w:b/>
          <w:bCs/>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amplíe su solicitud en el Recurso de Revisión, </w:t>
      </w:r>
      <w:r>
        <w:rPr>
          <w:rFonts w:ascii="Palatino Linotype" w:eastAsia="Palatino Linotype" w:hAnsi="Palatino Linotype" w:cs="Palatino Linotype"/>
          <w:color w:val="000000"/>
        </w:rPr>
        <w:lastRenderedPageBreak/>
        <w:t xml:space="preserve">cuestión que tuvo lugar en el presente caso, pues el Solicitante formuló nuevos cuestionamientos, en los que </w:t>
      </w:r>
      <w:r>
        <w:rPr>
          <w:rFonts w:ascii="Palatino Linotype" w:eastAsia="Palatino Linotype" w:hAnsi="Palatino Linotype" w:cs="Palatino Linotype"/>
          <w:b/>
          <w:bCs/>
          <w:color w:val="000000"/>
        </w:rPr>
        <w:t xml:space="preserve">solicitó información que no formó parte de su solicitud inicial y por lo tanto son inatendibles a través del recurso de revisión. </w:t>
      </w:r>
    </w:p>
    <w:p w:rsidR="00FB05E1" w:rsidRDefault="00FB05E1">
      <w:pPr>
        <w:pBdr>
          <w:top w:val="nil"/>
          <w:left w:val="nil"/>
          <w:bottom w:val="nil"/>
          <w:right w:val="nil"/>
          <w:between w:val="nil"/>
        </w:pBdr>
        <w:spacing w:line="360" w:lineRule="auto"/>
        <w:ind w:left="644"/>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tenor, es posible determinar que para el caso que nos ocupa, la totalidad de los argumentos formulados como razones o motivos de inconformidad son una ampliación a la solicitud inicial y corresponden a nuevos requerimientos de información, que no se encuentran relacionados con lo solicitado en un primer momento; siendo importante señalar que una vez formulada una solicitud, 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FB05E1" w:rsidRDefault="00FB05E1">
      <w:pPr>
        <w:pBdr>
          <w:top w:val="nil"/>
          <w:left w:val="nil"/>
          <w:bottom w:val="nil"/>
          <w:right w:val="nil"/>
          <w:between w:val="nil"/>
        </w:pBdr>
        <w:ind w:left="708"/>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FB05E1" w:rsidRDefault="00FA47E9">
      <w:pPr>
        <w:pBdr>
          <w:top w:val="nil"/>
          <w:left w:val="nil"/>
          <w:bottom w:val="nil"/>
          <w:right w:val="nil"/>
          <w:between w:val="nil"/>
        </w:pBdr>
        <w:ind w:left="567" w:right="-57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iCs/>
          <w:color w:val="000000"/>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Pr>
          <w:rFonts w:ascii="Palatino Linotype" w:eastAsia="Palatino Linotype" w:hAnsi="Palatino Linotype" w:cs="Palatino Linotype"/>
          <w:b/>
          <w:bCs/>
          <w:i/>
          <w:iCs/>
          <w:color w:val="000000"/>
          <w:sz w:val="22"/>
          <w:szCs w:val="22"/>
        </w:rPr>
        <w:t>.</w:t>
      </w:r>
      <w:r>
        <w:rPr>
          <w:rFonts w:ascii="Palatino Linotype" w:eastAsia="Palatino Linotype" w:hAnsi="Palatino Linotype" w:cs="Palatino Linotype"/>
          <w:i/>
          <w:iCs/>
          <w:color w:val="000000"/>
          <w:sz w:val="22"/>
          <w:szCs w:val="22"/>
        </w:rPr>
        <w:t>”(Sic)</w:t>
      </w:r>
    </w:p>
    <w:p w:rsidR="00FB05E1" w:rsidRDefault="00FB05E1">
      <w:pPr>
        <w:pBdr>
          <w:top w:val="nil"/>
          <w:left w:val="nil"/>
          <w:bottom w:val="nil"/>
          <w:right w:val="nil"/>
          <w:between w:val="nil"/>
        </w:pBdr>
        <w:ind w:left="1134" w:right="902"/>
        <w:jc w:val="both"/>
        <w:rPr>
          <w:rFonts w:ascii="Palatino Linotype" w:eastAsia="Palatino Linotype" w:hAnsi="Palatino Linotype" w:cs="Palatino Linotype"/>
          <w:i/>
          <w:iCs/>
          <w:color w:val="000000"/>
          <w:sz w:val="22"/>
          <w:szCs w:val="22"/>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Acotado lo anterior, cabe destacar que la Ley da la posibilidad de desechar el recurso de revisión en el momento procesal en que también se puede admitir, por alguna de las </w:t>
      </w:r>
      <w:r>
        <w:rPr>
          <w:rFonts w:ascii="Palatino Linotype" w:eastAsia="Palatino Linotype" w:hAnsi="Palatino Linotype" w:cs="Palatino Linotype"/>
          <w:color w:val="000000"/>
        </w:rPr>
        <w:lastRenderedPageBreak/>
        <w:t>causales transcritas, artículo que tiene un momento de aplicabilidad previo a la admisión del recurso de revisión por no reunir los requisitos de procedibilidad previstos en el artículo 179 de la Ley en la Materia, citado con antelación.</w:t>
      </w:r>
    </w:p>
    <w:p w:rsidR="00FB05E1" w:rsidRDefault="00FB05E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Dentro de este orden de ideas, es evidente que no se puede invocar el precepto legal 191, de la Ley en cita ulteriormente, ya que ha sido admitido, determinando la actualización de un desechamiento</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porque está ya sería posterior a la etapa procedimental en la que debió desecharse.</w:t>
      </w:r>
    </w:p>
    <w:p w:rsidR="00FB05E1" w:rsidRDefault="00FB05E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Pr>
          <w:rFonts w:ascii="Palatino Linotype" w:eastAsia="Palatino Linotype" w:hAnsi="Palatino Linotype" w:cs="Palatino Linotype"/>
          <w:i/>
          <w:iCs/>
          <w:color w:val="000000"/>
        </w:rPr>
        <w:t>sobreseído</w:t>
      </w:r>
      <w:r>
        <w:rPr>
          <w:rFonts w:ascii="Palatino Linotype" w:eastAsia="Palatino Linotype" w:hAnsi="Palatino Linotype" w:cs="Palatino Linotype"/>
          <w:color w:val="000000"/>
        </w:rPr>
        <w:t>, como se observa:</w:t>
      </w:r>
    </w:p>
    <w:p w:rsidR="00FB05E1" w:rsidRDefault="00FB05E1">
      <w:pPr>
        <w:pBdr>
          <w:top w:val="nil"/>
          <w:left w:val="nil"/>
          <w:bottom w:val="nil"/>
          <w:right w:val="nil"/>
          <w:between w:val="nil"/>
        </w:pBdr>
        <w:ind w:left="708"/>
        <w:rPr>
          <w:rFonts w:ascii="Palatino Linotype" w:eastAsia="Palatino Linotype" w:hAnsi="Palatino Linotype" w:cs="Palatino Linotype"/>
          <w:color w:val="000000"/>
        </w:rPr>
      </w:pP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191</w:t>
      </w:r>
      <w:r>
        <w:rPr>
          <w:rFonts w:ascii="Palatino Linotype" w:eastAsia="Palatino Linotype" w:hAnsi="Palatino Linotype" w:cs="Palatino Linotype"/>
          <w:i/>
          <w:iCs/>
          <w:sz w:val="22"/>
          <w:szCs w:val="22"/>
        </w:rPr>
        <w:t xml:space="preserve">. El recurso </w:t>
      </w:r>
      <w:r>
        <w:rPr>
          <w:rFonts w:ascii="Palatino Linotype" w:eastAsia="Palatino Linotype" w:hAnsi="Palatino Linotype" w:cs="Palatino Linotype"/>
          <w:b/>
          <w:bCs/>
          <w:i/>
          <w:iCs/>
          <w:sz w:val="22"/>
          <w:szCs w:val="22"/>
        </w:rPr>
        <w:t>será desechado por improcedente</w:t>
      </w:r>
      <w:r>
        <w:rPr>
          <w:rFonts w:ascii="Palatino Linotype" w:eastAsia="Palatino Linotype" w:hAnsi="Palatino Linotype" w:cs="Palatino Linotype"/>
          <w:i/>
          <w:iCs/>
          <w:sz w:val="22"/>
          <w:szCs w:val="22"/>
        </w:rPr>
        <w:t xml:space="preserve"> cuando: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 Sea extemporáneo por haber transcurrido el plazo establecido en la presente Ley, a partir de la respuesta;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Se esté tramitando ante el Poder Judicial de la Federación algún recurso o medio de defensa interpuesto por el recurrente;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No actualice alguno de los supuestos previstos en la presente Ley;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IV. No se haya desahogado la prevención en los términos establecidos en la presente Ley;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 Se impugne la veracidad de la información proporcionada;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VI. Se trate de una consulta, o trámite en específico; y </w:t>
      </w:r>
    </w:p>
    <w:p w:rsidR="00FB05E1" w:rsidRDefault="00FA47E9">
      <w:pPr>
        <w:ind w:left="426" w:right="-57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 xml:space="preserve">VII. El recurrente amplíe su solicitud en el recurso de revisión, únicamente respecto de los nuevos contenidos. </w:t>
      </w:r>
    </w:p>
    <w:p w:rsidR="00FB05E1" w:rsidRDefault="00FB05E1">
      <w:pPr>
        <w:ind w:left="426" w:right="-574"/>
        <w:jc w:val="both"/>
        <w:rPr>
          <w:rFonts w:ascii="Palatino Linotype" w:eastAsia="Palatino Linotype" w:hAnsi="Palatino Linotype" w:cs="Palatino Linotype"/>
          <w:i/>
          <w:iCs/>
          <w:sz w:val="22"/>
          <w:szCs w:val="22"/>
        </w:rPr>
      </w:pP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192</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El recurso será sobreseído</w:t>
      </w:r>
      <w:r>
        <w:rPr>
          <w:rFonts w:ascii="Palatino Linotype" w:eastAsia="Palatino Linotype" w:hAnsi="Palatino Linotype" w:cs="Palatino Linotype"/>
          <w:i/>
          <w:iCs/>
          <w:sz w:val="22"/>
          <w:szCs w:val="22"/>
        </w:rPr>
        <w:t xml:space="preserve">, en todo o en parte, cuando una vez admitido, se actualicen alguno de los siguientes supuestos: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 El recurrente se desista expresamente del recurso;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El recurrente fallezca o, tratándose de personas jurídicas colectivas, se disuelva;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El sujeto obligado responsable del acto lo modifique o revoque de tal manera que el recurso de revisión quede sin materia; </w:t>
      </w:r>
    </w:p>
    <w:p w:rsidR="00FB05E1" w:rsidRDefault="00FA47E9">
      <w:pPr>
        <w:ind w:left="426" w:right="-57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IV. Admitido el recurso de revisión, aparezca alguna causal de improcedencia en los términos de la presente Ley; y </w:t>
      </w:r>
    </w:p>
    <w:p w:rsidR="00FB05E1" w:rsidRDefault="00FA47E9">
      <w:pPr>
        <w:ind w:left="426" w:right="-57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Cuando por cualquier motivo quede sin materia el recurso.</w:t>
      </w:r>
    </w:p>
    <w:p w:rsidR="00FB05E1" w:rsidRDefault="00FB05E1">
      <w:pPr>
        <w:pBdr>
          <w:top w:val="nil"/>
          <w:left w:val="nil"/>
          <w:bottom w:val="nil"/>
          <w:right w:val="nil"/>
          <w:between w:val="nil"/>
        </w:pBdr>
        <w:ind w:left="708"/>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Atento a los razonamientos lógico jurídicos que han quedado precisados y toda vez que el  </w:t>
      </w:r>
      <w:r>
        <w:rPr>
          <w:rFonts w:ascii="Palatino Linotype" w:eastAsia="Palatino Linotype" w:hAnsi="Palatino Linotype" w:cs="Palatino Linotype"/>
          <w:b/>
          <w:bCs/>
          <w:i/>
          <w:iCs/>
          <w:color w:val="000000"/>
        </w:rPr>
        <w:t>sobreseimiento</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Pr>
          <w:rFonts w:ascii="Palatino Linotype" w:eastAsia="Palatino Linotype" w:hAnsi="Palatino Linotype" w:cs="Palatino Linotype"/>
          <w:b/>
          <w:bCs/>
          <w:color w:val="000000"/>
        </w:rPr>
        <w:t>SOBRESEIMIENTO, NO PERMITE ENTRAR AL ESTUDIO DE LAS CUESTIONES DE FONDO</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b/>
          <w:bCs/>
          <w:color w:val="000000"/>
        </w:rPr>
        <w:t>.</w:t>
      </w:r>
    </w:p>
    <w:p w:rsidR="00FB05E1" w:rsidRDefault="00FB05E1">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FB05E1" w:rsidRDefault="00FA47E9">
      <w:pPr>
        <w:pBdr>
          <w:top w:val="nil"/>
          <w:left w:val="nil"/>
          <w:bottom w:val="nil"/>
          <w:right w:val="nil"/>
          <w:between w:val="nil"/>
        </w:pBdr>
        <w:ind w:left="567" w:right="-574"/>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lastRenderedPageBreak/>
        <w:t>“DESECHAMIENTO O SOBRESEIMIENTO EN EL JUICIO DE AMPARO. NO IMPLICA DENEGACIÓN DE JUSTICIA NI GENERA INSEGURIDAD JURÍDICA”</w:t>
      </w:r>
    </w:p>
    <w:p w:rsidR="00FB05E1" w:rsidRDefault="00FA47E9">
      <w:pPr>
        <w:pBdr>
          <w:top w:val="nil"/>
          <w:left w:val="nil"/>
          <w:bottom w:val="nil"/>
          <w:right w:val="nil"/>
          <w:between w:val="nil"/>
        </w:pBdr>
        <w:ind w:left="567" w:right="-57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Cuerpo de la tesis: Cuando se desecha una demanda de amparo o se sobresee </w:t>
      </w:r>
    </w:p>
    <w:p w:rsidR="00FB05E1" w:rsidRDefault="00FA47E9">
      <w:pPr>
        <w:pBdr>
          <w:top w:val="nil"/>
          <w:left w:val="nil"/>
          <w:bottom w:val="nil"/>
          <w:right w:val="nil"/>
          <w:between w:val="nil"/>
        </w:pBdr>
        <w:ind w:left="567" w:right="-57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Pr>
          <w:rFonts w:ascii="Palatino Linotype" w:eastAsia="Palatino Linotype" w:hAnsi="Palatino Linotype" w:cs="Palatino Linotype"/>
          <w:color w:val="000000"/>
          <w:sz w:val="22"/>
          <w:szCs w:val="22"/>
        </w:rPr>
        <w:tab/>
      </w:r>
    </w:p>
    <w:p w:rsidR="00FB05E1" w:rsidRDefault="00FB05E1">
      <w:pPr>
        <w:pBdr>
          <w:top w:val="nil"/>
          <w:left w:val="nil"/>
          <w:bottom w:val="nil"/>
          <w:right w:val="nil"/>
          <w:between w:val="nil"/>
        </w:pBdr>
        <w:ind w:left="1134" w:right="902"/>
        <w:jc w:val="both"/>
        <w:rPr>
          <w:rFonts w:ascii="Palatino Linotype" w:eastAsia="Palatino Linotype" w:hAnsi="Palatino Linotype" w:cs="Palatino Linotype"/>
          <w:i/>
          <w:iCs/>
          <w:color w:val="000000"/>
          <w:sz w:val="22"/>
          <w:szCs w:val="22"/>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se dejan a salvo los derechos del hoy Recurrente para interponer nueva solicitud de información que a sus intereses convenga.</w:t>
      </w:r>
    </w:p>
    <w:p w:rsidR="00FB05E1" w:rsidRDefault="00FB05E1">
      <w:pPr>
        <w:spacing w:line="360" w:lineRule="auto"/>
        <w:jc w:val="both"/>
        <w:rPr>
          <w:rFonts w:ascii="Palatino Linotype" w:eastAsia="Palatino Linotype" w:hAnsi="Palatino Linotype" w:cs="Palatino Linotype"/>
          <w:color w:val="000000"/>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Bajo ese </w:t>
      </w:r>
      <w:r>
        <w:rPr>
          <w:rFonts w:ascii="Palatino Linotype" w:eastAsia="Palatino Linotype" w:hAnsi="Palatino Linotype" w:cs="Palatino Linotype"/>
          <w:color w:val="000000"/>
        </w:rPr>
        <w:t>t</w:t>
      </w:r>
      <w:r>
        <w:rPr>
          <w:rFonts w:ascii="Palatino Linotype" w:eastAsia="Palatino Linotype" w:hAnsi="Palatino Linotype" w:cs="Palatino Linotype"/>
        </w:rPr>
        <w:t xml:space="preserve">enor </w:t>
      </w:r>
      <w:r>
        <w:rPr>
          <w:rFonts w:ascii="Palatino Linotype" w:eastAsia="Palatino Linotype" w:hAnsi="Palatino Linotype" w:cs="Palatino Linotype"/>
          <w:color w:val="000000"/>
        </w:rPr>
        <w:t>con</w:t>
      </w:r>
      <w:r>
        <w:rPr>
          <w:rFonts w:ascii="Palatino Linotype" w:eastAsia="Palatino Linotype" w:hAnsi="Palatino Linotype" w:cs="Palatino Linotype"/>
        </w:rPr>
        <w:t xml:space="preserve"> fundamento en </w:t>
      </w:r>
      <w:r>
        <w:rPr>
          <w:rFonts w:ascii="Palatino Linotype" w:eastAsia="Palatino Linotype" w:hAnsi="Palatino Linotype" w:cs="Palatino Linotype"/>
          <w:color w:val="000000"/>
        </w:rPr>
        <w:t>lo previsto en la fracción IV, del artículo 192, y al actualizarse la causal de improcedencia establecida en la fracción VII del artículo 191, de la Ley de Transparencia local</w:t>
      </w:r>
      <w:r>
        <w:rPr>
          <w:rFonts w:ascii="Palatino Linotype" w:eastAsia="Palatino Linotype" w:hAnsi="Palatino Linotype" w:cs="Palatino Linotype"/>
        </w:rPr>
        <w:t xml:space="preserve">, se </w:t>
      </w:r>
      <w:r>
        <w:rPr>
          <w:rFonts w:ascii="Palatino Linotype" w:eastAsia="Palatino Linotype" w:hAnsi="Palatino Linotype" w:cs="Palatino Linotype"/>
          <w:b/>
          <w:bCs/>
        </w:rPr>
        <w:t xml:space="preserve">SOBRESEE </w:t>
      </w:r>
      <w:r>
        <w:rPr>
          <w:rFonts w:ascii="Palatino Linotype" w:eastAsia="Palatino Linotype" w:hAnsi="Palatino Linotype" w:cs="Palatino Linotype"/>
        </w:rPr>
        <w:t xml:space="preserve">el Recurso de Revisión </w:t>
      </w:r>
      <w:r>
        <w:rPr>
          <w:rFonts w:ascii="Palatino Linotype" w:eastAsia="Palatino Linotype" w:hAnsi="Palatino Linotype" w:cs="Palatino Linotype"/>
          <w:b/>
          <w:bCs/>
          <w:color w:val="000000"/>
        </w:rPr>
        <w:t>11413/INFOEM/IP/RR/2025</w:t>
      </w:r>
      <w:r>
        <w:rPr>
          <w:rFonts w:ascii="Palatino Linotype" w:eastAsia="Palatino Linotype" w:hAnsi="Palatino Linotype" w:cs="Palatino Linotype"/>
        </w:rPr>
        <w:t>, que han sido materia del presente fallo.</w:t>
      </w:r>
    </w:p>
    <w:p w:rsidR="00FB05E1" w:rsidRDefault="00FB05E1">
      <w:pPr>
        <w:spacing w:line="360" w:lineRule="auto"/>
        <w:ind w:right="-787"/>
        <w:jc w:val="both"/>
        <w:rPr>
          <w:rFonts w:ascii="Palatino Linotype" w:eastAsia="Palatino Linotype" w:hAnsi="Palatino Linotype" w:cs="Palatino Linotype"/>
        </w:rPr>
      </w:pPr>
    </w:p>
    <w:p w:rsidR="00FB05E1" w:rsidRDefault="00FA47E9">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w:t>
      </w:r>
      <w:r>
        <w:rPr>
          <w:rFonts w:ascii="Palatino Linotype" w:eastAsia="Palatino Linotype" w:hAnsi="Palatino Linotype" w:cs="Palatino Linotype"/>
          <w:color w:val="000000"/>
        </w:rPr>
        <w:t>expuesto</w:t>
      </w:r>
      <w:r>
        <w:rPr>
          <w:rFonts w:ascii="Palatino Linotype" w:eastAsia="Palatino Linotype" w:hAnsi="Palatino Linotype" w:cs="Palatino Linotype"/>
        </w:rPr>
        <w:t xml:space="preserve">, y con fundamento en lo prescrito en los artículos </w:t>
      </w:r>
      <w:r>
        <w:rPr>
          <w:rFonts w:ascii="Palatino Linotype" w:eastAsia="Palatino Linotype" w:hAnsi="Palatino Linotype" w:cs="Palatino Linotype"/>
          <w:color w:val="000000"/>
        </w:rPr>
        <w:t xml:space="preserve">5, párrafos cuadragésimo </w:t>
      </w:r>
      <w:r>
        <w:rPr>
          <w:rFonts w:ascii="Palatino Linotype" w:eastAsia="Palatino Linotype" w:hAnsi="Palatino Linotype" w:cs="Palatino Linotype"/>
        </w:rPr>
        <w:t>cuarto</w:t>
      </w:r>
      <w:r>
        <w:rPr>
          <w:rFonts w:ascii="Palatino Linotype" w:eastAsia="Palatino Linotype" w:hAnsi="Palatino Linotype" w:cs="Palatino Linotype"/>
          <w:color w:val="000000"/>
        </w:rPr>
        <w:t>, cuadragésimo quinto y cuadragésimo sexto, fracciones IV y V, de la Constitución Política del Estado Libre y Soberano de México</w:t>
      </w:r>
      <w:r>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FB05E1" w:rsidRDefault="00FB05E1">
      <w:pPr>
        <w:ind w:right="278"/>
        <w:rPr>
          <w:rFonts w:ascii="Palatino Linotype" w:eastAsia="Palatino Linotype" w:hAnsi="Palatino Linotype" w:cs="Palatino Linotype"/>
        </w:rPr>
      </w:pPr>
    </w:p>
    <w:p w:rsidR="00FB05E1" w:rsidRDefault="00FA47E9">
      <w:pPr>
        <w:spacing w:line="360" w:lineRule="auto"/>
        <w:ind w:right="276"/>
        <w:jc w:val="center"/>
        <w:rPr>
          <w:rFonts w:ascii="Palatino Linotype" w:eastAsia="Palatino Linotype" w:hAnsi="Palatino Linotype" w:cs="Palatino Linotype"/>
          <w:b/>
          <w:bCs/>
        </w:rPr>
      </w:pPr>
      <w:r>
        <w:rPr>
          <w:rFonts w:ascii="Palatino Linotype" w:eastAsia="Palatino Linotype" w:hAnsi="Palatino Linotype" w:cs="Palatino Linotype"/>
          <w:b/>
          <w:bCs/>
        </w:rPr>
        <w:lastRenderedPageBreak/>
        <w:t>R E S U E L V E</w:t>
      </w:r>
    </w:p>
    <w:p w:rsidR="00FB05E1" w:rsidRDefault="00FB05E1">
      <w:pPr>
        <w:spacing w:line="360" w:lineRule="auto"/>
        <w:ind w:right="-787"/>
        <w:rPr>
          <w:rFonts w:ascii="Palatino Linotype" w:eastAsia="Palatino Linotype" w:hAnsi="Palatino Linotype" w:cs="Palatino Linotype"/>
          <w:b/>
          <w:bCs/>
          <w:sz w:val="20"/>
          <w:szCs w:val="20"/>
        </w:rPr>
      </w:pPr>
    </w:p>
    <w:p w:rsidR="00FB05E1" w:rsidRDefault="00FA47E9">
      <w:pPr>
        <w:spacing w:line="360" w:lineRule="auto"/>
        <w:ind w:right="-858"/>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bCs/>
        </w:rPr>
        <w:t>SOBRESEE</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bCs/>
          <w:color w:val="000000"/>
        </w:rPr>
        <w:t xml:space="preserve">11413/INFOEM/IP/RR/2025, </w:t>
      </w:r>
      <w:r>
        <w:rPr>
          <w:rFonts w:ascii="Palatino Linotype" w:eastAsia="Palatino Linotype" w:hAnsi="Palatino Linotype" w:cs="Palatino Linotype"/>
          <w:color w:val="000000"/>
        </w:rPr>
        <w:t>por impr</w:t>
      </w:r>
      <w:r>
        <w:rPr>
          <w:rFonts w:ascii="Palatino Linotype" w:eastAsia="Palatino Linotype" w:hAnsi="Palatino Linotype" w:cs="Palatino Linotype"/>
        </w:rPr>
        <w:t xml:space="preserve">ocedente, </w:t>
      </w:r>
      <w:r>
        <w:rPr>
          <w:rFonts w:ascii="Palatino Linotype" w:eastAsia="Palatino Linotype" w:hAnsi="Palatino Linotype" w:cs="Palatino Linotype"/>
          <w:color w:val="000000"/>
        </w:rPr>
        <w:t xml:space="preserve"> de conformidad con lo previsto en la fracción IV, del artículo 192,  en relación con la fracción VII del artículo 191,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bCs/>
        </w:rPr>
        <w:t>Considerando Cuarto</w:t>
      </w:r>
      <w:r>
        <w:rPr>
          <w:rFonts w:ascii="Palatino Linotype" w:eastAsia="Palatino Linotype" w:hAnsi="Palatino Linotype" w:cs="Palatino Linotype"/>
        </w:rPr>
        <w:t xml:space="preserve"> de la presente resolución.</w:t>
      </w:r>
    </w:p>
    <w:p w:rsidR="00FB05E1" w:rsidRDefault="00FB05E1">
      <w:pPr>
        <w:spacing w:line="360" w:lineRule="auto"/>
        <w:jc w:val="both"/>
        <w:rPr>
          <w:rFonts w:ascii="Palatino Linotype" w:eastAsia="Palatino Linotype" w:hAnsi="Palatino Linotype" w:cs="Palatino Linotype"/>
        </w:rPr>
      </w:pPr>
    </w:p>
    <w:p w:rsidR="00FB05E1" w:rsidRDefault="00FA47E9">
      <w:pPr>
        <w:spacing w:line="360" w:lineRule="auto"/>
        <w:ind w:right="-858"/>
        <w:jc w:val="both"/>
        <w:rPr>
          <w:rFonts w:ascii="Palatino Linotype" w:eastAsia="Palatino Linotype" w:hAnsi="Palatino Linotype" w:cs="Palatino Linotype"/>
        </w:rPr>
      </w:pPr>
      <w:r>
        <w:rPr>
          <w:rFonts w:ascii="Palatino Linotype" w:eastAsia="Palatino Linotype" w:hAnsi="Palatino Linotype" w:cs="Palatino Linotype"/>
          <w:b/>
          <w:bCs/>
        </w:rPr>
        <w:t>SEGUNDO. Notifíquese</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vía SAIMEX, para su conocimiento.</w:t>
      </w:r>
    </w:p>
    <w:p w:rsidR="00FB05E1" w:rsidRDefault="00FB05E1">
      <w:pPr>
        <w:spacing w:line="360" w:lineRule="auto"/>
        <w:ind w:right="-858"/>
        <w:jc w:val="both"/>
        <w:rPr>
          <w:rFonts w:ascii="Palatino Linotype" w:eastAsia="Palatino Linotype" w:hAnsi="Palatino Linotype" w:cs="Palatino Linotype"/>
        </w:rPr>
      </w:pPr>
    </w:p>
    <w:p w:rsidR="00FB05E1" w:rsidRDefault="00FA47E9">
      <w:pPr>
        <w:spacing w:line="360" w:lineRule="auto"/>
        <w:ind w:right="-858"/>
        <w:jc w:val="both"/>
        <w:rPr>
          <w:rFonts w:ascii="Palatino Linotype" w:eastAsia="Palatino Linotype" w:hAnsi="Palatino Linotype" w:cs="Palatino Linotype"/>
        </w:rPr>
      </w:pPr>
      <w:bookmarkStart w:id="9" w:name="_heading=h.xqeync8mwh44" w:colFirst="0" w:colLast="0"/>
      <w:bookmarkEnd w:id="9"/>
      <w:r>
        <w:rPr>
          <w:rFonts w:ascii="Palatino Linotype" w:eastAsia="Palatino Linotype" w:hAnsi="Palatino Linotype" w:cs="Palatino Linotype"/>
          <w:b/>
          <w:bCs/>
        </w:rPr>
        <w:t>TERCERO. NOTIFÍQUESE</w:t>
      </w:r>
      <w:r>
        <w:rPr>
          <w:rFonts w:ascii="Palatino Linotype" w:eastAsia="Palatino Linotype" w:hAnsi="Palatino Linotype" w:cs="Palatino Linotype"/>
        </w:rPr>
        <w:t xml:space="preserve"> la presente resolución a la parte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FB05E1" w:rsidRDefault="00FB05E1">
      <w:pPr>
        <w:spacing w:line="360" w:lineRule="auto"/>
        <w:ind w:right="-858"/>
        <w:jc w:val="both"/>
        <w:rPr>
          <w:rFonts w:ascii="Palatino Linotype" w:eastAsia="Palatino Linotype" w:hAnsi="Palatino Linotype" w:cs="Palatino Linotype"/>
        </w:rPr>
      </w:pPr>
    </w:p>
    <w:p w:rsidR="00AE0017" w:rsidRPr="003E2295" w:rsidRDefault="00AE0017" w:rsidP="00AE0017">
      <w:pPr>
        <w:spacing w:before="240" w:after="240" w:line="360" w:lineRule="auto"/>
        <w:ind w:right="-716" w:firstLine="1"/>
        <w:jc w:val="both"/>
        <w:rPr>
          <w:rFonts w:ascii="Palatino Linotype" w:hAnsi="Palatino Linotype"/>
        </w:rPr>
      </w:pPr>
      <w:bookmarkStart w:id="10"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PRIMERA </w:t>
      </w:r>
      <w:r w:rsidRPr="003E2295">
        <w:rPr>
          <w:rFonts w:ascii="Palatino Linotype" w:hAnsi="Palatino Linotype" w:cs="Palatino Linotype"/>
        </w:rPr>
        <w:t>SESIÓN O</w:t>
      </w:r>
      <w:r>
        <w:rPr>
          <w:rFonts w:ascii="Palatino Linotype" w:hAnsi="Palatino Linotype" w:cs="Palatino Linotype"/>
        </w:rPr>
        <w:t xml:space="preserve">RDINARIA, </w:t>
      </w:r>
      <w:r>
        <w:rPr>
          <w:rFonts w:ascii="Palatino Linotype" w:hAnsi="Palatino Linotype" w:cs="Palatino Linotype"/>
        </w:rPr>
        <w:lastRenderedPageBreak/>
        <w:t>CELEBRADA EL VEINTICINCO (25</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0"/>
    <w:p w:rsidR="00FB05E1" w:rsidRDefault="00FB05E1" w:rsidP="00AE0017">
      <w:pPr>
        <w:spacing w:before="240" w:after="240" w:line="360" w:lineRule="auto"/>
        <w:ind w:right="-716"/>
        <w:jc w:val="both"/>
        <w:rPr>
          <w:rFonts w:ascii="Palatino Linotype" w:eastAsia="Palatino Linotype" w:hAnsi="Palatino Linotype" w:cs="Palatino Linotype"/>
        </w:rPr>
      </w:pPr>
    </w:p>
    <w:p w:rsidR="00FB05E1" w:rsidRDefault="00FB05E1" w:rsidP="00AE0017">
      <w:pPr>
        <w:ind w:right="-716"/>
        <w:rPr>
          <w:rFonts w:ascii="Palatino Linotype" w:eastAsia="Palatino Linotype" w:hAnsi="Palatino Linotype" w:cs="Palatino Linotype"/>
        </w:rPr>
      </w:pPr>
    </w:p>
    <w:p w:rsidR="00FB05E1" w:rsidRDefault="00FB05E1" w:rsidP="00AE0017">
      <w:pPr>
        <w:spacing w:line="360" w:lineRule="auto"/>
        <w:ind w:right="-716"/>
        <w:rPr>
          <w:rFonts w:ascii="Palatino Linotype" w:eastAsia="Palatino Linotype" w:hAnsi="Palatino Linotype" w:cs="Palatino Linotype"/>
        </w:rPr>
      </w:pPr>
    </w:p>
    <w:p w:rsidR="00FB05E1" w:rsidRDefault="00FB05E1">
      <w:pPr>
        <w:spacing w:line="360" w:lineRule="auto"/>
        <w:ind w:right="-787"/>
        <w:rPr>
          <w:rFonts w:ascii="Palatino Linotype" w:eastAsia="Palatino Linotype" w:hAnsi="Palatino Linotype" w:cs="Palatino Linotype"/>
        </w:rPr>
      </w:pPr>
    </w:p>
    <w:p w:rsidR="00FB05E1" w:rsidRDefault="00FB05E1">
      <w:pPr>
        <w:spacing w:line="360" w:lineRule="auto"/>
        <w:ind w:right="-787"/>
        <w:rPr>
          <w:rFonts w:ascii="Palatino Linotype" w:eastAsia="Palatino Linotype" w:hAnsi="Palatino Linotype" w:cs="Palatino Linotype"/>
        </w:rPr>
      </w:pPr>
    </w:p>
    <w:p w:rsidR="00FB05E1" w:rsidRDefault="00FA47E9">
      <w:pPr>
        <w:tabs>
          <w:tab w:val="left" w:pos="3374"/>
        </w:tabs>
        <w:spacing w:line="360" w:lineRule="auto"/>
        <w:ind w:right="-787"/>
        <w:rPr>
          <w:rFonts w:ascii="Palatino Linotype" w:eastAsia="Palatino Linotype" w:hAnsi="Palatino Linotype" w:cs="Palatino Linotype"/>
        </w:rPr>
      </w:pPr>
      <w:bookmarkStart w:id="11" w:name="_heading=h.lnxbz9" w:colFirst="0" w:colLast="0"/>
      <w:bookmarkEnd w:id="11"/>
      <w:r>
        <w:rPr>
          <w:rFonts w:ascii="Palatino Linotype" w:eastAsia="Palatino Linotype" w:hAnsi="Palatino Linotype" w:cs="Palatino Linotype"/>
        </w:rPr>
        <w:tab/>
      </w: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p w:rsidR="00D12E43" w:rsidRDefault="00D12E43">
      <w:pPr>
        <w:tabs>
          <w:tab w:val="left" w:pos="3374"/>
        </w:tabs>
        <w:spacing w:line="360" w:lineRule="auto"/>
        <w:ind w:right="-787"/>
        <w:rPr>
          <w:rFonts w:ascii="Palatino Linotype" w:eastAsia="Palatino Linotype" w:hAnsi="Palatino Linotype" w:cs="Palatino Linotype"/>
        </w:rPr>
      </w:pPr>
    </w:p>
    <w:sectPr w:rsidR="00D12E43">
      <w:headerReference w:type="even" r:id="rId9"/>
      <w:headerReference w:type="default" r:id="rId10"/>
      <w:footerReference w:type="default" r:id="rId11"/>
      <w:headerReference w:type="first" r:id="rId12"/>
      <w:footerReference w:type="first" r:id="rId13"/>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349" w:rsidRDefault="006D0349">
      <w:r>
        <w:separator/>
      </w:r>
    </w:p>
  </w:endnote>
  <w:endnote w:type="continuationSeparator" w:id="0">
    <w:p w:rsidR="006D0349" w:rsidRDefault="006D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A73A543F-CCCE-4021-ABD7-EAD7688E05BD}"/>
    <w:embedBold r:id="rId2" w:fontKey="{D7CA13F3-41F4-469A-8CDC-CC0693098834}"/>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3" w:fontKey="{F6A064CA-8DB6-499C-A942-4228C25C1D8D}"/>
    <w:embedBold r:id="rId4" w:fontKey="{30F0EC6C-D9C8-43F7-B059-202BF0EE4E0C}"/>
    <w:embedItalic r:id="rId5" w:fontKey="{B8601FE4-2F47-4E80-81F0-29707D62E033}"/>
    <w:embedBoldItalic r:id="rId6" w:fontKey="{6F53DB7D-65F1-4B14-9E51-9107893F69FF}"/>
  </w:font>
  <w:font w:name="Calibri">
    <w:panose1 w:val="020F0502020204030204"/>
    <w:charset w:val="00"/>
    <w:family w:val="swiss"/>
    <w:pitch w:val="variable"/>
    <w:sig w:usb0="E4002EFF" w:usb1="C200247B" w:usb2="00000009" w:usb3="00000000" w:csb0="000001FF" w:csb1="00000000"/>
    <w:embedRegular r:id="rId7" w:fontKey="{02A3C61B-2D95-465E-8EF3-A3557F0B2C9A}"/>
    <w:embedBold r:id="rId8" w:fontKey="{7D4D88B6-7B4E-4C3A-A0FF-D7C8AB34DB51}"/>
    <w:embedItalic r:id="rId9" w:fontKey="{986BDAB6-D46C-4B80-8B08-FCA885470B1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5946823E-8E13-473C-85DA-E431AFDFCBF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575D3312-613B-472E-BAF4-AB0A051AE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5E1" w:rsidRDefault="00FA47E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97462">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97462">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p>
  <w:p w:rsidR="00FB05E1" w:rsidRDefault="00FB05E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5E1" w:rsidRDefault="00FA47E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97462">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97462">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p>
  <w:p w:rsidR="00FB05E1" w:rsidRDefault="00FB05E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349" w:rsidRDefault="006D0349">
      <w:r>
        <w:separator/>
      </w:r>
    </w:p>
  </w:footnote>
  <w:footnote w:type="continuationSeparator" w:id="0">
    <w:p w:rsidR="006D0349" w:rsidRDefault="006D0349">
      <w:r>
        <w:continuationSeparator/>
      </w:r>
    </w:p>
  </w:footnote>
  <w:footnote w:id="1">
    <w:p w:rsidR="00FB05E1" w:rsidRDefault="00FA47E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iCs/>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footnote>
  <w:footnote w:id="2">
    <w:p w:rsidR="00FB05E1" w:rsidRDefault="00FA47E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FB05E1" w:rsidRDefault="00FA47E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bCs/>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5E1" w:rsidRDefault="006D034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5E1" w:rsidRDefault="00FB05E1">
    <w:pPr>
      <w:widowControl w:val="0"/>
      <w:pBdr>
        <w:top w:val="nil"/>
        <w:left w:val="nil"/>
        <w:bottom w:val="nil"/>
        <w:right w:val="nil"/>
        <w:between w:val="nil"/>
      </w:pBdr>
      <w:spacing w:line="276" w:lineRule="auto"/>
      <w:rPr>
        <w:color w:val="000000"/>
      </w:rPr>
    </w:pPr>
  </w:p>
  <w:tbl>
    <w:tblPr>
      <w:tblStyle w:val="ac"/>
      <w:tblW w:w="6761" w:type="dxa"/>
      <w:tblInd w:w="3261" w:type="dxa"/>
      <w:tblLayout w:type="fixed"/>
      <w:tblLook w:val="0400" w:firstRow="0" w:lastRow="0" w:firstColumn="0" w:lastColumn="0" w:noHBand="0" w:noVBand="1"/>
    </w:tblPr>
    <w:tblGrid>
      <w:gridCol w:w="2509"/>
      <w:gridCol w:w="4252"/>
    </w:tblGrid>
    <w:tr w:rsidR="00FB05E1">
      <w:trPr>
        <w:trHeight w:val="227"/>
      </w:trPr>
      <w:tc>
        <w:tcPr>
          <w:tcW w:w="2509" w:type="dxa"/>
        </w:tcPr>
        <w:p w:rsidR="00FB05E1" w:rsidRDefault="00FA47E9">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2" w:type="dxa"/>
        </w:tcPr>
        <w:p w:rsidR="00FB05E1" w:rsidRDefault="00FA47E9">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11413/INFOEM/IP/RR/2025</w:t>
          </w:r>
        </w:p>
      </w:tc>
    </w:tr>
    <w:tr w:rsidR="00FB05E1">
      <w:trPr>
        <w:trHeight w:val="342"/>
      </w:trPr>
      <w:tc>
        <w:tcPr>
          <w:tcW w:w="2509" w:type="dxa"/>
        </w:tcPr>
        <w:p w:rsidR="00FB05E1" w:rsidRDefault="00FA47E9">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2" w:type="dxa"/>
        </w:tcPr>
        <w:p w:rsidR="00FB05E1" w:rsidRDefault="00FA47E9">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Consejo Estatal para el Desarrollo Integral de Los Pueblos Indígenas del Estado de México</w:t>
          </w:r>
        </w:p>
      </w:tc>
    </w:tr>
    <w:tr w:rsidR="00FB05E1">
      <w:trPr>
        <w:trHeight w:val="342"/>
      </w:trPr>
      <w:tc>
        <w:tcPr>
          <w:tcW w:w="2509" w:type="dxa"/>
        </w:tcPr>
        <w:p w:rsidR="00FB05E1" w:rsidRDefault="00FA47E9">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52" w:type="dxa"/>
        </w:tcPr>
        <w:p w:rsidR="00FB05E1" w:rsidRDefault="00FA47E9">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FB05E1" w:rsidRDefault="006D0349">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5E1" w:rsidRDefault="00FB05E1">
    <w:pPr>
      <w:widowControl w:val="0"/>
      <w:pBdr>
        <w:top w:val="nil"/>
        <w:left w:val="nil"/>
        <w:bottom w:val="nil"/>
        <w:right w:val="nil"/>
        <w:between w:val="nil"/>
      </w:pBdr>
      <w:spacing w:line="276" w:lineRule="auto"/>
      <w:rPr>
        <w:color w:val="000000"/>
        <w:sz w:val="14"/>
        <w:szCs w:val="14"/>
      </w:rPr>
    </w:pPr>
  </w:p>
  <w:tbl>
    <w:tblPr>
      <w:tblStyle w:val="ad"/>
      <w:tblW w:w="6761" w:type="dxa"/>
      <w:tblInd w:w="3261" w:type="dxa"/>
      <w:tblLayout w:type="fixed"/>
      <w:tblLook w:val="0400" w:firstRow="0" w:lastRow="0" w:firstColumn="0" w:lastColumn="0" w:noHBand="0" w:noVBand="1"/>
    </w:tblPr>
    <w:tblGrid>
      <w:gridCol w:w="2509"/>
      <w:gridCol w:w="4252"/>
    </w:tblGrid>
    <w:tr w:rsidR="00FB05E1">
      <w:trPr>
        <w:trHeight w:val="227"/>
      </w:trPr>
      <w:tc>
        <w:tcPr>
          <w:tcW w:w="2509" w:type="dxa"/>
        </w:tcPr>
        <w:p w:rsidR="00FB05E1" w:rsidRDefault="00FA47E9">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2" w:type="dxa"/>
        </w:tcPr>
        <w:p w:rsidR="00FB05E1" w:rsidRDefault="00FA47E9">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11413/INFOEM/IP/RR/2025</w:t>
          </w:r>
        </w:p>
      </w:tc>
    </w:tr>
    <w:tr w:rsidR="00FB05E1">
      <w:trPr>
        <w:trHeight w:val="242"/>
      </w:trPr>
      <w:tc>
        <w:tcPr>
          <w:tcW w:w="2509" w:type="dxa"/>
        </w:tcPr>
        <w:p w:rsidR="00FB05E1" w:rsidRDefault="00FA47E9">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252" w:type="dxa"/>
        </w:tcPr>
        <w:p w:rsidR="00FB05E1" w:rsidRDefault="00FB05E1">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 w:val="22"/>
              <w:szCs w:val="22"/>
              <w:highlight w:val="green"/>
            </w:rPr>
          </w:pPr>
        </w:p>
      </w:tc>
    </w:tr>
    <w:tr w:rsidR="00FB05E1">
      <w:trPr>
        <w:trHeight w:val="342"/>
      </w:trPr>
      <w:tc>
        <w:tcPr>
          <w:tcW w:w="2509" w:type="dxa"/>
        </w:tcPr>
        <w:p w:rsidR="00FB05E1" w:rsidRDefault="00FA47E9">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2" w:type="dxa"/>
        </w:tcPr>
        <w:p w:rsidR="00FB05E1" w:rsidRDefault="00FA47E9">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Consejo Estatal para el Desarrollo Integral de Los Pueblos Indígenas del Estado de México</w:t>
          </w:r>
        </w:p>
      </w:tc>
    </w:tr>
    <w:tr w:rsidR="00FB05E1">
      <w:trPr>
        <w:trHeight w:val="342"/>
      </w:trPr>
      <w:tc>
        <w:tcPr>
          <w:tcW w:w="2509" w:type="dxa"/>
        </w:tcPr>
        <w:p w:rsidR="00FB05E1" w:rsidRDefault="00FA47E9">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52" w:type="dxa"/>
        </w:tcPr>
        <w:p w:rsidR="00FB05E1" w:rsidRDefault="00FA47E9">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FB05E1" w:rsidRDefault="006D0349">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F6AD1"/>
    <w:multiLevelType w:val="multilevel"/>
    <w:tmpl w:val="354AE9B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30A974F8"/>
    <w:multiLevelType w:val="multilevel"/>
    <w:tmpl w:val="41B2A77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 w15:restartNumberingAfterBreak="0">
    <w:nsid w:val="40E43B3B"/>
    <w:multiLevelType w:val="multilevel"/>
    <w:tmpl w:val="02AE193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6C96171C"/>
    <w:multiLevelType w:val="multilevel"/>
    <w:tmpl w:val="A2B230C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33466F"/>
    <w:multiLevelType w:val="multilevel"/>
    <w:tmpl w:val="94F62A04"/>
    <w:lvl w:ilvl="0">
      <w:start w:val="1"/>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5E1"/>
    <w:rsid w:val="00347B9E"/>
    <w:rsid w:val="005E54A8"/>
    <w:rsid w:val="006D0349"/>
    <w:rsid w:val="00AE0017"/>
    <w:rsid w:val="00D12E43"/>
    <w:rsid w:val="00D21A0B"/>
    <w:rsid w:val="00F97462"/>
    <w:rsid w:val="00FA47E9"/>
    <w:rsid w:val="00FB05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B15BC7E-F734-460D-BB7B-23397980F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0" w:type="dxa"/>
        <w:left w:w="70" w:type="dxa"/>
        <w:bottom w:w="0" w:type="dxa"/>
        <w:right w:w="70" w:type="dxa"/>
      </w:tblCellMar>
    </w:tblPr>
  </w:style>
  <w:style w:type="table" w:customStyle="1" w:styleId="ad">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6/Lik/knJoJ132ajKhyBqnOg==">CgMxLjAyCGguZ2pkZ3hzMgloLjMwajB6bGwyCWguMWZvYjl0ZTIJaC4zem55c2g3MgloLjJldDkycDAyDmguMmRxY2lwNW5oeWQ0MgloLjF0M2g1c2YyCWguMnM4ZXlvMTIOaC54cWV5bmM4bXdoNDQyCGgubG54Yno5OAByITFodDBjQXVienNWZ2lySG9oNlR1WkZIelF6WmUyY0xRYw==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5301</Words>
  <Characters>29156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cp:revision>
  <cp:lastPrinted>2026-03-26T21:22:00Z</cp:lastPrinted>
  <dcterms:created xsi:type="dcterms:W3CDTF">2026-03-12T18:06:00Z</dcterms:created>
  <dcterms:modified xsi:type="dcterms:W3CDTF">2026-04-08T22:54:00Z</dcterms:modified>
</cp:coreProperties>
</file>