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E4F" w:rsidRDefault="00D80984">
      <w:pPr>
        <w:spacing w:line="360" w:lineRule="auto"/>
        <w:ind w:right="-28"/>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2412D4">
        <w:rPr>
          <w:rFonts w:ascii="Palatino Linotype" w:eastAsia="Palatino Linotype" w:hAnsi="Palatino Linotype" w:cs="Palatino Linotype"/>
        </w:rPr>
        <w:t xml:space="preserve">stado de México; </w:t>
      </w:r>
      <w:r w:rsidR="002412D4" w:rsidRPr="007174E8">
        <w:rPr>
          <w:rFonts w:ascii="Palatino Linotype" w:eastAsia="Palatino Linotype" w:hAnsi="Palatino Linotype" w:cs="Palatino Linotype"/>
          <w:b/>
        </w:rPr>
        <w:t>de fecha cinco</w:t>
      </w:r>
      <w:r w:rsidR="007174E8" w:rsidRPr="007174E8">
        <w:rPr>
          <w:rFonts w:ascii="Palatino Linotype" w:eastAsia="Palatino Linotype" w:hAnsi="Palatino Linotype" w:cs="Palatino Linotype"/>
          <w:b/>
        </w:rPr>
        <w:t xml:space="preserve"> (05)</w:t>
      </w:r>
      <w:r w:rsidRPr="007174E8">
        <w:rPr>
          <w:rFonts w:ascii="Palatino Linotype" w:eastAsia="Palatino Linotype" w:hAnsi="Palatino Linotype" w:cs="Palatino Linotype"/>
          <w:b/>
        </w:rPr>
        <w:t xml:space="preserve"> de febrero de dos mil veintiséis.</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b/>
          <w:bCs/>
          <w:color w:val="000000"/>
        </w:rPr>
        <w:t xml:space="preserve">VISTOS </w:t>
      </w:r>
      <w:r w:rsidR="002412D4">
        <w:rPr>
          <w:rFonts w:ascii="Palatino Linotype" w:eastAsia="Palatino Linotype" w:hAnsi="Palatino Linotype" w:cs="Palatino Linotype"/>
          <w:color w:val="000000"/>
        </w:rPr>
        <w:t>el expediente electrónico formado con motivo del recurso</w:t>
      </w:r>
      <w:r>
        <w:rPr>
          <w:rFonts w:ascii="Palatino Linotype" w:eastAsia="Palatino Linotype" w:hAnsi="Palatino Linotype" w:cs="Palatino Linotype"/>
          <w:color w:val="000000"/>
        </w:rPr>
        <w:t xml:space="preserve"> de revisión </w:t>
      </w:r>
      <w:r>
        <w:rPr>
          <w:rFonts w:ascii="Palatino Linotype" w:eastAsia="Palatino Linotype" w:hAnsi="Palatino Linotype" w:cs="Palatino Linotype"/>
          <w:b/>
          <w:bCs/>
        </w:rPr>
        <w:t>06833/INFOEM/IP/RR/2025</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sidR="002412D4">
        <w:rPr>
          <w:rFonts w:ascii="Palatino Linotype" w:eastAsia="Palatino Linotype" w:hAnsi="Palatino Linotype" w:cs="Palatino Linotype"/>
          <w:color w:val="000000"/>
        </w:rPr>
        <w:t>promovido</w:t>
      </w:r>
      <w:r>
        <w:rPr>
          <w:rFonts w:ascii="Palatino Linotype" w:eastAsia="Palatino Linotype" w:hAnsi="Palatino Linotype" w:cs="Palatino Linotype"/>
          <w:color w:val="000000"/>
        </w:rPr>
        <w:t xml:space="preserve"> por </w:t>
      </w:r>
      <w:r w:rsidR="00C85AE8">
        <w:rPr>
          <w:rFonts w:ascii="Palatino Linotype" w:eastAsia="Palatino Linotype" w:hAnsi="Palatino Linotype" w:cs="Palatino Linotype"/>
          <w:b/>
          <w:bCs/>
          <w:iCs/>
          <w:color w:val="000000"/>
        </w:rPr>
        <w:t>XXXX</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a quien en lo sucesivo se le identificara como el </w:t>
      </w:r>
      <w:r>
        <w:rPr>
          <w:rFonts w:ascii="Palatino Linotype" w:eastAsia="Palatino Linotype" w:hAnsi="Palatino Linotype" w:cs="Palatino Linotype"/>
          <w:b/>
          <w:bCs/>
          <w:color w:val="000000"/>
        </w:rPr>
        <w:t>RECURRENTE</w:t>
      </w:r>
      <w:r w:rsidR="002412D4">
        <w:rPr>
          <w:rFonts w:ascii="Palatino Linotype" w:eastAsia="Palatino Linotype" w:hAnsi="Palatino Linotype" w:cs="Palatino Linotype"/>
          <w:color w:val="000000"/>
        </w:rPr>
        <w:t>, en contra de la respuesta</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bCs/>
          <w:color w:val="000000"/>
        </w:rPr>
        <w:t>Ayuntamiento de Capulhuac</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en </w:t>
      </w:r>
      <w:r>
        <w:rPr>
          <w:rFonts w:ascii="Palatino Linotype" w:eastAsia="Palatino Linotype" w:hAnsi="Palatino Linotype" w:cs="Palatino Linotype"/>
        </w:rPr>
        <w:t xml:space="preserve">adelante </w:t>
      </w: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SUJETO OBLIGADO, </w:t>
      </w:r>
      <w:r>
        <w:rPr>
          <w:rFonts w:ascii="Palatino Linotype" w:eastAsia="Palatino Linotype" w:hAnsi="Palatino Linotype" w:cs="Palatino Linotype"/>
          <w:color w:val="000000"/>
        </w:rPr>
        <w:t>se procede a dictar la presente Resolución, con base en los siguientes:</w:t>
      </w:r>
    </w:p>
    <w:p w:rsidR="00057E4F" w:rsidRDefault="00057E4F">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p>
    <w:p w:rsidR="00057E4F" w:rsidRDefault="00D80984">
      <w:pPr>
        <w:pStyle w:val="Ttulo1"/>
        <w:spacing w:before="0" w:line="360" w:lineRule="auto"/>
        <w:ind w:right="-28"/>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A N T E C E D E N T E S</w:t>
      </w:r>
    </w:p>
    <w:p w:rsidR="00057E4F" w:rsidRDefault="00057E4F">
      <w:pPr>
        <w:spacing w:line="360" w:lineRule="auto"/>
        <w:ind w:right="-28"/>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veintinueve de abril de dos mil veinticinco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 xml:space="preserve">EL RECURRENTE </w:t>
      </w:r>
      <w:r>
        <w:rPr>
          <w:rFonts w:ascii="Palatino Linotype" w:eastAsia="Palatino Linotype" w:hAnsi="Palatino Linotype" w:cs="Palatino Linotype"/>
          <w:color w:val="000000"/>
        </w:rPr>
        <w:t>presentó</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Sistema de Acceso a la Información Mexiquense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la solicitud de información pública registrada con el número </w:t>
      </w:r>
      <w:r>
        <w:rPr>
          <w:rFonts w:ascii="Palatino Linotype" w:eastAsia="Palatino Linotype" w:hAnsi="Palatino Linotype" w:cs="Palatino Linotype"/>
          <w:b/>
          <w:bCs/>
          <w:color w:val="000000"/>
        </w:rPr>
        <w:t xml:space="preserve">00145/CAPULHUA/IP/2025, </w:t>
      </w:r>
      <w:r w:rsidR="007174E8">
        <w:rPr>
          <w:rFonts w:ascii="Palatino Linotype" w:eastAsia="Palatino Linotype" w:hAnsi="Palatino Linotype" w:cs="Palatino Linotype"/>
        </w:rPr>
        <w:t>en la</w:t>
      </w:r>
      <w:r>
        <w:rPr>
          <w:rFonts w:ascii="Palatino Linotype" w:eastAsia="Palatino Linotype" w:hAnsi="Palatino Linotype" w:cs="Palatino Linotype"/>
        </w:rPr>
        <w:t xml:space="preserve"> que se </w:t>
      </w:r>
      <w:r>
        <w:rPr>
          <w:rFonts w:ascii="Palatino Linotype" w:eastAsia="Palatino Linotype" w:hAnsi="Palatino Linotype" w:cs="Palatino Linotype"/>
          <w:color w:val="000000"/>
        </w:rPr>
        <w:t>solicitó lo siguiente:</w:t>
      </w:r>
    </w:p>
    <w:p w:rsidR="00057E4F" w:rsidRDefault="00057E4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057E4F" w:rsidRDefault="002412D4">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Folio de la solicitud: 00145/CAPULHUA/IP/2025</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“SOLICITUD DE ACCESO A LA INFORMACIÓN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w:t>
      </w:r>
      <w:r>
        <w:rPr>
          <w:rFonts w:ascii="Palatino Linotype" w:eastAsia="Palatino Linotype" w:hAnsi="Palatino Linotype" w:cs="Palatino Linotype"/>
          <w:i/>
          <w:iCs/>
          <w:color w:val="000000"/>
        </w:rPr>
        <w:lastRenderedPageBreak/>
        <w:t xml:space="preserve">situación reportada, cualquiera que esta sea, especificando si el hecho fue con o sin violencia) • HORA DEL INCIDENTE O EVENTO • FECHA ( dd/mm/aaaa)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corresponde.Requiero se proporcione la información correspondiente al periodo del 06/11/2024 a la fecha de la presente solicitud. 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documentos.La información que solicito no puede ser considerada reservada, en tanto no encuadra en ninguna de las causales señaladas en la normatividad aplicable ya que no supera la prueba de daño que </w:t>
      </w:r>
      <w:r>
        <w:rPr>
          <w:rFonts w:ascii="Palatino Linotype" w:eastAsia="Palatino Linotype" w:hAnsi="Palatino Linotype" w:cs="Palatino Linotype"/>
          <w:i/>
          <w:iCs/>
          <w:color w:val="000000"/>
        </w:rPr>
        <w:lastRenderedPageBreak/>
        <w:t>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w:t>
      </w:r>
    </w:p>
    <w:p w:rsidR="00057E4F" w:rsidRDefault="00057E4F">
      <w:pPr>
        <w:pBdr>
          <w:top w:val="nil"/>
          <w:left w:val="nil"/>
          <w:bottom w:val="nil"/>
          <w:right w:val="nil"/>
          <w:between w:val="nil"/>
        </w:pBdr>
        <w:spacing w:line="360" w:lineRule="auto"/>
        <w:ind w:left="720" w:right="-28"/>
        <w:jc w:val="both"/>
        <w:rPr>
          <w:rFonts w:ascii="Palatino Linotype" w:eastAsia="Palatino Linotype" w:hAnsi="Palatino Linotype" w:cs="Palatino Linotype"/>
        </w:rPr>
      </w:pPr>
    </w:p>
    <w:p w:rsidR="00057E4F" w:rsidRDefault="00D80984">
      <w:pPr>
        <w:numPr>
          <w:ilvl w:val="0"/>
          <w:numId w:val="1"/>
        </w:numPr>
        <w:pBdr>
          <w:top w:val="nil"/>
          <w:left w:val="nil"/>
          <w:bottom w:val="nil"/>
          <w:right w:val="nil"/>
          <w:between w:val="nil"/>
        </w:pBdr>
        <w:spacing w:line="360" w:lineRule="auto"/>
        <w:ind w:right="-28"/>
        <w:jc w:val="both"/>
        <w:rPr>
          <w:rFonts w:ascii="Palatino Linotype" w:eastAsia="Palatino Linotype" w:hAnsi="Palatino Linotype" w:cs="Palatino Linotype"/>
          <w:b/>
          <w:bCs/>
          <w:i/>
          <w:iCs/>
        </w:rPr>
      </w:pPr>
      <w:r>
        <w:rPr>
          <w:rFonts w:ascii="Palatino Linotype" w:eastAsia="Palatino Linotype" w:hAnsi="Palatino Linotype" w:cs="Palatino Linotype"/>
        </w:rPr>
        <w:t xml:space="preserve">Se remite en calidad de archivo adjunto el documento denominado </w:t>
      </w:r>
      <w:r>
        <w:rPr>
          <w:rFonts w:ascii="Palatino Linotype" w:eastAsia="Palatino Linotype" w:hAnsi="Palatino Linotype" w:cs="Palatino Linotype"/>
          <w:b/>
          <w:bCs/>
          <w:i/>
          <w:iCs/>
        </w:rPr>
        <w:t>SAI Capulhuac (abril 2025).docx</w:t>
      </w:r>
      <w:r>
        <w:rPr>
          <w:rFonts w:ascii="Palatino Linotype" w:eastAsia="Palatino Linotype" w:hAnsi="Palatino Linotype" w:cs="Palatino Linotype"/>
        </w:rPr>
        <w:t>, cuyo contenido corresponde a el siguiente texto:</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06/11/2024 a la fecha de la presente solicitud.</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w:t>
      </w:r>
      <w:r>
        <w:rPr>
          <w:rFonts w:ascii="Palatino Linotype" w:eastAsia="Palatino Linotype" w:hAnsi="Palatino Linotype" w:cs="Palatino Linotype"/>
          <w:i/>
          <w:iCs/>
        </w:rPr>
        <w:lastRenderedPageBreak/>
        <w:t>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DATOS QUE FACILITEN LA BÚSQUEDA Y EVENTUAL LOCALIZACIÓN DE LA INFORMACIÓN</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Previamente, vía Plataforma Nacional de Transparencia, realicé una Solicitud de Acceso a la Información similar a este Sujeto Obligado donde me entregó la información solicitada. Por lo anterior, únicamente estoy solicitando una actualización a la información previamente compartida.</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Los datos de la solicitud previa son los siguientes:</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Sujeto Obligado: Capulhuac No de folio PNT: 00091/CAPULHUA/IP/2024 Fecha de Solicitud: 07/11/2024 Fecha de Respuesta: 12/11/2024</w:t>
      </w:r>
    </w:p>
    <w:p w:rsidR="00057E4F" w:rsidRDefault="00057E4F">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MEDIO PARA RECIBIR NOTIFICACIONES</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Correo Electrónico</w:t>
      </w:r>
    </w:p>
    <w:p w:rsidR="00057E4F" w:rsidRDefault="00057E4F">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FORMATO PARA RECIBIR LA INFORMACIÓN SOLICITADA</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Cualquier otro medio incluido los electrónicos:</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1) Correo electrónico proyectoinformacion21@gmail.com o </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2) Sistema de Solicitudes de la Plataforma Nacional de Transparencia o bien, </w:t>
      </w:r>
    </w:p>
    <w:p w:rsidR="00057E4F" w:rsidRDefault="00D80984">
      <w:pPr>
        <w:pBdr>
          <w:top w:val="nil"/>
          <w:left w:val="nil"/>
          <w:bottom w:val="nil"/>
          <w:right w:val="nil"/>
          <w:between w:val="nil"/>
        </w:pBdr>
        <w:spacing w:line="360" w:lineRule="auto"/>
        <w:ind w:left="720" w:right="-28"/>
        <w:jc w:val="both"/>
        <w:rPr>
          <w:rFonts w:ascii="Palatino Linotype" w:eastAsia="Palatino Linotype" w:hAnsi="Palatino Linotype" w:cs="Palatino Linotype"/>
          <w:i/>
          <w:iCs/>
        </w:rPr>
      </w:pPr>
      <w:r>
        <w:rPr>
          <w:rFonts w:ascii="Palatino Linotype" w:eastAsia="Palatino Linotype" w:hAnsi="Palatino Linotype" w:cs="Palatino Linotype"/>
          <w:i/>
          <w:iCs/>
        </w:rPr>
        <w:t>3) mecanismo de almacenamiento y sincronización de archivos como Google Drive o We Transfer.</w:t>
      </w:r>
    </w:p>
    <w:p w:rsidR="00057E4F" w:rsidRDefault="00057E4F">
      <w:pPr>
        <w:pBdr>
          <w:top w:val="nil"/>
          <w:left w:val="nil"/>
          <w:bottom w:val="nil"/>
          <w:right w:val="nil"/>
          <w:between w:val="nil"/>
        </w:pBdr>
        <w:spacing w:line="360" w:lineRule="auto"/>
        <w:ind w:right="-28"/>
        <w:jc w:val="both"/>
        <w:rPr>
          <w:rFonts w:ascii="Palatino Linotype" w:eastAsia="Palatino Linotype" w:hAnsi="Palatino Linotype" w:cs="Palatino Linotype"/>
          <w:b/>
          <w:bCs/>
          <w:i/>
          <w:iCs/>
        </w:rPr>
      </w:pPr>
    </w:p>
    <w:p w:rsidR="00057E4F" w:rsidRDefault="00D80984" w:rsidP="007174E8">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Señaló como </w:t>
      </w:r>
      <w:r>
        <w:rPr>
          <w:rFonts w:ascii="Palatino Linotype" w:eastAsia="Palatino Linotype" w:hAnsi="Palatino Linotype" w:cs="Palatino Linotype"/>
          <w:color w:val="000000"/>
        </w:rPr>
        <w:t>modalidad</w:t>
      </w:r>
      <w:r>
        <w:rPr>
          <w:rFonts w:ascii="Palatino Linotype" w:eastAsia="Palatino Linotype" w:hAnsi="Palatino Linotype" w:cs="Palatino Linotype"/>
        </w:rPr>
        <w:t xml:space="preserve"> de entrega de la información a través del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 xml:space="preserve">y </w:t>
      </w:r>
      <w:r>
        <w:rPr>
          <w:rFonts w:ascii="Palatino Linotype" w:eastAsia="Palatino Linotype" w:hAnsi="Palatino Linotype" w:cs="Palatino Linotype"/>
          <w:b/>
          <w:bCs/>
        </w:rPr>
        <w:t>correo electrónico</w:t>
      </w:r>
    </w:p>
    <w:p w:rsidR="00057E4F" w:rsidRDefault="00057E4F">
      <w:pPr>
        <w:pBdr>
          <w:top w:val="nil"/>
          <w:left w:val="nil"/>
          <w:bottom w:val="nil"/>
          <w:right w:val="nil"/>
          <w:between w:val="nil"/>
        </w:pBdr>
        <w:spacing w:line="360" w:lineRule="auto"/>
        <w:ind w:left="720" w:right="-28"/>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fue omiso en atender la so</w:t>
      </w:r>
      <w:r>
        <w:rPr>
          <w:rFonts w:ascii="Palatino Linotype" w:eastAsia="Palatino Linotype" w:hAnsi="Palatino Linotype" w:cs="Palatino Linotype"/>
          <w:color w:val="000000"/>
        </w:rPr>
        <w:t>l</w:t>
      </w:r>
      <w:r>
        <w:rPr>
          <w:rFonts w:ascii="Palatino Linotype" w:eastAsia="Palatino Linotype" w:hAnsi="Palatino Linotype" w:cs="Palatino Linotype"/>
        </w:rPr>
        <w:t xml:space="preserve">icitud de información. Ante la falta de respuesta, el </w:t>
      </w:r>
      <w:r>
        <w:rPr>
          <w:rFonts w:ascii="Palatino Linotype" w:eastAsia="Palatino Linotype" w:hAnsi="Palatino Linotype" w:cs="Palatino Linotype"/>
          <w:b/>
          <w:bCs/>
        </w:rPr>
        <w:t>once de junio dos mil veinticinco</w:t>
      </w:r>
      <w:r>
        <w:rPr>
          <w:rFonts w:ascii="Palatino Linotype" w:eastAsia="Palatino Linotype" w:hAnsi="Palatino Linotype" w:cs="Palatino Linotype"/>
        </w:rPr>
        <w:t>, el particular interpuso recurso de revisión  en el cual hacen valer los siguientes motivos de inconformidad:</w:t>
      </w:r>
    </w:p>
    <w:p w:rsidR="00057E4F" w:rsidRDefault="00057E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pBdr>
          <w:top w:val="nil"/>
          <w:left w:val="nil"/>
          <w:bottom w:val="nil"/>
          <w:right w:val="nil"/>
          <w:between w:val="nil"/>
        </w:pBdr>
        <w:tabs>
          <w:tab w:val="left" w:pos="426"/>
        </w:tabs>
        <w:spacing w:line="360" w:lineRule="auto"/>
        <w:ind w:left="709"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Folio del recurso de revisión: </w:t>
      </w:r>
      <w:r>
        <w:rPr>
          <w:rFonts w:ascii="Palatino Linotype" w:eastAsia="Palatino Linotype" w:hAnsi="Palatino Linotype" w:cs="Palatino Linotype"/>
          <w:b/>
          <w:bCs/>
          <w:color w:val="000000"/>
        </w:rPr>
        <w:t>11428/INFOEM/IP/RR/2025</w:t>
      </w:r>
    </w:p>
    <w:p w:rsidR="00057E4F" w:rsidRPr="007174E8" w:rsidRDefault="00D80984" w:rsidP="007174E8">
      <w:pPr>
        <w:pStyle w:val="Prrafodelista"/>
        <w:numPr>
          <w:ilvl w:val="0"/>
          <w:numId w:val="7"/>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000000"/>
        </w:rPr>
      </w:pPr>
      <w:r w:rsidRPr="007174E8">
        <w:rPr>
          <w:rFonts w:ascii="Palatino Linotype" w:eastAsia="Palatino Linotype" w:hAnsi="Palatino Linotype" w:cs="Palatino Linotype"/>
          <w:b/>
          <w:bCs/>
          <w:color w:val="000000"/>
        </w:rPr>
        <w:t>ACTO IMPUGNADO</w:t>
      </w:r>
      <w:r w:rsidRPr="007174E8">
        <w:rPr>
          <w:rFonts w:ascii="Palatino Linotype" w:eastAsia="Palatino Linotype" w:hAnsi="Palatino Linotype" w:cs="Palatino Linotype"/>
          <w:b/>
          <w:bCs/>
          <w:color w:val="000000"/>
        </w:rPr>
        <w:tab/>
      </w:r>
    </w:p>
    <w:p w:rsidR="00057E4F" w:rsidRDefault="00D80984" w:rsidP="007174E8">
      <w:pPr>
        <w:pBdr>
          <w:top w:val="nil"/>
          <w:left w:val="nil"/>
          <w:bottom w:val="nil"/>
          <w:right w:val="nil"/>
          <w:between w:val="nil"/>
        </w:pBdr>
        <w:spacing w:line="360" w:lineRule="auto"/>
        <w:ind w:right="539" w:firstLine="36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sujeto obligado no respondió a mi solicitud”</w:t>
      </w:r>
    </w:p>
    <w:p w:rsidR="00057E4F" w:rsidRDefault="00057E4F" w:rsidP="007174E8">
      <w:pPr>
        <w:pBdr>
          <w:top w:val="nil"/>
          <w:left w:val="nil"/>
          <w:bottom w:val="nil"/>
          <w:right w:val="nil"/>
          <w:between w:val="nil"/>
        </w:pBdr>
        <w:spacing w:line="360" w:lineRule="auto"/>
        <w:ind w:right="539"/>
        <w:jc w:val="both"/>
        <w:rPr>
          <w:rFonts w:ascii="Palatino Linotype" w:eastAsia="Palatino Linotype" w:hAnsi="Palatino Linotype" w:cs="Palatino Linotype"/>
          <w:color w:val="000000"/>
        </w:rPr>
      </w:pPr>
    </w:p>
    <w:p w:rsidR="00057E4F" w:rsidRPr="007174E8" w:rsidRDefault="00D80984" w:rsidP="007174E8">
      <w:pPr>
        <w:pStyle w:val="Prrafodelista"/>
        <w:numPr>
          <w:ilvl w:val="0"/>
          <w:numId w:val="7"/>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000000"/>
        </w:rPr>
      </w:pPr>
      <w:r w:rsidRPr="007174E8">
        <w:rPr>
          <w:rFonts w:ascii="Palatino Linotype" w:eastAsia="Palatino Linotype" w:hAnsi="Palatino Linotype" w:cs="Palatino Linotype"/>
          <w:b/>
          <w:bCs/>
          <w:color w:val="000000"/>
        </w:rPr>
        <w:t>RAZONES O MOTIVOS DE LA INCONFORMIDAD</w:t>
      </w:r>
      <w:r w:rsidRPr="007174E8">
        <w:rPr>
          <w:rFonts w:ascii="Palatino Linotype" w:eastAsia="Palatino Linotype" w:hAnsi="Palatino Linotype" w:cs="Palatino Linotype"/>
          <w:b/>
          <w:bCs/>
          <w:color w:val="000000"/>
        </w:rPr>
        <w:tab/>
      </w:r>
    </w:p>
    <w:p w:rsidR="00057E4F" w:rsidRDefault="00D80984" w:rsidP="007174E8">
      <w:pPr>
        <w:pBdr>
          <w:top w:val="nil"/>
          <w:left w:val="nil"/>
          <w:bottom w:val="nil"/>
          <w:right w:val="nil"/>
          <w:between w:val="nil"/>
        </w:pBdr>
        <w:spacing w:line="360" w:lineRule="auto"/>
        <w:ind w:right="539" w:firstLine="36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sujeto obligado no respondió a mi solicitud y el plazo estipulado por la ley ha expirado”</w:t>
      </w:r>
    </w:p>
    <w:p w:rsidR="00057E4F" w:rsidRDefault="00057E4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057E4F" w:rsidRDefault="007174E8">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La Comisionada p</w:t>
      </w:r>
      <w:r w:rsidR="00D80984">
        <w:rPr>
          <w:rFonts w:ascii="Palatino Linotype" w:eastAsia="Palatino Linotype" w:hAnsi="Palatino Linotype" w:cs="Palatino Linotype"/>
        </w:rPr>
        <w:t xml:space="preserve">onente con fundamento en lo dispuesto por el artículo 185 fracción II de la ley de la materia, a través del acuerdo de admisión de día </w:t>
      </w:r>
      <w:r w:rsidR="00D80984">
        <w:rPr>
          <w:rFonts w:ascii="Palatino Linotype" w:eastAsia="Palatino Linotype" w:hAnsi="Palatino Linotype" w:cs="Palatino Linotype"/>
          <w:b/>
          <w:bCs/>
        </w:rPr>
        <w:t>diecisiete de junio de dos mil veinticinco</w:t>
      </w:r>
      <w:r w:rsidR="00D80984">
        <w:rPr>
          <w:rFonts w:ascii="Palatino Linotype" w:eastAsia="Palatino Linotype" w:hAnsi="Palatino Linotype" w:cs="Palatino Linotype"/>
        </w:rPr>
        <w:t xml:space="preserve">, puso a disposición de las partes los expedientes electrónicos vía </w:t>
      </w:r>
      <w:r w:rsidR="00D80984">
        <w:rPr>
          <w:rFonts w:ascii="Palatino Linotype" w:eastAsia="Palatino Linotype" w:hAnsi="Palatino Linotype" w:cs="Palatino Linotype"/>
          <w:b/>
          <w:bCs/>
        </w:rPr>
        <w:t xml:space="preserve">SAIMEX </w:t>
      </w:r>
      <w:r w:rsidR="00D80984">
        <w:rPr>
          <w:rFonts w:ascii="Palatino Linotype" w:eastAsia="Palatino Linotype" w:hAnsi="Palatino Linotype" w:cs="Palatino Linotype"/>
        </w:rPr>
        <w:t xml:space="preserve">a efecto de que en un plazo máximo de siete días manifestaran lo que a derecho convinieran, </w:t>
      </w:r>
      <w:r w:rsidR="00D80984">
        <w:rPr>
          <w:rFonts w:ascii="Palatino Linotype" w:eastAsia="Palatino Linotype" w:hAnsi="Palatino Linotype" w:cs="Palatino Linotype"/>
        </w:rPr>
        <w:lastRenderedPageBreak/>
        <w:t xml:space="preserve">ofrecieran pruebas y alegatos según corresponda al caso concreto, de esta forma para que el </w:t>
      </w:r>
      <w:r w:rsidR="00D80984">
        <w:rPr>
          <w:rFonts w:ascii="Palatino Linotype" w:eastAsia="Palatino Linotype" w:hAnsi="Palatino Linotype" w:cs="Palatino Linotype"/>
          <w:b/>
          <w:bCs/>
        </w:rPr>
        <w:t>SUJETO OBLIGADO</w:t>
      </w:r>
      <w:r w:rsidR="00D80984">
        <w:rPr>
          <w:rFonts w:ascii="Palatino Linotype" w:eastAsia="Palatino Linotype" w:hAnsi="Palatino Linotype" w:cs="Palatino Linotype"/>
        </w:rPr>
        <w:t xml:space="preserve"> presentara el informe justificado procedente.</w:t>
      </w:r>
    </w:p>
    <w:p w:rsidR="00057E4F" w:rsidRDefault="00057E4F">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i/>
          <w:iCs/>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particular</w:t>
      </w:r>
      <w:r>
        <w:rPr>
          <w:rFonts w:ascii="Palatino Linotype" w:eastAsia="Palatino Linotype" w:hAnsi="Palatino Linotype" w:cs="Palatino Linotype"/>
          <w:color w:val="000000"/>
        </w:rPr>
        <w:t xml:space="preserve"> fue omiso en realizar manifestaciones que a su derecho conviniera y </w:t>
      </w:r>
      <w:r>
        <w:rPr>
          <w:rFonts w:ascii="Palatino Linotype" w:eastAsia="Palatino Linotype" w:hAnsi="Palatino Linotype" w:cs="Palatino Linotype"/>
        </w:rPr>
        <w:t>asistiera</w:t>
      </w:r>
      <w:r>
        <w:rPr>
          <w:rFonts w:ascii="Palatino Linotype" w:eastAsia="Palatino Linotype" w:hAnsi="Palatino Linotype" w:cs="Palatino Linotype"/>
          <w:color w:val="000000"/>
        </w:rPr>
        <w:t xml:space="preserve">. Por su parte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los días </w:t>
      </w:r>
      <w:r>
        <w:rPr>
          <w:rFonts w:ascii="Palatino Linotype" w:eastAsia="Palatino Linotype" w:hAnsi="Palatino Linotype" w:cs="Palatino Linotype"/>
          <w:b/>
          <w:bCs/>
          <w:color w:val="000000"/>
        </w:rPr>
        <w:t xml:space="preserve">veinte de junio </w:t>
      </w:r>
      <w:r>
        <w:rPr>
          <w:rFonts w:ascii="Palatino Linotype" w:eastAsia="Palatino Linotype" w:hAnsi="Palatino Linotype" w:cs="Palatino Linotype"/>
          <w:color w:val="000000"/>
        </w:rPr>
        <w:t>y</w:t>
      </w:r>
      <w:r>
        <w:rPr>
          <w:rFonts w:ascii="Palatino Linotype" w:eastAsia="Palatino Linotype" w:hAnsi="Palatino Linotype" w:cs="Palatino Linotype"/>
          <w:b/>
          <w:bCs/>
          <w:color w:val="000000"/>
        </w:rPr>
        <w:t xml:space="preserve"> diecinueve de agosto de dos mil veinticinco</w:t>
      </w:r>
      <w:r>
        <w:rPr>
          <w:rFonts w:ascii="Palatino Linotype" w:eastAsia="Palatino Linotype" w:hAnsi="Palatino Linotype" w:cs="Palatino Linotype"/>
          <w:color w:val="000000"/>
        </w:rPr>
        <w:t xml:space="preserve">, rindió informe justificado al recurso de revisión a través de dos archivos remitidos los días de referencia. El primero denominado </w:t>
      </w:r>
      <w:r>
        <w:rPr>
          <w:rFonts w:ascii="Palatino Linotype" w:eastAsia="Palatino Linotype" w:hAnsi="Palatino Linotype" w:cs="Palatino Linotype"/>
          <w:b/>
          <w:bCs/>
          <w:i/>
          <w:iCs/>
          <w:color w:val="000000"/>
        </w:rPr>
        <w:t>Manifestaciones_Recurso 6833.pdf</w:t>
      </w:r>
      <w:r>
        <w:rPr>
          <w:rFonts w:ascii="Palatino Linotype" w:eastAsia="Palatino Linotype" w:hAnsi="Palatino Linotype" w:cs="Palatino Linotype"/>
          <w:color w:val="000000"/>
        </w:rPr>
        <w:t xml:space="preserve">, cuyo contenido corresponde a un oficio de turno signado por el Titular de la Unidad de Transparencia, dirigido al Director de Seguridad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para que brinde atención al recurso de revisión interpuesto; y el segundo archivo denominado </w:t>
      </w:r>
      <w:r>
        <w:rPr>
          <w:rFonts w:ascii="Palatino Linotype" w:eastAsia="Palatino Linotype" w:hAnsi="Palatino Linotype" w:cs="Palatino Linotype"/>
          <w:b/>
          <w:bCs/>
          <w:i/>
          <w:iCs/>
          <w:color w:val="000000"/>
        </w:rPr>
        <w:t>MANIFESTACIONES_SEGURIDAD PÚBLICA.pdf</w:t>
      </w:r>
      <w:r>
        <w:rPr>
          <w:rFonts w:ascii="Palatino Linotype" w:eastAsia="Palatino Linotype" w:hAnsi="Palatino Linotype" w:cs="Palatino Linotype"/>
          <w:color w:val="000000"/>
        </w:rPr>
        <w:t xml:space="preserve">, que contiene un oficio signado por el Director de Seguridad Pública Municipal, a través del cual remite la base de datos de incidencia delictiva del 06 de noviembre de 2024 al 29 de abril de 2025, </w:t>
      </w:r>
      <w:r>
        <w:rPr>
          <w:rFonts w:ascii="Palatino Linotype" w:eastAsia="Palatino Linotype" w:hAnsi="Palatino Linotype" w:cs="Palatino Linotype"/>
        </w:rPr>
        <w:t>constante</w:t>
      </w:r>
      <w:r>
        <w:rPr>
          <w:rFonts w:ascii="Palatino Linotype" w:eastAsia="Palatino Linotype" w:hAnsi="Palatino Linotype" w:cs="Palatino Linotype"/>
          <w:color w:val="000000"/>
        </w:rPr>
        <w:t xml:space="preserve"> de 10 fojas con los siguientes rubros: Tipo de Incidente o evento, Fecha, Lugar, Ubicación y, Coordenadas.</w:t>
      </w:r>
    </w:p>
    <w:p w:rsidR="00057E4F" w:rsidRDefault="00057E4F">
      <w:pPr>
        <w:spacing w:line="360" w:lineRule="auto"/>
        <w:rPr>
          <w:rFonts w:ascii="Palatino Linotype" w:eastAsia="Palatino Linotype" w:hAnsi="Palatino Linotype" w:cs="Palatino Linotype"/>
          <w:color w:val="000000"/>
        </w:rPr>
      </w:pPr>
    </w:p>
    <w:p w:rsidR="007174E8" w:rsidRDefault="00D80984" w:rsidP="007174E8">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Seguidamente, mediante acuerdo de fecha </w:t>
      </w:r>
      <w:r>
        <w:rPr>
          <w:rFonts w:ascii="Palatino Linotype" w:eastAsia="Palatino Linotype" w:hAnsi="Palatino Linotype" w:cs="Palatino Linotype"/>
          <w:b/>
          <w:bCs/>
          <w:color w:val="000000"/>
        </w:rPr>
        <w:t>veintiocho de enero</w:t>
      </w:r>
      <w:r>
        <w:rPr>
          <w:rFonts w:ascii="Palatino Linotype" w:eastAsia="Palatino Linotype" w:hAnsi="Palatino Linotype" w:cs="Palatino Linotype"/>
          <w:b/>
          <w:bCs/>
        </w:rPr>
        <w:t xml:space="preserve"> de dos mil veintiséis</w:t>
      </w:r>
      <w:r>
        <w:rPr>
          <w:rFonts w:ascii="Palatino Linotype" w:eastAsia="Palatino Linotype" w:hAnsi="Palatino Linotype" w:cs="Palatino Linotype"/>
          <w:color w:val="000000"/>
        </w:rPr>
        <w:t>, se decretó el cierre de instrucción, por lo que no habiendo más que hacer constar, y----------------------------------------------------------------------------------------------------</w:t>
      </w:r>
      <w:r w:rsidR="007174E8">
        <w:rPr>
          <w:rFonts w:ascii="Palatino Linotype" w:eastAsia="Palatino Linotype" w:hAnsi="Palatino Linotype" w:cs="Palatino Linotype"/>
          <w:color w:val="000000"/>
        </w:rPr>
        <w:t>------------------</w:t>
      </w:r>
    </w:p>
    <w:p w:rsidR="007174E8" w:rsidRDefault="007174E8" w:rsidP="007174E8">
      <w:pPr>
        <w:pStyle w:val="Prrafodelista"/>
        <w:rPr>
          <w:rFonts w:ascii="Palatino Linotype" w:eastAsia="Palatino Linotype" w:hAnsi="Palatino Linotype" w:cs="Palatino Linotype"/>
          <w:color w:val="000000"/>
        </w:rPr>
      </w:pPr>
    </w:p>
    <w:p w:rsidR="007174E8" w:rsidRDefault="007174E8" w:rsidP="007174E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7174E8" w:rsidRPr="007174E8" w:rsidRDefault="007174E8" w:rsidP="007174E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057E4F" w:rsidRDefault="00057E4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057E4F" w:rsidRDefault="00D80984">
      <w:pPr>
        <w:pStyle w:val="Ttulo1"/>
        <w:spacing w:before="0" w:line="360" w:lineRule="auto"/>
        <w:ind w:right="-28"/>
        <w:jc w:val="center"/>
        <w:rPr>
          <w:rFonts w:ascii="Palatino Linotype" w:eastAsia="Palatino Linotype" w:hAnsi="Palatino Linotype" w:cs="Palatino Linotype"/>
          <w:b/>
          <w:bCs/>
          <w:color w:val="000000"/>
          <w:sz w:val="24"/>
          <w:szCs w:val="24"/>
        </w:rPr>
      </w:pPr>
      <w:bookmarkStart w:id="2" w:name="_heading=h.3znysh7" w:colFirst="0" w:colLast="0"/>
      <w:bookmarkEnd w:id="2"/>
      <w:r>
        <w:rPr>
          <w:rFonts w:ascii="Palatino Linotype" w:eastAsia="Palatino Linotype" w:hAnsi="Palatino Linotype" w:cs="Palatino Linotype"/>
          <w:b/>
          <w:bCs/>
          <w:color w:val="000000"/>
          <w:sz w:val="24"/>
          <w:szCs w:val="24"/>
        </w:rPr>
        <w:lastRenderedPageBreak/>
        <w:t xml:space="preserve">C O N S I D E R A N D O </w:t>
      </w:r>
    </w:p>
    <w:p w:rsidR="00057E4F" w:rsidRDefault="00057E4F">
      <w:pPr>
        <w:spacing w:line="360" w:lineRule="auto"/>
        <w:ind w:right="-28"/>
        <w:rPr>
          <w:rFonts w:ascii="Palatino Linotype" w:eastAsia="Palatino Linotype" w:hAnsi="Palatino Linotype" w:cs="Palatino Linotype"/>
        </w:rPr>
      </w:pPr>
    </w:p>
    <w:p w:rsidR="00057E4F" w:rsidRDefault="00D80984">
      <w:pPr>
        <w:pStyle w:val="Ttulo2"/>
        <w:spacing w:before="0" w:line="360" w:lineRule="auto"/>
        <w:ind w:right="-28"/>
        <w:rPr>
          <w:rFonts w:ascii="Palatino Linotype" w:eastAsia="Palatino Linotype" w:hAnsi="Palatino Linotype" w:cs="Palatino Linotype"/>
          <w:b/>
          <w:bCs/>
          <w:color w:val="000000"/>
          <w:sz w:val="24"/>
          <w:szCs w:val="24"/>
        </w:rPr>
      </w:pPr>
      <w:bookmarkStart w:id="3" w:name="_heading=h.2et92p0" w:colFirst="0" w:colLast="0"/>
      <w:bookmarkEnd w:id="3"/>
      <w:r>
        <w:rPr>
          <w:rFonts w:ascii="Palatino Linotype" w:eastAsia="Palatino Linotype" w:hAnsi="Palatino Linotype" w:cs="Palatino Linotype"/>
          <w:b/>
          <w:bCs/>
          <w:color w:val="000000"/>
          <w:sz w:val="24"/>
          <w:szCs w:val="24"/>
        </w:rPr>
        <w:t>PRIMERO. De la competencia</w:t>
      </w: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4" w:name="_heading=h.tyjcwt" w:colFirst="0" w:colLast="0"/>
      <w:bookmarkEnd w:id="4"/>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57E4F" w:rsidRDefault="00D80984">
      <w:pPr>
        <w:pBdr>
          <w:top w:val="nil"/>
          <w:left w:val="nil"/>
          <w:bottom w:val="nil"/>
          <w:right w:val="nil"/>
          <w:between w:val="nil"/>
        </w:pBd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057E4F" w:rsidRDefault="00D80984">
      <w:pPr>
        <w:pStyle w:val="Ttulo2"/>
        <w:spacing w:before="0" w:line="360" w:lineRule="auto"/>
        <w:ind w:right="-28"/>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SEGUNDO. De la oportunidad y procedencia.</w:t>
      </w: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5" w:name="_heading=h.3dy6vkm" w:colFirst="0" w:colLast="0"/>
      <w:bookmarkEnd w:id="5"/>
      <w:r>
        <w:rPr>
          <w:rFonts w:ascii="Palatino Linotype" w:eastAsia="Palatino Linotype" w:hAnsi="Palatino Linotype" w:cs="Palatino Linotype"/>
        </w:rPr>
        <w:t xml:space="preserve">Es de precisar, que la Ley de Transparencia y Acceso a la Información Pública del Estado de México y Municipios, en el artículo 178 describe la procedencia del recurso de revisión, asimismo señala que el plazo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para entregar la respuesta a una solicitud de información pública, es de 15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057E4F" w:rsidRDefault="00057E4F">
      <w:pPr>
        <w:tabs>
          <w:tab w:val="left" w:pos="426"/>
        </w:tabs>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ende, se constituye la figura jurídica de la </w:t>
      </w:r>
      <w:r>
        <w:rPr>
          <w:rFonts w:ascii="Palatino Linotype" w:eastAsia="Palatino Linotype" w:hAnsi="Palatino Linotype" w:cs="Palatino Linotype"/>
          <w:i/>
          <w:iCs/>
        </w:rPr>
        <w:t>negativa ficta</w:t>
      </w:r>
      <w:r>
        <w:rPr>
          <w:rFonts w:ascii="Palatino Linotype" w:eastAsia="Palatino Linotype" w:hAnsi="Palatino Linotype" w:cs="Palatino Linotype"/>
        </w:rPr>
        <w:t xml:space="preserve">, cuya esencia es atribuir un efecto negativo al silencio de la autoridad administrativa frente a las instancias y solicitudes que hagan los particulares, lo cual encuentra sustento en lo que establece el artículo </w:t>
      </w:r>
      <w:r>
        <w:rPr>
          <w:rFonts w:ascii="Palatino Linotype" w:eastAsia="Palatino Linotype" w:hAnsi="Palatino Linotype" w:cs="Palatino Linotype"/>
          <w:b/>
          <w:bCs/>
        </w:rPr>
        <w:t>178</w:t>
      </w:r>
      <w:r>
        <w:rPr>
          <w:rFonts w:ascii="Palatino Linotype" w:eastAsia="Palatino Linotype" w:hAnsi="Palatino Linotype" w:cs="Palatino Linotype"/>
        </w:rPr>
        <w:t xml:space="preserve"> segundo párrafo de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color w:val="000000"/>
          <w:highlight w:val="white"/>
        </w:rPr>
        <w:t xml:space="preserve">, que dispone; ante la falta de respuesta del </w:t>
      </w:r>
      <w:r>
        <w:rPr>
          <w:rFonts w:ascii="Palatino Linotype" w:eastAsia="Palatino Linotype" w:hAnsi="Palatino Linotype" w:cs="Palatino Linotype"/>
          <w:b/>
          <w:bCs/>
          <w:color w:val="000000"/>
          <w:highlight w:val="white"/>
        </w:rPr>
        <w:t>SUJETO OBLIGADO,</w:t>
      </w:r>
      <w:r>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Pr>
          <w:rFonts w:ascii="Palatino Linotype" w:eastAsia="Palatino Linotype" w:hAnsi="Palatino Linotype" w:cs="Palatino Linotype"/>
          <w:b/>
          <w:bCs/>
          <w:color w:val="000000"/>
          <w:highlight w:val="white"/>
        </w:rPr>
        <w:t xml:space="preserve">podrá ser interpuesto en cualquier momento. </w:t>
      </w:r>
    </w:p>
    <w:p w:rsidR="00057E4F" w:rsidRDefault="00057E4F">
      <w:pPr>
        <w:tabs>
          <w:tab w:val="left" w:pos="426"/>
        </w:tabs>
        <w:spacing w:line="360" w:lineRule="auto"/>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que, tratándose de la </w:t>
      </w:r>
      <w:r>
        <w:rPr>
          <w:rFonts w:ascii="Palatino Linotype" w:eastAsia="Palatino Linotype" w:hAnsi="Palatino Linotype" w:cs="Palatino Linotype"/>
          <w:i/>
          <w:iCs/>
        </w:rPr>
        <w:t>negativa ficta</w:t>
      </w:r>
      <w:r>
        <w:rPr>
          <w:rFonts w:ascii="Palatino Linotype" w:eastAsia="Palatino Linotype" w:hAnsi="Palatino Linotype" w:cs="Palatino Linotype"/>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veinticinco de abril de dos mil quince, relativo a la interposición del recurso de revisión en cualquier tiempo cuando exista </w:t>
      </w:r>
      <w:r>
        <w:rPr>
          <w:rFonts w:ascii="Palatino Linotype" w:eastAsia="Palatino Linotype" w:hAnsi="Palatino Linotype" w:cs="Palatino Linotype"/>
          <w:i/>
          <w:iCs/>
        </w:rPr>
        <w:t>negativa ficta</w:t>
      </w:r>
      <w:r>
        <w:rPr>
          <w:rFonts w:ascii="Palatino Linotype" w:eastAsia="Palatino Linotype" w:hAnsi="Palatino Linotype" w:cs="Palatino Linotype"/>
        </w:rPr>
        <w:t>, que señala:</w:t>
      </w:r>
    </w:p>
    <w:p w:rsidR="00057E4F" w:rsidRDefault="00D80984">
      <w:pPr>
        <w:tabs>
          <w:tab w:val="left" w:pos="284"/>
          <w:tab w:val="left" w:pos="7655"/>
        </w:tabs>
        <w:spacing w:line="360" w:lineRule="auto"/>
        <w:ind w:left="567" w:right="822"/>
        <w:jc w:val="center"/>
        <w:rPr>
          <w:rFonts w:ascii="Palatino Linotype" w:eastAsia="Palatino Linotype" w:hAnsi="Palatino Linotype" w:cs="Palatino Linotype"/>
          <w:b/>
          <w:bCs/>
        </w:rPr>
      </w:pPr>
      <w:r>
        <w:rPr>
          <w:rFonts w:ascii="Palatino Linotype" w:eastAsia="Palatino Linotype" w:hAnsi="Palatino Linotype" w:cs="Palatino Linotype"/>
          <w:b/>
          <w:bCs/>
        </w:rPr>
        <w:t>Criterio 0001-15</w:t>
      </w:r>
    </w:p>
    <w:p w:rsidR="00057E4F" w:rsidRDefault="00D80984">
      <w:pPr>
        <w:tabs>
          <w:tab w:val="left" w:pos="284"/>
          <w:tab w:val="left" w:pos="7655"/>
        </w:tabs>
        <w:spacing w:line="360" w:lineRule="auto"/>
        <w:ind w:left="567" w:right="822"/>
        <w:jc w:val="both"/>
        <w:rPr>
          <w:rFonts w:ascii="Palatino Linotype" w:eastAsia="Palatino Linotype" w:hAnsi="Palatino Linotype" w:cs="Palatino Linotype"/>
          <w:i/>
          <w:iCs/>
        </w:rPr>
      </w:pPr>
      <w:r>
        <w:rPr>
          <w:rFonts w:ascii="Palatino Linotype" w:eastAsia="Palatino Linotype" w:hAnsi="Palatino Linotype" w:cs="Palatino Linotype"/>
          <w:b/>
          <w:bCs/>
          <w:i/>
          <w:iCs/>
        </w:rPr>
        <w:t>NEGATIVA FICTA. PLAZO PARA INTERPONER EL RECURSO DE REVISIÓN TRATÁNDOSE DE.</w:t>
      </w:r>
      <w:r>
        <w:rPr>
          <w:rFonts w:ascii="Palatino Linotype" w:eastAsia="Palatino Linotype" w:hAnsi="Palatino Linotype" w:cs="Palatino Linotype"/>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w:t>
      </w:r>
      <w:r>
        <w:rPr>
          <w:rFonts w:ascii="Palatino Linotype" w:eastAsia="Palatino Linotype" w:hAnsi="Palatino Linotype" w:cs="Palatino Linotype"/>
          <w:i/>
          <w:iCs/>
        </w:rPr>
        <w:lastRenderedPageBreak/>
        <w:t>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57E4F" w:rsidRDefault="00057E4F">
      <w:pPr>
        <w:tabs>
          <w:tab w:val="left" w:pos="284"/>
          <w:tab w:val="left" w:pos="7655"/>
        </w:tabs>
        <w:spacing w:line="360" w:lineRule="auto"/>
        <w:ind w:left="567" w:right="822"/>
        <w:jc w:val="both"/>
        <w:rPr>
          <w:rFonts w:ascii="Palatino Linotype" w:eastAsia="Palatino Linotype" w:hAnsi="Palatino Linotype" w:cs="Palatino Linotype"/>
          <w:i/>
          <w:iCs/>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se explica porque la </w:t>
      </w:r>
      <w:r>
        <w:rPr>
          <w:rFonts w:ascii="Palatino Linotype" w:eastAsia="Palatino Linotype" w:hAnsi="Palatino Linotype" w:cs="Palatino Linotype"/>
          <w:b/>
          <w:bCs/>
          <w:color w:val="000000"/>
          <w:u w:val="single"/>
        </w:rPr>
        <w:t>posible ausencia</w:t>
      </w:r>
      <w:r>
        <w:rPr>
          <w:rFonts w:ascii="Palatino Linotype" w:eastAsia="Palatino Linotype" w:hAnsi="Palatino Linotype" w:cs="Palatino Linotype"/>
          <w:color w:val="000000"/>
        </w:rPr>
        <w:t xml:space="preserve"> de una respuesta en la solicitud </w:t>
      </w:r>
      <w:r>
        <w:rPr>
          <w:rFonts w:ascii="Palatino Linotype" w:eastAsia="Palatino Linotype" w:hAnsi="Palatino Linotype" w:cs="Palatino Linotype"/>
        </w:rPr>
        <w:t>constituye</w:t>
      </w:r>
      <w:r>
        <w:rPr>
          <w:rFonts w:ascii="Palatino Linotype" w:eastAsia="Palatino Linotype" w:hAnsi="Palatino Linotype" w:cs="Palatino Linotype"/>
          <w:color w:val="000000"/>
        </w:rPr>
        <w:t xml:space="preserve"> un acto que vulnera el derecho de manera continua y actualizable cada día, en tanto no se emita la respuesta a la que esté impuesto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w:t>
      </w:r>
    </w:p>
    <w:p w:rsidR="00057E4F" w:rsidRDefault="00057E4F">
      <w:pPr>
        <w:tabs>
          <w:tab w:val="left" w:pos="426"/>
        </w:tabs>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bCs/>
        </w:rPr>
      </w:pPr>
      <w:r>
        <w:rPr>
          <w:rFonts w:ascii="Palatino Linotype" w:eastAsia="Palatino Linotype" w:hAnsi="Palatino Linotype" w:cs="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57E4F" w:rsidRDefault="00057E4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57E4F" w:rsidRDefault="00D80984">
      <w:pPr>
        <w:pStyle w:val="Ttulo1"/>
        <w:spacing w:before="0" w:line="360" w:lineRule="auto"/>
        <w:ind w:right="-28"/>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TERCERO. Planteamiento de la</w:t>
      </w:r>
      <w:r>
        <w:rPr>
          <w:rFonts w:ascii="Palatino Linotype" w:eastAsia="Palatino Linotype" w:hAnsi="Palatino Linotype" w:cs="Palatino Linotype"/>
          <w:b/>
          <w:bCs/>
          <w:i/>
          <w:iCs/>
          <w:color w:val="000000"/>
          <w:sz w:val="24"/>
          <w:szCs w:val="24"/>
        </w:rPr>
        <w:t xml:space="preserve"> Litis</w:t>
      </w:r>
      <w:r>
        <w:rPr>
          <w:rFonts w:ascii="Palatino Linotype" w:eastAsia="Palatino Linotype" w:hAnsi="Palatino Linotype" w:cs="Palatino Linotype"/>
          <w:b/>
          <w:bCs/>
          <w:color w:val="000000"/>
          <w:sz w:val="24"/>
          <w:szCs w:val="24"/>
        </w:rPr>
        <w:t xml:space="preserve"> </w:t>
      </w: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solicitó la siguiente información que se desagrega:</w:t>
      </w:r>
    </w:p>
    <w:p w:rsidR="00057E4F" w:rsidRDefault="00057E4F">
      <w:pPr>
        <w:pBdr>
          <w:top w:val="nil"/>
          <w:left w:val="nil"/>
          <w:bottom w:val="nil"/>
          <w:right w:val="nil"/>
          <w:between w:val="nil"/>
        </w:pBdr>
        <w:spacing w:line="360" w:lineRule="auto"/>
        <w:ind w:left="709" w:right="539"/>
        <w:jc w:val="both"/>
        <w:rPr>
          <w:rFonts w:ascii="Palatino Linotype" w:eastAsia="Palatino Linotype" w:hAnsi="Palatino Linotype" w:cs="Palatino Linotype"/>
          <w:color w:val="000000"/>
        </w:rPr>
      </w:pPr>
    </w:p>
    <w:p w:rsidR="00057E4F" w:rsidRDefault="00D80984">
      <w:pPr>
        <w:spacing w:line="360" w:lineRule="auto"/>
        <w:ind w:left="709" w:right="539"/>
        <w:rPr>
          <w:rFonts w:ascii="Palatino Linotype" w:eastAsia="Palatino Linotype" w:hAnsi="Palatino Linotype" w:cs="Palatino Linotype"/>
          <w:b/>
          <w:bCs/>
        </w:rPr>
      </w:pPr>
      <w:r>
        <w:rPr>
          <w:rFonts w:ascii="Palatino Linotype" w:eastAsia="Palatino Linotype" w:hAnsi="Palatino Linotype" w:cs="Palatino Linotype"/>
          <w:b/>
          <w:bCs/>
        </w:rPr>
        <w:lastRenderedPageBreak/>
        <w:t>Del 06 de noviembre al 29 de abril de 2025</w:t>
      </w:r>
    </w:p>
    <w:p w:rsidR="00057E4F" w:rsidRDefault="00D80984">
      <w:pPr>
        <w:spacing w:line="360" w:lineRule="auto"/>
        <w:ind w:left="709" w:right="539"/>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w:t>
      </w:r>
      <w:r w:rsidR="007174E8">
        <w:rPr>
          <w:rFonts w:ascii="Palatino Linotype" w:eastAsia="Palatino Linotype" w:hAnsi="Palatino Linotype" w:cs="Palatino Linotype"/>
          <w:b/>
          <w:bCs/>
          <w:color w:val="222222"/>
          <w:highlight w:val="white"/>
        </w:rPr>
        <w:t>En</w:t>
      </w:r>
      <w:r>
        <w:rPr>
          <w:rFonts w:ascii="Palatino Linotype" w:eastAsia="Palatino Linotype" w:hAnsi="Palatino Linotype" w:cs="Palatino Linotype"/>
          <w:b/>
          <w:bCs/>
          <w:color w:val="222222"/>
          <w:highlight w:val="white"/>
        </w:rPr>
        <w:t xml:space="preserve"> formato abierto como xls o cvs.), al mayor grado de desagregación:</w:t>
      </w:r>
    </w:p>
    <w:p w:rsidR="00057E4F" w:rsidRDefault="00057E4F">
      <w:pPr>
        <w:spacing w:line="360" w:lineRule="auto"/>
        <w:ind w:left="709" w:right="539"/>
        <w:rPr>
          <w:rFonts w:ascii="Palatino Linotype" w:eastAsia="Palatino Linotype" w:hAnsi="Palatino Linotype" w:cs="Palatino Linotype"/>
          <w:b/>
          <w:bCs/>
          <w:color w:val="222222"/>
          <w:highlight w:val="white"/>
        </w:rPr>
      </w:pPr>
    </w:p>
    <w:p w:rsidR="00057E4F" w:rsidRDefault="00D80984">
      <w:pP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La base de datos de incidencia delictiva o reporte de incidentes, eventos o cualquier registro o documento con el que cuente el sujeto obligado que contenga la siguiente información:</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Tipo de incidente o evento (hechos presuntamente constitutivos de delito y/o falta administrativa, o situación reportada, cualquiera que esta sea, especificando si el hecho fue con o sin violencia);</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Hora del incidente o evento;</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Fecha del incidente o evento;</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Lugar del incidente o evento;</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Ubicación del incidente o evento; y</w:t>
      </w:r>
    </w:p>
    <w:p w:rsidR="00057E4F" w:rsidRDefault="00D80984">
      <w:pPr>
        <w:numPr>
          <w:ilvl w:val="0"/>
          <w:numId w:val="5"/>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222222"/>
          <w:highlight w:val="white"/>
        </w:rPr>
      </w:pPr>
      <w:r>
        <w:rPr>
          <w:rFonts w:ascii="Palatino Linotype" w:eastAsia="Palatino Linotype" w:hAnsi="Palatino Linotype" w:cs="Palatino Linotype"/>
          <w:b/>
          <w:bCs/>
          <w:color w:val="222222"/>
          <w:highlight w:val="white"/>
        </w:rPr>
        <w:t>Las coordenadas geográficas del incidente o evento. establecidas en la sección “lugar de la intervención” del informe policial homologado para 1) hechos probablemente delictivos o para 2) justicia cívica según corresponda al tipo de incidente.</w:t>
      </w:r>
    </w:p>
    <w:p w:rsidR="00057E4F" w:rsidRDefault="00057E4F">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rsidR="00057E4F" w:rsidRDefault="00D80984">
      <w:pPr>
        <w:numPr>
          <w:ilvl w:val="0"/>
          <w:numId w:val="3"/>
        </w:numPr>
        <w:pBdr>
          <w:top w:val="nil"/>
          <w:left w:val="nil"/>
          <w:bottom w:val="nil"/>
          <w:right w:val="nil"/>
          <w:between w:val="nil"/>
        </w:pBdr>
        <w:tabs>
          <w:tab w:val="left" w:pos="284"/>
        </w:tabs>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fue omiso en emitir una respuesta. Atento a lo anterior, el particular interpuso el recurso de revisión, mediante al cual se adolece por la falta de respuesta. Por lo tanto, el presente recurso de revisión se circunscribe en determinar </w:t>
      </w:r>
      <w:r>
        <w:rPr>
          <w:rFonts w:ascii="Palatino Linotype" w:eastAsia="Palatino Linotype" w:hAnsi="Palatino Linotype" w:cs="Palatino Linotype"/>
          <w:color w:val="000000"/>
        </w:rPr>
        <w:lastRenderedPageBreak/>
        <w:t>si se actualiza las causales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contenidas en el artículo 179 fracción VII,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 xml:space="preserve">, relativa a la </w:t>
      </w:r>
      <w:r>
        <w:rPr>
          <w:rFonts w:ascii="Palatino Linotype" w:eastAsia="Palatino Linotype" w:hAnsi="Palatino Linotype" w:cs="Palatino Linotype"/>
        </w:rPr>
        <w:t>falta de respuesta a una solicitud de acceso a la información</w:t>
      </w:r>
      <w:r>
        <w:rPr>
          <w:rFonts w:ascii="Palatino Linotype" w:eastAsia="Palatino Linotype" w:hAnsi="Palatino Linotype" w:cs="Palatino Linotype"/>
          <w:color w:val="000000"/>
        </w:rPr>
        <w:t>.</w:t>
      </w:r>
    </w:p>
    <w:p w:rsidR="00057E4F" w:rsidRDefault="00057E4F">
      <w:pPr>
        <w:pBdr>
          <w:top w:val="nil"/>
          <w:left w:val="nil"/>
          <w:bottom w:val="nil"/>
          <w:right w:val="nil"/>
          <w:between w:val="nil"/>
        </w:pBdr>
        <w:spacing w:line="360" w:lineRule="auto"/>
        <w:ind w:left="720" w:right="-28"/>
        <w:rPr>
          <w:rFonts w:ascii="Palatino Linotype" w:eastAsia="Palatino Linotype" w:hAnsi="Palatino Linotype" w:cs="Palatino Linotype"/>
          <w:color w:val="000000"/>
        </w:rPr>
      </w:pPr>
    </w:p>
    <w:p w:rsidR="00057E4F" w:rsidRDefault="00D80984">
      <w:pPr>
        <w:pStyle w:val="Ttulo1"/>
        <w:spacing w:before="0" w:line="360" w:lineRule="auto"/>
        <w:ind w:right="-28"/>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CUARTO. Estudio y resolución</w:t>
      </w:r>
    </w:p>
    <w:p w:rsidR="00057E4F" w:rsidRDefault="00D80984">
      <w:pPr>
        <w:numPr>
          <w:ilvl w:val="0"/>
          <w:numId w:val="3"/>
        </w:numPr>
        <w:spacing w:line="360" w:lineRule="auto"/>
        <w:ind w:left="0" w:right="-28" w:firstLine="0"/>
        <w:jc w:val="both"/>
        <w:rPr>
          <w:rFonts w:ascii="Palatino Linotype" w:eastAsia="Palatino Linotype" w:hAnsi="Palatino Linotype" w:cs="Palatino Linotype"/>
          <w:color w:val="000000"/>
        </w:rPr>
      </w:pPr>
      <w:bookmarkStart w:id="6" w:name="_heading=h.1t3h5sf" w:colFirst="0" w:colLast="0"/>
      <w:bookmarkEnd w:id="6"/>
      <w:r>
        <w:rPr>
          <w:rFonts w:ascii="Palatino Linotype" w:eastAsia="Palatino Linotype" w:hAnsi="Palatino Linotype" w:cs="Palatino Linotype"/>
        </w:rPr>
        <w:t xml:space="preserve">Primeramente, es necesario señalar que el derecho de acceso a la información pública es un </w:t>
      </w:r>
      <w:r>
        <w:rPr>
          <w:rFonts w:ascii="Palatino Linotype" w:eastAsia="Palatino Linotype" w:hAnsi="Palatino Linotype" w:cs="Palatino Linotype"/>
          <w:color w:val="000000"/>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a través del cual se puede solicitar aquellos documentos que generen, administren o posean las autoridades en ejercicio de sus respectivas atribuciones y competencias. </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cumplimiento a las obligaciones que establece nuestra Carta Magna, la Constitución Estatal y la Ley de la materia le imponen,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fue omiso en dar respuesta a las solicitudes de información dentro de los plazos establecidos en la Ley de Transparencia Local.</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los motivos o razones de inconformidad expuestos por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se adolece de la falta de respuesta a la solicitud de acceso a la información formulada, por lo que se actualiza la causal de procedencia establecida </w:t>
      </w:r>
      <w:r>
        <w:rPr>
          <w:rFonts w:ascii="Palatino Linotype" w:eastAsia="Palatino Linotype" w:hAnsi="Palatino Linotype" w:cs="Palatino Linotype"/>
          <w:color w:val="000000"/>
        </w:rPr>
        <w:t>en la fracción VII del artículo 179 de la Ley de Transparencia y Acceso a la Información Pública del Estado de México y Municipios,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y</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rPr>
        <w:t>por tanto, procedente la interposición del recurso de revisión.</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las razones o motivos de inconformidad hechos valer, resultan </w:t>
      </w:r>
      <w:r>
        <w:rPr>
          <w:rFonts w:ascii="Palatino Linotype" w:eastAsia="Palatino Linotype" w:hAnsi="Palatino Linotype" w:cs="Palatino Linotype"/>
          <w:b/>
          <w:bCs/>
        </w:rPr>
        <w:t>fundadas y procedentes</w:t>
      </w:r>
      <w:r>
        <w:rPr>
          <w:rFonts w:ascii="Palatino Linotype" w:eastAsia="Palatino Linotype" w:hAnsi="Palatino Linotype" w:cs="Palatino Linotype"/>
        </w:rPr>
        <w:t xml:space="preserve">, en virtud de las constancias que obran en el expediente electrónico SAIMEX, se acredita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fue omiso en responder la solicitud de información hecha por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es decir, incumplió las obligaciones que se le imponen como </w:t>
      </w:r>
      <w:r>
        <w:rPr>
          <w:rFonts w:ascii="Palatino Linotype" w:eastAsia="Palatino Linotype" w:hAnsi="Palatino Linotype" w:cs="Palatino Linotype"/>
          <w:b/>
          <w:bCs/>
        </w:rPr>
        <w:t>SUJETO OBLIGADO</w:t>
      </w:r>
      <w:r>
        <w:rPr>
          <w:rFonts w:ascii="Palatino Linotype" w:eastAsia="Palatino Linotype" w:hAnsi="Palatino Linotype" w:cs="Palatino Linotype"/>
        </w:rPr>
        <w:t>, de conformidad con lo establecido en los artículos 4, 12, 23 fracción IV, 24 último párrafo y 160 de la Ley de Transparencia y Acceso a la Información Pública del Estado de México y Municipios.</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 establecido en los artículos 50 y 51 de la Ley de Transparencia y Acceso a la Información Pública del Estado de México y Municipios,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rsidR="00057E4F" w:rsidRDefault="00057E4F">
      <w:pPr>
        <w:pBdr>
          <w:top w:val="nil"/>
          <w:left w:val="nil"/>
          <w:bottom w:val="nil"/>
          <w:right w:val="nil"/>
          <w:between w:val="nil"/>
        </w:pBdr>
        <w:ind w:left="720"/>
        <w:rPr>
          <w:rFonts w:ascii="Palatino Linotype" w:eastAsia="Palatino Linotype" w:hAnsi="Palatino Linotype" w:cs="Palatino Linotype"/>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57E4F" w:rsidRDefault="00057E4F">
      <w:pPr>
        <w:widowControl w:val="0"/>
        <w:tabs>
          <w:tab w:val="left" w:pos="1276"/>
        </w:tabs>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De tal manera que la omisión del Titular de la Unidad de Transparencia, como primer responsable de atender la solicitud de información, se traduce en una conducta que ha vulnerado el derecho de acceso a la información consignado a favor del particular.</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i/>
          <w:iCs/>
        </w:rPr>
      </w:pPr>
      <w:r>
        <w:rPr>
          <w:rFonts w:ascii="Palatino Linotype" w:eastAsia="Palatino Linotype" w:hAnsi="Palatino Linotype" w:cs="Palatino Linotype"/>
        </w:rPr>
        <w:t xml:space="preserve">En consecuencia, según lo dispuesto por el artículo 150 de la Ley de Transparencia y Acceso a la Información Pública del Estado de México y Municipios, el </w:t>
      </w:r>
      <w:r>
        <w:rPr>
          <w:rFonts w:ascii="Palatino Linotype" w:eastAsia="Palatino Linotype" w:hAnsi="Palatino Linotype" w:cs="Palatino Linotype"/>
          <w:i/>
          <w:iCs/>
        </w:rPr>
        <w:t xml:space="preserve">procedimiento de acceso a la información es la garantía primaria del derecho en cuestión, </w:t>
      </w:r>
      <w:r>
        <w:rPr>
          <w:rFonts w:ascii="Palatino Linotype" w:eastAsia="Palatino Linotype" w:hAnsi="Palatino Linotype" w:cs="Palatino Linotype"/>
        </w:rPr>
        <w:t xml:space="preserve">por lo tanto, la falta de respuesta a una solicitud de acceso a la información constituye un incumplimiento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su deber de garantizar el derecho, lo que constituye una vulneración al mismo.</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lo anterior, en un hecho posterior a la interposición de los recursos de revisión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revocó su falta de respuesta, al emitir un pronunciamiento en calidad de informe justificado a través de un oficio signado por el Director de Seguridad Pública Municipal de Capulhuac. Pronunciamiento en el que se refiere que se</w:t>
      </w:r>
      <w:r>
        <w:rPr>
          <w:rFonts w:ascii="Palatino Linotype" w:eastAsia="Palatino Linotype" w:hAnsi="Palatino Linotype" w:cs="Palatino Linotype"/>
          <w:color w:val="000000"/>
        </w:rPr>
        <w:t xml:space="preserve"> remite la base de datos de incidencia delictiva del 06 de noviembre de 2024 al 29 de abril de 2025, </w:t>
      </w:r>
      <w:r>
        <w:rPr>
          <w:rFonts w:ascii="Palatino Linotype" w:eastAsia="Palatino Linotype" w:hAnsi="Palatino Linotype" w:cs="Palatino Linotype"/>
        </w:rPr>
        <w:t>constante</w:t>
      </w:r>
      <w:r>
        <w:rPr>
          <w:rFonts w:ascii="Palatino Linotype" w:eastAsia="Palatino Linotype" w:hAnsi="Palatino Linotype" w:cs="Palatino Linotype"/>
          <w:color w:val="000000"/>
        </w:rPr>
        <w:t xml:space="preserve"> de 10 fojas con los siguientes rubros: Tipo de Incidente o evento, Fecha, Lugar, Ubicación y, Coordenadas; siendo este último rubro el que no permitió que fuera notificado dicho archivo a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pues </w:t>
      </w:r>
      <w:r>
        <w:rPr>
          <w:rFonts w:ascii="Palatino Linotype" w:eastAsia="Palatino Linotype" w:hAnsi="Palatino Linotype" w:cs="Palatino Linotype"/>
          <w:b/>
          <w:bCs/>
          <w:color w:val="000000"/>
        </w:rPr>
        <w:t xml:space="preserve">se constató que con la coordenadas aportadas, era posible conocer los </w:t>
      </w:r>
      <w:r>
        <w:rPr>
          <w:rFonts w:ascii="Palatino Linotype" w:eastAsia="Palatino Linotype" w:hAnsi="Palatino Linotype" w:cs="Palatino Linotype"/>
          <w:b/>
          <w:bCs/>
          <w:color w:val="000000"/>
          <w:u w:val="single"/>
        </w:rPr>
        <w:t>domicilios particulares</w:t>
      </w:r>
      <w:r>
        <w:rPr>
          <w:rFonts w:ascii="Palatino Linotype" w:eastAsia="Palatino Linotype" w:hAnsi="Palatino Linotype" w:cs="Palatino Linotype"/>
          <w:b/>
          <w:bCs/>
          <w:color w:val="000000"/>
        </w:rPr>
        <w:t xml:space="preserve"> en los que se materializaron los presuntos hechos constitutivos de delito</w:t>
      </w:r>
      <w:r>
        <w:rPr>
          <w:rFonts w:ascii="Palatino Linotype" w:eastAsia="Palatino Linotype" w:hAnsi="Palatino Linotype" w:cs="Palatino Linotype"/>
          <w:color w:val="000000"/>
        </w:rPr>
        <w:t>.</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Al respecto, la dirección y las coordenadas del evento es información confidencial, pues los hechos ilícitos en múltiples ocasiones son realizados al interior de inmuebles que son direcciones de Particulares, que, como ya se señaló, se constató por parte de la Ponencia Resolutora; por lo que es información que se considera como confidencial, ya sea la dirección o cualquiera dato que cuente con analogía como lo son las coordenadas.</w:t>
      </w:r>
    </w:p>
    <w:p w:rsidR="00057E4F" w:rsidRDefault="00057E4F">
      <w:pPr>
        <w:pBdr>
          <w:top w:val="nil"/>
          <w:left w:val="nil"/>
          <w:bottom w:val="nil"/>
          <w:right w:val="nil"/>
          <w:between w:val="nil"/>
        </w:pBdr>
        <w:spacing w:line="360" w:lineRule="auto"/>
        <w:ind w:left="643"/>
        <w:jc w:val="both"/>
        <w:rPr>
          <w:rFonts w:ascii="Palatino Linotype" w:eastAsia="Palatino Linotype" w:hAnsi="Palatino Linotype" w:cs="Palatino Linotype"/>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Entonces, para el caso que las coordenadas permitan identificar el lugar específico de la posible comisión de un delito y dicho sitio sea un domicilio particular, la información actualiza la causal de confidencialidad prevista en el artículo 143, fracción I, de la Ley de la materia, pues se trata de datos personales que hacen identificable el domicilio de una o varias personas en la posible comisión de un delito por lo que incluso, no procedería su entrega.</w:t>
      </w:r>
    </w:p>
    <w:p w:rsidR="00057E4F" w:rsidRDefault="00D80984">
      <w:pPr>
        <w:numPr>
          <w:ilvl w:val="0"/>
          <w:numId w:val="3"/>
        </w:numP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Puntualizando lo anterior</w:t>
      </w:r>
      <w:r>
        <w:rPr>
          <w:rFonts w:ascii="Palatino Linotype" w:eastAsia="Palatino Linotype" w:hAnsi="Palatino Linotype" w:cs="Palatino Linotype"/>
        </w:rPr>
        <w:t>, debemos precisar que la Ley General del Sistema Nacional de Seguridad Pública, en la cual se establece en su artículo 43 lo que debe contener el informe policial homologado como se muestra a continuación:</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43.-</w:t>
      </w:r>
      <w:r>
        <w:rPr>
          <w:rFonts w:ascii="Palatino Linotype" w:eastAsia="Palatino Linotype" w:hAnsi="Palatino Linotype" w:cs="Palatino Linotype"/>
          <w:i/>
          <w:iCs/>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 El área que lo emite;</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II. El usuario capturista;</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III. Los Datos Generales de registro;</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IV. Motivo, que se clasifica en;</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 Tipo de evento, y</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b) Subtipo de evento.</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 La ubicación del evento y en su caso, los caminos;</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VI. La descripción de hechos, que deberá detallar modo, tiempo y lugar, entre otros datos.</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VII. Entrevistas realizadas, y</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VIII. En caso de detenciones:</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 Señalar los motivos de la detención;</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b) Descripción de la persona;</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c) El nombre del detenido y apodo, en su caso;</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d) Descripción de estado físico aparente;</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e) Objetos que le fueron encontrados;</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f) Autoridad a la que fue puesto a disposición, y</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g) Lugar en el que fue puesto a disposición.</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rsidR="00057E4F" w:rsidRDefault="00057E4F">
      <w:pPr>
        <w:rPr>
          <w:rFonts w:ascii="Palatino Linotype" w:eastAsia="Palatino Linotype" w:hAnsi="Palatino Linotype" w:cs="Palatino Linotype"/>
          <w:color w:val="000000"/>
        </w:rPr>
      </w:pPr>
    </w:p>
    <w:p w:rsidR="00057E4F" w:rsidRPr="007174E8" w:rsidRDefault="00D80984">
      <w:pPr>
        <w:numPr>
          <w:ilvl w:val="0"/>
          <w:numId w:val="3"/>
        </w:numP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w:t>
      </w:r>
      <w:r>
        <w:rPr>
          <w:rFonts w:ascii="Palatino Linotype" w:eastAsia="Palatino Linotype" w:hAnsi="Palatino Linotype" w:cs="Palatino Linotype"/>
        </w:rPr>
        <w:t>precepto legal referido, no se advierte la obligación de que el informe policial homologado deba contener coordenadas geográficas, sino solamente la ubicación del evento, el cual puede ser solventado con la dirección; empero,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al haberlas remitido: asume expresamente que si lo genera, posee y administra lo solicitado, sin embargo se reitera en la improcedencia de su entrega por lo que relatadas circunstancias deberá entregar nuevamente el documento remitido en calidad de respuesta debiendo clasificar de manera fundada y motivada el multicitado rubro.</w:t>
      </w:r>
    </w:p>
    <w:p w:rsidR="007174E8" w:rsidRDefault="007174E8" w:rsidP="007174E8">
      <w:pPr>
        <w:spacing w:line="360" w:lineRule="auto"/>
        <w:ind w:right="-28"/>
        <w:jc w:val="both"/>
        <w:rPr>
          <w:rFonts w:ascii="Palatino Linotype" w:eastAsia="Palatino Linotype" w:hAnsi="Palatino Linotype" w:cs="Palatino Linotype"/>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En esa tesitura, al haberse asumido expresamente que si se genera, posee y administra lo solicitado, resulta innecesario un estudio pormenorizado de las atribuciones del Ayuntamiento al respecto, para determinar que se entregue la información; no obstante no es impedimento para realizar las siguiente precisiones de la naturaleza de la información solicitada.</w:t>
      </w:r>
    </w:p>
    <w:p w:rsidR="00057E4F" w:rsidRDefault="00057E4F">
      <w:pPr>
        <w:pBdr>
          <w:top w:val="nil"/>
          <w:left w:val="nil"/>
          <w:bottom w:val="nil"/>
          <w:right w:val="nil"/>
          <w:between w:val="nil"/>
        </w:pBdr>
        <w:ind w:left="720"/>
        <w:rPr>
          <w:rFonts w:ascii="Palatino Linotype" w:eastAsia="Palatino Linotype" w:hAnsi="Palatino Linotype" w:cs="Palatino Linotype"/>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Que los artículos 5, fracción II, XVII, 7, fracción IX, 19, fracción I, 39, inciso b), fracción VI y XI, 118 de la Ley General del Sistema Nacional de Seguridad Pública en su artículo 22 fracción V; Ley de Seguridad del Estado de México y los numerales 125, fracción VIII y 142 </w:t>
      </w:r>
      <w:r>
        <w:rPr>
          <w:rFonts w:ascii="Palatino Linotype" w:eastAsia="Palatino Linotype" w:hAnsi="Palatino Linotype" w:cs="Palatino Linotype"/>
          <w:color w:val="000000"/>
        </w:rPr>
        <w:lastRenderedPageBreak/>
        <w:t>de la Ley Orgánica Municipal del Estado de México; son disposiciones legales que determinan, lo siguiente:</w:t>
      </w:r>
    </w:p>
    <w:p w:rsidR="00057E4F" w:rsidRDefault="00D80984">
      <w:pPr>
        <w:spacing w:line="360" w:lineRule="auto"/>
        <w:ind w:left="567" w:right="539"/>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Ley General del Sistema Nacional de Seguridad Pública</w:t>
      </w:r>
    </w:p>
    <w:p w:rsidR="00057E4F" w:rsidRDefault="00057E4F">
      <w:pPr>
        <w:spacing w:line="360" w:lineRule="auto"/>
        <w:ind w:left="567" w:right="539"/>
        <w:jc w:val="both"/>
        <w:rPr>
          <w:rFonts w:ascii="Palatino Linotype" w:eastAsia="Palatino Linotype" w:hAnsi="Palatino Linotype" w:cs="Palatino Linotype"/>
          <w:b/>
          <w:bCs/>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5</w:t>
      </w:r>
      <w:r>
        <w:rPr>
          <w:rFonts w:ascii="Palatino Linotype" w:eastAsia="Palatino Linotype" w:hAnsi="Palatino Linotype" w:cs="Palatino Linotype"/>
          <w:i/>
          <w:iCs/>
          <w:color w:val="000000"/>
        </w:rPr>
        <w:t>.- Para los efectos de esta Ley, se entenderá por:</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II. Bases de Datos:</w:t>
      </w:r>
      <w:r>
        <w:rPr>
          <w:rFonts w:ascii="Palatino Linotype" w:eastAsia="Palatino Linotype" w:hAnsi="Palatino Linotype" w:cs="Palatino Linotype"/>
          <w:i/>
          <w:iCs/>
          <w:color w:val="000000"/>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7.-</w:t>
      </w:r>
      <w:r>
        <w:rPr>
          <w:rFonts w:ascii="Palatino Linotype" w:eastAsia="Palatino Linotype" w:hAnsi="Palatino Linotype" w:cs="Palatino Linotype"/>
          <w:i/>
          <w:iCs/>
          <w:color w:val="000000"/>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 VIII…</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IX. </w:t>
      </w:r>
      <w:r>
        <w:rPr>
          <w:rFonts w:ascii="Palatino Linotype" w:eastAsia="Palatino Linotype" w:hAnsi="Palatino Linotype" w:cs="Palatino Linotype"/>
          <w:b/>
          <w:bCs/>
          <w:i/>
          <w:iCs/>
          <w:color w:val="000000"/>
        </w:rPr>
        <w:t>Generar, compartir, intercambiar, ingresar, almacenar y proveer información, archivos y contenidos a las Bases de Datos que integran el Sistema Nacional de Información</w:t>
      </w:r>
      <w:r>
        <w:rPr>
          <w:rFonts w:ascii="Palatino Linotype" w:eastAsia="Palatino Linotype" w:hAnsi="Palatino Linotype" w:cs="Palatino Linotype"/>
          <w:i/>
          <w:iCs/>
          <w:color w:val="000000"/>
        </w:rPr>
        <w:t xml:space="preserve">, de conformidad con lo dispuesto en la legislación en la materia. </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Tratándose de manejo de datos que provengan del Registro Nacional de Detenciones se atendrá a lo dispuesto en la Ley Nacional del Registro de Detenciones;</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 a XVI…</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Artículo 39.- La concurrencia de facultades entre la Federación, las entidades federativas y los Municipios, quedará distribuida conforme a lo siguiente:</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w:t>
      </w: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B. Corresponde a la Federación, a las entidades federativas y a los Municipios, en el ámbito de sus respectivas competencias</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 X…</w:t>
      </w: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XI. Integrar y consultar la información relativa a la operación y Desarrollo Policial para el registro y seguimiento en el Sistema Nacional de Información; </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XII a XV…</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118.-</w:t>
      </w:r>
      <w:r>
        <w:rPr>
          <w:rFonts w:ascii="Palatino Linotype" w:eastAsia="Palatino Linotype" w:hAnsi="Palatino Linotype" w:cs="Palatino Linotype"/>
          <w:i/>
          <w:iCs/>
          <w:color w:val="000000"/>
        </w:rPr>
        <w:t xml:space="preserve"> Las Bases de Datos que integran el Sistema Nacional de Información se actualizarán permanentemente y serán de consulta obligatoria para garantizar la efectividad en las actividades de Seguridad Pública. </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Registro Nacional de Detenciones se vinculará con las Bases de Datos a que se refiere el presente artículo, mediante el número de identificación al que hace referencia la ley de la materia.</w:t>
      </w:r>
    </w:p>
    <w:p w:rsidR="00057E4F" w:rsidRDefault="00057E4F">
      <w:pPr>
        <w:spacing w:line="360" w:lineRule="auto"/>
        <w:ind w:left="567" w:right="539"/>
        <w:jc w:val="center"/>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r>
      <w:r>
        <w:rPr>
          <w:rFonts w:ascii="Palatino Linotype" w:eastAsia="Palatino Linotype" w:hAnsi="Palatino Linotype" w:cs="Palatino Linotype"/>
          <w:b/>
          <w:bCs/>
          <w:i/>
          <w:iCs/>
          <w:color w:val="000000"/>
        </w:rPr>
        <w:tab/>
        <w:t>Ley de Seguridad del Estado de México</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Decreto número 360 publicado en el Periódico Oficial “Gaceta del Gobierno” del Estado de México, el diecinueve de octubre de dos mil once.</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noProof/>
          <w:color w:val="000000"/>
        </w:rPr>
        <w:lastRenderedPageBreak/>
        <w:drawing>
          <wp:inline distT="0" distB="0" distL="0" distR="0">
            <wp:extent cx="4964434" cy="525365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64434" cy="5253655"/>
                    </a:xfrm>
                    <a:prstGeom prst="rect">
                      <a:avLst/>
                    </a:prstGeom>
                    <a:ln/>
                  </pic:spPr>
                </pic:pic>
              </a:graphicData>
            </a:graphic>
          </wp:inline>
        </w:drawing>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7174E8" w:rsidRDefault="007174E8">
      <w:pPr>
        <w:spacing w:line="360" w:lineRule="auto"/>
        <w:ind w:left="567" w:right="539"/>
        <w:jc w:val="both"/>
        <w:rPr>
          <w:rFonts w:ascii="Palatino Linotype" w:eastAsia="Palatino Linotype" w:hAnsi="Palatino Linotype" w:cs="Palatino Linotype"/>
          <w:i/>
          <w:iCs/>
          <w:color w:val="000000"/>
        </w:rPr>
      </w:pPr>
    </w:p>
    <w:p w:rsidR="007174E8" w:rsidRDefault="007174E8">
      <w:pPr>
        <w:spacing w:line="360" w:lineRule="auto"/>
        <w:ind w:left="567" w:right="539"/>
        <w:jc w:val="both"/>
        <w:rPr>
          <w:rFonts w:ascii="Palatino Linotype" w:eastAsia="Palatino Linotype" w:hAnsi="Palatino Linotype" w:cs="Palatino Linotype"/>
          <w:i/>
          <w:iCs/>
          <w:color w:val="000000"/>
        </w:rPr>
      </w:pPr>
    </w:p>
    <w:p w:rsidR="007174E8" w:rsidRDefault="007174E8">
      <w:pPr>
        <w:spacing w:line="360" w:lineRule="auto"/>
        <w:ind w:left="567" w:right="539"/>
        <w:jc w:val="both"/>
        <w:rPr>
          <w:rFonts w:ascii="Palatino Linotype" w:eastAsia="Palatino Linotype" w:hAnsi="Palatino Linotype" w:cs="Palatino Linotype"/>
          <w:i/>
          <w:iCs/>
          <w:color w:val="000000"/>
        </w:rPr>
      </w:pPr>
    </w:p>
    <w:p w:rsidR="007174E8" w:rsidRDefault="007174E8">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Ley Orgánica Municipal del Estado de México</w:t>
      </w:r>
    </w:p>
    <w:p w:rsidR="00057E4F" w:rsidRDefault="00057E4F">
      <w:pPr>
        <w:spacing w:line="360" w:lineRule="auto"/>
        <w:ind w:left="567" w:right="539"/>
        <w:jc w:val="both"/>
        <w:rPr>
          <w:rFonts w:ascii="Palatino Linotype" w:eastAsia="Palatino Linotype" w:hAnsi="Palatino Linotype" w:cs="Palatino Linotype"/>
          <w:b/>
          <w:bCs/>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125</w:t>
      </w:r>
      <w:r>
        <w:rPr>
          <w:rFonts w:ascii="Palatino Linotype" w:eastAsia="Palatino Linotype" w:hAnsi="Palatino Linotype" w:cs="Palatino Linotype"/>
          <w:i/>
          <w:iCs/>
          <w:color w:val="000000"/>
        </w:rPr>
        <w:t>.- Los municipios tendrán a su cargo la prestación, explotación, administración y conservación de los servicios públicos municipales, considerándose enunciativa y no limitativamente, los siguientes:</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 VII…</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VIII. Seguridad pública y tránsito;</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IX a XI…</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142</w:t>
      </w:r>
      <w:r>
        <w:rPr>
          <w:rFonts w:ascii="Palatino Linotype" w:eastAsia="Palatino Linotype" w:hAnsi="Palatino Linotype" w:cs="Palatino Linotype"/>
          <w:i/>
          <w:iCs/>
          <w:color w:val="000000"/>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057E4F" w:rsidRDefault="00057E4F">
      <w:pPr>
        <w:spacing w:line="360" w:lineRule="auto"/>
        <w:ind w:left="567"/>
        <w:jc w:val="both"/>
        <w:rPr>
          <w:rFonts w:ascii="Palatino Linotype" w:eastAsia="Palatino Linotype" w:hAnsi="Palatino Linotype" w:cs="Palatino Linotype"/>
          <w:i/>
          <w:iCs/>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w:t>
      </w:r>
      <w:r>
        <w:rPr>
          <w:rFonts w:ascii="Palatino Linotype" w:eastAsia="Palatino Linotype" w:hAnsi="Palatino Linotype" w:cs="Palatino Linotype"/>
          <w:color w:val="000000"/>
        </w:rPr>
        <w:t>Municipios</w:t>
      </w:r>
      <w:r>
        <w:rPr>
          <w:rFonts w:ascii="Palatino Linotype" w:eastAsia="Palatino Linotype" w:hAnsi="Palatino Linotype" w:cs="Palatino Linotype"/>
        </w:rPr>
        <w:t xml:space="preserve">, a fin que, estos últimos, realicen la integración y actualización de diversas Bases de Datos que integran información de incidencia delictiva; </w:t>
      </w:r>
      <w:r>
        <w:rPr>
          <w:rFonts w:ascii="Palatino Linotype" w:eastAsia="Palatino Linotype" w:hAnsi="Palatino Linotype" w:cs="Palatino Linotype"/>
          <w:i/>
          <w:iCs/>
        </w:rPr>
        <w:t>máxime</w:t>
      </w:r>
      <w:r>
        <w:rPr>
          <w:rFonts w:ascii="Palatino Linotype" w:eastAsia="Palatino Linotype" w:hAnsi="Palatino Linotype" w:cs="Palatino Linotype"/>
        </w:rPr>
        <w:t xml:space="preserve"> que, desde la entrada en vigor de la Ley de Seguridad del Estado de México </w:t>
      </w:r>
      <w:r>
        <w:rPr>
          <w:rFonts w:ascii="Palatino Linotype" w:eastAsia="Palatino Linotype" w:hAnsi="Palatino Linotype" w:cs="Palatino Linotype"/>
          <w:i/>
          <w:iCs/>
        </w:rPr>
        <w:t xml:space="preserve">-el 20 de octubre de 2011- </w:t>
      </w:r>
      <w:r>
        <w:rPr>
          <w:rFonts w:ascii="Palatino Linotype" w:eastAsia="Palatino Linotype" w:hAnsi="Palatino Linotype" w:cs="Palatino Linotype"/>
        </w:rPr>
        <w:t xml:space="preserve">se desprende la atribución expresa para que, el Director de Seguridad </w:t>
      </w:r>
      <w:r>
        <w:rPr>
          <w:rFonts w:ascii="Palatino Linotype" w:eastAsia="Palatino Linotype" w:hAnsi="Palatino Linotype" w:cs="Palatino Linotype"/>
        </w:rPr>
        <w:lastRenderedPageBreak/>
        <w:t>Pública Municipal,</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 entre otras cosas, </w:t>
      </w:r>
      <w:r>
        <w:rPr>
          <w:rFonts w:ascii="Palatino Linotype" w:eastAsia="Palatino Linotype" w:hAnsi="Palatino Linotype" w:cs="Palatino Linotype"/>
          <w:b/>
          <w:bCs/>
        </w:rPr>
        <w:t xml:space="preserve">genere estadística delictiva. </w:t>
      </w:r>
      <w:r>
        <w:rPr>
          <w:rFonts w:ascii="Palatino Linotype" w:eastAsia="Palatino Linotype" w:hAnsi="Palatino Linotype" w:cs="Palatino Linotype"/>
        </w:rPr>
        <w:t xml:space="preserve">Así, la información requerida estriba dentro de las fronteras conceptuales del interés general y el alcance público, esto, de conformidad con los artículos 24, fracción XII y 92, fracción XXXIV de la Ley de Transparencia y Acceso a la Información Pública del Estado de México y Municipios, mismos que son de la literalidad siguiente: </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Artículo 24. Para el cumplimiento de los objetivos de esta Ley, los sujetos obligados deberán cumplir con las siguientes obligaciones, según corresponda, de acuerdo a su naturaleza:</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 XI…</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XII. Publicar y mantener actualizada la información relativa a las obligaciones generales de transparencia previstas en la presente Ley o determinadas así por el Instituto, y en general aquella que sea de interés público;</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XIII a XXV…</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92.</w:t>
      </w:r>
      <w:r>
        <w:rPr>
          <w:rFonts w:ascii="Palatino Linotype" w:eastAsia="Palatino Linotype" w:hAnsi="Palatino Linotype" w:cs="Palatino Linotype"/>
          <w:i/>
          <w:iCs/>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57E4F" w:rsidRDefault="00057E4F">
      <w:pPr>
        <w:spacing w:line="360" w:lineRule="auto"/>
        <w:ind w:left="567" w:right="539"/>
        <w:jc w:val="both"/>
        <w:rPr>
          <w:rFonts w:ascii="Palatino Linotype" w:eastAsia="Palatino Linotype" w:hAnsi="Palatino Linotype" w:cs="Palatino Linotype"/>
          <w:i/>
          <w:iCs/>
          <w:color w:val="000000"/>
        </w:rPr>
      </w:pP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a XXXIII…</w:t>
      </w: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lastRenderedPageBreak/>
        <w:t>XXXIV. Las estadísticas que generen en cumplimiento de sus facultades, competencias o funciones con la mayor desagregación posible.</w:t>
      </w:r>
    </w:p>
    <w:p w:rsidR="00057E4F" w:rsidRDefault="00D80984">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XXXV a LII…</w:t>
      </w:r>
    </w:p>
    <w:p w:rsidR="00057E4F" w:rsidRDefault="00057E4F">
      <w:pPr>
        <w:spacing w:line="360" w:lineRule="auto"/>
        <w:ind w:left="567"/>
        <w:jc w:val="both"/>
        <w:rPr>
          <w:rFonts w:ascii="Palatino Linotype" w:eastAsia="Palatino Linotype" w:hAnsi="Palatino Linotype" w:cs="Palatino Linotype"/>
          <w:i/>
          <w:iCs/>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De forma complementaria, resulta de nuestro particular interés el criterio de interpretación para sujetos obligados histórico, con clave de control S0/011/2009 emitido por el Pleno del hoy Instituto Nacional de Transparencia, Acceso a la Información y Protección de Datos Personales, que a la letra dispone lo siguiente:</w:t>
      </w:r>
    </w:p>
    <w:p w:rsidR="00057E4F" w:rsidRDefault="00D80984">
      <w:pPr>
        <w:spacing w:line="360" w:lineRule="auto"/>
        <w:ind w:left="567" w:right="53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LA INFORMACIÓN ESTADÍSTICA ES DE NATURALEZA PÚBLICA, INDEPENDIENTEMENTE DE LA MATERIA CON LA QUE SE ENCUENTRE VINCULADA. </w:t>
      </w:r>
      <w:r>
        <w:rPr>
          <w:rFonts w:ascii="Palatino Linotype" w:eastAsia="Palatino Linotype" w:hAnsi="Palatino Linotype" w:cs="Palatino Linotype"/>
          <w:i/>
          <w:iCs/>
          <w:color w:val="000000"/>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las cosas, se trae al estudio los Lineamientos para el Llenado, Entrega, Recepción, Registro, Resguardo y Consulta del Informe Policial Homologado;  de los cuales, se inserta lo siguiente:</w:t>
      </w:r>
    </w:p>
    <w:p w:rsidR="00057E4F" w:rsidRDefault="00D80984">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PRIMERO. OBJETO Y ÁMBITO DE APLICACIÓN.</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El Informe Policial Homologado es el medio a través del cual </w:t>
      </w:r>
      <w:r>
        <w:rPr>
          <w:rFonts w:ascii="Palatino Linotype" w:eastAsia="Palatino Linotype" w:hAnsi="Palatino Linotype" w:cs="Palatino Linotype"/>
          <w:b/>
          <w:bCs/>
          <w:i/>
          <w:iCs/>
        </w:rPr>
        <w:t>los integrantes de las instituciones policiales documentan la información relacionada con las puestas a disposición de personas y/o de objetos derivados de su intervención</w:t>
      </w:r>
      <w:r>
        <w:rPr>
          <w:rFonts w:ascii="Palatino Linotype" w:eastAsia="Palatino Linotype" w:hAnsi="Palatino Linotype" w:cs="Palatino Linotype"/>
          <w:i/>
          <w:iCs/>
        </w:rPr>
        <w:t>, a las autoridades competentes.</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El Informe Policial Homologado tiene como objeto eficientar las puestas a disposición, garantizar el debido proceso, y fomentar el uso de la información para acciones de inteligencia.</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Los presentes Lineamientos tienen como objeto señalar los criterios respecto a lo siguiente:</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 a V …</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VI.   Resguardo de la base de datos del IPH en el Sistema Nacional de Información en Seguridad Pública;</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VII a IX…</w:t>
      </w:r>
    </w:p>
    <w:p w:rsidR="00057E4F" w:rsidRDefault="00057E4F">
      <w:pPr>
        <w:spacing w:line="360" w:lineRule="auto"/>
        <w:ind w:right="539"/>
        <w:jc w:val="both"/>
        <w:rPr>
          <w:rFonts w:ascii="Palatino Linotype" w:eastAsia="Palatino Linotype" w:hAnsi="Palatino Linotype" w:cs="Palatino Linotype"/>
          <w:b/>
          <w:bCs/>
          <w:i/>
          <w:iCs/>
        </w:rPr>
      </w:pPr>
    </w:p>
    <w:p w:rsidR="007174E8" w:rsidRDefault="007174E8">
      <w:pPr>
        <w:spacing w:line="360" w:lineRule="auto"/>
        <w:ind w:right="539"/>
        <w:jc w:val="both"/>
        <w:rPr>
          <w:rFonts w:ascii="Palatino Linotype" w:eastAsia="Palatino Linotype" w:hAnsi="Palatino Linotype" w:cs="Palatino Linotype"/>
          <w:b/>
          <w:bCs/>
          <w:i/>
          <w:iCs/>
        </w:rPr>
      </w:pPr>
    </w:p>
    <w:p w:rsidR="007174E8" w:rsidRDefault="007174E8">
      <w:pPr>
        <w:spacing w:line="360" w:lineRule="auto"/>
        <w:ind w:right="539"/>
        <w:jc w:val="both"/>
        <w:rPr>
          <w:rFonts w:ascii="Palatino Linotype" w:eastAsia="Palatino Linotype" w:hAnsi="Palatino Linotype" w:cs="Palatino Linotype"/>
          <w:b/>
          <w:bCs/>
          <w:i/>
          <w:iCs/>
        </w:rPr>
      </w:pPr>
    </w:p>
    <w:p w:rsidR="00057E4F" w:rsidRDefault="00D80984">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SEGUNDO. GLOSARIO DE TÉRMINOS.</w:t>
      </w:r>
    </w:p>
    <w:p w:rsidR="00057E4F" w:rsidRDefault="00057E4F">
      <w:pPr>
        <w:spacing w:line="360" w:lineRule="auto"/>
        <w:ind w:left="567" w:right="539"/>
        <w:jc w:val="both"/>
        <w:rPr>
          <w:rFonts w:ascii="Palatino Linotype" w:eastAsia="Palatino Linotype" w:hAnsi="Palatino Linotype" w:cs="Palatino Linotype"/>
          <w:b/>
          <w:bCs/>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I a IX…</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X. IPH: El Informe Policial Homologado de hechos probablemente delictivos o de infracciones administrativas, mismo que puede ser en versión impresa o electrónica.</w:t>
      </w:r>
    </w:p>
    <w:p w:rsidR="00057E4F" w:rsidRDefault="00057E4F">
      <w:pPr>
        <w:spacing w:line="360" w:lineRule="auto"/>
        <w:ind w:right="539"/>
        <w:jc w:val="both"/>
        <w:rPr>
          <w:rFonts w:ascii="Palatino Linotype" w:eastAsia="Palatino Linotype" w:hAnsi="Palatino Linotype" w:cs="Palatino Linotype"/>
          <w:i/>
          <w:iCs/>
          <w:color w:val="2F2F2F"/>
          <w:highlight w:val="white"/>
        </w:rPr>
      </w:pPr>
    </w:p>
    <w:p w:rsidR="00057E4F" w:rsidRDefault="00D80984">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DÉCIMO TERCERO. ENTREGA Y RECEPCIÓN DEL IPH.</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integrantes de las instituciones policiales de los tres órdenes de gobierno que realicen el llenado del IPH, </w:t>
      </w:r>
      <w:r>
        <w:rPr>
          <w:rFonts w:ascii="Palatino Linotype" w:eastAsia="Palatino Linotype" w:hAnsi="Palatino Linotype" w:cs="Palatino Linotype"/>
          <w:b/>
          <w:bCs/>
          <w:i/>
          <w:iCs/>
        </w:rPr>
        <w:t>deberán entregarlo junto con las personas detenidas y/o arrestadas y/o los objetos asegurados a la autoridad competente</w:t>
      </w:r>
      <w:r>
        <w:rPr>
          <w:rFonts w:ascii="Palatino Linotype" w:eastAsia="Palatino Linotype" w:hAnsi="Palatino Linotype" w:cs="Palatino Linotype"/>
          <w:i/>
          <w:iCs/>
        </w:rPr>
        <w:t>, según se trate de un hecho probablemente delictivo o una infracción administrativa.</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rsidR="00057E4F" w:rsidRDefault="00D80984">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057E4F" w:rsidRDefault="00057E4F">
      <w:pPr>
        <w:spacing w:line="360" w:lineRule="auto"/>
        <w:jc w:val="both"/>
        <w:rPr>
          <w:rFonts w:ascii="Palatino Linotype" w:eastAsia="Palatino Linotype" w:hAnsi="Palatino Linotype" w:cs="Palatino Linotype"/>
          <w:b/>
          <w:bCs/>
          <w:i/>
          <w:iCs/>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hacer más eficiente el debido proceso y fomentar el uso de la información para acciones de inteligencia; </w:t>
      </w:r>
      <w:r>
        <w:rPr>
          <w:rFonts w:ascii="Palatino Linotype" w:eastAsia="Palatino Linotype" w:hAnsi="Palatino Linotype" w:cs="Palatino Linotype"/>
        </w:rPr>
        <w:lastRenderedPageBreak/>
        <w:t xml:space="preserve">por lo tanto, dicho informe únicamente es entregado junto con la persona detenida o bien, con los objetos que fueron asegurados en el hecho y/o acto probablemente constitutivo de delito o bien, infracción administrativa. </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En este orden de ideas, es evidente que el Informe Policial Homologado se entrega en el momento que un elemento policial pone a disposición a una persona u objetos recabados del lugar en el que ocurrieron los hechos delictivos y/o faltas administrativas; por lo tanto, es claro que no en todos los casos en que se conoce de una conducta delictiva y se inicia una carpeta de investigación, o se agrega un informe policial homologado, pues es evidente que existen diversos tipos de delitos que se pueden configurar sin que se genere el informe en comento.</w:t>
      </w:r>
    </w:p>
    <w:p w:rsidR="00057E4F" w:rsidRDefault="00057E4F">
      <w:pPr>
        <w:pBdr>
          <w:top w:val="nil"/>
          <w:left w:val="nil"/>
          <w:bottom w:val="nil"/>
          <w:right w:val="nil"/>
          <w:between w:val="nil"/>
        </w:pBdr>
        <w:ind w:left="720"/>
        <w:rPr>
          <w:rFonts w:ascii="Palatino Linotype" w:eastAsia="Palatino Linotype" w:hAnsi="Palatino Linotype" w:cs="Palatino Linotype"/>
          <w:color w:val="000000"/>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es preciso reiterar que el Particular solicitó información estadística de la incidencia delictiva, lo cual, corresponde únicamente al número de hechos y/o actos de los que se tuvo conocimiento y con base en ello, el Sujeto Obligado no se encuentra constreñido para buscar en el expediente formado si existe o no, el informe policial homologado, esto, en virtud del artículo 12 de la Ley de Transparencia y Acceso a la Información Pública del Estado de México y Municipios, mismo que a la letra estipula lo siguiente:</w:t>
      </w:r>
    </w:p>
    <w:p w:rsidR="00057E4F" w:rsidRDefault="00057E4F">
      <w:pPr>
        <w:spacing w:line="360" w:lineRule="auto"/>
        <w:jc w:val="both"/>
        <w:rPr>
          <w:rFonts w:ascii="Palatino Linotype" w:eastAsia="Palatino Linotype" w:hAnsi="Palatino Linotype" w:cs="Palatino Linotype"/>
        </w:rPr>
      </w:pP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Artículo 12. Quienes generen, recopilen, administren, manejen, procesen, archiven o conserven información pública serán responsables de la misma en los términos de las disposiciones jurídicas aplicables. </w:t>
      </w:r>
    </w:p>
    <w:p w:rsidR="00057E4F" w:rsidRDefault="00057E4F">
      <w:pPr>
        <w:spacing w:line="360" w:lineRule="auto"/>
        <w:ind w:left="567" w:right="539"/>
        <w:jc w:val="both"/>
        <w:rPr>
          <w:rFonts w:ascii="Palatino Linotype" w:eastAsia="Palatino Linotype" w:hAnsi="Palatino Linotype" w:cs="Palatino Linotype"/>
          <w:i/>
          <w:iCs/>
        </w:rPr>
      </w:pPr>
    </w:p>
    <w:p w:rsidR="00057E4F" w:rsidRDefault="00D80984">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57E4F" w:rsidRDefault="00D80984">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En esta tesitura, es claro que el nivel de desagregación que solicita el Particular, confiere al Sujeto Obligado a practicar una investigación dentro de todos los expedientes formados en razón de una denuncia por hechos y/o actos delictivos, para con ello, precisar si se encuentra o no, el informe de policía homologado y en consecuencia, realizar un pronunciamiento</w:t>
      </w:r>
      <w:r>
        <w:rPr>
          <w:rFonts w:ascii="Palatino Linotype" w:eastAsia="Palatino Linotype" w:hAnsi="Palatino Linotype" w:cs="Palatino Linotype"/>
          <w:i/>
          <w:iCs/>
        </w:rPr>
        <w:t xml:space="preserve"> ad hoc</w:t>
      </w:r>
      <w:r>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que por rubro y texto, dispone lo siguiente:.</w:t>
      </w:r>
    </w:p>
    <w:p w:rsidR="00057E4F" w:rsidRDefault="00D80984">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No existe obligación de elaborar documentos ad hoc para atender las solicitudes de acceso a la información. </w:t>
      </w:r>
      <w:r>
        <w:rPr>
          <w:rFonts w:ascii="Palatino Linotype" w:eastAsia="Palatino Linotype" w:hAnsi="Palatino Linotype" w:cs="Palatino Linotype"/>
          <w:i/>
          <w:iCs/>
        </w:rPr>
        <w:t xml:space="preserve">Los artículos 129 de la Ley General de Transparencia y Acceso a la Información Pública y 130, párrafo cuarto, de la Ley Federal de Transparencia y Acceso a la Información Pública, señalan que los sujetos obligados deberán otorgar </w:t>
      </w:r>
      <w:r>
        <w:rPr>
          <w:rFonts w:ascii="Palatino Linotype" w:eastAsia="Palatino Linotype" w:hAnsi="Palatino Linotype" w:cs="Palatino Linotype"/>
          <w:i/>
          <w:iCs/>
        </w:rPr>
        <w:lastRenderedPageBreak/>
        <w:t>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57E4F" w:rsidRDefault="00057E4F">
      <w:pPr>
        <w:spacing w:line="360" w:lineRule="auto"/>
        <w:ind w:left="567"/>
        <w:jc w:val="both"/>
        <w:rPr>
          <w:rFonts w:ascii="Palatino Linotype" w:eastAsia="Palatino Linotype" w:hAnsi="Palatino Linotype" w:cs="Palatino Linotype"/>
          <w:i/>
          <w:iCs/>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tales circunstancias para el caso en particular, este Instituto no encuentra sustento legal que permita ordenar la entrega de la información conforme los intereses del Recurrente. En esa tesitura, recordar que también se requiere se entregue la información en formato abierto como xls o cvs; es decir que puedan ser </w:t>
      </w:r>
      <w:r>
        <w:rPr>
          <w:rFonts w:ascii="Palatino Linotype" w:eastAsia="Palatino Linotype" w:hAnsi="Palatino Linotype" w:cs="Palatino Linotype"/>
          <w:u w:val="single"/>
        </w:rPr>
        <w:t>usados, reutilizados y redistribuidos</w:t>
      </w:r>
      <w:r>
        <w:rPr>
          <w:rFonts w:ascii="Palatino Linotype" w:eastAsia="Palatino Linotype" w:hAnsi="Palatino Linotype" w:cs="Palatino Linotype"/>
        </w:rPr>
        <w:t xml:space="preserve"> libremente por cualquier persona, en cualquier momento y en cualquier lugar.</w:t>
      </w:r>
    </w:p>
    <w:p w:rsidR="00057E4F" w:rsidRDefault="00057E4F">
      <w:pPr>
        <w:spacing w:line="360" w:lineRule="auto"/>
        <w:jc w:val="both"/>
        <w:rPr>
          <w:rFonts w:ascii="Palatino Linotype" w:eastAsia="Palatino Linotype" w:hAnsi="Palatino Linotype" w:cs="Palatino Linotype"/>
          <w:b/>
          <w:bCs/>
          <w:i/>
          <w:iCs/>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Lo anterior, se robustece con lo dispuesto por la Ley de Transparencia y Acceso a la Información Pública del Estado de México y Municipios; la cual establece en su artículo 3°, fracción VIII, lo siguiente:</w:t>
      </w:r>
    </w:p>
    <w:p w:rsidR="00057E4F" w:rsidRDefault="00D80984">
      <w:pPr>
        <w:spacing w:line="360" w:lineRule="auto"/>
        <w:ind w:left="567" w:right="616"/>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Artículo 3. Para los efectos de la presente Ley se entenderá por:</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al VII…</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 Datos abiertos</w:t>
      </w:r>
      <w:r>
        <w:rPr>
          <w:rFonts w:ascii="Palatino Linotype" w:eastAsia="Palatino Linotype" w:hAnsi="Palatino Linotype" w:cs="Palatino Linotype"/>
          <w:i/>
          <w:iCs/>
        </w:rPr>
        <w:t xml:space="preserve">: Los datos digitales de carácter público </w:t>
      </w:r>
      <w:r>
        <w:rPr>
          <w:rFonts w:ascii="Palatino Linotype" w:eastAsia="Palatino Linotype" w:hAnsi="Palatino Linotype" w:cs="Palatino Linotype"/>
          <w:b/>
          <w:bCs/>
          <w:i/>
          <w:iCs/>
        </w:rPr>
        <w:t>que son accesibles</w:t>
      </w:r>
      <w:r>
        <w:rPr>
          <w:rFonts w:ascii="Palatino Linotype" w:eastAsia="Palatino Linotype" w:hAnsi="Palatino Linotype" w:cs="Palatino Linotype"/>
          <w:i/>
          <w:iCs/>
        </w:rPr>
        <w:t xml:space="preserve"> en línea </w:t>
      </w:r>
      <w:r>
        <w:rPr>
          <w:rFonts w:ascii="Palatino Linotype" w:eastAsia="Palatino Linotype" w:hAnsi="Palatino Linotype" w:cs="Palatino Linotype"/>
          <w:b/>
          <w:bCs/>
          <w:i/>
          <w:iCs/>
        </w:rPr>
        <w:t xml:space="preserve">que pueden </w:t>
      </w:r>
      <w:r>
        <w:rPr>
          <w:rFonts w:ascii="Palatino Linotype" w:eastAsia="Palatino Linotype" w:hAnsi="Palatino Linotype" w:cs="Palatino Linotype"/>
          <w:b/>
          <w:bCs/>
          <w:i/>
          <w:iCs/>
          <w:u w:val="single"/>
        </w:rPr>
        <w:t>ser usados, reutilizados y redistribuidos</w:t>
      </w:r>
      <w:r>
        <w:rPr>
          <w:rFonts w:ascii="Palatino Linotype" w:eastAsia="Palatino Linotype" w:hAnsi="Palatino Linotype" w:cs="Palatino Linotype"/>
          <w:i/>
          <w:iCs/>
        </w:rPr>
        <w:t xml:space="preserve"> por cualquier interesado y que tienen las siguientes características:</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 xml:space="preserve">a) Accesibles: </w:t>
      </w:r>
      <w:r>
        <w:rPr>
          <w:rFonts w:ascii="Palatino Linotype" w:eastAsia="Palatino Linotype" w:hAnsi="Palatino Linotype" w:cs="Palatino Linotype"/>
          <w:i/>
          <w:iCs/>
        </w:rPr>
        <w:t>Los datos están disponibles para la gama más amplia de usuarios, para cualquier propósito;</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b) Integrales</w:t>
      </w:r>
      <w:r>
        <w:rPr>
          <w:rFonts w:ascii="Palatino Linotype" w:eastAsia="Palatino Linotype" w:hAnsi="Palatino Linotype" w:cs="Palatino Linotype"/>
          <w:i/>
          <w:iCs/>
        </w:rPr>
        <w:t>: Contienen el tema que describen a detalle y con los metadatos necesarios;</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c) Gratuitos</w:t>
      </w:r>
      <w:r>
        <w:rPr>
          <w:rFonts w:ascii="Palatino Linotype" w:eastAsia="Palatino Linotype" w:hAnsi="Palatino Linotype" w:cs="Palatino Linotype"/>
          <w:i/>
          <w:iCs/>
        </w:rPr>
        <w:t xml:space="preserve">: Se obtienen sin entregar a cambio contraprestación alguna;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d) No discriminatorios:</w:t>
      </w:r>
      <w:r>
        <w:rPr>
          <w:rFonts w:ascii="Palatino Linotype" w:eastAsia="Palatino Linotype" w:hAnsi="Palatino Linotype" w:cs="Palatino Linotype"/>
          <w:i/>
          <w:iCs/>
        </w:rPr>
        <w:t xml:space="preserve"> Los datos están disponibles para cualquier persona, sin necesidad de registro;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e) Oportunos</w:t>
      </w:r>
      <w:r>
        <w:rPr>
          <w:rFonts w:ascii="Palatino Linotype" w:eastAsia="Palatino Linotype" w:hAnsi="Palatino Linotype" w:cs="Palatino Linotype"/>
          <w:i/>
          <w:iCs/>
        </w:rPr>
        <w:t xml:space="preserve">: Son actualizados, periódicamente, conforme se generen;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f) Permanentes</w:t>
      </w:r>
      <w:r>
        <w:rPr>
          <w:rFonts w:ascii="Palatino Linotype" w:eastAsia="Palatino Linotype" w:hAnsi="Palatino Linotype" w:cs="Palatino Linotype"/>
          <w:i/>
          <w:iCs/>
        </w:rPr>
        <w:t xml:space="preserve">: Se conservan en el tiempo, para lo cual, las versiones históricas relevantes para uso público se mantendrán disponibles con identificadores adecuados al efecto;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g) Primarios</w:t>
      </w:r>
      <w:r>
        <w:rPr>
          <w:rFonts w:ascii="Palatino Linotype" w:eastAsia="Palatino Linotype" w:hAnsi="Palatino Linotype" w:cs="Palatino Linotype"/>
          <w:i/>
          <w:iCs/>
        </w:rPr>
        <w:t xml:space="preserve">: Provienen de la fuente de origen con el máximo nivel de desagregación posible;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h) Legibles por máquinas</w:t>
      </w:r>
      <w:r>
        <w:rPr>
          <w:rFonts w:ascii="Palatino Linotype" w:eastAsia="Palatino Linotype" w:hAnsi="Palatino Linotype" w:cs="Palatino Linotype"/>
          <w:i/>
          <w:iCs/>
        </w:rPr>
        <w:t xml:space="preserve">: Deberán estar estructurados, total o parcialmente, para ser procesados e interpretados por equipos electrónicos de manera automática; </w:t>
      </w:r>
    </w:p>
    <w:p w:rsidR="00057E4F" w:rsidRDefault="00D80984">
      <w:pPr>
        <w:spacing w:line="360" w:lineRule="auto"/>
        <w:ind w:left="567" w:right="616"/>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i) En formatos abiertos</w:t>
      </w:r>
      <w:r>
        <w:rPr>
          <w:rFonts w:ascii="Palatino Linotype" w:eastAsia="Palatino Linotype" w:hAnsi="Palatino Linotype" w:cs="Palatino Linotype"/>
          <w:i/>
          <w:iCs/>
        </w:rPr>
        <w:t>: Los datos estarán disponibles c</w:t>
      </w:r>
      <w:r>
        <w:rPr>
          <w:rFonts w:ascii="Palatino Linotype" w:eastAsia="Palatino Linotype" w:hAnsi="Palatino Linotype" w:cs="Palatino Linotype"/>
          <w:b/>
          <w:bCs/>
          <w:i/>
          <w:iCs/>
        </w:rPr>
        <w:t xml:space="preserve">on el conjunto de características técnicas y de presentación </w:t>
      </w:r>
      <w:r>
        <w:rPr>
          <w:rFonts w:ascii="Palatino Linotype" w:eastAsia="Palatino Linotype" w:hAnsi="Palatino Linotype" w:cs="Palatino Linotype"/>
          <w:i/>
          <w:iCs/>
        </w:rPr>
        <w:t xml:space="preserve">que corresponden a la estructura lógica usada para almacenar datos en un archivo digital, </w:t>
      </w:r>
      <w:r>
        <w:rPr>
          <w:rFonts w:ascii="Palatino Linotype" w:eastAsia="Palatino Linotype" w:hAnsi="Palatino Linotype" w:cs="Palatino Linotype"/>
          <w:b/>
          <w:bCs/>
          <w:i/>
          <w:iCs/>
        </w:rPr>
        <w:t>cuyas especificaciones técnicas están disponibles públicamente</w:t>
      </w:r>
      <w:r>
        <w:rPr>
          <w:rFonts w:ascii="Palatino Linotype" w:eastAsia="Palatino Linotype" w:hAnsi="Palatino Linotype" w:cs="Palatino Linotype"/>
          <w:i/>
          <w:iCs/>
        </w:rPr>
        <w:t xml:space="preserve">, que </w:t>
      </w:r>
      <w:r>
        <w:rPr>
          <w:rFonts w:ascii="Palatino Linotype" w:eastAsia="Palatino Linotype" w:hAnsi="Palatino Linotype" w:cs="Palatino Linotype"/>
          <w:b/>
          <w:bCs/>
          <w:i/>
          <w:iCs/>
        </w:rPr>
        <w:t xml:space="preserve">no suponen una dificultad de acceso y </w:t>
      </w:r>
      <w:r>
        <w:rPr>
          <w:rFonts w:ascii="Palatino Linotype" w:eastAsia="Palatino Linotype" w:hAnsi="Palatino Linotype" w:cs="Palatino Linotype"/>
          <w:b/>
          <w:bCs/>
          <w:i/>
          <w:iCs/>
          <w:u w:val="single"/>
        </w:rPr>
        <w:t>que su aplicación y reproducción no estén condicionadas</w:t>
      </w:r>
      <w:r>
        <w:rPr>
          <w:rFonts w:ascii="Palatino Linotype" w:eastAsia="Palatino Linotype" w:hAnsi="Palatino Linotype" w:cs="Palatino Linotype"/>
          <w:b/>
          <w:bCs/>
          <w:i/>
          <w:iCs/>
        </w:rPr>
        <w:t xml:space="preserve"> a contraprestación alguna; y </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j) De libre uso:</w:t>
      </w:r>
      <w:r>
        <w:rPr>
          <w:rFonts w:ascii="Palatino Linotype" w:eastAsia="Palatino Linotype" w:hAnsi="Palatino Linotype" w:cs="Palatino Linotype"/>
          <w:i/>
          <w:iCs/>
        </w:rPr>
        <w:t xml:space="preserve"> Citan la fuente de origen como único requerimiento para ser utilizados libremente.</w:t>
      </w:r>
    </w:p>
    <w:p w:rsidR="00057E4F" w:rsidRDefault="00D80984">
      <w:pPr>
        <w:spacing w:line="360"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IX al XLV…</w:t>
      </w:r>
    </w:p>
    <w:p w:rsidR="00057E4F" w:rsidRDefault="00D80984">
      <w:pPr>
        <w:spacing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lastRenderedPageBreak/>
        <w:t>(Énfasis añadido)</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spacing w:line="360" w:lineRule="auto"/>
        <w:ind w:left="0" w:right="-28" w:firstLine="0"/>
        <w:jc w:val="both"/>
        <w:rPr>
          <w:rFonts w:ascii="Palatino Linotype" w:eastAsia="Palatino Linotype" w:hAnsi="Palatino Linotype" w:cs="Palatino Linotype"/>
        </w:rPr>
      </w:pPr>
      <w:r>
        <w:rPr>
          <w:rFonts w:ascii="Palatino Linotype" w:eastAsia="Palatino Linotype" w:hAnsi="Palatino Linotype" w:cs="Palatino Linotype"/>
        </w:rPr>
        <w:t>Derivado de lo anterior, es dable considerar que los datos abiertos cumplen con la finalidad de poder ser utilizados, reutilizados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y redistribuidos; y que el formato de datos abiertos, debe permitir la aplicación y reproducción de la información sin estar condicionados a contraprestaciones; así pues, se determina que el Particular pretendió acceder a la documentación en un formato que ofreciera identidad con el original y que permitiera la posibilidad de reutilización; lo anterior no debe traducirse en la posibilidad de alteración, edición o modificación del original; entonces, es viable ordenar la entrega de la información en los términos aquí expuestos y en el formato </w:t>
      </w:r>
      <w:r>
        <w:rPr>
          <w:rFonts w:ascii="Palatino Linotype" w:eastAsia="Palatino Linotype" w:hAnsi="Palatino Linotype" w:cs="Palatino Linotype"/>
          <w:i/>
          <w:iCs/>
        </w:rPr>
        <w:t>xls</w:t>
      </w:r>
      <w:r>
        <w:rPr>
          <w:rFonts w:ascii="Palatino Linotype" w:eastAsia="Palatino Linotype" w:hAnsi="Palatino Linotype" w:cs="Palatino Linotype"/>
        </w:rPr>
        <w:t xml:space="preserve"> o </w:t>
      </w:r>
      <w:r>
        <w:rPr>
          <w:rFonts w:ascii="Palatino Linotype" w:eastAsia="Palatino Linotype" w:hAnsi="Palatino Linotype" w:cs="Palatino Linotype"/>
          <w:i/>
          <w:iCs/>
        </w:rPr>
        <w:t>cvs</w:t>
      </w:r>
      <w:r>
        <w:rPr>
          <w:rFonts w:ascii="Palatino Linotype" w:eastAsia="Palatino Linotype" w:hAnsi="Palatino Linotype" w:cs="Palatino Linotype"/>
        </w:rPr>
        <w:t xml:space="preserve"> o en el que se haya generado derivado que no existe una fuente obligacional que constriña al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generarlos en formatos que puntualmente requiere el ahora </w:t>
      </w:r>
      <w:r>
        <w:rPr>
          <w:rFonts w:ascii="Palatino Linotype" w:eastAsia="Palatino Linotype" w:hAnsi="Palatino Linotype" w:cs="Palatino Linotype"/>
          <w:b/>
          <w:bCs/>
        </w:rPr>
        <w:t>RECURRENTE.</w:t>
      </w:r>
    </w:p>
    <w:p w:rsidR="00057E4F" w:rsidRDefault="00057E4F">
      <w:pPr>
        <w:spacing w:line="360" w:lineRule="auto"/>
        <w:ind w:right="-28"/>
        <w:jc w:val="both"/>
        <w:rPr>
          <w:rFonts w:ascii="Palatino Linotype" w:eastAsia="Palatino Linotype" w:hAnsi="Palatino Linotype" w:cs="Palatino Linotype"/>
        </w:rPr>
      </w:pPr>
    </w:p>
    <w:p w:rsidR="00057E4F" w:rsidRDefault="00D80984" w:rsidP="007174E8">
      <w:pPr>
        <w:keepNext/>
        <w:keepLines/>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7" w:name="_heading=h.gbax9kcne9f2" w:colFirst="0" w:colLast="0"/>
      <w:bookmarkEnd w:id="7"/>
      <w:r>
        <w:rPr>
          <w:rFonts w:ascii="Palatino Linotype" w:eastAsia="Palatino Linotype" w:hAnsi="Palatino Linotype" w:cs="Palatino Linotype"/>
          <w:b/>
          <w:bCs/>
          <w:color w:val="000000"/>
        </w:rPr>
        <w:t>Vista al órgano de control interno competente.</w:t>
      </w: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mencionar, que la Ley de Transparencia y Acceso a la Información Pública del Estado de México y Municipios en los artículos 222 fracción I y II, 162 y 59 fracción I y II establecen los siguiente:</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Artículo 222. Son causas de responsabilidad administrativa de los servidores públicos de los sujetos obligados, por incumplimiento de las obligaciones establecidas en la materia de la presente Ley, las siguientes:</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Cualquier acto u omisión que provoque la suspensión o deficiencia en la atención de las solicitudes de información; </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II. La falta de respuesta a las solicitudes de información en los plazos señalados en la normatividad aplicable;</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III. a XXI. …</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57E4F" w:rsidRDefault="00057E4F">
      <w:pPr>
        <w:tabs>
          <w:tab w:val="left" w:pos="284"/>
        </w:tabs>
        <w:spacing w:line="360" w:lineRule="auto"/>
        <w:ind w:left="1134" w:right="900"/>
        <w:jc w:val="both"/>
        <w:rPr>
          <w:rFonts w:ascii="Palatino Linotype" w:eastAsia="Palatino Linotype" w:hAnsi="Palatino Linotype" w:cs="Palatino Linotype"/>
          <w:i/>
          <w:iCs/>
        </w:rPr>
      </w:pP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Artículo 59. Los servidores públicos habilitados tendrán las funciones siguientes:</w:t>
      </w:r>
    </w:p>
    <w:p w:rsidR="00057E4F" w:rsidRDefault="00057E4F">
      <w:pPr>
        <w:tabs>
          <w:tab w:val="left" w:pos="284"/>
        </w:tabs>
        <w:spacing w:line="360" w:lineRule="auto"/>
        <w:ind w:left="1134" w:right="900"/>
        <w:jc w:val="both"/>
        <w:rPr>
          <w:rFonts w:ascii="Palatino Linotype" w:eastAsia="Palatino Linotype" w:hAnsi="Palatino Linotype" w:cs="Palatino Linotype"/>
          <w:i/>
          <w:iCs/>
        </w:rPr>
      </w:pP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Localizar la información que le solicite la Unidad de Transparencia; </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II. Proporcionar la información que obre en los archivos y que le sea solicitada por la Unidad de Transparencia;</w:t>
      </w:r>
    </w:p>
    <w:p w:rsidR="00057E4F" w:rsidRDefault="00D80984">
      <w:pPr>
        <w:tabs>
          <w:tab w:val="left" w:pos="284"/>
        </w:tabs>
        <w:spacing w:line="360" w:lineRule="auto"/>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III. a VII. …”</w:t>
      </w:r>
    </w:p>
    <w:p w:rsidR="00057E4F" w:rsidRDefault="00057E4F">
      <w:pPr>
        <w:tabs>
          <w:tab w:val="left" w:pos="284"/>
        </w:tabs>
        <w:spacing w:line="360" w:lineRule="auto"/>
        <w:ind w:left="567" w:right="567"/>
        <w:jc w:val="both"/>
        <w:rPr>
          <w:rFonts w:ascii="Palatino Linotype" w:eastAsia="Palatino Linotype" w:hAnsi="Palatino Linotype" w:cs="Palatino Linotype"/>
          <w:i/>
          <w:iCs/>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rsidR="00057E4F" w:rsidRDefault="00057E4F">
      <w:pPr>
        <w:tabs>
          <w:tab w:val="left" w:pos="284"/>
        </w:tabs>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rsidR="00057E4F" w:rsidRDefault="00057E4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presente asunto en particular, se tiene que el Titular de la Unidad de Transparencia no turnó la solicitud al Servidor Público Habilitado.</w:t>
      </w:r>
    </w:p>
    <w:p w:rsidR="00057E4F" w:rsidRDefault="00057E4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tiene que el Titular de la Unidad de Transparencia incumplió con sus funciones, atribuciones y competencias, al no dar trámite a la solicitud, lo cual tuvo como consecuencia la falta de respuesta a ambas solicitudes.</w:t>
      </w:r>
    </w:p>
    <w:p w:rsidR="00057E4F" w:rsidRDefault="00057E4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la Secretaría Técnica del Pleno hará del conocimiento del órgano interno de control competente, para que inicie, en su caso, el procedimiento de responsabilidad respectivo.</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Precisado lo anterior, de acuerdo a la naturaleza de la información solicitada se concluye que ésta es de interés general, no obstante como quedo asentado, contiene datos personales, para lo cual se deberá entregar junto con la información el Acuerdo del Comité </w:t>
      </w:r>
      <w:r>
        <w:rPr>
          <w:rFonts w:ascii="Palatino Linotype" w:eastAsia="Palatino Linotype" w:hAnsi="Palatino Linotype" w:cs="Palatino Linotype"/>
          <w:color w:val="000000"/>
        </w:rPr>
        <w:lastRenderedPageBreak/>
        <w:t>de Transparencia en el que de manera fundada y motivada se sustente la clasificación de información.</w:t>
      </w:r>
    </w:p>
    <w:p w:rsidR="00057E4F" w:rsidRDefault="00057E4F">
      <w:pPr>
        <w:spacing w:line="360" w:lineRule="auto"/>
        <w:jc w:val="both"/>
        <w:rPr>
          <w:rFonts w:ascii="Palatino Linotype" w:eastAsia="Palatino Linotype" w:hAnsi="Palatino Linotype" w:cs="Palatino Linotype"/>
          <w:b/>
          <w:bCs/>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términos de lo expuesto, la documentación y aquellos datos que se consideren confidenciales, serán una limitante del derecho de acceso a la información, siempre y cuando:</w:t>
      </w:r>
    </w:p>
    <w:p w:rsidR="00057E4F" w:rsidRDefault="00D80984">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 trate de datos personales o información privada; esto es, información concerniente a una persona física o jurídico colectiva y que ésta sea identificada o identificable. </w:t>
      </w:r>
    </w:p>
    <w:p w:rsidR="00057E4F" w:rsidRDefault="00D80984">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la difusión de los datos, se requiera el consentimiento del titular. </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w:t>
      </w:r>
      <w:r>
        <w:rPr>
          <w:rFonts w:ascii="Palatino Linotype" w:eastAsia="Palatino Linotype" w:hAnsi="Palatino Linotype" w:cs="Palatino Linotype"/>
          <w:color w:val="000000"/>
        </w:rPr>
        <w:lastRenderedPageBreak/>
        <w:t>lealtad, finalidad, proporcionalidad y responsabilidad; además, que dicho tratamiento deberá obedecer exclusivamente a sus atribuciones legales y con el consentimiento de su titular, además de que debe estar justificado en ley (principio de finalidad).</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7174E8" w:rsidRDefault="007174E8" w:rsidP="007174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suerte, las instituciones públicas tienen la doble responsabilidad, por un lado, de proteger los datos personales y por otro, darles publicidad cuando la relevancia de esos datos sea de interés público. En este orden de ideas, toda la información que transparente </w:t>
      </w:r>
      <w:r>
        <w:rPr>
          <w:rFonts w:ascii="Palatino Linotype" w:eastAsia="Palatino Linotype" w:hAnsi="Palatino Linotype" w:cs="Palatino Linotype"/>
          <w:color w:val="000000"/>
        </w:rPr>
        <w:lastRenderedPageBreak/>
        <w:t>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7174E8" w:rsidRDefault="007174E8" w:rsidP="007174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w:t>
      </w:r>
      <w:r>
        <w:rPr>
          <w:rFonts w:ascii="Palatino Linotype" w:eastAsia="Palatino Linotype" w:hAnsi="Palatino Linotype" w:cs="Palatino Linotype"/>
          <w:color w:val="000000"/>
        </w:rPr>
        <w:lastRenderedPageBreak/>
        <w:t>públicos; sin embargo, esto obliga a un ejercicio de ponderación en donde únicamente se privilegie la publicidad de los datos esenciales para la transparencia y rendición de cuentas, sin afectar la vida privada de las personas.</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este esquema, se aprecia que la información ordenada puede contener información susceptible a clasificar como confidencial; de forma enunciativa más no limitativa; se analiza el </w:t>
      </w:r>
      <w:r>
        <w:rPr>
          <w:rFonts w:ascii="Palatino Linotype" w:eastAsia="Palatino Linotype" w:hAnsi="Palatino Linotype" w:cs="Palatino Linotype"/>
          <w:b/>
          <w:bCs/>
          <w:color w:val="000000"/>
        </w:rPr>
        <w:t>domicilio</w:t>
      </w:r>
      <w:r>
        <w:rPr>
          <w:rFonts w:ascii="Palatino Linotype" w:eastAsia="Palatino Linotype" w:hAnsi="Palatino Linotype" w:cs="Palatino Linotype"/>
          <w:color w:val="000000"/>
        </w:rPr>
        <w:t xml:space="preserve"> ello en razón de haber sido requerida puntualmente la ubicación en la solicitud de información.</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w:t>
      </w:r>
      <w:r>
        <w:rPr>
          <w:rFonts w:ascii="Palatino Linotype" w:eastAsia="Palatino Linotype" w:hAnsi="Palatino Linotype" w:cs="Palatino Linotype"/>
          <w:b/>
          <w:bCs/>
          <w:color w:val="000000"/>
        </w:rPr>
        <w:t>, es el lugar donde residen habitualmente, el lugar del centro principal de sus negocios, donde residan o el lugar donde se encuentren.</w:t>
      </w:r>
    </w:p>
    <w:p w:rsidR="00057E4F" w:rsidRDefault="00057E4F">
      <w:pPr>
        <w:spacing w:line="360" w:lineRule="auto"/>
        <w:jc w:val="both"/>
        <w:rPr>
          <w:rFonts w:ascii="Palatino Linotype" w:eastAsia="Palatino Linotype" w:hAnsi="Palatino Linotype" w:cs="Palatino Linotype"/>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r>
        <w:rPr>
          <w:rFonts w:ascii="Palatino Linotype" w:eastAsia="Palatino Linotype" w:hAnsi="Palatino Linotype" w:cs="Palatino Linotype"/>
          <w:color w:val="000000"/>
        </w:rPr>
        <w:lastRenderedPageBreak/>
        <w:t>Por lo tanto, se actualiza la clasificación, de conformidad con la fracción I, del artículo 143 de la Ley de Transparencia y Acceso a la Información Pública del Estado de México y Municipios.</w:t>
      </w:r>
    </w:p>
    <w:p w:rsidR="00057E4F" w:rsidRDefault="00057E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 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3</w:t>
      </w:r>
      <w:r>
        <w:rPr>
          <w:rFonts w:ascii="Palatino Linotype" w:eastAsia="Palatino Linotype" w:hAnsi="Palatino Linotype" w:cs="Palatino Linotype"/>
          <w:i/>
          <w:iCs/>
        </w:rPr>
        <w:t>. Para los efectos de la presente Ley se entenderá por:</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IX. Datos personales</w:t>
      </w:r>
      <w:r>
        <w:rPr>
          <w:rFonts w:ascii="Palatino Linotype" w:eastAsia="Palatino Linotype" w:hAnsi="Palatino Linotype" w:cs="Palatino Linotype"/>
          <w:i/>
          <w:iCs/>
        </w:rPr>
        <w:t xml:space="preserve">: La información concerniente a una persona, identificada o identificable según lo dispuesto por la Ley de Protección de Datos Personales del Estado de México; </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XX. Información clasificada</w:t>
      </w:r>
      <w:r>
        <w:rPr>
          <w:rFonts w:ascii="Palatino Linotype" w:eastAsia="Palatino Linotype" w:hAnsi="Palatino Linotype" w:cs="Palatino Linotype"/>
          <w:i/>
          <w:iCs/>
        </w:rPr>
        <w:t>: Aquella considerada por la presente Ley como reservada o confidencial;</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XXI. Información confidencial</w:t>
      </w:r>
      <w:r>
        <w:rPr>
          <w:rFonts w:ascii="Palatino Linotype" w:eastAsia="Palatino Linotype" w:hAnsi="Palatino Linotype" w:cs="Palatino Linotype"/>
          <w:i/>
          <w:iC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XLV. Versión pública</w:t>
      </w:r>
      <w:r>
        <w:rPr>
          <w:rFonts w:ascii="Palatino Linotype" w:eastAsia="Palatino Linotype" w:hAnsi="Palatino Linotype" w:cs="Palatino Linotype"/>
          <w:i/>
          <w:iCs/>
        </w:rPr>
        <w:t>: Documento en el que se elimine, suprime o borra la información clasificada como reservada o confidencial para permitir su acceso.</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Artículo 91.</w:t>
      </w:r>
      <w:r>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132</w:t>
      </w:r>
      <w:r>
        <w:rPr>
          <w:rFonts w:ascii="Palatino Linotype" w:eastAsia="Palatino Linotype" w:hAnsi="Palatino Linotype" w:cs="Palatino Linotype"/>
          <w:i/>
          <w:iCs/>
        </w:rPr>
        <w:t>. La clasificación de la información se llevará a cabo en el momento en que:</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reciba una solicitud de acceso a la información;</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Se determine mediante resolución de autoridad competente; o</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III.</w:t>
      </w:r>
      <w:r>
        <w:rPr>
          <w:rFonts w:ascii="Palatino Linotype" w:eastAsia="Palatino Linotype" w:hAnsi="Palatino Linotype" w:cs="Palatino Linotype"/>
          <w:i/>
          <w:iCs/>
        </w:rPr>
        <w:t xml:space="preserve"> Se generen versiones públicas para dar cumplimiento a las obligaciones de transparencia previstas en esta Ley.</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143.</w:t>
      </w:r>
      <w:r>
        <w:rPr>
          <w:rFonts w:ascii="Palatino Linotype" w:eastAsia="Palatino Linotype" w:hAnsi="Palatino Linotype" w:cs="Palatino Linotype"/>
          <w:i/>
          <w:iCs/>
        </w:rPr>
        <w:t xml:space="preserve"> Para los efectos de esta Ley se considera información confidencial, la clasificada como tal, de manera permanente, por su naturaleza, cuando:</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refiera a la información privada y los datos personales concernientes a una persona física o jurídico colectiva identificada o identificable;</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b/>
          <w:bCs/>
          <w:i/>
          <w:iCs/>
        </w:rPr>
        <w:t>III.</w:t>
      </w:r>
      <w:r>
        <w:rPr>
          <w:rFonts w:ascii="Palatino Linotype" w:eastAsia="Palatino Linotype" w:hAnsi="Palatino Linotype" w:cs="Palatino Linotype"/>
          <w:i/>
          <w:iCs/>
        </w:rPr>
        <w:t xml:space="preserve"> La que presenten los particulares a los sujetos obligados, de conformidad con lo dispuesto por las leyes o los tratados internacionales.</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rsidR="00057E4F" w:rsidRDefault="00D80984">
      <w:pPr>
        <w:spacing w:line="360" w:lineRule="auto"/>
        <w:ind w:left="850"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No se considerará confidencial la información que se encuentre en los registros públicos o en fuentes de acceso público, ni tampoco la que sea considerada por la presente ley como información pública.”</w:t>
      </w:r>
    </w:p>
    <w:p w:rsidR="00057E4F" w:rsidRDefault="00057E4F">
      <w:pPr>
        <w:spacing w:line="360" w:lineRule="auto"/>
        <w:ind w:left="850" w:right="902"/>
        <w:jc w:val="both"/>
        <w:rPr>
          <w:rFonts w:ascii="Palatino Linotype" w:eastAsia="Palatino Linotype" w:hAnsi="Palatino Linotype" w:cs="Palatino Linotype"/>
          <w:i/>
          <w:iCs/>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57E4F" w:rsidRDefault="00057E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rsidR="00057E4F" w:rsidRDefault="00057E4F">
      <w:pPr>
        <w:pBdr>
          <w:top w:val="nil"/>
          <w:left w:val="nil"/>
          <w:bottom w:val="nil"/>
          <w:right w:val="nil"/>
          <w:between w:val="nil"/>
        </w:pBdr>
        <w:ind w:left="720"/>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se destaca que la versión pública que elabore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el que se expongan los fundamentos y razonamientos que le llevaron a testar, suprimir o eliminar datos de dicho soporte </w:t>
      </w:r>
      <w:r>
        <w:rPr>
          <w:rFonts w:ascii="Palatino Linotype" w:eastAsia="Palatino Linotype" w:hAnsi="Palatino Linotype" w:cs="Palatino Linotype"/>
          <w:color w:val="000000"/>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w:t>
      </w:r>
    </w:p>
    <w:p w:rsidR="007174E8" w:rsidRDefault="007174E8" w:rsidP="007174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57E4F" w:rsidRDefault="00D80984">
      <w:pPr>
        <w:spacing w:line="360" w:lineRule="auto"/>
        <w:ind w:left="850" w:right="901"/>
        <w:jc w:val="center"/>
        <w:rPr>
          <w:rFonts w:ascii="Palatino Linotype" w:eastAsia="Palatino Linotype" w:hAnsi="Palatino Linotype" w:cs="Palatino Linotype"/>
          <w:b/>
          <w:bCs/>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Ley de Transparencia y Acceso a la Información Pública del Estado de México y Municipios</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xml:space="preserve"> Los Comités de Transparencia tendrán las siguientes atribuciones:</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w:t>
      </w:r>
      <w:r>
        <w:rPr>
          <w:rFonts w:ascii="Palatino Linotype" w:eastAsia="Palatino Linotype" w:hAnsi="Palatino Linotype" w:cs="Palatino Linotype"/>
          <w:i/>
          <w:iCs/>
        </w:rPr>
        <w:t>. Aprobar, modificar o revocar la clasificación de la información;</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132.</w:t>
      </w:r>
      <w:r>
        <w:rPr>
          <w:rFonts w:ascii="Palatino Linotype" w:eastAsia="Palatino Linotype" w:hAnsi="Palatino Linotype" w:cs="Palatino Linotype"/>
          <w:i/>
          <w:iCs/>
        </w:rPr>
        <w:t xml:space="preserve"> La clasificación de la información se llevará a cabo en el momento en que:</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I.</w:t>
      </w:r>
      <w:r>
        <w:rPr>
          <w:rFonts w:ascii="Palatino Linotype" w:eastAsia="Palatino Linotype" w:hAnsi="Palatino Linotype" w:cs="Palatino Linotype"/>
          <w:i/>
          <w:iCs/>
        </w:rPr>
        <w:t xml:space="preserve"> Se reciba una solicitud de acceso a la información;</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Se determine mediante resolución de autoridad competente; o</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III</w:t>
      </w:r>
      <w:r>
        <w:rPr>
          <w:rFonts w:ascii="Palatino Linotype" w:eastAsia="Palatino Linotype" w:hAnsi="Palatino Linotype" w:cs="Palatino Linotype"/>
          <w:i/>
          <w:iCs/>
        </w:rPr>
        <w:t>. Se generen versiones públicas para dar cumplimiento a las obligaciones de transparencia previstas en esta Ley.”</w:t>
      </w:r>
    </w:p>
    <w:p w:rsidR="00057E4F" w:rsidRDefault="00D80984">
      <w:pPr>
        <w:spacing w:line="360" w:lineRule="auto"/>
        <w:ind w:left="850" w:right="901"/>
        <w:jc w:val="center"/>
        <w:rPr>
          <w:rFonts w:ascii="Palatino Linotype" w:eastAsia="Palatino Linotype" w:hAnsi="Palatino Linotype" w:cs="Palatino Linotype"/>
          <w:b/>
          <w:bCs/>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Lineamientos Generales en materia de Clasificación y Desclasificación de la Información, así como para la elaboración de Versiones Públicas</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Segundo.-</w:t>
      </w:r>
      <w:r>
        <w:rPr>
          <w:rFonts w:ascii="Palatino Linotype" w:eastAsia="Palatino Linotype" w:hAnsi="Palatino Linotype" w:cs="Palatino Linotype"/>
          <w:i/>
          <w:iCs/>
        </w:rPr>
        <w:t xml:space="preserve"> Para efectos de los presentes Lineamientos Generales, se entenderá por:</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XVIII.</w:t>
      </w:r>
      <w:r>
        <w:rPr>
          <w:rFonts w:ascii="Palatino Linotype" w:eastAsia="Palatino Linotype" w:hAnsi="Palatino Linotype" w:cs="Palatino Linotype"/>
          <w:i/>
          <w:iCs/>
        </w:rPr>
        <w:t xml:space="preserve">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Cuarto.</w:t>
      </w:r>
      <w:r>
        <w:rPr>
          <w:rFonts w:ascii="Palatino Linotype" w:eastAsia="Palatino Linotype" w:hAnsi="Palatino Linotype" w:cs="Palatino Linotype"/>
          <w:i/>
          <w:iC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deberán aplicar, de manera estricta, las excepciones al derecho de acceso a la información y sólo podrán invocarlas cuando acrediten su procedencia.</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Quinto.</w:t>
      </w:r>
      <w:r>
        <w:rPr>
          <w:rFonts w:ascii="Palatino Linotype" w:eastAsia="Palatino Linotype" w:hAnsi="Palatino Linotype" w:cs="Palatino Linotype"/>
          <w:i/>
          <w:iCs/>
        </w:rPr>
        <w:t xml:space="preserve"> La carga de la prueba para justificar toda negativa de acceso a la información, por actualizarse cualquiera de los supuestos de clasificación previstos </w:t>
      </w:r>
      <w:r>
        <w:rPr>
          <w:rFonts w:ascii="Palatino Linotype" w:eastAsia="Palatino Linotype" w:hAnsi="Palatino Linotype" w:cs="Palatino Linotype"/>
          <w:i/>
          <w:iCs/>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Séptimo</w:t>
      </w:r>
      <w:r>
        <w:rPr>
          <w:rFonts w:ascii="Palatino Linotype" w:eastAsia="Palatino Linotype" w:hAnsi="Palatino Linotype" w:cs="Palatino Linotype"/>
          <w:i/>
          <w:iCs/>
        </w:rPr>
        <w:t>. La clasificaci6n de la informaci6n se llevara a cabo en el momento en que:</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Se reciba una solicitud de acceso a la información;</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Se determine mediante resolución del Comité de Transparencia, el Órgano Garante competente, o en cumplimiento a una sentencia del Poder Judicial; </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III.</w:t>
      </w:r>
      <w:r>
        <w:rPr>
          <w:rFonts w:ascii="Palatino Linotype" w:eastAsia="Palatino Linotype" w:hAnsi="Palatino Linotype" w:cs="Palatino Linotype"/>
          <w:i/>
          <w:iCs/>
        </w:rPr>
        <w:t xml:space="preserve"> Se generen versiones públicas para dar cumplimiento a las obligaciones de transparencia previstas en la Ley General, la Ley Federal y las correspondientes de las entidades federativas.</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titulares de las áreas deberán revisar la informaci6n requerida al momento de la recepci6n de una solicitud de acceso, para verificar, conforme a su naturaleza, si encuadra en una causal de reserva o de confidencialidad </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rPr>
        <w:t xml:space="preserve"> </w:t>
      </w:r>
      <w:r>
        <w:rPr>
          <w:rFonts w:ascii="Palatino Linotype" w:eastAsia="Palatino Linotype" w:hAnsi="Palatino Linotype" w:cs="Palatino Linotype"/>
          <w:b/>
          <w:bCs/>
          <w:i/>
          <w:iCs/>
        </w:rPr>
        <w:t>Octavo.</w:t>
      </w:r>
      <w:r>
        <w:rPr>
          <w:rFonts w:ascii="Palatino Linotype" w:eastAsia="Palatino Linotype" w:hAnsi="Palatino Linotype" w:cs="Palatino Linotype"/>
          <w:i/>
          <w:iC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i/>
          <w:iCs/>
        </w:rPr>
        <w:t>Para motivar la clasificaci6n se deberán señalar las razones o circunstancias especiales que lo llevaron a concluir que el caso particular se ajusta al supuesto previsto por la norma legal invocada como fundamento.</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Noveno.</w:t>
      </w:r>
      <w:r>
        <w:rPr>
          <w:rFonts w:ascii="Palatino Linotype" w:eastAsia="Palatino Linotype" w:hAnsi="Palatino Linotype" w:cs="Palatino Linotype"/>
          <w:i/>
          <w:iC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Decimo.</w:t>
      </w:r>
      <w:r>
        <w:rPr>
          <w:rFonts w:ascii="Palatino Linotype" w:eastAsia="Palatino Linotype" w:hAnsi="Palatino Linotype" w:cs="Palatino Linotype"/>
          <w:i/>
          <w:iC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i/>
          <w:iCs/>
        </w:rPr>
        <w:t>En ausencia de los titulares de las áreas, la información será clasificada o desclasificada por la persona que lo supla, en términos de la normativa que rija la actuación del sujeto obligado.</w:t>
      </w:r>
    </w:p>
    <w:p w:rsidR="00057E4F" w:rsidRDefault="00D80984">
      <w:pPr>
        <w:spacing w:line="360" w:lineRule="auto"/>
        <w:ind w:left="850"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Décimo primero.</w:t>
      </w:r>
      <w:r>
        <w:rPr>
          <w:rFonts w:ascii="Palatino Linotype" w:eastAsia="Palatino Linotype" w:hAnsi="Palatino Linotype" w:cs="Palatino Linotype"/>
          <w:i/>
          <w:iCs/>
        </w:rPr>
        <w:t xml:space="preserve"> En el intercambio de información entre sujetos obligados para el ejercicio de sus atribuciones, los documentos que se encuentren clasificados </w:t>
      </w:r>
      <w:r>
        <w:rPr>
          <w:rFonts w:ascii="Palatino Linotype" w:eastAsia="Palatino Linotype" w:hAnsi="Palatino Linotype" w:cs="Palatino Linotype"/>
          <w:i/>
          <w:iCs/>
        </w:rPr>
        <w:lastRenderedPageBreak/>
        <w:t>deberán llevar la leyenda correspondiente de conformidad con lo dispuesto en el Capítulo VIII de los presentes lineamientos.”</w:t>
      </w:r>
    </w:p>
    <w:p w:rsidR="00057E4F" w:rsidRDefault="00057E4F">
      <w:pPr>
        <w:spacing w:line="360" w:lineRule="auto"/>
        <w:ind w:left="850" w:right="901"/>
        <w:jc w:val="both"/>
        <w:rPr>
          <w:rFonts w:ascii="Palatino Linotype" w:eastAsia="Palatino Linotype" w:hAnsi="Palatino Linotype" w:cs="Palatino Linotype"/>
          <w:i/>
          <w:iCs/>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es importante referir que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57E4F" w:rsidRDefault="00057E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la</w:t>
      </w:r>
      <w:r>
        <w:rPr>
          <w:rFonts w:ascii="Palatino Linotype" w:eastAsia="Palatino Linotype" w:hAnsi="Palatino Linotype" w:cs="Palatino Linotype"/>
          <w:b/>
          <w:bCs/>
          <w:color w:val="000000"/>
        </w:rPr>
        <w:t xml:space="preserve"> entrega de documentos en su versión pública debe acompañarse </w:t>
      </w:r>
      <w:r>
        <w:rPr>
          <w:rFonts w:ascii="Palatino Linotype" w:eastAsia="Palatino Linotype" w:hAnsi="Palatino Linotype" w:cs="Palatino Linotype"/>
          <w:color w:val="000000"/>
        </w:rPr>
        <w:t>necesariamente</w:t>
      </w:r>
      <w:r>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w:t>
      </w:r>
      <w:r>
        <w:rPr>
          <w:rFonts w:ascii="Palatino Linotype" w:eastAsia="Palatino Linotype" w:hAnsi="Palatino Linotype" w:cs="Palatino Linotype"/>
          <w:color w:val="000000"/>
        </w:rPr>
        <w:t>fundamentos</w:t>
      </w:r>
      <w:r>
        <w:rPr>
          <w:rFonts w:ascii="Palatino Linotype" w:eastAsia="Palatino Linotype" w:hAnsi="Palatino Linotype" w:cs="Palatino Linotype"/>
          <w:b/>
          <w:bCs/>
          <w:color w:val="000000"/>
        </w:rPr>
        <w:t xml:space="preserve"> y razonamientos que llevaron al Sujeto Obligado a testar, suprimir o eliminar datos de dicho soporte documental</w:t>
      </w:r>
      <w:r>
        <w:rPr>
          <w:rFonts w:ascii="Palatino Linotype" w:eastAsia="Palatino Linotype" w:hAnsi="Palatino Linotype" w:cs="Palatino Linotype"/>
          <w:color w:val="000000"/>
        </w:rPr>
        <w:t xml:space="preserve">, ya que no hacerlo, se reitera que lo entregado no tendría un sustento jurídico ni resultaría ser una versión pública, sino más bien una documentación ilegible, incompleta o tachada; ya que el no justificar las causas o motivos por las que no se </w:t>
      </w:r>
      <w:r>
        <w:rPr>
          <w:rFonts w:ascii="Palatino Linotype" w:eastAsia="Palatino Linotype" w:hAnsi="Palatino Linotype" w:cs="Palatino Linotype"/>
          <w:color w:val="000000"/>
        </w:rPr>
        <w:lastRenderedPageBreak/>
        <w:t>aprecian determinados datos -ya sea porque se testan o suprimen- deja al solicitante en estado de incertidumbre, al no conocer o comprender porque no aparecen en la documentación respectiva.</w:t>
      </w:r>
    </w:p>
    <w:p w:rsidR="00057E4F" w:rsidRDefault="00057E4F">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w:t>
      </w:r>
      <w:r>
        <w:rPr>
          <w:rFonts w:ascii="Palatino Linotype" w:eastAsia="Palatino Linotype" w:hAnsi="Palatino Linotype" w:cs="Palatino Linotype"/>
        </w:rPr>
        <w:t>sujetos</w:t>
      </w:r>
      <w:r>
        <w:rPr>
          <w:rFonts w:ascii="Palatino Linotype" w:eastAsia="Palatino Linotype" w:hAnsi="Palatino Linotype" w:cs="Palatino Linotype"/>
          <w:color w:val="000000"/>
        </w:rPr>
        <w:t xml:space="preserve">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serán responsables de los datos personales en su </w:t>
      </w:r>
      <w:r>
        <w:rPr>
          <w:rFonts w:ascii="Palatino Linotype" w:eastAsia="Palatino Linotype" w:hAnsi="Palatino Linotype" w:cs="Palatino Linotype"/>
        </w:rPr>
        <w:t>posesión</w:t>
      </w:r>
      <w:r>
        <w:rPr>
          <w:rFonts w:ascii="Palatino Linotype" w:eastAsia="Palatino Linotype" w:hAnsi="Palatino Linotype" w:cs="Palatino Linotype"/>
          <w:color w:val="000000"/>
        </w:rPr>
        <w:t xml:space="preserve"> y que, en </w:t>
      </w:r>
      <w:r>
        <w:rPr>
          <w:rFonts w:ascii="Palatino Linotype" w:eastAsia="Palatino Linotype" w:hAnsi="Palatino Linotype" w:cs="Palatino Linotype"/>
        </w:rPr>
        <w:t>caso</w:t>
      </w:r>
      <w:r>
        <w:rPr>
          <w:rFonts w:ascii="Palatino Linotype" w:eastAsia="Palatino Linotype" w:hAnsi="Palatino Linotype" w:cs="Palatino Linotype"/>
          <w:color w:val="000000"/>
        </w:rPr>
        <w:t xml:space="preserve"> de localizarse datos concernientes a terceros, éstos no podrán difundir, </w:t>
      </w:r>
      <w:r>
        <w:rPr>
          <w:rFonts w:ascii="Palatino Linotype" w:eastAsia="Palatino Linotype" w:hAnsi="Palatino Linotype" w:cs="Palatino Linotype"/>
        </w:rPr>
        <w:t>distribuir</w:t>
      </w:r>
      <w:r>
        <w:rPr>
          <w:rFonts w:ascii="Palatino Linotype" w:eastAsia="Palatino Linotype" w:hAnsi="Palatino Linotype" w:cs="Palatino Linotype"/>
          <w:color w:val="000000"/>
        </w:rPr>
        <w:t xml:space="preserve"> o comercializar los datos personales.  Cabe destacar que, para la realización de la clasificación de la información, se deben seguir una serie de pasos y procedimientos, por lo que es menester reiterar los mismos:</w:t>
      </w:r>
    </w:p>
    <w:p w:rsidR="00057E4F" w:rsidRDefault="00057E4F">
      <w:pPr>
        <w:tabs>
          <w:tab w:val="left" w:pos="284"/>
        </w:tabs>
        <w:spacing w:line="360" w:lineRule="auto"/>
        <w:ind w:right="49"/>
        <w:jc w:val="both"/>
        <w:rPr>
          <w:rFonts w:ascii="Palatino Linotype" w:eastAsia="Palatino Linotype" w:hAnsi="Palatino Linotype" w:cs="Palatino Linotype"/>
          <w:color w:val="000000"/>
        </w:rPr>
      </w:pPr>
    </w:p>
    <w:tbl>
      <w:tblPr>
        <w:tblStyle w:val="a3"/>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1"/>
        <w:gridCol w:w="6943"/>
      </w:tblGrid>
      <w:tr w:rsidR="00057E4F" w:rsidTr="007174E8">
        <w:tc>
          <w:tcPr>
            <w:tcW w:w="2691" w:type="dxa"/>
            <w:tcBorders>
              <w:top w:val="single" w:sz="4" w:space="0" w:color="BFBFBF"/>
              <w:left w:val="single" w:sz="4" w:space="0" w:color="BFBFBF"/>
              <w:bottom w:val="single" w:sz="4" w:space="0" w:color="BFBFBF"/>
              <w:right w:val="single" w:sz="4" w:space="0" w:color="BFBFBF"/>
            </w:tcBorders>
          </w:tcPr>
          <w:p w:rsidR="00057E4F" w:rsidRDefault="00D80984" w:rsidP="007174E8">
            <w:pPr>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943"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057E4F" w:rsidRDefault="00D80984" w:rsidP="007174E8">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057E4F" w:rsidRDefault="00057E4F" w:rsidP="007174E8">
            <w:pPr>
              <w:jc w:val="both"/>
              <w:rPr>
                <w:rFonts w:ascii="Palatino Linotype" w:eastAsia="Palatino Linotype" w:hAnsi="Palatino Linotype" w:cs="Palatino Linotype"/>
              </w:rPr>
            </w:pPr>
          </w:p>
        </w:tc>
      </w:tr>
      <w:tr w:rsidR="00057E4F" w:rsidTr="007174E8">
        <w:tc>
          <w:tcPr>
            <w:tcW w:w="2691" w:type="dxa"/>
            <w:tcBorders>
              <w:top w:val="single" w:sz="4" w:space="0" w:color="BFBFBF"/>
              <w:left w:val="single" w:sz="4" w:space="0" w:color="BFBFBF"/>
              <w:bottom w:val="single" w:sz="4" w:space="0" w:color="BFBFBF"/>
              <w:right w:val="single" w:sz="4" w:space="0" w:color="BFBFBF"/>
            </w:tcBorders>
          </w:tcPr>
          <w:p w:rsidR="00057E4F" w:rsidRDefault="00D80984" w:rsidP="007174E8">
            <w:pPr>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943"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57E4F" w:rsidRDefault="00D80984" w:rsidP="007174E8">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057E4F" w:rsidRDefault="00057E4F" w:rsidP="007174E8">
            <w:pPr>
              <w:jc w:val="both"/>
              <w:rPr>
                <w:rFonts w:ascii="Palatino Linotype" w:eastAsia="Palatino Linotype" w:hAnsi="Palatino Linotype" w:cs="Palatino Linotype"/>
              </w:rPr>
            </w:pPr>
          </w:p>
        </w:tc>
      </w:tr>
      <w:tr w:rsidR="00057E4F" w:rsidTr="007174E8">
        <w:tc>
          <w:tcPr>
            <w:tcW w:w="2691" w:type="dxa"/>
            <w:tcBorders>
              <w:top w:val="single" w:sz="4" w:space="0" w:color="BFBFBF"/>
              <w:left w:val="single" w:sz="4" w:space="0" w:color="BFBFBF"/>
              <w:bottom w:val="single" w:sz="4" w:space="0" w:color="BFBFBF"/>
              <w:right w:val="single" w:sz="4" w:space="0" w:color="BFBFBF"/>
            </w:tcBorders>
          </w:tcPr>
          <w:p w:rsidR="00057E4F" w:rsidRDefault="00D80984" w:rsidP="007174E8">
            <w:pPr>
              <w:rPr>
                <w:rFonts w:ascii="Palatino Linotype" w:eastAsia="Palatino Linotype" w:hAnsi="Palatino Linotype" w:cs="Palatino Linotype"/>
              </w:rPr>
            </w:pPr>
            <w:r>
              <w:rPr>
                <w:rFonts w:ascii="Palatino Linotype" w:eastAsia="Palatino Linotype" w:hAnsi="Palatino Linotype" w:cs="Palatino Linotype"/>
              </w:rPr>
              <w:t>c) Formalidades para emitir el acuerdo de clasificación.</w:t>
            </w:r>
          </w:p>
        </w:tc>
        <w:tc>
          <w:tcPr>
            <w:tcW w:w="6943"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rsidR="00057E4F" w:rsidRDefault="00D80984" w:rsidP="007174E8">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057E4F" w:rsidRDefault="00057E4F" w:rsidP="007174E8">
            <w:pPr>
              <w:jc w:val="both"/>
              <w:rPr>
                <w:rFonts w:ascii="Palatino Linotype" w:eastAsia="Palatino Linotype" w:hAnsi="Palatino Linotype" w:cs="Palatino Linotype"/>
              </w:rPr>
            </w:pPr>
          </w:p>
        </w:tc>
      </w:tr>
      <w:tr w:rsidR="00057E4F" w:rsidTr="007174E8">
        <w:tc>
          <w:tcPr>
            <w:tcW w:w="2691" w:type="dxa"/>
            <w:tcBorders>
              <w:top w:val="single" w:sz="4" w:space="0" w:color="BFBFBF"/>
              <w:left w:val="single" w:sz="4" w:space="0" w:color="BFBFBF"/>
              <w:bottom w:val="single" w:sz="4" w:space="0" w:color="BFBFBF"/>
              <w:right w:val="single" w:sz="4" w:space="0" w:color="BFBFBF"/>
            </w:tcBorders>
          </w:tcPr>
          <w:p w:rsidR="00057E4F" w:rsidRDefault="00057E4F" w:rsidP="007174E8">
            <w:pPr>
              <w:rPr>
                <w:rFonts w:ascii="Palatino Linotype" w:eastAsia="Palatino Linotype" w:hAnsi="Palatino Linotype" w:cs="Palatino Linotype"/>
              </w:rPr>
            </w:pPr>
          </w:p>
          <w:p w:rsidR="00057E4F" w:rsidRDefault="00D80984" w:rsidP="007174E8">
            <w:pPr>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943"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Pr>
                <w:rFonts w:ascii="Palatino Linotype" w:eastAsia="Palatino Linotype" w:hAnsi="Palatino Linotype" w:cs="Palatino Linotype"/>
                <w:color w:val="000000"/>
              </w:rPr>
              <w:lastRenderedPageBreak/>
              <w:t>comercial, fiscal, bursátil y postal, cuya titularidad corresponda a particulares, entre otros.</w:t>
            </w:r>
          </w:p>
          <w:p w:rsidR="00057E4F" w:rsidRDefault="00057E4F" w:rsidP="007174E8">
            <w:pPr>
              <w:ind w:right="49"/>
              <w:jc w:val="both"/>
              <w:rPr>
                <w:rFonts w:ascii="Palatino Linotype" w:eastAsia="Palatino Linotype" w:hAnsi="Palatino Linotype" w:cs="Palatino Linotype"/>
                <w:color w:val="000000"/>
              </w:rPr>
            </w:pPr>
          </w:p>
        </w:tc>
      </w:tr>
      <w:tr w:rsidR="00057E4F" w:rsidTr="007174E8">
        <w:tc>
          <w:tcPr>
            <w:tcW w:w="2691"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943" w:type="dxa"/>
            <w:tcBorders>
              <w:top w:val="single" w:sz="4" w:space="0" w:color="BFBFBF"/>
              <w:left w:val="single" w:sz="4" w:space="0" w:color="BFBFBF"/>
              <w:bottom w:val="single" w:sz="4" w:space="0" w:color="BFBFBF"/>
              <w:right w:val="single" w:sz="4" w:space="0" w:color="BFBFBF"/>
            </w:tcBorders>
          </w:tcPr>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057E4F" w:rsidRDefault="00D80984" w:rsidP="007174E8">
            <w:pP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57E4F" w:rsidRDefault="00D80984" w:rsidP="007174E8">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057E4F" w:rsidRDefault="00057E4F" w:rsidP="007174E8">
            <w:pPr>
              <w:rPr>
                <w:rFonts w:ascii="Palatino Linotype" w:eastAsia="Palatino Linotype" w:hAnsi="Palatino Linotype" w:cs="Palatino Linotype"/>
              </w:rPr>
            </w:pPr>
          </w:p>
        </w:tc>
      </w:tr>
    </w:tbl>
    <w:p w:rsidR="00057E4F" w:rsidRDefault="00057E4F">
      <w:pPr>
        <w:tabs>
          <w:tab w:val="left" w:pos="284"/>
        </w:tabs>
        <w:spacing w:line="360" w:lineRule="auto"/>
        <w:rPr>
          <w:rFonts w:ascii="Palatino Linotype" w:eastAsia="Palatino Linotype" w:hAnsi="Palatino Linotype" w:cs="Palatino Linotype"/>
          <w:color w:val="000000"/>
        </w:rPr>
      </w:pPr>
    </w:p>
    <w:p w:rsidR="00057E4F"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Si el </w:t>
      </w:r>
      <w:r>
        <w:rPr>
          <w:rFonts w:ascii="Palatino Linotype" w:eastAsia="Palatino Linotype" w:hAnsi="Palatino Linotype" w:cs="Palatino Linotype"/>
          <w:color w:val="000000"/>
        </w:rPr>
        <w:t>servidor</w:t>
      </w:r>
      <w:r>
        <w:rPr>
          <w:rFonts w:ascii="Palatino Linotype" w:eastAsia="Palatino Linotype" w:hAnsi="Palatino Linotype" w:cs="Palatino Linotype"/>
        </w:rPr>
        <w:t xml:space="preserve"> público incumple con estas formalidades y entrega la información </w:t>
      </w:r>
      <w:r>
        <w:rPr>
          <w:rFonts w:ascii="Palatino Linotype" w:eastAsia="Palatino Linotype" w:hAnsi="Palatino Linotype" w:cs="Palatino Linotype"/>
          <w:color w:val="000000"/>
        </w:rPr>
        <w:t>sin</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proteger</w:t>
      </w:r>
      <w:r>
        <w:rPr>
          <w:rFonts w:ascii="Palatino Linotype" w:eastAsia="Palatino Linotype" w:hAnsi="Palatino Linotype" w:cs="Palatino Linotype"/>
        </w:rPr>
        <w:t xml:space="preserve"> los datos personales incumple con lo que estipula las </w:t>
      </w:r>
      <w:r>
        <w:rPr>
          <w:rFonts w:ascii="Palatino Linotype" w:eastAsia="Palatino Linotype" w:hAnsi="Palatino Linotype" w:cs="Palatino Linotype"/>
          <w:color w:val="000000"/>
        </w:rPr>
        <w:t>disposiciones</w:t>
      </w:r>
      <w:r>
        <w:rPr>
          <w:rFonts w:ascii="Palatino Linotype" w:eastAsia="Palatino Linotype" w:hAnsi="Palatino Linotype" w:cs="Palatino Linotype"/>
        </w:rPr>
        <w:t xml:space="preserve"> legales </w:t>
      </w:r>
      <w:r>
        <w:rPr>
          <w:rFonts w:ascii="Palatino Linotype" w:eastAsia="Palatino Linotype" w:hAnsi="Palatino Linotype" w:cs="Palatino Linotype"/>
          <w:color w:val="000000"/>
        </w:rPr>
        <w:t>establecidas</w:t>
      </w:r>
      <w:r>
        <w:rPr>
          <w:rFonts w:ascii="Palatino Linotype" w:eastAsia="Palatino Linotype" w:hAnsi="Palatino Linotype" w:cs="Palatino Linotype"/>
        </w:rPr>
        <w:t>, asimismo que si entrega un documento testado sin el debido acuerdo de clasificación.</w:t>
      </w:r>
    </w:p>
    <w:p w:rsidR="00057E4F" w:rsidRDefault="00057E4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057E4F" w:rsidRPr="007174E8" w:rsidRDefault="00D80984">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8" w:name="_heading=h.4d34og8" w:colFirst="0" w:colLast="0"/>
      <w:bookmarkEnd w:id="8"/>
      <w:r>
        <w:rPr>
          <w:rFonts w:ascii="Palatino Linotype" w:eastAsia="Palatino Linotype" w:hAnsi="Palatino Linotype" w:cs="Palatino Linotype"/>
          <w:color w:val="222222"/>
        </w:rPr>
        <w:t xml:space="preserve">Por lo anteriormente expuesto y fundado, este </w:t>
      </w:r>
      <w:r>
        <w:rPr>
          <w:rFonts w:ascii="Palatino Linotype" w:eastAsia="Palatino Linotype" w:hAnsi="Palatino Linotype" w:cs="Palatino Linotype"/>
          <w:b/>
          <w:bCs/>
          <w:color w:val="222222"/>
        </w:rPr>
        <w:t>ÓRGANO GARANTE</w:t>
      </w:r>
      <w:r>
        <w:rPr>
          <w:rFonts w:ascii="Palatino Linotype" w:eastAsia="Palatino Linotype" w:hAnsi="Palatino Linotype" w:cs="Palatino Linotype"/>
          <w:color w:val="222222"/>
        </w:rPr>
        <w:t xml:space="preserve"> emite los siguientes: </w:t>
      </w:r>
      <w:r w:rsidR="007174E8">
        <w:rPr>
          <w:rFonts w:ascii="Palatino Linotype" w:eastAsia="Palatino Linotype" w:hAnsi="Palatino Linotype" w:cs="Palatino Linotype"/>
          <w:color w:val="222222"/>
        </w:rPr>
        <w:t>---------------------------------------------------------------------------------------------------------</w:t>
      </w:r>
    </w:p>
    <w:p w:rsidR="007174E8" w:rsidRDefault="007174E8" w:rsidP="007174E8">
      <w:pPr>
        <w:pStyle w:val="Prrafodelista"/>
        <w:rPr>
          <w:rFonts w:ascii="Palatino Linotype" w:eastAsia="Palatino Linotype" w:hAnsi="Palatino Linotype" w:cs="Palatino Linotype"/>
          <w:color w:val="000000"/>
        </w:rPr>
      </w:pPr>
    </w:p>
    <w:p w:rsidR="007174E8" w:rsidRDefault="007174E8" w:rsidP="007174E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057E4F" w:rsidRDefault="00D80984">
      <w:pPr>
        <w:pStyle w:val="Ttulo1"/>
        <w:spacing w:before="0" w:line="360" w:lineRule="auto"/>
        <w:ind w:right="-28"/>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lastRenderedPageBreak/>
        <w:t>R E S O L U T I V O S</w:t>
      </w:r>
    </w:p>
    <w:p w:rsidR="00057E4F" w:rsidRDefault="00057E4F">
      <w:pPr>
        <w:spacing w:line="360" w:lineRule="auto"/>
        <w:ind w:right="-28"/>
        <w:jc w:val="both"/>
        <w:rPr>
          <w:rFonts w:ascii="Palatino Linotype" w:eastAsia="Palatino Linotype" w:hAnsi="Palatino Linotype" w:cs="Palatino Linotype"/>
          <w:b/>
          <w:bCs/>
        </w:rPr>
      </w:pPr>
    </w:p>
    <w:p w:rsidR="00057E4F" w:rsidRDefault="00D80984">
      <w:pPr>
        <w:spacing w:line="360" w:lineRule="auto"/>
        <w:ind w:right="-28"/>
        <w:jc w:val="both"/>
        <w:rPr>
          <w:rFonts w:ascii="Palatino Linotype" w:eastAsia="Palatino Linotype" w:hAnsi="Palatino Linotype" w:cs="Palatino Linotype"/>
        </w:rPr>
      </w:pPr>
      <w:bookmarkStart w:id="9" w:name="_heading=h.30j0zll" w:colFirst="0" w:colLast="0"/>
      <w:bookmarkEnd w:id="9"/>
      <w:r>
        <w:rPr>
          <w:rFonts w:ascii="Palatino Linotype" w:eastAsia="Palatino Linotype" w:hAnsi="Palatino Linotype" w:cs="Palatino Linotype"/>
          <w:b/>
          <w:bCs/>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w:t>
      </w:r>
      <w:r w:rsidR="002412D4">
        <w:rPr>
          <w:rFonts w:ascii="Palatino Linotype" w:eastAsia="Palatino Linotype" w:hAnsi="Palatino Linotype" w:cs="Palatino Linotype"/>
        </w:rPr>
        <w:t>valer en el 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b/>
          <w:bCs/>
        </w:rPr>
        <w:t>06833/INFOEM/IP/RR/2025</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en términos de los</w:t>
      </w:r>
      <w:r>
        <w:rPr>
          <w:rFonts w:ascii="Palatino Linotype" w:eastAsia="Palatino Linotype" w:hAnsi="Palatino Linotype" w:cs="Palatino Linotype"/>
          <w:b/>
          <w:bCs/>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spacing w:line="360" w:lineRule="auto"/>
        <w:ind w:right="-2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SEGUNDO.</w:t>
      </w:r>
      <w:r>
        <w:rPr>
          <w:rFonts w:ascii="Palatino Linotype" w:eastAsia="Palatino Linotype" w:hAnsi="Palatino Linotype" w:cs="Palatino Linotype"/>
          <w:color w:val="2F5496"/>
        </w:rPr>
        <w:t xml:space="preserve"> </w:t>
      </w:r>
      <w:r>
        <w:rPr>
          <w:rFonts w:ascii="Palatino Linotype" w:eastAsia="Palatino Linotype" w:hAnsi="Palatino Linotype" w:cs="Palatino Linotype"/>
        </w:rPr>
        <w:t>Se</w:t>
      </w:r>
      <w:r>
        <w:rPr>
          <w:rFonts w:ascii="Palatino Linotype" w:eastAsia="Palatino Linotype" w:hAnsi="Palatino Linotype" w:cs="Palatino Linotype"/>
          <w:b/>
          <w:bCs/>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bCs/>
        </w:rPr>
        <w:t>Ayuntamiento de Capulhuac</w:t>
      </w:r>
      <w:r>
        <w:rPr>
          <w:rFonts w:ascii="Palatino Linotype" w:eastAsia="Palatino Linotype" w:hAnsi="Palatino Linotype" w:cs="Palatino Linotype"/>
        </w:rPr>
        <w:t xml:space="preserve"> entregar vía Sistema de Accesos a la Información Mexiquense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y</w:t>
      </w:r>
      <w:r>
        <w:rPr>
          <w:rFonts w:ascii="Palatino Linotype" w:eastAsia="Palatino Linotype" w:hAnsi="Palatino Linotype" w:cs="Palatino Linotype"/>
          <w:b/>
          <w:bCs/>
        </w:rPr>
        <w:t xml:space="preserve"> correo electrónico</w:t>
      </w:r>
      <w:r>
        <w:rPr>
          <w:rFonts w:ascii="Palatino Linotype" w:eastAsia="Palatino Linotype" w:hAnsi="Palatino Linotype" w:cs="Palatino Linotype"/>
        </w:rPr>
        <w:t xml:space="preserve">, en versión pública, en formato abierto </w:t>
      </w:r>
      <w:r>
        <w:rPr>
          <w:rFonts w:ascii="Palatino Linotype" w:eastAsia="Palatino Linotype" w:hAnsi="Palatino Linotype" w:cs="Palatino Linotype"/>
          <w:i/>
          <w:iCs/>
        </w:rPr>
        <w:t>xls</w:t>
      </w:r>
      <w:r>
        <w:rPr>
          <w:rFonts w:ascii="Palatino Linotype" w:eastAsia="Palatino Linotype" w:hAnsi="Palatino Linotype" w:cs="Palatino Linotype"/>
        </w:rPr>
        <w:t xml:space="preserve"> o </w:t>
      </w:r>
      <w:r>
        <w:rPr>
          <w:rFonts w:ascii="Palatino Linotype" w:eastAsia="Palatino Linotype" w:hAnsi="Palatino Linotype" w:cs="Palatino Linotype"/>
          <w:i/>
          <w:iCs/>
        </w:rPr>
        <w:t>cvs</w:t>
      </w:r>
      <w:r>
        <w:rPr>
          <w:rFonts w:ascii="Palatino Linotype" w:eastAsia="Palatino Linotype" w:hAnsi="Palatino Linotype" w:cs="Palatino Linotype"/>
        </w:rPr>
        <w:t xml:space="preserve"> o, en el que se haya generado, la siguiente información, del 06 de noviembre de 2024 al 29 de abril de 2025</w:t>
      </w:r>
      <w:r>
        <w:rPr>
          <w:rFonts w:ascii="Palatino Linotype" w:eastAsia="Palatino Linotype" w:hAnsi="Palatino Linotype" w:cs="Palatino Linotype"/>
          <w:b/>
          <w:bCs/>
          <w:color w:val="000000"/>
        </w:rPr>
        <w:t>:</w:t>
      </w:r>
    </w:p>
    <w:p w:rsidR="00057E4F" w:rsidRDefault="00057E4F">
      <w:pPr>
        <w:spacing w:line="360" w:lineRule="auto"/>
        <w:ind w:right="-28"/>
        <w:jc w:val="both"/>
        <w:rPr>
          <w:rFonts w:ascii="Palatino Linotype" w:eastAsia="Palatino Linotype" w:hAnsi="Palatino Linotype" w:cs="Palatino Linotype"/>
          <w:b/>
          <w:bCs/>
          <w:color w:val="000000"/>
        </w:rPr>
      </w:pPr>
    </w:p>
    <w:p w:rsidR="00057E4F" w:rsidRDefault="00D8098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El o los documentos donde conste la incidencia delictiva al mayor grado de desagregación posible; y</w:t>
      </w:r>
    </w:p>
    <w:p w:rsidR="00057E4F" w:rsidRDefault="00057E4F">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rsidR="00057E4F" w:rsidRDefault="00D8098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El o los documentos donde conste la incidencia por faltas administrativas al mayor grado de desagregación posible.</w:t>
      </w:r>
    </w:p>
    <w:p w:rsidR="00057E4F" w:rsidRDefault="00057E4F">
      <w:pPr>
        <w:tabs>
          <w:tab w:val="left" w:pos="8080"/>
        </w:tabs>
        <w:spacing w:line="360" w:lineRule="auto"/>
        <w:ind w:right="49"/>
        <w:jc w:val="both"/>
        <w:rPr>
          <w:rFonts w:ascii="Palatino Linotype" w:eastAsia="Palatino Linotype" w:hAnsi="Palatino Linotype" w:cs="Palatino Linotype"/>
          <w:highlight w:val="yellow"/>
        </w:rPr>
      </w:pPr>
    </w:p>
    <w:p w:rsidR="00057E4F" w:rsidRDefault="00D80984">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rPr>
        <w:t>.</w:t>
      </w:r>
    </w:p>
    <w:p w:rsidR="00057E4F" w:rsidRDefault="00D80984">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tabs>
          <w:tab w:val="left" w:pos="2756"/>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057E4F" w:rsidRDefault="00057E4F">
      <w:pPr>
        <w:spacing w:line="360" w:lineRule="auto"/>
        <w:ind w:right="-28"/>
        <w:jc w:val="both"/>
        <w:rPr>
          <w:rFonts w:ascii="Palatino Linotype" w:eastAsia="Palatino Linotype" w:hAnsi="Palatino Linotype" w:cs="Palatino Linotype"/>
        </w:rPr>
      </w:pPr>
    </w:p>
    <w:p w:rsidR="00057E4F" w:rsidRDefault="00D80984">
      <w:pPr>
        <w:tabs>
          <w:tab w:val="left" w:pos="8080"/>
        </w:tabs>
        <w:spacing w:line="360" w:lineRule="auto"/>
        <w:ind w:right="-28"/>
        <w:jc w:val="both"/>
        <w:rPr>
          <w:rFonts w:ascii="Palatino Linotype" w:eastAsia="Palatino Linotype" w:hAnsi="Palatino Linotype" w:cs="Palatino Linotype"/>
        </w:rPr>
      </w:pPr>
      <w:bookmarkStart w:id="10" w:name="_heading=h.1ksv4uv" w:colFirst="0" w:colLast="0"/>
      <w:bookmarkEnd w:id="10"/>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bCs/>
        </w:rPr>
        <w:t>SAIMEX</w:t>
      </w:r>
      <w:r w:rsidR="002412D4">
        <w:rPr>
          <w:rFonts w:ascii="Palatino Linotype" w:eastAsia="Palatino Linotype" w:hAnsi="Palatino Linotype" w:cs="Palatino Linotype"/>
        </w:rPr>
        <w:t xml:space="preserve"> y </w:t>
      </w:r>
      <w:r w:rsidR="002412D4" w:rsidRPr="002412D4">
        <w:rPr>
          <w:rFonts w:ascii="Palatino Linotype" w:eastAsia="Palatino Linotype" w:hAnsi="Palatino Linotype" w:cs="Palatino Linotype"/>
          <w:b/>
        </w:rPr>
        <w:t>correo electrónico.</w:t>
      </w:r>
    </w:p>
    <w:p w:rsidR="00057E4F" w:rsidRDefault="00057E4F">
      <w:pPr>
        <w:tabs>
          <w:tab w:val="left" w:pos="8080"/>
        </w:tabs>
        <w:spacing w:line="360" w:lineRule="auto"/>
        <w:ind w:right="-28"/>
        <w:jc w:val="both"/>
        <w:rPr>
          <w:rFonts w:ascii="Palatino Linotype" w:eastAsia="Palatino Linotype" w:hAnsi="Palatino Linotype" w:cs="Palatino Linotype"/>
        </w:rPr>
      </w:pPr>
    </w:p>
    <w:p w:rsidR="00057E4F" w:rsidRDefault="00D80984">
      <w:pPr>
        <w:shd w:val="clear" w:color="auto" w:fill="FFFFFF"/>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Se hace del conocimiento del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57E4F" w:rsidRDefault="00057E4F">
      <w:pPr>
        <w:shd w:val="clear" w:color="auto" w:fill="FFFFFF"/>
        <w:spacing w:line="360" w:lineRule="auto"/>
        <w:ind w:right="-28"/>
        <w:jc w:val="both"/>
        <w:rPr>
          <w:rFonts w:ascii="Palatino Linotype" w:eastAsia="Palatino Linotype" w:hAnsi="Palatino Linotype" w:cs="Palatino Linotype"/>
        </w:rPr>
      </w:pPr>
    </w:p>
    <w:p w:rsidR="00057E4F" w:rsidRDefault="00D8098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SÉPTIMO</w:t>
      </w:r>
      <w:r>
        <w:rPr>
          <w:rFonts w:ascii="Palatino Linotype" w:eastAsia="Palatino Linotype" w:hAnsi="Palatino Linotype" w:cs="Palatino Linotype"/>
        </w:rPr>
        <w:t xml:space="preserve">. Hágase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que la respuesta que dé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Pr>
          <w:rFonts w:ascii="Palatino Linotype" w:eastAsia="Palatino Linotype" w:hAnsi="Palatino Linotype" w:cs="Palatino Linotype"/>
        </w:rPr>
        <w:tab/>
      </w:r>
    </w:p>
    <w:p w:rsidR="00057E4F" w:rsidRDefault="00057E4F">
      <w:pPr>
        <w:shd w:val="clear" w:color="auto" w:fill="FFFFFF"/>
        <w:spacing w:line="360" w:lineRule="auto"/>
        <w:ind w:right="-28"/>
        <w:jc w:val="both"/>
        <w:rPr>
          <w:rFonts w:ascii="Palatino Linotype" w:eastAsia="Palatino Linotype" w:hAnsi="Palatino Linotype" w:cs="Palatino Linotype"/>
        </w:rPr>
      </w:pPr>
    </w:p>
    <w:p w:rsidR="00057E4F" w:rsidRDefault="00D8098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OCTAVO. Gírese </w:t>
      </w:r>
      <w:r>
        <w:rPr>
          <w:rFonts w:ascii="Palatino Linotype" w:eastAsia="Palatino Linotype" w:hAnsi="Palatino Linotype" w:cs="Palatino Linotype"/>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057E4F" w:rsidRDefault="00057E4F">
      <w:pPr>
        <w:shd w:val="clear" w:color="auto" w:fill="FFFFFF"/>
        <w:spacing w:line="360" w:lineRule="auto"/>
        <w:ind w:right="-28"/>
        <w:jc w:val="both"/>
        <w:rPr>
          <w:rFonts w:ascii="Palatino Linotype" w:eastAsia="Palatino Linotype" w:hAnsi="Palatino Linotype" w:cs="Palatino Linotype"/>
        </w:rPr>
      </w:pPr>
    </w:p>
    <w:p w:rsidR="00756D0C" w:rsidRDefault="00756D0C" w:rsidP="00756D0C">
      <w:pPr>
        <w:spacing w:before="240" w:after="240" w:line="360" w:lineRule="auto"/>
        <w:ind w:firstLine="1"/>
        <w:jc w:val="both"/>
        <w:rPr>
          <w:rFonts w:ascii="Palatino Linotype" w:hAnsi="Palatino Linotype"/>
        </w:rPr>
      </w:pPr>
      <w:bookmarkStart w:id="11" w:name="_Hlk99014733"/>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304B6">
        <w:rPr>
          <w:rFonts w:ascii="Palatino Linotype" w:hAnsi="Palatino Linotype" w:cs="Palatino Linotype"/>
          <w:color w:val="000000" w:themeColor="text1"/>
        </w:rPr>
        <w:t>ALEXIS TAPIA RAMÍREZ.</w:t>
      </w:r>
    </w:p>
    <w:bookmarkEnd w:id="11"/>
    <w:p w:rsidR="00057E4F" w:rsidRDefault="00057E4F">
      <w:pPr>
        <w:spacing w:line="360" w:lineRule="auto"/>
        <w:ind w:right="-28"/>
        <w:jc w:val="both"/>
        <w:rPr>
          <w:rFonts w:ascii="Palatino Linotype" w:eastAsia="Palatino Linotype" w:hAnsi="Palatino Linotype" w:cs="Palatino Linotype"/>
          <w:color w:val="222222"/>
        </w:rPr>
      </w:pPr>
    </w:p>
    <w:p w:rsidR="00057E4F" w:rsidRDefault="00057E4F">
      <w:pPr>
        <w:spacing w:line="360" w:lineRule="auto"/>
        <w:ind w:right="-28"/>
        <w:jc w:val="both"/>
        <w:rPr>
          <w:rFonts w:ascii="Palatino Linotype" w:eastAsia="Palatino Linotype" w:hAnsi="Palatino Linotype" w:cs="Palatino Linotype"/>
          <w:color w:val="222222"/>
        </w:rPr>
      </w:pPr>
    </w:p>
    <w:p w:rsidR="00057E4F" w:rsidRDefault="00057E4F">
      <w:pPr>
        <w:spacing w:line="360" w:lineRule="auto"/>
        <w:ind w:right="-28"/>
        <w:jc w:val="both"/>
        <w:rPr>
          <w:rFonts w:ascii="Palatino Linotype" w:eastAsia="Palatino Linotype" w:hAnsi="Palatino Linotype" w:cs="Palatino Linotype"/>
          <w:color w:val="222222"/>
        </w:rPr>
      </w:pPr>
    </w:p>
    <w:p w:rsidR="00057E4F" w:rsidRDefault="00057E4F">
      <w:pPr>
        <w:spacing w:line="360" w:lineRule="auto"/>
        <w:ind w:right="-28"/>
        <w:jc w:val="both"/>
        <w:rPr>
          <w:rFonts w:ascii="Palatino Linotype" w:eastAsia="Palatino Linotype" w:hAnsi="Palatino Linotype" w:cs="Palatino Linotype"/>
          <w:color w:val="222222"/>
        </w:rPr>
      </w:pPr>
    </w:p>
    <w:p w:rsidR="00057E4F" w:rsidRDefault="00057E4F">
      <w:pPr>
        <w:spacing w:line="360" w:lineRule="auto"/>
        <w:ind w:right="-28"/>
        <w:jc w:val="both"/>
        <w:rPr>
          <w:rFonts w:ascii="Palatino Linotype" w:eastAsia="Palatino Linotype" w:hAnsi="Palatino Linotype" w:cs="Palatino Linotype"/>
          <w:color w:val="222222"/>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p w:rsidR="00057E4F" w:rsidRDefault="00057E4F">
      <w:pPr>
        <w:spacing w:line="360" w:lineRule="auto"/>
        <w:ind w:right="-28"/>
        <w:rPr>
          <w:rFonts w:ascii="Palatino Linotype" w:eastAsia="Palatino Linotype" w:hAnsi="Palatino Linotype" w:cs="Palatino Linotype"/>
        </w:rPr>
      </w:pPr>
    </w:p>
    <w:sectPr w:rsidR="00057E4F" w:rsidSect="007174E8">
      <w:headerReference w:type="even" r:id="rId10"/>
      <w:headerReference w:type="default" r:id="rId11"/>
      <w:footerReference w:type="default" r:id="rId12"/>
      <w:headerReference w:type="first" r:id="rId13"/>
      <w:footerReference w:type="first" r:id="rId14"/>
      <w:pgSz w:w="12240" w:h="15840"/>
      <w:pgMar w:top="80" w:right="1041"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AD6" w:rsidRDefault="00132AD6">
      <w:r>
        <w:separator/>
      </w:r>
    </w:p>
  </w:endnote>
  <w:endnote w:type="continuationSeparator" w:id="0">
    <w:p w:rsidR="00132AD6" w:rsidRDefault="0013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B23326A-0E7D-40B2-ACC4-8C948105876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727D4FE-A1E6-485A-BB22-A6EBB28D67FA}"/>
    <w:embedBold r:id="rId3" w:fontKey="{CBF57D35-13FE-45E2-9C58-AE4C04902A90}"/>
    <w:embedItalic r:id="rId4" w:fontKey="{7F9466C1-4449-47A0-B49D-B4A7D5D30950}"/>
    <w:embedBoldItalic r:id="rId5" w:fontKey="{AAB2DED1-50E2-4F53-9C87-5F21C49F4F5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7EF4AD20-E061-46EC-A2D6-0CCA1168D4D8}"/>
    <w:embedItalic r:id="rId7" w:fontKey="{6AD59D0D-40AD-4941-AE80-1DDEEF254837}"/>
  </w:font>
  <w:font w:name="Calibri Light">
    <w:panose1 w:val="020F0302020204030204"/>
    <w:charset w:val="00"/>
    <w:family w:val="swiss"/>
    <w:pitch w:val="variable"/>
    <w:sig w:usb0="E4002EFF" w:usb1="C200247B" w:usb2="00000009" w:usb3="00000000" w:csb0="000001FF" w:csb1="00000000"/>
    <w:embedRegular r:id="rId8" w:fontKey="{6ED23DB6-A674-4EC9-89A5-6A816FABA9E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525A470D-D16C-4CA7-9C9E-379B3D92BBB4}"/>
  </w:font>
  <w:font w:name="Garamond">
    <w:panose1 w:val="02020404030301010803"/>
    <w:charset w:val="00"/>
    <w:family w:val="roman"/>
    <w:pitch w:val="variable"/>
    <w:sig w:usb0="00000287" w:usb1="00000000" w:usb2="00000000" w:usb3="00000000" w:csb0="0000009F" w:csb1="00000000"/>
    <w:embedRegular r:id="rId10" w:fontKey="{B858DE55-F957-4E0B-8DAA-F15CC3518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E4F" w:rsidRDefault="00057E4F">
    <w:pPr>
      <w:pBdr>
        <w:top w:val="nil"/>
        <w:left w:val="nil"/>
        <w:bottom w:val="nil"/>
        <w:right w:val="nil"/>
        <w:between w:val="nil"/>
      </w:pBdr>
      <w:tabs>
        <w:tab w:val="center" w:pos="4419"/>
        <w:tab w:val="right" w:pos="8838"/>
      </w:tabs>
      <w:jc w:val="right"/>
      <w:rPr>
        <w:color w:val="000000"/>
      </w:rPr>
    </w:pPr>
  </w:p>
  <w:p w:rsidR="00057E4F" w:rsidRPr="007174E8" w:rsidRDefault="00D80984">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7174E8">
      <w:rPr>
        <w:rFonts w:ascii="Palatino Linotype" w:hAnsi="Palatino Linotype"/>
        <w:color w:val="000000"/>
        <w:sz w:val="22"/>
      </w:rPr>
      <w:t xml:space="preserve">Página </w:t>
    </w:r>
    <w:r w:rsidRPr="007174E8">
      <w:rPr>
        <w:rFonts w:ascii="Palatino Linotype" w:hAnsi="Palatino Linotype"/>
        <w:b/>
        <w:bCs/>
        <w:color w:val="000000"/>
        <w:sz w:val="22"/>
      </w:rPr>
      <w:fldChar w:fldCharType="begin"/>
    </w:r>
    <w:r w:rsidRPr="007174E8">
      <w:rPr>
        <w:rFonts w:ascii="Palatino Linotype" w:hAnsi="Palatino Linotype"/>
        <w:b/>
        <w:bCs/>
        <w:color w:val="000000"/>
        <w:sz w:val="22"/>
      </w:rPr>
      <w:instrText>PAGE</w:instrText>
    </w:r>
    <w:r w:rsidRPr="007174E8">
      <w:rPr>
        <w:rFonts w:ascii="Palatino Linotype" w:hAnsi="Palatino Linotype"/>
        <w:b/>
        <w:bCs/>
        <w:color w:val="000000"/>
        <w:sz w:val="22"/>
      </w:rPr>
      <w:fldChar w:fldCharType="separate"/>
    </w:r>
    <w:r w:rsidR="00C85AE8">
      <w:rPr>
        <w:rFonts w:ascii="Palatino Linotype" w:hAnsi="Palatino Linotype"/>
        <w:b/>
        <w:bCs/>
        <w:noProof/>
        <w:color w:val="000000"/>
        <w:sz w:val="22"/>
      </w:rPr>
      <w:t>21</w:t>
    </w:r>
    <w:r w:rsidRPr="007174E8">
      <w:rPr>
        <w:rFonts w:ascii="Palatino Linotype" w:hAnsi="Palatino Linotype"/>
        <w:b/>
        <w:bCs/>
        <w:color w:val="000000"/>
        <w:sz w:val="22"/>
      </w:rPr>
      <w:fldChar w:fldCharType="end"/>
    </w:r>
    <w:r w:rsidRPr="007174E8">
      <w:rPr>
        <w:rFonts w:ascii="Palatino Linotype" w:hAnsi="Palatino Linotype"/>
        <w:color w:val="000000"/>
        <w:sz w:val="22"/>
      </w:rPr>
      <w:t xml:space="preserve"> de </w:t>
    </w:r>
    <w:r w:rsidRPr="007174E8">
      <w:rPr>
        <w:rFonts w:ascii="Palatino Linotype" w:hAnsi="Palatino Linotype"/>
        <w:b/>
        <w:bCs/>
        <w:color w:val="000000"/>
        <w:sz w:val="22"/>
      </w:rPr>
      <w:fldChar w:fldCharType="begin"/>
    </w:r>
    <w:r w:rsidRPr="007174E8">
      <w:rPr>
        <w:rFonts w:ascii="Palatino Linotype" w:hAnsi="Palatino Linotype"/>
        <w:b/>
        <w:bCs/>
        <w:color w:val="000000"/>
        <w:sz w:val="22"/>
      </w:rPr>
      <w:instrText>NUMPAGES</w:instrText>
    </w:r>
    <w:r w:rsidRPr="007174E8">
      <w:rPr>
        <w:rFonts w:ascii="Palatino Linotype" w:hAnsi="Palatino Linotype"/>
        <w:b/>
        <w:bCs/>
        <w:color w:val="000000"/>
        <w:sz w:val="22"/>
      </w:rPr>
      <w:fldChar w:fldCharType="separate"/>
    </w:r>
    <w:r w:rsidR="00C85AE8">
      <w:rPr>
        <w:rFonts w:ascii="Palatino Linotype" w:hAnsi="Palatino Linotype"/>
        <w:b/>
        <w:bCs/>
        <w:noProof/>
        <w:color w:val="000000"/>
        <w:sz w:val="22"/>
      </w:rPr>
      <w:t>52</w:t>
    </w:r>
    <w:r w:rsidRPr="007174E8">
      <w:rPr>
        <w:rFonts w:ascii="Palatino Linotype" w:hAnsi="Palatino Linotype"/>
        <w:b/>
        <w:bCs/>
        <w:color w:val="000000"/>
        <w:sz w:val="22"/>
      </w:rPr>
      <w:fldChar w:fldCharType="end"/>
    </w:r>
  </w:p>
  <w:p w:rsidR="00057E4F" w:rsidRDefault="00057E4F">
    <w:pPr>
      <w:pBdr>
        <w:top w:val="nil"/>
        <w:left w:val="nil"/>
        <w:bottom w:val="nil"/>
        <w:right w:val="nil"/>
        <w:between w:val="nil"/>
      </w:pBdr>
      <w:tabs>
        <w:tab w:val="center" w:pos="4419"/>
        <w:tab w:val="right" w:pos="8838"/>
      </w:tabs>
      <w:rPr>
        <w:color w:val="000000"/>
      </w:rPr>
    </w:pPr>
  </w:p>
  <w:p w:rsidR="00057E4F" w:rsidRDefault="00057E4F"/>
  <w:p w:rsidR="00057E4F" w:rsidRDefault="00057E4F"/>
  <w:p w:rsidR="00057E4F" w:rsidRDefault="00057E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E4F" w:rsidRPr="007174E8" w:rsidRDefault="00D8098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7174E8">
      <w:rPr>
        <w:rFonts w:ascii="Palatino Linotype" w:hAnsi="Palatino Linotype"/>
        <w:b/>
        <w:color w:val="000000"/>
        <w:sz w:val="22"/>
      </w:rPr>
      <w:t xml:space="preserve">Página </w:t>
    </w:r>
    <w:r w:rsidRPr="007174E8">
      <w:rPr>
        <w:rFonts w:ascii="Palatino Linotype" w:hAnsi="Palatino Linotype"/>
        <w:b/>
        <w:bCs/>
        <w:color w:val="000000"/>
        <w:sz w:val="22"/>
      </w:rPr>
      <w:fldChar w:fldCharType="begin"/>
    </w:r>
    <w:r w:rsidRPr="007174E8">
      <w:rPr>
        <w:rFonts w:ascii="Palatino Linotype" w:hAnsi="Palatino Linotype"/>
        <w:b/>
        <w:bCs/>
        <w:color w:val="000000"/>
        <w:sz w:val="22"/>
      </w:rPr>
      <w:instrText>PAGE</w:instrText>
    </w:r>
    <w:r w:rsidRPr="007174E8">
      <w:rPr>
        <w:rFonts w:ascii="Palatino Linotype" w:hAnsi="Palatino Linotype"/>
        <w:b/>
        <w:bCs/>
        <w:color w:val="000000"/>
        <w:sz w:val="22"/>
      </w:rPr>
      <w:fldChar w:fldCharType="separate"/>
    </w:r>
    <w:r w:rsidR="00C85AE8">
      <w:rPr>
        <w:rFonts w:ascii="Palatino Linotype" w:hAnsi="Palatino Linotype"/>
        <w:b/>
        <w:bCs/>
        <w:noProof/>
        <w:color w:val="000000"/>
        <w:sz w:val="22"/>
      </w:rPr>
      <w:t>1</w:t>
    </w:r>
    <w:r w:rsidRPr="007174E8">
      <w:rPr>
        <w:rFonts w:ascii="Palatino Linotype" w:hAnsi="Palatino Linotype"/>
        <w:b/>
        <w:bCs/>
        <w:color w:val="000000"/>
        <w:sz w:val="22"/>
      </w:rPr>
      <w:fldChar w:fldCharType="end"/>
    </w:r>
    <w:r w:rsidRPr="007174E8">
      <w:rPr>
        <w:rFonts w:ascii="Palatino Linotype" w:hAnsi="Palatino Linotype"/>
        <w:b/>
        <w:color w:val="000000"/>
        <w:sz w:val="22"/>
      </w:rPr>
      <w:t xml:space="preserve"> de </w:t>
    </w:r>
    <w:r w:rsidRPr="007174E8">
      <w:rPr>
        <w:rFonts w:ascii="Palatino Linotype" w:hAnsi="Palatino Linotype"/>
        <w:b/>
        <w:bCs/>
        <w:color w:val="000000"/>
        <w:sz w:val="22"/>
      </w:rPr>
      <w:fldChar w:fldCharType="begin"/>
    </w:r>
    <w:r w:rsidRPr="007174E8">
      <w:rPr>
        <w:rFonts w:ascii="Palatino Linotype" w:hAnsi="Palatino Linotype"/>
        <w:b/>
        <w:bCs/>
        <w:color w:val="000000"/>
        <w:sz w:val="22"/>
      </w:rPr>
      <w:instrText>NUMPAGES</w:instrText>
    </w:r>
    <w:r w:rsidRPr="007174E8">
      <w:rPr>
        <w:rFonts w:ascii="Palatino Linotype" w:hAnsi="Palatino Linotype"/>
        <w:b/>
        <w:bCs/>
        <w:color w:val="000000"/>
        <w:sz w:val="22"/>
      </w:rPr>
      <w:fldChar w:fldCharType="separate"/>
    </w:r>
    <w:r w:rsidR="00C85AE8">
      <w:rPr>
        <w:rFonts w:ascii="Palatino Linotype" w:hAnsi="Palatino Linotype"/>
        <w:b/>
        <w:bCs/>
        <w:noProof/>
        <w:color w:val="000000"/>
        <w:sz w:val="22"/>
      </w:rPr>
      <w:t>52</w:t>
    </w:r>
    <w:r w:rsidRPr="007174E8">
      <w:rPr>
        <w:rFonts w:ascii="Palatino Linotype" w:hAnsi="Palatino Linotype"/>
        <w:b/>
        <w:bCs/>
        <w:color w:val="000000"/>
        <w:sz w:val="22"/>
      </w:rPr>
      <w:fldChar w:fldCharType="end"/>
    </w:r>
  </w:p>
  <w:p w:rsidR="00057E4F" w:rsidRDefault="00057E4F">
    <w:pPr>
      <w:pBdr>
        <w:top w:val="nil"/>
        <w:left w:val="nil"/>
        <w:bottom w:val="nil"/>
        <w:right w:val="nil"/>
        <w:between w:val="nil"/>
      </w:pBdr>
      <w:tabs>
        <w:tab w:val="center" w:pos="4419"/>
        <w:tab w:val="right" w:pos="8838"/>
      </w:tabs>
      <w:rPr>
        <w:color w:val="000000"/>
      </w:rPr>
    </w:pPr>
  </w:p>
  <w:p w:rsidR="00057E4F" w:rsidRDefault="00057E4F"/>
  <w:p w:rsidR="00057E4F" w:rsidRDefault="00057E4F"/>
  <w:p w:rsidR="00057E4F" w:rsidRDefault="00057E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AD6" w:rsidRDefault="00132AD6">
      <w:r>
        <w:separator/>
      </w:r>
    </w:p>
  </w:footnote>
  <w:footnote w:type="continuationSeparator" w:id="0">
    <w:p w:rsidR="00132AD6" w:rsidRDefault="00132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E4F" w:rsidRDefault="00132AD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057E4F" w:rsidRDefault="00057E4F"/>
  <w:p w:rsidR="00057E4F" w:rsidRDefault="00057E4F"/>
  <w:p w:rsidR="00057E4F" w:rsidRDefault="00057E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9781" w:type="dxa"/>
      <w:tblInd w:w="0" w:type="dxa"/>
      <w:tblLayout w:type="fixed"/>
      <w:tblLook w:val="0400" w:firstRow="0" w:lastRow="0" w:firstColumn="0" w:lastColumn="0" w:noHBand="0" w:noVBand="1"/>
    </w:tblPr>
    <w:tblGrid>
      <w:gridCol w:w="1843"/>
      <w:gridCol w:w="7938"/>
    </w:tblGrid>
    <w:tr w:rsidR="00057E4F" w:rsidTr="007174E8">
      <w:trPr>
        <w:trHeight w:val="1435"/>
      </w:trPr>
      <w:tc>
        <w:tcPr>
          <w:tcW w:w="1843" w:type="dxa"/>
          <w:shd w:val="clear" w:color="auto" w:fill="auto"/>
        </w:tcPr>
        <w:p w:rsidR="00057E4F" w:rsidRDefault="00D80984">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938" w:type="dxa"/>
          <w:shd w:val="clear" w:color="auto" w:fill="auto"/>
        </w:tcPr>
        <w:tbl>
          <w:tblPr>
            <w:tblStyle w:val="a5"/>
            <w:tblW w:w="7087" w:type="dxa"/>
            <w:tblInd w:w="1586"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057E4F" w:rsidTr="007174E8">
            <w:trPr>
              <w:trHeight w:val="338"/>
            </w:trPr>
            <w:tc>
              <w:tcPr>
                <w:tcW w:w="2693" w:type="dxa"/>
              </w:tcPr>
              <w:p w:rsidR="00057E4F" w:rsidRPr="007174E8" w:rsidRDefault="00D80984">
                <w:pPr>
                  <w:tabs>
                    <w:tab w:val="right" w:pos="8838"/>
                  </w:tabs>
                  <w:ind w:right="-105"/>
                  <w:rPr>
                    <w:rFonts w:ascii="Palatino Linotype" w:eastAsia="Palatino Linotype" w:hAnsi="Palatino Linotype" w:cs="Palatino Linotype"/>
                    <w:b/>
                    <w:bCs/>
                    <w:szCs w:val="22"/>
                  </w:rPr>
                </w:pPr>
                <w:r w:rsidRPr="007174E8">
                  <w:rPr>
                    <w:rFonts w:ascii="Palatino Linotype" w:eastAsia="Palatino Linotype" w:hAnsi="Palatino Linotype" w:cs="Palatino Linotype"/>
                    <w:b/>
                    <w:bCs/>
                    <w:szCs w:val="22"/>
                  </w:rPr>
                  <w:t>Recurso de Revisión:</w:t>
                </w:r>
              </w:p>
            </w:tc>
            <w:tc>
              <w:tcPr>
                <w:tcW w:w="4394" w:type="dxa"/>
              </w:tcPr>
              <w:p w:rsidR="00057E4F" w:rsidRPr="007174E8" w:rsidRDefault="00D80984">
                <w:pPr>
                  <w:tabs>
                    <w:tab w:val="right" w:pos="8838"/>
                  </w:tabs>
                  <w:ind w:right="-493"/>
                  <w:rPr>
                    <w:rFonts w:ascii="Palatino Linotype" w:eastAsia="Palatino Linotype" w:hAnsi="Palatino Linotype" w:cs="Palatino Linotype"/>
                    <w:szCs w:val="22"/>
                  </w:rPr>
                </w:pPr>
                <w:r w:rsidRPr="007174E8">
                  <w:rPr>
                    <w:rFonts w:ascii="Palatino Linotype" w:eastAsia="Palatino Linotype" w:hAnsi="Palatino Linotype" w:cs="Palatino Linotype"/>
                    <w:szCs w:val="22"/>
                  </w:rPr>
                  <w:t xml:space="preserve">06833/INFOEM/IP/RR/2025 </w:t>
                </w:r>
              </w:p>
            </w:tc>
          </w:tr>
          <w:tr w:rsidR="00057E4F" w:rsidTr="007174E8">
            <w:trPr>
              <w:trHeight w:val="283"/>
            </w:trPr>
            <w:tc>
              <w:tcPr>
                <w:tcW w:w="2693" w:type="dxa"/>
              </w:tcPr>
              <w:p w:rsidR="00057E4F" w:rsidRPr="007174E8" w:rsidRDefault="00D80984">
                <w:pPr>
                  <w:tabs>
                    <w:tab w:val="right" w:pos="8838"/>
                  </w:tabs>
                  <w:ind w:right="-105"/>
                  <w:rPr>
                    <w:rFonts w:ascii="Palatino Linotype" w:eastAsia="Palatino Linotype" w:hAnsi="Palatino Linotype" w:cs="Palatino Linotype"/>
                    <w:b/>
                    <w:bCs/>
                    <w:szCs w:val="22"/>
                  </w:rPr>
                </w:pPr>
                <w:bookmarkStart w:id="12" w:name="_heading=h.2s8eyo1" w:colFirst="0" w:colLast="0"/>
                <w:bookmarkEnd w:id="12"/>
                <w:r w:rsidRPr="007174E8">
                  <w:rPr>
                    <w:rFonts w:ascii="Palatino Linotype" w:eastAsia="Palatino Linotype" w:hAnsi="Palatino Linotype" w:cs="Palatino Linotype"/>
                    <w:b/>
                    <w:bCs/>
                    <w:szCs w:val="22"/>
                  </w:rPr>
                  <w:t>Sujeto Obligado:</w:t>
                </w:r>
              </w:p>
            </w:tc>
            <w:tc>
              <w:tcPr>
                <w:tcW w:w="4394" w:type="dxa"/>
              </w:tcPr>
              <w:p w:rsidR="00057E4F" w:rsidRPr="007174E8" w:rsidRDefault="00D80984">
                <w:pPr>
                  <w:ind w:left="-115" w:right="-17"/>
                  <w:jc w:val="both"/>
                  <w:rPr>
                    <w:rFonts w:ascii="Palatino Linotype" w:eastAsia="Palatino Linotype" w:hAnsi="Palatino Linotype" w:cs="Palatino Linotype"/>
                    <w:szCs w:val="22"/>
                  </w:rPr>
                </w:pPr>
                <w:r w:rsidRPr="007174E8">
                  <w:rPr>
                    <w:rFonts w:ascii="Palatino Linotype" w:eastAsia="Palatino Linotype" w:hAnsi="Palatino Linotype" w:cs="Palatino Linotype"/>
                    <w:szCs w:val="22"/>
                  </w:rPr>
                  <w:t>Ayuntamiento de Capulhuac</w:t>
                </w:r>
              </w:p>
            </w:tc>
          </w:tr>
          <w:tr w:rsidR="00057E4F" w:rsidTr="007174E8">
            <w:trPr>
              <w:trHeight w:val="283"/>
            </w:trPr>
            <w:tc>
              <w:tcPr>
                <w:tcW w:w="2693" w:type="dxa"/>
              </w:tcPr>
              <w:p w:rsidR="00057E4F" w:rsidRPr="007174E8" w:rsidRDefault="00D80984">
                <w:pPr>
                  <w:tabs>
                    <w:tab w:val="right" w:pos="8838"/>
                  </w:tabs>
                  <w:ind w:right="-105"/>
                  <w:rPr>
                    <w:rFonts w:ascii="Palatino Linotype" w:eastAsia="Palatino Linotype" w:hAnsi="Palatino Linotype" w:cs="Palatino Linotype"/>
                    <w:b/>
                    <w:bCs/>
                    <w:szCs w:val="22"/>
                  </w:rPr>
                </w:pPr>
                <w:r w:rsidRPr="007174E8">
                  <w:rPr>
                    <w:rFonts w:ascii="Palatino Linotype" w:eastAsia="Palatino Linotype" w:hAnsi="Palatino Linotype" w:cs="Palatino Linotype"/>
                    <w:b/>
                    <w:bCs/>
                    <w:szCs w:val="22"/>
                  </w:rPr>
                  <w:t>Comisionada Ponente:</w:t>
                </w:r>
              </w:p>
            </w:tc>
            <w:tc>
              <w:tcPr>
                <w:tcW w:w="4394" w:type="dxa"/>
              </w:tcPr>
              <w:p w:rsidR="00057E4F" w:rsidRPr="007174E8" w:rsidRDefault="00D80984">
                <w:pPr>
                  <w:ind w:left="-113" w:right="-1545"/>
                  <w:rPr>
                    <w:rFonts w:ascii="Palatino Linotype" w:eastAsia="Palatino Linotype" w:hAnsi="Palatino Linotype" w:cs="Palatino Linotype"/>
                    <w:b/>
                    <w:bCs/>
                    <w:szCs w:val="22"/>
                  </w:rPr>
                </w:pPr>
                <w:r w:rsidRPr="007174E8">
                  <w:rPr>
                    <w:rFonts w:ascii="Palatino Linotype" w:eastAsia="Palatino Linotype" w:hAnsi="Palatino Linotype" w:cs="Palatino Linotype"/>
                    <w:szCs w:val="22"/>
                  </w:rPr>
                  <w:t>María del Rosario Mejía Ayala</w:t>
                </w:r>
              </w:p>
            </w:tc>
          </w:tr>
        </w:tbl>
        <w:p w:rsidR="00057E4F" w:rsidRDefault="00057E4F">
          <w:pPr>
            <w:tabs>
              <w:tab w:val="right" w:pos="8838"/>
            </w:tabs>
            <w:ind w:left="-28"/>
            <w:jc w:val="both"/>
            <w:rPr>
              <w:rFonts w:ascii="Arial" w:eastAsia="Arial" w:hAnsi="Arial" w:cs="Arial"/>
              <w:b/>
              <w:bCs/>
              <w:sz w:val="22"/>
              <w:szCs w:val="22"/>
            </w:rPr>
          </w:pPr>
        </w:p>
      </w:tc>
    </w:tr>
  </w:tbl>
  <w:p w:rsidR="00057E4F" w:rsidRPr="007174E8" w:rsidRDefault="00132AD6" w:rsidP="007174E8">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49.9pt;margin-top:-132.45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0560" w:type="dxa"/>
      <w:tblInd w:w="0" w:type="dxa"/>
      <w:tblLayout w:type="fixed"/>
      <w:tblLook w:val="0400" w:firstRow="0" w:lastRow="0" w:firstColumn="0" w:lastColumn="0" w:noHBand="0" w:noVBand="1"/>
    </w:tblPr>
    <w:tblGrid>
      <w:gridCol w:w="1560"/>
      <w:gridCol w:w="9000"/>
    </w:tblGrid>
    <w:tr w:rsidR="00057E4F">
      <w:trPr>
        <w:trHeight w:val="1435"/>
      </w:trPr>
      <w:tc>
        <w:tcPr>
          <w:tcW w:w="1560" w:type="dxa"/>
          <w:shd w:val="clear" w:color="auto" w:fill="auto"/>
        </w:tcPr>
        <w:p w:rsidR="00057E4F" w:rsidRDefault="00057E4F">
          <w:pPr>
            <w:tabs>
              <w:tab w:val="right" w:pos="4273"/>
            </w:tabs>
            <w:rPr>
              <w:rFonts w:ascii="Garamond" w:eastAsia="Garamond" w:hAnsi="Garamond" w:cs="Garamond"/>
              <w:sz w:val="22"/>
              <w:szCs w:val="22"/>
            </w:rPr>
          </w:pPr>
        </w:p>
      </w:tc>
      <w:tc>
        <w:tcPr>
          <w:tcW w:w="9000" w:type="dxa"/>
          <w:shd w:val="clear" w:color="auto" w:fill="auto"/>
        </w:tcPr>
        <w:tbl>
          <w:tblPr>
            <w:tblStyle w:val="a7"/>
            <w:tblW w:w="929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825"/>
            <w:gridCol w:w="4335"/>
            <w:gridCol w:w="2130"/>
          </w:tblGrid>
          <w:tr w:rsidR="00057E4F" w:rsidTr="007174E8">
            <w:trPr>
              <w:trHeight w:val="144"/>
            </w:trPr>
            <w:tc>
              <w:tcPr>
                <w:tcW w:w="2825" w:type="dxa"/>
              </w:tcPr>
              <w:p w:rsidR="00057E4F" w:rsidRPr="007174E8" w:rsidRDefault="00D80984">
                <w:pPr>
                  <w:tabs>
                    <w:tab w:val="right" w:pos="8838"/>
                  </w:tabs>
                  <w:ind w:left="-74" w:right="-105"/>
                  <w:rPr>
                    <w:rFonts w:ascii="Palatino Linotype" w:eastAsia="Palatino Linotype" w:hAnsi="Palatino Linotype" w:cs="Palatino Linotype"/>
                    <w:b/>
                    <w:bCs/>
                    <w:szCs w:val="22"/>
                  </w:rPr>
                </w:pPr>
                <w:bookmarkStart w:id="13" w:name="_heading=h.17dp8vu" w:colFirst="0" w:colLast="0"/>
                <w:bookmarkEnd w:id="13"/>
                <w:r w:rsidRPr="007174E8">
                  <w:rPr>
                    <w:rFonts w:ascii="Palatino Linotype" w:eastAsia="Palatino Linotype" w:hAnsi="Palatino Linotype" w:cs="Palatino Linotype"/>
                    <w:b/>
                    <w:bCs/>
                    <w:szCs w:val="22"/>
                  </w:rPr>
                  <w:t>Recurso de Revisión:</w:t>
                </w:r>
              </w:p>
            </w:tc>
            <w:tc>
              <w:tcPr>
                <w:tcW w:w="4335" w:type="dxa"/>
              </w:tcPr>
              <w:p w:rsidR="00057E4F" w:rsidRPr="007174E8" w:rsidRDefault="00D80984">
                <w:pPr>
                  <w:tabs>
                    <w:tab w:val="right" w:pos="8838"/>
                  </w:tabs>
                  <w:ind w:left="-3" w:right="-493"/>
                  <w:rPr>
                    <w:rFonts w:ascii="Palatino Linotype" w:eastAsia="Palatino Linotype" w:hAnsi="Palatino Linotype" w:cs="Palatino Linotype"/>
                    <w:szCs w:val="22"/>
                  </w:rPr>
                </w:pPr>
                <w:r w:rsidRPr="007174E8">
                  <w:rPr>
                    <w:rFonts w:ascii="Palatino Linotype" w:eastAsia="Palatino Linotype" w:hAnsi="Palatino Linotype" w:cs="Palatino Linotype"/>
                    <w:szCs w:val="22"/>
                  </w:rPr>
                  <w:t>06833/INFOEM/IP/RR/2025</w:t>
                </w:r>
              </w:p>
            </w:tc>
            <w:tc>
              <w:tcPr>
                <w:tcW w:w="2130" w:type="dxa"/>
              </w:tcPr>
              <w:p w:rsidR="00057E4F" w:rsidRDefault="00057E4F">
                <w:pPr>
                  <w:tabs>
                    <w:tab w:val="right" w:pos="8838"/>
                  </w:tabs>
                  <w:ind w:left="-74" w:right="-105"/>
                  <w:jc w:val="both"/>
                  <w:rPr>
                    <w:rFonts w:ascii="Palatino Linotype" w:eastAsia="Palatino Linotype" w:hAnsi="Palatino Linotype" w:cs="Palatino Linotype"/>
                    <w:sz w:val="22"/>
                    <w:szCs w:val="22"/>
                  </w:rPr>
                </w:pPr>
              </w:p>
            </w:tc>
          </w:tr>
          <w:tr w:rsidR="00057E4F" w:rsidTr="007174E8">
            <w:trPr>
              <w:trHeight w:val="144"/>
            </w:trPr>
            <w:tc>
              <w:tcPr>
                <w:tcW w:w="2825" w:type="dxa"/>
              </w:tcPr>
              <w:p w:rsidR="00057E4F" w:rsidRPr="007174E8" w:rsidRDefault="00D80984">
                <w:pPr>
                  <w:tabs>
                    <w:tab w:val="right" w:pos="8838"/>
                  </w:tabs>
                  <w:ind w:left="-74" w:right="-105"/>
                  <w:rPr>
                    <w:rFonts w:ascii="Palatino Linotype" w:eastAsia="Palatino Linotype" w:hAnsi="Palatino Linotype" w:cs="Palatino Linotype"/>
                    <w:b/>
                    <w:bCs/>
                    <w:szCs w:val="22"/>
                  </w:rPr>
                </w:pPr>
                <w:bookmarkStart w:id="14" w:name="_heading=h.3rdcrjn" w:colFirst="0" w:colLast="0"/>
                <w:bookmarkEnd w:id="14"/>
                <w:r w:rsidRPr="007174E8">
                  <w:rPr>
                    <w:rFonts w:ascii="Palatino Linotype" w:eastAsia="Palatino Linotype" w:hAnsi="Palatino Linotype" w:cs="Palatino Linotype"/>
                    <w:b/>
                    <w:bCs/>
                    <w:szCs w:val="22"/>
                  </w:rPr>
                  <w:t>Recurrente:</w:t>
                </w:r>
              </w:p>
            </w:tc>
            <w:tc>
              <w:tcPr>
                <w:tcW w:w="4335" w:type="dxa"/>
              </w:tcPr>
              <w:p w:rsidR="00057E4F" w:rsidRPr="007174E8" w:rsidRDefault="00C85AE8">
                <w:pPr>
                  <w:tabs>
                    <w:tab w:val="left" w:pos="3122"/>
                    <w:tab w:val="right" w:pos="8838"/>
                  </w:tabs>
                  <w:ind w:right="-493"/>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c>
              <w:tcPr>
                <w:tcW w:w="2130" w:type="dxa"/>
              </w:tcPr>
              <w:p w:rsidR="00057E4F" w:rsidRDefault="00057E4F">
                <w:pPr>
                  <w:tabs>
                    <w:tab w:val="left" w:pos="3122"/>
                    <w:tab w:val="right" w:pos="8838"/>
                  </w:tabs>
                  <w:ind w:right="-105"/>
                  <w:jc w:val="both"/>
                  <w:rPr>
                    <w:rFonts w:ascii="Palatino Linotype" w:eastAsia="Palatino Linotype" w:hAnsi="Palatino Linotype" w:cs="Palatino Linotype"/>
                    <w:sz w:val="22"/>
                    <w:szCs w:val="22"/>
                  </w:rPr>
                </w:pPr>
              </w:p>
            </w:tc>
          </w:tr>
          <w:tr w:rsidR="00057E4F" w:rsidTr="007174E8">
            <w:trPr>
              <w:trHeight w:val="283"/>
            </w:trPr>
            <w:tc>
              <w:tcPr>
                <w:tcW w:w="2825" w:type="dxa"/>
              </w:tcPr>
              <w:p w:rsidR="00057E4F" w:rsidRPr="007174E8" w:rsidRDefault="00D80984">
                <w:pPr>
                  <w:tabs>
                    <w:tab w:val="right" w:pos="8838"/>
                  </w:tabs>
                  <w:ind w:left="-74" w:right="-105"/>
                  <w:rPr>
                    <w:rFonts w:ascii="Palatino Linotype" w:eastAsia="Palatino Linotype" w:hAnsi="Palatino Linotype" w:cs="Palatino Linotype"/>
                    <w:b/>
                    <w:bCs/>
                    <w:szCs w:val="22"/>
                  </w:rPr>
                </w:pPr>
                <w:r w:rsidRPr="007174E8">
                  <w:rPr>
                    <w:rFonts w:ascii="Palatino Linotype" w:eastAsia="Palatino Linotype" w:hAnsi="Palatino Linotype" w:cs="Palatino Linotype"/>
                    <w:b/>
                    <w:bCs/>
                    <w:szCs w:val="22"/>
                  </w:rPr>
                  <w:t>Sujeto Obligado:</w:t>
                </w:r>
              </w:p>
            </w:tc>
            <w:tc>
              <w:tcPr>
                <w:tcW w:w="4335" w:type="dxa"/>
              </w:tcPr>
              <w:p w:rsidR="00057E4F" w:rsidRPr="007174E8" w:rsidRDefault="00D80984">
                <w:pPr>
                  <w:tabs>
                    <w:tab w:val="left" w:pos="2834"/>
                    <w:tab w:val="right" w:pos="8838"/>
                  </w:tabs>
                  <w:ind w:left="-3" w:right="468"/>
                  <w:jc w:val="both"/>
                  <w:rPr>
                    <w:rFonts w:ascii="Palatino Linotype" w:eastAsia="Palatino Linotype" w:hAnsi="Palatino Linotype" w:cs="Palatino Linotype"/>
                    <w:szCs w:val="22"/>
                  </w:rPr>
                </w:pPr>
                <w:r w:rsidRPr="007174E8">
                  <w:rPr>
                    <w:rFonts w:ascii="Palatino Linotype" w:eastAsia="Palatino Linotype" w:hAnsi="Palatino Linotype" w:cs="Palatino Linotype"/>
                    <w:szCs w:val="22"/>
                  </w:rPr>
                  <w:t>Ayuntamiento de Capulhuac</w:t>
                </w:r>
              </w:p>
            </w:tc>
            <w:tc>
              <w:tcPr>
                <w:tcW w:w="2130" w:type="dxa"/>
              </w:tcPr>
              <w:p w:rsidR="00057E4F" w:rsidRDefault="00057E4F">
                <w:pPr>
                  <w:tabs>
                    <w:tab w:val="left" w:pos="2834"/>
                    <w:tab w:val="right" w:pos="8838"/>
                  </w:tabs>
                  <w:ind w:left="-74" w:right="-105"/>
                  <w:jc w:val="both"/>
                  <w:rPr>
                    <w:rFonts w:ascii="Palatino Linotype" w:eastAsia="Palatino Linotype" w:hAnsi="Palatino Linotype" w:cs="Palatino Linotype"/>
                    <w:sz w:val="22"/>
                    <w:szCs w:val="22"/>
                  </w:rPr>
                </w:pPr>
              </w:p>
            </w:tc>
          </w:tr>
          <w:tr w:rsidR="00057E4F" w:rsidTr="007174E8">
            <w:trPr>
              <w:trHeight w:val="283"/>
            </w:trPr>
            <w:tc>
              <w:tcPr>
                <w:tcW w:w="2825" w:type="dxa"/>
              </w:tcPr>
              <w:p w:rsidR="00057E4F" w:rsidRPr="007174E8" w:rsidRDefault="00D80984">
                <w:pPr>
                  <w:tabs>
                    <w:tab w:val="right" w:pos="8838"/>
                  </w:tabs>
                  <w:ind w:left="-74" w:right="-105"/>
                  <w:rPr>
                    <w:rFonts w:ascii="Palatino Linotype" w:eastAsia="Palatino Linotype" w:hAnsi="Palatino Linotype" w:cs="Palatino Linotype"/>
                    <w:b/>
                    <w:bCs/>
                    <w:szCs w:val="22"/>
                  </w:rPr>
                </w:pPr>
                <w:r w:rsidRPr="007174E8">
                  <w:rPr>
                    <w:rFonts w:ascii="Palatino Linotype" w:eastAsia="Palatino Linotype" w:hAnsi="Palatino Linotype" w:cs="Palatino Linotype"/>
                    <w:b/>
                    <w:bCs/>
                    <w:szCs w:val="22"/>
                  </w:rPr>
                  <w:t>Comisionada Ponente:</w:t>
                </w:r>
              </w:p>
            </w:tc>
            <w:tc>
              <w:tcPr>
                <w:tcW w:w="4335" w:type="dxa"/>
              </w:tcPr>
              <w:p w:rsidR="00057E4F" w:rsidRPr="007174E8" w:rsidRDefault="00D80984">
                <w:pPr>
                  <w:tabs>
                    <w:tab w:val="right" w:pos="8838"/>
                  </w:tabs>
                  <w:ind w:left="-3" w:right="-493"/>
                  <w:rPr>
                    <w:rFonts w:ascii="Palatino Linotype" w:eastAsia="Palatino Linotype" w:hAnsi="Palatino Linotype" w:cs="Palatino Linotype"/>
                    <w:szCs w:val="22"/>
                  </w:rPr>
                </w:pPr>
                <w:r w:rsidRPr="007174E8">
                  <w:rPr>
                    <w:rFonts w:ascii="Palatino Linotype" w:eastAsia="Palatino Linotype" w:hAnsi="Palatino Linotype" w:cs="Palatino Linotype"/>
                    <w:szCs w:val="22"/>
                  </w:rPr>
                  <w:t>María del Rosario Mejía Ayala</w:t>
                </w:r>
              </w:p>
            </w:tc>
            <w:tc>
              <w:tcPr>
                <w:tcW w:w="2130" w:type="dxa"/>
              </w:tcPr>
              <w:p w:rsidR="00057E4F" w:rsidRDefault="00057E4F">
                <w:pPr>
                  <w:tabs>
                    <w:tab w:val="right" w:pos="8838"/>
                  </w:tabs>
                  <w:ind w:left="-74" w:right="-105"/>
                  <w:jc w:val="both"/>
                  <w:rPr>
                    <w:rFonts w:ascii="Palatino Linotype" w:eastAsia="Palatino Linotype" w:hAnsi="Palatino Linotype" w:cs="Palatino Linotype"/>
                    <w:sz w:val="22"/>
                    <w:szCs w:val="22"/>
                  </w:rPr>
                </w:pPr>
              </w:p>
            </w:tc>
          </w:tr>
        </w:tbl>
        <w:p w:rsidR="00057E4F" w:rsidRDefault="00057E4F">
          <w:pPr>
            <w:tabs>
              <w:tab w:val="right" w:pos="8838"/>
            </w:tabs>
            <w:ind w:left="-28"/>
            <w:jc w:val="both"/>
            <w:rPr>
              <w:rFonts w:ascii="Arial" w:eastAsia="Arial" w:hAnsi="Arial" w:cs="Arial"/>
              <w:b/>
              <w:bCs/>
              <w:sz w:val="22"/>
              <w:szCs w:val="22"/>
            </w:rPr>
          </w:pPr>
        </w:p>
      </w:tc>
    </w:tr>
  </w:tbl>
  <w:p w:rsidR="00057E4F" w:rsidRDefault="00132AD6">
    <w:pPr>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9.65pt;margin-top:-136.85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981"/>
    <w:multiLevelType w:val="multilevel"/>
    <w:tmpl w:val="250A3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E80871"/>
    <w:multiLevelType w:val="multilevel"/>
    <w:tmpl w:val="19D67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0C1CBA"/>
    <w:multiLevelType w:val="multilevel"/>
    <w:tmpl w:val="8772927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4701EE"/>
    <w:multiLevelType w:val="multilevel"/>
    <w:tmpl w:val="5A829F2A"/>
    <w:lvl w:ilvl="0">
      <w:start w:val="1"/>
      <w:numFmt w:val="decimal"/>
      <w:lvlText w:val="%1."/>
      <w:lvlJc w:val="left"/>
      <w:pPr>
        <w:ind w:left="643"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515" w:hanging="720"/>
      </w:pPr>
      <w:rPr>
        <w:rFonts w:ascii="Palatino Linotype" w:eastAsia="Palatino Linotype" w:hAnsi="Palatino Linotype" w:cs="Palatino Linotype"/>
        <w:b/>
        <w:bCs/>
        <w:color w:val="000000"/>
        <w:sz w:val="24"/>
        <w:szCs w:val="24"/>
      </w:rPr>
    </w:lvl>
    <w:lvl w:ilvl="2">
      <w:start w:val="4"/>
      <w:numFmt w:val="lowerRoman"/>
      <w:lvlText w:val="%3."/>
      <w:lvlJc w:val="right"/>
      <w:pPr>
        <w:ind w:left="1875" w:hanging="180"/>
      </w:pPr>
    </w:lvl>
    <w:lvl w:ilvl="3">
      <w:start w:val="1"/>
      <w:numFmt w:val="lowerLetter"/>
      <w:lvlText w:val="%4)"/>
      <w:lvlJc w:val="left"/>
      <w:pPr>
        <w:ind w:left="359" w:hanging="358"/>
      </w:pPr>
    </w:lvl>
    <w:lvl w:ilvl="4">
      <w:start w:val="104"/>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 w15:restartNumberingAfterBreak="0">
    <w:nsid w:val="3B4A4DFF"/>
    <w:multiLevelType w:val="multilevel"/>
    <w:tmpl w:val="ECA2A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4572FD"/>
    <w:multiLevelType w:val="hybridMultilevel"/>
    <w:tmpl w:val="DBF84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26582A"/>
    <w:multiLevelType w:val="multilevel"/>
    <w:tmpl w:val="00DEB23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E4F"/>
    <w:rsid w:val="00057E4F"/>
    <w:rsid w:val="00132AD6"/>
    <w:rsid w:val="002412D4"/>
    <w:rsid w:val="0042069B"/>
    <w:rsid w:val="007174E8"/>
    <w:rsid w:val="00756D0C"/>
    <w:rsid w:val="00B44650"/>
    <w:rsid w:val="00C85AE8"/>
    <w:rsid w:val="00D80984"/>
    <w:rsid w:val="00FD41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8223523-0FA7-4AA3-BC1F-77D5B03C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37F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D578F"/>
    <w:rPr>
      <w:color w:val="0563C1" w:themeColor="hyperlink"/>
      <w:u w:val="single"/>
    </w:rPr>
  </w:style>
  <w:style w:type="paragraph" w:styleId="NormalWeb">
    <w:name w:val="Normal (Web)"/>
    <w:basedOn w:val="Normal"/>
    <w:uiPriority w:val="99"/>
    <w:rsid w:val="00596A43"/>
    <w:pPr>
      <w:spacing w:before="100" w:beforeAutospacing="1" w:after="100" w:afterAutospacing="1"/>
    </w:pPr>
    <w:rPr>
      <w:lang w:eastAsia="es-ES"/>
    </w:rPr>
  </w:style>
  <w:style w:type="table" w:customStyle="1" w:styleId="Tablanormal12">
    <w:name w:val="Tabla normal 12"/>
    <w:basedOn w:val="Tablanormal"/>
    <w:next w:val="Tablanormal1"/>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customStyle="1" w:styleId="INFOEM">
    <w:name w:val="INFOEM"/>
    <w:basedOn w:val="Normal"/>
    <w:qFormat/>
    <w:rsid w:val="0022692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basedOn w:val="Fuentedeprrafopredeter"/>
    <w:uiPriority w:val="22"/>
    <w:qFormat/>
    <w:rsid w:val="006F351E"/>
    <w:rPr>
      <w:b/>
      <w:bCs/>
    </w:rPr>
  </w:style>
  <w:style w:type="paragraph" w:customStyle="1" w:styleId="Citas">
    <w:name w:val="Citas"/>
    <w:basedOn w:val="Normal"/>
    <w:qFormat/>
    <w:rsid w:val="006F351E"/>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inespaciado">
    <w:name w:val="No Spacing"/>
    <w:aliases w:val="Francesa,INAI"/>
    <w:link w:val="SinespaciadoCar"/>
    <w:uiPriority w:val="1"/>
    <w:qFormat/>
    <w:rsid w:val="00162A6F"/>
    <w:rPr>
      <w:rFonts w:ascii="Calibri" w:eastAsia="Calibri" w:hAnsi="Calibri" w:cs="Calibri"/>
      <w:lang w:val="es-ES_tradnl"/>
    </w:rPr>
  </w:style>
  <w:style w:type="character" w:customStyle="1" w:styleId="SinespaciadoCar">
    <w:name w:val="Sin espaciado Car"/>
    <w:aliases w:val="Francesa Car,INAI Car"/>
    <w:link w:val="Sinespaciado"/>
    <w:uiPriority w:val="1"/>
    <w:qFormat/>
    <w:locked/>
    <w:rsid w:val="00162A6F"/>
    <w:rPr>
      <w:rFonts w:ascii="Calibri" w:eastAsia="Calibri" w:hAnsi="Calibri" w:cs="Calibri"/>
      <w:lang w:val="es-ES_tradnl"/>
    </w:rPr>
  </w:style>
  <w:style w:type="paragraph" w:styleId="Sangradetextonormal">
    <w:name w:val="Body Text Indent"/>
    <w:basedOn w:val="Normal"/>
    <w:link w:val="SangradetextonormalCar"/>
    <w:uiPriority w:val="99"/>
    <w:semiHidden/>
    <w:unhideWhenUsed/>
    <w:rsid w:val="003A7705"/>
    <w:pPr>
      <w:spacing w:after="120"/>
      <w:ind w:left="283"/>
    </w:pPr>
  </w:style>
  <w:style w:type="character" w:customStyle="1" w:styleId="SangradetextonormalCar">
    <w:name w:val="Sangría de texto normal Car"/>
    <w:basedOn w:val="Fuentedeprrafopredeter"/>
    <w:link w:val="Sangradetextonormal"/>
    <w:uiPriority w:val="99"/>
    <w:semiHidden/>
    <w:rsid w:val="003A7705"/>
  </w:style>
  <w:style w:type="paragraph" w:styleId="Textoindependienteprimerasangra2">
    <w:name w:val="Body Text First Indent 2"/>
    <w:basedOn w:val="Sangradetextonormal"/>
    <w:link w:val="Textoindependienteprimerasangra2Car"/>
    <w:uiPriority w:val="99"/>
    <w:unhideWhenUsed/>
    <w:rsid w:val="003A770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7705"/>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YSzU6Oj5ZxYnlWXzTs1VuIqlGA==">CgMxLjAyCGguZ2pkZ3hzMgloLjN6bnlzaDcyCWguMmV0OTJwMDIIaC50eWpjd3QyCWguM2R5NnZrbTIJaC4xdDNoNXNmMg5oLmdiYXg5a2NuZTlmMjIJaC40ZDM0b2c4MgloLjMwajB6bGwyCWguMWtzdjR1djIJaC4yczhleW8xMgloLjE3ZHA4dnUyCWguM3JkY3JqbjgAciExZkV1QXg2T0ExNkVya0sxby03VWE4YXE1QW15QTVHYzI=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E9589C-33E5-468C-8D57-424260AD1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11380</Words>
  <Characters>62590</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cp:lastPrinted>2026-02-09T17:29:00Z</cp:lastPrinted>
  <dcterms:created xsi:type="dcterms:W3CDTF">2026-01-28T16:24:00Z</dcterms:created>
  <dcterms:modified xsi:type="dcterms:W3CDTF">2026-02-16T17:52:00Z</dcterms:modified>
</cp:coreProperties>
</file>