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A47" w:rsidRDefault="004946C2">
      <w:pPr>
        <w:tabs>
          <w:tab w:val="left" w:pos="3465"/>
        </w:tabs>
        <w:spacing w:line="360" w:lineRule="auto"/>
        <w:ind w:right="49"/>
        <w:jc w:val="both"/>
        <w:rPr>
          <w:rFonts w:ascii="Palatino Linotype" w:eastAsia="Palatino Linotype" w:hAnsi="Palatino Linotype" w:cs="Palatino Linotype"/>
        </w:rPr>
      </w:pPr>
      <w:bookmarkStart w:id="0" w:name="_GoBack"/>
      <w:bookmarkEnd w:id="0"/>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w:t>
      </w:r>
      <w:r w:rsidR="00C418D1">
        <w:rPr>
          <w:rFonts w:ascii="Palatino Linotype" w:eastAsia="Palatino Linotype" w:hAnsi="Palatino Linotype" w:cs="Palatino Linotype"/>
        </w:rPr>
        <w:t xml:space="preserve"> Estado de México; </w:t>
      </w:r>
      <w:r w:rsidR="00C418D1" w:rsidRPr="000322A5">
        <w:rPr>
          <w:rFonts w:ascii="Palatino Linotype" w:eastAsia="Palatino Linotype" w:hAnsi="Palatino Linotype" w:cs="Palatino Linotype"/>
          <w:b/>
        </w:rPr>
        <w:t>de fecha veinticinco</w:t>
      </w:r>
      <w:r w:rsidR="000322A5" w:rsidRPr="000322A5">
        <w:rPr>
          <w:rFonts w:ascii="Palatino Linotype" w:eastAsia="Palatino Linotype" w:hAnsi="Palatino Linotype" w:cs="Palatino Linotype"/>
          <w:b/>
        </w:rPr>
        <w:t xml:space="preserve"> (25)</w:t>
      </w:r>
      <w:r w:rsidRPr="000322A5">
        <w:rPr>
          <w:rFonts w:ascii="Palatino Linotype" w:eastAsia="Palatino Linotype" w:hAnsi="Palatino Linotype" w:cs="Palatino Linotype"/>
          <w:b/>
        </w:rPr>
        <w:t xml:space="preserve"> d</w:t>
      </w:r>
      <w:r w:rsidR="00C418D1" w:rsidRPr="000322A5">
        <w:rPr>
          <w:rFonts w:ascii="Palatino Linotype" w:eastAsia="Palatino Linotype" w:hAnsi="Palatino Linotype" w:cs="Palatino Linotype"/>
          <w:b/>
        </w:rPr>
        <w:t>e febrero de dos mil veintiséis</w:t>
      </w:r>
      <w:r w:rsidRPr="000322A5">
        <w:rPr>
          <w:rFonts w:ascii="Palatino Linotype" w:eastAsia="Palatino Linotype" w:hAnsi="Palatino Linotype" w:cs="Palatino Linotype"/>
          <w:b/>
        </w:rPr>
        <w:t>.</w:t>
      </w:r>
    </w:p>
    <w:p w:rsidR="00974A47" w:rsidRDefault="00974A47">
      <w:pPr>
        <w:tabs>
          <w:tab w:val="left" w:pos="3465"/>
        </w:tabs>
        <w:spacing w:line="360" w:lineRule="auto"/>
        <w:ind w:right="49"/>
        <w:jc w:val="both"/>
        <w:rPr>
          <w:rFonts w:ascii="Palatino Linotype" w:eastAsia="Palatino Linotype" w:hAnsi="Palatino Linotype" w:cs="Palatino Linotype"/>
        </w:rPr>
      </w:pPr>
    </w:p>
    <w:p w:rsidR="00974A47" w:rsidRDefault="004946C2">
      <w:pPr>
        <w:spacing w:line="360" w:lineRule="auto"/>
        <w:ind w:right="49"/>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el Recurso de Revisión </w:t>
      </w:r>
      <w:r>
        <w:rPr>
          <w:rFonts w:ascii="Palatino Linotype" w:eastAsia="Palatino Linotype" w:hAnsi="Palatino Linotype" w:cs="Palatino Linotype"/>
          <w:b/>
          <w:bCs/>
        </w:rPr>
        <w:t>07593/INFOEM/IP/RR/2025,</w:t>
      </w:r>
      <w:r>
        <w:rPr>
          <w:rFonts w:ascii="Palatino Linotype" w:eastAsia="Palatino Linotype" w:hAnsi="Palatino Linotype" w:cs="Palatino Linotype"/>
        </w:rPr>
        <w:t xml:space="preserve"> presentado por </w:t>
      </w:r>
      <w:r w:rsidRPr="000322A5">
        <w:rPr>
          <w:rFonts w:ascii="Palatino Linotype" w:eastAsia="Palatino Linotype" w:hAnsi="Palatino Linotype" w:cs="Palatino Linotype"/>
          <w:b/>
        </w:rPr>
        <w:t>una persona que no proporcionó datos de identificación</w:t>
      </w:r>
      <w:r>
        <w:rPr>
          <w:rFonts w:ascii="Palatino Linotype" w:eastAsia="Palatino Linotype" w:hAnsi="Palatino Linotype" w:cs="Palatino Linotype"/>
        </w:rPr>
        <w:t xml:space="preserve"> 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con número de folio </w:t>
      </w:r>
      <w:r>
        <w:rPr>
          <w:rFonts w:ascii="Palatino Linotype" w:eastAsia="Palatino Linotype" w:hAnsi="Palatino Linotype" w:cs="Palatino Linotype"/>
          <w:b/>
          <w:bCs/>
        </w:rPr>
        <w:t>00370/ATLACOM/IP/2025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Atlacomulco,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se emite la presente Resolución con base en los siguientes:</w:t>
      </w:r>
    </w:p>
    <w:p w:rsidR="00974A47" w:rsidRDefault="00974A47">
      <w:pPr>
        <w:spacing w:line="360" w:lineRule="auto"/>
        <w:ind w:right="49"/>
        <w:jc w:val="both"/>
        <w:rPr>
          <w:rFonts w:ascii="Palatino Linotype" w:eastAsia="Palatino Linotype" w:hAnsi="Palatino Linotype" w:cs="Palatino Linotype"/>
        </w:rPr>
      </w:pPr>
    </w:p>
    <w:p w:rsidR="00974A47" w:rsidRDefault="004946C2">
      <w:pPr>
        <w:pStyle w:val="Ttulo1"/>
        <w:spacing w:before="0" w:line="360" w:lineRule="auto"/>
        <w:ind w:right="49"/>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u w:val="single"/>
        </w:rPr>
      </w:pPr>
    </w:p>
    <w:p w:rsidR="00974A47" w:rsidRDefault="004946C2">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treinta de mayo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974A47" w:rsidRDefault="004946C2">
      <w:pPr>
        <w:pBdr>
          <w:top w:val="nil"/>
          <w:left w:val="nil"/>
          <w:bottom w:val="nil"/>
          <w:right w:val="nil"/>
          <w:between w:val="nil"/>
        </w:pBdr>
        <w:spacing w:line="360" w:lineRule="auto"/>
        <w:ind w:left="425"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Actas de comisiones de hacienda, gobernación, y planeación correspondientes al año 2025</w:t>
      </w:r>
      <w:r>
        <w:rPr>
          <w:rFonts w:ascii="Palatino Linotype" w:eastAsia="Palatino Linotype" w:hAnsi="Palatino Linotype" w:cs="Palatino Linotype"/>
          <w:i/>
          <w:iCs/>
          <w:color w:val="000000"/>
        </w:rPr>
        <w:t>”</w:t>
      </w:r>
    </w:p>
    <w:p w:rsidR="00974A47" w:rsidRDefault="00974A47">
      <w:pPr>
        <w:pBdr>
          <w:top w:val="nil"/>
          <w:left w:val="nil"/>
          <w:bottom w:val="nil"/>
          <w:right w:val="nil"/>
          <w:between w:val="nil"/>
        </w:pBdr>
        <w:spacing w:line="360" w:lineRule="auto"/>
        <w:ind w:left="425" w:right="49"/>
        <w:jc w:val="both"/>
        <w:rPr>
          <w:rFonts w:ascii="Palatino Linotype" w:eastAsia="Palatino Linotype" w:hAnsi="Palatino Linotype" w:cs="Palatino Linotype"/>
          <w:i/>
          <w:iCs/>
          <w:color w:val="000000"/>
        </w:rPr>
      </w:pPr>
    </w:p>
    <w:p w:rsidR="00974A47" w:rsidRDefault="004946C2" w:rsidP="000322A5">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w:t>
      </w:r>
      <w:r>
        <w:rPr>
          <w:rFonts w:ascii="Palatino Linotype" w:eastAsia="Palatino Linotype" w:hAnsi="Palatino Linotype" w:cs="Palatino Linotype"/>
          <w:b/>
          <w:bCs/>
          <w:color w:val="000000"/>
        </w:rPr>
        <w:t>a través de SAIMEX</w:t>
      </w:r>
    </w:p>
    <w:p w:rsidR="00974A47" w:rsidRDefault="00974A47">
      <w:pPr>
        <w:pBdr>
          <w:top w:val="nil"/>
          <w:left w:val="nil"/>
          <w:bottom w:val="nil"/>
          <w:right w:val="nil"/>
          <w:between w:val="nil"/>
        </w:pBdr>
        <w:tabs>
          <w:tab w:val="left" w:pos="0"/>
        </w:tabs>
        <w:spacing w:line="360" w:lineRule="auto"/>
        <w:ind w:left="1069" w:right="49"/>
        <w:jc w:val="both"/>
        <w:rPr>
          <w:rFonts w:ascii="Palatino Linotype" w:eastAsia="Palatino Linotype" w:hAnsi="Palatino Linotype" w:cs="Palatino Linotype"/>
          <w:b/>
          <w:bCs/>
        </w:rPr>
      </w:pPr>
    </w:p>
    <w:p w:rsidR="00974A47" w:rsidRDefault="004946C2">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iCs/>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veinte de junio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remitió su respuesta a la solicitud de acceso a la información a través de SAIMEX, a través de los archivos denominados: </w:t>
      </w:r>
      <w:r>
        <w:rPr>
          <w:rFonts w:ascii="Palatino Linotype" w:eastAsia="Palatino Linotype" w:hAnsi="Palatino Linotype" w:cs="Palatino Linotype"/>
          <w:i/>
          <w:iCs/>
          <w:color w:val="000000"/>
        </w:rPr>
        <w:t xml:space="preserve">SOL00370_SP_2025_acuse.pdf, ANEXO01_SOL0370_SP_2025.pdf, Contestaciòn solicitud 370- ATLACOM-IP-2025.pdf, </w:t>
      </w:r>
      <w:r>
        <w:rPr>
          <w:rFonts w:ascii="Palatino Linotype" w:eastAsia="Palatino Linotype" w:hAnsi="Palatino Linotype" w:cs="Palatino Linotype"/>
          <w:color w:val="000000"/>
        </w:rPr>
        <w:t>y</w:t>
      </w:r>
      <w:r>
        <w:rPr>
          <w:rFonts w:ascii="Palatino Linotype" w:eastAsia="Palatino Linotype" w:hAnsi="Palatino Linotype" w:cs="Palatino Linotype"/>
          <w:i/>
          <w:iCs/>
          <w:color w:val="000000"/>
        </w:rPr>
        <w:t xml:space="preserve"> 0370_RESP_2025.pdf</w:t>
      </w:r>
      <w:r>
        <w:rPr>
          <w:rFonts w:ascii="Palatino Linotype" w:eastAsia="Palatino Linotype" w:hAnsi="Palatino Linotype" w:cs="Palatino Linotype"/>
          <w:i/>
          <w:iCs/>
        </w:rPr>
        <w:t xml:space="preserve">; </w:t>
      </w:r>
      <w:r>
        <w:rPr>
          <w:rFonts w:ascii="Palatino Linotype" w:eastAsia="Palatino Linotype" w:hAnsi="Palatino Linotype" w:cs="Palatino Linotype"/>
        </w:rPr>
        <w:t>de cuyo contenido toral se desprende el Acta de Instalación de la C</w:t>
      </w:r>
      <w:r>
        <w:rPr>
          <w:rFonts w:ascii="Palatino Linotype" w:eastAsia="Palatino Linotype" w:hAnsi="Palatino Linotype" w:cs="Palatino Linotype"/>
          <w:color w:val="000000"/>
        </w:rPr>
        <w:t>omisión Edilicia Permanente de Gobernación, de la Comisión Edilicia Permanente</w:t>
      </w:r>
      <w:r>
        <w:rPr>
          <w:rFonts w:ascii="Palatino Linotype" w:eastAsia="Palatino Linotype" w:hAnsi="Palatino Linotype" w:cs="Palatino Linotype"/>
        </w:rPr>
        <w:t xml:space="preserve"> de Planeación para el Desarrollo, de la Comisión de Hacienda Pública Municipal y el Acta de la Primera Sesión Ordinaria de la Comisión de Hacienda Pública Municipal.</w:t>
      </w:r>
    </w:p>
    <w:p w:rsidR="00974A47" w:rsidRDefault="00974A47">
      <w:pPr>
        <w:spacing w:line="360" w:lineRule="auto"/>
        <w:ind w:left="360" w:right="618"/>
        <w:jc w:val="both"/>
        <w:rPr>
          <w:rFonts w:ascii="Palatino Linotype" w:eastAsia="Palatino Linotype" w:hAnsi="Palatino Linotype" w:cs="Palatino Linotype"/>
          <w:i/>
          <w:iCs/>
        </w:rPr>
      </w:pPr>
    </w:p>
    <w:p w:rsidR="00974A47" w:rsidRDefault="004946C2">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 xml:space="preserve">veintidós de junio de dos mil veinticinco, </w:t>
      </w:r>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a través de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en donde se manifestó de la siguiente manera:</w:t>
      </w:r>
    </w:p>
    <w:p w:rsidR="00974A47" w:rsidRDefault="00974A47">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974A47" w:rsidRPr="000322A5" w:rsidRDefault="000322A5" w:rsidP="000322A5">
      <w:pPr>
        <w:pStyle w:val="Prrafodelista"/>
        <w:numPr>
          <w:ilvl w:val="0"/>
          <w:numId w:val="6"/>
        </w:numPr>
        <w:tabs>
          <w:tab w:val="left" w:pos="2745"/>
        </w:tabs>
        <w:spacing w:line="360" w:lineRule="auto"/>
        <w:ind w:right="616"/>
        <w:jc w:val="both"/>
        <w:rPr>
          <w:rFonts w:ascii="Palatino Linotype" w:eastAsia="Palatino Linotype" w:hAnsi="Palatino Linotype" w:cs="Palatino Linotype"/>
          <w:b/>
          <w:bCs/>
        </w:rPr>
      </w:pPr>
      <w:r w:rsidRPr="000322A5">
        <w:rPr>
          <w:rFonts w:ascii="Palatino Linotype" w:eastAsia="Palatino Linotype" w:hAnsi="Palatino Linotype" w:cs="Palatino Linotype"/>
          <w:b/>
          <w:bCs/>
        </w:rPr>
        <w:t xml:space="preserve">ACTO IMPUGNADO: </w:t>
      </w:r>
    </w:p>
    <w:p w:rsidR="00974A47" w:rsidRDefault="000322A5" w:rsidP="000322A5">
      <w:pPr>
        <w:spacing w:line="360" w:lineRule="auto"/>
        <w:ind w:right="616"/>
        <w:jc w:val="both"/>
        <w:rPr>
          <w:rFonts w:ascii="Palatino Linotype" w:eastAsia="Palatino Linotype" w:hAnsi="Palatino Linotype" w:cs="Palatino Linotype"/>
          <w:i/>
          <w:iCs/>
        </w:rPr>
      </w:pPr>
      <w:r>
        <w:rPr>
          <w:rFonts w:ascii="Palatino Linotype" w:eastAsia="Palatino Linotype" w:hAnsi="Palatino Linotype" w:cs="Palatino Linotype"/>
          <w:i/>
          <w:iCs/>
        </w:rPr>
        <w:tab/>
      </w:r>
      <w:r w:rsidR="004946C2">
        <w:rPr>
          <w:rFonts w:ascii="Palatino Linotype" w:eastAsia="Palatino Linotype" w:hAnsi="Palatino Linotype" w:cs="Palatino Linotype"/>
          <w:i/>
          <w:iCs/>
        </w:rPr>
        <w:t>“Incompleta información”</w:t>
      </w:r>
    </w:p>
    <w:p w:rsidR="00974A47" w:rsidRDefault="00974A47" w:rsidP="000322A5">
      <w:pPr>
        <w:tabs>
          <w:tab w:val="left" w:pos="2745"/>
        </w:tabs>
        <w:spacing w:line="360" w:lineRule="auto"/>
        <w:ind w:left="851" w:right="616"/>
        <w:jc w:val="both"/>
        <w:rPr>
          <w:rFonts w:ascii="Palatino Linotype" w:eastAsia="Palatino Linotype" w:hAnsi="Palatino Linotype" w:cs="Palatino Linotype"/>
          <w:i/>
          <w:iCs/>
        </w:rPr>
      </w:pPr>
    </w:p>
    <w:p w:rsidR="00974A47" w:rsidRPr="000322A5" w:rsidRDefault="000322A5" w:rsidP="000322A5">
      <w:pPr>
        <w:pStyle w:val="Prrafodelista"/>
        <w:numPr>
          <w:ilvl w:val="0"/>
          <w:numId w:val="6"/>
        </w:numPr>
        <w:spacing w:line="360" w:lineRule="auto"/>
        <w:ind w:right="616"/>
        <w:jc w:val="both"/>
        <w:rPr>
          <w:rFonts w:ascii="Palatino Linotype" w:eastAsia="Palatino Linotype" w:hAnsi="Palatino Linotype" w:cs="Palatino Linotype"/>
        </w:rPr>
      </w:pPr>
      <w:bookmarkStart w:id="2" w:name="_heading=h.30j0zll" w:colFirst="0" w:colLast="0"/>
      <w:bookmarkEnd w:id="2"/>
      <w:r w:rsidRPr="000322A5">
        <w:rPr>
          <w:rFonts w:ascii="Palatino Linotype" w:eastAsia="Palatino Linotype" w:hAnsi="Palatino Linotype" w:cs="Palatino Linotype"/>
          <w:b/>
          <w:bCs/>
        </w:rPr>
        <w:t>RAZONES O MOTIVOS DE INCONFORMIDAD</w:t>
      </w:r>
      <w:r w:rsidRPr="000322A5">
        <w:rPr>
          <w:rFonts w:ascii="Palatino Linotype" w:eastAsia="Palatino Linotype" w:hAnsi="Palatino Linotype" w:cs="Palatino Linotype"/>
        </w:rPr>
        <w:t>:</w:t>
      </w:r>
    </w:p>
    <w:p w:rsidR="00974A47" w:rsidRDefault="000322A5" w:rsidP="000322A5">
      <w:pPr>
        <w:spacing w:line="360" w:lineRule="auto"/>
        <w:ind w:right="616"/>
        <w:jc w:val="both"/>
        <w:rPr>
          <w:rFonts w:ascii="Palatino Linotype" w:eastAsia="Palatino Linotype" w:hAnsi="Palatino Linotype" w:cs="Palatino Linotype"/>
          <w:i/>
          <w:iCs/>
        </w:rPr>
      </w:pPr>
      <w:r>
        <w:rPr>
          <w:rFonts w:ascii="Palatino Linotype" w:eastAsia="Palatino Linotype" w:hAnsi="Palatino Linotype" w:cs="Palatino Linotype"/>
          <w:i/>
          <w:iCs/>
        </w:rPr>
        <w:tab/>
      </w:r>
      <w:r w:rsidR="004946C2">
        <w:rPr>
          <w:rFonts w:ascii="Palatino Linotype" w:eastAsia="Palatino Linotype" w:hAnsi="Palatino Linotype" w:cs="Palatino Linotype"/>
          <w:i/>
          <w:iCs/>
        </w:rPr>
        <w:t>“Incompleta</w:t>
      </w:r>
      <w:r w:rsidR="004946C2">
        <w:rPr>
          <w:rFonts w:ascii="Palatino Linotype" w:eastAsia="Palatino Linotype" w:hAnsi="Palatino Linotype" w:cs="Palatino Linotype"/>
          <w:b/>
          <w:bCs/>
          <w:i/>
          <w:iCs/>
        </w:rPr>
        <w:t>”</w:t>
      </w:r>
    </w:p>
    <w:p w:rsidR="00974A47" w:rsidRDefault="00974A47">
      <w:pPr>
        <w:pBdr>
          <w:top w:val="nil"/>
          <w:left w:val="nil"/>
          <w:bottom w:val="nil"/>
          <w:right w:val="nil"/>
          <w:between w:val="nil"/>
        </w:pBdr>
        <w:spacing w:line="360" w:lineRule="auto"/>
        <w:ind w:left="709" w:right="49"/>
        <w:jc w:val="both"/>
        <w:rPr>
          <w:rFonts w:ascii="Palatino Linotype" w:eastAsia="Palatino Linotype" w:hAnsi="Palatino Linotype" w:cs="Palatino Linotype"/>
          <w:i/>
          <w:iCs/>
          <w:color w:val="000000"/>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 fecha</w:t>
      </w:r>
      <w:r>
        <w:rPr>
          <w:rFonts w:ascii="Palatino Linotype" w:eastAsia="Palatino Linotype" w:hAnsi="Palatino Linotype" w:cs="Palatino Linotype"/>
          <w:b/>
          <w:bCs/>
        </w:rPr>
        <w:t xml:space="preserve"> treinta de junio de dos mil veinticinco, </w:t>
      </w:r>
      <w:r>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w:t>
      </w:r>
      <w:r>
        <w:rPr>
          <w:rFonts w:ascii="Palatino Linotype" w:eastAsia="Palatino Linotype" w:hAnsi="Palatino Linotype" w:cs="Palatino Linotype"/>
        </w:rPr>
        <w:lastRenderedPageBreak/>
        <w:t xml:space="preserve">conveniente, ofrecieran pruebas, formularan alegatos y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presentara su informe justificado.</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SUJETO </w:t>
      </w:r>
      <w:r>
        <w:rPr>
          <w:rFonts w:ascii="Palatino Linotype" w:eastAsia="Palatino Linotype" w:hAnsi="Palatino Linotype" w:cs="Palatino Linotype"/>
          <w:b/>
          <w:bCs/>
        </w:rPr>
        <w:t>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nueve de julio de dos mil veinticinco</w:t>
      </w:r>
      <w:r>
        <w:rPr>
          <w:rFonts w:ascii="Palatino Linotype" w:eastAsia="Palatino Linotype" w:hAnsi="Palatino Linotype" w:cs="Palatino Linotype"/>
          <w:color w:val="000000"/>
        </w:rPr>
        <w:t xml:space="preserve">, rindió informe justificado, manifestando </w:t>
      </w:r>
      <w:r>
        <w:rPr>
          <w:rFonts w:ascii="Palatino Linotype" w:eastAsia="Palatino Linotype" w:hAnsi="Palatino Linotype" w:cs="Palatino Linotype"/>
          <w:i/>
          <w:iCs/>
          <w:color w:val="000000"/>
        </w:rPr>
        <w:t>grosso modo</w:t>
      </w:r>
      <w:r>
        <w:rPr>
          <w:rFonts w:ascii="Palatino Linotype" w:eastAsia="Palatino Linotype" w:hAnsi="Palatino Linotype" w:cs="Palatino Linotype"/>
          <w:color w:val="000000"/>
        </w:rPr>
        <w:t xml:space="preserve"> que se confirman las respuestas iniciales emitidas por la Sindicatura Municipal y Secretaria Particular en virtud de ser las generadas, poseídas y administradas a la fecha de la respuesta; sesiones que son desarrolladas de manera trimestral</w:t>
      </w:r>
      <w:r>
        <w:rPr>
          <w:rFonts w:ascii="Palatino Linotype" w:eastAsia="Palatino Linotype" w:hAnsi="Palatino Linotype" w:cs="Palatino Linotype"/>
        </w:rPr>
        <w:t xml:space="preserve">. </w:t>
      </w:r>
    </w:p>
    <w:p w:rsidR="00974A47" w:rsidRDefault="00974A4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Finalmente a</w:t>
      </w:r>
      <w:r>
        <w:rPr>
          <w:rFonts w:ascii="Palatino Linotype" w:eastAsia="Palatino Linotype" w:hAnsi="Palatino Linotype" w:cs="Palatino Linotype"/>
          <w:color w:val="000000"/>
        </w:rPr>
        <w:t>l no existir pendientes o diligencias por desahogar,</w:t>
      </w:r>
      <w:r>
        <w:rPr>
          <w:rFonts w:ascii="Palatino Linotype" w:eastAsia="Palatino Linotype" w:hAnsi="Palatino Linotype" w:cs="Palatino Linotype"/>
        </w:rPr>
        <w:t xml:space="preserve"> mediante acuerdo de fecha</w:t>
      </w:r>
      <w:r>
        <w:rPr>
          <w:rFonts w:ascii="Palatino Linotype" w:eastAsia="Palatino Linotype" w:hAnsi="Palatino Linotype" w:cs="Palatino Linotype"/>
          <w:b/>
          <w:bCs/>
        </w:rPr>
        <w:t xml:space="preserve"> veintitrés de marzo del año en curso</w:t>
      </w:r>
      <w:r>
        <w:rPr>
          <w:rFonts w:ascii="Palatino Linotype" w:eastAsia="Palatino Linotype" w:hAnsi="Palatino Linotype" w:cs="Palatino Linotype"/>
        </w:rPr>
        <w:t xml:space="preserve">, se amplió el termino para resolver y se decretó el cierre del periodo de </w:t>
      </w:r>
      <w:r>
        <w:rPr>
          <w:rFonts w:ascii="Palatino Linotype" w:eastAsia="Palatino Linotype" w:hAnsi="Palatino Linotype" w:cs="Palatino Linotype"/>
          <w:color w:val="000000"/>
        </w:rPr>
        <w:t>instrucción</w:t>
      </w:r>
      <w:r>
        <w:rPr>
          <w:rFonts w:ascii="Palatino Linotype" w:eastAsia="Palatino Linotype" w:hAnsi="Palatino Linotype" w:cs="Palatino Linotype"/>
        </w:rPr>
        <w:t xml:space="preserve"> y, ordenó la resolución que conforme a derecho proceda, de acuerdo a las siguientes: </w:t>
      </w:r>
    </w:p>
    <w:p w:rsidR="00974A47" w:rsidRDefault="00974A47">
      <w:pPr>
        <w:pBdr>
          <w:top w:val="nil"/>
          <w:left w:val="nil"/>
          <w:bottom w:val="nil"/>
          <w:right w:val="nil"/>
          <w:between w:val="nil"/>
        </w:pBdr>
        <w:spacing w:line="360" w:lineRule="auto"/>
        <w:ind w:left="720" w:right="49"/>
        <w:jc w:val="center"/>
        <w:rPr>
          <w:rFonts w:ascii="Palatino Linotype" w:eastAsia="Palatino Linotype" w:hAnsi="Palatino Linotype" w:cs="Palatino Linotype"/>
          <w:b/>
          <w:bCs/>
          <w:color w:val="000000"/>
        </w:rPr>
      </w:pPr>
    </w:p>
    <w:p w:rsidR="00974A47" w:rsidRDefault="004946C2">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C I O N E S</w:t>
      </w:r>
    </w:p>
    <w:p w:rsidR="00974A47" w:rsidRDefault="00974A47">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p>
    <w:p w:rsidR="00974A47" w:rsidRDefault="004946C2">
      <w:pPr>
        <w:pStyle w:val="Ttulo2"/>
        <w:spacing w:before="0" w:line="360" w:lineRule="auto"/>
        <w:ind w:right="49"/>
        <w:rPr>
          <w:rFonts w:ascii="Palatino Linotype" w:eastAsia="Palatino Linotype" w:hAnsi="Palatino Linotype" w:cs="Palatino Linotype"/>
          <w:b/>
          <w:bCs/>
          <w:color w:val="000000"/>
          <w:sz w:val="24"/>
          <w:szCs w:val="24"/>
        </w:rPr>
      </w:pPr>
      <w:bookmarkStart w:id="3" w:name="_heading=h.3znysh7" w:colFirst="0" w:colLast="0"/>
      <w:bookmarkEnd w:id="3"/>
      <w:r>
        <w:rPr>
          <w:rFonts w:ascii="Palatino Linotype" w:eastAsia="Palatino Linotype" w:hAnsi="Palatino Linotype" w:cs="Palatino Linotype"/>
          <w:b/>
          <w:bCs/>
          <w:color w:val="000000"/>
          <w:sz w:val="24"/>
          <w:szCs w:val="24"/>
        </w:rPr>
        <w:t>PRIMERO. Competencia</w:t>
      </w: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w:t>
      </w:r>
      <w:r>
        <w:rPr>
          <w:rFonts w:ascii="Palatino Linotype" w:eastAsia="Palatino Linotype" w:hAnsi="Palatino Linotype" w:cs="Palatino Linotype"/>
          <w:color w:val="000000"/>
        </w:rPr>
        <w:lastRenderedPageBreak/>
        <w:t>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974A47" w:rsidRDefault="004946C2">
      <w:pPr>
        <w:pStyle w:val="Ttulo2"/>
        <w:spacing w:before="0" w:line="360" w:lineRule="auto"/>
        <w:ind w:right="49"/>
        <w:rPr>
          <w:rFonts w:ascii="Palatino Linotype" w:eastAsia="Palatino Linotype" w:hAnsi="Palatino Linotype" w:cs="Palatino Linotype"/>
          <w:b/>
          <w:bCs/>
          <w:color w:val="000000"/>
          <w:sz w:val="24"/>
          <w:szCs w:val="24"/>
        </w:rPr>
      </w:pPr>
      <w:bookmarkStart w:id="4" w:name="_heading=h.2et92p0" w:colFirst="0" w:colLast="0"/>
      <w:bookmarkEnd w:id="4"/>
      <w:r>
        <w:rPr>
          <w:rFonts w:ascii="Palatino Linotype" w:eastAsia="Palatino Linotype" w:hAnsi="Palatino Linotype" w:cs="Palatino Linotype"/>
          <w:b/>
          <w:bCs/>
          <w:color w:val="000000"/>
          <w:sz w:val="24"/>
          <w:szCs w:val="24"/>
        </w:rPr>
        <w:t>SEGUNDO. Procedencia.</w:t>
      </w: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Órgano Garante considera que el medio de impugnación reúne los requisitos de </w:t>
      </w:r>
      <w:r>
        <w:rPr>
          <w:rFonts w:ascii="Palatino Linotype" w:eastAsia="Palatino Linotype" w:hAnsi="Palatino Linotype" w:cs="Palatino Linotype"/>
          <w:color w:val="000000"/>
        </w:rPr>
        <w:t>procedencia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otro lado, es de suma importancia señalar que la parte recurrente no proporciona un nombre o datos de </w:t>
      </w:r>
      <w:r>
        <w:rPr>
          <w:rFonts w:ascii="Palatino Linotype" w:eastAsia="Palatino Linotype" w:hAnsi="Palatino Linotype" w:cs="Palatino Linotype"/>
          <w:color w:val="000000"/>
        </w:rPr>
        <w:t>identificación</w:t>
      </w:r>
      <w:r>
        <w:rPr>
          <w:rFonts w:ascii="Palatino Linotype" w:eastAsia="Palatino Linotype" w:hAnsi="Palatino Linotype" w:cs="Palatino Linotype"/>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974A47" w:rsidRDefault="00974A47">
      <w:pPr>
        <w:pBdr>
          <w:top w:val="nil"/>
          <w:left w:val="nil"/>
          <w:bottom w:val="nil"/>
          <w:right w:val="nil"/>
          <w:between w:val="nil"/>
        </w:pBdr>
        <w:spacing w:line="360" w:lineRule="auto"/>
        <w:ind w:left="502" w:right="-787"/>
        <w:jc w:val="both"/>
        <w:rPr>
          <w:rFonts w:ascii="Palatino Linotype" w:eastAsia="Palatino Linotype" w:hAnsi="Palatino Linotype" w:cs="Palatino Linotype"/>
        </w:rPr>
      </w:pPr>
    </w:p>
    <w:p w:rsidR="00974A47" w:rsidRDefault="004946C2">
      <w:pPr>
        <w:spacing w:line="360" w:lineRule="auto"/>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Consecuencia de lo anterior, este Órgano Garante advierte que el escrito contiene las </w:t>
      </w:r>
      <w:r>
        <w:rPr>
          <w:rFonts w:ascii="Palatino Linotype" w:eastAsia="Palatino Linotype" w:hAnsi="Palatino Linotype" w:cs="Palatino Linotype"/>
        </w:rPr>
        <w:t>formalidades</w:t>
      </w:r>
      <w:r>
        <w:rPr>
          <w:rFonts w:ascii="Palatino Linotype" w:eastAsia="Palatino Linotype" w:hAnsi="Palatino Linotype" w:cs="Palatino Linotype"/>
          <w:color w:val="000000"/>
        </w:rPr>
        <w:t xml:space="preserve"> previstas por el artículo 180 último párrafo de la Ley de Transparencia y Acceso a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974A47" w:rsidRDefault="00974A47">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974A47" w:rsidRDefault="004946C2">
      <w:pPr>
        <w:pStyle w:val="Ttulo2"/>
        <w:tabs>
          <w:tab w:val="left" w:pos="284"/>
          <w:tab w:val="left" w:pos="426"/>
        </w:tabs>
        <w:spacing w:before="0" w:line="360" w:lineRule="auto"/>
        <w:rPr>
          <w:rFonts w:ascii="Palatino Linotype" w:eastAsia="Palatino Linotype" w:hAnsi="Palatino Linotype" w:cs="Palatino Linotype"/>
          <w:b/>
          <w:bCs/>
          <w:color w:val="000000"/>
          <w:sz w:val="24"/>
          <w:szCs w:val="24"/>
        </w:rPr>
      </w:pPr>
      <w:bookmarkStart w:id="5" w:name="_heading=h.tyjcwt" w:colFirst="0" w:colLast="0"/>
      <w:bookmarkEnd w:id="5"/>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Se solicitó tener acceso, a la información que a continuación se simplifica:</w:t>
      </w:r>
    </w:p>
    <w:p w:rsidR="00974A47" w:rsidRDefault="004946C2">
      <w:pPr>
        <w:numPr>
          <w:ilvl w:val="0"/>
          <w:numId w:val="3"/>
        </w:num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Actas de las Comisiones de Hacienda, Gobernación, y Planeación del 1 de enero al 30 de mayo de 2025.</w:t>
      </w:r>
    </w:p>
    <w:p w:rsidR="00974A47" w:rsidRDefault="00974A4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Inconforme con la respuesta, el solicitante interpuso recurso de revisión argumentando 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dichas condiciones, la controversia a resolver en el presente proveído, corresponde a determinar si se actualiza la </w:t>
      </w:r>
      <w:r>
        <w:rPr>
          <w:rFonts w:ascii="Palatino Linotype" w:eastAsia="Palatino Linotype" w:hAnsi="Palatino Linotype" w:cs="Palatino Linotype"/>
        </w:rPr>
        <w:lastRenderedPageBreak/>
        <w:t xml:space="preserve">causal de procedencia prevista en el artículo 179, fracción V, de la Ley de Transparencia y Acceso a la Información Pública del Estado de México y Municipios; fracción que determina la hipótesis relativa a la entrega de información incompleta; contexto del cual se dolió el Recurrente al momento de interponer su inconformidad. De modo tal que el presente recurso de revisión se abocará en determinar si el Sujeto Obligado con su respuesta ciertamente actualiza la causal de procedencia señalada. </w:t>
      </w:r>
    </w:p>
    <w:p w:rsidR="00974A47" w:rsidRDefault="00974A4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74A47" w:rsidRDefault="004946C2">
      <w:pPr>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CUARTO. Del estudio y resolución del asunto.</w:t>
      </w: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974A47" w:rsidRDefault="00974A4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974A47" w:rsidRDefault="00974A4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74A47" w:rsidRDefault="004946C2">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iCs/>
        </w:rPr>
      </w:pPr>
      <w:bookmarkStart w:id="6" w:name="_heading=h.4gzt1l479sdq" w:colFirst="0" w:colLast="0"/>
      <w:bookmarkEnd w:id="6"/>
      <w:r>
        <w:rPr>
          <w:rFonts w:ascii="Palatino Linotype" w:eastAsia="Palatino Linotype" w:hAnsi="Palatino Linotype" w:cs="Palatino Linotype"/>
        </w:rPr>
        <w:t>Expuesto lo anterior es necesario señalar la naturaleza jurídica de lo solicitado, misma que se encuentra inmersa en el Ley Orgánica Municipal Del Estado de México en su artículo 64 fracción I, 66 y 69, a saber:</w:t>
      </w: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64.- Los ayuntamientos, para el eficaz desempeño de sus funciones públicas, podrán auxiliarse por: </w:t>
      </w: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I. Comisiones del ayuntamiento;</w:t>
      </w: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74A47" w:rsidRDefault="00974A47">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66. Las comisiones del ayuntamiento serán responsables de estudiar, examinar y proponer a éste los acuerdos, acciones o normas tendientes a mejorar la administración pública municipal, la solución de los litigios laborales en su contra, así como de vigilar e </w:t>
      </w:r>
      <w:r>
        <w:rPr>
          <w:rFonts w:ascii="Palatino Linotype" w:eastAsia="Palatino Linotype" w:hAnsi="Palatino Linotype" w:cs="Palatino Linotype"/>
          <w:i/>
          <w:iCs/>
        </w:rPr>
        <w:lastRenderedPageBreak/>
        <w:t xml:space="preserve">informar sobre los asuntos a su cargo y sobre el cumplimiento de las disposiciones y acuerdos que dicte el cabildo. </w:t>
      </w: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Las comisiones, deberán entregar al ayuntamiento, en sesión ordinaria, un informe trimestral que permita conocer y transparentar el desarrollo de sus actividades, trabajo y gestiones realizadas.”</w:t>
      </w:r>
    </w:p>
    <w:p w:rsidR="00974A47" w:rsidRDefault="00974A47">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p>
    <w:p w:rsidR="00974A47" w:rsidRDefault="00974A47">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69.- Las comisiones las determinará el ayuntamiento de acuerdo a las necesidades del municipio y podrán ser permanentes o transitorias. </w:t>
      </w: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Serán permanentes las comisiones: </w:t>
      </w: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De gobernación, cuyo responsable será el presidente municipal; </w:t>
      </w: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De planeación para el desarrollo, que estará a cargo del presidente municipal; </w:t>
      </w: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De hacienda, que presidirá el síndico o el primer síndico, cuando haya más de uno; </w:t>
      </w:r>
    </w:p>
    <w:p w:rsidR="00974A47" w:rsidRDefault="004946C2">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De lo anterior se desprende que ciertamente los ayuntamientos cuentan con la facultad y atribución de conformar comisiones que tiene como función principal el estudio, análisis y dictaminarían de los asuntos que serán discutidos y votados en las sesiones de Cabildo, mismas que se dividen en permanentes y transitorias, siendo entonces que el solicitante requiere de las permanentes, al corresponder estas a la de gobernación, planeación para el desarrollo y de hacienda. En congruencia con lo anterior el Bando Municipal del Ayuntamiento de Atlacomulco 2025, establece lo siguiente:</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974A47" w:rsidRDefault="004946C2">
      <w:pPr>
        <w:pBdr>
          <w:top w:val="nil"/>
          <w:left w:val="nil"/>
          <w:bottom w:val="nil"/>
          <w:right w:val="nil"/>
          <w:between w:val="nil"/>
        </w:pBdr>
        <w:spacing w:line="360" w:lineRule="auto"/>
        <w:ind w:left="567" w:right="47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“Artículo 51. El Ayuntamiento promoverá la participación individual y colectiva en programas de servicio social voluntario, integrando las Comisiones del Ayuntamiento, previstas en la Ley Orgánica; así como los consejos o comités previstos en las Leyes Federales, Estatales y el presente Bando Municipal, así como los derivados de los convenios con otras instancias y organismos de los diferentes niveles de gobierno; siendo las Comisiones Permanentes:</w:t>
      </w:r>
    </w:p>
    <w:p w:rsidR="00974A47" w:rsidRDefault="004946C2">
      <w:pPr>
        <w:pBdr>
          <w:top w:val="nil"/>
          <w:left w:val="nil"/>
          <w:bottom w:val="nil"/>
          <w:right w:val="nil"/>
          <w:between w:val="nil"/>
        </w:pBdr>
        <w:spacing w:line="360" w:lineRule="auto"/>
        <w:ind w:left="567" w:right="474"/>
        <w:jc w:val="both"/>
        <w:rPr>
          <w:rFonts w:ascii="Palatino Linotype" w:eastAsia="Palatino Linotype" w:hAnsi="Palatino Linotype" w:cs="Palatino Linotype"/>
          <w:i/>
          <w:iCs/>
        </w:rPr>
      </w:pPr>
      <w:r>
        <w:rPr>
          <w:rFonts w:ascii="Palatino Linotype" w:eastAsia="Palatino Linotype" w:hAnsi="Palatino Linotype" w:cs="Palatino Linotype"/>
          <w:i/>
          <w:iCs/>
        </w:rPr>
        <w:t>I. De Gobernación; a cargo del Presidente Municipal.</w:t>
      </w:r>
    </w:p>
    <w:p w:rsidR="00974A47" w:rsidRDefault="004946C2">
      <w:pPr>
        <w:pBdr>
          <w:top w:val="nil"/>
          <w:left w:val="nil"/>
          <w:bottom w:val="nil"/>
          <w:right w:val="nil"/>
          <w:between w:val="nil"/>
        </w:pBdr>
        <w:spacing w:line="360" w:lineRule="auto"/>
        <w:ind w:left="567" w:right="474"/>
        <w:jc w:val="both"/>
        <w:rPr>
          <w:rFonts w:ascii="Palatino Linotype" w:eastAsia="Palatino Linotype" w:hAnsi="Palatino Linotype" w:cs="Palatino Linotype"/>
          <w:i/>
          <w:iCs/>
        </w:rPr>
      </w:pPr>
      <w:r>
        <w:rPr>
          <w:rFonts w:ascii="Palatino Linotype" w:eastAsia="Palatino Linotype" w:hAnsi="Palatino Linotype" w:cs="Palatino Linotype"/>
          <w:i/>
          <w:iCs/>
        </w:rPr>
        <w:t>II. De Planeación para el Desarrollo; a cargo del Presidente Municipal; y</w:t>
      </w:r>
    </w:p>
    <w:p w:rsidR="00974A47" w:rsidRDefault="004946C2">
      <w:pPr>
        <w:pBdr>
          <w:top w:val="nil"/>
          <w:left w:val="nil"/>
          <w:bottom w:val="nil"/>
          <w:right w:val="nil"/>
          <w:between w:val="nil"/>
        </w:pBdr>
        <w:spacing w:line="360" w:lineRule="auto"/>
        <w:ind w:left="567" w:right="474"/>
        <w:jc w:val="both"/>
        <w:rPr>
          <w:rFonts w:ascii="Palatino Linotype" w:eastAsia="Palatino Linotype" w:hAnsi="Palatino Linotype" w:cs="Palatino Linotype"/>
          <w:i/>
          <w:iCs/>
        </w:rPr>
      </w:pPr>
      <w:r>
        <w:rPr>
          <w:rFonts w:ascii="Palatino Linotype" w:eastAsia="Palatino Linotype" w:hAnsi="Palatino Linotype" w:cs="Palatino Linotype"/>
          <w:i/>
          <w:iCs/>
        </w:rPr>
        <w:t>III. De Hacienda; que será presidida por la Síndico.”</w:t>
      </w:r>
    </w:p>
    <w:p w:rsidR="00974A47" w:rsidRDefault="00974A4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74A47" w:rsidRDefault="004946C2">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iCs/>
        </w:rPr>
      </w:pPr>
      <w:r>
        <w:rPr>
          <w:rFonts w:ascii="Palatino Linotype" w:eastAsia="Palatino Linotype" w:hAnsi="Palatino Linotype" w:cs="Palatino Linotype"/>
          <w:color w:val="000000"/>
        </w:rPr>
        <w:t xml:space="preserve">En esa tesitura se puede concluir que la naturaleza de las comisiones es colegiada y su existencia es obligatoria durante todo el periodo de la administración municipal (de ahí el término "permanente"); en congruencia con lo anterior, </w:t>
      </w:r>
      <w:r>
        <w:rPr>
          <w:rFonts w:ascii="Palatino Linotype" w:eastAsia="Palatino Linotype" w:hAnsi="Palatino Linotype" w:cs="Palatino Linotype"/>
        </w:rPr>
        <w:t>la respuesta emitida, versó en la entrega de las Actas de Instalación de las C</w:t>
      </w:r>
      <w:r>
        <w:rPr>
          <w:rFonts w:ascii="Palatino Linotype" w:eastAsia="Palatino Linotype" w:hAnsi="Palatino Linotype" w:cs="Palatino Linotype"/>
          <w:color w:val="000000"/>
        </w:rPr>
        <w:t xml:space="preserve">omisiones Edilicias Permanentes de Gobernación, </w:t>
      </w:r>
      <w:r>
        <w:rPr>
          <w:rFonts w:ascii="Palatino Linotype" w:eastAsia="Palatino Linotype" w:hAnsi="Palatino Linotype" w:cs="Palatino Linotype"/>
        </w:rPr>
        <w:t xml:space="preserve">Planeación para el Desarrollo, Hacienda Pública Municipal y el Acta de la Primera Sesión Ordinaria de la Comisión de Hacienda Pública Municipal, mismas que se señaló han sido las celebradas; </w:t>
      </w:r>
      <w:r>
        <w:rPr>
          <w:rFonts w:ascii="Palatino Linotype" w:eastAsia="Palatino Linotype" w:hAnsi="Palatino Linotype" w:cs="Palatino Linotype"/>
          <w:color w:val="000000"/>
        </w:rPr>
        <w:t>no obstante como se desprende de los preceptos transcritos, no existe una norma que establezca la frecuencia con que deben sesionar las comisiones.</w:t>
      </w:r>
    </w:p>
    <w:p w:rsidR="00974A47" w:rsidRDefault="004946C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Sin embargo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 calidad de informe justificado, refiere que las sesiones se desarrollan de manera trimestral, sin aludir a que en dicho periodo se hayan celebrado sesiones </w:t>
      </w:r>
      <w:r>
        <w:rPr>
          <w:rFonts w:ascii="Palatino Linotype" w:eastAsia="Palatino Linotype" w:hAnsi="Palatino Linotype" w:cs="Palatino Linotype"/>
        </w:rPr>
        <w:t>extraordinarias</w:t>
      </w:r>
      <w:r>
        <w:rPr>
          <w:rFonts w:ascii="Palatino Linotype" w:eastAsia="Palatino Linotype" w:hAnsi="Palatino Linotype" w:cs="Palatino Linotype"/>
          <w:color w:val="000000"/>
        </w:rPr>
        <w:t xml:space="preserve">, puntualizando que a la fecha de ingreso de la solicitud </w:t>
      </w:r>
      <w:r>
        <w:rPr>
          <w:rFonts w:ascii="Palatino Linotype" w:eastAsia="Palatino Linotype" w:hAnsi="Palatino Linotype" w:cs="Palatino Linotype"/>
          <w:color w:val="000000"/>
        </w:rPr>
        <w:lastRenderedPageBreak/>
        <w:t>de información, las sesiones de instalación y Primera Ordinaria de una de las comisiones aludidas, es el soporte documental, generado, poseído y administrado.</w:t>
      </w:r>
    </w:p>
    <w:p w:rsidR="00974A47" w:rsidRDefault="00974A4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Pronunciamiento del cual es de explorado derecho, </w:t>
      </w:r>
      <w:r>
        <w:rPr>
          <w:rFonts w:ascii="Palatino Linotype" w:eastAsia="Palatino Linotype" w:hAnsi="Palatino Linotype" w:cs="Palatino Linotype"/>
        </w:rPr>
        <w:t xml:space="preserve">este Órgano Garante carece de facultades para dudar de la veracidad de la respuesta emitida. Por lo anterior resulta </w:t>
      </w:r>
      <w:r>
        <w:rPr>
          <w:rFonts w:ascii="Palatino Linotype" w:eastAsia="Palatino Linotype" w:hAnsi="Palatino Linotype" w:cs="Palatino Linotype"/>
          <w:color w:val="000000"/>
        </w:rPr>
        <w:t>necesario</w:t>
      </w:r>
      <w:r>
        <w:rPr>
          <w:rFonts w:ascii="Palatino Linotype" w:eastAsia="Palatino Linotype" w:hAnsi="Palatino Linotype" w:cs="Palatino Linotype"/>
        </w:rPr>
        <w:t xml:space="preserve"> puntualizar con claridad que éste Órgano Garante no está facultado para pronunciarse sobre la veracidad de la información que los Sujetos Obligados ponen a disposición de los solicitantes; situación que se aleja de las atribuciones de este Instituto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974A47" w:rsidRDefault="00974A47">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mismo,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974A47" w:rsidRDefault="004946C2">
      <w:pPr>
        <w:pBdr>
          <w:top w:val="nil"/>
          <w:left w:val="nil"/>
          <w:bottom w:val="nil"/>
          <w:right w:val="nil"/>
          <w:between w:val="nil"/>
        </w:pBdr>
        <w:spacing w:line="360" w:lineRule="auto"/>
        <w:ind w:left="644" w:right="902"/>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 xml:space="preserve">Los Sujetos Obligados deben poner en práctica, políticas y programas de acceso a la información que se apeguen a criterios de </w:t>
      </w:r>
      <w:r>
        <w:rPr>
          <w:rFonts w:ascii="Palatino Linotype" w:eastAsia="Palatino Linotype" w:hAnsi="Palatino Linotype" w:cs="Palatino Linotype"/>
          <w:b/>
          <w:bCs/>
          <w:i/>
          <w:iCs/>
          <w:color w:val="000000"/>
        </w:rPr>
        <w:lastRenderedPageBreak/>
        <w:t>publicidad, veracidad, oportunidad, precisión y suficiencia en beneficio de los solicitantes.</w:t>
      </w:r>
    </w:p>
    <w:p w:rsidR="00974A47" w:rsidRDefault="00974A47">
      <w:pPr>
        <w:spacing w:line="360" w:lineRule="auto"/>
        <w:ind w:right="902"/>
        <w:jc w:val="both"/>
        <w:rPr>
          <w:rFonts w:ascii="Palatino Linotype" w:eastAsia="Palatino Linotype" w:hAnsi="Palatino Linotype" w:cs="Palatino Linotype"/>
          <w:b/>
          <w:bCs/>
          <w:i/>
          <w:iCs/>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Numerales que compelen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apegarse en todo momento a los criterios ya expuestos, impidiendo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p>
    <w:p w:rsidR="00974A47" w:rsidRDefault="00974A47">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974A47" w:rsidRDefault="004946C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bookmarkStart w:id="7" w:name="_heading=h.r26ayznfuenp" w:colFirst="0" w:colLast="0"/>
      <w:bookmarkEnd w:id="7"/>
      <w:r>
        <w:rPr>
          <w:rFonts w:ascii="Palatino Linotype" w:eastAsia="Palatino Linotype" w:hAnsi="Palatino Linotype" w:cs="Palatino Linotype"/>
        </w:rPr>
        <w:t>Expuesto todo lo anterior</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 lo dispuesto en el artículo 186, fracción III de la Ley de Transparencia y Acceso a la Información Pública del Estado de México y Municipios, el Pleno de este Instituto, estima que las razones o motivos de inconformidad planteadas por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resultan infundadas; en consecuencia, este Órgano Garante determina </w:t>
      </w:r>
      <w:r>
        <w:rPr>
          <w:rFonts w:ascii="Palatino Linotype" w:eastAsia="Palatino Linotype" w:hAnsi="Palatino Linotype" w:cs="Palatino Linotype"/>
          <w:b/>
          <w:bCs/>
        </w:rPr>
        <w:t>CONFIRMAR</w:t>
      </w:r>
      <w:r>
        <w:rPr>
          <w:rFonts w:ascii="Palatino Linotype" w:eastAsia="Palatino Linotype" w:hAnsi="Palatino Linotype" w:cs="Palatino Linotype"/>
        </w:rPr>
        <w:t xml:space="preserve"> la respuesta otorgada por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a la solicitud de información que dio trámite al Recurso de Revisión número: </w:t>
      </w:r>
      <w:r>
        <w:rPr>
          <w:rFonts w:ascii="Palatino Linotype" w:eastAsia="Palatino Linotype" w:hAnsi="Palatino Linotype" w:cs="Palatino Linotype"/>
          <w:b/>
          <w:bCs/>
        </w:rPr>
        <w:t>07593/INFOEM/IP/RR/2025.</w:t>
      </w:r>
    </w:p>
    <w:p w:rsidR="00974A47" w:rsidRDefault="00974A4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74A47" w:rsidRDefault="004946C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 la determinación anterior, se estima </w:t>
      </w:r>
      <w:r>
        <w:rPr>
          <w:rFonts w:ascii="Palatino Linotype" w:eastAsia="Palatino Linotype" w:hAnsi="Palatino Linotype" w:cs="Palatino Linotype"/>
        </w:rPr>
        <w:t>quedará</w:t>
      </w:r>
      <w:r>
        <w:rPr>
          <w:rFonts w:ascii="Palatino Linotype" w:eastAsia="Palatino Linotype" w:hAnsi="Palatino Linotype" w:cs="Palatino Linotype"/>
          <w:color w:val="000000"/>
        </w:rPr>
        <w:t xml:space="preserve"> por colmado el derecho de acceso a la información del ahora Recurrente; toda vez que el Derecho que tutela este Órgano Garante corresponde a la  </w:t>
      </w:r>
      <w:r>
        <w:rPr>
          <w:rFonts w:ascii="Palatino Linotype" w:eastAsia="Palatino Linotype" w:hAnsi="Palatino Linotype" w:cs="Palatino Linotype"/>
          <w:i/>
          <w:iCs/>
          <w:color w:val="000000"/>
        </w:rPr>
        <w:t>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i/>
          <w:iCs/>
          <w:color w:val="000000"/>
        </w:rPr>
        <w:lastRenderedPageBreak/>
        <w:t xml:space="preserve">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w:t>
      </w:r>
      <w:r>
        <w:rPr>
          <w:rFonts w:ascii="Palatino Linotype" w:eastAsia="Palatino Linotype" w:hAnsi="Palatino Linotype" w:cs="Palatino Linotype"/>
          <w:color w:val="000000"/>
        </w:rPr>
        <w:t>fideicomisos</w:t>
      </w:r>
      <w:r>
        <w:rPr>
          <w:rFonts w:ascii="Palatino Linotype" w:eastAsia="Palatino Linotype" w:hAnsi="Palatino Linotype" w:cs="Palatino Linotype"/>
          <w:i/>
          <w:iCs/>
          <w:color w:val="000000"/>
        </w:rPr>
        <w:t>,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5"/>
      </w:r>
      <w:r>
        <w:rPr>
          <w:rFonts w:ascii="Palatino Linotype" w:eastAsia="Palatino Linotype" w:hAnsi="Palatino Linotype" w:cs="Palatino Linotype"/>
          <w:color w:val="000000"/>
        </w:rPr>
        <w:t xml:space="preserve"> ” </w:t>
      </w:r>
    </w:p>
    <w:p w:rsidR="00974A47" w:rsidRDefault="00974A4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74A47" w:rsidRDefault="004946C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974A47" w:rsidRDefault="004946C2">
      <w:pPr>
        <w:spacing w:line="360" w:lineRule="auto"/>
        <w:ind w:left="426" w:right="56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“CRITERIO 0002-11</w:t>
      </w:r>
    </w:p>
    <w:p w:rsidR="00974A47" w:rsidRDefault="004946C2">
      <w:pPr>
        <w:spacing w:line="360" w:lineRule="auto"/>
        <w:ind w:left="425" w:right="56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974A47" w:rsidRDefault="004946C2">
      <w:pPr>
        <w:spacing w:line="360" w:lineRule="auto"/>
        <w:ind w:left="425" w:right="56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974A47" w:rsidRDefault="004946C2">
      <w:pPr>
        <w:spacing w:line="360" w:lineRule="auto"/>
        <w:ind w:left="425" w:right="56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974A47" w:rsidRDefault="004946C2">
      <w:pPr>
        <w:spacing w:line="360" w:lineRule="auto"/>
        <w:ind w:left="425" w:right="56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974A47" w:rsidRDefault="004946C2">
      <w:pPr>
        <w:spacing w:line="360" w:lineRule="auto"/>
        <w:ind w:left="425" w:right="56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974A47" w:rsidRDefault="00974A47">
      <w:pPr>
        <w:spacing w:line="360" w:lineRule="auto"/>
        <w:jc w:val="both"/>
        <w:rPr>
          <w:rFonts w:ascii="Palatino Linotype" w:eastAsia="Palatino Linotype" w:hAnsi="Palatino Linotype" w:cs="Palatino Linotype"/>
          <w:color w:val="000000"/>
        </w:rPr>
      </w:pPr>
    </w:p>
    <w:p w:rsidR="00974A47" w:rsidRDefault="004946C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w:t>
      </w:r>
      <w:r>
        <w:rPr>
          <w:rFonts w:ascii="Palatino Linotype" w:eastAsia="Palatino Linotype" w:hAnsi="Palatino Linotype" w:cs="Palatino Linotype"/>
          <w:color w:val="000000"/>
        </w:rPr>
        <w:t>estar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974A47" w:rsidRDefault="00974A4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74A47" w:rsidRDefault="004946C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Además, debemos tomar en cuenta los artículos 4 y 12 (antes transcrito), de la Ley de Transparencia y Acceso a la Información Pública del Estado de México y Municipios, los cuales establecen lo siguiente:</w:t>
      </w:r>
    </w:p>
    <w:p w:rsidR="00974A47" w:rsidRDefault="004946C2">
      <w:pPr>
        <w:spacing w:line="360" w:lineRule="auto"/>
        <w:ind w:left="425"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974A47" w:rsidRDefault="004946C2">
      <w:pPr>
        <w:spacing w:line="360" w:lineRule="auto"/>
        <w:ind w:left="426"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74A47" w:rsidRDefault="004946C2">
      <w:pPr>
        <w:spacing w:line="360" w:lineRule="auto"/>
        <w:ind w:left="426"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974A47" w:rsidRDefault="00974A47">
      <w:pPr>
        <w:spacing w:line="360" w:lineRule="auto"/>
        <w:jc w:val="both"/>
        <w:rPr>
          <w:rFonts w:ascii="Palatino Linotype" w:eastAsia="Palatino Linotype" w:hAnsi="Palatino Linotype" w:cs="Palatino Linotype"/>
          <w:color w:val="000000"/>
        </w:rPr>
      </w:pPr>
    </w:p>
    <w:p w:rsidR="00974A47" w:rsidRDefault="004946C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 xml:space="preserve"> y máxima publicidad, </w:t>
      </w:r>
      <w:r>
        <w:rPr>
          <w:rFonts w:ascii="Palatino Linotype" w:eastAsia="Palatino Linotype" w:hAnsi="Palatino Linotype" w:cs="Palatino Linotype"/>
          <w:color w:val="000000"/>
        </w:rPr>
        <w:lastRenderedPageBreak/>
        <w:t>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974A47" w:rsidRDefault="00974A47">
      <w:pPr>
        <w:spacing w:line="360" w:lineRule="auto"/>
        <w:jc w:val="both"/>
        <w:rPr>
          <w:rFonts w:ascii="Palatino Linotype" w:eastAsia="Palatino Linotype" w:hAnsi="Palatino Linotype" w:cs="Palatino Linotype"/>
          <w:color w:val="000000"/>
        </w:rPr>
      </w:pPr>
    </w:p>
    <w:p w:rsidR="00974A47" w:rsidRDefault="004946C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974A47" w:rsidRDefault="004946C2">
      <w:pPr>
        <w:pBdr>
          <w:top w:val="nil"/>
          <w:left w:val="nil"/>
          <w:bottom w:val="nil"/>
          <w:right w:val="nil"/>
          <w:between w:val="nil"/>
        </w:pBdr>
        <w:tabs>
          <w:tab w:val="left" w:pos="851"/>
        </w:tabs>
        <w:spacing w:line="360" w:lineRule="auto"/>
        <w:ind w:left="425" w:right="425"/>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w:t>
      </w:r>
      <w:r>
        <w:rPr>
          <w:rFonts w:ascii="Palatino Linotype" w:eastAsia="Palatino Linotype" w:hAnsi="Palatino Linotype" w:cs="Palatino Linotype"/>
          <w:i/>
          <w:iCs/>
          <w:color w:val="000000"/>
        </w:rPr>
        <w:lastRenderedPageBreak/>
        <w:t>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974A47" w:rsidRDefault="00974A47">
      <w:pPr>
        <w:pBdr>
          <w:top w:val="nil"/>
          <w:left w:val="nil"/>
          <w:bottom w:val="nil"/>
          <w:right w:val="nil"/>
          <w:between w:val="nil"/>
        </w:pBdr>
        <w:spacing w:line="360" w:lineRule="auto"/>
        <w:ind w:left="720"/>
        <w:rPr>
          <w:rFonts w:ascii="Palatino Linotype" w:eastAsia="Palatino Linotype" w:hAnsi="Palatino Linotype" w:cs="Palatino Linotype"/>
          <w:b/>
          <w:bCs/>
          <w:color w:val="000000"/>
        </w:rPr>
      </w:pPr>
      <w:bookmarkStart w:id="8" w:name="_heading=h.2qpzgbaazu7x" w:colFirst="0" w:colLast="0"/>
      <w:bookmarkEnd w:id="8"/>
    </w:p>
    <w:p w:rsidR="00974A47" w:rsidRDefault="004946C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9" w:name="_heading=h.j9v2qofpbptb" w:colFirst="0" w:colLast="0"/>
      <w:bookmarkEnd w:id="9"/>
      <w:r>
        <w:rPr>
          <w:rFonts w:ascii="Palatino Linotype" w:eastAsia="Palatino Linotype" w:hAnsi="Palatino Linotype" w:cs="Palatino Linotype"/>
          <w:color w:val="000000"/>
        </w:rPr>
        <w:t xml:space="preserve">Así, con fundamento en lo previsto en los artículos 5, párrafos trigésimo, trigésimo primero y trigésimo segundo, fracciones IV y V, de la Constitución Política del Estado Libre y Soberano de México, y los artículos 2, fracción II, 9, 29, 36, fracciones I y II, 176, 178, 179, 181, 185, fracción I, 186 y 188, de la Ley de Transparencia y Acceso a la Información Pública del Estado de México y Municipios, este Pleno emite los siguientes: </w:t>
      </w:r>
    </w:p>
    <w:p w:rsidR="00974A47" w:rsidRDefault="00974A47">
      <w:pPr>
        <w:spacing w:line="360" w:lineRule="auto"/>
        <w:rPr>
          <w:rFonts w:ascii="Palatino Linotype" w:eastAsia="Palatino Linotype" w:hAnsi="Palatino Linotype" w:cs="Palatino Linotype"/>
          <w:color w:val="000000"/>
        </w:rPr>
      </w:pPr>
    </w:p>
    <w:p w:rsidR="00974A47" w:rsidRDefault="004946C2">
      <w:pPr>
        <w:pStyle w:val="Ttulo1"/>
        <w:spacing w:before="0" w:line="360" w:lineRule="auto"/>
        <w:jc w:val="center"/>
        <w:rPr>
          <w:rFonts w:ascii="Palatino Linotype" w:eastAsia="Palatino Linotype" w:hAnsi="Palatino Linotype" w:cs="Palatino Linotype"/>
          <w:b/>
          <w:bCs/>
          <w:color w:val="000000"/>
          <w:sz w:val="24"/>
          <w:szCs w:val="24"/>
        </w:rPr>
      </w:pPr>
      <w:bookmarkStart w:id="10" w:name="_heading=h.xlx03h3l7ytb" w:colFirst="0" w:colLast="0"/>
      <w:bookmarkEnd w:id="10"/>
      <w:r>
        <w:rPr>
          <w:rFonts w:ascii="Palatino Linotype" w:eastAsia="Palatino Linotype" w:hAnsi="Palatino Linotype" w:cs="Palatino Linotype"/>
          <w:b/>
          <w:bCs/>
          <w:color w:val="000000"/>
          <w:sz w:val="24"/>
          <w:szCs w:val="24"/>
        </w:rPr>
        <w:t>R E S O L U T I V O S</w:t>
      </w:r>
    </w:p>
    <w:p w:rsidR="00974A47" w:rsidRDefault="00974A47">
      <w:pPr>
        <w:spacing w:line="360" w:lineRule="auto"/>
        <w:rPr>
          <w:rFonts w:ascii="Palatino Linotype" w:eastAsia="Palatino Linotype" w:hAnsi="Palatino Linotype" w:cs="Palatino Linotype"/>
        </w:rPr>
      </w:pPr>
    </w:p>
    <w:p w:rsidR="00974A47" w:rsidRDefault="004946C2">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infundadas las razones o motivos de inconformidad hechos valer en el Recurso de Revisión </w:t>
      </w:r>
      <w:r>
        <w:rPr>
          <w:rFonts w:ascii="Palatino Linotype" w:eastAsia="Palatino Linotype" w:hAnsi="Palatino Linotype" w:cs="Palatino Linotype"/>
          <w:b/>
          <w:bCs/>
        </w:rPr>
        <w:t>07593/INFOEM/IP/RR/2025</w:t>
      </w:r>
      <w:r>
        <w:rPr>
          <w:rFonts w:ascii="Palatino Linotype" w:eastAsia="Palatino Linotype" w:hAnsi="Palatino Linotype" w:cs="Palatino Linotype"/>
        </w:rPr>
        <w:t xml:space="preserve">, en términos del Considerando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974A47" w:rsidRDefault="00974A47">
      <w:pPr>
        <w:spacing w:line="360" w:lineRule="auto"/>
        <w:jc w:val="both"/>
        <w:rPr>
          <w:rFonts w:ascii="Palatino Linotype" w:eastAsia="Palatino Linotype" w:hAnsi="Palatino Linotype" w:cs="Palatino Linotype"/>
        </w:rPr>
      </w:pPr>
    </w:p>
    <w:p w:rsidR="00974A47" w:rsidRDefault="004946C2">
      <w:pP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SEGUNDO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CONFIRMA</w:t>
      </w:r>
      <w:r>
        <w:rPr>
          <w:rFonts w:ascii="Palatino Linotype" w:eastAsia="Palatino Linotype" w:hAnsi="Palatino Linotype" w:cs="Palatino Linotype"/>
        </w:rPr>
        <w:t xml:space="preserve"> la respuesta emitida por el </w:t>
      </w:r>
      <w:r>
        <w:rPr>
          <w:rFonts w:ascii="Palatino Linotype" w:eastAsia="Palatino Linotype" w:hAnsi="Palatino Linotype" w:cs="Palatino Linotype"/>
          <w:color w:val="000000"/>
        </w:rPr>
        <w:t>Ayuntamiento de Atlacomulco</w:t>
      </w:r>
      <w:r>
        <w:rPr>
          <w:rFonts w:ascii="Palatino Linotype" w:eastAsia="Palatino Linotype" w:hAnsi="Palatino Linotype" w:cs="Palatino Linotype"/>
          <w:b/>
          <w:bCs/>
        </w:rPr>
        <w:t xml:space="preserve">, </w:t>
      </w:r>
      <w:r>
        <w:rPr>
          <w:rFonts w:ascii="Palatino Linotype" w:eastAsia="Palatino Linotype" w:hAnsi="Palatino Linotype" w:cs="Palatino Linotype"/>
        </w:rPr>
        <w:t>en la Solicitud de Acceso a la Información Pública:</w:t>
      </w:r>
      <w:r>
        <w:rPr>
          <w:rFonts w:ascii="Palatino Linotype" w:eastAsia="Palatino Linotype" w:hAnsi="Palatino Linotype" w:cs="Palatino Linotype"/>
          <w:b/>
          <w:bCs/>
        </w:rPr>
        <w:t> </w:t>
      </w:r>
      <w:r>
        <w:rPr>
          <w:rFonts w:ascii="Palatino Linotype" w:eastAsia="Palatino Linotype" w:hAnsi="Palatino Linotype" w:cs="Palatino Linotype"/>
          <w:b/>
          <w:bCs/>
          <w:color w:val="000000"/>
        </w:rPr>
        <w:t>00370/ATLACOM/IP/2025</w:t>
      </w:r>
      <w:r>
        <w:rPr>
          <w:rFonts w:ascii="Palatino Linotype" w:eastAsia="Palatino Linotype" w:hAnsi="Palatino Linotype" w:cs="Palatino Linotype"/>
          <w:color w:val="000000"/>
        </w:rPr>
        <w:t>.</w:t>
      </w:r>
    </w:p>
    <w:p w:rsidR="00974A47" w:rsidRDefault="00974A47">
      <w:pPr>
        <w:spacing w:line="360" w:lineRule="auto"/>
        <w:jc w:val="both"/>
        <w:rPr>
          <w:rFonts w:ascii="Palatino Linotype" w:eastAsia="Palatino Linotype" w:hAnsi="Palatino Linotype" w:cs="Palatino Linotype"/>
          <w:b/>
          <w:bCs/>
        </w:rPr>
      </w:pPr>
    </w:p>
    <w:p w:rsidR="00974A47" w:rsidRDefault="004946C2">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TERCERO.</w:t>
      </w:r>
      <w:r>
        <w:rPr>
          <w:rFonts w:ascii="Palatino Linotype" w:eastAsia="Palatino Linotype" w:hAnsi="Palatino Linotype" w:cs="Palatino Linotype"/>
        </w:rPr>
        <w:t xml:space="preserve"> Notifíquese al Titular de la Unidad de Transparencia del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vía </w:t>
      </w:r>
      <w:r>
        <w:rPr>
          <w:rFonts w:ascii="Palatino Linotype" w:eastAsia="Palatino Linotype" w:hAnsi="Palatino Linotype" w:cs="Palatino Linotype"/>
          <w:b/>
          <w:bCs/>
        </w:rPr>
        <w:t>SAIMEX</w:t>
      </w:r>
      <w:r>
        <w:rPr>
          <w:rFonts w:ascii="Palatino Linotype" w:eastAsia="Palatino Linotype" w:hAnsi="Palatino Linotype" w:cs="Palatino Linotype"/>
        </w:rPr>
        <w:t>, para su conocimiento.</w:t>
      </w:r>
    </w:p>
    <w:p w:rsidR="00974A47" w:rsidRDefault="00974A47">
      <w:pPr>
        <w:shd w:val="clear" w:color="auto" w:fill="FFFFFF"/>
        <w:spacing w:line="360" w:lineRule="auto"/>
        <w:jc w:val="both"/>
        <w:rPr>
          <w:rFonts w:ascii="Palatino Linotype" w:eastAsia="Palatino Linotype" w:hAnsi="Palatino Linotype" w:cs="Palatino Linotype"/>
        </w:rPr>
      </w:pPr>
    </w:p>
    <w:p w:rsidR="00974A47" w:rsidRDefault="004946C2">
      <w:pPr>
        <w:shd w:val="clear" w:color="auto" w:fill="FFFFFF"/>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CUARTO.</w:t>
      </w:r>
      <w:r w:rsidR="00C418D1">
        <w:rPr>
          <w:rFonts w:ascii="Palatino Linotype" w:eastAsia="Palatino Linotype" w:hAnsi="Palatino Linotype" w:cs="Palatino Linotype"/>
        </w:rPr>
        <w:t xml:space="preserve"> Notifíquese al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SAIMEX.</w:t>
      </w:r>
    </w:p>
    <w:p w:rsidR="00974A47" w:rsidRDefault="00974A47">
      <w:pPr>
        <w:shd w:val="clear" w:color="auto" w:fill="FFFFFF"/>
        <w:spacing w:line="360" w:lineRule="auto"/>
        <w:jc w:val="both"/>
        <w:rPr>
          <w:rFonts w:ascii="Palatino Linotype" w:eastAsia="Palatino Linotype" w:hAnsi="Palatino Linotype" w:cs="Palatino Linotype"/>
          <w:b/>
          <w:bCs/>
        </w:rPr>
      </w:pPr>
    </w:p>
    <w:p w:rsidR="00974A47" w:rsidRDefault="004946C2">
      <w:pPr>
        <w:shd w:val="clear" w:color="auto" w:fill="FFFFFF"/>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sidR="00C418D1">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974A47" w:rsidRDefault="00974A47">
      <w:pPr>
        <w:shd w:val="clear" w:color="auto" w:fill="FFFFFF"/>
        <w:spacing w:line="360" w:lineRule="auto"/>
        <w:ind w:right="49"/>
        <w:jc w:val="both"/>
        <w:rPr>
          <w:rFonts w:ascii="Palatino Linotype" w:eastAsia="Palatino Linotype" w:hAnsi="Palatino Linotype" w:cs="Palatino Linotype"/>
        </w:rPr>
      </w:pPr>
    </w:p>
    <w:p w:rsidR="00C418D1" w:rsidRPr="00C418D1" w:rsidRDefault="00C418D1" w:rsidP="00C418D1">
      <w:pPr>
        <w:spacing w:before="240" w:after="240" w:line="360" w:lineRule="auto"/>
        <w:ind w:firstLine="1"/>
        <w:jc w:val="both"/>
        <w:rPr>
          <w:rFonts w:ascii="Palatino Linotype" w:hAnsi="Palatino Linotype"/>
          <w:szCs w:val="22"/>
        </w:rPr>
      </w:pPr>
      <w:bookmarkStart w:id="11" w:name="_Hlk99014733"/>
      <w:r w:rsidRPr="00C418D1">
        <w:rPr>
          <w:rFonts w:ascii="Palatino Linotype" w:hAnsi="Palatino Linotype" w:cs="Palatino Linotype"/>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C418D1">
        <w:rPr>
          <w:rFonts w:ascii="Palatino Linotype" w:hAnsi="Palatino Linotype" w:cs="Palatino Linotype"/>
          <w:color w:val="000000" w:themeColor="text1"/>
          <w:szCs w:val="22"/>
        </w:rPr>
        <w:t>ALEXIS TAPIA RAMÍREZ.</w:t>
      </w:r>
    </w:p>
    <w:bookmarkEnd w:id="11"/>
    <w:p w:rsidR="00974A47" w:rsidRPr="00C418D1" w:rsidRDefault="00974A47">
      <w:pPr>
        <w:spacing w:line="360" w:lineRule="auto"/>
        <w:ind w:right="49"/>
        <w:jc w:val="both"/>
        <w:rPr>
          <w:rFonts w:ascii="Palatino Linotype" w:eastAsia="Palatino Linotype" w:hAnsi="Palatino Linotype" w:cs="Palatino Linotype"/>
          <w:sz w:val="28"/>
        </w:rPr>
      </w:pPr>
    </w:p>
    <w:p w:rsidR="00974A47" w:rsidRPr="00C418D1" w:rsidRDefault="00974A47">
      <w:pPr>
        <w:spacing w:line="360" w:lineRule="auto"/>
        <w:ind w:right="49"/>
        <w:jc w:val="both"/>
        <w:rPr>
          <w:rFonts w:ascii="Palatino Linotype" w:eastAsia="Palatino Linotype" w:hAnsi="Palatino Linotype" w:cs="Palatino Linotype"/>
          <w:sz w:val="28"/>
        </w:rPr>
      </w:pPr>
    </w:p>
    <w:p w:rsidR="00974A47" w:rsidRPr="00C418D1" w:rsidRDefault="00974A47">
      <w:pPr>
        <w:spacing w:line="360" w:lineRule="auto"/>
        <w:ind w:right="49"/>
        <w:rPr>
          <w:rFonts w:ascii="Palatino Linotype" w:eastAsia="Palatino Linotype" w:hAnsi="Palatino Linotype" w:cs="Palatino Linotype"/>
          <w:sz w:val="28"/>
        </w:rPr>
      </w:pPr>
    </w:p>
    <w:p w:rsidR="00974A47" w:rsidRDefault="00974A47">
      <w:pPr>
        <w:spacing w:line="360" w:lineRule="auto"/>
        <w:ind w:right="49"/>
        <w:rPr>
          <w:rFonts w:ascii="Palatino Linotype" w:eastAsia="Palatino Linotype" w:hAnsi="Palatino Linotype" w:cs="Palatino Linotype"/>
        </w:rPr>
      </w:pPr>
    </w:p>
    <w:p w:rsidR="00974A47" w:rsidRDefault="00974A47">
      <w:pPr>
        <w:spacing w:line="360" w:lineRule="auto"/>
        <w:ind w:right="49"/>
        <w:rPr>
          <w:rFonts w:ascii="Palatino Linotype" w:eastAsia="Palatino Linotype" w:hAnsi="Palatino Linotype" w:cs="Palatino Linotype"/>
        </w:rPr>
      </w:pPr>
    </w:p>
    <w:p w:rsidR="00974A47" w:rsidRDefault="00974A47">
      <w:pPr>
        <w:spacing w:line="360" w:lineRule="auto"/>
        <w:ind w:right="49"/>
        <w:rPr>
          <w:rFonts w:ascii="Palatino Linotype" w:eastAsia="Palatino Linotype" w:hAnsi="Palatino Linotype" w:cs="Palatino Linotype"/>
        </w:rPr>
      </w:pPr>
    </w:p>
    <w:p w:rsidR="00974A47" w:rsidRDefault="00974A47">
      <w:pPr>
        <w:spacing w:line="360" w:lineRule="auto"/>
        <w:ind w:right="49"/>
        <w:rPr>
          <w:rFonts w:ascii="Palatino Linotype" w:eastAsia="Palatino Linotype" w:hAnsi="Palatino Linotype" w:cs="Palatino Linotype"/>
        </w:rPr>
      </w:pPr>
    </w:p>
    <w:p w:rsidR="00974A47" w:rsidRDefault="00974A47">
      <w:pPr>
        <w:spacing w:line="360" w:lineRule="auto"/>
        <w:ind w:right="49"/>
        <w:rPr>
          <w:rFonts w:ascii="Palatino Linotype" w:eastAsia="Palatino Linotype" w:hAnsi="Palatino Linotype" w:cs="Palatino Linotype"/>
        </w:rPr>
      </w:pPr>
    </w:p>
    <w:p w:rsidR="00974A47" w:rsidRDefault="00974A47">
      <w:pPr>
        <w:spacing w:line="360" w:lineRule="auto"/>
        <w:ind w:right="49"/>
        <w:rPr>
          <w:rFonts w:ascii="Palatino Linotype" w:eastAsia="Palatino Linotype" w:hAnsi="Palatino Linotype" w:cs="Palatino Linotype"/>
        </w:rPr>
      </w:pPr>
    </w:p>
    <w:p w:rsidR="00974A47" w:rsidRDefault="004946C2">
      <w:pPr>
        <w:tabs>
          <w:tab w:val="left" w:pos="3374"/>
        </w:tabs>
        <w:spacing w:line="360" w:lineRule="auto"/>
        <w:ind w:right="49"/>
        <w:rPr>
          <w:rFonts w:ascii="Palatino Linotype" w:eastAsia="Palatino Linotype" w:hAnsi="Palatino Linotype" w:cs="Palatino Linotype"/>
        </w:rPr>
      </w:pPr>
      <w:r>
        <w:rPr>
          <w:rFonts w:ascii="Palatino Linotype" w:eastAsia="Palatino Linotype" w:hAnsi="Palatino Linotype" w:cs="Palatino Linotype"/>
        </w:rPr>
        <w:tab/>
      </w:r>
    </w:p>
    <w:p w:rsidR="00974A47" w:rsidRDefault="00974A47">
      <w:pPr>
        <w:tabs>
          <w:tab w:val="left" w:pos="3374"/>
        </w:tabs>
        <w:spacing w:line="360" w:lineRule="auto"/>
        <w:ind w:right="49"/>
        <w:rPr>
          <w:rFonts w:ascii="Palatino Linotype" w:eastAsia="Palatino Linotype" w:hAnsi="Palatino Linotype" w:cs="Palatino Linotype"/>
        </w:rPr>
      </w:pPr>
    </w:p>
    <w:p w:rsidR="00974A47" w:rsidRDefault="00974A47">
      <w:pPr>
        <w:tabs>
          <w:tab w:val="left" w:pos="3374"/>
        </w:tabs>
        <w:spacing w:line="360" w:lineRule="auto"/>
        <w:ind w:right="49"/>
        <w:rPr>
          <w:rFonts w:ascii="Palatino Linotype" w:eastAsia="Palatino Linotype" w:hAnsi="Palatino Linotype" w:cs="Palatino Linotype"/>
        </w:rPr>
      </w:pPr>
    </w:p>
    <w:p w:rsidR="00974A47" w:rsidRDefault="00974A47">
      <w:pPr>
        <w:tabs>
          <w:tab w:val="left" w:pos="3374"/>
        </w:tabs>
        <w:spacing w:line="360" w:lineRule="auto"/>
        <w:ind w:right="49"/>
        <w:rPr>
          <w:rFonts w:ascii="Palatino Linotype" w:eastAsia="Palatino Linotype" w:hAnsi="Palatino Linotype" w:cs="Palatino Linotype"/>
        </w:rPr>
      </w:pPr>
    </w:p>
    <w:p w:rsidR="00974A47" w:rsidRDefault="00974A47">
      <w:pPr>
        <w:tabs>
          <w:tab w:val="left" w:pos="3374"/>
        </w:tabs>
        <w:spacing w:line="360" w:lineRule="auto"/>
        <w:ind w:right="49"/>
        <w:rPr>
          <w:rFonts w:ascii="Palatino Linotype" w:eastAsia="Palatino Linotype" w:hAnsi="Palatino Linotype" w:cs="Palatino Linotype"/>
        </w:rPr>
      </w:pPr>
    </w:p>
    <w:p w:rsidR="00974A47" w:rsidRDefault="00974A47">
      <w:pPr>
        <w:tabs>
          <w:tab w:val="left" w:pos="3374"/>
        </w:tabs>
        <w:spacing w:line="360" w:lineRule="auto"/>
        <w:ind w:right="49"/>
        <w:rPr>
          <w:rFonts w:ascii="Palatino Linotype" w:eastAsia="Palatino Linotype" w:hAnsi="Palatino Linotype" w:cs="Palatino Linotype"/>
        </w:rPr>
      </w:pPr>
    </w:p>
    <w:p w:rsidR="00974A47" w:rsidRDefault="00974A47">
      <w:pPr>
        <w:tabs>
          <w:tab w:val="left" w:pos="3374"/>
        </w:tabs>
        <w:spacing w:line="360" w:lineRule="auto"/>
        <w:ind w:right="49"/>
        <w:rPr>
          <w:rFonts w:ascii="Palatino Linotype" w:eastAsia="Palatino Linotype" w:hAnsi="Palatino Linotype" w:cs="Palatino Linotype"/>
        </w:rPr>
      </w:pPr>
    </w:p>
    <w:p w:rsidR="00974A47" w:rsidRDefault="00974A47">
      <w:pPr>
        <w:tabs>
          <w:tab w:val="left" w:pos="3374"/>
        </w:tabs>
        <w:spacing w:line="360" w:lineRule="auto"/>
        <w:ind w:right="49"/>
        <w:rPr>
          <w:rFonts w:ascii="Palatino Linotype" w:eastAsia="Palatino Linotype" w:hAnsi="Palatino Linotype" w:cs="Palatino Linotype"/>
        </w:rPr>
      </w:pPr>
    </w:p>
    <w:p w:rsidR="00974A47" w:rsidRDefault="00974A47">
      <w:pPr>
        <w:tabs>
          <w:tab w:val="left" w:pos="3374"/>
        </w:tabs>
        <w:spacing w:line="360" w:lineRule="auto"/>
        <w:ind w:right="49"/>
        <w:rPr>
          <w:rFonts w:ascii="Palatino Linotype" w:eastAsia="Palatino Linotype" w:hAnsi="Palatino Linotype" w:cs="Palatino Linotype"/>
        </w:rPr>
      </w:pPr>
    </w:p>
    <w:p w:rsidR="00974A47" w:rsidRDefault="00974A47">
      <w:pPr>
        <w:spacing w:line="360" w:lineRule="auto"/>
        <w:ind w:right="49"/>
        <w:rPr>
          <w:rFonts w:ascii="Palatino Linotype" w:eastAsia="Palatino Linotype" w:hAnsi="Palatino Linotype" w:cs="Palatino Linotype"/>
        </w:rPr>
      </w:pPr>
    </w:p>
    <w:p w:rsidR="00974A47" w:rsidRDefault="00974A47">
      <w:pPr>
        <w:spacing w:line="360" w:lineRule="auto"/>
        <w:ind w:right="49"/>
        <w:rPr>
          <w:rFonts w:ascii="Palatino Linotype" w:eastAsia="Palatino Linotype" w:hAnsi="Palatino Linotype" w:cs="Palatino Linotype"/>
        </w:rPr>
      </w:pPr>
    </w:p>
    <w:sectPr w:rsidR="00974A47" w:rsidSect="000322A5">
      <w:headerReference w:type="even" r:id="rId8"/>
      <w:headerReference w:type="default" r:id="rId9"/>
      <w:footerReference w:type="default" r:id="rId10"/>
      <w:headerReference w:type="first" r:id="rId11"/>
      <w:footerReference w:type="first" r:id="rId12"/>
      <w:pgSz w:w="12240" w:h="15840"/>
      <w:pgMar w:top="2552"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E1C" w:rsidRDefault="00113E1C">
      <w:r>
        <w:separator/>
      </w:r>
    </w:p>
  </w:endnote>
  <w:endnote w:type="continuationSeparator" w:id="0">
    <w:p w:rsidR="00113E1C" w:rsidRDefault="00113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981C6D4-FE07-4A5F-9587-F4423D4FED4C}"/>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CC8AF282-F1B3-4BEF-8CED-E789EDBB72F9}"/>
    <w:embedBold r:id="rId3" w:fontKey="{AE043E4C-B813-4835-82F8-378DB34113F5}"/>
    <w:embedItalic r:id="rId4" w:fontKey="{ECEC14C7-DE87-47D6-8E0B-C8B4C324969D}"/>
    <w:embedBoldItalic r:id="rId5" w:fontKey="{A2CB388B-DFCF-4092-9FB6-17A30EF9AB73}"/>
  </w:font>
  <w:font w:name="Calibri">
    <w:panose1 w:val="020F0502020204030204"/>
    <w:charset w:val="00"/>
    <w:family w:val="swiss"/>
    <w:pitch w:val="variable"/>
    <w:sig w:usb0="E4002EFF" w:usb1="C200247B" w:usb2="00000009" w:usb3="00000000" w:csb0="000001FF" w:csb1="00000000"/>
    <w:embedRegular r:id="rId6" w:fontKey="{0EB87CAF-6275-4A65-BBF1-CEDF82B0D3B1}"/>
    <w:embedBold r:id="rId7" w:fontKey="{C3F9858A-85B8-49D2-8C0F-0284BB545CF3}"/>
    <w:embedItalic r:id="rId8" w:fontKey="{4FC67F7F-E418-4285-BAA0-F70AEC092478}"/>
  </w:font>
  <w:font w:name="Calibri Light">
    <w:panose1 w:val="020F0302020204030204"/>
    <w:charset w:val="00"/>
    <w:family w:val="swiss"/>
    <w:pitch w:val="variable"/>
    <w:sig w:usb0="E4002EFF" w:usb1="C200247B" w:usb2="00000009" w:usb3="00000000" w:csb0="000001FF" w:csb1="00000000"/>
    <w:embedRegular r:id="rId9" w:fontKey="{F16AF160-C713-4080-BC83-CE993DF8C4A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E8C8195A-EDB0-4A12-9A19-7D03FC1FB0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47" w:rsidRPr="000322A5" w:rsidRDefault="004946C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322A5">
      <w:rPr>
        <w:rFonts w:ascii="Palatino Linotype" w:eastAsia="Palatino Linotype" w:hAnsi="Palatino Linotype" w:cs="Palatino Linotype"/>
        <w:b/>
        <w:color w:val="000000"/>
        <w:sz w:val="22"/>
        <w:szCs w:val="20"/>
      </w:rPr>
      <w:t xml:space="preserve">Página </w:t>
    </w:r>
    <w:r w:rsidRPr="000322A5">
      <w:rPr>
        <w:rFonts w:ascii="Palatino Linotype" w:eastAsia="Palatino Linotype" w:hAnsi="Palatino Linotype" w:cs="Palatino Linotype"/>
        <w:b/>
        <w:color w:val="000000"/>
        <w:sz w:val="22"/>
        <w:szCs w:val="20"/>
      </w:rPr>
      <w:fldChar w:fldCharType="begin"/>
    </w:r>
    <w:r w:rsidRPr="000322A5">
      <w:rPr>
        <w:rFonts w:ascii="Palatino Linotype" w:eastAsia="Palatino Linotype" w:hAnsi="Palatino Linotype" w:cs="Palatino Linotype"/>
        <w:b/>
        <w:color w:val="000000"/>
        <w:sz w:val="22"/>
        <w:szCs w:val="20"/>
      </w:rPr>
      <w:instrText>PAGE</w:instrText>
    </w:r>
    <w:r w:rsidRPr="000322A5">
      <w:rPr>
        <w:rFonts w:ascii="Palatino Linotype" w:eastAsia="Palatino Linotype" w:hAnsi="Palatino Linotype" w:cs="Palatino Linotype"/>
        <w:b/>
        <w:color w:val="000000"/>
        <w:sz w:val="22"/>
        <w:szCs w:val="20"/>
      </w:rPr>
      <w:fldChar w:fldCharType="separate"/>
    </w:r>
    <w:r w:rsidR="000322A5">
      <w:rPr>
        <w:rFonts w:ascii="Palatino Linotype" w:eastAsia="Palatino Linotype" w:hAnsi="Palatino Linotype" w:cs="Palatino Linotype"/>
        <w:b/>
        <w:noProof/>
        <w:color w:val="000000"/>
        <w:sz w:val="22"/>
        <w:szCs w:val="20"/>
      </w:rPr>
      <w:t>18</w:t>
    </w:r>
    <w:r w:rsidRPr="000322A5">
      <w:rPr>
        <w:rFonts w:ascii="Palatino Linotype" w:eastAsia="Palatino Linotype" w:hAnsi="Palatino Linotype" w:cs="Palatino Linotype"/>
        <w:b/>
        <w:color w:val="000000"/>
        <w:sz w:val="22"/>
        <w:szCs w:val="20"/>
      </w:rPr>
      <w:fldChar w:fldCharType="end"/>
    </w:r>
    <w:r w:rsidRPr="000322A5">
      <w:rPr>
        <w:rFonts w:ascii="Palatino Linotype" w:eastAsia="Palatino Linotype" w:hAnsi="Palatino Linotype" w:cs="Palatino Linotype"/>
        <w:b/>
        <w:color w:val="000000"/>
        <w:sz w:val="22"/>
        <w:szCs w:val="20"/>
      </w:rPr>
      <w:t xml:space="preserve"> de </w:t>
    </w:r>
    <w:r w:rsidRPr="000322A5">
      <w:rPr>
        <w:rFonts w:ascii="Palatino Linotype" w:eastAsia="Palatino Linotype" w:hAnsi="Palatino Linotype" w:cs="Palatino Linotype"/>
        <w:b/>
        <w:color w:val="000000"/>
        <w:sz w:val="22"/>
        <w:szCs w:val="20"/>
      </w:rPr>
      <w:fldChar w:fldCharType="begin"/>
    </w:r>
    <w:r w:rsidRPr="000322A5">
      <w:rPr>
        <w:rFonts w:ascii="Palatino Linotype" w:eastAsia="Palatino Linotype" w:hAnsi="Palatino Linotype" w:cs="Palatino Linotype"/>
        <w:b/>
        <w:color w:val="000000"/>
        <w:sz w:val="22"/>
        <w:szCs w:val="20"/>
      </w:rPr>
      <w:instrText>NUMPAGES</w:instrText>
    </w:r>
    <w:r w:rsidRPr="000322A5">
      <w:rPr>
        <w:rFonts w:ascii="Palatino Linotype" w:eastAsia="Palatino Linotype" w:hAnsi="Palatino Linotype" w:cs="Palatino Linotype"/>
        <w:b/>
        <w:color w:val="000000"/>
        <w:sz w:val="22"/>
        <w:szCs w:val="20"/>
      </w:rPr>
      <w:fldChar w:fldCharType="separate"/>
    </w:r>
    <w:r w:rsidR="000322A5">
      <w:rPr>
        <w:rFonts w:ascii="Palatino Linotype" w:eastAsia="Palatino Linotype" w:hAnsi="Palatino Linotype" w:cs="Palatino Linotype"/>
        <w:b/>
        <w:noProof/>
        <w:color w:val="000000"/>
        <w:sz w:val="22"/>
        <w:szCs w:val="20"/>
      </w:rPr>
      <w:t>18</w:t>
    </w:r>
    <w:r w:rsidRPr="000322A5">
      <w:rPr>
        <w:rFonts w:ascii="Palatino Linotype" w:eastAsia="Palatino Linotype" w:hAnsi="Palatino Linotype" w:cs="Palatino Linotype"/>
        <w:b/>
        <w:color w:val="000000"/>
        <w:sz w:val="22"/>
        <w:szCs w:val="20"/>
      </w:rPr>
      <w:fldChar w:fldCharType="end"/>
    </w:r>
  </w:p>
  <w:p w:rsidR="00974A47" w:rsidRDefault="00974A4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47" w:rsidRPr="000322A5" w:rsidRDefault="004946C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322A5">
      <w:rPr>
        <w:rFonts w:ascii="Palatino Linotype" w:eastAsia="Palatino Linotype" w:hAnsi="Palatino Linotype" w:cs="Palatino Linotype"/>
        <w:b/>
        <w:color w:val="000000"/>
        <w:sz w:val="22"/>
        <w:szCs w:val="20"/>
      </w:rPr>
      <w:t xml:space="preserve">Página </w:t>
    </w:r>
    <w:r w:rsidRPr="000322A5">
      <w:rPr>
        <w:rFonts w:ascii="Palatino Linotype" w:eastAsia="Palatino Linotype" w:hAnsi="Palatino Linotype" w:cs="Palatino Linotype"/>
        <w:b/>
        <w:color w:val="000000"/>
        <w:sz w:val="22"/>
        <w:szCs w:val="20"/>
      </w:rPr>
      <w:fldChar w:fldCharType="begin"/>
    </w:r>
    <w:r w:rsidRPr="000322A5">
      <w:rPr>
        <w:rFonts w:ascii="Palatino Linotype" w:eastAsia="Palatino Linotype" w:hAnsi="Palatino Linotype" w:cs="Palatino Linotype"/>
        <w:b/>
        <w:color w:val="000000"/>
        <w:sz w:val="22"/>
        <w:szCs w:val="20"/>
      </w:rPr>
      <w:instrText>PAGE</w:instrText>
    </w:r>
    <w:r w:rsidRPr="000322A5">
      <w:rPr>
        <w:rFonts w:ascii="Palatino Linotype" w:eastAsia="Palatino Linotype" w:hAnsi="Palatino Linotype" w:cs="Palatino Linotype"/>
        <w:b/>
        <w:color w:val="000000"/>
        <w:sz w:val="22"/>
        <w:szCs w:val="20"/>
      </w:rPr>
      <w:fldChar w:fldCharType="separate"/>
    </w:r>
    <w:r w:rsidR="000322A5">
      <w:rPr>
        <w:rFonts w:ascii="Palatino Linotype" w:eastAsia="Palatino Linotype" w:hAnsi="Palatino Linotype" w:cs="Palatino Linotype"/>
        <w:b/>
        <w:noProof/>
        <w:color w:val="000000"/>
        <w:sz w:val="22"/>
        <w:szCs w:val="20"/>
      </w:rPr>
      <w:t>1</w:t>
    </w:r>
    <w:r w:rsidRPr="000322A5">
      <w:rPr>
        <w:rFonts w:ascii="Palatino Linotype" w:eastAsia="Palatino Linotype" w:hAnsi="Palatino Linotype" w:cs="Palatino Linotype"/>
        <w:b/>
        <w:color w:val="000000"/>
        <w:sz w:val="22"/>
        <w:szCs w:val="20"/>
      </w:rPr>
      <w:fldChar w:fldCharType="end"/>
    </w:r>
    <w:r w:rsidRPr="000322A5">
      <w:rPr>
        <w:rFonts w:ascii="Palatino Linotype" w:eastAsia="Palatino Linotype" w:hAnsi="Palatino Linotype" w:cs="Palatino Linotype"/>
        <w:b/>
        <w:color w:val="000000"/>
        <w:sz w:val="22"/>
        <w:szCs w:val="20"/>
      </w:rPr>
      <w:t xml:space="preserve"> de </w:t>
    </w:r>
    <w:r w:rsidRPr="000322A5">
      <w:rPr>
        <w:rFonts w:ascii="Palatino Linotype" w:eastAsia="Palatino Linotype" w:hAnsi="Palatino Linotype" w:cs="Palatino Linotype"/>
        <w:b/>
        <w:color w:val="000000"/>
        <w:sz w:val="22"/>
        <w:szCs w:val="20"/>
      </w:rPr>
      <w:fldChar w:fldCharType="begin"/>
    </w:r>
    <w:r w:rsidRPr="000322A5">
      <w:rPr>
        <w:rFonts w:ascii="Palatino Linotype" w:eastAsia="Palatino Linotype" w:hAnsi="Palatino Linotype" w:cs="Palatino Linotype"/>
        <w:b/>
        <w:color w:val="000000"/>
        <w:sz w:val="22"/>
        <w:szCs w:val="20"/>
      </w:rPr>
      <w:instrText>NUMPAGES</w:instrText>
    </w:r>
    <w:r w:rsidRPr="000322A5">
      <w:rPr>
        <w:rFonts w:ascii="Palatino Linotype" w:eastAsia="Palatino Linotype" w:hAnsi="Palatino Linotype" w:cs="Palatino Linotype"/>
        <w:b/>
        <w:color w:val="000000"/>
        <w:sz w:val="22"/>
        <w:szCs w:val="20"/>
      </w:rPr>
      <w:fldChar w:fldCharType="separate"/>
    </w:r>
    <w:r w:rsidR="000322A5">
      <w:rPr>
        <w:rFonts w:ascii="Palatino Linotype" w:eastAsia="Palatino Linotype" w:hAnsi="Palatino Linotype" w:cs="Palatino Linotype"/>
        <w:b/>
        <w:noProof/>
        <w:color w:val="000000"/>
        <w:sz w:val="22"/>
        <w:szCs w:val="20"/>
      </w:rPr>
      <w:t>18</w:t>
    </w:r>
    <w:r w:rsidRPr="000322A5">
      <w:rPr>
        <w:rFonts w:ascii="Palatino Linotype" w:eastAsia="Palatino Linotype" w:hAnsi="Palatino Linotype" w:cs="Palatino Linotype"/>
        <w:b/>
        <w:color w:val="000000"/>
        <w:sz w:val="22"/>
        <w:szCs w:val="20"/>
      </w:rPr>
      <w:fldChar w:fldCharType="end"/>
    </w:r>
  </w:p>
  <w:p w:rsidR="00974A47" w:rsidRDefault="00974A4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E1C" w:rsidRDefault="00113E1C">
      <w:r>
        <w:separator/>
      </w:r>
    </w:p>
  </w:footnote>
  <w:footnote w:type="continuationSeparator" w:id="0">
    <w:p w:rsidR="00113E1C" w:rsidRDefault="00113E1C">
      <w:r>
        <w:continuationSeparator/>
      </w:r>
    </w:p>
  </w:footnote>
  <w:footnote w:id="1">
    <w:p w:rsidR="00974A47" w:rsidRDefault="004946C2">
      <w:pPr>
        <w:pBdr>
          <w:top w:val="nil"/>
          <w:left w:val="nil"/>
          <w:bottom w:val="nil"/>
          <w:right w:val="nil"/>
          <w:between w:val="nil"/>
        </w:pBdr>
        <w:rPr>
          <w:color w:val="000000"/>
        </w:rPr>
      </w:pPr>
      <w:r>
        <w:rPr>
          <w:vertAlign w:val="superscript"/>
        </w:rPr>
        <w:footnoteRef/>
      </w:r>
      <w:r>
        <w:rPr>
          <w:color w:val="000000"/>
        </w:rPr>
        <w:t xml:space="preserve"> Convención Americana sobre Derechos Humanos. Artículo 13.</w:t>
      </w:r>
    </w:p>
  </w:footnote>
  <w:footnote w:id="2">
    <w:p w:rsidR="00974A47" w:rsidRDefault="004946C2">
      <w:pPr>
        <w:pBdr>
          <w:top w:val="nil"/>
          <w:left w:val="nil"/>
          <w:bottom w:val="nil"/>
          <w:right w:val="nil"/>
          <w:between w:val="nil"/>
        </w:pBdr>
        <w:rPr>
          <w:color w:val="000000"/>
        </w:rPr>
      </w:pPr>
      <w:r>
        <w:rPr>
          <w:vertAlign w:val="superscript"/>
        </w:rPr>
        <w:footnoteRef/>
      </w:r>
      <w:r>
        <w:rPr>
          <w:color w:val="000000"/>
        </w:rPr>
        <w:t xml:space="preserve"> Constitución Política de los Estados Unidos Mexicanos. Artículo sexto, sección A, Fracción I.</w:t>
      </w:r>
    </w:p>
  </w:footnote>
  <w:footnote w:id="3">
    <w:p w:rsidR="00974A47" w:rsidRDefault="004946C2">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974A47" w:rsidRDefault="004946C2">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974A47" w:rsidRDefault="004946C2">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974A47" w:rsidRDefault="004946C2">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974A47" w:rsidRDefault="004946C2">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974A47" w:rsidRDefault="004946C2">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47" w:rsidRDefault="00113E1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6519" w:type="dxa"/>
      <w:tblInd w:w="3261" w:type="dxa"/>
      <w:tblLayout w:type="fixed"/>
      <w:tblLook w:val="0400" w:firstRow="0" w:lastRow="0" w:firstColumn="0" w:lastColumn="0" w:noHBand="0" w:noVBand="1"/>
    </w:tblPr>
    <w:tblGrid>
      <w:gridCol w:w="2976"/>
      <w:gridCol w:w="3543"/>
    </w:tblGrid>
    <w:tr w:rsidR="00974A47" w:rsidTr="000322A5">
      <w:trPr>
        <w:trHeight w:val="227"/>
      </w:trPr>
      <w:tc>
        <w:tcPr>
          <w:tcW w:w="2976" w:type="dxa"/>
          <w:vAlign w:val="center"/>
        </w:tcPr>
        <w:p w:rsidR="00974A47" w:rsidRPr="000322A5" w:rsidRDefault="004946C2">
          <w:pPr>
            <w:ind w:right="34"/>
            <w:jc w:val="right"/>
            <w:rPr>
              <w:rFonts w:ascii="Palatino Linotype" w:eastAsia="Palatino Linotype" w:hAnsi="Palatino Linotype" w:cs="Palatino Linotype"/>
              <w:b/>
              <w:bCs/>
              <w:szCs w:val="22"/>
            </w:rPr>
          </w:pPr>
          <w:r w:rsidRPr="000322A5">
            <w:rPr>
              <w:rFonts w:ascii="Palatino Linotype" w:eastAsia="Palatino Linotype" w:hAnsi="Palatino Linotype" w:cs="Palatino Linotype"/>
              <w:b/>
              <w:bCs/>
              <w:szCs w:val="22"/>
            </w:rPr>
            <w:t>Recurso de Revisión:</w:t>
          </w:r>
        </w:p>
      </w:tc>
      <w:tc>
        <w:tcPr>
          <w:tcW w:w="3543" w:type="dxa"/>
          <w:vAlign w:val="center"/>
        </w:tcPr>
        <w:p w:rsidR="00974A47" w:rsidRPr="000322A5" w:rsidRDefault="004946C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0322A5">
            <w:rPr>
              <w:rFonts w:ascii="Palatino Linotype" w:eastAsia="Palatino Linotype" w:hAnsi="Palatino Linotype" w:cs="Palatino Linotype"/>
              <w:color w:val="000000"/>
              <w:szCs w:val="22"/>
            </w:rPr>
            <w:t>07593/INFOEM/IP/RR/2025</w:t>
          </w:r>
        </w:p>
      </w:tc>
    </w:tr>
    <w:tr w:rsidR="00974A47" w:rsidTr="000322A5">
      <w:trPr>
        <w:trHeight w:val="242"/>
      </w:trPr>
      <w:tc>
        <w:tcPr>
          <w:tcW w:w="2976" w:type="dxa"/>
          <w:vAlign w:val="center"/>
        </w:tcPr>
        <w:p w:rsidR="00974A47" w:rsidRPr="000322A5" w:rsidRDefault="004946C2">
          <w:pPr>
            <w:ind w:right="34"/>
            <w:jc w:val="right"/>
            <w:rPr>
              <w:rFonts w:ascii="Palatino Linotype" w:eastAsia="Palatino Linotype" w:hAnsi="Palatino Linotype" w:cs="Palatino Linotype"/>
              <w:b/>
              <w:bCs/>
              <w:szCs w:val="22"/>
            </w:rPr>
          </w:pPr>
          <w:r w:rsidRPr="000322A5">
            <w:rPr>
              <w:rFonts w:ascii="Palatino Linotype" w:eastAsia="Palatino Linotype" w:hAnsi="Palatino Linotype" w:cs="Palatino Linotype"/>
              <w:b/>
              <w:bCs/>
              <w:szCs w:val="22"/>
            </w:rPr>
            <w:t>Sujeto Obligado:</w:t>
          </w:r>
        </w:p>
      </w:tc>
      <w:tc>
        <w:tcPr>
          <w:tcW w:w="3543" w:type="dxa"/>
          <w:vAlign w:val="center"/>
        </w:tcPr>
        <w:p w:rsidR="00974A47" w:rsidRPr="000322A5" w:rsidRDefault="004946C2">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0322A5">
            <w:rPr>
              <w:rFonts w:ascii="Palatino Linotype" w:eastAsia="Palatino Linotype" w:hAnsi="Palatino Linotype" w:cs="Palatino Linotype"/>
              <w:color w:val="000000"/>
              <w:szCs w:val="22"/>
            </w:rPr>
            <w:t>Ayuntamiento de Atlacomulco</w:t>
          </w:r>
        </w:p>
      </w:tc>
    </w:tr>
    <w:tr w:rsidR="00974A47" w:rsidTr="000322A5">
      <w:trPr>
        <w:trHeight w:val="342"/>
      </w:trPr>
      <w:tc>
        <w:tcPr>
          <w:tcW w:w="2976" w:type="dxa"/>
          <w:vAlign w:val="center"/>
        </w:tcPr>
        <w:p w:rsidR="00974A47" w:rsidRPr="000322A5" w:rsidRDefault="004946C2">
          <w:pPr>
            <w:ind w:right="34"/>
            <w:jc w:val="right"/>
            <w:rPr>
              <w:rFonts w:ascii="Palatino Linotype" w:eastAsia="Palatino Linotype" w:hAnsi="Palatino Linotype" w:cs="Palatino Linotype"/>
              <w:b/>
              <w:bCs/>
              <w:szCs w:val="22"/>
            </w:rPr>
          </w:pPr>
          <w:r w:rsidRPr="000322A5">
            <w:rPr>
              <w:rFonts w:ascii="Palatino Linotype" w:eastAsia="Palatino Linotype" w:hAnsi="Palatino Linotype" w:cs="Palatino Linotype"/>
              <w:b/>
              <w:bCs/>
              <w:szCs w:val="22"/>
            </w:rPr>
            <w:t>Comisionada Ponente:</w:t>
          </w:r>
        </w:p>
      </w:tc>
      <w:tc>
        <w:tcPr>
          <w:tcW w:w="3543" w:type="dxa"/>
          <w:vAlign w:val="center"/>
        </w:tcPr>
        <w:p w:rsidR="00974A47" w:rsidRPr="000322A5" w:rsidRDefault="004946C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0322A5">
            <w:rPr>
              <w:rFonts w:ascii="Palatino Linotype" w:eastAsia="Palatino Linotype" w:hAnsi="Palatino Linotype" w:cs="Palatino Linotype"/>
              <w:color w:val="000000"/>
              <w:szCs w:val="22"/>
            </w:rPr>
            <w:t>María del Rosario Mejía Ayala</w:t>
          </w:r>
        </w:p>
      </w:tc>
    </w:tr>
  </w:tbl>
  <w:p w:rsidR="00974A47" w:rsidRDefault="00113E1C">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0.1pt;margin-top:-140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6660" w:type="dxa"/>
      <w:tblInd w:w="3402" w:type="dxa"/>
      <w:tblLayout w:type="fixed"/>
      <w:tblLook w:val="0400" w:firstRow="0" w:lastRow="0" w:firstColumn="0" w:lastColumn="0" w:noHBand="0" w:noVBand="1"/>
    </w:tblPr>
    <w:tblGrid>
      <w:gridCol w:w="2977"/>
      <w:gridCol w:w="3683"/>
    </w:tblGrid>
    <w:tr w:rsidR="00974A47" w:rsidTr="000322A5">
      <w:trPr>
        <w:trHeight w:val="227"/>
      </w:trPr>
      <w:tc>
        <w:tcPr>
          <w:tcW w:w="2977" w:type="dxa"/>
          <w:vAlign w:val="center"/>
        </w:tcPr>
        <w:p w:rsidR="00974A47" w:rsidRPr="000322A5" w:rsidRDefault="004946C2">
          <w:pPr>
            <w:jc w:val="right"/>
            <w:rPr>
              <w:rFonts w:ascii="Palatino Linotype" w:eastAsia="Palatino Linotype" w:hAnsi="Palatino Linotype" w:cs="Palatino Linotype"/>
              <w:b/>
              <w:bCs/>
              <w:szCs w:val="22"/>
            </w:rPr>
          </w:pPr>
          <w:r w:rsidRPr="000322A5">
            <w:rPr>
              <w:rFonts w:ascii="Palatino Linotype" w:eastAsia="Palatino Linotype" w:hAnsi="Palatino Linotype" w:cs="Palatino Linotype"/>
              <w:b/>
              <w:bCs/>
              <w:szCs w:val="22"/>
            </w:rPr>
            <w:t>Recurso de Revisión:</w:t>
          </w:r>
        </w:p>
      </w:tc>
      <w:tc>
        <w:tcPr>
          <w:tcW w:w="3683" w:type="dxa"/>
          <w:vAlign w:val="center"/>
        </w:tcPr>
        <w:p w:rsidR="00974A47" w:rsidRPr="000322A5" w:rsidRDefault="004946C2">
          <w:pPr>
            <w:rPr>
              <w:rFonts w:ascii="Palatino Linotype" w:eastAsia="Palatino Linotype" w:hAnsi="Palatino Linotype" w:cs="Palatino Linotype"/>
              <w:color w:val="000000"/>
              <w:szCs w:val="22"/>
            </w:rPr>
          </w:pPr>
          <w:r w:rsidRPr="000322A5">
            <w:rPr>
              <w:rFonts w:ascii="Palatino Linotype" w:eastAsia="Palatino Linotype" w:hAnsi="Palatino Linotype" w:cs="Palatino Linotype"/>
              <w:color w:val="000000"/>
              <w:szCs w:val="22"/>
            </w:rPr>
            <w:t>07593/INFOEM/IP/RR/2025</w:t>
          </w:r>
        </w:p>
      </w:tc>
    </w:tr>
    <w:tr w:rsidR="00974A47" w:rsidTr="000322A5">
      <w:trPr>
        <w:trHeight w:val="242"/>
      </w:trPr>
      <w:tc>
        <w:tcPr>
          <w:tcW w:w="2977" w:type="dxa"/>
          <w:vAlign w:val="center"/>
        </w:tcPr>
        <w:p w:rsidR="00974A47" w:rsidRPr="000322A5" w:rsidRDefault="004946C2">
          <w:pPr>
            <w:jc w:val="right"/>
            <w:rPr>
              <w:rFonts w:ascii="Palatino Linotype" w:eastAsia="Palatino Linotype" w:hAnsi="Palatino Linotype" w:cs="Palatino Linotype"/>
              <w:b/>
              <w:bCs/>
              <w:szCs w:val="22"/>
            </w:rPr>
          </w:pPr>
          <w:r w:rsidRPr="000322A5">
            <w:rPr>
              <w:rFonts w:ascii="Palatino Linotype" w:eastAsia="Palatino Linotype" w:hAnsi="Palatino Linotype" w:cs="Palatino Linotype"/>
              <w:b/>
              <w:bCs/>
              <w:szCs w:val="22"/>
            </w:rPr>
            <w:t>Recurrente:</w:t>
          </w:r>
        </w:p>
      </w:tc>
      <w:tc>
        <w:tcPr>
          <w:tcW w:w="3683" w:type="dxa"/>
        </w:tcPr>
        <w:p w:rsidR="00974A47" w:rsidRPr="000322A5" w:rsidRDefault="004946C2">
          <w:pPr>
            <w:tabs>
              <w:tab w:val="left" w:pos="521"/>
              <w:tab w:val="center" w:pos="1771"/>
            </w:tabs>
            <w:rPr>
              <w:rFonts w:ascii="Palatino Linotype" w:eastAsia="Palatino Linotype" w:hAnsi="Palatino Linotype" w:cs="Palatino Linotype"/>
              <w:color w:val="000000"/>
              <w:szCs w:val="22"/>
            </w:rPr>
          </w:pPr>
          <w:r w:rsidRPr="000322A5">
            <w:rPr>
              <w:rFonts w:ascii="Palatino Linotype" w:eastAsia="Palatino Linotype" w:hAnsi="Palatino Linotype" w:cs="Palatino Linotype"/>
              <w:color w:val="000000"/>
              <w:szCs w:val="22"/>
            </w:rPr>
            <w:tab/>
          </w:r>
        </w:p>
      </w:tc>
    </w:tr>
    <w:tr w:rsidR="00974A47" w:rsidTr="000322A5">
      <w:trPr>
        <w:trHeight w:val="342"/>
      </w:trPr>
      <w:tc>
        <w:tcPr>
          <w:tcW w:w="2977" w:type="dxa"/>
          <w:vAlign w:val="center"/>
        </w:tcPr>
        <w:p w:rsidR="00974A47" w:rsidRPr="000322A5" w:rsidRDefault="004946C2">
          <w:pPr>
            <w:jc w:val="right"/>
            <w:rPr>
              <w:rFonts w:ascii="Palatino Linotype" w:eastAsia="Palatino Linotype" w:hAnsi="Palatino Linotype" w:cs="Palatino Linotype"/>
              <w:b/>
              <w:bCs/>
              <w:szCs w:val="22"/>
            </w:rPr>
          </w:pPr>
          <w:r w:rsidRPr="000322A5">
            <w:rPr>
              <w:rFonts w:ascii="Palatino Linotype" w:eastAsia="Palatino Linotype" w:hAnsi="Palatino Linotype" w:cs="Palatino Linotype"/>
              <w:b/>
              <w:bCs/>
              <w:szCs w:val="22"/>
            </w:rPr>
            <w:t>Sujeto Obligado:</w:t>
          </w:r>
        </w:p>
      </w:tc>
      <w:tc>
        <w:tcPr>
          <w:tcW w:w="3683" w:type="dxa"/>
          <w:vAlign w:val="center"/>
        </w:tcPr>
        <w:p w:rsidR="00974A47" w:rsidRPr="000322A5" w:rsidRDefault="004946C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0322A5">
            <w:rPr>
              <w:rFonts w:ascii="Palatino Linotype" w:eastAsia="Palatino Linotype" w:hAnsi="Palatino Linotype" w:cs="Palatino Linotype"/>
              <w:color w:val="000000"/>
              <w:szCs w:val="22"/>
            </w:rPr>
            <w:t>Ayuntamiento de Atlacomulco</w:t>
          </w:r>
        </w:p>
      </w:tc>
    </w:tr>
    <w:tr w:rsidR="00974A47" w:rsidTr="000322A5">
      <w:trPr>
        <w:trHeight w:val="342"/>
      </w:trPr>
      <w:tc>
        <w:tcPr>
          <w:tcW w:w="2977" w:type="dxa"/>
          <w:vAlign w:val="center"/>
        </w:tcPr>
        <w:p w:rsidR="00974A47" w:rsidRPr="000322A5" w:rsidRDefault="004946C2">
          <w:pPr>
            <w:jc w:val="right"/>
            <w:rPr>
              <w:rFonts w:ascii="Palatino Linotype" w:eastAsia="Palatino Linotype" w:hAnsi="Palatino Linotype" w:cs="Palatino Linotype"/>
              <w:b/>
              <w:bCs/>
              <w:szCs w:val="22"/>
            </w:rPr>
          </w:pPr>
          <w:r w:rsidRPr="000322A5">
            <w:rPr>
              <w:rFonts w:ascii="Palatino Linotype" w:eastAsia="Palatino Linotype" w:hAnsi="Palatino Linotype" w:cs="Palatino Linotype"/>
              <w:b/>
              <w:bCs/>
              <w:szCs w:val="22"/>
            </w:rPr>
            <w:t>Comisionada Ponente:</w:t>
          </w:r>
        </w:p>
      </w:tc>
      <w:tc>
        <w:tcPr>
          <w:tcW w:w="3683" w:type="dxa"/>
          <w:vAlign w:val="center"/>
        </w:tcPr>
        <w:p w:rsidR="00974A47" w:rsidRPr="000322A5" w:rsidRDefault="004946C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0322A5">
            <w:rPr>
              <w:rFonts w:ascii="Palatino Linotype" w:eastAsia="Palatino Linotype" w:hAnsi="Palatino Linotype" w:cs="Palatino Linotype"/>
              <w:color w:val="000000"/>
              <w:szCs w:val="22"/>
            </w:rPr>
            <w:t>María del Rosario Mejía Ayala</w:t>
          </w:r>
        </w:p>
      </w:tc>
    </w:tr>
  </w:tbl>
  <w:p w:rsidR="00974A47" w:rsidRDefault="00113E1C">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240F"/>
    <w:multiLevelType w:val="multilevel"/>
    <w:tmpl w:val="2F0C4CD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3C0F3D8D"/>
    <w:multiLevelType w:val="multilevel"/>
    <w:tmpl w:val="FE36F1DC"/>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8F74CE7"/>
    <w:multiLevelType w:val="multilevel"/>
    <w:tmpl w:val="222A0AC8"/>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 w15:restartNumberingAfterBreak="0">
    <w:nsid w:val="6958135E"/>
    <w:multiLevelType w:val="hybridMultilevel"/>
    <w:tmpl w:val="562A0C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08D23B0"/>
    <w:multiLevelType w:val="multilevel"/>
    <w:tmpl w:val="99386E64"/>
    <w:lvl w:ilvl="0">
      <w:start w:val="24"/>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2D4D4B"/>
    <w:multiLevelType w:val="multilevel"/>
    <w:tmpl w:val="1C88123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A47"/>
    <w:rsid w:val="000322A5"/>
    <w:rsid w:val="00113E1C"/>
    <w:rsid w:val="00416E40"/>
    <w:rsid w:val="004946C2"/>
    <w:rsid w:val="00974A47"/>
    <w:rsid w:val="00C418D1"/>
    <w:rsid w:val="00C77FA1"/>
    <w:rsid w:val="00EE6A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44AD947-67DB-48DD-B653-5DCE4144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r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5"/>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X5ZskHbFB34R9llwjgy9WfIalg==">CgMxLjAyCGguZ2pkZ3hzMgloLjMwajB6bGwyCWguM3pueXNoNzIJaC4yZXQ5MnAwMghoLnR5amN3dDIOaC40Z3p0MWw0NzlzZHEyDmgucjI2YXl6bmZ1ZW5wMg5oLjJxcHpnYmFhenU3eDIOaC5qOXYycW9mcGJwdGIyDmgueGx4MDNoM2w3eXRiOAByITFQOGtEV3lUOHh1UDR3dmZpNjc5RG9BVUVoT2x1NEhMTQ==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3772</Words>
  <Characters>20751</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8</cp:revision>
  <cp:lastPrinted>2026-02-27T16:02:00Z</cp:lastPrinted>
  <dcterms:created xsi:type="dcterms:W3CDTF">2026-02-17T22:59:00Z</dcterms:created>
  <dcterms:modified xsi:type="dcterms:W3CDTF">2026-03-03T23:13:00Z</dcterms:modified>
</cp:coreProperties>
</file>